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77E" w:rsidRDefault="000F2348">
      <w:pPr>
        <w:pStyle w:val="Pagedecouverture"/>
        <w:rPr>
          <w:noProof/>
        </w:rPr>
      </w:pPr>
      <w:bookmarkStart w:id="0" w:name="LW_BM_COVERPAGE"/>
      <w:bookmarkStart w:id="1" w:name="_DMBM_17175"/>
      <w:bookmarkStart w:id="2" w:name="_CSF_TOC_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F8DD2E4-275F-46BA-9876-B20171B83810" style="width:450.55pt;height:320.75pt">
            <v:imagedata r:id="rId9" o:title=""/>
          </v:shape>
        </w:pict>
      </w:r>
    </w:p>
    <w:bookmarkEnd w:id="0"/>
    <w:p w:rsidR="0043277E" w:rsidRDefault="0043277E">
      <w:pPr>
        <w:pStyle w:val="Pagedecouverture"/>
        <w:rPr>
          <w:noProof/>
        </w:rPr>
        <w:sectPr w:rsidR="0043277E">
          <w:headerReference w:type="even" r:id="rId10"/>
          <w:headerReference w:type="default" r:id="rId11"/>
          <w:footerReference w:type="even" r:id="rId12"/>
          <w:footerReference w:type="default" r:id="rId13"/>
          <w:headerReference w:type="first" r:id="rId14"/>
          <w:footerReference w:type="first" r:id="rId15"/>
          <w:pgSz w:w="11907" w:h="16840"/>
          <w:pgMar w:top="1134" w:right="1417" w:bottom="1134" w:left="1417" w:header="709" w:footer="709" w:gutter="0"/>
          <w:pgNumType w:start="0"/>
          <w:cols w:space="720"/>
          <w:docGrid w:linePitch="360"/>
        </w:sectPr>
      </w:pPr>
    </w:p>
    <w:p w:rsidR="0043277E" w:rsidRDefault="000F2348">
      <w:pPr>
        <w:rPr>
          <w:rFonts w:ascii="Verdana" w:hAnsi="Verdana"/>
          <w:b/>
          <w:noProof/>
          <w:color w:val="016794"/>
          <w:sz w:val="28"/>
          <w:szCs w:val="28"/>
        </w:rPr>
      </w:pPr>
      <w:r>
        <w:rPr>
          <w:noProof/>
        </w:rPr>
        <w:br w:type="page"/>
      </w:r>
    </w:p>
    <w:p w:rsidR="0043277E" w:rsidRDefault="000F2348">
      <w:pPr>
        <w:pStyle w:val="HEADERTABLE"/>
        <w:rPr>
          <w:noProof/>
        </w:rPr>
      </w:pPr>
      <w:r>
        <w:rPr>
          <w:noProof/>
        </w:rPr>
        <w:lastRenderedPageBreak/>
        <w:t>SPIS TREŚCI</w:t>
      </w:r>
    </w:p>
    <w:p w:rsidR="0043277E" w:rsidRDefault="0043277E">
      <w:pPr>
        <w:pStyle w:val="HEADERTABLE"/>
        <w:rPr>
          <w:noProof/>
        </w:rPr>
      </w:pPr>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49418118" w:history="1">
        <w:r>
          <w:rPr>
            <w:rStyle w:val="Hyperlink"/>
            <w:noProof/>
          </w:rPr>
          <w:t>WPROWADZENIE</w:t>
        </w:r>
        <w:r>
          <w:rPr>
            <w:noProof/>
            <w:webHidden/>
          </w:rPr>
          <w:tab/>
        </w:r>
        <w:r>
          <w:rPr>
            <w:noProof/>
            <w:webHidden/>
          </w:rPr>
          <w:fldChar w:fldCharType="begin"/>
        </w:r>
        <w:r>
          <w:rPr>
            <w:noProof/>
            <w:webHidden/>
          </w:rPr>
          <w:instrText xml:space="preserve"> PAGEREF _Toc49418118 \h </w:instrText>
        </w:r>
        <w:r>
          <w:rPr>
            <w:noProof/>
            <w:webHidden/>
          </w:rPr>
        </w:r>
        <w:r>
          <w:rPr>
            <w:noProof/>
            <w:webHidden/>
          </w:rPr>
          <w:fldChar w:fldCharType="separate"/>
        </w:r>
        <w:r>
          <w:rPr>
            <w:noProof/>
            <w:webHidden/>
          </w:rPr>
          <w:t>2</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19" w:history="1">
        <w:r>
          <w:rPr>
            <w:rStyle w:val="Hyperlink"/>
            <w:noProof/>
          </w:rPr>
          <w:t>RAMY POLITYCZNE I FINANSOWE UNII EUROPEJSKIEJ, ZARZĄDZANIE I ROZLICZALNOŚĆ</w:t>
        </w:r>
        <w:r>
          <w:rPr>
            <w:noProof/>
            <w:webHidden/>
          </w:rPr>
          <w:tab/>
        </w:r>
        <w:r>
          <w:rPr>
            <w:noProof/>
            <w:webHidden/>
          </w:rPr>
          <w:fldChar w:fldCharType="begin"/>
        </w:r>
        <w:r>
          <w:rPr>
            <w:noProof/>
            <w:webHidden/>
          </w:rPr>
          <w:instrText xml:space="preserve"> PAGEREF _Toc49418119 \h </w:instrText>
        </w:r>
        <w:r>
          <w:rPr>
            <w:noProof/>
            <w:webHidden/>
          </w:rPr>
        </w:r>
        <w:r>
          <w:rPr>
            <w:noProof/>
            <w:webHidden/>
          </w:rPr>
          <w:fldChar w:fldCharType="separate"/>
        </w:r>
        <w:r>
          <w:rPr>
            <w:noProof/>
            <w:webHidden/>
          </w:rPr>
          <w:t>3</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20" w:history="1">
        <w:r>
          <w:rPr>
            <w:rStyle w:val="Hyperlink"/>
            <w:noProof/>
          </w:rPr>
          <w:t>OŚWIADCZENIE KSIĘGOWEGO DOŁĄCZONE DO SKONSOLIDOWANEGO SPRAWOZDANIA FINANSOWEGO</w:t>
        </w:r>
        <w:r>
          <w:rPr>
            <w:noProof/>
            <w:webHidden/>
          </w:rPr>
          <w:tab/>
        </w:r>
        <w:r>
          <w:rPr>
            <w:noProof/>
            <w:webHidden/>
          </w:rPr>
          <w:fldChar w:fldCharType="begin"/>
        </w:r>
        <w:r>
          <w:rPr>
            <w:noProof/>
            <w:webHidden/>
          </w:rPr>
          <w:instrText xml:space="preserve"> PAGEREF _Toc49418120 \h </w:instrText>
        </w:r>
        <w:r>
          <w:rPr>
            <w:noProof/>
            <w:webHidden/>
          </w:rPr>
        </w:r>
        <w:r>
          <w:rPr>
            <w:noProof/>
            <w:webHidden/>
          </w:rPr>
          <w:fldChar w:fldCharType="separate"/>
        </w:r>
        <w:r>
          <w:rPr>
            <w:noProof/>
            <w:webHidden/>
          </w:rPr>
          <w:t>12</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21" w:history="1">
        <w:r>
          <w:rPr>
            <w:rStyle w:val="Hyperlink"/>
            <w:noProof/>
          </w:rPr>
          <w:t>NAJWAŻNIEJSZE WYDARZENIA W ROKU BUDŻETOWYM 2019</w:t>
        </w:r>
        <w:r>
          <w:rPr>
            <w:noProof/>
            <w:webHidden/>
          </w:rPr>
          <w:tab/>
        </w:r>
        <w:r>
          <w:rPr>
            <w:noProof/>
            <w:webHidden/>
          </w:rPr>
          <w:fldChar w:fldCharType="begin"/>
        </w:r>
        <w:r>
          <w:rPr>
            <w:noProof/>
            <w:webHidden/>
          </w:rPr>
          <w:instrText xml:space="preserve"> PAGEREF _Toc49418121 \h </w:instrText>
        </w:r>
        <w:r>
          <w:rPr>
            <w:noProof/>
            <w:webHidden/>
          </w:rPr>
        </w:r>
        <w:r>
          <w:rPr>
            <w:noProof/>
            <w:webHidden/>
          </w:rPr>
          <w:fldChar w:fldCharType="separate"/>
        </w:r>
        <w:r>
          <w:rPr>
            <w:noProof/>
            <w:webHidden/>
          </w:rPr>
          <w:t>13</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22" w:history="1">
        <w:r>
          <w:rPr>
            <w:rStyle w:val="Hyperlink"/>
            <w:noProof/>
          </w:rPr>
          <w:t>SKONSOLIDOWANE SPRAWOZDANIE FINANSOWE ORAZ INFORMACJE DODATKOWE</w:t>
        </w:r>
        <w:r>
          <w:rPr>
            <w:noProof/>
            <w:webHidden/>
          </w:rPr>
          <w:tab/>
        </w:r>
        <w:r>
          <w:rPr>
            <w:noProof/>
            <w:webHidden/>
          </w:rPr>
          <w:fldChar w:fldCharType="begin"/>
        </w:r>
        <w:r>
          <w:rPr>
            <w:noProof/>
            <w:webHidden/>
          </w:rPr>
          <w:instrText xml:space="preserve"> PAGEREF _Toc49418122 \h </w:instrText>
        </w:r>
        <w:r>
          <w:rPr>
            <w:noProof/>
            <w:webHidden/>
          </w:rPr>
        </w:r>
        <w:r>
          <w:rPr>
            <w:noProof/>
            <w:webHidden/>
          </w:rPr>
          <w:fldChar w:fldCharType="separate"/>
        </w:r>
        <w:r>
          <w:rPr>
            <w:noProof/>
            <w:webHidden/>
          </w:rPr>
          <w:t>15</w:t>
        </w:r>
        <w:r>
          <w:rPr>
            <w:noProof/>
            <w:webHidden/>
          </w:rPr>
          <w:fldChar w:fldCharType="end"/>
        </w:r>
      </w:hyperlink>
    </w:p>
    <w:p w:rsidR="0043277E" w:rsidRDefault="000F2348">
      <w:pPr>
        <w:pStyle w:val="TOC2"/>
        <w:tabs>
          <w:tab w:val="right" w:leader="dot" w:pos="9017"/>
        </w:tabs>
        <w:rPr>
          <w:rFonts w:asciiTheme="minorHAnsi" w:eastAsiaTheme="minorEastAsia" w:hAnsiTheme="minorHAnsi" w:cstheme="minorBidi"/>
          <w:noProof/>
          <w:color w:val="auto"/>
          <w:szCs w:val="22"/>
          <w:lang w:eastAsia="en-US"/>
        </w:rPr>
      </w:pPr>
      <w:hyperlink w:anchor="_Toc49418123" w:history="1">
        <w:r>
          <w:rPr>
            <w:rStyle w:val="Hyperlink"/>
            <w:noProof/>
          </w:rPr>
          <w:t>BILANS</w:t>
        </w:r>
        <w:r>
          <w:rPr>
            <w:noProof/>
            <w:webHidden/>
          </w:rPr>
          <w:tab/>
        </w:r>
        <w:r>
          <w:rPr>
            <w:noProof/>
            <w:webHidden/>
          </w:rPr>
          <w:fldChar w:fldCharType="begin"/>
        </w:r>
        <w:r>
          <w:rPr>
            <w:noProof/>
            <w:webHidden/>
          </w:rPr>
          <w:instrText xml:space="preserve"> PAGEREF _Toc49418123 \h </w:instrText>
        </w:r>
        <w:r>
          <w:rPr>
            <w:noProof/>
            <w:webHidden/>
          </w:rPr>
        </w:r>
        <w:r>
          <w:rPr>
            <w:noProof/>
            <w:webHidden/>
          </w:rPr>
          <w:fldChar w:fldCharType="separate"/>
        </w:r>
        <w:r>
          <w:rPr>
            <w:noProof/>
            <w:webHidden/>
          </w:rPr>
          <w:t>17</w:t>
        </w:r>
        <w:r>
          <w:rPr>
            <w:noProof/>
            <w:webHidden/>
          </w:rPr>
          <w:fldChar w:fldCharType="end"/>
        </w:r>
      </w:hyperlink>
    </w:p>
    <w:p w:rsidR="0043277E" w:rsidRDefault="000F2348">
      <w:pPr>
        <w:pStyle w:val="TOC2"/>
        <w:tabs>
          <w:tab w:val="right" w:leader="dot" w:pos="9017"/>
        </w:tabs>
        <w:rPr>
          <w:rFonts w:asciiTheme="minorHAnsi" w:eastAsiaTheme="minorEastAsia" w:hAnsiTheme="minorHAnsi" w:cstheme="minorBidi"/>
          <w:noProof/>
          <w:color w:val="auto"/>
          <w:szCs w:val="22"/>
          <w:lang w:eastAsia="en-US"/>
        </w:rPr>
      </w:pPr>
      <w:hyperlink w:anchor="_Toc49418124" w:history="1">
        <w:r>
          <w:rPr>
            <w:rStyle w:val="Hyperlink"/>
            <w:noProof/>
          </w:rPr>
          <w:t>SPRAWOZDANIE Z FINANSOWYCH WYNIKÓW DZIAŁALNOŚCI</w:t>
        </w:r>
        <w:r>
          <w:rPr>
            <w:noProof/>
            <w:webHidden/>
          </w:rPr>
          <w:tab/>
        </w:r>
        <w:r>
          <w:rPr>
            <w:noProof/>
            <w:webHidden/>
          </w:rPr>
          <w:fldChar w:fldCharType="begin"/>
        </w:r>
        <w:r>
          <w:rPr>
            <w:noProof/>
            <w:webHidden/>
          </w:rPr>
          <w:instrText xml:space="preserve"> PAGEREF _Toc49418124 \h </w:instrText>
        </w:r>
        <w:r>
          <w:rPr>
            <w:noProof/>
            <w:webHidden/>
          </w:rPr>
        </w:r>
        <w:r>
          <w:rPr>
            <w:noProof/>
            <w:webHidden/>
          </w:rPr>
          <w:fldChar w:fldCharType="separate"/>
        </w:r>
        <w:r>
          <w:rPr>
            <w:noProof/>
            <w:webHidden/>
          </w:rPr>
          <w:t>18</w:t>
        </w:r>
        <w:r>
          <w:rPr>
            <w:noProof/>
            <w:webHidden/>
          </w:rPr>
          <w:fldChar w:fldCharType="end"/>
        </w:r>
      </w:hyperlink>
    </w:p>
    <w:p w:rsidR="0043277E" w:rsidRDefault="000F2348">
      <w:pPr>
        <w:pStyle w:val="TOC2"/>
        <w:tabs>
          <w:tab w:val="right" w:leader="dot" w:pos="9017"/>
        </w:tabs>
        <w:rPr>
          <w:rFonts w:asciiTheme="minorHAnsi" w:eastAsiaTheme="minorEastAsia" w:hAnsiTheme="minorHAnsi" w:cstheme="minorBidi"/>
          <w:noProof/>
          <w:color w:val="auto"/>
          <w:szCs w:val="22"/>
          <w:lang w:eastAsia="en-US"/>
        </w:rPr>
      </w:pPr>
      <w:hyperlink w:anchor="_Toc49418125" w:history="1">
        <w:r>
          <w:rPr>
            <w:rStyle w:val="Hyperlink"/>
            <w:noProof/>
          </w:rPr>
          <w:t>RACHUNEK PRZEPŁYWÓW PIENIĘŻNYCH</w:t>
        </w:r>
        <w:r>
          <w:rPr>
            <w:noProof/>
            <w:webHidden/>
          </w:rPr>
          <w:tab/>
        </w:r>
        <w:r>
          <w:rPr>
            <w:noProof/>
            <w:webHidden/>
          </w:rPr>
          <w:fldChar w:fldCharType="begin"/>
        </w:r>
        <w:r>
          <w:rPr>
            <w:noProof/>
            <w:webHidden/>
          </w:rPr>
          <w:instrText xml:space="preserve"> PAGEREF _Toc49418125 \h </w:instrText>
        </w:r>
        <w:r>
          <w:rPr>
            <w:noProof/>
            <w:webHidden/>
          </w:rPr>
        </w:r>
        <w:r>
          <w:rPr>
            <w:noProof/>
            <w:webHidden/>
          </w:rPr>
          <w:fldChar w:fldCharType="separate"/>
        </w:r>
        <w:r>
          <w:rPr>
            <w:noProof/>
            <w:webHidden/>
          </w:rPr>
          <w:t>19</w:t>
        </w:r>
        <w:r>
          <w:rPr>
            <w:noProof/>
            <w:webHidden/>
          </w:rPr>
          <w:fldChar w:fldCharType="end"/>
        </w:r>
      </w:hyperlink>
    </w:p>
    <w:p w:rsidR="0043277E" w:rsidRDefault="000F2348">
      <w:pPr>
        <w:pStyle w:val="TOC2"/>
        <w:tabs>
          <w:tab w:val="right" w:leader="dot" w:pos="9017"/>
        </w:tabs>
        <w:rPr>
          <w:rFonts w:asciiTheme="minorHAnsi" w:eastAsiaTheme="minorEastAsia" w:hAnsiTheme="minorHAnsi" w:cstheme="minorBidi"/>
          <w:noProof/>
          <w:color w:val="auto"/>
          <w:szCs w:val="22"/>
          <w:lang w:eastAsia="en-US"/>
        </w:rPr>
      </w:pPr>
      <w:hyperlink w:anchor="_Toc49418126" w:history="1">
        <w:r>
          <w:rPr>
            <w:rStyle w:val="Hyperlink"/>
            <w:noProof/>
          </w:rPr>
          <w:t>ZESTAWIENIE ZMIAN W AKTYWACH NETTO</w:t>
        </w:r>
        <w:r>
          <w:rPr>
            <w:noProof/>
            <w:webHidden/>
          </w:rPr>
          <w:tab/>
        </w:r>
        <w:r>
          <w:rPr>
            <w:noProof/>
            <w:webHidden/>
          </w:rPr>
          <w:fldChar w:fldCharType="begin"/>
        </w:r>
        <w:r>
          <w:rPr>
            <w:noProof/>
            <w:webHidden/>
          </w:rPr>
          <w:instrText xml:space="preserve"> PAGEREF _Toc49418126 \h </w:instrText>
        </w:r>
        <w:r>
          <w:rPr>
            <w:noProof/>
            <w:webHidden/>
          </w:rPr>
        </w:r>
        <w:r>
          <w:rPr>
            <w:noProof/>
            <w:webHidden/>
          </w:rPr>
          <w:fldChar w:fldCharType="separate"/>
        </w:r>
        <w:r>
          <w:rPr>
            <w:noProof/>
            <w:webHidden/>
          </w:rPr>
          <w:t>20</w:t>
        </w:r>
        <w:r>
          <w:rPr>
            <w:noProof/>
            <w:webHidden/>
          </w:rPr>
          <w:fldChar w:fldCharType="end"/>
        </w:r>
      </w:hyperlink>
    </w:p>
    <w:p w:rsidR="0043277E" w:rsidRDefault="000F2348">
      <w:pPr>
        <w:pStyle w:val="TOC2"/>
        <w:tabs>
          <w:tab w:val="right" w:leader="dot" w:pos="9017"/>
        </w:tabs>
        <w:rPr>
          <w:rFonts w:asciiTheme="minorHAnsi" w:eastAsiaTheme="minorEastAsia" w:hAnsiTheme="minorHAnsi" w:cstheme="minorBidi"/>
          <w:noProof/>
          <w:color w:val="auto"/>
          <w:szCs w:val="22"/>
          <w:lang w:eastAsia="en-US"/>
        </w:rPr>
      </w:pPr>
      <w:hyperlink w:anchor="_Toc49418127" w:history="1">
        <w:r>
          <w:rPr>
            <w:rStyle w:val="Hyperlink"/>
            <w:noProof/>
          </w:rPr>
          <w:t>INFORMACJA DODATKOWA DO SPRAWOZDANIA FINANSOWEGO</w:t>
        </w:r>
        <w:r>
          <w:rPr>
            <w:noProof/>
            <w:webHidden/>
          </w:rPr>
          <w:tab/>
        </w:r>
        <w:r>
          <w:rPr>
            <w:noProof/>
            <w:webHidden/>
          </w:rPr>
          <w:fldChar w:fldCharType="begin"/>
        </w:r>
        <w:r>
          <w:rPr>
            <w:noProof/>
            <w:webHidden/>
          </w:rPr>
          <w:instrText xml:space="preserve"> PAGEREF _Toc49418127 \h </w:instrText>
        </w:r>
        <w:r>
          <w:rPr>
            <w:noProof/>
            <w:webHidden/>
          </w:rPr>
        </w:r>
        <w:r>
          <w:rPr>
            <w:noProof/>
            <w:webHidden/>
          </w:rPr>
          <w:fldChar w:fldCharType="separate"/>
        </w:r>
        <w:r>
          <w:rPr>
            <w:noProof/>
            <w:webHidden/>
          </w:rPr>
          <w:t>21</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28" w:history="1">
        <w:r>
          <w:rPr>
            <w:rStyle w:val="Hyperlink"/>
            <w:noProof/>
          </w:rPr>
          <w:t>OMÓWIENIE I ANALIZA SPRAWOZDANIA FINANSOWEGO</w:t>
        </w:r>
        <w:r>
          <w:rPr>
            <w:noProof/>
            <w:webHidden/>
          </w:rPr>
          <w:tab/>
        </w:r>
        <w:r>
          <w:rPr>
            <w:noProof/>
            <w:webHidden/>
          </w:rPr>
          <w:fldChar w:fldCharType="begin"/>
        </w:r>
        <w:r>
          <w:rPr>
            <w:noProof/>
            <w:webHidden/>
          </w:rPr>
          <w:instrText xml:space="preserve"> PAGEREF _Toc49418128 \h </w:instrText>
        </w:r>
        <w:r>
          <w:rPr>
            <w:noProof/>
            <w:webHidden/>
          </w:rPr>
        </w:r>
        <w:r>
          <w:rPr>
            <w:noProof/>
            <w:webHidden/>
          </w:rPr>
          <w:fldChar w:fldCharType="separate"/>
        </w:r>
        <w:r>
          <w:rPr>
            <w:noProof/>
            <w:webHidden/>
          </w:rPr>
          <w:t>126</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29" w:history="1">
        <w:r>
          <w:rPr>
            <w:rStyle w:val="Hyperlink"/>
            <w:noProof/>
          </w:rPr>
          <w:t>SPRAWOZDANIA Z WYKONANIA BUDŻETU ORAZ INFORMACJE DODATKOWE</w:t>
        </w:r>
        <w:r>
          <w:rPr>
            <w:noProof/>
            <w:webHidden/>
          </w:rPr>
          <w:tab/>
        </w:r>
        <w:r>
          <w:rPr>
            <w:noProof/>
            <w:webHidden/>
          </w:rPr>
          <w:fldChar w:fldCharType="begin"/>
        </w:r>
        <w:r>
          <w:rPr>
            <w:noProof/>
            <w:webHidden/>
          </w:rPr>
          <w:instrText xml:space="preserve"> PAGEREF </w:instrText>
        </w:r>
        <w:r>
          <w:rPr>
            <w:noProof/>
            <w:webHidden/>
          </w:rPr>
          <w:instrText xml:space="preserve">_Toc49418129 \h </w:instrText>
        </w:r>
        <w:r>
          <w:rPr>
            <w:noProof/>
            <w:webHidden/>
          </w:rPr>
        </w:r>
        <w:r>
          <w:rPr>
            <w:noProof/>
            <w:webHidden/>
          </w:rPr>
          <w:fldChar w:fldCharType="separate"/>
        </w:r>
        <w:r>
          <w:rPr>
            <w:noProof/>
            <w:webHidden/>
          </w:rPr>
          <w:t>143</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30" w:history="1">
        <w:r>
          <w:rPr>
            <w:rStyle w:val="Hyperlink"/>
            <w:noProof/>
          </w:rPr>
          <w:t>GLOSARIUSZ</w:t>
        </w:r>
        <w:r>
          <w:rPr>
            <w:noProof/>
            <w:webHidden/>
          </w:rPr>
          <w:tab/>
        </w:r>
        <w:r>
          <w:rPr>
            <w:noProof/>
            <w:webHidden/>
          </w:rPr>
          <w:fldChar w:fldCharType="begin"/>
        </w:r>
        <w:r>
          <w:rPr>
            <w:noProof/>
            <w:webHidden/>
          </w:rPr>
          <w:instrText xml:space="preserve"> PAGEREF _Toc49418130 \h </w:instrText>
        </w:r>
        <w:r>
          <w:rPr>
            <w:noProof/>
            <w:webHidden/>
          </w:rPr>
        </w:r>
        <w:r>
          <w:rPr>
            <w:noProof/>
            <w:webHidden/>
          </w:rPr>
          <w:fldChar w:fldCharType="separate"/>
        </w:r>
        <w:r>
          <w:rPr>
            <w:noProof/>
            <w:webHidden/>
          </w:rPr>
          <w:t>211</w:t>
        </w:r>
        <w:r>
          <w:rPr>
            <w:noProof/>
            <w:webHidden/>
          </w:rPr>
          <w:fldChar w:fldCharType="end"/>
        </w:r>
      </w:hyperlink>
    </w:p>
    <w:p w:rsidR="0043277E" w:rsidRDefault="000F2348">
      <w:pPr>
        <w:pStyle w:val="TOC1"/>
        <w:tabs>
          <w:tab w:val="right" w:leader="dot" w:pos="9017"/>
        </w:tabs>
        <w:rPr>
          <w:rFonts w:asciiTheme="minorHAnsi" w:eastAsiaTheme="minorEastAsia" w:hAnsiTheme="minorHAnsi" w:cstheme="minorBidi"/>
          <w:noProof/>
          <w:color w:val="auto"/>
          <w:szCs w:val="22"/>
          <w:lang w:eastAsia="en-US"/>
        </w:rPr>
      </w:pPr>
      <w:hyperlink w:anchor="_Toc49418131" w:history="1">
        <w:r>
          <w:rPr>
            <w:rStyle w:val="Hyperlink"/>
            <w:noProof/>
          </w:rPr>
          <w:t>WYKAZ SKRÓTÓW</w:t>
        </w:r>
        <w:r>
          <w:rPr>
            <w:noProof/>
            <w:webHidden/>
          </w:rPr>
          <w:tab/>
        </w:r>
        <w:r>
          <w:rPr>
            <w:noProof/>
            <w:webHidden/>
          </w:rPr>
          <w:fldChar w:fldCharType="begin"/>
        </w:r>
        <w:r>
          <w:rPr>
            <w:noProof/>
            <w:webHidden/>
          </w:rPr>
          <w:instrText xml:space="preserve"> PAGEREF _Toc49418131 \h </w:instrText>
        </w:r>
        <w:r>
          <w:rPr>
            <w:noProof/>
            <w:webHidden/>
          </w:rPr>
        </w:r>
        <w:r>
          <w:rPr>
            <w:noProof/>
            <w:webHidden/>
          </w:rPr>
          <w:fldChar w:fldCharType="separate"/>
        </w:r>
        <w:r>
          <w:rPr>
            <w:noProof/>
            <w:webHidden/>
          </w:rPr>
          <w:t>215</w:t>
        </w:r>
        <w:r>
          <w:rPr>
            <w:noProof/>
            <w:webHidden/>
          </w:rPr>
          <w:fldChar w:fldCharType="end"/>
        </w:r>
      </w:hyperlink>
    </w:p>
    <w:p w:rsidR="0043277E" w:rsidRDefault="000F2348">
      <w:pPr>
        <w:pStyle w:val="Textstand-alone"/>
        <w:sectPr w:rsidR="0043277E">
          <w:headerReference w:type="even" r:id="rId16"/>
          <w:headerReference w:type="default" r:id="rId17"/>
          <w:footerReference w:type="even" r:id="rId18"/>
          <w:footerReference w:type="default" r:id="rId19"/>
          <w:headerReference w:type="first" r:id="rId20"/>
          <w:footerReference w:type="first" r:id="rId21"/>
          <w:type w:val="continuous"/>
          <w:pgSz w:w="11907" w:h="16840"/>
          <w:pgMar w:top="1440" w:right="1440" w:bottom="1440" w:left="1440" w:header="708" w:footer="708" w:gutter="0"/>
          <w:cols w:space="708"/>
          <w:docGrid w:linePitch="360"/>
        </w:sectPr>
      </w:pPr>
      <w:r>
        <w:rPr>
          <w:caps/>
          <w:color w:val="016894"/>
          <w:sz w:val="20"/>
          <w:szCs w:val="24"/>
        </w:rPr>
        <w:fldChar w:fldCharType="end"/>
      </w:r>
      <w:r>
        <w:rPr>
          <w:caps/>
          <w:color w:val="016894"/>
          <w:sz w:val="20"/>
          <w:szCs w:val="24"/>
        </w:rPr>
        <w:t xml:space="preserve"> </w:t>
      </w:r>
      <w:bookmarkEnd w:id="1"/>
    </w:p>
    <w:p w:rsidR="0043277E" w:rsidRDefault="000F2348">
      <w:pPr>
        <w:pStyle w:val="FIRSTCHAPTERPAGE"/>
        <w:rPr>
          <w:noProof/>
        </w:rPr>
      </w:pPr>
      <w:bookmarkStart w:id="3" w:name="_Toc49418118"/>
      <w:bookmarkStart w:id="4" w:name="_DMBM_17259"/>
      <w:r>
        <w:rPr>
          <w:noProof/>
        </w:rPr>
        <w:lastRenderedPageBreak/>
        <w:t>WPROWADZENIE</w:t>
      </w:r>
      <w:bookmarkEnd w:id="3"/>
    </w:p>
    <w:p w:rsidR="0043277E" w:rsidRDefault="000F2348">
      <w:pPr>
        <w:pStyle w:val="DGTextstand-alone"/>
        <w:spacing w:before="0"/>
      </w:pPr>
      <w:r>
        <w:rPr>
          <w:rFonts w:ascii="EC Square Sans Cond Pro" w:hAnsi="EC Square Sans Cond Pro"/>
          <w:sz w:val="20"/>
          <w:szCs w:val="16"/>
          <w:lang w:eastAsia="pl-PL"/>
        </w:rPr>
        <w:drawing>
          <wp:anchor distT="0" distB="0" distL="114300" distR="114300" simplePos="0" relativeHeight="251670528" behindDoc="0" locked="0" layoutInCell="1" allowOverlap="0">
            <wp:simplePos x="0" y="0"/>
            <wp:positionH relativeFrom="margin">
              <wp:posOffset>0</wp:posOffset>
            </wp:positionH>
            <wp:positionV relativeFrom="paragraph">
              <wp:posOffset>293370</wp:posOffset>
            </wp:positionV>
            <wp:extent cx="1393200" cy="139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310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93200" cy="1393200"/>
                    </a:xfrm>
                    <a:prstGeom prst="rect">
                      <a:avLst/>
                    </a:prstGeom>
                    <a:noFill/>
                  </pic:spPr>
                </pic:pic>
              </a:graphicData>
            </a:graphic>
            <wp14:sizeRelH relativeFrom="margin">
              <wp14:pctWidth>0</wp14:pctWidth>
            </wp14:sizeRelH>
            <wp14:sizeRelV relativeFrom="margin">
              <wp14:pctHeight>0</wp14:pctHeight>
            </wp14:sizeRelV>
          </wp:anchor>
        </w:drawing>
      </w:r>
    </w:p>
    <w:p w:rsidR="0043277E" w:rsidRDefault="000F2348">
      <w:pPr>
        <w:pStyle w:val="DGTextstand-alone"/>
      </w:pPr>
      <w:r>
        <w:t xml:space="preserve">Mam przyjemność przedstawić roczne sprawozdanie finansowe Unii Europejskiej za rok 2019. Sprawozdanie zawiera pełny przegląd finansów UE i stan wykonania budżetu UE za ostatni rok, w tym informacje na temat zobowiązań warunkowych, zobowiązań finansowych i </w:t>
      </w:r>
      <w:r>
        <w:t>innych zobowiązań Unii. Sprawozdanie finansowe odzwierciedla wieloletni charakter działań Unii oraz zawiera wyjaśnienia dotyczące najważniejszych danych finansowych i ich zmian. Skonsolidowane roczne sprawozdanie finansowe Unii Europejskiej wchodzi w skład</w:t>
      </w:r>
      <w:r>
        <w:t xml:space="preserve"> </w:t>
      </w:r>
      <w:r>
        <w:rPr>
          <w:b/>
        </w:rPr>
        <w:t>zintegrowanego pakietu sprawozdawczości finansowej i sprawozdawczości w zakresie rozliczalności Komisji</w:t>
      </w:r>
      <w:r>
        <w:t>, i stanowi podstawowy element naszego rozwiniętego systemu rozliczalności finansowej.</w:t>
      </w:r>
    </w:p>
    <w:p w:rsidR="0043277E" w:rsidRDefault="000F2348">
      <w:pPr>
        <w:pStyle w:val="DGTextstand-alone"/>
      </w:pPr>
      <w:r>
        <w:t>Po raz kolejny okazało się, że budżet UE oznacza wartość dodaną d</w:t>
      </w:r>
      <w:r>
        <w:t xml:space="preserve">la obywateli, przedsiębiorstw i regionów: mimo ograniczonej kwoty, stanowiącej około 2 % wszystkich wydatków publicznych w Unii, uzupełnia on budżety państw członkowskich i wspiera nasze wspólne priorytety polityczne. </w:t>
      </w:r>
    </w:p>
    <w:p w:rsidR="0043277E" w:rsidRDefault="000F2348">
      <w:pPr>
        <w:pStyle w:val="DGTextstand-alone"/>
      </w:pPr>
      <w:r>
        <w:t>Budżet na 2019 r. był przedostatnim b</w:t>
      </w:r>
      <w:r>
        <w:t>udżetem w ramach bieżących wieloletnich ram finansowych (WRF). Sprawnie wdrażano prawie wszystkie programy; wyjątkiem były nowe programy, takie jak Europejski program rozwoju przemysłu obronnego czy działania, w przypadku których proces ustawodawczy zakońc</w:t>
      </w:r>
      <w:r>
        <w:t xml:space="preserve">zył się w ostatnim czasie. Wykonanie budżetu UE r. wyniosło ogółem 178,8 mld EUR w środkach na zobowiązania i 159,1 mld EUR w środkach na płatności. </w:t>
      </w:r>
    </w:p>
    <w:p w:rsidR="0043277E" w:rsidRDefault="000F2348">
      <w:pPr>
        <w:pStyle w:val="DGTextstand-alone"/>
      </w:pPr>
      <w:r>
        <w:t>Zgodnie z wnioskiem Komisji Europejskiej z maja 2018 r. znaczną część budżetu na 2019 r. przeznaczono na p</w:t>
      </w:r>
      <w:r>
        <w:t>rogramy mające na celu stymulację tworzenia nowych miejsc pracy, zwłaszcza dla osób młodych, oraz pobudzenie wzrostu gospodarczego, inwestycji strategicznych i procesu konwergencji. Ponadto UE dalej wspierała działania służące skutecznemu podejmowaniu wyzw</w:t>
      </w:r>
      <w:r>
        <w:t>ań związanych z migracją, zarówno wewnątrz UE, jak i poza jej granicami.</w:t>
      </w: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0F2348">
      <w:pPr>
        <w:pStyle w:val="DGTextstand-alone"/>
      </w:pPr>
      <w:r>
        <w:t>Środki na rzecz wspierania wzrostu gospodarczego i zmniejszania różnic gospodarczych między regionami wyniosły niemal połowę zaangażowanych funduszy. W ramach finansowania unijnego</w:t>
      </w:r>
      <w:r>
        <w:t xml:space="preserve"> przeznaczono 12,4 mld EUR na badania naukowe i innowacje w ramach programu „Horyzont 2020”, m.in. w dziedzinie obliczeń wielkiej skali. Również w innych dziedzinach budżet okazał się inwestycją na przyszłość: zapewnił wzrost wydatków na kształcenie i szko</w:t>
      </w:r>
      <w:r>
        <w:t>lenie o 20 % w porównaniu z 2018 r. w przypadku programu Erasmus+ i o 37 % w przypadku instrumentu „Łącząc Europę”, który wspiera infrastrukturę transportową i cyfrową. Wsparcie dla rolnictwa i obszarów wiejskich pozostało stabilne na poziomie 57,9 mld EUR</w:t>
      </w:r>
      <w:r>
        <w:t>, przyczyniając się również do przeciwdziałania zmianie klimatu oraz do propagowania trwałego wzrostu gospodarczego.</w:t>
      </w:r>
    </w:p>
    <w:p w:rsidR="0043277E" w:rsidRDefault="000F2348">
      <w:pPr>
        <w:pStyle w:val="DGTextstand-alone"/>
      </w:pPr>
      <w:r>
        <w:t>W budżecie na 2019 r. zapewniono niezbędną elastyczność pozwalającą zająć się wewnętrznym aspektem problemów związanych z migracją – przezn</w:t>
      </w:r>
      <w:r>
        <w:t xml:space="preserve">aczono łącznie 1,2 mld EUR na wsparcie Funduszu Azylu, Migracji i Integracji oraz 533 mln EUR na zarządzanie granicami i bezpieczeństwo granic z Funduszu Bezpieczeństwa Wewnętrznego. Przeznaczono również łączną kwotę 5 mln EUR na utworzenie nowego urzędu, </w:t>
      </w:r>
      <w:r>
        <w:t>Prokuratury Europejskiej, do celów ścigania przestępstw przeciwko budżetowi UE, w tym oszustw, prania pieniędzy i korupcji.</w:t>
      </w:r>
    </w:p>
    <w:p w:rsidR="0043277E" w:rsidRDefault="000F2348">
      <w:pPr>
        <w:pStyle w:val="DGTextstand-alone"/>
      </w:pPr>
      <w:r>
        <w:t>Jeszcze przed nastaniem kryzysu związanego z COVID-19 budżet UE na 2019 r. ukazał znaczenie funkcjonowania wieloletnich ram finansow</w:t>
      </w:r>
      <w:r>
        <w:t>ych, które zapewniają niezbędne środki i elastyczność, aby działać i reagować w obliczu nadchodzących wyzwań. Ta elastyczność będzie odgrywać istotną rolę również w kolejnych wieloletnich ramach finansowych, które są najważniejszym elementem planu odbudowy</w:t>
      </w:r>
      <w:r>
        <w:t xml:space="preserve"> dla Europy. </w:t>
      </w:r>
    </w:p>
    <w:p w:rsidR="0043277E" w:rsidRDefault="000F2348">
      <w:pPr>
        <w:pStyle w:val="DGTextstand-alone"/>
      </w:pPr>
      <w:r>
        <w:t xml:space="preserve">Skonsolidowane roczne sprawozdanie finansowe Unii Europejskiej sporządza się zgodnie z </w:t>
      </w:r>
      <w:r>
        <w:rPr>
          <w:b/>
        </w:rPr>
        <w:t>Międzynarodowymi Standardami Rachunkowości Sektora Publicznego</w:t>
      </w:r>
      <w:r>
        <w:t>. Aby utrzymać te standardy Komisja nieustannie ulepsza swoje zasady i procedury, strukturę organizacyjną oraz elastyczność. Spójna i skuteczna sprawozdawczość zapewnia zgodność prawną, a także zwiększa stopień rozliczalności wydatków UE. Ułatwia ona współ</w:t>
      </w:r>
      <w:r>
        <w:t xml:space="preserve">pracę z obywatelami i innymi zainteresowanymi stronami oraz utrzymanie ich zaufania do Unii Europejskiej. </w:t>
      </w:r>
    </w:p>
    <w:p w:rsidR="0043277E" w:rsidRDefault="000F2348">
      <w:pPr>
        <w:pStyle w:val="DGTextstand-alone"/>
        <w:rPr>
          <w:b/>
        </w:rPr>
      </w:pPr>
      <w:r>
        <w:rPr>
          <w:b/>
        </w:rPr>
        <w:t>Johannes Hahn</w:t>
      </w:r>
    </w:p>
    <w:p w:rsidR="0043277E" w:rsidRDefault="000F2348">
      <w:pPr>
        <w:pStyle w:val="DGTextstand-alone"/>
        <w:spacing w:before="0"/>
        <w:jc w:val="left"/>
        <w:rPr>
          <w:b/>
        </w:rPr>
      </w:pPr>
      <w:r>
        <w:rPr>
          <w:b/>
        </w:rPr>
        <w:t>Komisarz ds. budżetu i zasobów ludzkich</w:t>
      </w:r>
    </w:p>
    <w:bookmarkEnd w:id="4"/>
    <w:p w:rsidR="0043277E" w:rsidRDefault="0043277E">
      <w:pPr>
        <w:pStyle w:val="DGTextstand-alone"/>
        <w:spacing w:before="0"/>
        <w:jc w:val="left"/>
        <w:rPr>
          <w:b/>
        </w:rPr>
        <w:sectPr w:rsidR="0043277E">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num="2" w:space="708"/>
          <w:docGrid w:linePitch="360"/>
        </w:sectPr>
      </w:pPr>
    </w:p>
    <w:p w:rsidR="0043277E" w:rsidRDefault="000F2348">
      <w:pPr>
        <w:pStyle w:val="FIRSTCHAPTERPAGE"/>
        <w:spacing w:after="480"/>
        <w:rPr>
          <w:noProof/>
        </w:rPr>
      </w:pPr>
      <w:bookmarkStart w:id="5" w:name="_Toc49418119"/>
      <w:bookmarkStart w:id="6" w:name="_DMBM_17111"/>
      <w:r>
        <w:rPr>
          <w:noProof/>
        </w:rPr>
        <w:lastRenderedPageBreak/>
        <w:t>RAMY POLITYCZNE I FINANSOWE UNII EUROPEJSKIEJ, ZARZĄDZANIE I ROZLICZALNOŚĆ</w:t>
      </w:r>
      <w:bookmarkEnd w:id="5"/>
    </w:p>
    <w:p w:rsidR="0043277E" w:rsidRDefault="000F2348">
      <w:pPr>
        <w:pStyle w:val="DGTextstand-alone"/>
      </w:pPr>
      <w:r>
        <w:t>Unia Europejska (UE) jest unią, której państwa członkowskie przyznają kompetencje do osiągnięcia ich wspólnych celów. Unia opiera się na wartościach poszanowa</w:t>
      </w:r>
      <w:r>
        <w:t>nia godności osoby ludzkiej, wolności, demokracji, równości, praworządności, jak również poszanowania praw człowieka, w tym praw osób należących do mniejszości. Wartości te są wspólne państwom członkowskim w społeczeństwie opartym na pluralizmie, niedyskry</w:t>
      </w:r>
      <w:r>
        <w:t>minacji, tolerancji, sprawiedliwości, solidarności oraz na równości kobiet i mężczyzn.</w:t>
      </w:r>
    </w:p>
    <w:p w:rsidR="0043277E" w:rsidRDefault="000F2348">
      <w:pPr>
        <w:pStyle w:val="HEADER1Part1"/>
        <w:rPr>
          <w:noProof/>
        </w:rPr>
      </w:pPr>
      <w:r>
        <w:rPr>
          <w:noProof/>
        </w:rPr>
        <w:t>RAMY POLITYCZNE I FINANSOWE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43277E">
        <w:trPr>
          <w:trHeight w:val="907"/>
        </w:trPr>
        <w:tc>
          <w:tcPr>
            <w:tcW w:w="2518" w:type="dxa"/>
            <w:shd w:val="clear" w:color="auto" w:fill="0070C0"/>
            <w:vAlign w:val="center"/>
          </w:tcPr>
          <w:p w:rsidR="0043277E" w:rsidRDefault="000F2348">
            <w:pPr>
              <w:tabs>
                <w:tab w:val="left" w:pos="426"/>
                <w:tab w:val="left" w:pos="907"/>
                <w:tab w:val="left" w:pos="8647"/>
              </w:tabs>
              <w:jc w:val="center"/>
              <w:rPr>
                <w:rFonts w:ascii="Verdana" w:hAnsi="Verdana"/>
                <w:b/>
                <w:noProof/>
                <w:sz w:val="18"/>
                <w:szCs w:val="18"/>
              </w:rPr>
            </w:pPr>
            <w:r>
              <w:rPr>
                <w:rFonts w:ascii="Verdana" w:hAnsi="Verdana"/>
                <w:b/>
                <w:noProof/>
                <w:color w:val="FFFFFF" w:themeColor="background1"/>
                <w:sz w:val="18"/>
                <w:szCs w:val="18"/>
              </w:rPr>
              <w:t>Traktaty UE</w:t>
            </w:r>
          </w:p>
        </w:tc>
        <w:tc>
          <w:tcPr>
            <w:tcW w:w="7260" w:type="dxa"/>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Nadrzędne cele i zasady, którymi kierują się Unia i instytucje europejskie, określono w </w:t>
            </w:r>
            <w:r>
              <w:rPr>
                <w:rFonts w:ascii="Verdana" w:hAnsi="Verdana"/>
                <w:noProof/>
                <w:color w:val="016794"/>
                <w:sz w:val="18"/>
                <w:szCs w:val="18"/>
              </w:rPr>
              <w:t>Traktatach</w:t>
            </w:r>
            <w:r>
              <w:rPr>
                <w:rFonts w:ascii="Verdana" w:hAnsi="Verdana"/>
                <w:noProof/>
                <w:sz w:val="18"/>
                <w:szCs w:val="18"/>
              </w:rPr>
              <w:t>. Unia i instytucje Unii mogą d</w:t>
            </w:r>
            <w:r>
              <w:rPr>
                <w:rFonts w:ascii="Verdana" w:hAnsi="Verdana"/>
                <w:noProof/>
                <w:sz w:val="18"/>
                <w:szCs w:val="18"/>
              </w:rPr>
              <w:t>ziałać wyłącznie w granicach kompetencji przyznanych im na mocy traktatów na potrzeby osiągnięcia celów określonych w tych Traktatach, przy czym muszą czynić to</w:t>
            </w:r>
          </w:p>
        </w:tc>
      </w:tr>
      <w:tr w:rsidR="0043277E">
        <w:tc>
          <w:tcPr>
            <w:tcW w:w="9778" w:type="dxa"/>
            <w:gridSpan w:val="2"/>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sz w:val="18"/>
                <w:szCs w:val="18"/>
              </w:rPr>
              <w:t>zgodnie z zasadami</w:t>
            </w:r>
            <w:r>
              <w:rPr>
                <w:rStyle w:val="FootnoteReference"/>
                <w:rFonts w:ascii="Verdana" w:hAnsi="Verdana"/>
                <w:noProof/>
                <w:sz w:val="18"/>
                <w:szCs w:val="18"/>
                <w:lang w:eastAsia="en-US"/>
              </w:rPr>
              <w:footnoteReference w:id="1"/>
            </w:r>
            <w:r>
              <w:rPr>
                <w:rFonts w:ascii="Verdana" w:hAnsi="Verdana"/>
                <w:noProof/>
                <w:sz w:val="18"/>
                <w:szCs w:val="18"/>
              </w:rPr>
              <w:t xml:space="preserve"> pomocniczości i proporcjonalności. Aby osiągnąć cele i realizować kierunki swojej polityki, Unia zapewnia sobie niezbędne środki finansowe. Komisja odpowiada za propagowanie ogólnego interesu Unii, co obejmuje wykonanie budżetu i zarządzanie programami we</w:t>
            </w:r>
            <w:r>
              <w:rPr>
                <w:rFonts w:ascii="Verdana" w:hAnsi="Verdana"/>
                <w:noProof/>
                <w:sz w:val="18"/>
                <w:szCs w:val="18"/>
              </w:rPr>
              <w:t xml:space="preserve"> współpracy z państwami członkowskimi oraz zgodnie z zasadą należytego zarządzania finansami.</w:t>
            </w:r>
          </w:p>
        </w:tc>
      </w:tr>
    </w:tbl>
    <w:p w:rsidR="0043277E" w:rsidRDefault="000F2348">
      <w:pPr>
        <w:tabs>
          <w:tab w:val="left" w:pos="426"/>
          <w:tab w:val="left" w:pos="907"/>
          <w:tab w:val="left" w:pos="8647"/>
        </w:tabs>
        <w:spacing w:before="240" w:after="240"/>
        <w:jc w:val="both"/>
        <w:rPr>
          <w:rFonts w:ascii="Verdana" w:hAnsi="Verdana"/>
          <w:noProof/>
          <w:sz w:val="18"/>
          <w:szCs w:val="18"/>
        </w:rPr>
      </w:pPr>
      <w:r>
        <w:rPr>
          <w:rFonts w:ascii="Verdana" w:hAnsi="Verdana"/>
          <w:noProof/>
          <w:sz w:val="18"/>
          <w:szCs w:val="18"/>
        </w:rPr>
        <w:t>UE realizuje cele ustanowione w Traktacie za pomocą szeregu narzędzi, jednym z których jest budżet UE. Pozostałe narzędzia to na przykład wspólne ramy legislacyj</w:t>
      </w:r>
      <w:r>
        <w:rPr>
          <w:rFonts w:ascii="Verdana" w:hAnsi="Verdana"/>
          <w:noProof/>
          <w:sz w:val="18"/>
          <w:szCs w:val="18"/>
        </w:rPr>
        <w:t>ne lub wspólne strategie polityczne.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43277E">
        <w:tc>
          <w:tcPr>
            <w:tcW w:w="2518" w:type="dxa"/>
            <w:shd w:val="clear" w:color="auto" w:fill="00B050"/>
          </w:tcPr>
          <w:p w:rsidR="0043277E" w:rsidRDefault="000F2348">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br/>
              <w:t>Priorytety polityczne Komisji</w:t>
            </w:r>
          </w:p>
          <w:p w:rsidR="0043277E" w:rsidRDefault="0043277E">
            <w:pPr>
              <w:tabs>
                <w:tab w:val="left" w:pos="426"/>
                <w:tab w:val="left" w:pos="907"/>
                <w:tab w:val="left" w:pos="8647"/>
              </w:tabs>
              <w:jc w:val="center"/>
              <w:rPr>
                <w:rFonts w:ascii="Verdana" w:hAnsi="Verdana"/>
                <w:b/>
                <w:noProof/>
                <w:sz w:val="18"/>
                <w:szCs w:val="18"/>
                <w:lang w:eastAsia="en-US"/>
              </w:rPr>
            </w:pPr>
          </w:p>
        </w:tc>
        <w:tc>
          <w:tcPr>
            <w:tcW w:w="7260" w:type="dxa"/>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color w:val="016794"/>
                <w:sz w:val="18"/>
                <w:szCs w:val="18"/>
              </w:rPr>
              <w:t>Priorytety polityczne Komisji</w:t>
            </w:r>
            <w:r>
              <w:rPr>
                <w:rFonts w:ascii="Verdana" w:hAnsi="Verdana"/>
                <w:noProof/>
                <w:sz w:val="18"/>
                <w:szCs w:val="18"/>
              </w:rPr>
              <w:t xml:space="preserve"> są określane w wytycznych politycznych przewodniczącego Komisji. Komisja, która objęła urząd w dniu 1 grudnia 2019 r., pod przewodnictwem Ursuli von der Leyen skoncentruje się na następujących sześciu naczelnych celach:</w:t>
            </w:r>
          </w:p>
        </w:tc>
      </w:tr>
    </w:tbl>
    <w:p w:rsidR="0043277E" w:rsidRDefault="0043277E">
      <w:pPr>
        <w:tabs>
          <w:tab w:val="left" w:pos="426"/>
          <w:tab w:val="left" w:pos="907"/>
          <w:tab w:val="left" w:pos="8647"/>
        </w:tabs>
        <w:jc w:val="both"/>
        <w:rPr>
          <w:rFonts w:ascii="Verdana" w:hAnsi="Verdana"/>
          <w:noProof/>
          <w:sz w:val="18"/>
          <w:szCs w:val="18"/>
          <w:lang w:eastAsia="en-US"/>
        </w:rPr>
      </w:pPr>
    </w:p>
    <w:p w:rsidR="0043277E" w:rsidRDefault="000F2348">
      <w:pPr>
        <w:tabs>
          <w:tab w:val="left" w:pos="426"/>
          <w:tab w:val="left" w:pos="907"/>
          <w:tab w:val="left" w:pos="8647"/>
        </w:tabs>
        <w:spacing w:after="240"/>
        <w:ind w:right="-22"/>
        <w:jc w:val="both"/>
        <w:rPr>
          <w:rFonts w:ascii="Verdana" w:hAnsi="Verdana"/>
          <w:noProof/>
          <w:color w:val="016794"/>
          <w:sz w:val="18"/>
          <w:szCs w:val="18"/>
        </w:rPr>
      </w:pPr>
      <w:r>
        <w:rPr>
          <w:rFonts w:ascii="Verdana" w:hAnsi="Verdana"/>
          <w:noProof/>
          <w:color w:val="016794"/>
          <w:sz w:val="18"/>
          <w:szCs w:val="18"/>
        </w:rPr>
        <w:t>6 NACZELNYCH CELÓW</w:t>
      </w:r>
    </w:p>
    <w:tbl>
      <w:tblPr>
        <w:tblW w:w="9639" w:type="dxa"/>
        <w:tblLayout w:type="fixed"/>
        <w:tblCellMar>
          <w:left w:w="0" w:type="dxa"/>
          <w:right w:w="0" w:type="dxa"/>
        </w:tblCellMar>
        <w:tblLook w:val="04A0" w:firstRow="1" w:lastRow="0" w:firstColumn="1" w:lastColumn="0" w:noHBand="0" w:noVBand="1"/>
      </w:tblPr>
      <w:tblGrid>
        <w:gridCol w:w="1260"/>
        <w:gridCol w:w="105"/>
        <w:gridCol w:w="8274"/>
      </w:tblGrid>
      <w:tr w:rsidR="0043277E">
        <w:tc>
          <w:tcPr>
            <w:tcW w:w="1260" w:type="dxa"/>
            <w:shd w:val="clear" w:color="auto" w:fill="auto"/>
            <w:vAlign w:val="center"/>
          </w:tcPr>
          <w:p w:rsidR="0043277E" w:rsidRDefault="000F2348">
            <w:pPr>
              <w:jc w:val="center"/>
              <w:rPr>
                <w:rFonts w:ascii="Verdana" w:hAnsi="Verdana"/>
                <w:b/>
                <w:noProof/>
                <w:sz w:val="18"/>
                <w:szCs w:val="18"/>
              </w:rPr>
            </w:pPr>
            <w:r>
              <w:rPr>
                <w:noProof/>
                <w:lang w:eastAsia="pl-PL"/>
              </w:rPr>
              <w:drawing>
                <wp:inline distT="0" distB="0" distL="0" distR="0">
                  <wp:extent cx="756000" cy="442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694" name=""/>
                          <pic:cNvPicPr/>
                        </pic:nvPicPr>
                        <pic:blipFill>
                          <a:blip r:embed="rId29"/>
                          <a:srcRect l="13605" t="1125" r="17871" b="1125"/>
                          <a:stretch>
                            <a:fillRect/>
                          </a:stretch>
                        </pic:blipFill>
                        <pic:spPr bwMode="auto">
                          <a:xfrm>
                            <a:off x="0" y="0"/>
                            <a:ext cx="756000" cy="442800"/>
                          </a:xfrm>
                          <a:prstGeom prst="rect">
                            <a:avLst/>
                          </a:prstGeom>
                          <a:ln>
                            <a:noFill/>
                          </a:ln>
                          <a:extLst>
                            <a:ext uri="{53640926-AAD7-44D8-BBD7-CCE9431645EC}">
                              <a14:shadowObscured xmlns:a14="http://schemas.microsoft.com/office/drawing/2010/main"/>
                            </a:ext>
                          </a:extLst>
                        </pic:spPr>
                      </pic:pic>
                    </a:graphicData>
                  </a:graphic>
                </wp:inline>
              </w:drawing>
            </w:r>
          </w:p>
        </w:tc>
        <w:tc>
          <w:tcPr>
            <w:tcW w:w="105" w:type="dxa"/>
          </w:tcPr>
          <w:p w:rsidR="0043277E" w:rsidRDefault="0043277E">
            <w:pPr>
              <w:spacing w:after="60"/>
              <w:jc w:val="both"/>
              <w:rPr>
                <w:rFonts w:ascii="Verdana" w:hAnsi="Verdana"/>
                <w:noProof/>
                <w:sz w:val="18"/>
                <w:szCs w:val="18"/>
                <w:lang w:eastAsia="en-US"/>
              </w:rPr>
            </w:pPr>
          </w:p>
        </w:tc>
        <w:tc>
          <w:tcPr>
            <w:tcW w:w="8274" w:type="dxa"/>
          </w:tcPr>
          <w:p w:rsidR="0043277E" w:rsidRDefault="000F2348">
            <w:pPr>
              <w:spacing w:after="60"/>
              <w:jc w:val="both"/>
              <w:rPr>
                <w:rFonts w:ascii="Verdana" w:hAnsi="Verdana"/>
                <w:noProof/>
                <w:color w:val="016794"/>
                <w:sz w:val="18"/>
                <w:szCs w:val="18"/>
              </w:rPr>
            </w:pPr>
            <w:r>
              <w:rPr>
                <w:rFonts w:ascii="Verdana" w:hAnsi="Verdana"/>
                <w:noProof/>
                <w:color w:val="016794"/>
                <w:sz w:val="18"/>
                <w:szCs w:val="18"/>
              </w:rPr>
              <w:t xml:space="preserve">Europejski </w:t>
            </w:r>
            <w:r>
              <w:rPr>
                <w:rFonts w:ascii="Verdana" w:hAnsi="Verdana"/>
                <w:noProof/>
                <w:color w:val="016794"/>
                <w:sz w:val="18"/>
                <w:szCs w:val="18"/>
              </w:rPr>
              <w:t>Zielony Ład</w:t>
            </w:r>
          </w:p>
          <w:p w:rsidR="0043277E" w:rsidRDefault="000F2348">
            <w:pPr>
              <w:jc w:val="both"/>
              <w:rPr>
                <w:rFonts w:ascii="Verdana" w:hAnsi="Verdana"/>
                <w:noProof/>
                <w:sz w:val="18"/>
                <w:szCs w:val="18"/>
              </w:rPr>
            </w:pPr>
            <w:r>
              <w:rPr>
                <w:rFonts w:ascii="Verdana" w:hAnsi="Verdana"/>
                <w:noProof/>
                <w:sz w:val="18"/>
                <w:szCs w:val="18"/>
              </w:rPr>
              <w:t>– Aspirowanie do miana pierwszego kontynentu neutralnego dla klimatu</w:t>
            </w:r>
          </w:p>
        </w:tc>
      </w:tr>
      <w:tr w:rsidR="0043277E">
        <w:trPr>
          <w:trHeight w:val="57"/>
        </w:trPr>
        <w:tc>
          <w:tcPr>
            <w:tcW w:w="1260" w:type="dxa"/>
            <w:shd w:val="clear" w:color="auto" w:fill="auto"/>
            <w:vAlign w:val="center"/>
          </w:tcPr>
          <w:p w:rsidR="0043277E" w:rsidRDefault="0043277E">
            <w:pPr>
              <w:rPr>
                <w:rFonts w:ascii="Verdana" w:hAnsi="Verdana"/>
                <w:noProof/>
                <w:sz w:val="8"/>
                <w:lang w:eastAsia="de-DE"/>
              </w:rPr>
            </w:pPr>
          </w:p>
        </w:tc>
        <w:tc>
          <w:tcPr>
            <w:tcW w:w="105" w:type="dxa"/>
          </w:tcPr>
          <w:p w:rsidR="0043277E" w:rsidRDefault="0043277E">
            <w:pPr>
              <w:jc w:val="both"/>
              <w:rPr>
                <w:rFonts w:ascii="Verdana" w:hAnsi="Verdana"/>
                <w:noProof/>
                <w:sz w:val="8"/>
                <w:szCs w:val="18"/>
                <w:lang w:eastAsia="en-US"/>
              </w:rPr>
            </w:pPr>
          </w:p>
        </w:tc>
        <w:tc>
          <w:tcPr>
            <w:tcW w:w="8274" w:type="dxa"/>
          </w:tcPr>
          <w:p w:rsidR="0043277E" w:rsidRDefault="0043277E">
            <w:pPr>
              <w:jc w:val="both"/>
              <w:rPr>
                <w:rFonts w:ascii="Verdana" w:hAnsi="Verdana"/>
                <w:noProof/>
                <w:sz w:val="8"/>
                <w:szCs w:val="18"/>
                <w:lang w:eastAsia="en-US"/>
              </w:rPr>
            </w:pPr>
          </w:p>
        </w:tc>
      </w:tr>
      <w:tr w:rsidR="0043277E">
        <w:tc>
          <w:tcPr>
            <w:tcW w:w="1260" w:type="dxa"/>
            <w:shd w:val="clear" w:color="auto" w:fill="auto"/>
            <w:vAlign w:val="center"/>
          </w:tcPr>
          <w:p w:rsidR="0043277E" w:rsidRDefault="000F2348">
            <w:pPr>
              <w:jc w:val="center"/>
              <w:rPr>
                <w:rFonts w:ascii="Verdana" w:hAnsi="Verdana"/>
                <w:b/>
                <w:noProof/>
                <w:sz w:val="18"/>
                <w:szCs w:val="18"/>
              </w:rPr>
            </w:pPr>
            <w:r>
              <w:rPr>
                <w:rFonts w:ascii="Verdana" w:hAnsi="Verdana"/>
                <w:noProof/>
                <w:sz w:val="18"/>
                <w:szCs w:val="18"/>
                <w:lang w:eastAsia="pl-PL"/>
              </w:rPr>
              <w:drawing>
                <wp:inline distT="0" distB="0" distL="0" distR="0">
                  <wp:extent cx="756000" cy="442800"/>
                  <wp:effectExtent l="0" t="0" r="6350" b="0"/>
                  <wp:docPr id="24" name="Picture 24" descr="gospodarka dla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0507" name="Picture 1" descr="economy for peopl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43277E" w:rsidRDefault="0043277E">
            <w:pPr>
              <w:spacing w:after="60"/>
              <w:jc w:val="both"/>
              <w:rPr>
                <w:rFonts w:ascii="Verdana" w:hAnsi="Verdana"/>
                <w:noProof/>
                <w:sz w:val="18"/>
                <w:szCs w:val="18"/>
                <w:lang w:eastAsia="en-US"/>
              </w:rPr>
            </w:pPr>
          </w:p>
        </w:tc>
        <w:tc>
          <w:tcPr>
            <w:tcW w:w="8274" w:type="dxa"/>
          </w:tcPr>
          <w:p w:rsidR="0043277E" w:rsidRDefault="000F2348">
            <w:pPr>
              <w:spacing w:after="60"/>
              <w:jc w:val="both"/>
              <w:rPr>
                <w:rFonts w:ascii="Verdana" w:hAnsi="Verdana"/>
                <w:noProof/>
                <w:color w:val="016794"/>
                <w:sz w:val="18"/>
                <w:szCs w:val="18"/>
              </w:rPr>
            </w:pPr>
            <w:r>
              <w:rPr>
                <w:rFonts w:ascii="Verdana" w:hAnsi="Verdana"/>
                <w:noProof/>
                <w:color w:val="016794"/>
                <w:sz w:val="18"/>
                <w:szCs w:val="18"/>
              </w:rPr>
              <w:t>Gospodarka służąca ludziom</w:t>
            </w:r>
          </w:p>
          <w:p w:rsidR="0043277E" w:rsidRDefault="000F2348">
            <w:pPr>
              <w:jc w:val="both"/>
              <w:rPr>
                <w:rFonts w:ascii="Verdana" w:hAnsi="Verdana"/>
                <w:noProof/>
                <w:sz w:val="18"/>
                <w:szCs w:val="18"/>
              </w:rPr>
            </w:pPr>
            <w:r>
              <w:rPr>
                <w:rFonts w:ascii="Verdana" w:hAnsi="Verdana"/>
                <w:noProof/>
                <w:sz w:val="18"/>
                <w:szCs w:val="18"/>
              </w:rPr>
              <w:t>– Działania na rzecz sprawiedliwości społecznej i dobrobytu</w:t>
            </w:r>
          </w:p>
        </w:tc>
      </w:tr>
      <w:tr w:rsidR="0043277E">
        <w:trPr>
          <w:trHeight w:val="57"/>
        </w:trPr>
        <w:tc>
          <w:tcPr>
            <w:tcW w:w="1260" w:type="dxa"/>
            <w:shd w:val="clear" w:color="auto" w:fill="auto"/>
            <w:vAlign w:val="center"/>
          </w:tcPr>
          <w:p w:rsidR="0043277E" w:rsidRDefault="0043277E">
            <w:pPr>
              <w:rPr>
                <w:rFonts w:ascii="Verdana" w:hAnsi="Verdana"/>
                <w:noProof/>
                <w:sz w:val="8"/>
                <w:szCs w:val="18"/>
                <w:lang w:eastAsia="en-US"/>
              </w:rPr>
            </w:pPr>
          </w:p>
        </w:tc>
        <w:tc>
          <w:tcPr>
            <w:tcW w:w="105" w:type="dxa"/>
          </w:tcPr>
          <w:p w:rsidR="0043277E" w:rsidRDefault="0043277E">
            <w:pPr>
              <w:jc w:val="both"/>
              <w:rPr>
                <w:rFonts w:ascii="Verdana" w:hAnsi="Verdana"/>
                <w:noProof/>
                <w:sz w:val="8"/>
                <w:szCs w:val="18"/>
                <w:lang w:eastAsia="en-US"/>
              </w:rPr>
            </w:pPr>
          </w:p>
        </w:tc>
        <w:tc>
          <w:tcPr>
            <w:tcW w:w="8274" w:type="dxa"/>
          </w:tcPr>
          <w:p w:rsidR="0043277E" w:rsidRDefault="0043277E">
            <w:pPr>
              <w:jc w:val="both"/>
              <w:rPr>
                <w:rFonts w:ascii="Verdana" w:hAnsi="Verdana"/>
                <w:noProof/>
                <w:sz w:val="8"/>
                <w:szCs w:val="18"/>
                <w:lang w:eastAsia="en-US"/>
              </w:rPr>
            </w:pPr>
          </w:p>
        </w:tc>
      </w:tr>
      <w:tr w:rsidR="0043277E">
        <w:tc>
          <w:tcPr>
            <w:tcW w:w="1260" w:type="dxa"/>
            <w:shd w:val="clear" w:color="auto" w:fill="auto"/>
            <w:vAlign w:val="center"/>
          </w:tcPr>
          <w:p w:rsidR="0043277E" w:rsidRDefault="000F2348">
            <w:pPr>
              <w:jc w:val="center"/>
              <w:rPr>
                <w:rFonts w:ascii="Verdana" w:hAnsi="Verdana"/>
                <w:b/>
                <w:noProof/>
                <w:sz w:val="18"/>
                <w:szCs w:val="18"/>
              </w:rPr>
            </w:pPr>
            <w:r>
              <w:rPr>
                <w:rFonts w:ascii="Verdana" w:hAnsi="Verdana"/>
                <w:noProof/>
                <w:sz w:val="18"/>
                <w:szCs w:val="18"/>
                <w:lang w:eastAsia="pl-PL"/>
              </w:rPr>
              <w:drawing>
                <wp:inline distT="0" distB="0" distL="0" distR="0">
                  <wp:extent cx="756000" cy="442800"/>
                  <wp:effectExtent l="0" t="0" r="6350" b="0"/>
                  <wp:docPr id="25" name="Picture 25" descr="er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71256" name="Picture 3" descr="digital ag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43277E" w:rsidRDefault="0043277E">
            <w:pPr>
              <w:spacing w:after="60"/>
              <w:jc w:val="both"/>
              <w:rPr>
                <w:rFonts w:ascii="Verdana" w:hAnsi="Verdana"/>
                <w:noProof/>
                <w:sz w:val="18"/>
                <w:szCs w:val="18"/>
                <w:lang w:eastAsia="en-US"/>
              </w:rPr>
            </w:pPr>
          </w:p>
        </w:tc>
        <w:tc>
          <w:tcPr>
            <w:tcW w:w="8274" w:type="dxa"/>
          </w:tcPr>
          <w:p w:rsidR="0043277E" w:rsidRDefault="000F2348">
            <w:pPr>
              <w:spacing w:after="60"/>
              <w:jc w:val="both"/>
              <w:rPr>
                <w:rFonts w:ascii="Verdana" w:hAnsi="Verdana"/>
                <w:noProof/>
                <w:color w:val="016794"/>
                <w:sz w:val="18"/>
                <w:szCs w:val="18"/>
              </w:rPr>
            </w:pPr>
            <w:r>
              <w:rPr>
                <w:rFonts w:ascii="Verdana" w:hAnsi="Verdana"/>
                <w:noProof/>
                <w:color w:val="016794"/>
                <w:sz w:val="18"/>
                <w:szCs w:val="18"/>
              </w:rPr>
              <w:t>Europa na miarę ery cyfrowej</w:t>
            </w:r>
          </w:p>
          <w:p w:rsidR="0043277E" w:rsidRDefault="000F2348">
            <w:pPr>
              <w:jc w:val="both"/>
              <w:rPr>
                <w:rFonts w:ascii="Verdana" w:hAnsi="Verdana"/>
                <w:noProof/>
                <w:sz w:val="18"/>
                <w:szCs w:val="18"/>
              </w:rPr>
            </w:pPr>
            <w:r>
              <w:rPr>
                <w:rFonts w:ascii="Verdana" w:hAnsi="Verdana"/>
                <w:noProof/>
                <w:sz w:val="18"/>
                <w:szCs w:val="18"/>
              </w:rPr>
              <w:t xml:space="preserve">– Zapewnienie ludziom dostępu do </w:t>
            </w:r>
            <w:r>
              <w:rPr>
                <w:rFonts w:ascii="Verdana" w:hAnsi="Verdana"/>
                <w:noProof/>
                <w:sz w:val="18"/>
                <w:szCs w:val="18"/>
              </w:rPr>
              <w:t>technologii najnowszej generacji</w:t>
            </w:r>
          </w:p>
        </w:tc>
      </w:tr>
      <w:tr w:rsidR="0043277E">
        <w:trPr>
          <w:trHeight w:val="57"/>
        </w:trPr>
        <w:tc>
          <w:tcPr>
            <w:tcW w:w="1260" w:type="dxa"/>
            <w:shd w:val="clear" w:color="auto" w:fill="auto"/>
            <w:vAlign w:val="center"/>
          </w:tcPr>
          <w:p w:rsidR="0043277E" w:rsidRDefault="0043277E">
            <w:pPr>
              <w:rPr>
                <w:rFonts w:ascii="Verdana" w:hAnsi="Verdana"/>
                <w:noProof/>
                <w:sz w:val="8"/>
                <w:szCs w:val="8"/>
                <w:lang w:eastAsia="en-US"/>
              </w:rPr>
            </w:pPr>
          </w:p>
        </w:tc>
        <w:tc>
          <w:tcPr>
            <w:tcW w:w="105" w:type="dxa"/>
          </w:tcPr>
          <w:p w:rsidR="0043277E" w:rsidRDefault="0043277E">
            <w:pPr>
              <w:jc w:val="both"/>
              <w:rPr>
                <w:rFonts w:ascii="Verdana" w:hAnsi="Verdana"/>
                <w:noProof/>
                <w:sz w:val="8"/>
                <w:szCs w:val="8"/>
                <w:lang w:eastAsia="en-US"/>
              </w:rPr>
            </w:pPr>
          </w:p>
        </w:tc>
        <w:tc>
          <w:tcPr>
            <w:tcW w:w="8274" w:type="dxa"/>
          </w:tcPr>
          <w:p w:rsidR="0043277E" w:rsidRDefault="0043277E">
            <w:pPr>
              <w:jc w:val="both"/>
              <w:rPr>
                <w:rFonts w:ascii="Verdana" w:hAnsi="Verdana"/>
                <w:noProof/>
                <w:sz w:val="8"/>
                <w:szCs w:val="8"/>
                <w:lang w:eastAsia="en-US"/>
              </w:rPr>
            </w:pPr>
          </w:p>
        </w:tc>
      </w:tr>
      <w:tr w:rsidR="0043277E">
        <w:tc>
          <w:tcPr>
            <w:tcW w:w="1260" w:type="dxa"/>
            <w:shd w:val="clear" w:color="auto" w:fill="auto"/>
            <w:vAlign w:val="center"/>
          </w:tcPr>
          <w:p w:rsidR="0043277E" w:rsidRDefault="000F2348">
            <w:pPr>
              <w:jc w:val="center"/>
              <w:rPr>
                <w:rFonts w:ascii="Verdana" w:hAnsi="Verdana"/>
                <w:b/>
                <w:noProof/>
                <w:sz w:val="18"/>
                <w:szCs w:val="18"/>
              </w:rPr>
            </w:pPr>
            <w:r>
              <w:rPr>
                <w:rFonts w:ascii="Verdana" w:hAnsi="Verdana"/>
                <w:noProof/>
                <w:sz w:val="18"/>
                <w:szCs w:val="18"/>
                <w:lang w:eastAsia="pl-PL"/>
              </w:rPr>
              <w:drawing>
                <wp:inline distT="0" distB="0" distL="0" distR="0">
                  <wp:extent cx="756000" cy="442800"/>
                  <wp:effectExtent l="0" t="0" r="6350" b="0"/>
                  <wp:docPr id="26" name="Picture 26" descr="Promowanie europejskiego stylu ży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44711" name="Picture 5" descr="Promoting the European way of lif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43277E" w:rsidRDefault="0043277E">
            <w:pPr>
              <w:spacing w:after="60"/>
              <w:jc w:val="both"/>
              <w:rPr>
                <w:rFonts w:ascii="Verdana" w:hAnsi="Verdana"/>
                <w:noProof/>
                <w:sz w:val="18"/>
                <w:szCs w:val="18"/>
                <w:lang w:eastAsia="en-US"/>
              </w:rPr>
            </w:pPr>
          </w:p>
        </w:tc>
        <w:tc>
          <w:tcPr>
            <w:tcW w:w="8274" w:type="dxa"/>
          </w:tcPr>
          <w:p w:rsidR="0043277E" w:rsidRDefault="000F2348">
            <w:pPr>
              <w:spacing w:after="60"/>
              <w:jc w:val="both"/>
              <w:rPr>
                <w:rFonts w:ascii="Verdana" w:hAnsi="Verdana"/>
                <w:noProof/>
                <w:color w:val="016794"/>
                <w:sz w:val="18"/>
                <w:szCs w:val="18"/>
              </w:rPr>
            </w:pPr>
            <w:r>
              <w:rPr>
                <w:rFonts w:ascii="Verdana" w:hAnsi="Verdana"/>
                <w:noProof/>
                <w:color w:val="016794"/>
                <w:sz w:val="18"/>
                <w:szCs w:val="18"/>
              </w:rPr>
              <w:t>Promowanie naszego europejskiego stylu życia</w:t>
            </w:r>
          </w:p>
          <w:p w:rsidR="0043277E" w:rsidRDefault="000F2348">
            <w:pPr>
              <w:rPr>
                <w:rFonts w:ascii="Verdana" w:hAnsi="Verdana"/>
                <w:noProof/>
                <w:sz w:val="18"/>
                <w:szCs w:val="18"/>
              </w:rPr>
            </w:pPr>
            <w:r>
              <w:rPr>
                <w:rFonts w:ascii="Verdana" w:hAnsi="Verdana"/>
                <w:noProof/>
                <w:sz w:val="18"/>
                <w:szCs w:val="18"/>
              </w:rPr>
              <w:t>– Budowa Unii równości, w której wszyscy mamy taki sam dostęp do szans</w:t>
            </w:r>
          </w:p>
        </w:tc>
      </w:tr>
      <w:tr w:rsidR="0043277E">
        <w:trPr>
          <w:trHeight w:val="57"/>
        </w:trPr>
        <w:tc>
          <w:tcPr>
            <w:tcW w:w="1260" w:type="dxa"/>
            <w:shd w:val="clear" w:color="auto" w:fill="auto"/>
            <w:vAlign w:val="center"/>
          </w:tcPr>
          <w:p w:rsidR="0043277E" w:rsidRDefault="0043277E">
            <w:pPr>
              <w:rPr>
                <w:rFonts w:ascii="Verdana" w:hAnsi="Verdana"/>
                <w:noProof/>
                <w:sz w:val="8"/>
                <w:szCs w:val="8"/>
                <w:lang w:eastAsia="en-US"/>
              </w:rPr>
            </w:pPr>
          </w:p>
        </w:tc>
        <w:tc>
          <w:tcPr>
            <w:tcW w:w="105" w:type="dxa"/>
          </w:tcPr>
          <w:p w:rsidR="0043277E" w:rsidRDefault="0043277E">
            <w:pPr>
              <w:jc w:val="both"/>
              <w:rPr>
                <w:rFonts w:ascii="Verdana" w:hAnsi="Verdana"/>
                <w:noProof/>
                <w:sz w:val="8"/>
                <w:szCs w:val="8"/>
                <w:lang w:eastAsia="en-US"/>
              </w:rPr>
            </w:pPr>
          </w:p>
        </w:tc>
        <w:tc>
          <w:tcPr>
            <w:tcW w:w="8274" w:type="dxa"/>
          </w:tcPr>
          <w:p w:rsidR="0043277E" w:rsidRDefault="0043277E">
            <w:pPr>
              <w:jc w:val="both"/>
              <w:rPr>
                <w:rFonts w:ascii="Verdana" w:hAnsi="Verdana"/>
                <w:noProof/>
                <w:sz w:val="8"/>
                <w:szCs w:val="8"/>
                <w:lang w:eastAsia="en-US"/>
              </w:rPr>
            </w:pPr>
          </w:p>
        </w:tc>
      </w:tr>
      <w:tr w:rsidR="0043277E">
        <w:tc>
          <w:tcPr>
            <w:tcW w:w="1260" w:type="dxa"/>
            <w:shd w:val="clear" w:color="auto" w:fill="auto"/>
            <w:vAlign w:val="center"/>
          </w:tcPr>
          <w:p w:rsidR="0043277E" w:rsidRDefault="000F2348">
            <w:pPr>
              <w:jc w:val="center"/>
              <w:rPr>
                <w:rFonts w:ascii="Verdana" w:hAnsi="Verdana"/>
                <w:b/>
                <w:noProof/>
                <w:sz w:val="18"/>
                <w:szCs w:val="18"/>
              </w:rPr>
            </w:pPr>
            <w:r>
              <w:rPr>
                <w:rFonts w:ascii="Verdana" w:hAnsi="Verdana"/>
                <w:noProof/>
                <w:sz w:val="18"/>
                <w:szCs w:val="18"/>
                <w:lang w:eastAsia="pl-PL"/>
              </w:rPr>
              <w:drawing>
                <wp:inline distT="0" distB="0" distL="0" distR="0">
                  <wp:extent cx="756000" cy="442800"/>
                  <wp:effectExtent l="0" t="0" r="6350" b="0"/>
                  <wp:docPr id="27" name="Picture 27" descr="Silniejsza pozycja Europy na świ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4401" name="Picture 7" descr="A stronger Europe in the worl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43277E" w:rsidRDefault="0043277E">
            <w:pPr>
              <w:spacing w:after="60"/>
              <w:jc w:val="both"/>
              <w:rPr>
                <w:rFonts w:ascii="Verdana" w:hAnsi="Verdana"/>
                <w:noProof/>
                <w:sz w:val="18"/>
                <w:szCs w:val="18"/>
                <w:lang w:eastAsia="en-US"/>
              </w:rPr>
            </w:pPr>
          </w:p>
        </w:tc>
        <w:tc>
          <w:tcPr>
            <w:tcW w:w="8274" w:type="dxa"/>
          </w:tcPr>
          <w:p w:rsidR="0043277E" w:rsidRDefault="000F2348">
            <w:pPr>
              <w:spacing w:after="60"/>
              <w:jc w:val="both"/>
              <w:rPr>
                <w:rFonts w:ascii="Verdana" w:hAnsi="Verdana"/>
                <w:noProof/>
                <w:color w:val="016794"/>
                <w:sz w:val="18"/>
                <w:szCs w:val="18"/>
              </w:rPr>
            </w:pPr>
            <w:r>
              <w:rPr>
                <w:rFonts w:ascii="Verdana" w:hAnsi="Verdana"/>
                <w:noProof/>
                <w:color w:val="016794"/>
                <w:sz w:val="18"/>
                <w:szCs w:val="18"/>
              </w:rPr>
              <w:t>Silniejsza pozycja Europy na świecie</w:t>
            </w:r>
          </w:p>
          <w:p w:rsidR="0043277E" w:rsidRDefault="000F2348">
            <w:pPr>
              <w:rPr>
                <w:rFonts w:ascii="Verdana" w:hAnsi="Verdana"/>
                <w:noProof/>
                <w:sz w:val="18"/>
                <w:szCs w:val="18"/>
              </w:rPr>
            </w:pPr>
            <w:r>
              <w:rPr>
                <w:rFonts w:ascii="Verdana" w:hAnsi="Verdana"/>
                <w:noProof/>
                <w:sz w:val="18"/>
                <w:szCs w:val="18"/>
              </w:rPr>
              <w:t xml:space="preserve">– Europa, która mierzy wyżej, stając się jedynym w </w:t>
            </w:r>
            <w:r>
              <w:rPr>
                <w:rFonts w:ascii="Verdana" w:hAnsi="Verdana"/>
                <w:noProof/>
                <w:sz w:val="18"/>
                <w:szCs w:val="18"/>
              </w:rPr>
              <w:t>swoim rodzaju odpowiedzialnym globalnym liderem</w:t>
            </w:r>
          </w:p>
        </w:tc>
      </w:tr>
      <w:tr w:rsidR="0043277E">
        <w:trPr>
          <w:trHeight w:val="57"/>
        </w:trPr>
        <w:tc>
          <w:tcPr>
            <w:tcW w:w="1260" w:type="dxa"/>
            <w:shd w:val="clear" w:color="auto" w:fill="auto"/>
            <w:vAlign w:val="center"/>
          </w:tcPr>
          <w:p w:rsidR="0043277E" w:rsidRDefault="0043277E">
            <w:pPr>
              <w:rPr>
                <w:rFonts w:ascii="Verdana" w:hAnsi="Verdana"/>
                <w:noProof/>
                <w:sz w:val="8"/>
                <w:szCs w:val="18"/>
                <w:lang w:eastAsia="en-US"/>
              </w:rPr>
            </w:pPr>
          </w:p>
        </w:tc>
        <w:tc>
          <w:tcPr>
            <w:tcW w:w="105" w:type="dxa"/>
          </w:tcPr>
          <w:p w:rsidR="0043277E" w:rsidRDefault="0043277E">
            <w:pPr>
              <w:jc w:val="both"/>
              <w:rPr>
                <w:rFonts w:ascii="Verdana" w:hAnsi="Verdana"/>
                <w:noProof/>
                <w:sz w:val="8"/>
                <w:szCs w:val="18"/>
                <w:lang w:eastAsia="en-US"/>
              </w:rPr>
            </w:pPr>
          </w:p>
        </w:tc>
        <w:tc>
          <w:tcPr>
            <w:tcW w:w="8274" w:type="dxa"/>
          </w:tcPr>
          <w:p w:rsidR="0043277E" w:rsidRDefault="0043277E">
            <w:pPr>
              <w:jc w:val="both"/>
              <w:rPr>
                <w:rFonts w:ascii="Verdana" w:hAnsi="Verdana"/>
                <w:noProof/>
                <w:sz w:val="8"/>
                <w:szCs w:val="18"/>
                <w:lang w:eastAsia="en-US"/>
              </w:rPr>
            </w:pPr>
          </w:p>
        </w:tc>
      </w:tr>
      <w:tr w:rsidR="0043277E">
        <w:tc>
          <w:tcPr>
            <w:tcW w:w="1260" w:type="dxa"/>
            <w:shd w:val="clear" w:color="auto" w:fill="auto"/>
            <w:vAlign w:val="center"/>
          </w:tcPr>
          <w:p w:rsidR="0043277E" w:rsidRDefault="000F2348">
            <w:pPr>
              <w:jc w:val="center"/>
              <w:rPr>
                <w:rFonts w:ascii="Verdana" w:hAnsi="Verdana"/>
                <w:b/>
                <w:noProof/>
                <w:sz w:val="18"/>
                <w:szCs w:val="18"/>
              </w:rPr>
            </w:pPr>
            <w:r>
              <w:rPr>
                <w:rFonts w:ascii="Verdana" w:hAnsi="Verdana"/>
                <w:noProof/>
                <w:sz w:val="18"/>
                <w:szCs w:val="18"/>
                <w:lang w:eastAsia="pl-PL"/>
              </w:rPr>
              <w:drawing>
                <wp:inline distT="0" distB="0" distL="0" distR="0">
                  <wp:extent cx="756000" cy="442800"/>
                  <wp:effectExtent l="0" t="0" r="6350" b="0"/>
                  <wp:docPr id="28" name="Picture 28" descr="Nowy impuls dla demokracj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31501" name="Picture 9" descr="A new push for European democracy"/>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rsidR="0043277E" w:rsidRDefault="0043277E">
            <w:pPr>
              <w:spacing w:after="60"/>
              <w:jc w:val="both"/>
              <w:rPr>
                <w:rFonts w:ascii="Verdana" w:hAnsi="Verdana"/>
                <w:noProof/>
                <w:sz w:val="18"/>
                <w:szCs w:val="18"/>
                <w:lang w:eastAsia="en-US"/>
              </w:rPr>
            </w:pPr>
          </w:p>
        </w:tc>
        <w:tc>
          <w:tcPr>
            <w:tcW w:w="8274" w:type="dxa"/>
          </w:tcPr>
          <w:p w:rsidR="0043277E" w:rsidRDefault="000F2348">
            <w:pPr>
              <w:spacing w:after="60"/>
              <w:jc w:val="both"/>
              <w:rPr>
                <w:rFonts w:ascii="Verdana" w:hAnsi="Verdana"/>
                <w:noProof/>
                <w:color w:val="016794"/>
                <w:sz w:val="18"/>
                <w:szCs w:val="18"/>
              </w:rPr>
            </w:pPr>
            <w:r>
              <w:rPr>
                <w:rFonts w:ascii="Verdana" w:hAnsi="Verdana"/>
                <w:noProof/>
                <w:color w:val="016794"/>
                <w:sz w:val="18"/>
                <w:szCs w:val="18"/>
              </w:rPr>
              <w:t>Nowy impuls dla demokracji europejskiej</w:t>
            </w:r>
          </w:p>
          <w:p w:rsidR="0043277E" w:rsidRDefault="000F2348">
            <w:pPr>
              <w:jc w:val="both"/>
              <w:rPr>
                <w:rFonts w:ascii="Verdana" w:hAnsi="Verdana"/>
                <w:noProof/>
                <w:sz w:val="18"/>
                <w:szCs w:val="18"/>
              </w:rPr>
            </w:pPr>
            <w:r>
              <w:rPr>
                <w:rFonts w:ascii="Verdana" w:hAnsi="Verdana"/>
                <w:noProof/>
                <w:sz w:val="18"/>
                <w:szCs w:val="18"/>
              </w:rPr>
              <w:t>– Pielęgnowanie, ochrona i wzmacnianie naszej demokracji</w:t>
            </w:r>
          </w:p>
        </w:tc>
      </w:tr>
    </w:tbl>
    <w:p w:rsidR="0043277E" w:rsidRDefault="000F2348">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szCs w:val="18"/>
        </w:rPr>
        <w:lastRenderedPageBreak/>
        <w:t xml:space="preserve">Poprzednia Komisja skoncentrowała się na dziesięciu priorytetach wyznaczonych przez byłego </w:t>
      </w:r>
      <w:r>
        <w:rPr>
          <w:rFonts w:ascii="Verdana" w:hAnsi="Verdana"/>
          <w:noProof/>
          <w:sz w:val="18"/>
          <w:szCs w:val="18"/>
        </w:rPr>
        <w:t>przewodniczącego Jeana-Claude'a Junckera i zgodnych z realizowaną wówczas unijną strategią długoterminowego wzrostu, tj. strategią „Europa 2020”:</w:t>
      </w:r>
    </w:p>
    <w:p w:rsidR="0043277E" w:rsidRDefault="0043277E">
      <w:pPr>
        <w:tabs>
          <w:tab w:val="left" w:pos="426"/>
          <w:tab w:val="left" w:pos="907"/>
          <w:tab w:val="left" w:pos="8647"/>
        </w:tabs>
        <w:spacing w:before="240" w:after="240"/>
        <w:jc w:val="both"/>
        <w:rPr>
          <w:rFonts w:ascii="Verdana" w:hAnsi="Verdana"/>
          <w:noProof/>
          <w:sz w:val="18"/>
          <w:szCs w:val="18"/>
          <w:lang w:eastAsia="en-US"/>
        </w:rPr>
        <w:sectPr w:rsidR="0043277E">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Pobudzenie zatrudnienia, wzrostu i inwestycji</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Połączony jednolity rynek cyfrowy</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Stabilna unia energetyczna oparta na przyszłościowej polityce w dziedzinie klimatu</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Pogłębiony i sprawiedliwszy rynek wewnętrzny oparty na wzmocnionej bazie</w:t>
      </w:r>
      <w:r>
        <w:rPr>
          <w:rFonts w:ascii="Verdana" w:hAnsi="Verdana"/>
          <w:noProof/>
          <w:sz w:val="18"/>
          <w:szCs w:val="18"/>
        </w:rPr>
        <w:t xml:space="preserve"> przemysłowej</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Pogłębiona i bardziej sprawiedliwa unia gospodarcza i walutowa (UGW)</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br w:type="column"/>
      </w:r>
      <w:r>
        <w:rPr>
          <w:rFonts w:ascii="Verdana" w:hAnsi="Verdana"/>
          <w:noProof/>
          <w:sz w:val="18"/>
          <w:szCs w:val="18"/>
        </w:rPr>
        <w:t>Zrównoważona i postępowa polityka handlowa w celu wykorzystania możliwości płynących z globalizacji</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Obszar sprawiedliwości i przestrzegania praw podstawowych oparty na wzaj</w:t>
      </w:r>
      <w:r>
        <w:rPr>
          <w:rFonts w:ascii="Verdana" w:hAnsi="Verdana"/>
          <w:noProof/>
          <w:sz w:val="18"/>
          <w:szCs w:val="18"/>
        </w:rPr>
        <w:t>emnym zaufaniu</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Ku nowej polityce migracji</w:t>
      </w:r>
    </w:p>
    <w:p w:rsidR="0043277E" w:rsidRDefault="000F2348">
      <w:pPr>
        <w:pStyle w:val="ListParagraph"/>
        <w:numPr>
          <w:ilvl w:val="0"/>
          <w:numId w:val="17"/>
        </w:numPr>
        <w:spacing w:after="240"/>
        <w:rPr>
          <w:rFonts w:ascii="Verdana" w:hAnsi="Verdana"/>
          <w:noProof/>
          <w:sz w:val="18"/>
          <w:szCs w:val="18"/>
        </w:rPr>
      </w:pPr>
      <w:r>
        <w:rPr>
          <w:rFonts w:ascii="Verdana" w:hAnsi="Verdana"/>
          <w:noProof/>
          <w:sz w:val="18"/>
          <w:szCs w:val="18"/>
        </w:rPr>
        <w:t>Silniejsza pozycja Europy na arenie międzynarodowej</w:t>
      </w:r>
    </w:p>
    <w:p w:rsidR="0043277E" w:rsidRDefault="000F2348">
      <w:pPr>
        <w:pStyle w:val="ListParagraph"/>
        <w:numPr>
          <w:ilvl w:val="0"/>
          <w:numId w:val="17"/>
        </w:numPr>
        <w:tabs>
          <w:tab w:val="left" w:pos="426"/>
          <w:tab w:val="left" w:pos="907"/>
          <w:tab w:val="left" w:pos="8647"/>
        </w:tabs>
        <w:spacing w:after="240"/>
        <w:ind w:right="-22"/>
        <w:rPr>
          <w:rFonts w:ascii="Verdana" w:hAnsi="Verdana"/>
          <w:noProof/>
          <w:sz w:val="18"/>
          <w:szCs w:val="18"/>
        </w:rPr>
        <w:sectPr w:rsidR="0043277E">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134" w:right="1134" w:bottom="1134" w:left="1134" w:header="709" w:footer="709" w:gutter="0"/>
          <w:cols w:num="2" w:space="708"/>
          <w:docGrid w:linePitch="360"/>
        </w:sectPr>
      </w:pPr>
      <w:r>
        <w:rPr>
          <w:rFonts w:ascii="Verdana" w:hAnsi="Verdana"/>
          <w:noProof/>
          <w:sz w:val="18"/>
          <w:szCs w:val="18"/>
        </w:rPr>
        <w:t>Unia demokratycznych zmian</w:t>
      </w:r>
    </w:p>
    <w:p w:rsidR="0043277E" w:rsidRDefault="0043277E">
      <w:pPr>
        <w:pStyle w:val="ListParagraph"/>
        <w:numPr>
          <w:ilvl w:val="0"/>
          <w:numId w:val="18"/>
        </w:numPr>
        <w:tabs>
          <w:tab w:val="left" w:pos="426"/>
          <w:tab w:val="left" w:pos="907"/>
          <w:tab w:val="left" w:pos="8647"/>
        </w:tabs>
        <w:spacing w:after="240"/>
        <w:ind w:right="-22"/>
        <w:rPr>
          <w:rFonts w:ascii="Verdana" w:hAnsi="Verdana"/>
          <w:noProof/>
          <w:sz w:val="18"/>
          <w:szCs w:val="18"/>
          <w:lang w:eastAsia="en-US"/>
        </w:rPr>
        <w:sectPr w:rsidR="0043277E">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134" w:right="1134" w:bottom="1134" w:left="1134"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43277E">
        <w:tc>
          <w:tcPr>
            <w:tcW w:w="2518" w:type="dxa"/>
            <w:shd w:val="clear" w:color="auto" w:fill="00B050"/>
            <w:vAlign w:val="center"/>
          </w:tcPr>
          <w:p w:rsidR="0043277E" w:rsidRDefault="000F2348">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Agenda na rzecz zrównoważonego rozwoju 2030</w:t>
            </w:r>
          </w:p>
        </w:tc>
        <w:tc>
          <w:tcPr>
            <w:tcW w:w="7260" w:type="dxa"/>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Agenda na rzecz zrównoważonego rozwoju 2030 i jej 17 celów zrównoważonego rozwoju przyjęte przez </w:t>
            </w:r>
            <w:r>
              <w:rPr>
                <w:rFonts w:ascii="Verdana" w:hAnsi="Verdana"/>
                <w:noProof/>
                <w:sz w:val="18"/>
                <w:szCs w:val="18"/>
              </w:rPr>
              <w:t>Organizację Narodów Zjednoczonych we wrześniu 2015 r. nadały nowy impuls ogólnoświatowym wysiłkom zmierzającym do osiągnięcia zrównoważonego rozwoju. UE odegrała istotną rolę w kształtowaniu Agendy 2030, co stanowiło odzwierciedlenie faktu, że</w:t>
            </w:r>
          </w:p>
        </w:tc>
      </w:tr>
      <w:tr w:rsidR="0043277E">
        <w:tc>
          <w:tcPr>
            <w:tcW w:w="9778" w:type="dxa"/>
            <w:gridSpan w:val="2"/>
          </w:tcPr>
          <w:p w:rsidR="0043277E" w:rsidRDefault="000F2348">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zrównoważony rozwój od dawna stanowił priorytet procesu integracji europejskiej. Cele zrównoważonego rozwoju są silnie zakorzenione w Traktatach UE i włączone w główny nurt wszystkich polityk i inicjatyw UE. Budżet UE odgrywa zasadniczą rolę w stawianiu cz</w:t>
            </w:r>
            <w:r>
              <w:rPr>
                <w:rFonts w:ascii="Verdana" w:hAnsi="Verdana"/>
                <w:noProof/>
                <w:sz w:val="18"/>
                <w:szCs w:val="18"/>
              </w:rPr>
              <w:t>oła wielu wyzwaniom związanym ze zrównoważonym rozwojem, takim jak ubóstwo, bezrobocie młodzieży, zdrowie i dobrostan, zmiana klimatu, utrata różnorodności biologicznej, zrównoważona energia i migracja.</w:t>
            </w:r>
          </w:p>
        </w:tc>
      </w:tr>
      <w:tr w:rsidR="0043277E">
        <w:tc>
          <w:tcPr>
            <w:tcW w:w="2518" w:type="dxa"/>
            <w:shd w:val="clear" w:color="auto" w:fill="0070C0"/>
            <w:vAlign w:val="center"/>
          </w:tcPr>
          <w:p w:rsidR="0043277E" w:rsidRDefault="000F2348">
            <w:pPr>
              <w:tabs>
                <w:tab w:val="left" w:pos="426"/>
                <w:tab w:val="left" w:pos="907"/>
                <w:tab w:val="left" w:pos="8647"/>
              </w:tabs>
              <w:jc w:val="center"/>
              <w:rPr>
                <w:rFonts w:ascii="Verdana" w:hAnsi="Verdana"/>
                <w:b/>
                <w:noProof/>
                <w:sz w:val="18"/>
                <w:szCs w:val="18"/>
              </w:rPr>
            </w:pPr>
            <w:r>
              <w:rPr>
                <w:rFonts w:ascii="Verdana" w:hAnsi="Verdana"/>
                <w:b/>
                <w:noProof/>
                <w:color w:val="FFFFFF" w:themeColor="background1"/>
                <w:sz w:val="18"/>
                <w:szCs w:val="18"/>
              </w:rPr>
              <w:t>Wieloletnie ramy finansowe i programy wydatków</w:t>
            </w:r>
          </w:p>
        </w:tc>
        <w:tc>
          <w:tcPr>
            <w:tcW w:w="7260" w:type="dxa"/>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Strategie polityczne wspierane ze środków z budżetu UE są realizowane zgodnie z </w:t>
            </w:r>
            <w:r>
              <w:rPr>
                <w:rFonts w:ascii="Verdana" w:hAnsi="Verdana"/>
                <w:noProof/>
                <w:color w:val="016794"/>
                <w:sz w:val="18"/>
                <w:szCs w:val="18"/>
              </w:rPr>
              <w:t>wieloletnimi ramami finansowymi (WRF)</w:t>
            </w:r>
            <w:r>
              <w:rPr>
                <w:rFonts w:ascii="Verdana" w:hAnsi="Verdana"/>
                <w:noProof/>
                <w:sz w:val="18"/>
                <w:szCs w:val="18"/>
              </w:rPr>
              <w:t xml:space="preserve"> i odpowiednimi przepisami sektorowymi określającymi programy wydatków. Przekładają one priorytety polityczne UE na warunki finansowe w wys</w:t>
            </w:r>
            <w:r>
              <w:rPr>
                <w:rFonts w:ascii="Verdana" w:hAnsi="Verdana"/>
                <w:noProof/>
                <w:sz w:val="18"/>
                <w:szCs w:val="18"/>
              </w:rPr>
              <w:t xml:space="preserve">tarczająco długim okresie, aby były one skuteczne i </w:t>
            </w:r>
          </w:p>
        </w:tc>
      </w:tr>
      <w:tr w:rsidR="0043277E">
        <w:tc>
          <w:tcPr>
            <w:tcW w:w="9778" w:type="dxa"/>
            <w:gridSpan w:val="2"/>
          </w:tcPr>
          <w:p w:rsidR="0043277E" w:rsidRDefault="000F2348">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 xml:space="preserve">zapewniły spójną długoterminową perspektywę beneficjentom środków unijnych i współfinansującym organom krajowym. Roczne maksymalne kwoty (pułapy) określa się dla łącznych wydatków UE oraz dla głównych </w:t>
            </w:r>
            <w:r>
              <w:rPr>
                <w:rFonts w:ascii="Verdana" w:hAnsi="Verdana"/>
                <w:noProof/>
                <w:sz w:val="18"/>
                <w:szCs w:val="18"/>
              </w:rPr>
              <w:t>kategorii wydatków (działów). Suma pułapów dla wszystkich działów daje łączny pułap środków na zobowiązania. Wieloletnie ramy finansowe przyjmuje się jednomyślnie, co wskazuje na zgodę wszystkich państw członkowskich w odniesieniu do celów i poziomu wydatk</w:t>
            </w:r>
            <w:r>
              <w:rPr>
                <w:rFonts w:ascii="Verdana" w:hAnsi="Verdana"/>
                <w:noProof/>
                <w:sz w:val="18"/>
                <w:szCs w:val="18"/>
              </w:rPr>
              <w:t>ów (maksymalny poziom zobowiązań budżetowych i płatności), za zgodą Parlamentu Europejskiego. Bieżące WRF obejmują lata 2014–2020.</w:t>
            </w:r>
          </w:p>
        </w:tc>
      </w:tr>
      <w:tr w:rsidR="0043277E">
        <w:tc>
          <w:tcPr>
            <w:tcW w:w="2518" w:type="dxa"/>
            <w:shd w:val="clear" w:color="auto" w:fill="00B050"/>
            <w:vAlign w:val="center"/>
          </w:tcPr>
          <w:p w:rsidR="0043277E" w:rsidRDefault="000F2348">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Porozumienie międzyinstytucjonalne</w:t>
            </w:r>
          </w:p>
        </w:tc>
        <w:tc>
          <w:tcPr>
            <w:tcW w:w="7260" w:type="dxa"/>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sz w:val="18"/>
                <w:szCs w:val="18"/>
              </w:rPr>
              <w:t>Uzupełnieniem wieloletnich ram finansowych jest</w:t>
            </w:r>
            <w:r>
              <w:rPr>
                <w:rFonts w:ascii="Verdana" w:hAnsi="Verdana"/>
                <w:b/>
                <w:noProof/>
                <w:sz w:val="18"/>
                <w:szCs w:val="18"/>
              </w:rPr>
              <w:t xml:space="preserve"> </w:t>
            </w:r>
            <w:r>
              <w:rPr>
                <w:rFonts w:ascii="Verdana" w:hAnsi="Verdana"/>
                <w:noProof/>
                <w:color w:val="016794"/>
                <w:sz w:val="18"/>
                <w:szCs w:val="18"/>
              </w:rPr>
              <w:t>porozumienie międzyinstytucjonalne</w:t>
            </w:r>
            <w:r>
              <w:rPr>
                <w:rFonts w:ascii="Verdana" w:hAnsi="Verdana"/>
                <w:noProof/>
                <w:sz w:val="18"/>
                <w:szCs w:val="18"/>
                <w:vertAlign w:val="superscript"/>
              </w:rPr>
              <w:footnoteReference w:id="2"/>
            </w:r>
            <w:r>
              <w:rPr>
                <w:rFonts w:ascii="Verdana" w:hAnsi="Verdana"/>
                <w:noProof/>
                <w:color w:val="016794"/>
                <w:sz w:val="18"/>
                <w:szCs w:val="18"/>
              </w:rPr>
              <w:t>,</w:t>
            </w:r>
            <w:r>
              <w:rPr>
                <w:rFonts w:ascii="Verdana" w:hAnsi="Verdana"/>
                <w:noProof/>
                <w:sz w:val="18"/>
                <w:szCs w:val="18"/>
              </w:rPr>
              <w:t xml:space="preserve"> któr</w:t>
            </w:r>
            <w:r>
              <w:rPr>
                <w:rFonts w:ascii="Verdana" w:hAnsi="Verdana"/>
                <w:noProof/>
                <w:sz w:val="18"/>
                <w:szCs w:val="18"/>
              </w:rPr>
              <w:t>e jest porozumieniem politycznym</w:t>
            </w:r>
            <w:r>
              <w:rPr>
                <w:noProof/>
              </w:rPr>
              <w:t xml:space="preserve"> </w:t>
            </w:r>
            <w:r>
              <w:rPr>
                <w:rFonts w:ascii="Verdana" w:hAnsi="Verdana"/>
                <w:noProof/>
                <w:sz w:val="18"/>
                <w:szCs w:val="18"/>
              </w:rPr>
              <w:t xml:space="preserve">pomiędzy Parlamentem Europejskim, Radą i Komisją. Celem tego porozumienia, przyjętego w 2013 r. zgodnie z art. 295 Traktatu o </w:t>
            </w:r>
          </w:p>
        </w:tc>
      </w:tr>
      <w:tr w:rsidR="0043277E">
        <w:tc>
          <w:tcPr>
            <w:tcW w:w="9778" w:type="dxa"/>
            <w:gridSpan w:val="2"/>
          </w:tcPr>
          <w:p w:rsidR="0043277E" w:rsidRDefault="000F2348">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 xml:space="preserve">funkcjonowaniu Unii Europejskiej (TFUE) jest wdrożenie dyscypliny budżetowej oraz poprawa </w:t>
            </w:r>
            <w:r>
              <w:rPr>
                <w:rFonts w:ascii="Verdana" w:hAnsi="Verdana"/>
                <w:noProof/>
                <w:sz w:val="18"/>
                <w:szCs w:val="18"/>
              </w:rPr>
              <w:t>funkcjonowania corocznej procedury budżetowej i współpracy między instytucjami w kwestiach budżetowych, jak również zapewnienie należytego zarządzania finansami.</w:t>
            </w:r>
          </w:p>
        </w:tc>
      </w:tr>
      <w:tr w:rsidR="0043277E">
        <w:tc>
          <w:tcPr>
            <w:tcW w:w="2518" w:type="dxa"/>
            <w:shd w:val="clear" w:color="auto" w:fill="0070C0"/>
            <w:vAlign w:val="center"/>
          </w:tcPr>
          <w:p w:rsidR="0043277E" w:rsidRDefault="000F2348">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Budżet roczny</w:t>
            </w:r>
          </w:p>
        </w:tc>
        <w:tc>
          <w:tcPr>
            <w:tcW w:w="7260" w:type="dxa"/>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color w:val="016794"/>
                <w:sz w:val="18"/>
                <w:szCs w:val="18"/>
              </w:rPr>
              <w:t>Budżet roczny</w:t>
            </w:r>
            <w:r>
              <w:rPr>
                <w:rFonts w:ascii="Verdana" w:hAnsi="Verdana"/>
                <w:noProof/>
                <w:sz w:val="18"/>
                <w:szCs w:val="18"/>
              </w:rPr>
              <w:t xml:space="preserve"> jest sporządzany przez Komisję i zazwyczaj zostaje uzgodniony do </w:t>
            </w:r>
            <w:r>
              <w:rPr>
                <w:rFonts w:ascii="Verdana" w:hAnsi="Verdana"/>
                <w:noProof/>
                <w:sz w:val="18"/>
                <w:szCs w:val="18"/>
              </w:rPr>
              <w:t>połowy grudnia z Parlamentem Europejskim i Radą zgodnie z procedurą przewidzianą w art. 314 TFUE. Zgodnie z zasadą równowagi budżetowej łączne dochody muszą odpowiadać łącznym wydatkom (środkom</w:t>
            </w:r>
          </w:p>
        </w:tc>
      </w:tr>
      <w:tr w:rsidR="0043277E">
        <w:tc>
          <w:tcPr>
            <w:tcW w:w="9778" w:type="dxa"/>
            <w:gridSpan w:val="2"/>
          </w:tcPr>
          <w:p w:rsidR="0043277E" w:rsidRDefault="000F2348">
            <w:pPr>
              <w:tabs>
                <w:tab w:val="left" w:pos="426"/>
                <w:tab w:val="left" w:pos="907"/>
                <w:tab w:val="left" w:pos="8647"/>
              </w:tabs>
              <w:jc w:val="both"/>
              <w:rPr>
                <w:rFonts w:ascii="Verdana" w:hAnsi="Verdana"/>
                <w:noProof/>
                <w:sz w:val="18"/>
                <w:szCs w:val="18"/>
              </w:rPr>
            </w:pPr>
            <w:r>
              <w:rPr>
                <w:rFonts w:ascii="Verdana" w:hAnsi="Verdana"/>
                <w:noProof/>
                <w:sz w:val="18"/>
                <w:szCs w:val="18"/>
              </w:rPr>
              <w:t>na płatności) w danym roku budżetowym.</w:t>
            </w:r>
          </w:p>
        </w:tc>
      </w:tr>
    </w:tbl>
    <w:p w:rsidR="0043277E" w:rsidRDefault="000F2348">
      <w:pPr>
        <w:pStyle w:val="DGTextstand-alone"/>
      </w:pPr>
      <w:r>
        <w:t xml:space="preserve">Głównymi </w:t>
      </w:r>
      <w:r>
        <w:rPr>
          <w:color w:val="016794"/>
        </w:rPr>
        <w:t xml:space="preserve">źródłami </w:t>
      </w:r>
      <w:r>
        <w:rPr>
          <w:color w:val="016794"/>
        </w:rPr>
        <w:t>finansowania</w:t>
      </w:r>
      <w:r>
        <w:t xml:space="preserve"> UE są dochody z tytułu zasobów własnych, które są uzupełniane innymi dochodami. Istnieją trzy rodzaje zasobów własnych: tradycyjne zasoby własne (takie jak cła i opłaty wyrównawcze od cukru), zasoby własne oparte na podatku od wartości dodanej</w:t>
      </w:r>
      <w:r>
        <w:t xml:space="preserve"> (VAT) oraz zasoby oparte na dochodzie narodowym brutto (DNB). Inne dochody wynikające z działań UE (np. grzywny za naruszenie zasad konkurencji) stanowią na ogół mniej niż 10 % łącznej kwoty dochodów. Całkowita kwota zasobów własnych niezbędna do sfinanso</w:t>
      </w:r>
      <w:r>
        <w:t xml:space="preserve">wania budżetu jest uwarunkowana łączną kwotą </w:t>
      </w:r>
      <w:r>
        <w:lastRenderedPageBreak/>
        <w:t>wydatków pomniejszoną o pozostałe dochody. W obecnych WRF całkowita kwota zasobów własnych nie może przekroczyć 1,20 % łącznego dochodu narodowego brutto (DNB) państw członkowskich.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43277E">
        <w:trPr>
          <w:trHeight w:val="624"/>
        </w:trPr>
        <w:tc>
          <w:tcPr>
            <w:tcW w:w="2518" w:type="dxa"/>
            <w:shd w:val="clear" w:color="auto" w:fill="00B050"/>
            <w:vAlign w:val="center"/>
          </w:tcPr>
          <w:p w:rsidR="0043277E" w:rsidRDefault="000F2348">
            <w:pPr>
              <w:tabs>
                <w:tab w:val="left" w:pos="426"/>
                <w:tab w:val="left" w:pos="907"/>
                <w:tab w:val="left" w:pos="8647"/>
              </w:tabs>
              <w:spacing w:before="240" w:after="240"/>
              <w:jc w:val="center"/>
              <w:rPr>
                <w:rFonts w:ascii="Verdana" w:hAnsi="Verdana"/>
                <w:b/>
                <w:noProof/>
                <w:color w:val="FFFFFF" w:themeColor="background1"/>
                <w:sz w:val="18"/>
                <w:szCs w:val="18"/>
              </w:rPr>
            </w:pPr>
            <w:r>
              <w:rPr>
                <w:noProof/>
              </w:rPr>
              <w:br w:type="page"/>
            </w:r>
            <w:r>
              <w:rPr>
                <w:rFonts w:ascii="Verdana" w:hAnsi="Verdana"/>
                <w:b/>
                <w:noProof/>
                <w:color w:val="FFFFFF" w:themeColor="background1"/>
                <w:sz w:val="18"/>
                <w:szCs w:val="18"/>
              </w:rPr>
              <w:t>Tryby zarządzania</w:t>
            </w:r>
          </w:p>
        </w:tc>
        <w:tc>
          <w:tcPr>
            <w:tcW w:w="7260" w:type="dxa"/>
          </w:tcPr>
          <w:p w:rsidR="0043277E" w:rsidRDefault="000F2348">
            <w:pPr>
              <w:pStyle w:val="DGTextstand-alone"/>
              <w:spacing w:before="0" w:after="0"/>
              <w:jc w:val="left"/>
            </w:pPr>
            <w:r>
              <w:t>Budżet UE</w:t>
            </w:r>
            <w:r>
              <w:t xml:space="preserve"> jest wykonywany w trzech trybach zarządzania, które określają sposób wypłacania środków pieniężnych i zarządzania nimi:</w:t>
            </w:r>
            <w:r>
              <w:br/>
            </w:r>
            <w:r>
              <w:br/>
            </w:r>
          </w:p>
        </w:tc>
      </w:tr>
    </w:tbl>
    <w:p w:rsidR="0043277E" w:rsidRDefault="000F2348">
      <w:pPr>
        <w:pStyle w:val="DGTextstand-alone"/>
        <w:numPr>
          <w:ilvl w:val="0"/>
          <w:numId w:val="19"/>
        </w:numPr>
        <w:ind w:left="714" w:hanging="357"/>
        <w:rPr>
          <w:color w:val="016794"/>
        </w:rPr>
      </w:pPr>
      <w:r>
        <w:rPr>
          <w:color w:val="016794"/>
        </w:rPr>
        <w:t>Zarządzanie dzielone:</w:t>
      </w:r>
      <w:r>
        <w:t xml:space="preserve"> Komisja zarządza znaczną częścią budżetu w ramach systemu zarządzania dzielonego we współpracy z państwami członkowskimi, w szczególności w obszarach funduszy strukturalnych i rolnictwa.</w:t>
      </w:r>
    </w:p>
    <w:p w:rsidR="0043277E" w:rsidRDefault="000F2348">
      <w:pPr>
        <w:pStyle w:val="DGTextstand-alone"/>
        <w:numPr>
          <w:ilvl w:val="0"/>
          <w:numId w:val="19"/>
        </w:numPr>
        <w:ind w:left="714" w:hanging="357"/>
      </w:pPr>
      <w:r>
        <w:rPr>
          <w:color w:val="016794"/>
        </w:rPr>
        <w:t>Zarządzanie bezpośrednie:</w:t>
      </w:r>
      <w:r>
        <w:t xml:space="preserve"> Komisja może również sama zarządzać progra</w:t>
      </w:r>
      <w:r>
        <w:t>mami i może powierzyć wdrażanie określonych programów agencjom wykonawczym.</w:t>
      </w:r>
    </w:p>
    <w:p w:rsidR="0043277E" w:rsidRDefault="000F2348">
      <w:pPr>
        <w:pStyle w:val="DGTextstand-alone"/>
        <w:numPr>
          <w:ilvl w:val="0"/>
          <w:numId w:val="19"/>
        </w:numPr>
        <w:ind w:left="714" w:hanging="357"/>
      </w:pPr>
      <w:r>
        <w:rPr>
          <w:color w:val="016794"/>
        </w:rPr>
        <w:t>Zarządzanie pośrednie:</w:t>
      </w:r>
      <w:r>
        <w:t xml:space="preserve"> Zarządzanie decyzjami dotyczącymi wydatków może odbywać się również w sposób pośredni za pośrednictwem innych organów unijnych lub spoza Unii. Rozporządzenie</w:t>
      </w:r>
      <w:r>
        <w:t xml:space="preserve"> finansowe lub umowy o przyznanie wkładu określają niezbędne mechanizmy kontroli i sprawozdawczości dla tych podmiotów, a także nadzór Komisji w przypadku powierzenia zadań związanych z wykonywaniem budżetu agencjom krajowym, Grupie Europejskiego Banku Inw</w:t>
      </w:r>
      <w:r>
        <w:t>estycyjnego, państwom trzecim, organizacjom międzynarodowym (np. Bankowi Światowemu lub Organizacji Narodów Zjednoczonych) i innym podmiotom (np. agencjom zdecentralizowanym UE, wspólnym przedsięwzięciom).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rsidR="0043277E">
        <w:trPr>
          <w:trHeight w:val="624"/>
        </w:trPr>
        <w:tc>
          <w:tcPr>
            <w:tcW w:w="2518" w:type="dxa"/>
            <w:shd w:val="clear" w:color="auto" w:fill="0070C0"/>
            <w:vAlign w:val="center"/>
          </w:tcPr>
          <w:p w:rsidR="0043277E" w:rsidRDefault="000F2348">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Rozporządzenie finansowe</w:t>
            </w:r>
          </w:p>
        </w:tc>
        <w:tc>
          <w:tcPr>
            <w:tcW w:w="7260" w:type="dxa"/>
          </w:tcPr>
          <w:p w:rsidR="0043277E" w:rsidRDefault="000F2348">
            <w:pPr>
              <w:pStyle w:val="DGTextstand-alone"/>
              <w:spacing w:before="0" w:after="0"/>
            </w:pPr>
            <w:r>
              <w:rPr>
                <w:color w:val="016794"/>
              </w:rPr>
              <w:t>Rozporządzenie finansowe</w:t>
            </w:r>
            <w:r>
              <w:t xml:space="preserve"> </w:t>
            </w:r>
            <w:r>
              <w:t>(RF)</w:t>
            </w:r>
            <w:r>
              <w:rPr>
                <w:rStyle w:val="FootnoteReference"/>
              </w:rPr>
              <w:footnoteReference w:id="3"/>
            </w:r>
            <w:r>
              <w:t xml:space="preserve"> mające zastosowanie do budżetu ogólnego stanowi centralny dokument architektury regulacyjnej finansów UE. Określono w nim szczegółowo przepisy finansowe mające zastosowanie do wykonania budżetu UE oraz rolę poszczególnych podmiotów zaangażowanych w z</w:t>
            </w:r>
            <w:r>
              <w:t xml:space="preserve">apewnienie należytego wykorzystania środków finansowych i </w:t>
            </w:r>
          </w:p>
        </w:tc>
      </w:tr>
      <w:tr w:rsidR="0043277E">
        <w:tc>
          <w:tcPr>
            <w:tcW w:w="9778" w:type="dxa"/>
            <w:gridSpan w:val="2"/>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pPr>
            <w:r>
              <w:t>w osiągnięcie wyznaczonych celów.</w:t>
            </w:r>
          </w:p>
        </w:tc>
      </w:tr>
    </w:tbl>
    <w:p w:rsidR="0043277E" w:rsidRDefault="0043277E">
      <w:pPr>
        <w:pStyle w:val="DGTextstand-alone"/>
      </w:pPr>
    </w:p>
    <w:p w:rsidR="0043277E" w:rsidRDefault="000F2348">
      <w:pPr>
        <w:pStyle w:val="HEADER1Part1"/>
        <w:rPr>
          <w:noProof/>
        </w:rPr>
      </w:pPr>
      <w:r>
        <w:rPr>
          <w:noProof/>
        </w:rPr>
        <w:t>ZARZĄDZANIE I ROZLICZALNOŚĆ</w:t>
      </w:r>
    </w:p>
    <w:p w:rsidR="0043277E" w:rsidRDefault="000F2348">
      <w:pPr>
        <w:pStyle w:val="HEADER2Part1"/>
        <w:rPr>
          <w:noProof/>
        </w:rPr>
      </w:pPr>
      <w:r>
        <w:rPr>
          <w:noProof/>
        </w:rPr>
        <w:t>STRUKTURA INSTYTUCJONALNA</w:t>
      </w:r>
    </w:p>
    <w:p w:rsidR="0043277E" w:rsidRDefault="000F2348">
      <w:pPr>
        <w:pStyle w:val="DGTextstand-alone"/>
      </w:pPr>
      <w:r>
        <w:t xml:space="preserve">UE dysponuje ramami instytucjonalnymi, które mają na celu propagowanie jej wartości, realizację jej celów, służenie jej interesom, interesom jej obywateli oraz interesom państw członkowskich, jak również zapewnianie spójności, skuteczności i ciągłości jej </w:t>
      </w:r>
      <w:r>
        <w:t>polityk oraz działań. Strukturę organizacyjną tworzą instytucje, agencje i inne organy unijne, które uwzględnia się w skonsolidowanym sprawozdaniu finansowym UE pod warunkiem spełnienia kryteriów konsolidacji określonych w rozporządzeniu finansowym oraz zg</w:t>
      </w:r>
      <w:r>
        <w:t xml:space="preserve">odności z mającymi zastosowanie regułami rachunkowości (wykaz podmiotów objętych zakresem konsolidacji znajduje się w informacji dodatkowej </w:t>
      </w:r>
      <w:r>
        <w:rPr>
          <w:b/>
        </w:rPr>
        <w:t xml:space="preserve">9 </w:t>
      </w:r>
      <w:r>
        <w:t>).</w:t>
      </w:r>
    </w:p>
    <w:p w:rsidR="0043277E" w:rsidRDefault="000F2348">
      <w:pPr>
        <w:pStyle w:val="DGTextstand-alone"/>
      </w:pPr>
      <w:r>
        <w:t>Parlament Europejski pełni, wspólnie z Radą, funkcje prawodawczą i budżetową. Komisja odpowiada politycznie prz</w:t>
      </w:r>
      <w:r>
        <w:t>ed Parlamentem Europejskim. Rada pełni również funkcje kształtowania polityki i koordynacji zgodnie z ogólnym kierunkiem polityki i priorytetami Unii określonymi przez Radę Europejską.</w:t>
      </w:r>
    </w:p>
    <w:p w:rsidR="0043277E" w:rsidRDefault="000F2348">
      <w:pPr>
        <w:pStyle w:val="DGTextstand-alone"/>
      </w:pPr>
      <w:r>
        <w:t>Komisja jest odpowiedzialna za planowanie, przygotowywanie i przedstawi</w:t>
      </w:r>
      <w:r>
        <w:t>anie wniosków w sprawie przepisów; zarządzanie politykami UE, w tym monitorowanie wdrażania przepisów UE oraz zapewnianie ich egzekwowania; przyznawanie finansowania unijnego i zarządzanie programami finansowymi; oraz reprezentowanie UE na forum międzynaro</w:t>
      </w:r>
      <w:r>
        <w:t>dowym.</w:t>
      </w:r>
    </w:p>
    <w:p w:rsidR="0043277E" w:rsidRDefault="000F2348">
      <w:pPr>
        <w:pStyle w:val="DGTextstand-alone"/>
      </w:pPr>
      <w:r>
        <w:t>Komisja wykonuje budżet w dużej mierze we współpracy z państwami członkowskimi</w:t>
      </w:r>
      <w:r>
        <w:rPr>
          <w:rStyle w:val="FootnoteReference"/>
        </w:rPr>
        <w:footnoteReference w:id="4"/>
      </w:r>
      <w:r>
        <w:t xml:space="preserve">. Wspólnie zapewniają wykorzystanie środków zgodnie z zasadami należytego zarządzania finansami. Przepisy </w:t>
      </w:r>
      <w:r>
        <w:lastRenderedPageBreak/>
        <w:t>określają również obowiązki państw członkowskich w zakresie kont</w:t>
      </w:r>
      <w:r>
        <w:t>roli i audytu w przypadku, gdy wspólnie wykonują one budżet, oraz wynikającą stąd odpowiedzialność. Przewidują ono także obowiązki i szczegółowe zasady dla każdej instytucji UE w odniesieniu do jej własnych wydatków.</w:t>
      </w:r>
    </w:p>
    <w:p w:rsidR="0043277E" w:rsidRDefault="000F2348" w:rsidP="000F2348">
      <w:pPr>
        <w:rPr>
          <w:noProof/>
        </w:rPr>
      </w:pPr>
      <w:r>
        <w:rPr>
          <w:noProof/>
        </w:rPr>
        <w:t>STRUKTURA ZARZĄDZANIA KOMISJI</w:t>
      </w:r>
    </w:p>
    <w:p w:rsidR="0043277E" w:rsidRDefault="000F2348">
      <w:pPr>
        <w:pStyle w:val="DGTextstand-alone"/>
      </w:pPr>
      <w:r>
        <w:t>K</w:t>
      </w:r>
      <w:r>
        <w:t>omisja</w:t>
      </w:r>
      <w:r>
        <w:t xml:space="preserve"> posiada unikalny system zarządzania z wyraźnym podziałem na struktury nadzoru politycznego i nadzoru administracyjnego oraz odpowiednio określone linie odpowiedzialności i rozliczalności finansowej</w:t>
      </w:r>
      <w:r>
        <w:rPr>
          <w:rStyle w:val="FootnoteReference"/>
        </w:rPr>
        <w:footnoteReference w:id="5"/>
      </w:r>
      <w:r>
        <w:t xml:space="preserve">. </w:t>
      </w:r>
    </w:p>
    <w:p w:rsidR="0043277E" w:rsidRDefault="000F2348">
      <w:pPr>
        <w:pStyle w:val="DGTextstand-alone"/>
      </w:pPr>
      <w:r>
        <w:t>Funkcjonowanie wewnętrzne Komisji opiera się na szereg</w:t>
      </w:r>
      <w:r>
        <w:t>u kluczowych zasad leżących u podstaw dobrego rządzenia: jasnym określeniu ról i obowiązków, silnym zaangażowaniu w zarządzanie wynikami i zgodności z ramami prawnymi, przejrzystych mechanizmach rozliczalności, ramach regulacyjnych o wysokiej jakości i spr</w:t>
      </w:r>
      <w:r>
        <w:t>zyjających włączeniu społecznemu, otwartości i przejrzystości oraz na wysokich standardach zachowania etycznego.</w:t>
      </w:r>
    </w:p>
    <w:p w:rsidR="0043277E" w:rsidRDefault="000F2348">
      <w:pPr>
        <w:pStyle w:val="DGTextstand-alone"/>
      </w:pPr>
      <w:r>
        <w:t xml:space="preserve">Komisja sprawuje swoje funkcje pod przewodnictwem kolegium komisarzy, które wyznacza priorytety i ponosi ogólną odpowiedzialność polityczną za </w:t>
      </w:r>
      <w:r>
        <w:t xml:space="preserve">pracę Komisji. Przewodniczący Komisji decyduje o wewnętrznej organizacji Komisji tak, aby zapewnić spójność, skuteczność i kolegialność jej działania. Ustalenia wewnętrzne tworzą strukturę solidnych narzędzi kontroli i zarządzania, które pozwalają </w:t>
      </w:r>
      <w:r>
        <w:rPr>
          <w:color w:val="016794"/>
        </w:rPr>
        <w:t>kolegium</w:t>
      </w:r>
      <w:r>
        <w:rPr>
          <w:color w:val="016794"/>
        </w:rPr>
        <w:t xml:space="preserve"> komisarzy</w:t>
      </w:r>
      <w:r>
        <w:t xml:space="preserve"> przyjąć odpowiedzialność polityczną za pracę Komisji, a mianowicie za podejmowane przez nią decyzje, jak również za funkcje koordynacyjne, wykonawcze i zarządcze zgodnie z postanowieniami Traktatów.</w:t>
      </w:r>
    </w:p>
    <w:p w:rsidR="0043277E" w:rsidRDefault="000F2348">
      <w:pPr>
        <w:pStyle w:val="DGTextstand-alone"/>
      </w:pPr>
      <w:r>
        <w:t>Kolegium powierza operacyjne wykonanie budżetu</w:t>
      </w:r>
      <w:r>
        <w:t xml:space="preserve"> i zarządzanie finansowe </w:t>
      </w:r>
      <w:r>
        <w:rPr>
          <w:color w:val="016794"/>
        </w:rPr>
        <w:t>dyrektorom generalnym i szefom służb,</w:t>
      </w:r>
      <w:r>
        <w:rPr>
          <w:color w:val="4F81BD" w:themeColor="accent1"/>
        </w:rPr>
        <w:t xml:space="preserve"> </w:t>
      </w:r>
      <w:r>
        <w:t>którzy odpowiadają za strukturę administracyjną Komisji</w:t>
      </w:r>
      <w:r>
        <w:rPr>
          <w:vertAlign w:val="superscript"/>
        </w:rPr>
        <w:footnoteReference w:id="6"/>
      </w:r>
      <w:r>
        <w:t>. Takie zdecentralizowane podejście tworzy kulturę administracyjną, która zachęca urzędników do wzięcia odpowiedzialności za działania, n</w:t>
      </w:r>
      <w:r>
        <w:t>ad którymi sprawują kontrolę, i wymaga od nich udzielenia zapewnienia w odniesieniu do działań, za które są odpowiedzialni.</w:t>
      </w:r>
    </w:p>
    <w:p w:rsidR="0043277E" w:rsidRDefault="000F2348">
      <w:pPr>
        <w:pStyle w:val="DGTextstand-alone"/>
      </w:pPr>
      <w:r>
        <w:t xml:space="preserve">Służby centralne wspierają dyrektorów generalnych i szefów służb w wykonywaniu ich obowiązków. W szczególności </w:t>
      </w:r>
      <w:r>
        <w:rPr>
          <w:color w:val="016794"/>
          <w:szCs w:val="20"/>
        </w:rPr>
        <w:t>Rada Zarządzania Korp</w:t>
      </w:r>
      <w:r>
        <w:rPr>
          <w:color w:val="016794"/>
          <w:szCs w:val="20"/>
        </w:rPr>
        <w:t>oracyjnego</w:t>
      </w:r>
      <w:r>
        <w:t xml:space="preserve"> zapewnia koordynację, nadzór, doradztwo i kierunki strategiczne w zakresie kwestii związanych z zarządzaniem korporacyjnym w obszarach obejmujących zarządzanie zasobami finansowymi i ludzkimi, zarządzanie ryzykiem, zarządzanie wynikami, zarządzanie system</w:t>
      </w:r>
      <w:r>
        <w:t>em informatycznym, cyberbezpieczeństwo i bezpieczeństwo fizyczne, ciągłość działania, łączność oraz zarządzanie informacjami</w:t>
      </w:r>
      <w:r>
        <w:rPr>
          <w:rStyle w:val="FootnoteReference"/>
        </w:rPr>
        <w:footnoteReference w:id="7"/>
      </w:r>
      <w:r>
        <w:t>.</w:t>
      </w:r>
    </w:p>
    <w:p w:rsidR="0043277E" w:rsidRDefault="000F2348">
      <w:pPr>
        <w:pStyle w:val="DGTextstand-alone"/>
      </w:pPr>
      <w:r>
        <w:t>Ten system zarządzania opiera się na Traktatach i na przestrzeni czasu ulegał zmianom wynikającym z konieczności dostosowania się</w:t>
      </w:r>
      <w:r>
        <w:t xml:space="preserve"> do zmieniającego się środowiska i zachowania zgodności z najlepszymi praktykami określonymi w odpowiednich normach międzynarodowych</w:t>
      </w:r>
      <w:r>
        <w:rPr>
          <w:rFonts w:eastAsia="Times New Roman"/>
          <w:bdr w:val="none" w:sz="0" w:space="0" w:color="auto"/>
          <w:vertAlign w:val="superscript"/>
          <w:lang w:eastAsia="en-GB"/>
        </w:rPr>
        <w:footnoteReference w:id="8"/>
      </w:r>
      <w:r>
        <w:t>. W ramach dalszego usprawniania i zwiększania skuteczności ustaleń wprowadzonych w 2018 r.</w:t>
      </w:r>
      <w:r>
        <w:rPr>
          <w:rStyle w:val="FootnoteReference"/>
        </w:rPr>
        <w:footnoteReference w:id="9"/>
      </w:r>
      <w:r>
        <w:t xml:space="preserve"> uwzględniono czynności audytow</w:t>
      </w:r>
      <w:r>
        <w:t>e przeprowadzone przez Europejski Trybunał Obrachunkowy</w:t>
      </w:r>
      <w:r>
        <w:rPr>
          <w:rStyle w:val="FootnoteReference"/>
        </w:rPr>
        <w:footnoteReference w:id="10"/>
      </w:r>
      <w:r>
        <w:t xml:space="preserve"> i Służbę Audytu Wewnętrznego Komisji. Zgodnie z wymogiem określonym w rozporządzeniu finansowym (art. 247) sprawozdanie roczne z zarządzania i wykonania zawiera informacje dotyczące głównych zasad za</w:t>
      </w:r>
      <w:r>
        <w:t>rządzania w Komisji.</w:t>
      </w:r>
    </w:p>
    <w:p w:rsidR="0043277E" w:rsidRDefault="000F2348">
      <w:pPr>
        <w:pStyle w:val="HEADER2Part1"/>
        <w:rPr>
          <w:noProof/>
        </w:rPr>
      </w:pPr>
      <w:r>
        <w:rPr>
          <w:noProof/>
        </w:rPr>
        <w:t>RAMY WYKONANIA BUDŻETU UE</w:t>
      </w:r>
    </w:p>
    <w:p w:rsidR="0043277E" w:rsidRDefault="000F2348">
      <w:pPr>
        <w:pStyle w:val="DGTextstand-alone"/>
      </w:pPr>
      <w:r>
        <w:lastRenderedPageBreak/>
        <w:t>Wdrażanie rzetelnych ram wykonania ma zasadnicze znaczenie dla zapewnienia silnego koncentrowania się na wynikach, wartości dodanej na poziomie europejskim i prawidłowym zarządzaniu programami UE. Ramy wykonan</w:t>
      </w:r>
      <w:r>
        <w:t xml:space="preserve">ia budżetu UE są w wysokim stopniu rozwinięte i zajmują wyższe miejsce niż system któregokolwiek z indywidualnych państw ocenianych przez Organizację Współpracy Gospodarczej i Rozwoju (OECD) w jej standardowym indeksie ram budżetowania wynikowego. </w:t>
      </w:r>
    </w:p>
    <w:p w:rsidR="0043277E" w:rsidRDefault="000F2348">
      <w:pPr>
        <w:pStyle w:val="DGTextstand-alone"/>
      </w:pPr>
      <w:r>
        <w:t>Ramy wy</w:t>
      </w:r>
      <w:r>
        <w:t>konania budżetu UE obejmują kilku rodzajów i poziomów celów i wskaźników strategicznych. Uwzględniają one również komplementarność i włączenie do głównego nurtu polityki (w tym w dziedzinie walki z zmianą klimatu lub równouprawnienia płci) i programów, a t</w:t>
      </w:r>
      <w:r>
        <w:t xml:space="preserve">akże kluczową rolę państw członkowskich w wykonywaniu budżetu UE. </w:t>
      </w:r>
    </w:p>
    <w:p w:rsidR="0043277E" w:rsidRDefault="000F2348">
      <w:pPr>
        <w:pStyle w:val="DGTextstand-alone"/>
        <w:numPr>
          <w:ilvl w:val="0"/>
          <w:numId w:val="20"/>
        </w:numPr>
      </w:pPr>
      <w:r>
        <w:t xml:space="preserve">Cele, wskaźniki i zadania są ujęte w podstawie prawnej programów i każdego roku Komisja przedstawia sprawozdania na ich temat w </w:t>
      </w:r>
      <w:r>
        <w:rPr>
          <w:b/>
        </w:rPr>
        <w:t>dokumentach programowych</w:t>
      </w:r>
      <w:r>
        <w:t xml:space="preserve"> towarzyszących projektowi budżetu. T</w:t>
      </w:r>
      <w:r>
        <w:t>e ostatnie dostarczają informacji koniecznych do zrozumienia realizacji programów i zmierzenia ich wyników; obejmuje to długoterminowe zobowiązania finansowe w ramach wieloletnich ram finansowych, wskaźniki bazowe wyników programu (punkty wyjścia działań w</w:t>
      </w:r>
      <w:r>
        <w:t xml:space="preserve"> ramach polityki), cele (które należy osiągnąć na koniec wieloletniego okresu programowania) oraz cele cząstkowe.</w:t>
      </w:r>
    </w:p>
    <w:p w:rsidR="0043277E" w:rsidRDefault="000F2348">
      <w:pPr>
        <w:pStyle w:val="DGTextstand-alone"/>
        <w:numPr>
          <w:ilvl w:val="0"/>
          <w:numId w:val="20"/>
        </w:numPr>
      </w:pPr>
      <w:r>
        <w:t>Aby zapewnić przydzielanie zasobów na realizację priorytetów oraz aby zagwarantować wysoką wydajność i wartość dodaną każdego działania, Komis</w:t>
      </w:r>
      <w:r>
        <w:t xml:space="preserve">ja promuje </w:t>
      </w:r>
      <w:r>
        <w:rPr>
          <w:b/>
        </w:rPr>
        <w:t>zasady zadaniowości</w:t>
      </w:r>
      <w:r>
        <w:t>. Ponadto w ostatnich latach opracowała ona podejście, które promuje lepszą równowagę między zgodnością a wykonaniem.</w:t>
      </w:r>
    </w:p>
    <w:p w:rsidR="0043277E" w:rsidRDefault="000F2348">
      <w:pPr>
        <w:pStyle w:val="DGTextstand-alone"/>
        <w:numPr>
          <w:ilvl w:val="0"/>
          <w:numId w:val="20"/>
        </w:numPr>
      </w:pPr>
      <w:r>
        <w:rPr>
          <w:b/>
        </w:rPr>
        <w:t>Sprawozdanie roczne z zarządzania i wykonania</w:t>
      </w:r>
      <w:r>
        <w:t xml:space="preserve"> zawiera kompleksowy przegląd wykonania budżetu UE, zarządzania</w:t>
      </w:r>
      <w:r>
        <w:t xml:space="preserve"> tym budżetem i jego ochrony. Zawiera również wyjaśnienie, w jaki sposób budżet UE wspiera realizację priorytetów politycznych Unii Europejskiej, objaśnienie wyników osiągniętych w ramach budżetu UE oraz roli, jaką Komisja odgrywa w zapewnianiu i promowani</w:t>
      </w:r>
      <w:r>
        <w:t>u najwyższych standardów zarządzania budżetem i finansami.</w:t>
      </w:r>
    </w:p>
    <w:p w:rsidR="0043277E" w:rsidRDefault="000F2348">
      <w:pPr>
        <w:pStyle w:val="DGTextstand-alone"/>
      </w:pPr>
      <w:r>
        <w:t>Dzięki tym elementom władza budżetowa jest w stanie uwzględniać informacje o wynikach w corocznej procedurze budżetowej.</w:t>
      </w:r>
    </w:p>
    <w:p w:rsidR="0043277E" w:rsidRDefault="000F2348">
      <w:pPr>
        <w:pStyle w:val="HEADER2Part1"/>
        <w:rPr>
          <w:noProof/>
        </w:rPr>
      </w:pPr>
      <w:r>
        <w:rPr>
          <w:noProof/>
        </w:rPr>
        <w:t>ZARZĄDZANIE FINANSAMI W KOMISJI</w:t>
      </w:r>
    </w:p>
    <w:p w:rsidR="0043277E" w:rsidRDefault="000F2348">
      <w:pPr>
        <w:pStyle w:val="DGTextstand-alone"/>
      </w:pPr>
      <w:r>
        <w:t>W Komisji role i obowiązki związane z zarząd</w:t>
      </w:r>
      <w:r>
        <w:t>zaniem finansami są wyraźnie określone (np. w rozporządzeniu finansowym i regulaminie wewnętrznym</w:t>
      </w:r>
      <w:r>
        <w:rPr>
          <w:rStyle w:val="FootnoteReference"/>
        </w:rPr>
        <w:footnoteReference w:id="11"/>
      </w:r>
      <w:r>
        <w:t xml:space="preserve">) i odpowiednio wykonywane. Jako </w:t>
      </w:r>
      <w:r>
        <w:rPr>
          <w:color w:val="4F81BD" w:themeColor="accent1"/>
        </w:rPr>
        <w:t>delegowani urzędnicy zatwierdzający</w:t>
      </w:r>
      <w:r>
        <w:t xml:space="preserve"> dyrektorzy generalni i szefowie służb Komisji są odpowiedzialni za należyte zarządzanie f</w:t>
      </w:r>
      <w:r>
        <w:t xml:space="preserve">inansami UE, zgodność z przepisami rozporządzenia finansowego, zarządzanie ryzykiem i ustanowienie odpowiednich ram kontroli wewnętrznej. </w:t>
      </w:r>
    </w:p>
    <w:p w:rsidR="0043277E" w:rsidRDefault="000F2348">
      <w:pPr>
        <w:pStyle w:val="DGTextstand-alone"/>
      </w:pPr>
      <w:r>
        <w:t>Kompetencje urzędników zatwierdzających obejmują cały proces zarządzania, poczynając od określenia, co należy zrobić,</w:t>
      </w:r>
      <w:r>
        <w:t xml:space="preserve"> aby zrealizować cele polityki ustalone przez daną instytucję, aż po zarządzanie działaniami pod względem operacyjnym i należytego zarządzania finansami. Zadania mogą następnie zostać powierzone dyrektorom, kierownikom działu i innym urzędnikom, którzy tym</w:t>
      </w:r>
      <w:r>
        <w:t xml:space="preserve"> samym stają się subdelegowanymi urzędnikami zatwierdzającymi. Każdy delegowany urzędnik zatwierdzający może korzystać ze wsparcia jednego lub dwóch dyrektorów odpowiedzialnych za zarządzanie ryzykiem i kontrolę wewnętrzną w celu prowadzenia nadzoru wdraża</w:t>
      </w:r>
      <w:r>
        <w:t xml:space="preserve">nia systemów kontroli wewnętrznej i monitorowania tych systemów. </w:t>
      </w:r>
    </w:p>
    <w:p w:rsidR="0043277E" w:rsidRDefault="000F2348">
      <w:pPr>
        <w:pStyle w:val="DGTextstand-alone"/>
      </w:pPr>
      <w:r>
        <w:t xml:space="preserve">Centralne służby Komisji zapewniają wytyczne oraz doradztwo i promują najlepsze praktyki, w tym za pośrednictwem prac Rady Zarządzania Korporacyjnego. </w:t>
      </w:r>
    </w:p>
    <w:p w:rsidR="0043277E" w:rsidRDefault="000F2348">
      <w:pPr>
        <w:pStyle w:val="DGTextstand-alone"/>
      </w:pPr>
      <w:r>
        <w:t>Rozporządzenie finansowe zawiera wymóg</w:t>
      </w:r>
      <w:r>
        <w:t xml:space="preserve"> sporządzenia przez każdego urzędnika zatwierdzającego rocznego sprawozdania z działalności zawierającego informacje na temat tego, co zostało osiągnięte, kontroli wewnętrznej i zarządzania finansami w danym roku. Roczne sprawozdanie z działalności zawiera</w:t>
      </w:r>
      <w:r>
        <w:t xml:space="preserve"> oświadczenie, że zasoby wykorzystano zgodnie z zasadami należytego zarządzania finansami oraz że wprowadzono procedury kontroli dające niezbędne gwarancje legalności i prawidłowości operacji leżących u podstaw rozliczeń. Na poziomie Komisji sprawozdanie r</w:t>
      </w:r>
      <w:r>
        <w:t xml:space="preserve">oczne z zarządzania i wykonania jest głównym </w:t>
      </w:r>
      <w:r>
        <w:lastRenderedPageBreak/>
        <w:t xml:space="preserve">instrumentem, poprzez który </w:t>
      </w:r>
      <w:r>
        <w:rPr>
          <w:b/>
        </w:rPr>
        <w:t>kolegium komisarzy przyjmuje odpowiedzialność za zarządzanie finansami budżetu UE</w:t>
      </w:r>
      <w:r>
        <w:t>.</w:t>
      </w:r>
    </w:p>
    <w:p w:rsidR="0043277E" w:rsidRDefault="000F2348">
      <w:pPr>
        <w:pStyle w:val="DGTextstand-alone"/>
      </w:pPr>
      <w:r>
        <w:rPr>
          <w:color w:val="016794"/>
          <w:szCs w:val="20"/>
        </w:rPr>
        <w:t>Księgowy</w:t>
      </w:r>
      <w:r>
        <w:t xml:space="preserve"> Komisji jest odpowiedzialny na szczeblu centralnym za zarządzanie zasobami finansowymi, pro</w:t>
      </w:r>
      <w:r>
        <w:t>cedury odzyskiwania należności, ustanawianie reguł rachunkowości na podstawie Międzynarodowych Standardów Rachunkowości Sektora Publicznego i metod w tym zakresie, zatwierdzanie systemów rachunkowości oraz sporządzanie sprawozdań Komisji i skonsolidowanego</w:t>
      </w:r>
      <w:r>
        <w:t xml:space="preserve"> rocznego sprawozdania finansowego UE. Ponadto księgowy ma obowiązek podpisania rocznego sprawozdania finansowego z oświadczeniem, że przedstawia ono rzetelnie, we wszystkich istotnych aspektach, sytuację finansową, wyniki operacji oraz przepływy pieniężne</w:t>
      </w:r>
      <w:r>
        <w:t xml:space="preserve"> Unii. Roczne sprawozdanie finansowe jest przyjmowane przez kolegium komisarzy. Księgowy sprawuje niezależną funkcję i ponosi główną odpowiedzialność, jeżeli chodzi o sprawozdawczość finansową w Komisji. </w:t>
      </w:r>
    </w:p>
    <w:p w:rsidR="0043277E" w:rsidRDefault="000F2348">
      <w:pPr>
        <w:pStyle w:val="DGTextstand-alone"/>
        <w:rPr>
          <w:rFonts w:cs="Arial"/>
          <w:color w:val="000000" w:themeColor="text1"/>
          <w:szCs w:val="28"/>
        </w:rPr>
      </w:pPr>
      <w:r>
        <w:rPr>
          <w:color w:val="016794"/>
          <w:szCs w:val="20"/>
        </w:rPr>
        <w:t>Audytor wewnętrzny</w:t>
      </w:r>
      <w:r>
        <w:t xml:space="preserve"> Komisji to także funkcja scentra</w:t>
      </w:r>
      <w:r>
        <w:t xml:space="preserve">lizowana i niezależna, która polega na </w:t>
      </w:r>
      <w:r>
        <w:rPr>
          <w:color w:val="000000" w:themeColor="text1"/>
          <w:szCs w:val="28"/>
        </w:rPr>
        <w:t>udzielaniu niezależnych porad i wydawaniu opinii oraz zaleceń dotyczących jakości i funkcjonowania systemów kontroli wewnętrznej w Komisji, agencjach UE i innych autonomicznych organach</w:t>
      </w:r>
      <w:r>
        <w:t>.</w:t>
      </w:r>
      <w:r>
        <w:rPr>
          <w:color w:val="000000" w:themeColor="text1"/>
          <w:szCs w:val="28"/>
        </w:rPr>
        <w:t xml:space="preserve"> </w:t>
      </w:r>
    </w:p>
    <w:p w:rsidR="0043277E" w:rsidRDefault="000F2348">
      <w:pPr>
        <w:pStyle w:val="DGTextstand-alone"/>
      </w:pPr>
      <w:r>
        <w:rPr>
          <w:color w:val="016794"/>
          <w:szCs w:val="20"/>
        </w:rPr>
        <w:t>Komitet ds. Audytu</w:t>
      </w:r>
      <w:r>
        <w:rPr>
          <w:color w:val="000000" w:themeColor="text1"/>
          <w:szCs w:val="21"/>
        </w:rPr>
        <w:t xml:space="preserve"> zapewnia n</w:t>
      </w:r>
      <w:r>
        <w:rPr>
          <w:color w:val="000000" w:themeColor="text1"/>
          <w:szCs w:val="21"/>
        </w:rPr>
        <w:t xml:space="preserve">iezależność audytora wewnętrznego i monitoruje jakość audytów wewnętrznych </w:t>
      </w:r>
      <w:r>
        <w:t>oraz działania następcze podejmowane przez Komisję w stosunku do zaleceń z audytów wewnętrznych i zewnętrznych, a także w stosunku do ustaleń i zaleceń Europejskiego Trybunału Obrac</w:t>
      </w:r>
      <w:r>
        <w:t xml:space="preserve">hunkowego w związku z absolutorium dotyczących wiarygodności skonsolidowanych rocznych sprawozdań finansowych. </w:t>
      </w:r>
      <w:r>
        <w:rPr>
          <w:color w:val="000000" w:themeColor="text1"/>
          <w:szCs w:val="21"/>
        </w:rPr>
        <w:t>Rola doradcza komitetu przyczynia się do ogólnej dalszej poprawy skuteczności i efektywności Komisji pod względem osiągania jej celów oraz ułatwi</w:t>
      </w:r>
      <w:r>
        <w:rPr>
          <w:color w:val="000000" w:themeColor="text1"/>
          <w:szCs w:val="21"/>
        </w:rPr>
        <w:t>a nadzór Kolegium nad stosowanymi przez Komisję praktykami zarządzania, zarządzania ryzykiem oraz kontroli wewnętrznej.</w:t>
      </w:r>
    </w:p>
    <w:p w:rsidR="0043277E" w:rsidRDefault="000F2348">
      <w:pPr>
        <w:pStyle w:val="HEADER2Part1"/>
        <w:rPr>
          <w:noProof/>
        </w:rPr>
      </w:pPr>
      <w:r>
        <w:rPr>
          <w:noProof/>
        </w:rPr>
        <w:t>SPRAWOZDAWCZOŚĆ FINANSOWA</w:t>
      </w:r>
    </w:p>
    <w:p w:rsidR="0043277E" w:rsidRDefault="000F2348">
      <w:pPr>
        <w:pStyle w:val="DGTextstand-alone"/>
      </w:pPr>
      <w:r>
        <w:t xml:space="preserve">Sprawozdawczość dotycząca budżetu UE jest realizowana za pomocą </w:t>
      </w:r>
      <w:r>
        <w:rPr>
          <w:b/>
        </w:rPr>
        <w:t xml:space="preserve">pakietu zintegrowanej sprawozdawczości finansowej i sprawozdawczości w zakresie rozliczalności, </w:t>
      </w:r>
      <w:r>
        <w:t>który</w:t>
      </w:r>
      <w:r>
        <w:rPr>
          <w:b/>
        </w:rPr>
        <w:t xml:space="preserve"> </w:t>
      </w:r>
      <w:r>
        <w:rPr>
          <w:color w:val="151515"/>
        </w:rPr>
        <w:t>łączy obszerne informacje dotyczące wykonywania, wyników, zarządzania finansami i ochrony budżetu UE</w:t>
      </w:r>
      <w:r>
        <w:t>. Obejmuje to skonsolidowane roczne sprawozdanie finan</w:t>
      </w:r>
      <w:r>
        <w:t>sowe UE, sprawozdanie roczne z zarządzania i wykonania (obejmujące ocenę finansów Unii opartą na uzyskanych wynikach), roczne sprawozdanie z przeprowadzonych audytów wewnętrznych, długoterminową prognozę przyszłych wpływów i wypływów obejmującą kolejne pię</w:t>
      </w:r>
      <w:r>
        <w:t>ć lat oraz sprawozdanie dotyczące działań następczych podjętych po absolutorium. Pakiet zintegrowanej sprawozdawczości finansowej i sprawozdawczości w zakresie rozliczalności zapewnia obywatelom pełny wgląd w sytuację finansową i operacyjną budżetu UE każd</w:t>
      </w:r>
      <w:r>
        <w:t>ego roku.</w:t>
      </w:r>
    </w:p>
    <w:p w:rsidR="0043277E" w:rsidRDefault="000F2348">
      <w:pPr>
        <w:pStyle w:val="DGTextstand-alone"/>
      </w:pPr>
      <w:r>
        <w:t xml:space="preserve">Skonsolidowane roczne sprawozdanie finansowe UE zawiera informacje finansowe na temat działalności instytucji, agencji i innych organów UE z punktu widzenia rachunkowości memoriałowej i budżetowej. Nie obejmuje ono sprawozdań rocznych państw </w:t>
      </w:r>
      <w:r>
        <w:t>członkowskich.</w:t>
      </w:r>
    </w:p>
    <w:p w:rsidR="0043277E" w:rsidRDefault="000F2348">
      <w:pPr>
        <w:pStyle w:val="DGTextstand-alone"/>
      </w:pPr>
      <w:r>
        <w:t>Skonsolidowane roczne sprawozdanie finansowe UE obejmuje dwie oddzielne, choć powiązane ze sobą części:</w:t>
      </w:r>
    </w:p>
    <w:p w:rsidR="0043277E" w:rsidRDefault="000F2348">
      <w:pPr>
        <w:pStyle w:val="DGTextstand-alone"/>
        <w:numPr>
          <w:ilvl w:val="0"/>
          <w:numId w:val="21"/>
        </w:numPr>
      </w:pPr>
      <w:r>
        <w:t>skonsolidowane sprawozdanie finansowe oraz</w:t>
      </w:r>
    </w:p>
    <w:p w:rsidR="0043277E" w:rsidRDefault="000F2348">
      <w:pPr>
        <w:pStyle w:val="DGTextstand-alone"/>
        <w:numPr>
          <w:ilvl w:val="0"/>
          <w:numId w:val="21"/>
        </w:numPr>
      </w:pPr>
      <w:r>
        <w:t>sprawozdania z wykonania budżetu, które zawierają zbiorczą ewidencję wykonania budżetu.</w:t>
      </w:r>
    </w:p>
    <w:p w:rsidR="0043277E" w:rsidRDefault="000F2348">
      <w:pPr>
        <w:pStyle w:val="DGTextstand-alone"/>
      </w:pPr>
      <w:r>
        <w:t>Ponadt</w:t>
      </w:r>
      <w:r>
        <w:t>o do skonsolidowanego rocznego sprawozdania finansowego UE dołącza się omówienie i analizę sprawozdania finansowego, w których podsumowano istotne zmiany i tendencje w sprawozdaniu finansowym oraz wyjaśniono istotne zagrożenia i niepewności, w obliczu któr</w:t>
      </w:r>
      <w:r>
        <w:t>ych staje UE i którym musi sprostać w przyszłości.</w:t>
      </w:r>
    </w:p>
    <w:p w:rsidR="0043277E" w:rsidRDefault="000F2348">
      <w:pPr>
        <w:pStyle w:val="DGTextstand-alone"/>
      </w:pPr>
      <w:r>
        <w:t>Sprawozdawczość i rozliczalność w Komisji:</w:t>
      </w:r>
    </w:p>
    <w:tbl>
      <w:tblPr>
        <w:tblStyle w:val="TableGrid"/>
        <w:tblW w:w="0" w:type="auto"/>
        <w:tblLook w:val="04A0" w:firstRow="1" w:lastRow="0" w:firstColumn="1" w:lastColumn="0" w:noHBand="0" w:noVBand="1"/>
      </w:tblPr>
      <w:tblGrid>
        <w:gridCol w:w="2802"/>
        <w:gridCol w:w="7052"/>
      </w:tblGrid>
      <w:tr w:rsidR="0043277E">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rsidR="0043277E" w:rsidRDefault="0043277E">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jc w:val="left"/>
              <w:rPr>
                <w:b/>
                <w:color w:val="FFFFFF" w:themeColor="background1"/>
              </w:rPr>
            </w:pPr>
          </w:p>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b/>
                <w:color w:val="FFFFFF" w:themeColor="background1"/>
              </w:rPr>
            </w:pPr>
            <w:r>
              <w:rPr>
                <w:b/>
                <w:color w:val="FFFFFF" w:themeColor="background1"/>
              </w:rPr>
              <w:t>Zintegrowana sprawozdawczość finansowa i sprawozdawczość w zakresie rozliczalności</w:t>
            </w:r>
            <w:r>
              <w:rPr>
                <w:b/>
                <w:color w:val="FFFFFF" w:themeColor="background1"/>
              </w:rPr>
              <w:br/>
              <w:t>Art. 247 RF</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rsidR="0043277E" w:rsidRDefault="0043277E">
            <w:pPr>
              <w:pStyle w:val="DGTextstand-alone"/>
              <w:spacing w:before="0" w:after="0" w:line="192" w:lineRule="auto"/>
              <w:ind w:left="720"/>
              <w:rPr>
                <w:b/>
                <w:color w:val="FFFFFF" w:themeColor="background1"/>
              </w:rPr>
            </w:pPr>
          </w:p>
          <w:p w:rsidR="0043277E" w:rsidRDefault="000F2348">
            <w:pPr>
              <w:pStyle w:val="DGTextstand-alone"/>
              <w:numPr>
                <w:ilvl w:val="0"/>
                <w:numId w:val="22"/>
              </w:numPr>
              <w:spacing w:before="0" w:line="192" w:lineRule="auto"/>
              <w:rPr>
                <w:b/>
                <w:color w:val="FFFFFF" w:themeColor="background1"/>
              </w:rPr>
            </w:pPr>
            <w:r>
              <w:rPr>
                <w:b/>
                <w:color w:val="FFFFFF" w:themeColor="background1"/>
              </w:rPr>
              <w:t>Skonsolidowane roczne sprawozdanie finansowe UE</w:t>
            </w:r>
          </w:p>
          <w:p w:rsidR="0043277E" w:rsidRDefault="000F2348">
            <w:pPr>
              <w:pStyle w:val="DGTextstand-alone"/>
              <w:numPr>
                <w:ilvl w:val="0"/>
                <w:numId w:val="22"/>
              </w:numPr>
              <w:spacing w:after="0" w:line="192" w:lineRule="auto"/>
              <w:rPr>
                <w:b/>
                <w:color w:val="FFFFFF" w:themeColor="background1"/>
              </w:rPr>
            </w:pPr>
            <w:r>
              <w:rPr>
                <w:b/>
                <w:color w:val="FFFFFF" w:themeColor="background1"/>
              </w:rPr>
              <w:t xml:space="preserve">Sprawozdanie </w:t>
            </w:r>
            <w:r>
              <w:rPr>
                <w:b/>
                <w:color w:val="FFFFFF" w:themeColor="background1"/>
              </w:rPr>
              <w:t>roczne z zarządzania i wykonania dotyczące budżetu UE (w tym sprawozdanie z oceny finansów UE)</w:t>
            </w:r>
          </w:p>
          <w:p w:rsidR="0043277E" w:rsidRDefault="000F2348">
            <w:pPr>
              <w:pStyle w:val="DGTextstand-alone"/>
              <w:numPr>
                <w:ilvl w:val="0"/>
                <w:numId w:val="22"/>
              </w:numPr>
              <w:spacing w:after="0" w:line="192" w:lineRule="auto"/>
              <w:rPr>
                <w:b/>
                <w:color w:val="FFFFFF" w:themeColor="background1"/>
              </w:rPr>
            </w:pPr>
            <w:r>
              <w:rPr>
                <w:b/>
                <w:color w:val="FFFFFF" w:themeColor="background1"/>
              </w:rPr>
              <w:t>Sprawozdanie roczne dotyczące audytów wewnętrznych</w:t>
            </w:r>
          </w:p>
          <w:p w:rsidR="0043277E" w:rsidRDefault="000F2348">
            <w:pPr>
              <w:pStyle w:val="DGTextstand-alone"/>
              <w:numPr>
                <w:ilvl w:val="0"/>
                <w:numId w:val="22"/>
              </w:numPr>
              <w:spacing w:after="0" w:line="192" w:lineRule="auto"/>
              <w:rPr>
                <w:b/>
                <w:color w:val="FFFFFF" w:themeColor="background1"/>
              </w:rPr>
            </w:pPr>
            <w:r>
              <w:rPr>
                <w:b/>
                <w:color w:val="FFFFFF" w:themeColor="background1"/>
              </w:rPr>
              <w:t xml:space="preserve">Długoterminowa prognoza przyszłych wpływów i wypływów na </w:t>
            </w:r>
            <w:r>
              <w:rPr>
                <w:b/>
                <w:color w:val="FFFFFF" w:themeColor="background1"/>
              </w:rPr>
              <w:lastRenderedPageBreak/>
              <w:t>okres pięciu lat</w:t>
            </w:r>
          </w:p>
          <w:p w:rsidR="0043277E" w:rsidRDefault="000F2348">
            <w:pPr>
              <w:pStyle w:val="DGTextstand-alone"/>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192" w:lineRule="auto"/>
              <w:rPr>
                <w:b/>
                <w:color w:val="FFFFFF" w:themeColor="background1"/>
              </w:rPr>
            </w:pPr>
            <w:r>
              <w:rPr>
                <w:b/>
                <w:color w:val="FFFFFF" w:themeColor="background1"/>
              </w:rPr>
              <w:t>Sprawozdanie w sprawie działań nastę</w:t>
            </w:r>
            <w:r>
              <w:rPr>
                <w:b/>
                <w:color w:val="FFFFFF" w:themeColor="background1"/>
              </w:rPr>
              <w:t>pczych w związku z absolutorium</w:t>
            </w:r>
          </w:p>
        </w:tc>
      </w:tr>
      <w:tr w:rsidR="0043277E">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rsidR="0043277E" w:rsidRDefault="0043277E">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p>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r>
              <w:rPr>
                <w:b/>
                <w:color w:val="FFFFFF" w:themeColor="background1"/>
              </w:rPr>
              <w:t>Inne sprawozdania</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rsidR="0043277E" w:rsidRDefault="0043277E">
            <w:pPr>
              <w:pStyle w:val="DGTextstand-alone"/>
              <w:spacing w:before="0" w:after="0" w:line="192" w:lineRule="auto"/>
              <w:ind w:left="720"/>
              <w:rPr>
                <w:b/>
                <w:bCs/>
                <w:color w:val="FFFFFF" w:themeColor="background1"/>
              </w:rPr>
            </w:pPr>
          </w:p>
          <w:p w:rsidR="0043277E" w:rsidRDefault="000F2348">
            <w:pPr>
              <w:pStyle w:val="DGTextstand-alone"/>
              <w:numPr>
                <w:ilvl w:val="0"/>
                <w:numId w:val="22"/>
              </w:numPr>
              <w:spacing w:before="0" w:line="192" w:lineRule="auto"/>
              <w:rPr>
                <w:b/>
                <w:bCs/>
                <w:color w:val="FFFFFF" w:themeColor="background1"/>
              </w:rPr>
            </w:pPr>
            <w:r>
              <w:rPr>
                <w:b/>
                <w:bCs/>
                <w:color w:val="FFFFFF" w:themeColor="background1"/>
              </w:rPr>
              <w:t>Pakiet komunikacyjny w związku z orędziem o stanie Unii</w:t>
            </w:r>
          </w:p>
          <w:p w:rsidR="0043277E" w:rsidRDefault="000F2348">
            <w:pPr>
              <w:pStyle w:val="DGTextstand-alone"/>
              <w:numPr>
                <w:ilvl w:val="0"/>
                <w:numId w:val="22"/>
              </w:numPr>
              <w:spacing w:before="0" w:line="192" w:lineRule="auto"/>
              <w:rPr>
                <w:b/>
                <w:bCs/>
                <w:color w:val="FFFFFF" w:themeColor="background1"/>
              </w:rPr>
            </w:pPr>
            <w:r>
              <w:rPr>
                <w:b/>
                <w:bCs/>
                <w:color w:val="FFFFFF" w:themeColor="background1"/>
              </w:rPr>
              <w:t>Sprawozdanie ogólne z działalności UE</w:t>
            </w:r>
          </w:p>
          <w:p w:rsidR="0043277E" w:rsidRDefault="000F2348">
            <w:pPr>
              <w:pStyle w:val="DGTextstand-alone"/>
              <w:numPr>
                <w:ilvl w:val="0"/>
                <w:numId w:val="22"/>
              </w:numPr>
              <w:spacing w:line="192" w:lineRule="auto"/>
              <w:rPr>
                <w:b/>
                <w:color w:val="FFFFFF" w:themeColor="background1"/>
              </w:rPr>
            </w:pPr>
            <w:r>
              <w:rPr>
                <w:b/>
                <w:bCs/>
                <w:color w:val="FFFFFF" w:themeColor="background1"/>
              </w:rPr>
              <w:t>Roczne sprawozdania z działalności dyrekcji generalnych</w:t>
            </w:r>
          </w:p>
          <w:p w:rsidR="0043277E" w:rsidRDefault="000F2348">
            <w:pPr>
              <w:pStyle w:val="DGTextstand-alone"/>
              <w:numPr>
                <w:ilvl w:val="0"/>
                <w:numId w:val="22"/>
              </w:numPr>
              <w:spacing w:after="0" w:line="192" w:lineRule="auto"/>
              <w:rPr>
                <w:b/>
                <w:color w:val="FFFFFF" w:themeColor="background1"/>
              </w:rPr>
            </w:pPr>
            <w:r>
              <w:rPr>
                <w:b/>
                <w:bCs/>
                <w:color w:val="FFFFFF" w:themeColor="background1"/>
              </w:rPr>
              <w:t>Sprawozdanie z zarządzania budżetem i finansami</w:t>
            </w:r>
          </w:p>
          <w:p w:rsidR="0043277E" w:rsidRDefault="0043277E">
            <w:pPr>
              <w:pStyle w:val="DGTextstand-alone"/>
              <w:spacing w:before="0" w:after="0" w:line="192" w:lineRule="auto"/>
              <w:ind w:left="720"/>
              <w:rPr>
                <w:b/>
                <w:color w:val="FFFFFF" w:themeColor="background1"/>
              </w:rPr>
            </w:pPr>
          </w:p>
        </w:tc>
      </w:tr>
    </w:tbl>
    <w:p w:rsidR="0043277E" w:rsidRDefault="000F2348">
      <w:pPr>
        <w:pStyle w:val="HEADER2Part1"/>
        <w:rPr>
          <w:noProof/>
        </w:rPr>
      </w:pPr>
      <w:r>
        <w:rPr>
          <w:noProof/>
        </w:rPr>
        <w:t>KONTROLA ZEWNĘTRZNA I PROCEDURA UDZIELANIA ABSOLUTORIUM</w:t>
      </w:r>
    </w:p>
    <w:p w:rsidR="0043277E" w:rsidRDefault="000F2348">
      <w:pPr>
        <w:pStyle w:val="DGTextstand-alone"/>
        <w:spacing w:before="120"/>
      </w:pPr>
      <w:r>
        <w:t>Zgodnie z zasadami należytego zarządzania finansami zarządzanie funduszami musi być efektywne, skuteczne i ekonomiczne. W celu zapewnienia wystarczającej pewności, że fundusze unijne są odpowiednio wy</w:t>
      </w:r>
      <w:r>
        <w:t>korzystywane we właściwy sposób, opracowano ramy rozliczalności oparte na wyczerpującej sprawozdawczości, audycie zewnętrznym i politycznej kontroli.</w:t>
      </w:r>
    </w:p>
    <w:p w:rsidR="0043277E" w:rsidRDefault="000F2348">
      <w:pPr>
        <w:pStyle w:val="DGTextstand-alone"/>
        <w:spacing w:before="120"/>
      </w:pPr>
      <w:r>
        <w:t xml:space="preserve">Co roku </w:t>
      </w:r>
      <w:r>
        <w:rPr>
          <w:b/>
        </w:rPr>
        <w:t>Europejski Trybunał Obrachunkowy</w:t>
      </w:r>
      <w:r>
        <w:t>, stosując systematyczne i szczegółowe podejście, bada wiarygodnoś</w:t>
      </w:r>
      <w:r>
        <w:t>ć sprawozdań, kontroluje legalność i prawidłowość wszystkich przychodów i wydatków oraz upewnia się co do należytego zarządzania finansami i rzetelności aspektów jakościowych budżetowania, w tym kwestii wykonania. Publikacja rocznego sprawozdania Europejsk</w:t>
      </w:r>
      <w:r>
        <w:t>iego Trybunału Obrachunkowego stanowi punkt wyjścia procedury udzielania absolutorium. Audytorzy przygotowują również sprawozdania specjalne dotyczące konkretnych wydatków lub obszarów polityki lub problemów związanych z zarządzaniem lub budżetem.</w:t>
      </w:r>
    </w:p>
    <w:p w:rsidR="0043277E" w:rsidRDefault="000F2348">
      <w:pPr>
        <w:pStyle w:val="DGTextstand-alone"/>
        <w:spacing w:before="120"/>
      </w:pPr>
      <w:r>
        <w:t>Po wydan</w:t>
      </w:r>
      <w:r>
        <w:t xml:space="preserve">iu zalecenia przez </w:t>
      </w:r>
      <w:r>
        <w:rPr>
          <w:b/>
        </w:rPr>
        <w:t>Radę</w:t>
      </w:r>
      <w:r>
        <w:t xml:space="preserve"> </w:t>
      </w:r>
      <w:r>
        <w:rPr>
          <w:b/>
        </w:rPr>
        <w:t>Parlament</w:t>
      </w:r>
      <w:r>
        <w:t xml:space="preserve"> </w:t>
      </w:r>
      <w:r>
        <w:rPr>
          <w:b/>
        </w:rPr>
        <w:t>Europejski</w:t>
      </w:r>
      <w:r>
        <w:t xml:space="preserve"> podejmuje decyzję o udzieleniu lub nieudzieleniu ostatecznej zgody znanej jako „udzielenie absolutorium budżetowego” w odniesieniu do sposobu wykonania przez Komisję budżetu UE w danym roku. Roczna procedura udz</w:t>
      </w:r>
      <w:r>
        <w:t>ielania absolutorium zapewnia, że Komisja ponosi odpowiedzialność polityczną za wykonanie budżetu UE.</w:t>
      </w:r>
    </w:p>
    <w:p w:rsidR="0043277E" w:rsidRDefault="000F2348">
      <w:pPr>
        <w:pStyle w:val="DGTextstand-alone"/>
        <w:spacing w:before="120"/>
      </w:pPr>
      <w:r>
        <w:t>Decyzja o udzieleniu absolutorium opiera się również na zintegrowanej sprawozdawczości finansowej i sprawozdawczości w zakresie rozliczalności Komisji, na</w:t>
      </w:r>
      <w:r>
        <w:t xml:space="preserve"> przesłuchaniach komisarzy oraz odpowiedziach udzielonych na pytania pisemne skierowane do Komisji.</w:t>
      </w:r>
    </w:p>
    <w:p w:rsidR="0043277E" w:rsidRDefault="0043277E">
      <w:pPr>
        <w:pStyle w:val="DGTextstand-alone"/>
        <w:spacing w:before="120"/>
      </w:pPr>
    </w:p>
    <w:bookmarkEnd w:id="6"/>
    <w:p w:rsidR="0043277E" w:rsidRDefault="0043277E">
      <w:pPr>
        <w:pStyle w:val="Textstand-alone"/>
        <w:sectPr w:rsidR="0043277E">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134" w:right="1134" w:bottom="1134" w:left="1134" w:header="709" w:footer="709" w:gutter="0"/>
          <w:cols w:space="708"/>
          <w:docGrid w:linePitch="360"/>
        </w:sectPr>
      </w:pPr>
    </w:p>
    <w:p w:rsidR="0043277E" w:rsidRDefault="000F2348">
      <w:pPr>
        <w:pStyle w:val="FIRSTCHAPTERPAGE"/>
        <w:rPr>
          <w:noProof/>
        </w:rPr>
      </w:pPr>
      <w:bookmarkStart w:id="7" w:name="_Toc49418120"/>
      <w:bookmarkStart w:id="8" w:name="_DMBM_17133"/>
      <w:r>
        <w:rPr>
          <w:noProof/>
        </w:rPr>
        <w:lastRenderedPageBreak/>
        <w:t xml:space="preserve">OŚWIADCZENIE KSIĘGOWEGO DOŁĄCZONE DO </w:t>
      </w:r>
      <w:r>
        <w:rPr>
          <w:noProof/>
        </w:rPr>
        <w:t>SKONSOLIDOWANEGO SPRAWOZDANIA FINANSOWEGO</w:t>
      </w:r>
      <w:bookmarkEnd w:id="7"/>
    </w:p>
    <w:p w:rsidR="0043277E" w:rsidRDefault="0043277E">
      <w:pPr>
        <w:pStyle w:val="DGTextstand-alone"/>
      </w:pPr>
    </w:p>
    <w:p w:rsidR="0043277E" w:rsidRDefault="000F2348">
      <w:pPr>
        <w:pStyle w:val="DGTextstand-alone"/>
      </w:pPr>
      <w:r>
        <w:t>Skonsolidowane roczne sprawozdanie finansowe Unii Europejskiej za 2019 r. sporządzono na podstawie informacji przedstawionych przez instytucje i organy na mocy art. 246 ust. 2 rozporządzenia finansowego mającego z</w:t>
      </w:r>
      <w:r>
        <w:t>astosowanie do budżetu ogólnego Unii Europejskiej. Niniejszym oświadczam, że sprawozdanie to zostało sporządzone zgodnie z tytułem XIII tego rozporządzenia finansowego oraz z zasadami, regułami i metodami rachunkowości określonymi w informacji dodatkowej d</w:t>
      </w:r>
      <w:r>
        <w:t>o sprawozdania finansowego.</w:t>
      </w:r>
    </w:p>
    <w:p w:rsidR="0043277E" w:rsidRDefault="000F2348">
      <w:pPr>
        <w:pStyle w:val="DGTextstand-alone"/>
      </w:pPr>
      <w:r>
        <w:t xml:space="preserve">Księgowi tych instytucji i organów przekazali mi wszystkie informacje niezbędne w celu sporządzenia sprawozdania prezentującego aktywa i zobowiązania Unii Europejskiej oraz wykonanie budżetu, jak również potwierdzili ich </w:t>
      </w:r>
      <w:r>
        <w:t>wiarygodność.</w:t>
      </w:r>
    </w:p>
    <w:p w:rsidR="0043277E" w:rsidRDefault="000F2348">
      <w:pPr>
        <w:pStyle w:val="DGTextstand-alone"/>
      </w:pPr>
      <w:r>
        <w:t>Niniejszym poświadczam, że w oparciu o wyżej wymienione informacje oraz kontrole, które uznałem za niezbędne przed podpisaniem sprawozdania finansowego Komisji Europejskiej, mam wystarczającą pewność, że sprawozdanie rzetelnie przedstawia, we</w:t>
      </w:r>
      <w:r>
        <w:t xml:space="preserve"> wszystkich istotnych aspektach, sytuację finansową, wyniki operacji oraz przepływy pieniężne Unii Europejskiej.</w:t>
      </w:r>
    </w:p>
    <w:p w:rsidR="0043277E" w:rsidRDefault="0043277E">
      <w:pPr>
        <w:pStyle w:val="DGTextstand-alone"/>
      </w:pPr>
    </w:p>
    <w:p w:rsidR="0043277E" w:rsidRDefault="0043277E">
      <w:pPr>
        <w:pStyle w:val="Textstand-alone"/>
      </w:pPr>
    </w:p>
    <w:p w:rsidR="0043277E" w:rsidRDefault="0043277E">
      <w:pPr>
        <w:pStyle w:val="SignatureRightItalic"/>
        <w:rPr>
          <w:noProof/>
        </w:rPr>
      </w:pPr>
    </w:p>
    <w:p w:rsidR="0043277E" w:rsidRDefault="000F2348">
      <w:pPr>
        <w:pStyle w:val="SignatureRight"/>
        <w:rPr>
          <w:noProof/>
        </w:rPr>
      </w:pPr>
      <w:r>
        <w:rPr>
          <w:noProof/>
        </w:rPr>
        <w:t>Rosa ALDEA BUSQUETS</w:t>
      </w:r>
    </w:p>
    <w:p w:rsidR="0043277E" w:rsidRDefault="000F2348">
      <w:pPr>
        <w:pStyle w:val="SignatureRightBold"/>
        <w:rPr>
          <w:noProof/>
        </w:rPr>
      </w:pPr>
      <w:r>
        <w:rPr>
          <w:noProof/>
        </w:rPr>
        <w:t>Księgowy Komisji</w:t>
      </w:r>
    </w:p>
    <w:p w:rsidR="0043277E" w:rsidRDefault="000F2348">
      <w:pPr>
        <w:pStyle w:val="SignatureRightItalic0"/>
        <w:rPr>
          <w:noProof/>
        </w:rPr>
      </w:pPr>
      <w:r>
        <w:rPr>
          <w:noProof/>
        </w:rPr>
        <w:t>18 czerwca 2020 r.</w:t>
      </w:r>
    </w:p>
    <w:p w:rsidR="0043277E" w:rsidRDefault="000F2348">
      <w:pPr>
        <w:pStyle w:val="SignatureRightItalic0"/>
        <w:rPr>
          <w:noProof/>
        </w:rPr>
        <w:sectPr w:rsidR="0043277E">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r>
        <w:rPr>
          <w:noProof/>
        </w:rPr>
        <w:t xml:space="preserve"> </w:t>
      </w:r>
      <w:bookmarkEnd w:id="8"/>
    </w:p>
    <w:p w:rsidR="0043277E" w:rsidRDefault="000F2348">
      <w:pPr>
        <w:pStyle w:val="FIRSTCHAPTERPAGE"/>
        <w:spacing w:after="0"/>
        <w:rPr>
          <w:noProof/>
        </w:rPr>
      </w:pPr>
      <w:bookmarkStart w:id="9" w:name="_Toc49418121"/>
      <w:bookmarkStart w:id="10" w:name="_DMBM_17257"/>
      <w:r>
        <w:rPr>
          <w:noProof/>
        </w:rPr>
        <w:lastRenderedPageBreak/>
        <w:t>NAJWAŻNIEJSZE WYDARZENIA W ROKU BUDŻETOWYM 2019</w:t>
      </w:r>
      <w:bookmarkEnd w:id="9"/>
    </w:p>
    <w:p w:rsidR="0043277E" w:rsidRDefault="000F2348">
      <w:pPr>
        <w:pStyle w:val="HEADER5"/>
        <w:spacing w:before="240"/>
        <w:rPr>
          <w:noProof/>
          <w:sz w:val="32"/>
        </w:rPr>
      </w:pPr>
      <w:r>
        <w:rPr>
          <w:noProof/>
          <w:sz w:val="32"/>
        </w:rPr>
        <w:t>Wykonanie budżetu Unii na 2019 r.</w:t>
      </w:r>
    </w:p>
    <w:p w:rsidR="0043277E" w:rsidRDefault="000F2348">
      <w:pPr>
        <w:pStyle w:val="DGTextstand-alone"/>
      </w:pPr>
      <w:r>
        <w:t>Budżet UE odgrywa ważną rolę we wspieraniu realizacji unijnych polityk i priorytetów. Mimo ograniczonej kwoty, stanowiącej około 2 % wszystkic</w:t>
      </w:r>
      <w:r>
        <w:t xml:space="preserve">h wydatków publicznych w Unii, uzupełnia on budżety państw członkowskich, wyraźnie koncentrując się na inwestycjach i dodatkowości. Stanowi kluczowe narzędzie wśród szerokiej gamy instrumentów polityki i instrumentów regulacyjnych na szczeblu europejskim, </w:t>
      </w:r>
      <w:r>
        <w:t>służące realizacji priorytetów politycznych uzgodnionych przez wszystkie państwa członkowskie UE, ujętych w formie wieloletnich ram finansowych obejmujących różne programy i maksymalne pułapy wydatków.</w:t>
      </w:r>
    </w:p>
    <w:p w:rsidR="0043277E" w:rsidRDefault="000F2348">
      <w:pPr>
        <w:pStyle w:val="DGTextstand-alone"/>
      </w:pPr>
      <w:r>
        <w:t>Przyjęty w dniu 12 grudnia 2018 r. budżet UE na 2019 r</w:t>
      </w:r>
      <w:r>
        <w:t>. potwierdza, że UE kieruje środki finansowe tam, gdzie są one potrzebne. W roku 2019, zgodnie z wnioskiem Komisji Europejskiej z maja 2018 r., największą część budżetu UE przeznaczono na stymulację tworzenia nowych miejsc pracy, zwłaszcza dla osób młodych</w:t>
      </w:r>
      <w:r>
        <w:t>, oraz pobudzenie wzrostu gospodarczego, inwestycji strategicznych i procesu konwergencji. UE dalej wspierała również działania służące skutecznemu podejmowaniu wyzwań związanych z migracją, zarówno wewnątrz UE, jak i poza jej granicami.</w:t>
      </w:r>
    </w:p>
    <w:p w:rsidR="0043277E" w:rsidRDefault="000F2348">
      <w:pPr>
        <w:pStyle w:val="DGTextstand-alone"/>
      </w:pPr>
      <w:r>
        <w:t>Budżet przyjęty na</w:t>
      </w:r>
      <w:r>
        <w:t> 2019 r. przyczynił się do wzmocnienia i odporności europejskiej gospodarki oraz propagowania solidarności i bezpieczeństwa zarówno w obrębie jej granic, jak i poza jej granicami. Budżet na 2019 r. był przedostatnim budżetem w ramach bieżących wieloletnich</w:t>
      </w:r>
      <w:r>
        <w:t xml:space="preserve"> ram finansowych (WRF). Sprawnie wdrażano prawie wszystkie programy; wyjątkiem były nowe programy, takie jak Europejski program rozwoju przemysłu obronnego czy działania, w przypadku których proces ustawodawczy zakończył się w ostatnim czasie.</w:t>
      </w:r>
    </w:p>
    <w:p w:rsidR="0043277E" w:rsidRDefault="000F2348">
      <w:pPr>
        <w:pStyle w:val="DGTextstand-alone"/>
      </w:pPr>
      <w:r>
        <w:t>Wykonanie bu</w:t>
      </w:r>
      <w:r>
        <w:t>dżetu UE w 2019 r. wyniosło ogółem 178,8 mld EUR w środkach na zobowiązania i 159,1 mld EUR w środkach na płatności. Wykonanie to można uznać za zadowalające, biorąc pod uwagę tylko niewielkie korekty dokonywane w ciągu roku. Po przeniesieniu kwot na 2020 </w:t>
      </w:r>
      <w:r>
        <w:t>r. wykonanie osiągnęło poziom 99,4 % w przypadku środków na zobowiązania i 99,5 % w przypadku środków na płatności.</w:t>
      </w:r>
    </w:p>
    <w:p w:rsidR="0043277E" w:rsidRDefault="000F2348">
      <w:pPr>
        <w:pStyle w:val="DGTextstand-alone"/>
      </w:pPr>
      <w:r>
        <w:t xml:space="preserve">Środki na rzecz wspierania wzrostu gospodarczego i zmniejszania różnic gospodarczych między regionami wyniosły niemal połowę zaangażowanych </w:t>
      </w:r>
      <w:r>
        <w:t>funduszy. W ramach finansowania unijnego przeznaczono 12,4 mld EUR na badania naukowe i innowacje w ramach programu „Horyzont 2020”, m.in. w dziedzinie obliczeń wielkiej skali. Zwiększył się budżet na kształcenie i szkolenie (wzrost o 20 % w przypadku Eras</w:t>
      </w:r>
      <w:r>
        <w:t>mus+ w porównaniu z 2018 r.) oraz infrastrukturę transportową i cyfrową (wzrost o 37 % w przypadku instrumentu „Łącząc Europę”). Wsparcie dla rolnictwa i obszarów wiejskich pozostało stabilne na poziomie 57,9 mld EUR, przyczyniając się również do przeciwdz</w:t>
      </w:r>
      <w:r>
        <w:t>iałania zmianie klimatu oraz do propagowania trwałego wzrostu gospodarczego.</w:t>
      </w:r>
    </w:p>
    <w:p w:rsidR="0043277E" w:rsidRDefault="000F2348">
      <w:pPr>
        <w:pStyle w:val="DGTextstand-alone"/>
      </w:pPr>
      <w:r>
        <w:t>W budżecie na 2019 r. przewidziano niezbędną elastyczność pozwalającą zająć się wewnętrznymi aspektami problemów związanych z migracją – przeznaczono łącznie 1,2 mld EUR na wsparc</w:t>
      </w:r>
      <w:r>
        <w:t>ie Funduszu Azylu, Migracji i Integracji oraz 533 mln EUR na zarządzanie granicami i bezpieczeństwo granic z Funduszu Bezpieczeństwa Wewnętrznego. Przeznaczono również łączną kwotę 5 mln EUR na utworzenie nowego urzędu, Prokuratury Europejskiej, do celów ś</w:t>
      </w:r>
      <w:r>
        <w:t>cigania przestępstw przeciwko budżetowi UE, w tym oszustw, prania pieniędzy i korupcji.</w:t>
      </w:r>
    </w:p>
    <w:p w:rsidR="0043277E" w:rsidRDefault="000F2348">
      <w:pPr>
        <w:pStyle w:val="HEADER5"/>
        <w:spacing w:before="240"/>
        <w:rPr>
          <w:noProof/>
          <w:sz w:val="32"/>
        </w:rPr>
      </w:pPr>
      <w:r>
        <w:rPr>
          <w:noProof/>
          <w:sz w:val="32"/>
        </w:rPr>
        <w:t>Sprawozdania finansowe – najważniejsze wydarzenia</w:t>
      </w:r>
    </w:p>
    <w:p w:rsidR="0043277E" w:rsidRDefault="000F2348">
      <w:pPr>
        <w:pStyle w:val="HEADER5"/>
        <w:spacing w:before="240"/>
        <w:rPr>
          <w:noProof/>
        </w:rPr>
      </w:pPr>
      <w:r>
        <w:rPr>
          <w:noProof/>
        </w:rPr>
        <w:t>Bilans</w:t>
      </w:r>
    </w:p>
    <w:p w:rsidR="0043277E" w:rsidRDefault="000F2348">
      <w:pPr>
        <w:pStyle w:val="DGTextstand-alone"/>
        <w:numPr>
          <w:ilvl w:val="0"/>
          <w:numId w:val="23"/>
        </w:numPr>
      </w:pPr>
      <w:r>
        <w:t xml:space="preserve">W pozycji rzeczowych aktywów trwałych cztery satelity wyniesione na orbitę w 2018 r., w 2019 r. przeszły pomyślnie testy orbitalne. W 2019 r. dodano je do konstelacji operacyjnej, co zwiększyło liczbę satelitów do 26 – zob. informacja dodatkowa </w:t>
      </w:r>
      <w:r>
        <w:rPr>
          <w:b/>
          <w:color w:val="016794"/>
        </w:rPr>
        <w:t>2.2</w:t>
      </w:r>
      <w:r>
        <w:t>.</w:t>
      </w:r>
    </w:p>
    <w:p w:rsidR="0043277E" w:rsidRDefault="000F2348">
      <w:pPr>
        <w:pStyle w:val="DGTextstand-alone"/>
        <w:numPr>
          <w:ilvl w:val="0"/>
          <w:numId w:val="23"/>
        </w:numPr>
      </w:pPr>
      <w:r>
        <w:t>Wartoś</w:t>
      </w:r>
      <w:r>
        <w:t>ć aktywów finansowych dostępnych do sprzedaży wzrosła o 3,0 mld EUR dzięki dalszemu finansowaniu funduszy gwarancyjnych EFIS i EFZR oraz instrumentów finansowych programu „Horyzont 2020”. Stan udzielonych pożyczek zmniejszył się o 1,3 mld EUR w następstwie</w:t>
      </w:r>
      <w:r>
        <w:t xml:space="preserve"> spłaty przez Rumunię i Łotwę pożyczek wypłaconych w ramach bilansu płatniczego, co zostało częściowo </w:t>
      </w:r>
      <w:r>
        <w:lastRenderedPageBreak/>
        <w:t xml:space="preserve">skompensowane przez nowe pożyczki udzielone w ramach pomocy makrofinansowej – zob. informacja dodatkowa </w:t>
      </w:r>
      <w:r>
        <w:rPr>
          <w:b/>
          <w:color w:val="016794"/>
        </w:rPr>
        <w:t>2.4</w:t>
      </w:r>
      <w:r>
        <w:t>.</w:t>
      </w:r>
    </w:p>
    <w:p w:rsidR="0043277E" w:rsidRDefault="000F2348">
      <w:pPr>
        <w:pStyle w:val="DGTextstand-alone"/>
        <w:numPr>
          <w:ilvl w:val="0"/>
          <w:numId w:val="23"/>
        </w:numPr>
      </w:pPr>
      <w:r>
        <w:t xml:space="preserve">Płatności zaliczkowe (tj. zaliczki wypłacone </w:t>
      </w:r>
      <w:r>
        <w:t xml:space="preserve">beneficjentom środków unijnych) wzrosły nieznaczenie o 1,5 mld EUR do kwoty 51,4 mld EUR – zob. informacja dodatkowa </w:t>
      </w:r>
      <w:r>
        <w:rPr>
          <w:b/>
          <w:color w:val="016794"/>
        </w:rPr>
        <w:t>2.5</w:t>
      </w:r>
      <w:r>
        <w:t>.</w:t>
      </w:r>
    </w:p>
    <w:p w:rsidR="0043277E" w:rsidRDefault="000F2348">
      <w:pPr>
        <w:pStyle w:val="DGTextstand-alone"/>
        <w:numPr>
          <w:ilvl w:val="0"/>
          <w:numId w:val="23"/>
        </w:numPr>
      </w:pPr>
      <w:r>
        <w:t xml:space="preserve">Ogółem łączne kwoty należności i kwot należnych utrzymały się na poziomie zbliżonym do ubiegłorocznego i wyniosły 24,0 mld EUR – zob. </w:t>
      </w:r>
      <w:r>
        <w:t xml:space="preserve">informacja dodatkowa </w:t>
      </w:r>
      <w:r>
        <w:rPr>
          <w:b/>
          <w:color w:val="016794"/>
        </w:rPr>
        <w:t>2.6</w:t>
      </w:r>
      <w:r>
        <w:t>.</w:t>
      </w:r>
    </w:p>
    <w:p w:rsidR="0043277E" w:rsidRDefault="000F2348">
      <w:pPr>
        <w:pStyle w:val="DGTextstand-alone"/>
        <w:numPr>
          <w:ilvl w:val="0"/>
          <w:numId w:val="23"/>
        </w:numPr>
      </w:pPr>
      <w:r>
        <w:t>Spadek długoterminowej stopy procentowej wykorzystywanej do wyceny świadczeń z tytułu świadczeń pracowniczych (tzw. stopy dyskontowej), która po raz pierwszy była ujemna, doprowadził do znacznego wzrostu, o 17,2 mld EUR, zobowiąza</w:t>
      </w:r>
      <w:r>
        <w:t xml:space="preserve">ń na koniec roku – zob. informacja dodatkowa </w:t>
      </w:r>
      <w:r>
        <w:rPr>
          <w:b/>
          <w:color w:val="016794"/>
        </w:rPr>
        <w:t>2.9</w:t>
      </w:r>
      <w:r>
        <w:t>.</w:t>
      </w:r>
    </w:p>
    <w:p w:rsidR="0043277E" w:rsidRDefault="000F2348">
      <w:pPr>
        <w:pStyle w:val="DGTextstand-alone"/>
        <w:numPr>
          <w:ilvl w:val="0"/>
          <w:numId w:val="23"/>
        </w:numPr>
      </w:pPr>
      <w:r>
        <w:t>Spłata pożyczek zaciągniętych na pokrycie deficytu bilansu płatniczego w wysokości 1,5 mld EUR spowodowała zmniejszenie stanu zobowiązań finansowych, które zostało częściowo skompensowane przez nowo zaciągn</w:t>
      </w:r>
      <w:r>
        <w:t xml:space="preserve">ięte pożyczki związane z pożyczkami udzielonymi w ramach pomocy makrofinansowej – zob. informacja dodatkowa </w:t>
      </w:r>
      <w:r>
        <w:rPr>
          <w:b/>
          <w:color w:val="016794"/>
        </w:rPr>
        <w:t>2.11</w:t>
      </w:r>
      <w:r>
        <w:t>.</w:t>
      </w:r>
    </w:p>
    <w:p w:rsidR="0043277E" w:rsidRDefault="000F2348">
      <w:pPr>
        <w:pStyle w:val="DGTextstand-alone"/>
        <w:numPr>
          <w:ilvl w:val="0"/>
          <w:numId w:val="23"/>
        </w:numPr>
        <w:rPr>
          <w:u w:val="single"/>
        </w:rPr>
      </w:pPr>
      <w:r>
        <w:t>Zobowiązania i rozliczenia międzyokresowe pozostały na poziomie zbliżonym do poziomu z 2018 r. i wyniosły łącznie 94,1 mld EUR – zob. informac</w:t>
      </w:r>
      <w:r>
        <w:t xml:space="preserve">je dodatkowe </w:t>
      </w:r>
      <w:r>
        <w:rPr>
          <w:b/>
          <w:color w:val="016794"/>
        </w:rPr>
        <w:t>2.12</w:t>
      </w:r>
      <w:r>
        <w:t xml:space="preserve"> i </w:t>
      </w:r>
      <w:r>
        <w:rPr>
          <w:b/>
          <w:color w:val="016794"/>
        </w:rPr>
        <w:t>2.13</w:t>
      </w:r>
      <w:r>
        <w:t>.</w:t>
      </w:r>
    </w:p>
    <w:p w:rsidR="0043277E" w:rsidRDefault="000F2348">
      <w:pPr>
        <w:pStyle w:val="HEADER5"/>
        <w:rPr>
          <w:noProof/>
        </w:rPr>
      </w:pPr>
      <w:r>
        <w:rPr>
          <w:noProof/>
        </w:rPr>
        <w:t>Sprawozdanie z finansowych wyników działalności</w:t>
      </w:r>
    </w:p>
    <w:p w:rsidR="0043277E" w:rsidRDefault="000F2348">
      <w:pPr>
        <w:pStyle w:val="DGTextstand-alone"/>
        <w:numPr>
          <w:ilvl w:val="0"/>
          <w:numId w:val="23"/>
        </w:numPr>
        <w:rPr>
          <w:u w:val="single"/>
        </w:rPr>
      </w:pPr>
      <w:r>
        <w:t xml:space="preserve">Po stronie przychodów odnotowano wzrost o 3,0 mld EUR zasobów własnych opartych na DNB w następstwie korekt kwot z poprzednich lat (głównie za lata 2012–2017), ponieważ podstawy DNB </w:t>
      </w:r>
      <w:r>
        <w:t xml:space="preserve">zaktualizowano o dane rzeczywiste. W 2019 r. dochody z grzywien wyniosły 4,3 mld EUR – zob. informacja dodatkowa </w:t>
      </w:r>
      <w:r>
        <w:rPr>
          <w:b/>
          <w:color w:val="016794"/>
        </w:rPr>
        <w:t>3.1/3.4</w:t>
      </w:r>
      <w:r>
        <w:t>.</w:t>
      </w:r>
    </w:p>
    <w:p w:rsidR="0043277E" w:rsidRDefault="000F2348">
      <w:pPr>
        <w:pStyle w:val="DGTextstand-alone"/>
        <w:numPr>
          <w:ilvl w:val="0"/>
          <w:numId w:val="23"/>
        </w:numPr>
        <w:rPr>
          <w:u w:val="single"/>
        </w:rPr>
      </w:pPr>
      <w:r>
        <w:t>Wydatki poniesione w ramach zarządzania dzielonego wzrosły o 4,8 mld EUR, co wynika z poprawy realizacji programów w ramach EFRR i Fun</w:t>
      </w:r>
      <w:r>
        <w:t xml:space="preserve">duszu Spójności w trakcie obowiązywania obecnych wieloletnich ram finansowych – zob. informacja dodatkowa </w:t>
      </w:r>
      <w:r>
        <w:rPr>
          <w:b/>
          <w:color w:val="016794"/>
        </w:rPr>
        <w:t>3.9</w:t>
      </w:r>
      <w:r>
        <w:rPr>
          <w:color w:val="000000" w:themeColor="text1"/>
        </w:rPr>
        <w:t>.</w:t>
      </w:r>
    </w:p>
    <w:p w:rsidR="0043277E" w:rsidRDefault="000F2348">
      <w:pPr>
        <w:pStyle w:val="HEADER5"/>
        <w:rPr>
          <w:noProof/>
        </w:rPr>
      </w:pPr>
      <w:r>
        <w:rPr>
          <w:noProof/>
        </w:rPr>
        <w:t>Zobowiązania warunkowe</w:t>
      </w:r>
    </w:p>
    <w:p w:rsidR="0043277E" w:rsidRDefault="000F2348">
      <w:pPr>
        <w:pStyle w:val="DGTextstand-alone"/>
        <w:numPr>
          <w:ilvl w:val="0"/>
          <w:numId w:val="23"/>
        </w:numPr>
      </w:pPr>
      <w:r>
        <w:t>W 2019 r. gwarancje budżetowe wzrosły o 2,7 mld EUR w związku z podpisaniem nowych działań w ramach EFIS i upoważnienia EB</w:t>
      </w:r>
      <w:r>
        <w:t xml:space="preserve">I do udzielania pożyczek na rzecz państw trzecich, gwarantowanych przez budżet UE – zob. informacja dodatkowa </w:t>
      </w:r>
      <w:r>
        <w:rPr>
          <w:b/>
          <w:color w:val="016794"/>
        </w:rPr>
        <w:t>4.1.1</w:t>
      </w:r>
      <w:r>
        <w:t>.</w:t>
      </w:r>
      <w:bookmarkEnd w:id="10"/>
    </w:p>
    <w:p w:rsidR="0043277E" w:rsidRDefault="0043277E">
      <w:pPr>
        <w:pStyle w:val="DGTextstand-alone"/>
        <w:numPr>
          <w:ilvl w:val="0"/>
          <w:numId w:val="23"/>
        </w:numPr>
        <w:sectPr w:rsidR="0043277E">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rsidR="0043277E" w:rsidRDefault="000F2348">
      <w:pPr>
        <w:pStyle w:val="FinancialYear"/>
        <w:rPr>
          <w:noProof/>
        </w:rPr>
      </w:pPr>
      <w:bookmarkStart w:id="11" w:name="_DMBM_17119"/>
      <w:r>
        <w:rPr>
          <w:noProof/>
        </w:rPr>
        <w:lastRenderedPageBreak/>
        <w:t>UNIA EUROPEJSKA</w:t>
      </w:r>
    </w:p>
    <w:p w:rsidR="0043277E" w:rsidRDefault="000F2348">
      <w:pPr>
        <w:pStyle w:val="FinancialYear"/>
        <w:rPr>
          <w:noProof/>
        </w:rPr>
      </w:pPr>
      <w:r>
        <w:rPr>
          <w:noProof/>
        </w:rPr>
        <w:t xml:space="preserve">ROK </w:t>
      </w:r>
      <w:r>
        <w:rPr>
          <w:noProof/>
        </w:rPr>
        <w:t>BUDŻETOWY 2019</w:t>
      </w:r>
    </w:p>
    <w:p w:rsidR="0043277E" w:rsidRDefault="0043277E">
      <w:pPr>
        <w:pStyle w:val="FIRSTCHAPTERPAGE"/>
        <w:rPr>
          <w:noProof/>
        </w:rPr>
      </w:pPr>
    </w:p>
    <w:p w:rsidR="0043277E" w:rsidRDefault="0043277E">
      <w:pPr>
        <w:pStyle w:val="FIRSTCHAPTERPAGE"/>
        <w:rPr>
          <w:noProof/>
        </w:rPr>
      </w:pPr>
    </w:p>
    <w:p w:rsidR="0043277E" w:rsidRDefault="0043277E">
      <w:pPr>
        <w:pStyle w:val="FIRSTCHAPTERPAGE"/>
        <w:rPr>
          <w:noProof/>
        </w:rPr>
      </w:pPr>
    </w:p>
    <w:p w:rsidR="0043277E" w:rsidRDefault="0043277E">
      <w:pPr>
        <w:pStyle w:val="FIRSTCHAPTERPAGE"/>
        <w:rPr>
          <w:noProof/>
        </w:rPr>
      </w:pPr>
    </w:p>
    <w:p w:rsidR="0043277E" w:rsidRDefault="000F2348">
      <w:pPr>
        <w:pStyle w:val="FIRSTCHAPTERPAGE"/>
        <w:rPr>
          <w:noProof/>
        </w:rPr>
      </w:pPr>
      <w:bookmarkStart w:id="12" w:name="_Toc49418122"/>
      <w:r>
        <w:rPr>
          <w:noProof/>
        </w:rPr>
        <w:t>SKONSOLIDOWANE SPRAWOZDANIE FINANSOWE ORAZ INFORMACJE DODATKOWE</w:t>
      </w:r>
      <w:bookmarkEnd w:id="12"/>
    </w:p>
    <w:p w:rsidR="0043277E" w:rsidRDefault="0043277E">
      <w:pPr>
        <w:pStyle w:val="FIRSTCHAPTERPAGE"/>
        <w:rPr>
          <w:noProof/>
        </w:rPr>
      </w:pPr>
    </w:p>
    <w:p w:rsidR="0043277E" w:rsidRDefault="0043277E">
      <w:pPr>
        <w:pStyle w:val="FIRSTCHAPTERPAGE"/>
        <w:rPr>
          <w:noProof/>
        </w:rPr>
      </w:pPr>
    </w:p>
    <w:p w:rsidR="0043277E" w:rsidRDefault="0043277E">
      <w:pPr>
        <w:pStyle w:val="FIRSTCHAPTERPAGE"/>
        <w:rPr>
          <w:noProof/>
        </w:rPr>
      </w:pPr>
    </w:p>
    <w:p w:rsidR="0043277E" w:rsidRDefault="0043277E">
      <w:pPr>
        <w:pStyle w:val="FIRSTCHAPTERPAGE"/>
        <w:rPr>
          <w:noProof/>
        </w:rPr>
      </w:pPr>
    </w:p>
    <w:p w:rsidR="0043277E" w:rsidRDefault="0043277E">
      <w:pPr>
        <w:pStyle w:val="FIRSTCHAPTERPAGE"/>
        <w:rPr>
          <w:noProof/>
        </w:rPr>
      </w:pPr>
    </w:p>
    <w:p w:rsidR="0043277E" w:rsidRDefault="000F2348">
      <w:pPr>
        <w:pStyle w:val="TOPHEADERNOTE"/>
        <w:rPr>
          <w:noProof/>
        </w:rPr>
        <w:sectPr w:rsidR="0043277E">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r>
        <w:rPr>
          <w:noProof/>
        </w:rPr>
        <w:t xml:space="preserve">Należy zauważyć, że w związku z zaokrągleniem danych </w:t>
      </w:r>
      <w:r>
        <w:rPr>
          <w:noProof/>
        </w:rPr>
        <w:t>liczbowych do mln EUR może się wydawać, że niektóre dane finansowe w poniższych tabelach nie sumują się.</w:t>
      </w:r>
      <w:bookmarkEnd w:id="11"/>
    </w:p>
    <w:p w:rsidR="0043277E" w:rsidRDefault="000F2348">
      <w:pPr>
        <w:pStyle w:val="HEADERTABLE"/>
        <w:rPr>
          <w:noProof/>
        </w:rPr>
      </w:pPr>
      <w:bookmarkStart w:id="13" w:name="_DMBM_17156"/>
      <w:r>
        <w:rPr>
          <w:noProof/>
        </w:rPr>
        <w:lastRenderedPageBreak/>
        <w:t>SPIS TREŚCI</w:t>
      </w:r>
    </w:p>
    <w:p w:rsidR="0043277E" w:rsidRDefault="0043277E">
      <w:pPr>
        <w:pStyle w:val="Textstand-alone"/>
      </w:pPr>
    </w:p>
    <w:p w:rsidR="0043277E" w:rsidRDefault="000F2348">
      <w:pPr>
        <w:pStyle w:val="TOC1"/>
        <w:tabs>
          <w:tab w:val="right" w:leader="dot" w:pos="9628"/>
        </w:tabs>
        <w:rPr>
          <w:rFonts w:asciiTheme="minorHAnsi" w:eastAsiaTheme="minorEastAsia" w:hAnsiTheme="minorHAnsi" w:cstheme="minorBidi"/>
          <w:noProof/>
          <w:color w:val="auto"/>
          <w:szCs w:val="22"/>
          <w:lang w:eastAsia="en-US"/>
        </w:rPr>
      </w:pPr>
      <w:r>
        <w:rPr>
          <w:noProof/>
          <w:color w:val="016894"/>
          <w:sz w:val="20"/>
        </w:rPr>
        <w:fldChar w:fldCharType="begin"/>
      </w:r>
      <w:r>
        <w:rPr>
          <w:noProof/>
          <w:color w:val="016894"/>
          <w:sz w:val="20"/>
        </w:rPr>
        <w:instrText xml:space="preserve"> TOC \o "1-3" \h \z \t "HEADER 1_NOTES;2;HEADER_TITLE_1;1" </w:instrText>
      </w:r>
      <w:r>
        <w:rPr>
          <w:noProof/>
          <w:color w:val="016894"/>
          <w:sz w:val="20"/>
        </w:rPr>
        <w:fldChar w:fldCharType="separate"/>
      </w:r>
      <w:hyperlink w:anchor="_Toc49413480" w:history="1">
        <w:r>
          <w:rPr>
            <w:rStyle w:val="Hyperlink"/>
            <w:noProof/>
          </w:rPr>
          <w:t>BILANS</w:t>
        </w:r>
        <w:r>
          <w:rPr>
            <w:noProof/>
            <w:webHidden/>
          </w:rPr>
          <w:tab/>
        </w:r>
        <w:r>
          <w:rPr>
            <w:noProof/>
            <w:webHidden/>
          </w:rPr>
          <w:fldChar w:fldCharType="begin"/>
        </w:r>
        <w:r>
          <w:rPr>
            <w:noProof/>
            <w:webHidden/>
          </w:rPr>
          <w:instrText xml:space="preserve"> PAGEREF _Toc49413480 \h </w:instrText>
        </w:r>
        <w:r>
          <w:rPr>
            <w:noProof/>
            <w:webHidden/>
          </w:rPr>
        </w:r>
        <w:r>
          <w:rPr>
            <w:noProof/>
            <w:webHidden/>
          </w:rPr>
          <w:fldChar w:fldCharType="separate"/>
        </w:r>
        <w:r>
          <w:rPr>
            <w:noProof/>
            <w:webHidden/>
          </w:rPr>
          <w:t>15</w:t>
        </w:r>
        <w:r>
          <w:rPr>
            <w:noProof/>
            <w:webHidden/>
          </w:rPr>
          <w:fldChar w:fldCharType="end"/>
        </w:r>
      </w:hyperlink>
    </w:p>
    <w:p w:rsidR="0043277E" w:rsidRDefault="000F2348">
      <w:pPr>
        <w:pStyle w:val="TOC1"/>
        <w:tabs>
          <w:tab w:val="right" w:leader="dot" w:pos="9628"/>
        </w:tabs>
        <w:rPr>
          <w:rFonts w:asciiTheme="minorHAnsi" w:eastAsiaTheme="minorEastAsia" w:hAnsiTheme="minorHAnsi" w:cstheme="minorBidi"/>
          <w:noProof/>
          <w:color w:val="auto"/>
          <w:szCs w:val="22"/>
          <w:lang w:eastAsia="en-US"/>
        </w:rPr>
      </w:pPr>
      <w:hyperlink w:anchor="_Toc49413481" w:history="1">
        <w:r>
          <w:rPr>
            <w:rStyle w:val="Hyperlink"/>
            <w:noProof/>
          </w:rPr>
          <w:t>SPRAWOZDANIE Z FINANSOWYCH WYNIKÓW DZIAŁALNOŚCI</w:t>
        </w:r>
        <w:r>
          <w:rPr>
            <w:noProof/>
            <w:webHidden/>
          </w:rPr>
          <w:tab/>
        </w:r>
        <w:r>
          <w:rPr>
            <w:noProof/>
            <w:webHidden/>
          </w:rPr>
          <w:fldChar w:fldCharType="begin"/>
        </w:r>
        <w:r>
          <w:rPr>
            <w:noProof/>
            <w:webHidden/>
          </w:rPr>
          <w:instrText xml:space="preserve"> PAGEREF _Toc49413481 \h </w:instrText>
        </w:r>
        <w:r>
          <w:rPr>
            <w:noProof/>
            <w:webHidden/>
          </w:rPr>
        </w:r>
        <w:r>
          <w:rPr>
            <w:noProof/>
            <w:webHidden/>
          </w:rPr>
          <w:fldChar w:fldCharType="separate"/>
        </w:r>
        <w:r>
          <w:rPr>
            <w:noProof/>
            <w:webHidden/>
          </w:rPr>
          <w:t>16</w:t>
        </w:r>
        <w:r>
          <w:rPr>
            <w:noProof/>
            <w:webHidden/>
          </w:rPr>
          <w:fldChar w:fldCharType="end"/>
        </w:r>
      </w:hyperlink>
    </w:p>
    <w:p w:rsidR="0043277E" w:rsidRDefault="000F2348">
      <w:pPr>
        <w:pStyle w:val="TOC1"/>
        <w:tabs>
          <w:tab w:val="right" w:leader="dot" w:pos="9628"/>
        </w:tabs>
        <w:rPr>
          <w:rFonts w:asciiTheme="minorHAnsi" w:eastAsiaTheme="minorEastAsia" w:hAnsiTheme="minorHAnsi" w:cstheme="minorBidi"/>
          <w:noProof/>
          <w:color w:val="auto"/>
          <w:szCs w:val="22"/>
          <w:lang w:eastAsia="en-US"/>
        </w:rPr>
      </w:pPr>
      <w:hyperlink w:anchor="_Toc49413482" w:history="1">
        <w:r>
          <w:rPr>
            <w:rStyle w:val="Hyperlink"/>
            <w:noProof/>
          </w:rPr>
          <w:t>RACHUNEK PRZEPŁYWÓW PIENIĘŻNYCH</w:t>
        </w:r>
        <w:r>
          <w:rPr>
            <w:noProof/>
            <w:webHidden/>
          </w:rPr>
          <w:tab/>
        </w:r>
        <w:r>
          <w:rPr>
            <w:noProof/>
            <w:webHidden/>
          </w:rPr>
          <w:fldChar w:fldCharType="begin"/>
        </w:r>
        <w:r>
          <w:rPr>
            <w:noProof/>
            <w:webHidden/>
          </w:rPr>
          <w:instrText xml:space="preserve"> PAGEREF _Toc49413482 \h </w:instrText>
        </w:r>
        <w:r>
          <w:rPr>
            <w:noProof/>
            <w:webHidden/>
          </w:rPr>
        </w:r>
        <w:r>
          <w:rPr>
            <w:noProof/>
            <w:webHidden/>
          </w:rPr>
          <w:fldChar w:fldCharType="separate"/>
        </w:r>
        <w:r>
          <w:rPr>
            <w:noProof/>
            <w:webHidden/>
          </w:rPr>
          <w:t>17</w:t>
        </w:r>
        <w:r>
          <w:rPr>
            <w:noProof/>
            <w:webHidden/>
          </w:rPr>
          <w:fldChar w:fldCharType="end"/>
        </w:r>
      </w:hyperlink>
    </w:p>
    <w:p w:rsidR="0043277E" w:rsidRDefault="000F2348">
      <w:pPr>
        <w:pStyle w:val="TOC1"/>
        <w:tabs>
          <w:tab w:val="right" w:leader="dot" w:pos="9628"/>
        </w:tabs>
        <w:rPr>
          <w:rFonts w:asciiTheme="minorHAnsi" w:eastAsiaTheme="minorEastAsia" w:hAnsiTheme="minorHAnsi" w:cstheme="minorBidi"/>
          <w:noProof/>
          <w:color w:val="auto"/>
          <w:szCs w:val="22"/>
          <w:lang w:eastAsia="en-US"/>
        </w:rPr>
      </w:pPr>
      <w:hyperlink w:anchor="_Toc49413483" w:history="1">
        <w:r>
          <w:rPr>
            <w:rStyle w:val="Hyperlink"/>
            <w:noProof/>
          </w:rPr>
          <w:t>ZESTAWIENIE ZMIAN W AKTYWACH NETTO</w:t>
        </w:r>
        <w:r>
          <w:rPr>
            <w:noProof/>
            <w:webHidden/>
          </w:rPr>
          <w:tab/>
        </w:r>
        <w:r>
          <w:rPr>
            <w:noProof/>
            <w:webHidden/>
          </w:rPr>
          <w:fldChar w:fldCharType="begin"/>
        </w:r>
        <w:r>
          <w:rPr>
            <w:noProof/>
            <w:webHidden/>
          </w:rPr>
          <w:instrText xml:space="preserve"> PAGEREF _Toc49413483 \h </w:instrText>
        </w:r>
        <w:r>
          <w:rPr>
            <w:noProof/>
            <w:webHidden/>
          </w:rPr>
        </w:r>
        <w:r>
          <w:rPr>
            <w:noProof/>
            <w:webHidden/>
          </w:rPr>
          <w:fldChar w:fldCharType="separate"/>
        </w:r>
        <w:r>
          <w:rPr>
            <w:noProof/>
            <w:webHidden/>
          </w:rPr>
          <w:t>18</w:t>
        </w:r>
        <w:r>
          <w:rPr>
            <w:noProof/>
            <w:webHidden/>
          </w:rPr>
          <w:fldChar w:fldCharType="end"/>
        </w:r>
      </w:hyperlink>
    </w:p>
    <w:p w:rsidR="0043277E" w:rsidRDefault="000F2348">
      <w:pPr>
        <w:pStyle w:val="TOC1"/>
        <w:tabs>
          <w:tab w:val="right" w:leader="dot" w:pos="9628"/>
        </w:tabs>
        <w:rPr>
          <w:rFonts w:asciiTheme="minorHAnsi" w:eastAsiaTheme="minorEastAsia" w:hAnsiTheme="minorHAnsi" w:cstheme="minorBidi"/>
          <w:noProof/>
          <w:color w:val="auto"/>
          <w:szCs w:val="22"/>
          <w:lang w:eastAsia="en-US"/>
        </w:rPr>
      </w:pPr>
      <w:hyperlink w:anchor="_Toc49413484" w:history="1">
        <w:r>
          <w:rPr>
            <w:rStyle w:val="Hyperlink"/>
            <w:noProof/>
          </w:rPr>
          <w:t>INFORMACJA DODATKOWA DO SPRAWOZDANIA FINANSOWEGO</w:t>
        </w:r>
        <w:r>
          <w:rPr>
            <w:noProof/>
            <w:webHidden/>
          </w:rPr>
          <w:tab/>
        </w:r>
        <w:r>
          <w:rPr>
            <w:noProof/>
            <w:webHidden/>
          </w:rPr>
          <w:fldChar w:fldCharType="begin"/>
        </w:r>
        <w:r>
          <w:rPr>
            <w:noProof/>
            <w:webHidden/>
          </w:rPr>
          <w:instrText xml:space="preserve"> PAGEREF _Toc49413484 \h </w:instrText>
        </w:r>
        <w:r>
          <w:rPr>
            <w:noProof/>
            <w:webHidden/>
          </w:rPr>
        </w:r>
        <w:r>
          <w:rPr>
            <w:noProof/>
            <w:webHidden/>
          </w:rPr>
          <w:fldChar w:fldCharType="separate"/>
        </w:r>
        <w:r>
          <w:rPr>
            <w:noProof/>
            <w:webHidden/>
          </w:rPr>
          <w:t>19</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85" w:history="1">
        <w:r>
          <w:rPr>
            <w:rStyle w:val="Hyperlink"/>
            <w:noProof/>
          </w:rPr>
          <w:t>1.</w:t>
        </w:r>
        <w:r>
          <w:rPr>
            <w:rFonts w:asciiTheme="minorHAnsi" w:eastAsiaTheme="minorEastAsia" w:hAnsiTheme="minorHAnsi" w:cstheme="minorBidi"/>
            <w:noProof/>
            <w:color w:val="auto"/>
            <w:szCs w:val="22"/>
            <w:lang w:eastAsia="en-US"/>
          </w:rPr>
          <w:tab/>
        </w:r>
        <w:r>
          <w:rPr>
            <w:rStyle w:val="Hyperlink"/>
            <w:noProof/>
          </w:rPr>
          <w:t>ISTOTNE ZASADY (POLITYKI) RACHUNKOWOŚCI</w:t>
        </w:r>
        <w:r>
          <w:rPr>
            <w:noProof/>
            <w:webHidden/>
          </w:rPr>
          <w:tab/>
        </w:r>
        <w:r>
          <w:rPr>
            <w:noProof/>
            <w:webHidden/>
          </w:rPr>
          <w:fldChar w:fldCharType="begin"/>
        </w:r>
        <w:r>
          <w:rPr>
            <w:noProof/>
            <w:webHidden/>
          </w:rPr>
          <w:instrText xml:space="preserve"> PAGEREF _Toc49413485 \h </w:instrText>
        </w:r>
        <w:r>
          <w:rPr>
            <w:noProof/>
            <w:webHidden/>
          </w:rPr>
        </w:r>
        <w:r>
          <w:rPr>
            <w:noProof/>
            <w:webHidden/>
          </w:rPr>
          <w:fldChar w:fldCharType="separate"/>
        </w:r>
        <w:r>
          <w:rPr>
            <w:noProof/>
            <w:webHidden/>
          </w:rPr>
          <w:t>20</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86" w:history="1">
        <w:r>
          <w:rPr>
            <w:rStyle w:val="Hyperlink"/>
            <w:noProof/>
          </w:rPr>
          <w:t>2.</w:t>
        </w:r>
        <w:r>
          <w:rPr>
            <w:rFonts w:asciiTheme="minorHAnsi" w:eastAsiaTheme="minorEastAsia" w:hAnsiTheme="minorHAnsi" w:cstheme="minorBidi"/>
            <w:noProof/>
            <w:color w:val="auto"/>
            <w:szCs w:val="22"/>
            <w:lang w:eastAsia="en-US"/>
          </w:rPr>
          <w:tab/>
        </w:r>
        <w:r>
          <w:rPr>
            <w:rStyle w:val="Hyperlink"/>
            <w:noProof/>
          </w:rPr>
          <w:t>INFORMACJE DODATKOWE DO BILANSU</w:t>
        </w:r>
        <w:r>
          <w:rPr>
            <w:noProof/>
            <w:webHidden/>
          </w:rPr>
          <w:tab/>
        </w:r>
        <w:r>
          <w:rPr>
            <w:noProof/>
            <w:webHidden/>
          </w:rPr>
          <w:fldChar w:fldCharType="begin"/>
        </w:r>
        <w:r>
          <w:rPr>
            <w:noProof/>
            <w:webHidden/>
          </w:rPr>
          <w:instrText xml:space="preserve"> PAGEREF _Toc49413486 \h </w:instrText>
        </w:r>
        <w:r>
          <w:rPr>
            <w:noProof/>
            <w:webHidden/>
          </w:rPr>
        </w:r>
        <w:r>
          <w:rPr>
            <w:noProof/>
            <w:webHidden/>
          </w:rPr>
          <w:fldChar w:fldCharType="separate"/>
        </w:r>
        <w:r>
          <w:rPr>
            <w:noProof/>
            <w:webHidden/>
          </w:rPr>
          <w:t>39</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87" w:history="1">
        <w:r>
          <w:rPr>
            <w:rStyle w:val="Hyperlink"/>
            <w:noProof/>
          </w:rPr>
          <w:t>3.</w:t>
        </w:r>
        <w:r>
          <w:rPr>
            <w:rFonts w:asciiTheme="minorHAnsi" w:eastAsiaTheme="minorEastAsia" w:hAnsiTheme="minorHAnsi" w:cstheme="minorBidi"/>
            <w:noProof/>
            <w:color w:val="auto"/>
            <w:szCs w:val="22"/>
            <w:lang w:eastAsia="en-US"/>
          </w:rPr>
          <w:tab/>
        </w:r>
        <w:r>
          <w:rPr>
            <w:rStyle w:val="Hyperlink"/>
            <w:noProof/>
          </w:rPr>
          <w:t>INFORMACJE DODATKOWE DO SPRAWOZDANIA Z FINANSOWYCH WYNIKÓW DZIAŁALNOŚCI</w:t>
        </w:r>
        <w:r>
          <w:rPr>
            <w:noProof/>
            <w:webHidden/>
          </w:rPr>
          <w:tab/>
        </w:r>
        <w:r>
          <w:rPr>
            <w:noProof/>
            <w:webHidden/>
          </w:rPr>
          <w:fldChar w:fldCharType="begin"/>
        </w:r>
        <w:r>
          <w:rPr>
            <w:noProof/>
            <w:webHidden/>
          </w:rPr>
          <w:instrText xml:space="preserve"> PAGEREF _Toc49413487 \h </w:instrText>
        </w:r>
        <w:r>
          <w:rPr>
            <w:noProof/>
            <w:webHidden/>
          </w:rPr>
        </w:r>
        <w:r>
          <w:rPr>
            <w:noProof/>
            <w:webHidden/>
          </w:rPr>
          <w:fldChar w:fldCharType="separate"/>
        </w:r>
        <w:r>
          <w:rPr>
            <w:noProof/>
            <w:webHidden/>
          </w:rPr>
          <w:t>79</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88" w:history="1">
        <w:r>
          <w:rPr>
            <w:rStyle w:val="Hyperlink"/>
            <w:noProof/>
          </w:rPr>
          <w:t>4.</w:t>
        </w:r>
        <w:r>
          <w:rPr>
            <w:rFonts w:asciiTheme="minorHAnsi" w:eastAsiaTheme="minorEastAsia" w:hAnsiTheme="minorHAnsi" w:cstheme="minorBidi"/>
            <w:noProof/>
            <w:color w:val="auto"/>
            <w:szCs w:val="22"/>
            <w:lang w:eastAsia="en-US"/>
          </w:rPr>
          <w:tab/>
        </w:r>
        <w:r>
          <w:rPr>
            <w:rStyle w:val="Hyperlink"/>
            <w:noProof/>
          </w:rPr>
          <w:t>ZOBOWIĄZANIA I AKTYWA WARUNKOWE</w:t>
        </w:r>
        <w:r>
          <w:rPr>
            <w:noProof/>
            <w:webHidden/>
          </w:rPr>
          <w:tab/>
        </w:r>
        <w:r>
          <w:rPr>
            <w:noProof/>
            <w:webHidden/>
          </w:rPr>
          <w:fldChar w:fldCharType="begin"/>
        </w:r>
        <w:r>
          <w:rPr>
            <w:noProof/>
            <w:webHidden/>
          </w:rPr>
          <w:instrText xml:space="preserve"> PAGEREF _Toc4941</w:instrText>
        </w:r>
        <w:r>
          <w:rPr>
            <w:noProof/>
            <w:webHidden/>
          </w:rPr>
          <w:instrText xml:space="preserve">3488 \h </w:instrText>
        </w:r>
        <w:r>
          <w:rPr>
            <w:noProof/>
            <w:webHidden/>
          </w:rPr>
        </w:r>
        <w:r>
          <w:rPr>
            <w:noProof/>
            <w:webHidden/>
          </w:rPr>
          <w:fldChar w:fldCharType="separate"/>
        </w:r>
        <w:r>
          <w:rPr>
            <w:noProof/>
            <w:webHidden/>
          </w:rPr>
          <w:t>88</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89" w:history="1">
        <w:r>
          <w:rPr>
            <w:rStyle w:val="Hyperlink"/>
            <w:noProof/>
          </w:rPr>
          <w:t>5.</w:t>
        </w:r>
        <w:r>
          <w:rPr>
            <w:rFonts w:asciiTheme="minorHAnsi" w:eastAsiaTheme="minorEastAsia" w:hAnsiTheme="minorHAnsi" w:cstheme="minorBidi"/>
            <w:noProof/>
            <w:color w:val="auto"/>
            <w:szCs w:val="22"/>
            <w:lang w:eastAsia="en-US"/>
          </w:rPr>
          <w:tab/>
        </w:r>
        <w:r>
          <w:rPr>
            <w:rStyle w:val="Hyperlink"/>
            <w:noProof/>
          </w:rPr>
          <w:t>ZOBOWIĄZANIA BUDŻETOWE I PRAWNE</w:t>
        </w:r>
        <w:r>
          <w:rPr>
            <w:noProof/>
            <w:webHidden/>
          </w:rPr>
          <w:tab/>
        </w:r>
        <w:r>
          <w:rPr>
            <w:noProof/>
            <w:webHidden/>
          </w:rPr>
          <w:fldChar w:fldCharType="begin"/>
        </w:r>
        <w:r>
          <w:rPr>
            <w:noProof/>
            <w:webHidden/>
          </w:rPr>
          <w:instrText xml:space="preserve"> PAGEREF _Toc49413489 \h </w:instrText>
        </w:r>
        <w:r>
          <w:rPr>
            <w:noProof/>
            <w:webHidden/>
          </w:rPr>
        </w:r>
        <w:r>
          <w:rPr>
            <w:noProof/>
            <w:webHidden/>
          </w:rPr>
          <w:fldChar w:fldCharType="separate"/>
        </w:r>
        <w:r>
          <w:rPr>
            <w:noProof/>
            <w:webHidden/>
          </w:rPr>
          <w:t>94</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90" w:history="1">
        <w:r>
          <w:rPr>
            <w:rStyle w:val="Hyperlink"/>
            <w:noProof/>
          </w:rPr>
          <w:t>6.</w:t>
        </w:r>
        <w:r>
          <w:rPr>
            <w:rFonts w:asciiTheme="minorHAnsi" w:eastAsiaTheme="minorEastAsia" w:hAnsiTheme="minorHAnsi" w:cstheme="minorBidi"/>
            <w:noProof/>
            <w:color w:val="auto"/>
            <w:szCs w:val="22"/>
            <w:lang w:eastAsia="en-US"/>
          </w:rPr>
          <w:tab/>
        </w:r>
        <w:r>
          <w:rPr>
            <w:rStyle w:val="Hyperlink"/>
            <w:noProof/>
          </w:rPr>
          <w:t>ZARZĄDZANIE RYZYKIEM FINANSOWYM</w:t>
        </w:r>
        <w:r>
          <w:rPr>
            <w:noProof/>
            <w:webHidden/>
          </w:rPr>
          <w:tab/>
        </w:r>
        <w:r>
          <w:rPr>
            <w:noProof/>
            <w:webHidden/>
          </w:rPr>
          <w:fldChar w:fldCharType="begin"/>
        </w:r>
        <w:r>
          <w:rPr>
            <w:noProof/>
            <w:webHidden/>
          </w:rPr>
          <w:instrText xml:space="preserve"> PAGEREF _Toc49413490 \h </w:instrText>
        </w:r>
        <w:r>
          <w:rPr>
            <w:noProof/>
            <w:webHidden/>
          </w:rPr>
        </w:r>
        <w:r>
          <w:rPr>
            <w:noProof/>
            <w:webHidden/>
          </w:rPr>
          <w:fldChar w:fldCharType="separate"/>
        </w:r>
        <w:r>
          <w:rPr>
            <w:noProof/>
            <w:webHidden/>
          </w:rPr>
          <w:t>99</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91" w:history="1">
        <w:r>
          <w:rPr>
            <w:rStyle w:val="Hyperlink"/>
            <w:noProof/>
          </w:rPr>
          <w:t>7.</w:t>
        </w:r>
        <w:r>
          <w:rPr>
            <w:rFonts w:asciiTheme="minorHAnsi" w:eastAsiaTheme="minorEastAsia" w:hAnsiTheme="minorHAnsi" w:cstheme="minorBidi"/>
            <w:noProof/>
            <w:color w:val="auto"/>
            <w:szCs w:val="22"/>
            <w:lang w:eastAsia="en-US"/>
          </w:rPr>
          <w:tab/>
        </w:r>
        <w:r>
          <w:rPr>
            <w:rStyle w:val="Hyperlink"/>
            <w:noProof/>
          </w:rPr>
          <w:t>UJAWNIENIE INFORMACJI NA TEMAT PODMIOTÓW POWIĄZANYCH</w:t>
        </w:r>
        <w:r>
          <w:rPr>
            <w:noProof/>
            <w:webHidden/>
          </w:rPr>
          <w:tab/>
        </w:r>
        <w:r>
          <w:rPr>
            <w:noProof/>
            <w:webHidden/>
          </w:rPr>
          <w:fldChar w:fldCharType="begin"/>
        </w:r>
        <w:r>
          <w:rPr>
            <w:noProof/>
            <w:webHidden/>
          </w:rPr>
          <w:instrText xml:space="preserve"> PAGEREF</w:instrText>
        </w:r>
        <w:r>
          <w:rPr>
            <w:noProof/>
            <w:webHidden/>
          </w:rPr>
          <w:instrText xml:space="preserve"> _Toc49413491 \h </w:instrText>
        </w:r>
        <w:r>
          <w:rPr>
            <w:noProof/>
            <w:webHidden/>
          </w:rPr>
        </w:r>
        <w:r>
          <w:rPr>
            <w:noProof/>
            <w:webHidden/>
          </w:rPr>
          <w:fldChar w:fldCharType="separate"/>
        </w:r>
        <w:r>
          <w:rPr>
            <w:noProof/>
            <w:webHidden/>
          </w:rPr>
          <w:t>115</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92" w:history="1">
        <w:r>
          <w:rPr>
            <w:rStyle w:val="Hyperlink"/>
            <w:rFonts w:eastAsia="Calibri"/>
            <w:noProof/>
          </w:rPr>
          <w:t>8.</w:t>
        </w:r>
        <w:r>
          <w:rPr>
            <w:rFonts w:asciiTheme="minorHAnsi" w:eastAsiaTheme="minorEastAsia" w:hAnsiTheme="minorHAnsi" w:cstheme="minorBidi"/>
            <w:noProof/>
            <w:color w:val="auto"/>
            <w:szCs w:val="22"/>
            <w:lang w:eastAsia="en-US"/>
          </w:rPr>
          <w:tab/>
        </w:r>
        <w:r>
          <w:rPr>
            <w:rStyle w:val="Hyperlink"/>
            <w:noProof/>
          </w:rPr>
          <w:t>ZDARZENIA NASTĘPUJĄCE PO DNIU BILANSOWYM</w:t>
        </w:r>
        <w:r>
          <w:rPr>
            <w:noProof/>
            <w:webHidden/>
          </w:rPr>
          <w:tab/>
        </w:r>
        <w:r>
          <w:rPr>
            <w:noProof/>
            <w:webHidden/>
          </w:rPr>
          <w:fldChar w:fldCharType="begin"/>
        </w:r>
        <w:r>
          <w:rPr>
            <w:noProof/>
            <w:webHidden/>
          </w:rPr>
          <w:instrText xml:space="preserve"> PAGEREF _Toc49413492 \h </w:instrText>
        </w:r>
        <w:r>
          <w:rPr>
            <w:noProof/>
            <w:webHidden/>
          </w:rPr>
        </w:r>
        <w:r>
          <w:rPr>
            <w:noProof/>
            <w:webHidden/>
          </w:rPr>
          <w:fldChar w:fldCharType="separate"/>
        </w:r>
        <w:r>
          <w:rPr>
            <w:noProof/>
            <w:webHidden/>
          </w:rPr>
          <w:t>118</w:t>
        </w:r>
        <w:r>
          <w:rPr>
            <w:noProof/>
            <w:webHidden/>
          </w:rPr>
          <w:fldChar w:fldCharType="end"/>
        </w:r>
      </w:hyperlink>
    </w:p>
    <w:p w:rsidR="0043277E" w:rsidRDefault="000F2348">
      <w:pPr>
        <w:pStyle w:val="TOC2"/>
        <w:tabs>
          <w:tab w:val="left" w:pos="880"/>
          <w:tab w:val="right" w:leader="dot" w:pos="9628"/>
        </w:tabs>
        <w:rPr>
          <w:rFonts w:asciiTheme="minorHAnsi" w:eastAsiaTheme="minorEastAsia" w:hAnsiTheme="minorHAnsi" w:cstheme="minorBidi"/>
          <w:noProof/>
          <w:color w:val="auto"/>
          <w:szCs w:val="22"/>
          <w:lang w:eastAsia="en-US"/>
        </w:rPr>
      </w:pPr>
      <w:hyperlink w:anchor="_Toc49413493" w:history="1">
        <w:r>
          <w:rPr>
            <w:rStyle w:val="Hyperlink"/>
            <w:rFonts w:eastAsia="Calibri"/>
            <w:noProof/>
          </w:rPr>
          <w:t>9.</w:t>
        </w:r>
        <w:r>
          <w:rPr>
            <w:rFonts w:asciiTheme="minorHAnsi" w:eastAsiaTheme="minorEastAsia" w:hAnsiTheme="minorHAnsi" w:cstheme="minorBidi"/>
            <w:noProof/>
            <w:color w:val="auto"/>
            <w:szCs w:val="22"/>
            <w:lang w:eastAsia="en-US"/>
          </w:rPr>
          <w:tab/>
        </w:r>
        <w:r>
          <w:rPr>
            <w:rStyle w:val="Hyperlink"/>
            <w:noProof/>
          </w:rPr>
          <w:t>ZAKRES KONSOLIDACJI</w:t>
        </w:r>
        <w:r>
          <w:rPr>
            <w:noProof/>
            <w:webHidden/>
          </w:rPr>
          <w:tab/>
        </w:r>
        <w:r>
          <w:rPr>
            <w:noProof/>
            <w:webHidden/>
          </w:rPr>
          <w:fldChar w:fldCharType="begin"/>
        </w:r>
        <w:r>
          <w:rPr>
            <w:noProof/>
            <w:webHidden/>
          </w:rPr>
          <w:instrText xml:space="preserve"> PAGEREF _Toc49413493 \h </w:instrText>
        </w:r>
        <w:r>
          <w:rPr>
            <w:noProof/>
            <w:webHidden/>
          </w:rPr>
        </w:r>
        <w:r>
          <w:rPr>
            <w:noProof/>
            <w:webHidden/>
          </w:rPr>
          <w:fldChar w:fldCharType="separate"/>
        </w:r>
        <w:r>
          <w:rPr>
            <w:noProof/>
            <w:webHidden/>
          </w:rPr>
          <w:t>121</w:t>
        </w:r>
        <w:r>
          <w:rPr>
            <w:noProof/>
            <w:webHidden/>
          </w:rPr>
          <w:fldChar w:fldCharType="end"/>
        </w:r>
      </w:hyperlink>
    </w:p>
    <w:p w:rsidR="0043277E" w:rsidRDefault="000F2348">
      <w:pPr>
        <w:pStyle w:val="Textstand-alone"/>
        <w:sectPr w:rsidR="0043277E">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bookmarkEnd w:id="13"/>
    </w:p>
    <w:p w:rsidR="0043277E" w:rsidRDefault="000F2348">
      <w:pPr>
        <w:pStyle w:val="HEADERTITLE1"/>
        <w:spacing w:after="0"/>
      </w:pPr>
      <w:bookmarkStart w:id="14" w:name="_Toc49413480"/>
      <w:bookmarkStart w:id="15" w:name="_Toc49418123"/>
      <w:bookmarkStart w:id="16" w:name="_DMBM_17158"/>
      <w:r>
        <w:lastRenderedPageBreak/>
        <w:t>BILANS</w:t>
      </w:r>
      <w:bookmarkEnd w:id="14"/>
      <w:bookmarkEnd w:id="15"/>
    </w:p>
    <w:p w:rsidR="0043277E" w:rsidRDefault="0043277E">
      <w:pPr>
        <w:pStyle w:val="HEADERTITLE1"/>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9"/>
        <w:gridCol w:w="1363"/>
        <w:gridCol w:w="1363"/>
        <w:gridCol w:w="1363"/>
      </w:tblGrid>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FFFFFF"/>
                <w:sz w:val="16"/>
              </w:rPr>
            </w:pPr>
            <w:bookmarkStart w:id="17" w:name="DOC_TBL00001_1_1"/>
            <w:bookmarkEnd w:id="17"/>
          </w:p>
        </w:tc>
        <w:tc>
          <w:tcPr>
            <w:tcW w:w="136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3BIPBS"/>
              <w:jc w:val="right"/>
              <w:rPr>
                <w:rFonts w:ascii="Verdana" w:eastAsia="Verdana" w:hAnsi="Verdana" w:cs="Verdana"/>
                <w:i/>
                <w:noProof/>
                <w:color w:val="000000"/>
                <w:sz w:val="16"/>
              </w:rPr>
            </w:pPr>
            <w:r>
              <w:rPr>
                <w:rFonts w:ascii="Verdana" w:hAnsi="Verdana"/>
                <w:i/>
                <w:noProof/>
                <w:color w:val="000000"/>
                <w:sz w:val="16"/>
              </w:rPr>
              <w:t xml:space="preserve"> w mln EUR</w:t>
            </w:r>
          </w:p>
        </w:tc>
      </w:tr>
      <w:tr w:rsidR="0043277E">
        <w:trPr>
          <w:trHeight w:val="255"/>
        </w:trPr>
        <w:tc>
          <w:tcPr>
            <w:tcW w:w="566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3BIPBS"/>
              <w:rPr>
                <w:rFonts w:ascii="Verdana" w:eastAsia="Verdana" w:hAnsi="Verdana" w:cs="Verdana"/>
                <w:noProof/>
                <w:color w:val="FFFFFF"/>
              </w:rPr>
            </w:pP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3BIPBS"/>
              <w:jc w:val="center"/>
              <w:rPr>
                <w:rFonts w:ascii="Verdana" w:eastAsia="Verdana" w:hAnsi="Verdana" w:cs="Verdana"/>
                <w:noProof/>
                <w:color w:val="FFFFFF"/>
              </w:rPr>
            </w:pPr>
            <w:r>
              <w:rPr>
                <w:rFonts w:ascii="Verdana" w:hAnsi="Verdana"/>
                <w:noProof/>
                <w:color w:val="FFFFFF"/>
              </w:rPr>
              <w:t>Informacja dodatkowa</w:t>
            </w: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3BIPBS"/>
              <w:jc w:val="right"/>
              <w:rPr>
                <w:rFonts w:ascii="Verdana" w:eastAsia="Verdana" w:hAnsi="Verdana" w:cs="Verdana"/>
                <w:noProof/>
                <w:color w:val="FFFFFF"/>
              </w:rPr>
            </w:pPr>
            <w:r>
              <w:rPr>
                <w:rFonts w:ascii="Verdana" w:hAnsi="Verdana"/>
                <w:noProof/>
                <w:color w:val="FFFFFF"/>
              </w:rPr>
              <w:t>31.12.2019</w:t>
            </w:r>
          </w:p>
        </w:tc>
        <w:tc>
          <w:tcPr>
            <w:tcW w:w="13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3BIPBS"/>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AKTYWA TRWAŁE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Arial" w:eastAsia="Arial" w:hAnsi="Arial" w:cs="Arial"/>
                <w:noProof/>
                <w:color w:val="000000"/>
                <w:lang w:bidi="en-GB"/>
              </w:rPr>
            </w:pP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Wartości niematerialne i prawne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515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446</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Rzeczowe aktywa trwałe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2.2</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11 380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11 185</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Inwestycje rozliczane zgodnie z metodą praw własności</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2.3</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591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591</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Aktywa finansowe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66 714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65 231</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Płatności zaliczkowe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26 240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26 006</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Należności z tytułu transakcji wymiany i należności z tytułu transakcji innych niż transakcje wymiany</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3 607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416</w:t>
            </w:r>
          </w:p>
        </w:tc>
      </w:tr>
      <w:tr w:rsidR="0043277E">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109 047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103 875</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AKTYWA OBROTOWE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noProof/>
                <w:color w:val="000000"/>
                <w:sz w:val="18"/>
                <w:lang w:bidi="en-GB"/>
              </w:rPr>
            </w:pP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 xml:space="preserve">Aktywa </w:t>
            </w:r>
            <w:r>
              <w:rPr>
                <w:rFonts w:ascii="Verdana" w:hAnsi="Verdana"/>
                <w:i/>
                <w:noProof/>
                <w:color w:val="000000"/>
                <w:sz w:val="18"/>
              </w:rPr>
              <w:t>finansowe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4 514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4 168</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Płatności zaliczkowe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25 206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23 968</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Należności z tytułu transakcji wymiany i należności z tytułu transakcji innych niż transakcje wymiany</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20 367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24 248</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Zapasy</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68</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73</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 xml:space="preserve">Środki pieniężne i ich ekwiwalenty </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2.8</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19 745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18 113</w:t>
            </w:r>
          </w:p>
        </w:tc>
      </w:tr>
      <w:tr w:rsidR="0043277E">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69 900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70 570</w:t>
            </w:r>
          </w:p>
        </w:tc>
      </w:tr>
      <w:tr w:rsidR="0043277E">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AKTYWA OGÓŁEM</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178 947</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174 444</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noProof/>
                <w:color w:val="000000"/>
                <w:sz w:val="18"/>
                <w:lang w:bidi="en-GB"/>
              </w:rPr>
            </w:pP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ZOBOWIĄZANIA DŁUGOTERMINOWE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noProof/>
                <w:color w:val="000000"/>
                <w:sz w:val="18"/>
                <w:lang w:bidi="en-GB"/>
              </w:rPr>
            </w:pP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Świadczenia emerytalno-rentowe oraz inne świadczenia pracownicze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2.9</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(97 659)</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(80 456)</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Rezerwy</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(3 710)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(3 281)</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Zobowiązania finansowe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(53 071)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(53 </w:t>
            </w:r>
            <w:r>
              <w:rPr>
                <w:rFonts w:ascii="Verdana" w:hAnsi="Verdana"/>
                <w:i/>
                <w:noProof/>
                <w:color w:val="000000"/>
                <w:sz w:val="18"/>
              </w:rPr>
              <w:t>289)</w:t>
            </w:r>
          </w:p>
        </w:tc>
      </w:tr>
      <w:tr w:rsidR="0043277E">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(154 440)</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(137 025)</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ZOBOWIĄZANIA KRÓTKOTERMINOWE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noProof/>
                <w:color w:val="000000"/>
                <w:sz w:val="18"/>
                <w:lang w:bidi="en-GB"/>
              </w:rPr>
            </w:pP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Rezerwy</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(1 116)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 (852)</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Zobowiązania finansowe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(1 446)</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(2 617)</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Zobowiązania</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2.12</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(27 241)</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(32 227)</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Bierne rozliczenia międzyokresowe kosztów i przychody przyszłych okresów</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2.13</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 xml:space="preserve">(67 </w:t>
            </w:r>
            <w:r>
              <w:rPr>
                <w:rFonts w:ascii="Verdana" w:hAnsi="Verdana"/>
                <w:i/>
                <w:noProof/>
                <w:color w:val="000000"/>
                <w:sz w:val="18"/>
              </w:rPr>
              <w:t>227)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(63 186)</w:t>
            </w:r>
          </w:p>
        </w:tc>
      </w:tr>
      <w:tr w:rsidR="0043277E">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(97 030)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(98 882)</w:t>
            </w:r>
          </w:p>
        </w:tc>
      </w:tr>
      <w:tr w:rsidR="0043277E">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ZOBOWIĄZANIA OGÓŁEM</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(251 470)</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(235 907)</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noProof/>
                <w:color w:val="000000"/>
                <w:sz w:val="18"/>
                <w:lang w:bidi="en-GB"/>
              </w:rPr>
            </w:pPr>
          </w:p>
        </w:tc>
      </w:tr>
      <w:tr w:rsidR="0043277E">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AKTYWA NETTO</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(61 463)</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3BIPBS"/>
              <w:jc w:val="right"/>
              <w:rPr>
                <w:rFonts w:ascii="Verdana" w:eastAsia="Verdana" w:hAnsi="Verdana" w:cs="Verdana"/>
                <w:b/>
                <w:noProof/>
                <w:color w:val="000000"/>
                <w:sz w:val="18"/>
                <w:lang w:bidi="en-GB"/>
              </w:rPr>
            </w:pP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Kapitały rezerwowe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2.14</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5 037</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4 961</w:t>
            </w:r>
          </w:p>
        </w:tc>
      </w:tr>
      <w:tr w:rsidR="0043277E">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rPr>
                <w:rFonts w:ascii="Verdana" w:eastAsia="Verdana" w:hAnsi="Verdana" w:cs="Verdana"/>
                <w:i/>
                <w:noProof/>
                <w:color w:val="000000"/>
                <w:sz w:val="18"/>
              </w:rPr>
            </w:pPr>
            <w:r>
              <w:rPr>
                <w:rFonts w:ascii="Verdana" w:hAnsi="Verdana"/>
                <w:i/>
                <w:noProof/>
                <w:color w:val="000000"/>
                <w:sz w:val="18"/>
              </w:rPr>
              <w:t>Kwoty, do wniesienia których należy wezwać państwa członkowskie*</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center"/>
              <w:rPr>
                <w:rFonts w:ascii="Verdana" w:eastAsia="Verdana" w:hAnsi="Verdana" w:cs="Verdana"/>
                <w:i/>
                <w:noProof/>
                <w:color w:val="000000"/>
                <w:sz w:val="18"/>
              </w:rPr>
            </w:pPr>
            <w:r>
              <w:rPr>
                <w:rFonts w:ascii="Verdana" w:hAnsi="Verdana"/>
                <w:i/>
                <w:noProof/>
                <w:color w:val="000000"/>
                <w:sz w:val="18"/>
              </w:rPr>
              <w:t>2.15</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(77 560)</w:t>
            </w:r>
          </w:p>
        </w:tc>
        <w:tc>
          <w:tcPr>
            <w:tcW w:w="13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3BIPBS"/>
              <w:jc w:val="right"/>
              <w:rPr>
                <w:rFonts w:ascii="Verdana" w:eastAsia="Verdana" w:hAnsi="Verdana" w:cs="Verdana"/>
                <w:i/>
                <w:noProof/>
                <w:color w:val="000000"/>
                <w:sz w:val="18"/>
              </w:rPr>
            </w:pPr>
            <w:r>
              <w:rPr>
                <w:rFonts w:ascii="Verdana" w:hAnsi="Verdana"/>
                <w:i/>
                <w:noProof/>
                <w:color w:val="000000"/>
                <w:sz w:val="18"/>
              </w:rPr>
              <w:t>(66 424)</w:t>
            </w:r>
          </w:p>
        </w:tc>
      </w:tr>
      <w:tr w:rsidR="0043277E">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rPr>
                <w:rFonts w:ascii="Verdana" w:eastAsia="Verdana" w:hAnsi="Verdana" w:cs="Verdana"/>
                <w:b/>
                <w:noProof/>
                <w:color w:val="000000"/>
                <w:sz w:val="18"/>
              </w:rPr>
            </w:pPr>
            <w:r>
              <w:rPr>
                <w:rFonts w:ascii="Verdana" w:hAnsi="Verdana"/>
                <w:b/>
                <w:noProof/>
                <w:color w:val="000000"/>
                <w:sz w:val="18"/>
              </w:rPr>
              <w:t xml:space="preserve">AKTYWA </w:t>
            </w:r>
            <w:r>
              <w:rPr>
                <w:rFonts w:ascii="Verdana" w:hAnsi="Verdana"/>
                <w:b/>
                <w:noProof/>
                <w:color w:val="000000"/>
                <w:sz w:val="18"/>
              </w:rPr>
              <w:t>NETTO</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3BIPBS"/>
              <w:jc w:val="right"/>
              <w:rPr>
                <w:rFonts w:ascii="Verdana" w:eastAsia="Verdana" w:hAnsi="Verdana" w:cs="Verdana"/>
                <w:b/>
                <w:noProof/>
                <w:color w:val="000000"/>
                <w:sz w:val="18"/>
              </w:rPr>
            </w:pPr>
            <w:r>
              <w:rPr>
                <w:rFonts w:ascii="Verdana" w:hAnsi="Verdana"/>
                <w:b/>
                <w:noProof/>
                <w:color w:val="000000"/>
                <w:sz w:val="18"/>
              </w:rPr>
              <w:t>(61 463)</w:t>
            </w:r>
          </w:p>
        </w:tc>
      </w:tr>
    </w:tbl>
    <w:p w:rsidR="0043277E" w:rsidRDefault="000F2348">
      <w:pPr>
        <w:pStyle w:val="Textstand-alone"/>
        <w:tabs>
          <w:tab w:val="left" w:pos="284"/>
        </w:tabs>
        <w:spacing w:before="60"/>
        <w:ind w:left="284" w:hanging="284"/>
        <w:rPr>
          <w:i/>
          <w:sz w:val="14"/>
        </w:rPr>
      </w:pPr>
      <w:r>
        <w:rPr>
          <w:i/>
          <w:sz w:val="14"/>
        </w:rPr>
        <w:t>*</w:t>
      </w:r>
      <w:r>
        <w:rPr>
          <w:i/>
          <w:sz w:val="14"/>
        </w:rPr>
        <w:tab/>
        <w:t xml:space="preserve">W dniu 4 grudnia 2019 r. Parlament Europejski przyjął budżet, który przewiduje spłatę zobowiązań krótkoterminowych Unii z zasobów własnych, które zostaną pobrane lub do wniesienia których wezwane zostaną państwa członkowskie w </w:t>
      </w:r>
      <w:r>
        <w:rPr>
          <w:i/>
          <w:sz w:val="14"/>
        </w:rPr>
        <w:t>2020 r. Ponadto zgodnie z art. 83 regulaminu pracowniczego (rozporządzenie Rady nr 259/68 z dnia 29 lutego 1968 r. z późn. zm.) państwa członkowskie wspólnie gwarantują wypłacanie świadczeń emerytalnych i rentowych</w:t>
      </w:r>
    </w:p>
    <w:p w:rsidR="0043277E" w:rsidRDefault="000F2348">
      <w:pPr>
        <w:pStyle w:val="Textstand-alone"/>
        <w:rPr>
          <w:i/>
        </w:rPr>
        <w:sectPr w:rsidR="0043277E">
          <w:headerReference w:type="even" r:id="rId83"/>
          <w:headerReference w:type="default" r:id="rId84"/>
          <w:footerReference w:type="even" r:id="rId85"/>
          <w:footerReference w:type="default" r:id="rId86"/>
          <w:headerReference w:type="first" r:id="rId87"/>
          <w:footerReference w:type="first" r:id="rId88"/>
          <w:pgSz w:w="11906" w:h="16838"/>
          <w:pgMar w:top="1134" w:right="1134" w:bottom="1134" w:left="1134" w:header="709" w:footer="709" w:gutter="0"/>
          <w:cols w:space="708"/>
          <w:docGrid w:linePitch="360"/>
        </w:sectPr>
      </w:pPr>
      <w:r>
        <w:rPr>
          <w:i/>
        </w:rPr>
        <w:t xml:space="preserve"> </w:t>
      </w:r>
      <w:bookmarkEnd w:id="16"/>
    </w:p>
    <w:p w:rsidR="0043277E" w:rsidRDefault="000F2348">
      <w:pPr>
        <w:pStyle w:val="HEADERTITLE1"/>
        <w:spacing w:after="0"/>
      </w:pPr>
      <w:bookmarkStart w:id="18" w:name="_Toc49413481"/>
      <w:bookmarkStart w:id="19" w:name="_Toc49418124"/>
      <w:bookmarkStart w:id="20" w:name="_DMBM_17148"/>
      <w:r>
        <w:lastRenderedPageBreak/>
        <w:t>SPRAWOZDANIE Z FINANSOWYCH WYNIKÓW DZIAŁALNOŚCI</w:t>
      </w:r>
      <w:bookmarkEnd w:id="18"/>
      <w:bookmarkEnd w:id="19"/>
    </w:p>
    <w:p w:rsidR="0043277E" w:rsidRDefault="0043277E">
      <w:pPr>
        <w:pStyle w:val="HEADERTITLE1"/>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5"/>
        <w:gridCol w:w="1295"/>
        <w:gridCol w:w="1294"/>
        <w:gridCol w:w="1444"/>
      </w:tblGrid>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rPr>
                <w:rFonts w:ascii="Verdana" w:eastAsia="Verdana" w:hAnsi="Verdana" w:cs="Verdana"/>
                <w:i/>
                <w:noProof/>
                <w:color w:val="FFFFFF"/>
                <w:sz w:val="16"/>
              </w:rPr>
            </w:pPr>
            <w:bookmarkStart w:id="21" w:name="DOC_TBL00002_1_1"/>
            <w:bookmarkEnd w:id="21"/>
          </w:p>
        </w:tc>
        <w:tc>
          <w:tcPr>
            <w:tcW w:w="129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725"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9BIPSOFP"/>
              <w:rPr>
                <w:rFonts w:ascii="Verdana" w:eastAsia="Verdana" w:hAnsi="Verdana" w:cs="Verdana"/>
                <w:noProof/>
                <w:color w:val="FFFFFF"/>
              </w:rPr>
            </w:pPr>
          </w:p>
        </w:tc>
        <w:tc>
          <w:tcPr>
            <w:tcW w:w="129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9BIPSOFP"/>
              <w:jc w:val="center"/>
              <w:rPr>
                <w:rFonts w:ascii="Verdana" w:eastAsia="Verdana" w:hAnsi="Verdana" w:cs="Verdana"/>
                <w:noProof/>
                <w:color w:val="FFFFFF"/>
              </w:rPr>
            </w:pPr>
            <w:r>
              <w:rPr>
                <w:rFonts w:ascii="Verdana" w:hAnsi="Verdana"/>
                <w:noProof/>
                <w:color w:val="FFFFFF"/>
              </w:rPr>
              <w:t>Informacja dodatkowa</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9BIPSOFP"/>
              <w:jc w:val="right"/>
              <w:rPr>
                <w:rFonts w:ascii="Verdana" w:eastAsia="Verdana" w:hAnsi="Verdana" w:cs="Verdana"/>
                <w:noProof/>
                <w:color w:val="FFFFFF"/>
              </w:rPr>
            </w:pPr>
            <w:r>
              <w:rPr>
                <w:rFonts w:ascii="Verdana" w:hAnsi="Verdana"/>
                <w:noProof/>
                <w:color w:val="FFFFFF"/>
              </w:rPr>
              <w:t>2019</w:t>
            </w:r>
          </w:p>
        </w:tc>
        <w:tc>
          <w:tcPr>
            <w:tcW w:w="144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9BIPSOFP"/>
              <w:jc w:val="right"/>
              <w:rPr>
                <w:rFonts w:ascii="Verdana" w:eastAsia="Verdana" w:hAnsi="Verdana" w:cs="Verdana"/>
                <w:noProof/>
                <w:color w:val="FFFFFF"/>
              </w:rPr>
            </w:pPr>
            <w:r>
              <w:rPr>
                <w:rFonts w:ascii="Verdana" w:hAnsi="Verdana"/>
                <w:noProof/>
                <w:color w:val="FFFFFF"/>
              </w:rPr>
              <w:t xml:space="preserve">2018     </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b/>
                <w:noProof/>
                <w:color w:val="000000"/>
                <w:sz w:val="18"/>
              </w:rPr>
            </w:pPr>
            <w:r>
              <w:rPr>
                <w:rFonts w:ascii="Verdana" w:hAnsi="Verdana"/>
                <w:b/>
                <w:noProof/>
                <w:color w:val="000000"/>
                <w:sz w:val="18"/>
              </w:rPr>
              <w:t>PRZYCHODY</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b/>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Arial" w:eastAsia="Arial" w:hAnsi="Arial" w:cs="Arial"/>
                <w:noProof/>
                <w:color w:val="000000"/>
                <w:lang w:bidi="en-GB"/>
              </w:rPr>
            </w:pP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b/>
                <w:noProof/>
                <w:color w:val="000000"/>
                <w:sz w:val="18"/>
              </w:rPr>
            </w:pPr>
            <w:r>
              <w:rPr>
                <w:rFonts w:ascii="Verdana" w:hAnsi="Verdana"/>
                <w:b/>
                <w:noProof/>
                <w:color w:val="000000"/>
                <w:sz w:val="18"/>
              </w:rPr>
              <w:t>Przychody z transakcji innych niż transakcje wymiany</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i/>
                <w:noProof/>
                <w:color w:val="000000"/>
                <w:sz w:val="18"/>
                <w:lang w:bidi="en-GB"/>
              </w:rPr>
            </w:pP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Zasoby </w:t>
            </w:r>
            <w:r>
              <w:rPr>
                <w:rFonts w:ascii="Verdana" w:hAnsi="Verdana"/>
                <w:i/>
                <w:noProof/>
                <w:color w:val="000000"/>
                <w:sz w:val="18"/>
              </w:rPr>
              <w:t>własne oparte na DNB</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108 820</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105 780</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Tradycyjne zasoby własne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3.2</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21 235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22 767</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Zasoby własne oparte na VAT</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3.3</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18 128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17 624</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Grzywny</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3.4</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4 291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6 740</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Odzyskanie wydatków</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3.5</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2 627</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2 215</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Inne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3.6</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2 072</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3 312</w:t>
            </w:r>
          </w:p>
        </w:tc>
      </w:tr>
      <w:tr w:rsidR="0043277E">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9BIPSOFP"/>
              <w:rPr>
                <w:rFonts w:ascii="Verdana" w:eastAsia="Verdana" w:hAnsi="Verdana" w:cs="Verdana"/>
                <w:i/>
                <w:noProof/>
                <w:color w:val="000000"/>
                <w:sz w:val="18"/>
              </w:rPr>
            </w:pPr>
          </w:p>
        </w:tc>
        <w:tc>
          <w:tcPr>
            <w:tcW w:w="12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157 174</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158 438</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b/>
                <w:noProof/>
                <w:color w:val="000000"/>
                <w:sz w:val="18"/>
              </w:rPr>
            </w:pPr>
            <w:r>
              <w:rPr>
                <w:rFonts w:ascii="Verdana" w:hAnsi="Verdana"/>
                <w:b/>
                <w:noProof/>
                <w:color w:val="000000"/>
                <w:sz w:val="18"/>
              </w:rPr>
              <w:t xml:space="preserve">Przychody z </w:t>
            </w:r>
            <w:r>
              <w:rPr>
                <w:rFonts w:ascii="Verdana" w:hAnsi="Verdana"/>
                <w:b/>
                <w:noProof/>
                <w:color w:val="000000"/>
                <w:sz w:val="18"/>
              </w:rPr>
              <w:t>transakcji wymiany</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i/>
                <w:noProof/>
                <w:color w:val="000000"/>
                <w:sz w:val="18"/>
                <w:lang w:bidi="en-GB"/>
              </w:rPr>
            </w:pP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Przychody finansowe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3.7</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1 817</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3 115</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Inne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3.8</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1 298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1 379</w:t>
            </w:r>
          </w:p>
        </w:tc>
      </w:tr>
      <w:tr w:rsidR="0043277E">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9BIPSOFP"/>
              <w:rPr>
                <w:rFonts w:ascii="Verdana" w:eastAsia="Verdana" w:hAnsi="Verdana" w:cs="Verdana"/>
                <w:i/>
                <w:noProof/>
                <w:color w:val="000000"/>
                <w:sz w:val="18"/>
              </w:rPr>
            </w:pPr>
          </w:p>
        </w:tc>
        <w:tc>
          <w:tcPr>
            <w:tcW w:w="12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3 116</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4 494</w:t>
            </w:r>
          </w:p>
        </w:tc>
      </w:tr>
      <w:tr w:rsidR="0043277E">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b/>
                <w:noProof/>
                <w:color w:val="000000"/>
                <w:sz w:val="18"/>
              </w:rPr>
            </w:pPr>
            <w:r>
              <w:rPr>
                <w:rFonts w:ascii="Verdana" w:hAnsi="Verdana"/>
                <w:b/>
                <w:noProof/>
                <w:color w:val="000000"/>
                <w:sz w:val="18"/>
              </w:rPr>
              <w:t>Przychody ogółem</w:t>
            </w:r>
          </w:p>
        </w:tc>
        <w:tc>
          <w:tcPr>
            <w:tcW w:w="12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160 289</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162 932</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b/>
                <w:noProof/>
                <w:color w:val="000000"/>
                <w:sz w:val="18"/>
              </w:rPr>
            </w:pPr>
            <w:r>
              <w:rPr>
                <w:rFonts w:ascii="Verdana" w:hAnsi="Verdana"/>
                <w:b/>
                <w:noProof/>
                <w:color w:val="000000"/>
                <w:sz w:val="18"/>
              </w:rPr>
              <w:t>KOSZTY</w:t>
            </w:r>
          </w:p>
        </w:tc>
        <w:tc>
          <w:tcPr>
            <w:tcW w:w="1295"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single" w:sz="4" w:space="0" w:color="016794"/>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b/>
                <w:noProof/>
                <w:color w:val="000000"/>
                <w:sz w:val="18"/>
              </w:rPr>
            </w:pPr>
          </w:p>
        </w:tc>
        <w:tc>
          <w:tcPr>
            <w:tcW w:w="1444" w:type="dxa"/>
            <w:tcBorders>
              <w:top w:val="single" w:sz="4" w:space="0" w:color="016794"/>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b/>
                <w:noProof/>
                <w:color w:val="000000"/>
                <w:sz w:val="18"/>
                <w:lang w:bidi="en-GB"/>
              </w:rPr>
            </w:pP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Wydatkowane przez państwa członkowskie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3.9</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9BIPSOFP"/>
              <w:jc w:val="right"/>
              <w:rPr>
                <w:rFonts w:ascii="Verdana" w:eastAsia="Verdana" w:hAnsi="Verdana" w:cs="Verdana"/>
                <w:i/>
                <w:noProof/>
                <w:color w:val="000000"/>
                <w:sz w:val="18"/>
                <w:lang w:bidi="en-GB"/>
              </w:rPr>
            </w:pP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     Europejski Fundusz Rolniczy Gwarancji</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(43 951)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(43 527)</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     Europejski Fundusz Rolny na rzecz Rozwoju Obszarów Wiejskich oraz</w:t>
            </w:r>
          </w:p>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     inne instrumenty na rzecz rozwoju obszarów wiejskich</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b/>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(13 541)</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(13 149)</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     Europejski Fundusz Rozwoju Regionalnego i Fundusz Spójności</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(35 178)</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(30 230)</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     Europejski Fundusz Społeczny</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(11 218)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(11 935)</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     Inne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i/>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(2 608)</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(2 826)</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Wydatkowane przez Komisję, agencje wykonawcze i fundusze powiernicze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3.10</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(18 942)</w:t>
            </w:r>
          </w:p>
        </w:tc>
        <w:tc>
          <w:tcPr>
            <w:tcW w:w="14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(17 551)</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Wydatkowane przez inne agencje i organy UE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(3 131)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(3 396)</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 xml:space="preserve">Wydatkowane </w:t>
            </w:r>
            <w:r>
              <w:rPr>
                <w:rFonts w:ascii="Verdana" w:hAnsi="Verdana"/>
                <w:i/>
                <w:noProof/>
                <w:color w:val="000000"/>
                <w:sz w:val="18"/>
              </w:rPr>
              <w:t>przez państwa trzecie i organizacje międzynarodowe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(4 085)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(4 016)</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Wydatkowane przez inne podmioty</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(2 875)</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(3 569)</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Koszty personelu oraz rent i emerytur</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3.12</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(11 366)</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(10 929)</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Koszty finansowe</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3.13</w:t>
            </w: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(1 491)</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(1 677)</w:t>
            </w:r>
          </w:p>
        </w:tc>
      </w:tr>
      <w:tr w:rsidR="0043277E">
        <w:trPr>
          <w:trHeight w:val="255"/>
        </w:trPr>
        <w:tc>
          <w:tcPr>
            <w:tcW w:w="572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i/>
                <w:noProof/>
                <w:color w:val="000000"/>
                <w:sz w:val="18"/>
              </w:rPr>
            </w:pPr>
            <w:r>
              <w:rPr>
                <w:rFonts w:ascii="Verdana" w:hAnsi="Verdana"/>
                <w:i/>
                <w:noProof/>
                <w:color w:val="000000"/>
                <w:sz w:val="18"/>
              </w:rPr>
              <w:t>Inne koszty</w:t>
            </w:r>
          </w:p>
        </w:tc>
        <w:tc>
          <w:tcPr>
            <w:tcW w:w="129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9BIPSOFP"/>
              <w:jc w:val="center"/>
              <w:rPr>
                <w:rFonts w:ascii="Verdana" w:eastAsia="Verdana" w:hAnsi="Verdana" w:cs="Verdana"/>
                <w:i/>
                <w:noProof/>
                <w:color w:val="000000"/>
                <w:sz w:val="18"/>
              </w:rPr>
            </w:pPr>
            <w:r>
              <w:rPr>
                <w:rFonts w:ascii="Verdana" w:hAnsi="Verdana"/>
                <w:i/>
                <w:noProof/>
                <w:color w:val="000000"/>
                <w:sz w:val="18"/>
              </w:rPr>
              <w:t>3.14</w:t>
            </w:r>
          </w:p>
        </w:tc>
        <w:tc>
          <w:tcPr>
            <w:tcW w:w="1294" w:type="dxa"/>
            <w:tcBorders>
              <w:top w:val="nil"/>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(7 109)</w:t>
            </w:r>
          </w:p>
        </w:tc>
        <w:tc>
          <w:tcPr>
            <w:tcW w:w="1444" w:type="dxa"/>
            <w:tcBorders>
              <w:top w:val="nil"/>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i/>
                <w:noProof/>
                <w:color w:val="000000"/>
                <w:sz w:val="18"/>
              </w:rPr>
            </w:pPr>
            <w:r>
              <w:rPr>
                <w:rFonts w:ascii="Verdana" w:hAnsi="Verdana"/>
                <w:i/>
                <w:noProof/>
                <w:color w:val="000000"/>
                <w:sz w:val="18"/>
              </w:rPr>
              <w:t xml:space="preserve">(6 </w:t>
            </w:r>
            <w:r>
              <w:rPr>
                <w:rFonts w:ascii="Verdana" w:hAnsi="Verdana"/>
                <w:i/>
                <w:noProof/>
                <w:color w:val="000000"/>
                <w:sz w:val="18"/>
              </w:rPr>
              <w:t>208)</w:t>
            </w:r>
          </w:p>
        </w:tc>
      </w:tr>
      <w:tr w:rsidR="0043277E">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9BIPSOFP"/>
              <w:rPr>
                <w:rFonts w:ascii="Verdana" w:eastAsia="Verdana" w:hAnsi="Verdana" w:cs="Verdana"/>
                <w:b/>
                <w:noProof/>
                <w:color w:val="000000"/>
                <w:sz w:val="18"/>
              </w:rPr>
            </w:pPr>
            <w:r>
              <w:rPr>
                <w:rFonts w:ascii="Verdana" w:hAnsi="Verdana"/>
                <w:b/>
                <w:noProof/>
                <w:color w:val="000000"/>
                <w:sz w:val="18"/>
              </w:rPr>
              <w:t>Koszty ogółem</w:t>
            </w:r>
          </w:p>
        </w:tc>
        <w:tc>
          <w:tcPr>
            <w:tcW w:w="12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9BIPSOFP"/>
              <w:jc w:val="center"/>
              <w:rPr>
                <w:rFonts w:ascii="Verdana" w:eastAsia="Verdana" w:hAnsi="Verdana" w:cs="Verdana"/>
                <w:noProof/>
                <w:color w:val="000000"/>
                <w:sz w:val="18"/>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(155 493)</w:t>
            </w:r>
          </w:p>
        </w:tc>
        <w:tc>
          <w:tcPr>
            <w:tcW w:w="14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(149 014)</w:t>
            </w:r>
          </w:p>
        </w:tc>
      </w:tr>
      <w:tr w:rsidR="0043277E">
        <w:trPr>
          <w:trHeight w:val="255"/>
        </w:trPr>
        <w:tc>
          <w:tcPr>
            <w:tcW w:w="572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9BIPSOFP"/>
              <w:rPr>
                <w:rFonts w:ascii="Verdana" w:eastAsia="Verdana" w:hAnsi="Verdana" w:cs="Verdana"/>
                <w:b/>
                <w:noProof/>
                <w:color w:val="000000"/>
                <w:sz w:val="18"/>
              </w:rPr>
            </w:pPr>
            <w:r>
              <w:rPr>
                <w:rFonts w:ascii="Verdana" w:hAnsi="Verdana"/>
                <w:b/>
                <w:noProof/>
                <w:color w:val="000000"/>
                <w:sz w:val="18"/>
              </w:rPr>
              <w:t>WYNIK EKONOMICZNY ZA ROK</w:t>
            </w:r>
          </w:p>
        </w:tc>
        <w:tc>
          <w:tcPr>
            <w:tcW w:w="1295"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29BIPSOFP"/>
              <w:jc w:val="center"/>
              <w:rPr>
                <w:rFonts w:ascii="Verdana" w:eastAsia="Verdana" w:hAnsi="Verdana" w:cs="Verdana"/>
                <w:noProof/>
                <w:color w:val="000000"/>
                <w:sz w:val="18"/>
              </w:rPr>
            </w:pPr>
          </w:p>
        </w:tc>
        <w:tc>
          <w:tcPr>
            <w:tcW w:w="1294"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4 796</w:t>
            </w:r>
          </w:p>
        </w:tc>
        <w:tc>
          <w:tcPr>
            <w:tcW w:w="1444"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29BIPSOFP"/>
              <w:jc w:val="right"/>
              <w:rPr>
                <w:rFonts w:ascii="Verdana" w:eastAsia="Verdana" w:hAnsi="Verdana" w:cs="Verdana"/>
                <w:b/>
                <w:noProof/>
                <w:color w:val="000000"/>
                <w:sz w:val="18"/>
              </w:rPr>
            </w:pPr>
            <w:r>
              <w:rPr>
                <w:rFonts w:ascii="Verdana" w:hAnsi="Verdana"/>
                <w:b/>
                <w:noProof/>
                <w:color w:val="000000"/>
                <w:sz w:val="18"/>
              </w:rPr>
              <w:t>13 918</w:t>
            </w:r>
          </w:p>
        </w:tc>
      </w:tr>
    </w:tbl>
    <w:p w:rsidR="0043277E" w:rsidRDefault="0043277E">
      <w:pPr>
        <w:pStyle w:val="Textstand-alone"/>
        <w:rPr>
          <w:lang w:bidi="en-GB"/>
        </w:rPr>
      </w:pPr>
    </w:p>
    <w:p w:rsidR="0043277E" w:rsidRDefault="000F2348">
      <w:pPr>
        <w:pStyle w:val="Text9pItalicLeft3p"/>
        <w:sectPr w:rsidR="0043277E">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134" w:header="709" w:footer="709" w:gutter="0"/>
          <w:cols w:space="708"/>
          <w:docGrid w:linePitch="360"/>
        </w:sectPr>
      </w:pPr>
      <w:r>
        <w:t xml:space="preserve"> </w:t>
      </w:r>
      <w:bookmarkEnd w:id="20"/>
    </w:p>
    <w:p w:rsidR="0043277E" w:rsidRDefault="000F2348">
      <w:pPr>
        <w:pStyle w:val="HEADERTITLE1"/>
        <w:spacing w:after="0"/>
      </w:pPr>
      <w:bookmarkStart w:id="22" w:name="_Toc49413482"/>
      <w:bookmarkStart w:id="23" w:name="_Toc49418125"/>
      <w:bookmarkStart w:id="24" w:name="_DMBM_17183"/>
      <w:r>
        <w:lastRenderedPageBreak/>
        <w:t>RACHUNEK PRZEPŁYWÓW PIENIĘŻNYCH</w:t>
      </w:r>
      <w:bookmarkEnd w:id="22"/>
      <w:bookmarkEnd w:id="23"/>
    </w:p>
    <w:p w:rsidR="0043277E" w:rsidRDefault="0043277E">
      <w:pPr>
        <w:pStyle w:val="HEADERTITLE1"/>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2"/>
        <w:gridCol w:w="1488"/>
        <w:gridCol w:w="1488"/>
      </w:tblGrid>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0BIPCF"/>
              <w:rPr>
                <w:rFonts w:ascii="Verdana" w:eastAsia="Verdana" w:hAnsi="Verdana" w:cs="Verdana"/>
                <w:i/>
                <w:noProof/>
                <w:color w:val="FFFFFF"/>
                <w:sz w:val="16"/>
              </w:rPr>
            </w:pPr>
            <w:bookmarkStart w:id="25" w:name="DOC_TBL00003_1_1"/>
            <w:bookmarkEnd w:id="25"/>
          </w:p>
        </w:tc>
        <w:tc>
          <w:tcPr>
            <w:tcW w:w="148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30BIPCF"/>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78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0BIPCF"/>
              <w:rPr>
                <w:rFonts w:ascii="Verdana" w:eastAsia="Verdana" w:hAnsi="Verdana" w:cs="Verdana"/>
                <w:noProof/>
                <w:color w:val="FFFFFF"/>
              </w:rPr>
            </w:pPr>
          </w:p>
        </w:tc>
        <w:tc>
          <w:tcPr>
            <w:tcW w:w="148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0BIPCF"/>
              <w:jc w:val="right"/>
              <w:rPr>
                <w:rFonts w:ascii="Verdana" w:eastAsia="Verdana" w:hAnsi="Verdana" w:cs="Verdana"/>
                <w:noProof/>
                <w:color w:val="FFFFFF"/>
              </w:rPr>
            </w:pPr>
            <w:r>
              <w:rPr>
                <w:rFonts w:ascii="Verdana" w:hAnsi="Verdana"/>
                <w:noProof/>
                <w:color w:val="FFFFFF"/>
              </w:rPr>
              <w:t>2019</w:t>
            </w:r>
          </w:p>
        </w:tc>
        <w:tc>
          <w:tcPr>
            <w:tcW w:w="148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0BIPCF"/>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Wynik ekonomiczny za dany rok</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4 796</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13 918</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b/>
                <w:noProof/>
                <w:color w:val="000000"/>
                <w:sz w:val="18"/>
              </w:rPr>
            </w:pPr>
            <w:r>
              <w:rPr>
                <w:rFonts w:ascii="Verdana" w:hAnsi="Verdana"/>
                <w:b/>
                <w:noProof/>
                <w:color w:val="000000"/>
                <w:sz w:val="18"/>
              </w:rPr>
              <w:t>Działalność operacyjna</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0BIPCF"/>
              <w:jc w:val="right"/>
              <w:rPr>
                <w:rFonts w:ascii="Verdana" w:eastAsia="Verdana" w:hAnsi="Verdana" w:cs="Verdana"/>
                <w:i/>
                <w:noProof/>
                <w:color w:val="000000"/>
                <w:sz w:val="18"/>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0BIPCF"/>
              <w:jc w:val="right"/>
              <w:rPr>
                <w:rFonts w:ascii="Verdana" w:eastAsia="Verdana" w:hAnsi="Verdana" w:cs="Verdana"/>
                <w:i/>
                <w:noProof/>
                <w:color w:val="000000"/>
                <w:sz w:val="18"/>
                <w:lang w:bidi="en-GB"/>
              </w:rPr>
            </w:pP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Amortyzacja wartości niematerialnych i prawnych</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107</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104</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Amortyzacja rzeczowych aktywów trwałych</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1 022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998</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udzielonych pożyczek</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1 255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1 041</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płatności zaliczkowych</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(1 472)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(947)</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należności z tytułu transakcji wymiany i należności z tytułu transakcji innych niż transakcje wymiany</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691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(12 299)</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z</w:t>
            </w:r>
            <w:r>
              <w:rPr>
                <w:rFonts w:ascii="Verdana" w:hAnsi="Verdana"/>
                <w:i/>
                <w:noProof/>
                <w:color w:val="000000"/>
                <w:sz w:val="18"/>
              </w:rPr>
              <w:t>apasów</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222</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zobowiązań z tytułu świadczeń emerytalno-rentowych oraz innych świadczeń pracowniczych</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17 203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7 334</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rezerw</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693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594</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zobowiązań finansowych</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(1 389)</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(1 007)</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zobowiązań</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(4 985)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(6 821)</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biernych rozliczeń międzyokresowych kosztów i przychodów przyszłych okresów</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4 041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(716)</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 xml:space="preserve">Nadwyżka budżetowa za poprzedni rok ujęta jako </w:t>
            </w:r>
            <w:r>
              <w:rPr>
                <w:rFonts w:ascii="Verdana" w:hAnsi="Verdana"/>
                <w:i/>
                <w:noProof/>
                <w:color w:val="000000"/>
                <w:sz w:val="18"/>
              </w:rPr>
              <w:t>przychód niepieniężny</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(1 803)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(556)</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Aktualizacja wyceny zobowiązań z tytułu świadczeń pracowniczych (w sprawozdaniu z finansowych wyników działalności nie uwzględniono zmian stanu pozycji niepieniężnych)</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(14 164)</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(4 396)</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Pozostałe zmiany stanu pozycji n</w:t>
            </w:r>
            <w:r>
              <w:rPr>
                <w:rFonts w:ascii="Verdana" w:hAnsi="Verdana"/>
                <w:i/>
                <w:noProof/>
                <w:color w:val="000000"/>
                <w:sz w:val="18"/>
              </w:rPr>
              <w:t>iepieniężnych</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111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(71)</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b/>
                <w:noProof/>
                <w:color w:val="000000"/>
                <w:sz w:val="18"/>
              </w:rPr>
            </w:pPr>
            <w:r>
              <w:rPr>
                <w:rFonts w:ascii="Verdana" w:hAnsi="Verdana"/>
                <w:b/>
                <w:noProof/>
                <w:color w:val="000000"/>
                <w:sz w:val="18"/>
              </w:rPr>
              <w:t>Działalność inwestycyjna</w:t>
            </w:r>
          </w:p>
        </w:tc>
        <w:tc>
          <w:tcPr>
            <w:tcW w:w="148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0BIPCF"/>
              <w:jc w:val="right"/>
              <w:rPr>
                <w:rFonts w:cs="Calibr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0BIPCF"/>
              <w:jc w:val="right"/>
              <w:rPr>
                <w:rFonts w:ascii="Verdana" w:eastAsia="Verdana" w:hAnsi="Verdana" w:cs="Verdana"/>
                <w:i/>
                <w:noProof/>
                <w:color w:val="000000"/>
                <w:sz w:val="18"/>
                <w:lang w:bidi="en-GB"/>
              </w:rPr>
            </w:pP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 xml:space="preserve">(Zwiększenie)/zmniejszenie stanu wartości niematerialnych i prawnych oraz rzeczowych aktywów trwałych </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(1 392)</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(1 583)</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 xml:space="preserve">(Zwiększenie)/zmniejszenie stanu inwestycji rozliczanych zgodnie z metodą praw </w:t>
            </w:r>
            <w:r>
              <w:rPr>
                <w:rFonts w:ascii="Verdana" w:hAnsi="Verdana"/>
                <w:i/>
                <w:noProof/>
                <w:color w:val="000000"/>
                <w:sz w:val="18"/>
              </w:rPr>
              <w:t>własności</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(9)</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stanu aktywów finansowych dostępnych do sprzedaży</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(2 964)</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(1 811)</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aktywów finansowych wycenianych według wartości godziwej przez nadwyżkę lub deficyt</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(121)</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 xml:space="preserve"> 7</w:t>
            </w:r>
          </w:p>
        </w:tc>
      </w:tr>
      <w:tr w:rsidR="0043277E">
        <w:trPr>
          <w:trHeight w:val="255"/>
        </w:trPr>
        <w:tc>
          <w:tcPr>
            <w:tcW w:w="678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0BIPCF"/>
              <w:rPr>
                <w:rFonts w:ascii="Verdana" w:eastAsia="Verdana" w:hAnsi="Verdana" w:cs="Verdana"/>
                <w:b/>
                <w:noProof/>
                <w:color w:val="000000"/>
                <w:sz w:val="18"/>
              </w:rPr>
            </w:pPr>
            <w:r>
              <w:rPr>
                <w:rFonts w:ascii="Verdana" w:hAnsi="Verdana"/>
                <w:b/>
                <w:noProof/>
                <w:color w:val="000000"/>
                <w:sz w:val="18"/>
              </w:rPr>
              <w:t>PRZEPŁYWY PIENIĘŻNE</w:t>
            </w:r>
            <w:r>
              <w:rPr>
                <w:rFonts w:ascii="Verdana" w:hAnsi="Verdana"/>
                <w:b/>
                <w:noProof/>
                <w:color w:val="000000"/>
                <w:sz w:val="18"/>
              </w:rPr>
              <w:t xml:space="preserve"> NETTO</w:t>
            </w:r>
          </w:p>
        </w:tc>
        <w:tc>
          <w:tcPr>
            <w:tcW w:w="14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0BIPCF"/>
              <w:jc w:val="right"/>
              <w:rPr>
                <w:rFonts w:ascii="Verdana" w:eastAsia="Verdana" w:hAnsi="Verdana" w:cs="Verdana"/>
                <w:b/>
                <w:noProof/>
                <w:color w:val="000000"/>
                <w:sz w:val="18"/>
              </w:rPr>
            </w:pPr>
            <w:r>
              <w:rPr>
                <w:rFonts w:ascii="Verdana" w:hAnsi="Verdana"/>
                <w:b/>
                <w:noProof/>
                <w:color w:val="000000"/>
                <w:sz w:val="18"/>
              </w:rPr>
              <w:t>1 633</w:t>
            </w:r>
          </w:p>
        </w:tc>
        <w:tc>
          <w:tcPr>
            <w:tcW w:w="14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0BIPCF"/>
              <w:jc w:val="right"/>
              <w:rPr>
                <w:rFonts w:ascii="Verdana" w:eastAsia="Verdana" w:hAnsi="Verdana" w:cs="Verdana"/>
                <w:b/>
                <w:noProof/>
                <w:color w:val="000000"/>
                <w:sz w:val="18"/>
              </w:rPr>
            </w:pPr>
            <w:r>
              <w:rPr>
                <w:rFonts w:ascii="Verdana" w:hAnsi="Verdana"/>
                <w:b/>
                <w:noProof/>
                <w:color w:val="000000"/>
                <w:sz w:val="18"/>
              </w:rPr>
              <w:t>(5 998)</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0BIPCF"/>
              <w:rPr>
                <w:rFonts w:ascii="Arial" w:eastAsia="Arial" w:hAnsi="Arial" w:cs="Arial"/>
                <w:noProof/>
                <w:color w:val="000000"/>
                <w:lang w:bidi="en-GB"/>
              </w:rPr>
            </w:pP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Zwiększenie/(zmniejszenie) netto stanu środków pieniężnych i ich ekwiwalentów</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1 633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(5 998)</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Środki pieniężne i ich ekwiwalenty na początek roku</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18 113</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24 111</w:t>
            </w:r>
          </w:p>
        </w:tc>
      </w:tr>
      <w:tr w:rsidR="0043277E">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rPr>
                <w:rFonts w:ascii="Verdana" w:eastAsia="Verdana" w:hAnsi="Verdana" w:cs="Verdana"/>
                <w:i/>
                <w:noProof/>
                <w:color w:val="000000"/>
                <w:sz w:val="18"/>
              </w:rPr>
            </w:pPr>
            <w:r>
              <w:rPr>
                <w:rFonts w:ascii="Verdana" w:hAnsi="Verdana"/>
                <w:i/>
                <w:noProof/>
                <w:color w:val="000000"/>
                <w:sz w:val="18"/>
              </w:rPr>
              <w:t>Środki pieniężne i ich ekwiwalenty na koniec roku</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19 745</w:t>
            </w:r>
          </w:p>
        </w:tc>
        <w:tc>
          <w:tcPr>
            <w:tcW w:w="14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0BIPCF"/>
              <w:jc w:val="right"/>
              <w:rPr>
                <w:rFonts w:ascii="Verdana" w:eastAsia="Verdana" w:hAnsi="Verdana" w:cs="Verdana"/>
                <w:i/>
                <w:noProof/>
                <w:color w:val="000000"/>
                <w:sz w:val="18"/>
              </w:rPr>
            </w:pPr>
            <w:r>
              <w:rPr>
                <w:rFonts w:ascii="Verdana" w:hAnsi="Verdana"/>
                <w:i/>
                <w:noProof/>
                <w:color w:val="000000"/>
                <w:sz w:val="18"/>
              </w:rPr>
              <w:t>18 113</w:t>
            </w:r>
          </w:p>
        </w:tc>
      </w:tr>
      <w:bookmarkEnd w:id="24"/>
    </w:tbl>
    <w:p w:rsidR="0043277E" w:rsidRDefault="0043277E">
      <w:pPr>
        <w:pStyle w:val="HEADERTITLE1"/>
        <w:rPr>
          <w:lang w:bidi="en-GB"/>
        </w:rPr>
        <w:sectPr w:rsidR="0043277E">
          <w:headerReference w:type="even" r:id="rId95"/>
          <w:headerReference w:type="default" r:id="rId96"/>
          <w:footerReference w:type="even" r:id="rId97"/>
          <w:footerReference w:type="default" r:id="rId98"/>
          <w:headerReference w:type="first" r:id="rId99"/>
          <w:footerReference w:type="first" r:id="rId100"/>
          <w:pgSz w:w="11906" w:h="16838"/>
          <w:pgMar w:top="1134" w:right="1134" w:bottom="1134" w:left="1134" w:header="709" w:footer="709" w:gutter="0"/>
          <w:cols w:space="708"/>
          <w:docGrid w:linePitch="360"/>
        </w:sectPr>
      </w:pPr>
    </w:p>
    <w:p w:rsidR="0043277E" w:rsidRDefault="000F2348">
      <w:pPr>
        <w:pStyle w:val="HEADERTITLE1"/>
        <w:spacing w:after="0"/>
      </w:pPr>
      <w:bookmarkStart w:id="26" w:name="_Toc49413483"/>
      <w:bookmarkStart w:id="27" w:name="_Toc49418126"/>
      <w:bookmarkStart w:id="28" w:name="_DMBM_17134"/>
      <w:r>
        <w:lastRenderedPageBreak/>
        <w:t>ZESTAWIENIE ZMIAN W AKTYWACH NETTO</w:t>
      </w:r>
      <w:bookmarkEnd w:id="26"/>
      <w:bookmarkEnd w:id="27"/>
    </w:p>
    <w:p w:rsidR="0043277E" w:rsidRDefault="0043277E">
      <w:pPr>
        <w:pStyle w:val="HEADERTITLE1"/>
        <w:spacing w:after="0"/>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6"/>
        <w:gridCol w:w="4220"/>
        <w:gridCol w:w="1859"/>
        <w:gridCol w:w="1859"/>
        <w:gridCol w:w="1859"/>
      </w:tblGrid>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1BIPSCNA"/>
              <w:rPr>
                <w:rFonts w:ascii="Arial" w:eastAsia="Arial" w:hAnsi="Arial" w:cs="Arial"/>
                <w:noProof/>
                <w:color w:val="000000"/>
              </w:rPr>
            </w:pPr>
            <w:bookmarkStart w:id="29" w:name="DOC_TBL00004_1_1"/>
            <w:bookmarkEnd w:id="29"/>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74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01BIPSCNA"/>
              <w:jc w:val="center"/>
              <w:rPr>
                <w:rFonts w:ascii="Verdana" w:eastAsia="Verdana" w:hAnsi="Verdana" w:cs="Verdana"/>
                <w:noProof/>
                <w:color w:val="FFFFFF"/>
                <w:sz w:val="18"/>
              </w:rPr>
            </w:pPr>
          </w:p>
        </w:tc>
        <w:tc>
          <w:tcPr>
            <w:tcW w:w="42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1BIPSCNA"/>
              <w:jc w:val="right"/>
              <w:rPr>
                <w:rFonts w:ascii="Verdana" w:eastAsia="Verdana" w:hAnsi="Verdana" w:cs="Verdana"/>
                <w:noProof/>
                <w:color w:val="FFFFFF"/>
                <w:sz w:val="18"/>
              </w:rPr>
            </w:pPr>
            <w:r>
              <w:rPr>
                <w:rFonts w:ascii="Verdana" w:hAnsi="Verdana"/>
                <w:noProof/>
                <w:color w:val="FFFFFF"/>
                <w:sz w:val="18"/>
              </w:rPr>
              <w:t xml:space="preserve">Kwoty, do wniesienia których należy wezwać państwa członkowskie Skumulowana </w:t>
            </w:r>
            <w:r>
              <w:rPr>
                <w:rFonts w:ascii="Verdana" w:hAnsi="Verdana"/>
                <w:noProof/>
                <w:color w:val="FFFFFF"/>
                <w:sz w:val="18"/>
              </w:rPr>
              <w:t>nadwyżka/(Skumulowany deficyt)</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1BIPSCNA"/>
              <w:jc w:val="right"/>
              <w:rPr>
                <w:rFonts w:ascii="Verdana" w:eastAsia="Verdana" w:hAnsi="Verdana" w:cs="Verdana"/>
                <w:noProof/>
                <w:color w:val="FFFFFF"/>
                <w:sz w:val="18"/>
              </w:rPr>
            </w:pPr>
            <w:r>
              <w:rPr>
                <w:rFonts w:ascii="Verdana" w:hAnsi="Verdana"/>
                <w:noProof/>
                <w:color w:val="FFFFFF"/>
                <w:sz w:val="18"/>
              </w:rPr>
              <w:t>Inne kapitały rezerwowe</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1BIPSCNA"/>
              <w:jc w:val="right"/>
              <w:rPr>
                <w:rFonts w:ascii="Verdana" w:eastAsia="Verdana" w:hAnsi="Verdana" w:cs="Verdana"/>
                <w:noProof/>
                <w:color w:val="FFFFFF"/>
                <w:sz w:val="18"/>
              </w:rPr>
            </w:pPr>
            <w:r>
              <w:rPr>
                <w:rFonts w:ascii="Verdana" w:hAnsi="Verdana"/>
                <w:noProof/>
                <w:color w:val="FFFFFF"/>
                <w:sz w:val="18"/>
              </w:rPr>
              <w:t>Kapitał z aktualizacji wyceny</w:t>
            </w:r>
          </w:p>
        </w:tc>
        <w:tc>
          <w:tcPr>
            <w:tcW w:w="185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1BIPSCNA"/>
              <w:jc w:val="right"/>
              <w:rPr>
                <w:rFonts w:ascii="Verdana" w:eastAsia="Verdana" w:hAnsi="Verdana" w:cs="Verdana"/>
                <w:noProof/>
                <w:color w:val="FFFFFF"/>
                <w:sz w:val="18"/>
              </w:rPr>
            </w:pPr>
            <w:r>
              <w:rPr>
                <w:rFonts w:ascii="Verdana" w:hAnsi="Verdana"/>
                <w:noProof/>
                <w:color w:val="FFFFFF"/>
                <w:sz w:val="18"/>
              </w:rPr>
              <w:t xml:space="preserve">Aktywa netto </w:t>
            </w:r>
          </w:p>
        </w:tc>
      </w:tr>
      <w:tr w:rsidR="0043277E">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rPr>
                <w:rFonts w:ascii="Verdana" w:eastAsia="Verdana" w:hAnsi="Verdana" w:cs="Verdana"/>
                <w:b/>
                <w:noProof/>
                <w:color w:val="000000"/>
                <w:sz w:val="18"/>
              </w:rPr>
            </w:pPr>
            <w:r>
              <w:rPr>
                <w:rFonts w:ascii="Verdana" w:hAnsi="Verdana"/>
                <w:b/>
                <w:noProof/>
                <w:color w:val="000000"/>
                <w:sz w:val="18"/>
              </w:rPr>
              <w:t>STAN NA 31.12.2017</w:t>
            </w:r>
          </w:p>
        </w:tc>
        <w:tc>
          <w:tcPr>
            <w:tcW w:w="42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(75 234)</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4 598</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278</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(70 359)</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Zmiany stanu kapitału rezerwowego Funduszu Gwarancyjnego</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(186)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186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Zmiany wartości godziwej</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(47)</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(47)</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Aktualizacja wyceny zobowiązań z tytułu świadczeń pracowniczych</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(4 396)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(4 396)</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Inne</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30</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(54)</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(24)</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Wynik budżetowy za 2017 r. zapisany na dobro państw członkowskich</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(556)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(556)</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Wynik ekonomiczny za rok</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13 918</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13 918</w:t>
            </w:r>
          </w:p>
        </w:tc>
      </w:tr>
      <w:tr w:rsidR="0043277E">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rPr>
                <w:rFonts w:ascii="Verdana" w:eastAsia="Verdana" w:hAnsi="Verdana" w:cs="Verdana"/>
                <w:b/>
                <w:noProof/>
                <w:color w:val="000000"/>
                <w:sz w:val="18"/>
              </w:rPr>
            </w:pPr>
            <w:r>
              <w:rPr>
                <w:rFonts w:ascii="Verdana" w:hAnsi="Verdana"/>
                <w:b/>
                <w:noProof/>
                <w:color w:val="000000"/>
                <w:sz w:val="18"/>
              </w:rPr>
              <w:t xml:space="preserve">STAN </w:t>
            </w:r>
            <w:r>
              <w:rPr>
                <w:rFonts w:ascii="Verdana" w:hAnsi="Verdana"/>
                <w:b/>
                <w:noProof/>
                <w:color w:val="000000"/>
                <w:sz w:val="18"/>
              </w:rPr>
              <w:t>NA 31.12.2018</w:t>
            </w:r>
          </w:p>
        </w:tc>
        <w:tc>
          <w:tcPr>
            <w:tcW w:w="42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(66 424)</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4 730</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231</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(61 463)</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Zmiany stanu kapitału rezerwowego Funduszu Gwarancyjnego</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Zmiany wartości godziwej</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160</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160</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Aktualizacja wyceny zobowiązań z tytułu świadczeń pracowniczych</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(14 164)</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(14 164)</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Inne</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(105)</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(49)</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Wynik budżetowy za 2018 r. zapisany na dobro państw członkowskich</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(1 803)</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(1 803)</w:t>
            </w:r>
          </w:p>
        </w:tc>
      </w:tr>
      <w:tr w:rsidR="0043277E">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rPr>
                <w:rFonts w:ascii="Verdana" w:eastAsia="Verdana" w:hAnsi="Verdana" w:cs="Verdana"/>
                <w:i/>
                <w:noProof/>
                <w:color w:val="000000"/>
                <w:sz w:val="18"/>
              </w:rPr>
            </w:pPr>
            <w:r>
              <w:rPr>
                <w:rFonts w:ascii="Verdana" w:hAnsi="Verdana"/>
                <w:i/>
                <w:noProof/>
                <w:color w:val="000000"/>
                <w:sz w:val="18"/>
              </w:rPr>
              <w:t>Wynik ekonomiczny za dany rok</w:t>
            </w:r>
          </w:p>
        </w:tc>
        <w:tc>
          <w:tcPr>
            <w:tcW w:w="42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4 796</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1BIPSCNA"/>
              <w:jc w:val="right"/>
              <w:rPr>
                <w:rFonts w:ascii="Verdana" w:eastAsia="Verdana" w:hAnsi="Verdana" w:cs="Verdana"/>
                <w:i/>
                <w:noProof/>
                <w:color w:val="000000"/>
                <w:sz w:val="18"/>
              </w:rPr>
            </w:pPr>
            <w:r>
              <w:rPr>
                <w:rFonts w:ascii="Verdana" w:hAnsi="Verdana"/>
                <w:i/>
                <w:noProof/>
                <w:color w:val="000000"/>
                <w:sz w:val="18"/>
              </w:rPr>
              <w:t>4 796</w:t>
            </w:r>
          </w:p>
        </w:tc>
      </w:tr>
      <w:tr w:rsidR="0043277E">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rPr>
                <w:rFonts w:ascii="Verdana" w:eastAsia="Verdana" w:hAnsi="Verdana" w:cs="Verdana"/>
                <w:b/>
                <w:noProof/>
                <w:color w:val="000000"/>
                <w:sz w:val="18"/>
              </w:rPr>
            </w:pPr>
            <w:r>
              <w:rPr>
                <w:rFonts w:ascii="Verdana" w:hAnsi="Verdana"/>
                <w:b/>
                <w:noProof/>
                <w:color w:val="000000"/>
                <w:sz w:val="18"/>
              </w:rPr>
              <w:t>STAN NA DZIEŃ 31.12.2019</w:t>
            </w:r>
          </w:p>
        </w:tc>
        <w:tc>
          <w:tcPr>
            <w:tcW w:w="42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(77 560)</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4 646</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391</w:t>
            </w:r>
          </w:p>
        </w:tc>
        <w:tc>
          <w:tcPr>
            <w:tcW w:w="185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1BIPSCNA"/>
              <w:jc w:val="right"/>
              <w:rPr>
                <w:rFonts w:ascii="Verdana" w:eastAsia="Verdana" w:hAnsi="Verdana" w:cs="Verdana"/>
                <w:b/>
                <w:noProof/>
                <w:color w:val="000000"/>
                <w:sz w:val="18"/>
              </w:rPr>
            </w:pPr>
            <w:r>
              <w:rPr>
                <w:rFonts w:ascii="Verdana" w:hAnsi="Verdana"/>
                <w:b/>
                <w:noProof/>
                <w:color w:val="000000"/>
                <w:sz w:val="18"/>
              </w:rPr>
              <w:t>(72 523)</w:t>
            </w:r>
          </w:p>
        </w:tc>
      </w:tr>
    </w:tbl>
    <w:p w:rsidR="0043277E" w:rsidRDefault="0043277E">
      <w:pPr>
        <w:pStyle w:val="HEADERTITLE1"/>
        <w:spacing w:after="0"/>
        <w:rPr>
          <w:lang w:bidi="en-GB"/>
        </w:rPr>
      </w:pPr>
    </w:p>
    <w:p w:rsidR="0043277E" w:rsidRDefault="000F2348">
      <w:pPr>
        <w:pStyle w:val="DGTextstand-alone"/>
      </w:pPr>
      <w:r>
        <w:t xml:space="preserve"> </w:t>
      </w:r>
    </w:p>
    <w:p w:rsidR="0043277E" w:rsidRDefault="000F2348">
      <w:pPr>
        <w:pStyle w:val="DGTextstand-alone"/>
      </w:pPr>
      <w:r>
        <w:t xml:space="preserve"> </w:t>
      </w:r>
    </w:p>
    <w:bookmarkEnd w:id="28"/>
    <w:p w:rsidR="0043277E" w:rsidRDefault="0043277E">
      <w:pPr>
        <w:pStyle w:val="DGTextstand-alone"/>
        <w:sectPr w:rsidR="0043277E">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1134" w:bottom="1134" w:left="1134" w:header="708" w:footer="708" w:gutter="0"/>
          <w:cols w:space="708"/>
          <w:docGrid w:linePitch="360"/>
        </w:sectPr>
      </w:pPr>
    </w:p>
    <w:p w:rsidR="0043277E" w:rsidRDefault="0043277E">
      <w:pPr>
        <w:pStyle w:val="DGTextstand-alone"/>
      </w:pPr>
      <w:bookmarkStart w:id="30" w:name="_DMBM_17132"/>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0F2348">
      <w:pPr>
        <w:pStyle w:val="HEADERTITLE1"/>
        <w:rPr>
          <w:rFonts w:eastAsia="Calibri"/>
        </w:rPr>
      </w:pPr>
      <w:bookmarkStart w:id="31" w:name="_Toc49413484"/>
      <w:bookmarkStart w:id="32" w:name="_Toc49418127"/>
      <w:r>
        <w:t>INFORMACJA DODATKOWA DO SPRAWOZDANIA FINANSOWEGO</w:t>
      </w:r>
      <w:bookmarkEnd w:id="31"/>
      <w:bookmarkEnd w:id="32"/>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0F2348">
      <w:pPr>
        <w:pStyle w:val="DGTextstand-alone"/>
        <w:sectPr w:rsidR="0043277E">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r>
        <w:t xml:space="preserve"> </w:t>
      </w:r>
      <w:bookmarkEnd w:id="30"/>
    </w:p>
    <w:p w:rsidR="0043277E" w:rsidRDefault="000F2348">
      <w:pPr>
        <w:pStyle w:val="HEADER1NOTES"/>
        <w:rPr>
          <w:noProof/>
        </w:rPr>
      </w:pPr>
      <w:bookmarkStart w:id="33" w:name="_Toc49413485"/>
      <w:bookmarkStart w:id="34" w:name="_DMBM_17261"/>
      <w:r>
        <w:rPr>
          <w:noProof/>
        </w:rPr>
        <w:lastRenderedPageBreak/>
        <w:t>ISTOTNE ZASADY (POLITYKI) RACHUNKOWOŚCI</w:t>
      </w:r>
      <w:bookmarkEnd w:id="33"/>
    </w:p>
    <w:p w:rsidR="0043277E" w:rsidRDefault="000F2348">
      <w:pPr>
        <w:pStyle w:val="HEADER2NOTES"/>
        <w:rPr>
          <w:noProof/>
        </w:rPr>
      </w:pPr>
      <w:r>
        <w:rPr>
          <w:noProof/>
        </w:rPr>
        <w:t>PODSTAWA PRAWNA I ZASADY RACHUNKOWOŚCI</w:t>
      </w:r>
    </w:p>
    <w:p w:rsidR="0043277E" w:rsidRDefault="000F2348">
      <w:pPr>
        <w:pStyle w:val="DGTextstand-alone"/>
      </w:pPr>
      <w:r>
        <w:t xml:space="preserve">Księgi rachunkowe UE prowadzi się zgodnie z rozporządzeniem Parlamentu Europejskiego i Rady 2018/1046 z dnia 18 lipca 2018 r. w sprawie zasad finansowych mających </w:t>
      </w:r>
      <w:r>
        <w:t>zastosowanie do budżetu ogólnego Unii, zmieniającym rozporządzenia (UE) nr 1296/2013, (UE) nr 1301/2013, (UE) nr 1303/2013, (UE) nr 1304/2013, (UE) nr 1309/2013, (UE) nr 1316/2013, (UE) nr 223/2014 i (UE) nr 283/2014 oraz decyzję nr 541/2014/UE, a także uc</w:t>
      </w:r>
      <w:r>
        <w:t>hylającym rozporządzenie (UE, Euratom) nr 966/2012 (Dz.U. L 193 z 30.7.2018, s. 1) dalej zwanym rozporządzeniem finansowym (RF).</w:t>
      </w:r>
    </w:p>
    <w:p w:rsidR="0043277E" w:rsidRDefault="000F2348">
      <w:pPr>
        <w:pStyle w:val="DGTextstand-alone"/>
      </w:pPr>
      <w:r>
        <w:t>Zgodnie z art. 80 rozporządzenia finansowego UE sporządza swoje sprawozdanie finansowe w oparciu o system rachunkowości memoria</w:t>
      </w:r>
      <w:r>
        <w:t>łowej bazujący na międzynarodowych standardach rachunkowości dla sektora publicznego (MSRSP). Wspomniane zasady rachunkowości przyjęte przez księgowego Komisji muszą być stosowane przez wszystkie instytucje i organy UE objęte zakresem konsolidacji, aby zap</w:t>
      </w:r>
      <w:r>
        <w:t>ewnić wewnętrzną spójność skonsolidowanych sprawozdań finansowych UE.</w:t>
      </w:r>
    </w:p>
    <w:p w:rsidR="0043277E" w:rsidRDefault="000F2348">
      <w:pPr>
        <w:pStyle w:val="HEADER5"/>
        <w:rPr>
          <w:noProof/>
        </w:rPr>
      </w:pPr>
      <w:r>
        <w:rPr>
          <w:noProof/>
        </w:rPr>
        <w:t>Stosowanie nowych i zmienionych reguł rachunkowości UE</w:t>
      </w:r>
    </w:p>
    <w:p w:rsidR="0043277E" w:rsidRDefault="000F2348">
      <w:pPr>
        <w:pStyle w:val="DGTextstand-alone"/>
        <w:rPr>
          <w:u w:val="single"/>
        </w:rPr>
      </w:pPr>
      <w:r>
        <w:rPr>
          <w:u w:val="single"/>
        </w:rPr>
        <w:t xml:space="preserve">Nowe reguły rachunkowości UE mające zastosowanie w odniesieniu do okresów rocznych rozpoczynających się z dniem 1 stycznia 2019 r. </w:t>
      </w:r>
      <w:r>
        <w:rPr>
          <w:u w:val="single"/>
        </w:rPr>
        <w:t>lub później</w:t>
      </w:r>
    </w:p>
    <w:p w:rsidR="0043277E" w:rsidRDefault="000F2348">
      <w:pPr>
        <w:pStyle w:val="DGTextstand-alone"/>
      </w:pPr>
      <w:r>
        <w:t>W odniesieniu do okresów rocznych rozpoczynających się z dniem 1 stycznia 2019 r. lub później moc obowiązującą uzyskały następujące reguły rachunkowości przyjęte przez księgowego Komisji:</w:t>
      </w:r>
    </w:p>
    <w:p w:rsidR="0043277E" w:rsidRDefault="000F2348">
      <w:pPr>
        <w:pStyle w:val="DGTextstand-alone"/>
        <w:numPr>
          <w:ilvl w:val="0"/>
          <w:numId w:val="23"/>
        </w:numPr>
        <w:rPr>
          <w:u w:val="single"/>
        </w:rPr>
      </w:pPr>
      <w:r>
        <w:t>Reguła rachunkowości UE nr 20 „Połączenia podmiotów sekt</w:t>
      </w:r>
      <w:r>
        <w:t>ora publicznego”, która opiera się na MSRSP nr 40 „Połączenia podmiotów sektora publicznego”, ustanawia wymogi dotyczące klasyfikacji, uznawania i wyceny połączeń podmiotów sektora publicznego, tj. łączenia oddzielnych operacji w ramach jednego podmiotu se</w:t>
      </w:r>
      <w:r>
        <w:t>ktora publicznego.</w:t>
      </w:r>
    </w:p>
    <w:p w:rsidR="0043277E" w:rsidRDefault="000F2348">
      <w:pPr>
        <w:pStyle w:val="DGTextstand-alone"/>
        <w:ind w:left="720"/>
      </w:pPr>
      <w:r>
        <w:t>W ramach tej reguły rozróżnia się dwa rodzaje połączeń podmiotów sektora publicznego: łączenia i przejęcia. Łączenie oznacza połączenie podmiotów sektora publicznego, w ramach którego żadna ze stron nie przejmuje kontroli nad jedną opera</w:t>
      </w:r>
      <w:r>
        <w:t>cją lub ich większą liczbą, lub – w przypadku gdy jedna ze stron połączenia przejmuje kontrolę – istnieją dowody potwierdzające, że przedmiotowe połączenie ma ekonomiczny charakter łączenia (w regule przedstawiono szereg wskaźników dotyczących analizy i pr</w:t>
      </w:r>
      <w:r>
        <w:t>ocesu decyzyjnego umożliwiających dokonanie takiej oceny). Przejęcie oznacza połączenie podmiotów sektora publicznego, w ramach którego jedna ze stron przejmuje kontrolę nad jedną operacją lub ich większą liczbą i istnieją dowody potwierdzające, że przedmi</w:t>
      </w:r>
      <w:r>
        <w:t>otowe połączenie nie stanowi łączenia.</w:t>
      </w:r>
    </w:p>
    <w:p w:rsidR="0043277E" w:rsidRDefault="000F2348">
      <w:pPr>
        <w:pStyle w:val="DGTextstand-alone"/>
        <w:ind w:left="720"/>
      </w:pPr>
      <w:r>
        <w:t>Połączenia podmiotów sektora publicznego, które są klasyfikowane jako łączenie, wykazuje się według zmodyfikowanej metody łączenia udziałów, która wymaga, aby podmiot powstały w wyniku połączenia ujmował możliwe do zi</w:t>
      </w:r>
      <w:r>
        <w:t>dentyfikowania aktywa, zobowiązania i wszelkie udziały niekontrolujące będące przedmiotem połączenia według ich wartości bilansowej wraz z odpowiadającym im zwiększeniem lub zmniejszeniem aktywów netto (tj. nie prowadząc do powstania wartości firmy).</w:t>
      </w:r>
    </w:p>
    <w:p w:rsidR="0043277E" w:rsidRDefault="000F2348">
      <w:pPr>
        <w:pStyle w:val="DGTextstand-alone"/>
        <w:ind w:left="720"/>
      </w:pPr>
      <w:r>
        <w:t>Połąc</w:t>
      </w:r>
      <w:r>
        <w:t>zenia podmiotów sektora publicznego, które są klasyfikowane jako przejęcia, wykazuje się według metody przejęcia, która wymaga, aby przejęte możliwe do zidentyfikowania nabyte aktywa i przejęte zobowiązania były ujmowane według ich wartości godziwej na dzi</w:t>
      </w:r>
      <w:r>
        <w:t>eń przejęcia, a udziały niekontrolujące w przejętej operacji ujmuje się według proporcjonalnego udziału możliwych do zidentyfikowania aktywów netto przejętych operacji. W przeciwieństwie do łączenia przejęcie prowadzi do powstania wartości firmy (wyceniane</w:t>
      </w:r>
      <w:r>
        <w:t>j jako nadwyżka przekazanej zapłaty oraz wszelkich udziałów niekontrolujących nad kwotami netto na dzień przejęcia możliwych do zidentyfikowania nabytych aktywów i przejętych zobowiązań).</w:t>
      </w:r>
    </w:p>
    <w:p w:rsidR="0043277E" w:rsidRDefault="000F2348">
      <w:pPr>
        <w:pStyle w:val="DGTextstand-alone"/>
        <w:ind w:left="720"/>
        <w:rPr>
          <w:u w:val="single"/>
        </w:rPr>
      </w:pPr>
      <w:r>
        <w:t>Reguła przewiduje odrębne wymogi informacyjne, aby umożliwić użytkow</w:t>
      </w:r>
      <w:r>
        <w:t>nikom sprawozdania finansowego UE ocenę charakteru i skutków finansowych łączenia lub przejęcia, jak również skutków finansowych korekt ujętych w bieżącym okresie sprawozdawczym, które dotyczą takich transakcji zrealizowanych w danym okresie lub w poprzedn</w:t>
      </w:r>
      <w:r>
        <w:t xml:space="preserve">ich okresach sprawozdawczych. </w:t>
      </w:r>
    </w:p>
    <w:p w:rsidR="0043277E" w:rsidRDefault="000F2348">
      <w:pPr>
        <w:pStyle w:val="DGTextstand-alone"/>
        <w:ind w:left="720" w:hanging="720"/>
        <w:rPr>
          <w:u w:val="single"/>
        </w:rPr>
      </w:pPr>
      <w:r>
        <w:lastRenderedPageBreak/>
        <w:tab/>
        <w:t>Ponieważ w przedmiotowym okresie sprawozdawczym nie przeprowadzono żadnych połączeń podmiotów sektora publicznego, nowa reguła nie ma wpływu na sprawozdanie finansowe za 2019 r.</w:t>
      </w:r>
    </w:p>
    <w:p w:rsidR="0043277E" w:rsidRDefault="000F2348">
      <w:pPr>
        <w:pStyle w:val="DGTextstand-alone"/>
        <w:rPr>
          <w:u w:val="single"/>
        </w:rPr>
      </w:pPr>
      <w:r>
        <w:rPr>
          <w:u w:val="single"/>
        </w:rPr>
        <w:t>Nowe reguły rachunkowości Unii Europejskiej pr</w:t>
      </w:r>
      <w:r>
        <w:rPr>
          <w:u w:val="single"/>
        </w:rPr>
        <w:t>zyjęte, lecz jeszcze nie obowiązujące w dniu 31 grudnia 2019 r.</w:t>
      </w:r>
    </w:p>
    <w:p w:rsidR="0043277E" w:rsidRDefault="000F2348">
      <w:pPr>
        <w:pStyle w:val="DGTextstand-alone"/>
      </w:pPr>
      <w:r>
        <w:t>Brak nowych reguł rachunkowości Unii Europejskiej przyjętych, lecz jeszcze nie obowiązujących w dniu 31 grudnia 2019 r.</w:t>
      </w:r>
    </w:p>
    <w:p w:rsidR="0043277E" w:rsidRDefault="000F2348">
      <w:pPr>
        <w:pStyle w:val="HEADER2NOTES"/>
        <w:keepNext/>
        <w:rPr>
          <w:noProof/>
        </w:rPr>
      </w:pPr>
      <w:r>
        <w:rPr>
          <w:noProof/>
        </w:rPr>
        <w:t>ZASADY RACHUNKOWOŚCI</w:t>
      </w:r>
    </w:p>
    <w:p w:rsidR="0043277E" w:rsidRDefault="000F2348">
      <w:pPr>
        <w:pStyle w:val="DGTextstand-alone"/>
      </w:pPr>
      <w:r>
        <w:t>Celem sprawozdania finansowego jest dostarczenie przydatnych dla szerokiego kręgu odbiorców informacji o sytuacji finansowej, wynikach i przepływach pieniężnych danego podmiotu. W przypadku UE, będącej podmiotem sektora publicznego, bardziej konkretnym cel</w:t>
      </w:r>
      <w:r>
        <w:t xml:space="preserve">em jest dostarczenie informacji przydatnych w procesie decyzyjnym oraz wykazanie, że podmiot rozlicza się z powierzonych mu środków. Niniejszy dokument został sporządzony w oparciu o wyżej wymienione cele. </w:t>
      </w:r>
    </w:p>
    <w:p w:rsidR="0043277E" w:rsidRDefault="000F2348">
      <w:pPr>
        <w:pStyle w:val="DGTextstand-alone"/>
      </w:pPr>
      <w:r>
        <w:t>Ogólne założenia (lub zasady rachunkowości), któr</w:t>
      </w:r>
      <w:r>
        <w:t>ych należy przestrzegać przy sporządzaniu sprawozdania finansowego, są określone w regule rachunkowości UE nr 1 „Sprawozdania finansowe” i są identyczne z zasadami opisanymi w Międzynarodowych Standardach Rachunkowości Sektora Publicznego (MSRSP) nr 1 i ob</w:t>
      </w:r>
      <w:r>
        <w:t>ejmują: rzetelną prezentację, zasadę memoriału, założenie kontynuowania działalności, ciągłość prezentacji, istotność, agregowanie, kompensowanie i porównywalność informacji.</w:t>
      </w:r>
    </w:p>
    <w:p w:rsidR="0043277E" w:rsidRDefault="000F2348">
      <w:pPr>
        <w:pStyle w:val="DGTextstand-alone"/>
      </w:pPr>
      <w:r>
        <w:t>Cechy jakościowe sprawozdawczości finansowej to przydatność, wierne odzwierciedle</w:t>
      </w:r>
      <w:r>
        <w:t>nie (wiarygodność), zrozumiałość, terminowość, porównywalność i sprawdzalność.</w:t>
      </w:r>
    </w:p>
    <w:p w:rsidR="0043277E" w:rsidRDefault="000F2348">
      <w:pPr>
        <w:pStyle w:val="HEADER2NOTES"/>
        <w:rPr>
          <w:noProof/>
        </w:rPr>
      </w:pPr>
      <w:r>
        <w:rPr>
          <w:noProof/>
        </w:rPr>
        <w:t>KONSOLIDACJA</w:t>
      </w:r>
    </w:p>
    <w:p w:rsidR="0043277E" w:rsidRDefault="000F2348">
      <w:pPr>
        <w:pStyle w:val="HEADER5"/>
        <w:rPr>
          <w:b/>
          <w:noProof/>
        </w:rPr>
      </w:pPr>
      <w:r>
        <w:rPr>
          <w:noProof/>
        </w:rPr>
        <w:t>Zakres konsolidacji</w:t>
      </w:r>
    </w:p>
    <w:p w:rsidR="0043277E" w:rsidRDefault="000F2348">
      <w:pPr>
        <w:pStyle w:val="DGTextstand-alone"/>
      </w:pPr>
      <w:r>
        <w:t>Skonsolidowane sprawozdania finansowe UE obejmują wszystkie znaczące jednostki kontrolowane, wspólne ustalenia umowne i jednostki stowarzyszone.</w:t>
      </w:r>
      <w:r>
        <w:t xml:space="preserve"> Pełna lista jednostek objętych konsolidacją znajduje się w informacji dodatkowej </w:t>
      </w:r>
      <w:r>
        <w:rPr>
          <w:b/>
        </w:rPr>
        <w:t>9</w:t>
      </w:r>
      <w:r>
        <w:t>. Na chwilę obecną znajdują się na niej 52 jednostki kontrolowane i 1 jednostka stowarzyszona. Jednostki kontrolowane obejmują instytucje Unii (uwzględniając Komisję, ale ni</w:t>
      </w:r>
      <w:r>
        <w:t>e Europejski Bank Centralny) oraz agencje UE (z wyjątkiem agencji dawnego drugiego filara, tj. wspólna polityka zagraniczna i bezpieczeństwa). Za jednostkę kontrolowaną uznaje się również Europejską Wspólnotę Węgla i Stali w likwidacji. Jedyną jednostką st</w:t>
      </w:r>
      <w:r>
        <w:t>owarzyszoną UE jest Europejski Fundusz Inwestycyjny (EFI).</w:t>
      </w:r>
    </w:p>
    <w:p w:rsidR="0043277E" w:rsidRDefault="000F2348">
      <w:pPr>
        <w:pStyle w:val="DGTextstand-alone"/>
      </w:pPr>
      <w:r>
        <w:t>Jednostki objęte konsolidacją, które nie mają istotnego znaczenia dla skonsolidowanych sprawozdań finansowych UE jako całości, nie muszą podlegać konsolidacji ani być rozliczane zgodnie z metodą pr</w:t>
      </w:r>
      <w:r>
        <w:t xml:space="preserve">aw własności, jeżeli będzie się to wiązało z nadmiernym nakładem czasu lub nadmiernymi kosztami dla UE. Jednostki te określa się mianem „mniejszych jednostek” i umieszcza na osobnej liście w informacji dodatkowej </w:t>
      </w:r>
      <w:r>
        <w:rPr>
          <w:b/>
        </w:rPr>
        <w:t>9</w:t>
      </w:r>
      <w:r>
        <w:t>. W 2019 r. siedem jednostek zostało zakla</w:t>
      </w:r>
      <w:r>
        <w:t>syfikowanych jako takie mniejsze jednostki.</w:t>
      </w:r>
    </w:p>
    <w:p w:rsidR="0043277E" w:rsidRDefault="000F2348">
      <w:pPr>
        <w:pStyle w:val="HEADER5"/>
        <w:rPr>
          <w:b/>
          <w:noProof/>
        </w:rPr>
      </w:pPr>
      <w:r>
        <w:rPr>
          <w:noProof/>
        </w:rPr>
        <w:t>Jednostki kontrolowane</w:t>
      </w:r>
    </w:p>
    <w:p w:rsidR="0043277E" w:rsidRDefault="000F2348">
      <w:pPr>
        <w:pStyle w:val="DGTextstand-alone"/>
        <w:spacing w:after="0"/>
      </w:pPr>
      <w:r>
        <w:t>Aby określić zakres konsolidacji, stosuje się koncepcję kontroli. Do jednostek kontrolowanych zalicza się jednostki, przez które UE jest narażona na zmienne świadczenia, lub ma prawo do zmi</w:t>
      </w:r>
      <w:r>
        <w:t>ennych świadczeń, na podstawie swojego udziału, lub ma możliwość wpływania na charakter i wysokość tych świadczeń dzięki swojej władzy nad daną jednostką. Wykonywanie tego typu uprawnień musi być możliwe na bieżąco i musi dotyczyć określonej działalności j</w:t>
      </w:r>
      <w:r>
        <w:t>ednostki. Jednostki kontrolowane są w pełni objęte konsolidacją. Konsolidacja rozpoczyna się od samego początku objęcia kontroli, a kończy się z momentem zakończenia sprawowania kontroli.</w:t>
      </w:r>
    </w:p>
    <w:p w:rsidR="0043277E" w:rsidRDefault="000F2348">
      <w:pPr>
        <w:pStyle w:val="DGTextstand-alone"/>
      </w:pPr>
      <w:r>
        <w:t>Najpowszechniejszymi wskaźnikami sprawowania kontroli w ramach UE są</w:t>
      </w:r>
      <w:r>
        <w:t>: utworzenie jednostki na mocy traktatów założycielskich lub prawa wtórnego, finansowanie jednostki z budżetu UE, posiadanie praw głosu w organach zarządzających, przeprowadzanie kontroli przez Trybunał Obrachunkowy i udzielanie absolutorium przez Parlamen</w:t>
      </w:r>
      <w:r>
        <w:t xml:space="preserve">t Europejski. Dla każdej jednostki dokonuje się oceny, aby móc </w:t>
      </w:r>
      <w:r>
        <w:lastRenderedPageBreak/>
        <w:t>zadecydować, czy co najmniej jedno z wyżej wymienionych kryteriów jest wystarczające do stwierdzenia faktu sprawowania kontroli.</w:t>
      </w:r>
    </w:p>
    <w:p w:rsidR="0043277E" w:rsidRDefault="000F2348">
      <w:pPr>
        <w:pStyle w:val="DGTextstand-alone"/>
      </w:pPr>
      <w:r>
        <w:t xml:space="preserve">Wszystkie istotne transakcje i salda pomiędzy jednostkami </w:t>
      </w:r>
      <w:r>
        <w:t>kontrolowanymi przez UE podlegają wyeliminowaniu, a niezrealizowane zyski i straty z takich transakcji nie są istotne, więc nie zostały wyeliminowane.</w:t>
      </w:r>
    </w:p>
    <w:p w:rsidR="0043277E" w:rsidRDefault="000F2348">
      <w:pPr>
        <w:pStyle w:val="HEADER5"/>
        <w:rPr>
          <w:b/>
          <w:noProof/>
        </w:rPr>
      </w:pPr>
      <w:r>
        <w:rPr>
          <w:noProof/>
        </w:rPr>
        <w:t>Wspólne ustalenia umowne</w:t>
      </w:r>
    </w:p>
    <w:p w:rsidR="0043277E" w:rsidRDefault="000F2348">
      <w:pPr>
        <w:pStyle w:val="DGTextstand-alone"/>
      </w:pPr>
      <w:r>
        <w:t>Wspólne ustalenie umowne to umowa, w ramach której UE i druga strona lub większa</w:t>
      </w:r>
      <w:r>
        <w:t xml:space="preserve"> ich liczba sprawują wspólną kontrolę. Współkontrola jest to określony w wiążącej umowie podział kontroli nad ustaleniem umownym, który występuje tylko wówczas, gdy decyzje dotyczące istotnej działalności wymagają jednomyślnej zgody stron sprawujących wspó</w:t>
      </w:r>
      <w:r>
        <w:t>łkontrolę. Wspólne umowy mogą mieć formę wspólnych przedsięwzięć albo wspólnych operacji. Wspólne przedsięwzięcie to wspólne ustalenie umowne zorganizowane za pośrednictwem oddzielnego narzędzia, w ramach którego strony sprawujące wspólną kontrolę nad usta</w:t>
      </w:r>
      <w:r>
        <w:t xml:space="preserve">leniem umownym mają udział w aktywach netto wynikających z tego ustalenia umownego. Udziały we wspólnych przedsięwzięciach wykazywane są zgodnie z metodą praw własności (zob. informacja dodatkowa </w:t>
      </w:r>
      <w:r>
        <w:rPr>
          <w:b/>
        </w:rPr>
        <w:t>1.5.4</w:t>
      </w:r>
      <w:r>
        <w:t>). Wspólna operacja jest wspólnym ustaleniem umownym, w</w:t>
      </w:r>
      <w:r>
        <w:t xml:space="preserve"> którym strony sprawujące współkontrolę nad ustaleniem umownym mają prawa do aktywów i obowiązki dotyczące zobowiązań powiązanych z ustaleniem umownym. Udziały we wspólnych operacjach wykazywane są poprzez uznawanie w sprawozdaniach finansowych UE swoich a</w:t>
      </w:r>
      <w:r>
        <w:t>ktywów i zobowiązań, przychodów i kosztów oraz udziału we wspólnych aktywach, zobowiązaniach i przychodach oraz wspólnie ponoszonych kosztach.</w:t>
      </w:r>
    </w:p>
    <w:p w:rsidR="0043277E" w:rsidRDefault="000F2348">
      <w:pPr>
        <w:pStyle w:val="HEADER5"/>
        <w:rPr>
          <w:b/>
          <w:noProof/>
        </w:rPr>
      </w:pPr>
      <w:r>
        <w:rPr>
          <w:noProof/>
        </w:rPr>
        <w:t>Jednostki stowarzyszone</w:t>
      </w:r>
    </w:p>
    <w:p w:rsidR="0043277E" w:rsidRDefault="000F2348">
      <w:pPr>
        <w:pStyle w:val="DGTextstand-alone"/>
      </w:pPr>
      <w:r>
        <w:t>Jednostki stowarzyszone to jednostki, na które UE bezpośrednio lub pośrednio wywiera znac</w:t>
      </w:r>
      <w:r>
        <w:t>zący wpływ, lecz nie ma nad nimi wyłącznej ani wspólnej kontroli. Przyjmuje się, że znaczący wpływ występuje wtedy, gdy UE posiada bezpośrednio lub pośrednio przynajmniej 20 % praw głosu. Udziały w jednostkach stowarzyszonych wykazywane są metodą praw włas</w:t>
      </w:r>
      <w:r>
        <w:t xml:space="preserve">ności (zob. informacja dodatkowa </w:t>
      </w:r>
      <w:r>
        <w:rPr>
          <w:b/>
        </w:rPr>
        <w:t>1.5.4</w:t>
      </w:r>
      <w:r>
        <w:t>).</w:t>
      </w:r>
    </w:p>
    <w:p w:rsidR="0043277E" w:rsidRDefault="000F2348">
      <w:pPr>
        <w:pStyle w:val="HEADER5"/>
        <w:rPr>
          <w:b/>
          <w:noProof/>
        </w:rPr>
      </w:pPr>
      <w:r>
        <w:rPr>
          <w:noProof/>
        </w:rPr>
        <w:t>Jednostki nieobjęte konsolidacją, których środkami zarządza Komisja</w:t>
      </w:r>
    </w:p>
    <w:p w:rsidR="0043277E" w:rsidRDefault="000F2348">
      <w:pPr>
        <w:pStyle w:val="DGTextstand-alone"/>
      </w:pPr>
      <w:r>
        <w:t>Środkami wspólnego systemu ubezpieczenia chorobowego dla pracowników UE, Europejskiego Funduszu Rozwoju oraz funduszu gwarancyjnego dla uczestników</w:t>
      </w:r>
      <w:r>
        <w:t xml:space="preserve"> zarządza w ich imieniu Komisja. Z uwagi na to, że jednostki te nie są kontrolowane przez UE, nie są one jednak ujęte w jej skonsolidowanym sprawozdaniu finansowym.</w:t>
      </w:r>
    </w:p>
    <w:p w:rsidR="0043277E" w:rsidRDefault="000F2348">
      <w:pPr>
        <w:pStyle w:val="HEADER2NOTES"/>
        <w:rPr>
          <w:noProof/>
        </w:rPr>
      </w:pPr>
      <w:r>
        <w:rPr>
          <w:noProof/>
        </w:rPr>
        <w:t>PODSTAWA SPORZĄDZENIA SPRAWOZDANIA FINANSOWEGO</w:t>
      </w:r>
    </w:p>
    <w:p w:rsidR="0043277E" w:rsidRDefault="000F2348">
      <w:pPr>
        <w:pStyle w:val="DGTextstand-alone"/>
      </w:pPr>
      <w:r>
        <w:t>Sprawozdania finansowe są przedkładane co ro</w:t>
      </w:r>
      <w:r>
        <w:t>ku. Rok budżetowy rozpoczyna się dnia 1 stycznia i kończy dnia 31 grudnia.</w:t>
      </w:r>
    </w:p>
    <w:p w:rsidR="0043277E" w:rsidRDefault="000F2348">
      <w:pPr>
        <w:pStyle w:val="HEADER3NOTES"/>
        <w:rPr>
          <w:noProof/>
        </w:rPr>
      </w:pPr>
      <w:r>
        <w:rPr>
          <w:noProof/>
        </w:rPr>
        <w:t>Waluta i zasady przeliczania</w:t>
      </w:r>
    </w:p>
    <w:p w:rsidR="0043277E" w:rsidRDefault="000F2348">
      <w:pPr>
        <w:pStyle w:val="HEADER5"/>
        <w:rPr>
          <w:b/>
          <w:noProof/>
        </w:rPr>
      </w:pPr>
      <w:r>
        <w:rPr>
          <w:noProof/>
        </w:rPr>
        <w:t>Waluta funkcjonalna i sprawozdawcza</w:t>
      </w:r>
    </w:p>
    <w:p w:rsidR="0043277E" w:rsidRDefault="000F2348">
      <w:pPr>
        <w:pStyle w:val="DGTextstand-alone"/>
      </w:pPr>
      <w:r>
        <w:t>O ile nie określono inaczej, sprawozdanie finansowe prezentowane jest w mln euro, przy czym euro jest walutą funkcjo</w:t>
      </w:r>
      <w:r>
        <w:t>nalną UE.</w:t>
      </w:r>
    </w:p>
    <w:p w:rsidR="0043277E" w:rsidRDefault="000F2348">
      <w:pPr>
        <w:pStyle w:val="HEADER5"/>
        <w:rPr>
          <w:b/>
          <w:noProof/>
        </w:rPr>
      </w:pPr>
      <w:r>
        <w:rPr>
          <w:noProof/>
        </w:rPr>
        <w:t>Transakcje i salda</w:t>
      </w:r>
    </w:p>
    <w:p w:rsidR="0043277E" w:rsidRDefault="000F2348">
      <w:pPr>
        <w:pStyle w:val="DGTextstand-alone"/>
        <w:spacing w:after="0"/>
      </w:pPr>
      <w:r>
        <w:t>Transakcje w walutach obcych przelicza się na euro według kursu obowiązującego w dniu transakcji. Dodatnie i ujemne różnice kursowe wynikające z rozliczenia transakcji w walutach obcych oraz z ponownego przeliczenia według kurs</w:t>
      </w:r>
      <w:r>
        <w:t>ów wymiany obowiązujących na koniec roku pieniężnych składników aktywów i zobowiązań denominowanych w walutach obcych ujmuje się w sprawozdaniu z finansowych wyników działalności. Różnice wynikające z przeliczenia dotyczące niepieniężnych instrumentów fina</w:t>
      </w:r>
      <w:r>
        <w:t>nsowych zaklasyfikowanych jako aktywa finansowe dostępne do sprzedaży wykazywane są w kapitale z aktualizacji wyceny.</w:t>
      </w:r>
    </w:p>
    <w:p w:rsidR="0043277E" w:rsidRDefault="000F2348">
      <w:pPr>
        <w:pStyle w:val="DGTextstand-alone"/>
      </w:pPr>
      <w:r>
        <w:lastRenderedPageBreak/>
        <w:t>Inne metody przeliczania stosuje się w przypadku rzeczowych aktywów trwałych i wartości niematerialnych i prawnych, które zachowują wartoś</w:t>
      </w:r>
      <w:r>
        <w:t>ć w euro według kursu na dzień zakupu.</w:t>
      </w:r>
    </w:p>
    <w:p w:rsidR="0043277E" w:rsidRDefault="000F2348">
      <w:pPr>
        <w:pStyle w:val="DGTextstand-alone"/>
      </w:pPr>
      <w:r>
        <w:t>Stan na koniec roku pieniężnych składników aktywów i zobowiązań denominowanych w walutach obcych przelicza się na euro według kursu Europejskiego Banku Centralnego (EBC) obowiązującego na dzień 31 grudnia:</w:t>
      </w:r>
    </w:p>
    <w:p w:rsidR="0043277E" w:rsidRDefault="000F2348">
      <w:pPr>
        <w:pStyle w:val="HEADER5"/>
        <w:spacing w:after="120"/>
        <w:rPr>
          <w:noProof/>
        </w:rPr>
      </w:pPr>
      <w:r>
        <w:rPr>
          <w:noProof/>
        </w:rPr>
        <w:t>Kurs wymian</w:t>
      </w:r>
      <w:r>
        <w:rPr>
          <w:noProof/>
        </w:rPr>
        <w:t>y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rsidR="0043277E">
        <w:trPr>
          <w:trHeight w:val="255"/>
        </w:trPr>
        <w:tc>
          <w:tcPr>
            <w:tcW w:w="130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CURR"/>
              <w:keepNext/>
              <w:rPr>
                <w:rFonts w:ascii="Verdana" w:eastAsia="Verdana" w:hAnsi="Verdana" w:cs="Verdana"/>
                <w:noProof/>
                <w:color w:val="FFFFFF"/>
              </w:rPr>
            </w:pPr>
            <w:bookmarkStart w:id="35" w:name="DOC_TBL00005_1_1"/>
            <w:bookmarkEnd w:id="35"/>
            <w:r>
              <w:rPr>
                <w:rFonts w:ascii="Verdana" w:hAnsi="Verdana"/>
                <w:noProof/>
                <w:color w:val="FFFFFF"/>
              </w:rPr>
              <w:t>Waluta</w:t>
            </w:r>
          </w:p>
        </w:tc>
        <w:tc>
          <w:tcPr>
            <w:tcW w:w="186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CURR"/>
              <w:keepNext/>
              <w:jc w:val="right"/>
              <w:rPr>
                <w:rFonts w:ascii="Verdana" w:eastAsia="Verdana" w:hAnsi="Verdana" w:cs="Verdana"/>
                <w:noProof/>
                <w:color w:val="FFFFFF"/>
              </w:rPr>
            </w:pPr>
            <w:r>
              <w:rPr>
                <w:rFonts w:ascii="Verdana" w:hAnsi="Verdana"/>
                <w:noProof/>
                <w:color w:val="FFFFFF"/>
              </w:rPr>
              <w:t>31.12.2019</w:t>
            </w:r>
          </w:p>
        </w:tc>
        <w:tc>
          <w:tcPr>
            <w:tcW w:w="196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CURR"/>
              <w:keepNext/>
              <w:jc w:val="right"/>
              <w:rPr>
                <w:rFonts w:ascii="Verdana" w:eastAsia="Verdana" w:hAnsi="Verdana" w:cs="Verdana"/>
                <w:noProof/>
                <w:color w:val="FFFFFF"/>
              </w:rPr>
            </w:pPr>
            <w:r>
              <w:rPr>
                <w:rFonts w:ascii="Verdana" w:hAnsi="Verdana"/>
                <w:noProof/>
                <w:color w:val="FFFFFF"/>
              </w:rPr>
              <w:t>31.12.2018</w:t>
            </w:r>
          </w:p>
        </w:tc>
        <w:tc>
          <w:tcPr>
            <w:tcW w:w="130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CURR"/>
              <w:keepNext/>
              <w:rPr>
                <w:rFonts w:ascii="Verdana" w:eastAsia="Verdana" w:hAnsi="Verdana" w:cs="Verdana"/>
                <w:noProof/>
                <w:color w:val="FFFFFF"/>
              </w:rPr>
            </w:pPr>
            <w:r>
              <w:rPr>
                <w:rFonts w:ascii="Verdana" w:hAnsi="Verdana"/>
                <w:noProof/>
                <w:color w:val="FFFFFF"/>
              </w:rPr>
              <w:t>Waluta</w:t>
            </w:r>
          </w:p>
        </w:tc>
        <w:tc>
          <w:tcPr>
            <w:tcW w:w="165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CURR"/>
              <w:keepNext/>
              <w:jc w:val="right"/>
              <w:rPr>
                <w:rFonts w:ascii="Verdana" w:eastAsia="Verdana" w:hAnsi="Verdana" w:cs="Verdana"/>
                <w:noProof/>
                <w:color w:val="FFFFFF"/>
              </w:rPr>
            </w:pPr>
            <w:r>
              <w:rPr>
                <w:rFonts w:ascii="Verdana" w:hAnsi="Verdana"/>
                <w:noProof/>
                <w:color w:val="FFFFFF"/>
              </w:rPr>
              <w:t>31.12.2019</w:t>
            </w:r>
          </w:p>
        </w:tc>
        <w:tc>
          <w:tcPr>
            <w:tcW w:w="165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CURR"/>
              <w:keepNext/>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BGN</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1,9558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1,9558</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PLN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4,2568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4,3014</w:t>
            </w:r>
          </w:p>
        </w:tc>
      </w:tr>
      <w:tr w:rsidR="0043277E">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CZK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25,4080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25,7240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RON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4,783</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4,6635</w:t>
            </w:r>
          </w:p>
        </w:tc>
      </w:tr>
      <w:tr w:rsidR="0043277E">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DKK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7,4715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7,4673</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SEK</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10,4468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10,2548</w:t>
            </w:r>
          </w:p>
        </w:tc>
      </w:tr>
      <w:tr w:rsidR="0043277E">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GBP</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0,8508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0,8945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CHF</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1,0854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1,1269</w:t>
            </w:r>
          </w:p>
        </w:tc>
      </w:tr>
      <w:tr w:rsidR="0043277E">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HRK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7,4395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7,4125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JPY</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121,9400</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125,8500</w:t>
            </w:r>
          </w:p>
        </w:tc>
      </w:tr>
      <w:tr w:rsidR="0043277E">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HUF</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330,5300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320,9800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CURR"/>
              <w:keepNext/>
              <w:rPr>
                <w:rFonts w:ascii="Verdana" w:eastAsia="Verdana" w:hAnsi="Verdana" w:cs="Verdana"/>
                <w:b/>
                <w:noProof/>
                <w:color w:val="000000"/>
                <w:sz w:val="18"/>
              </w:rPr>
            </w:pPr>
            <w:r>
              <w:rPr>
                <w:rFonts w:ascii="Verdana" w:hAnsi="Verdana"/>
                <w:b/>
                <w:noProof/>
                <w:color w:val="000000"/>
                <w:sz w:val="18"/>
              </w:rPr>
              <w:t>USD</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b/>
                <w:noProof/>
                <w:color w:val="000000"/>
                <w:sz w:val="18"/>
              </w:rPr>
            </w:pPr>
            <w:r>
              <w:rPr>
                <w:rFonts w:ascii="Verdana" w:hAnsi="Verdana"/>
                <w:b/>
                <w:noProof/>
                <w:color w:val="000000"/>
                <w:sz w:val="18"/>
              </w:rPr>
              <w:t>1,1234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rsidR="0043277E" w:rsidRDefault="000F2348">
            <w:pPr>
              <w:pStyle w:val="DMETW17185BIPCURR"/>
              <w:keepNext/>
              <w:jc w:val="right"/>
              <w:rPr>
                <w:rFonts w:ascii="Verdana" w:eastAsia="Verdana" w:hAnsi="Verdana" w:cs="Verdana"/>
                <w:i/>
                <w:noProof/>
                <w:color w:val="000000"/>
                <w:sz w:val="18"/>
              </w:rPr>
            </w:pPr>
            <w:r>
              <w:rPr>
                <w:rFonts w:ascii="Verdana" w:hAnsi="Verdana"/>
                <w:i/>
                <w:noProof/>
                <w:color w:val="000000"/>
                <w:sz w:val="18"/>
              </w:rPr>
              <w:t>1,145</w:t>
            </w:r>
          </w:p>
        </w:tc>
      </w:tr>
    </w:tbl>
    <w:p w:rsidR="0043277E" w:rsidRDefault="000F2348">
      <w:pPr>
        <w:pStyle w:val="HEADER3NOTES"/>
        <w:keepNext/>
        <w:rPr>
          <w:noProof/>
        </w:rPr>
      </w:pPr>
      <w:r>
        <w:rPr>
          <w:noProof/>
        </w:rPr>
        <w:t>Wykorzystanie szacunków</w:t>
      </w:r>
    </w:p>
    <w:p w:rsidR="0043277E" w:rsidRDefault="000F2348">
      <w:pPr>
        <w:pStyle w:val="DGTextstand-alone"/>
      </w:pPr>
      <w:r>
        <w:t xml:space="preserve">Zgodnie z MSRSP i ogólnie przyjętymi zasadami rachunkowości kwoty wykazane w sprawozdaniu finansowym muszą opierać się na szacunkach i założeniach kierownictwa, których podstawą są możliwie </w:t>
      </w:r>
      <w:r>
        <w:t>jak najbardziej wiarygodne dostępne informacje. Istotne szacunki dotyczą m.in.: kwot na zobowiązania z tytułu świadczeń pracowniczych, ryzyka finansowego związanego z należnościami oraz kwotami ujawnionymi w informacjach dodatkowych dotyczących instrumentó</w:t>
      </w:r>
      <w:r>
        <w:t>w finansowych, naliczonych przychodów i biernych rozliczeń międzyokresowych kosztów, rezerw, stopnia utraty wartości w przypadku wartości niematerialnych i prawnych, rzeczowych aktywów trwałych, możliwej do uzyskania wartości netto zapasów, aktywów i zobow</w:t>
      </w:r>
      <w:r>
        <w:t xml:space="preserve">iązań warunkowych. Rzeczywiste wyniki mogą nie pokrywać się z tymi szacunkami. Zmiany w zakresie szacunków znajdują odzwierciedlenie w okresie, w którym stają się one wiadome, jeżeli dana zmiana wywiera wyłącznie wpływ na dany okres, lub w tym okresie i w </w:t>
      </w:r>
      <w:r>
        <w:t>przyszłych okresach, jeżeli wywiera wpływ na obydwa te okresy.</w:t>
      </w:r>
    </w:p>
    <w:p w:rsidR="0043277E" w:rsidRDefault="000F2348">
      <w:pPr>
        <w:pStyle w:val="HEADER2NOTES"/>
        <w:rPr>
          <w:noProof/>
        </w:rPr>
      </w:pPr>
      <w:r>
        <w:rPr>
          <w:noProof/>
        </w:rPr>
        <w:t>BILANS</w:t>
      </w:r>
    </w:p>
    <w:p w:rsidR="0043277E" w:rsidRDefault="000F2348">
      <w:pPr>
        <w:pStyle w:val="HEADER3NOTES"/>
        <w:rPr>
          <w:noProof/>
        </w:rPr>
      </w:pPr>
      <w:r>
        <w:rPr>
          <w:noProof/>
        </w:rPr>
        <w:t>Wartości niematerialne i prawne</w:t>
      </w:r>
    </w:p>
    <w:p w:rsidR="0043277E" w:rsidRDefault="000F2348">
      <w:pPr>
        <w:pStyle w:val="DGTextstand-alone"/>
      </w:pPr>
      <w:r>
        <w:t>Składnik wartości niematerialnych i prawnych to możliwy do zidentyfikowania niepieniężny składnik aktywów, nieposiadający postaci fizycznej. Składnik wart</w:t>
      </w:r>
      <w:r>
        <w:t>ości niematerialnych i prawnych uznaje się za możliwy do zidentyfikowania, jeżeli można go wyodrębnić (tj. można odseparować go od danego podmiotu lub wydzielić go z tego podmiotu, np. w rezultacie jego sprzedaży, przeniesienia, udzielenia licencji na korz</w:t>
      </w:r>
      <w:r>
        <w:t>ystanie z niego, jego wynajęcia lub wymiany, indywidualnie albo w połączeniu z powiązaną umową, możliwym do zidentyfikowania składnikiem aktywów lub zobowiązaniem, niezależnie od tego, czy taki jest zamiar danego podmiotu) albo jeżeli jest on przedmiotem w</w:t>
      </w:r>
      <w:r>
        <w:t>iążących ustaleń (m.in. praw wynikających z umów lub innych praw przewidzianych w obowiązujących przepisach), niezależnie od tego, czy takie prawa można przenieść lub wyodrębnić z danego podmiotu lub odseparować je od innych praw i obowiązków).</w:t>
      </w:r>
    </w:p>
    <w:p w:rsidR="0043277E" w:rsidRDefault="000F2348">
      <w:pPr>
        <w:pStyle w:val="DGTextstand-alone"/>
      </w:pPr>
      <w:r>
        <w:t>Zakupione w</w:t>
      </w:r>
      <w:r>
        <w:t>artości niematerialne i prawne wykazywane są według kosztu historycznego pomniejszonego o zakumulowaną amortyzację i straty z tytułu utraty wartości. Wartości niematerialne i prawne powstałe w wyniku procesów wewnętrznych są kapitalizowane, gdy spełnione s</w:t>
      </w:r>
      <w:r>
        <w:t>ą odpowiednie kryteria określone w zasadach rachunkowości UE, a koszty dotyczą wyłącznie etapu wytworzenia danego składnika aktywów. Koszty, które można kapitalizować, obejmują wszystkie koszty, które da się bezpośrednio przyporządkować i które są niezbędn</w:t>
      </w:r>
      <w:r>
        <w:t>e do opracowania, wytworzenia i przygotowania danego składnika aktywów, aby mógł on funkcjonować w sposób zgodny z zamierzeniami kierownictwa. Koszty powiązane z działalnością naukowo-badawczą, koszty prac rozwojowych oraz koszty utrzymania, których nie mo</w:t>
      </w:r>
      <w:r>
        <w:t>żna kapitalizować, ujmuje się jako koszty okresu, w którym zostały poniesione.</w:t>
      </w:r>
    </w:p>
    <w:p w:rsidR="0043277E" w:rsidRDefault="000F2348">
      <w:pPr>
        <w:pStyle w:val="DGTextstand-alone"/>
      </w:pPr>
      <w:r>
        <w:t>Wartości niematerialne i prawne amortyzuje się metodą liniową przez szacowany okres ich użytkowania (od 3 do 11 lat). Szacowany okres użytkowania tych aktywów odpowiada ich okre</w:t>
      </w:r>
      <w:r>
        <w:t>sowi ekonomicznej użyteczności lub okresowi użyteczności określonemu w drodze umowy.</w:t>
      </w:r>
    </w:p>
    <w:p w:rsidR="0043277E" w:rsidRDefault="000F2348">
      <w:pPr>
        <w:pStyle w:val="HEADER3NOTES"/>
        <w:rPr>
          <w:noProof/>
        </w:rPr>
      </w:pPr>
      <w:r>
        <w:rPr>
          <w:noProof/>
        </w:rPr>
        <w:lastRenderedPageBreak/>
        <w:t>Rzeczowe aktywa trwałe</w:t>
      </w:r>
    </w:p>
    <w:p w:rsidR="0043277E" w:rsidRDefault="000F2348">
      <w:pPr>
        <w:pStyle w:val="DGTextstand-alone"/>
      </w:pPr>
      <w:r>
        <w:t>Wszystkie rzeczowe aktywa trwałe wykazywane są według kosztu historycznego pomniejszonego o umorzenie i odpisy z tytułu utraty wartości. Koszt obejm</w:t>
      </w:r>
      <w:r>
        <w:t>uje wydatki, które da się bezpośrednio przyporządkować do nabycia, budowy lub przekazania składnika aktywów.</w:t>
      </w:r>
    </w:p>
    <w:p w:rsidR="0043277E" w:rsidRDefault="000F2348">
      <w:pPr>
        <w:pStyle w:val="DGTextstand-alone"/>
        <w:spacing w:after="0"/>
      </w:pPr>
      <w:r>
        <w:t>Późniejsze koszty są uwzględniane w wartości bilansowej składnika aktywów lub ujmowane jako odrębny składnik aktywów, jedynie gdy jest prawdopodobn</w:t>
      </w:r>
      <w:r>
        <w:t>e, że przyszłe korzyści ekonomiczne lub świadczenia związane z danym składnikiem aktywów wpłyną do UE oraz pod warunkiem że możliwa jest wiarygodna wycena kosztu tego składnika aktywów. Koszty związane z naprawą i utrzymaniem wykazywane są w sprawozdaniu z</w:t>
      </w:r>
      <w:r>
        <w:t xml:space="preserve"> finansowych wyników działalności w okresie obrachunkowym, w którym zostały poniesione.</w:t>
      </w:r>
    </w:p>
    <w:p w:rsidR="0043277E" w:rsidRDefault="000F2348">
      <w:pPr>
        <w:pStyle w:val="DGTextstand-alone"/>
      </w:pPr>
      <w:r>
        <w:t xml:space="preserve">Grunty nie podlegają amortyzacji, jako że uznaje się, że mają one nieokreślony okres użytkowania. Środki trwałe w budowie nie podlegają amortyzacji, ponieważ aktywa te </w:t>
      </w:r>
      <w:r>
        <w:t>nie są jeszcze dostępne do użytku. Inne składniki aktywów amortyzowane są metodą liniową w celu alokacji ich kosztu pomniejszonego o ich wartość końcową przez szacunkowy okres ich użytkowania w następujący sposób:</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rsidR="0043277E">
        <w:trPr>
          <w:trHeight w:hRule="exact" w:val="255"/>
        </w:trPr>
        <w:tc>
          <w:tcPr>
            <w:tcW w:w="456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DR"/>
              <w:rPr>
                <w:rFonts w:ascii="Verdana" w:eastAsia="Verdana" w:hAnsi="Verdana" w:cs="Verdana"/>
                <w:noProof/>
                <w:color w:val="FFFFFF"/>
              </w:rPr>
            </w:pPr>
            <w:bookmarkStart w:id="36" w:name="DOC_TBL00006_1_1"/>
            <w:bookmarkEnd w:id="36"/>
            <w:r>
              <w:rPr>
                <w:rFonts w:ascii="Verdana" w:hAnsi="Verdana"/>
                <w:noProof/>
                <w:color w:val="FFFFFF"/>
              </w:rPr>
              <w:t>Rodzaj aktywów</w:t>
            </w:r>
          </w:p>
        </w:tc>
        <w:tc>
          <w:tcPr>
            <w:tcW w:w="519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85BIPDR"/>
              <w:jc w:val="center"/>
              <w:rPr>
                <w:rFonts w:ascii="Verdana" w:eastAsia="Verdana" w:hAnsi="Verdana" w:cs="Verdana"/>
                <w:noProof/>
                <w:color w:val="FFFFFF"/>
              </w:rPr>
            </w:pPr>
            <w:r>
              <w:rPr>
                <w:rFonts w:ascii="Verdana" w:hAnsi="Verdana"/>
                <w:noProof/>
                <w:color w:val="FFFFFF"/>
              </w:rPr>
              <w:t>Stawka amortyzacji metodą l</w:t>
            </w:r>
            <w:r>
              <w:rPr>
                <w:rFonts w:ascii="Verdana" w:hAnsi="Verdana"/>
                <w:noProof/>
                <w:color w:val="FFFFFF"/>
              </w:rPr>
              <w:t>iniową</w:t>
            </w:r>
          </w:p>
        </w:tc>
      </w:tr>
      <w:tr w:rsidR="0043277E">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rPr>
                <w:rFonts w:ascii="Verdana" w:eastAsia="Verdana" w:hAnsi="Verdana" w:cs="Verdana"/>
                <w:i/>
                <w:noProof/>
                <w:color w:val="000000"/>
                <w:sz w:val="18"/>
              </w:rPr>
            </w:pPr>
            <w:r>
              <w:rPr>
                <w:rFonts w:ascii="Verdana" w:hAnsi="Verdana"/>
                <w:i/>
                <w:noProof/>
                <w:color w:val="000000"/>
                <w:sz w:val="18"/>
              </w:rPr>
              <w:t>Budynki</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jc w:val="center"/>
              <w:rPr>
                <w:rFonts w:ascii="Verdana" w:eastAsia="Verdana" w:hAnsi="Verdana" w:cs="Verdana"/>
                <w:i/>
                <w:noProof/>
                <w:color w:val="000000"/>
                <w:sz w:val="18"/>
              </w:rPr>
            </w:pPr>
            <w:r>
              <w:rPr>
                <w:rFonts w:ascii="Verdana" w:hAnsi="Verdana"/>
                <w:i/>
                <w:noProof/>
                <w:color w:val="000000"/>
                <w:sz w:val="18"/>
              </w:rPr>
              <w:t>4 % do 10 %</w:t>
            </w:r>
          </w:p>
        </w:tc>
      </w:tr>
      <w:tr w:rsidR="0043277E">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rPr>
                <w:rFonts w:ascii="Verdana" w:eastAsia="Verdana" w:hAnsi="Verdana" w:cs="Verdana"/>
                <w:i/>
                <w:noProof/>
                <w:color w:val="000000"/>
                <w:sz w:val="18"/>
              </w:rPr>
            </w:pPr>
            <w:r>
              <w:rPr>
                <w:rFonts w:ascii="Verdana" w:hAnsi="Verdana"/>
                <w:i/>
                <w:noProof/>
                <w:color w:val="000000"/>
                <w:sz w:val="18"/>
              </w:rPr>
              <w:t>Sprzęt kosmiczny</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jc w:val="center"/>
              <w:rPr>
                <w:rFonts w:ascii="Verdana" w:eastAsia="Verdana" w:hAnsi="Verdana" w:cs="Verdana"/>
                <w:i/>
                <w:noProof/>
                <w:color w:val="000000"/>
                <w:sz w:val="18"/>
              </w:rPr>
            </w:pPr>
            <w:r>
              <w:rPr>
                <w:rFonts w:ascii="Verdana" w:hAnsi="Verdana"/>
                <w:i/>
                <w:noProof/>
                <w:color w:val="000000"/>
                <w:sz w:val="18"/>
              </w:rPr>
              <w:t>8 % do 25 %</w:t>
            </w:r>
          </w:p>
        </w:tc>
      </w:tr>
      <w:tr w:rsidR="0043277E">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rPr>
                <w:rFonts w:ascii="Verdana" w:eastAsia="Verdana" w:hAnsi="Verdana" w:cs="Verdana"/>
                <w:i/>
                <w:noProof/>
                <w:color w:val="000000"/>
                <w:sz w:val="18"/>
              </w:rPr>
            </w:pPr>
            <w:r>
              <w:rPr>
                <w:rFonts w:ascii="Verdana" w:hAnsi="Verdana"/>
                <w:i/>
                <w:noProof/>
                <w:color w:val="000000"/>
                <w:sz w:val="18"/>
              </w:rPr>
              <w:t>Urządzenia i wyposażenie techniczne</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jc w:val="center"/>
              <w:rPr>
                <w:rFonts w:ascii="Verdana" w:eastAsia="Verdana" w:hAnsi="Verdana" w:cs="Verdana"/>
                <w:i/>
                <w:noProof/>
                <w:color w:val="000000"/>
                <w:sz w:val="18"/>
              </w:rPr>
            </w:pPr>
            <w:r>
              <w:rPr>
                <w:rFonts w:ascii="Verdana" w:hAnsi="Verdana"/>
                <w:i/>
                <w:noProof/>
                <w:color w:val="000000"/>
                <w:sz w:val="18"/>
              </w:rPr>
              <w:t>10 % do 25 %</w:t>
            </w:r>
          </w:p>
        </w:tc>
      </w:tr>
      <w:tr w:rsidR="0043277E">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rPr>
                <w:rFonts w:ascii="Verdana" w:eastAsia="Verdana" w:hAnsi="Verdana" w:cs="Verdana"/>
                <w:i/>
                <w:noProof/>
                <w:color w:val="000000"/>
                <w:sz w:val="18"/>
              </w:rPr>
            </w:pPr>
            <w:r>
              <w:rPr>
                <w:rFonts w:ascii="Verdana" w:hAnsi="Verdana"/>
                <w:i/>
                <w:noProof/>
                <w:color w:val="000000"/>
                <w:sz w:val="18"/>
              </w:rPr>
              <w:t>Meble i środki transportu</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jc w:val="center"/>
              <w:rPr>
                <w:rFonts w:ascii="Verdana" w:eastAsia="Verdana" w:hAnsi="Verdana" w:cs="Verdana"/>
                <w:i/>
                <w:noProof/>
                <w:color w:val="000000"/>
                <w:sz w:val="18"/>
              </w:rPr>
            </w:pPr>
            <w:r>
              <w:rPr>
                <w:rFonts w:ascii="Verdana" w:hAnsi="Verdana"/>
                <w:i/>
                <w:noProof/>
                <w:color w:val="000000"/>
                <w:sz w:val="18"/>
              </w:rPr>
              <w:t>10 % do 25 %</w:t>
            </w:r>
          </w:p>
        </w:tc>
      </w:tr>
      <w:tr w:rsidR="0043277E">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rPr>
                <w:rFonts w:ascii="Verdana" w:eastAsia="Verdana" w:hAnsi="Verdana" w:cs="Verdana"/>
                <w:i/>
                <w:noProof/>
                <w:color w:val="000000"/>
                <w:sz w:val="18"/>
              </w:rPr>
            </w:pPr>
            <w:r>
              <w:rPr>
                <w:rFonts w:ascii="Verdana" w:hAnsi="Verdana"/>
                <w:i/>
                <w:noProof/>
                <w:color w:val="000000"/>
                <w:sz w:val="18"/>
              </w:rPr>
              <w:t>Sprzęt komputerowy</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jc w:val="center"/>
              <w:rPr>
                <w:rFonts w:ascii="Verdana" w:eastAsia="Verdana" w:hAnsi="Verdana" w:cs="Verdana"/>
                <w:i/>
                <w:noProof/>
                <w:color w:val="000000"/>
                <w:sz w:val="18"/>
              </w:rPr>
            </w:pPr>
            <w:r>
              <w:rPr>
                <w:rFonts w:ascii="Verdana" w:hAnsi="Verdana"/>
                <w:i/>
                <w:noProof/>
                <w:color w:val="000000"/>
                <w:sz w:val="18"/>
              </w:rPr>
              <w:t>25 % do 33 %</w:t>
            </w:r>
          </w:p>
        </w:tc>
      </w:tr>
      <w:tr w:rsidR="0043277E">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rPr>
                <w:rFonts w:ascii="Verdana" w:eastAsia="Verdana" w:hAnsi="Verdana" w:cs="Verdana"/>
                <w:i/>
                <w:noProof/>
                <w:color w:val="000000"/>
                <w:sz w:val="18"/>
              </w:rPr>
            </w:pPr>
            <w:r>
              <w:rPr>
                <w:rFonts w:ascii="Verdana" w:hAnsi="Verdana"/>
                <w:i/>
                <w:noProof/>
                <w:color w:val="000000"/>
                <w:sz w:val="18"/>
              </w:rPr>
              <w:t>Inne</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85BIPDR"/>
              <w:jc w:val="center"/>
              <w:rPr>
                <w:rFonts w:ascii="Verdana" w:eastAsia="Verdana" w:hAnsi="Verdana" w:cs="Verdana"/>
                <w:i/>
                <w:noProof/>
                <w:color w:val="000000"/>
                <w:sz w:val="18"/>
              </w:rPr>
            </w:pPr>
            <w:r>
              <w:rPr>
                <w:rFonts w:ascii="Verdana" w:hAnsi="Verdana"/>
                <w:i/>
                <w:noProof/>
                <w:color w:val="000000"/>
                <w:sz w:val="18"/>
              </w:rPr>
              <w:t>10 % do 33 %</w:t>
            </w:r>
          </w:p>
        </w:tc>
      </w:tr>
    </w:tbl>
    <w:p w:rsidR="0043277E" w:rsidRDefault="000F2348">
      <w:pPr>
        <w:pStyle w:val="DGTextstand-alone"/>
      </w:pPr>
      <w:r>
        <w:t>Zyski i straty ze zbycia ustala się, porównując wpływy,</w:t>
      </w:r>
      <w:r>
        <w:t xml:space="preserve"> pomniejszone o koszty sprzedaży, z wartością bilansową zbywanego składnika aktywów, i ujmuje się je w sprawozdaniu z finansowych wyników działalności.</w:t>
      </w:r>
    </w:p>
    <w:p w:rsidR="0043277E" w:rsidRDefault="000F2348">
      <w:pPr>
        <w:pStyle w:val="HEADER5"/>
        <w:keepNext/>
        <w:rPr>
          <w:b/>
          <w:noProof/>
        </w:rPr>
      </w:pPr>
      <w:r>
        <w:rPr>
          <w:noProof/>
        </w:rPr>
        <w:t>Leasing</w:t>
      </w:r>
    </w:p>
    <w:p w:rsidR="0043277E" w:rsidRDefault="000F2348">
      <w:pPr>
        <w:pStyle w:val="DGTextstand-alone"/>
      </w:pPr>
      <w:r>
        <w:t xml:space="preserve">Umowa leasingowa jest to umowa, na mocy której w zamian za opłatę lub serie opłat leasingodawca </w:t>
      </w:r>
      <w:r>
        <w:t>przekazuje leasingobiorcy prawo do użytkowania danego składnika aktywów przez uzgodniony okres. Umowy leasingowe klasyfikuje się jako umowy dotyczące leasingu finansowego albo umowy dotyczące leasingu operacyjnego.</w:t>
      </w:r>
    </w:p>
    <w:p w:rsidR="0043277E" w:rsidRDefault="000F2348">
      <w:pPr>
        <w:pStyle w:val="DGTextstand-alone"/>
      </w:pPr>
      <w:r>
        <w:t>Umowy dotyczące leasingu finansowego to u</w:t>
      </w:r>
      <w:r>
        <w:t xml:space="preserve">mowy, w których na leasingobiorcę przenosi się zasadniczo całość ryzyka i wszystkie korzyści związane z prawem własności. Zawierając umowę dotyczącą leasingu finansowego jako leasingobiorca, aktywa objęte umową dotyczącą leasingu finansowego uznaje się za </w:t>
      </w:r>
      <w:r>
        <w:t xml:space="preserve">aktywa, a obowiązki wynikające z leasingu za zobowiązania od momentu, w którym okres leasingu rozpoczyna bieg. Aktywa i zobowiązania ujmuje się jako kwoty odpowiadające wartości godziwej składnika aktywów objętego umową leasingową lub – jeżeli ich wartość </w:t>
      </w:r>
      <w:r>
        <w:t>jest niższa – wartości bieżącej minimalnych opłat leasingowych określanych w momencie rozpoczęcia leasingu. W okresie leasingu aktywa posiadane na podstawie leasingu finansowego amortyzuje się przez okres użytkowania składnika aktywów lub przez okres leasi</w:t>
      </w:r>
      <w:r>
        <w:t>ngu, w zależności od tego, który z nich jest krótszy. Minimalne opłaty leasingowe dzieli się między koszty finansowania (część odsetkowa) a zmniejszenie kwoty niezaspokojonych zobowiązań (część kapitałowa). Koszty finansowania przydziela się do każdego okr</w:t>
      </w:r>
      <w:r>
        <w:t>esu przypadającego w okresie leasingu, aby wygenerować stałą okresową stopę procentową w odniesieniu do pozostałego bilansu zobowiązania, które przedstawia się – w stosownych przypadkach – jako obrotowe/trwałe. Warunkowe opłaty leasingowe księguje się jako</w:t>
      </w:r>
      <w:r>
        <w:t xml:space="preserve"> koszty w okresie, w których je poniesiono. </w:t>
      </w:r>
    </w:p>
    <w:p w:rsidR="0043277E" w:rsidRDefault="000F2348">
      <w:pPr>
        <w:pStyle w:val="DGTextstand-alone"/>
      </w:pPr>
      <w:r>
        <w:t>Leasing operacyjny to leasing inny niż leasing finansowy, tj. leasing, w ramach którego leasingodawca ponosi zasadniczo całość ryzyka i wszystkie korzyści wynikające z prawa własności do składnika aktywów. W prz</w:t>
      </w:r>
      <w:r>
        <w:t xml:space="preserve">ypadku zawarcia umowy dotyczącej leasingu operacyjnego w charakterze leasingobiorcy raty leasingu operacyjnego ujmuje się metodą liniową jako koszt w sprawozdaniu z finansowych wyników działalności przez okres leasingu, przy czym w sprawozdaniu z sytuacji </w:t>
      </w:r>
      <w:r>
        <w:t>finansowej nie przedstawia się ani składnika aktywów będącego przedmiotem leasingu, ani zobowiązania leasingowego.</w:t>
      </w:r>
    </w:p>
    <w:p w:rsidR="0043277E" w:rsidRDefault="000F2348">
      <w:pPr>
        <w:pStyle w:val="HEADER3NOTES"/>
        <w:keepNext/>
        <w:rPr>
          <w:noProof/>
        </w:rPr>
      </w:pPr>
      <w:r>
        <w:rPr>
          <w:noProof/>
        </w:rPr>
        <w:lastRenderedPageBreak/>
        <w:t>Utrata wartości aktywów niefinansowych</w:t>
      </w:r>
    </w:p>
    <w:p w:rsidR="0043277E" w:rsidRDefault="000F2348">
      <w:pPr>
        <w:pStyle w:val="DGTextstand-alone"/>
        <w:keepNext/>
      </w:pPr>
      <w:r>
        <w:t>Utrata wartości to strata przyszłych korzyści ekonomicznych lub świadczeń związanych ze składnikiem ak</w:t>
      </w:r>
      <w:r>
        <w:t>tywów wykraczająca poza systematyczne uznawanie straty przyszłych korzyści ekonomicznych lub świadczeń związanych ze składnikiem aktywów w postaci amortyzacji lub umorzenia (w stosownych przypadkach). Aktywa o nieokreślonym okresie użytkowania nie podlegaj</w:t>
      </w:r>
      <w:r>
        <w:t>ą amortyzacji ani umorzeniu i są corocznie kontrolowane pod kątem utraty wartości. Składniki aktywów podlegające amortyzacji/umorzeniu analizuje się pod kątem utraty wartości za każdym razem, gdy w dniu sprawozdawczym istnieje wskazanie, że dany składnik a</w:t>
      </w:r>
      <w:r>
        <w:t>ktywów może podlegać utracie wartości. Stratę z tytułu utraty wartości ujmuje się w kwocie, o którą wartość bilansowa składnika aktywów przewyższa jego wartość odzyskiwalną. Wartość odzyskiwalna to wartość godziwa składnika aktywów pomniejszona o koszty sp</w:t>
      </w:r>
      <w:r>
        <w:t>rzedaży lub wartość użytkowa, w zależności od tego, która z tych wartości jest wyższa.</w:t>
      </w:r>
    </w:p>
    <w:p w:rsidR="0043277E" w:rsidRDefault="000F2348">
      <w:pPr>
        <w:pStyle w:val="DGTextstand-alone"/>
      </w:pPr>
      <w:r>
        <w:t>Wartości końcowe i okresy użytkowania wartości niematerialnych i prawnych oraz rzeczowych aktywów trwałych poddawane są przeglądowi i w razie konieczności korygowane, co</w:t>
      </w:r>
      <w:r>
        <w:t xml:space="preserve"> najmniej raz do roku. Jeżeli przyczyny utraty wartości ujętej w poprzednich latach nie mają już zastosowania, odpisy aktualizujące z tytułu utraty wartości są odpowiednio odwracane.</w:t>
      </w:r>
    </w:p>
    <w:p w:rsidR="0043277E" w:rsidRDefault="000F2348">
      <w:pPr>
        <w:pStyle w:val="HEADER3NOTES"/>
        <w:rPr>
          <w:noProof/>
        </w:rPr>
      </w:pPr>
      <w:r>
        <w:rPr>
          <w:noProof/>
        </w:rPr>
        <w:t>Inwestycje rozliczane zgodnie z metodą praw własności</w:t>
      </w:r>
    </w:p>
    <w:p w:rsidR="0043277E" w:rsidRDefault="000F2348">
      <w:pPr>
        <w:pStyle w:val="HEADER5"/>
        <w:rPr>
          <w:b/>
          <w:noProof/>
        </w:rPr>
      </w:pPr>
      <w:r>
        <w:rPr>
          <w:noProof/>
        </w:rPr>
        <w:t>Udziały w jednostka</w:t>
      </w:r>
      <w:r>
        <w:rPr>
          <w:noProof/>
        </w:rPr>
        <w:t>ch stowarzyszonych i wspólnych przedsięwzięciach</w:t>
      </w:r>
    </w:p>
    <w:p w:rsidR="0043277E" w:rsidRDefault="000F2348">
      <w:pPr>
        <w:pStyle w:val="DGTextstand-alone"/>
      </w:pPr>
      <w:r>
        <w:t xml:space="preserve">Inwestycje rozliczane zgodnie z metodą praw własności początkowo ujmuje się według kosztu, przy czym początkową wartość bilansową zwiększa się lub zmniejsza następnie, aby ująć dalsze wkłady, udział UE w </w:t>
      </w:r>
      <w:r>
        <w:t>nadwyżce lub deficycie jednostki, w której dokonano inwestycji, oraz wszelkie przypadki utraty wartości i wypłaty dywidendy. Wartość bilansowa inwestycji w sprawozdaniu finansowym na dzień bilansowy jest równa kosztowi początkowemu wraz ze wszystkimi zmian</w:t>
      </w:r>
      <w:r>
        <w:t>ami. Udział UE w nadwyżce lub deficycie jednostki, w której dokonano inwestycji, ujmuje się w sprawozdaniu z finansowych wyników działalności, a jej udział w zmianach w kapitale własnym jednostki, w której dokonano inwestycji, ujmuje się w kapitałach rezer</w:t>
      </w:r>
      <w:r>
        <w:t>wowych w aktywach netto. Otrzymane wypłaty z inwestycji obniżają wartość bilansową aktywów.</w:t>
      </w:r>
    </w:p>
    <w:p w:rsidR="0043277E" w:rsidRDefault="000F2348">
      <w:pPr>
        <w:pStyle w:val="DGTextstand-alone"/>
      </w:pPr>
      <w:r>
        <w:t>Jeżeli udział UE w deficycie inwestycji rozliczanej zgodnie z metodą praw własności jest równy jej udziałowi w tej inwestycji lub go przekracza, UE przestaje ujmowa</w:t>
      </w:r>
      <w:r>
        <w:t>ć swój udział w przyszłych stratach („nieujęte straty”). Po zredukowaniu udziału UE do wartości zerowej na wszelkie dodatkowe straty tworzy się rezerwy, a zobowiązanie ujmuje się tylko w takiej wysokości, w jakiej UE powzięła prawny lub zwyczajowo oczekiwa</w:t>
      </w:r>
      <w:r>
        <w:t>ny obowiązek lub dokonała płatności w imieniu danej jednostki.</w:t>
      </w:r>
    </w:p>
    <w:p w:rsidR="0043277E" w:rsidRDefault="000F2348">
      <w:pPr>
        <w:pStyle w:val="DGTextstand-alone"/>
      </w:pPr>
      <w:r>
        <w:t>Jeżeli występują oznaki utraty wartości, w razie konieczności dokonuje się odpisu do niższej wartości odzyskiwalnej. Wartość odzyskiwalną określa się zgodnie z zasadami opisanymi w informacji d</w:t>
      </w:r>
      <w:r>
        <w:t xml:space="preserve">odatkowej </w:t>
      </w:r>
      <w:r>
        <w:rPr>
          <w:b/>
          <w:bCs/>
        </w:rPr>
        <w:t>1.5.3</w:t>
      </w:r>
      <w:r>
        <w:t>. Jeżeli przyczyny utraty wartości przestają mieć zastosowanie w późniejszym terminie, dokonuje się odwrócenia odpisu aktualizującego z tytułu utraty wartości do wartości bilansowej, jaka zostałaby określona, gdyby nie dokonano żadnego odpis</w:t>
      </w:r>
      <w:r>
        <w:t>u aktualizującego z tytułu utraty wartości.</w:t>
      </w:r>
    </w:p>
    <w:p w:rsidR="0043277E" w:rsidRDefault="000F2348">
      <w:pPr>
        <w:pStyle w:val="DGTextstand-alone"/>
      </w:pPr>
      <w:r>
        <w:t>W przypadku gdy UE posiada przynajmniej 20 % funduszu kapitału inwestycyjnego, nie dąży do wywierania znaczącego wpływu. Takie fundusze traktuje się zatem jako instrumenty finansowe i klasyfikuje jako aktywa fina</w:t>
      </w:r>
      <w:r>
        <w:t>nsowe dostępne do sprzedaży.</w:t>
      </w:r>
    </w:p>
    <w:p w:rsidR="0043277E" w:rsidRDefault="000F2348">
      <w:pPr>
        <w:pStyle w:val="DGTextstand-alone"/>
      </w:pPr>
      <w:r>
        <w:t xml:space="preserve">Jednostek stowarzyszonych i wspólnych przedsięwzięć zaklasyfikowanych jako mniejsze jednostki (zob. informacja dodatkowa </w:t>
      </w:r>
      <w:r>
        <w:rPr>
          <w:b/>
        </w:rPr>
        <w:t>1.3</w:t>
      </w:r>
      <w:r>
        <w:t>) nie rozlicza się według metody praw własności. Wkłady UE na rzecz tych jednostek rozlicza się jako ko</w:t>
      </w:r>
      <w:r>
        <w:t xml:space="preserve">szty poniesione w danym okresie. </w:t>
      </w:r>
    </w:p>
    <w:p w:rsidR="0043277E" w:rsidRDefault="000F2348">
      <w:pPr>
        <w:pStyle w:val="HEADER3NOTES"/>
        <w:keepNext/>
        <w:rPr>
          <w:noProof/>
        </w:rPr>
      </w:pPr>
      <w:r>
        <w:rPr>
          <w:noProof/>
        </w:rPr>
        <w:t>Aktywa finansowe</w:t>
      </w:r>
    </w:p>
    <w:p w:rsidR="0043277E" w:rsidRDefault="000F2348">
      <w:pPr>
        <w:pStyle w:val="HEADER5"/>
        <w:rPr>
          <w:b/>
          <w:noProof/>
        </w:rPr>
      </w:pPr>
      <w:r>
        <w:rPr>
          <w:noProof/>
        </w:rPr>
        <w:t>Klasyfikacja</w:t>
      </w:r>
    </w:p>
    <w:p w:rsidR="0043277E" w:rsidRDefault="000F2348">
      <w:pPr>
        <w:pStyle w:val="DGTextstand-alone"/>
      </w:pPr>
      <w:r>
        <w:t>UE klasyfikuje swoje aktywa finansowe w następujących kategoriach „aktywa finansowe wyceniane według wartości godziwej przez nadwyżkę lub deficyt”, „pożyczki i należności”, „inwestycje utrzymy</w:t>
      </w:r>
      <w:r>
        <w:t>wane do terminu zapadalności” oraz „aktywa finansowe dostępne do sprzedaży”. Klasyfikacja instrumentów finansowych ustalana jest w momencie początkowego ujęcia i podlega ponownej wycenie na każdy dzień bilansowy.</w:t>
      </w:r>
    </w:p>
    <w:p w:rsidR="0043277E" w:rsidRDefault="000F2348">
      <w:pPr>
        <w:pStyle w:val="TextSubtitlenumberingRCItalic"/>
        <w:ind w:left="357" w:hanging="357"/>
        <w:rPr>
          <w:noProof/>
        </w:rPr>
      </w:pPr>
      <w:r>
        <w:rPr>
          <w:noProof/>
        </w:rPr>
        <w:lastRenderedPageBreak/>
        <w:t xml:space="preserve">Aktywa finansowe wyceniane według wartości </w:t>
      </w:r>
      <w:r>
        <w:rPr>
          <w:noProof/>
        </w:rPr>
        <w:t>godziwej przez nadwyżkę lub deficyt</w:t>
      </w:r>
    </w:p>
    <w:p w:rsidR="0043277E" w:rsidRDefault="000F2348">
      <w:pPr>
        <w:pStyle w:val="DGTextstand-alone"/>
      </w:pPr>
      <w:r>
        <w:t xml:space="preserve">Składnik aktywów finansowych zalicza się do kategorii składnika aktywów „wycenianego według wartości godziwej przez nadwyżkę lub deficyt”, jeżeli został nabyty zasadniczo w celu sprzedaży w perspektywie krótkoterminowej </w:t>
      </w:r>
      <w:r>
        <w:t>lub jeżeli został do niej zaklasyfikowany przez jednostkę. W kategorii tej ujmuje się również instrumenty pochodne. Należące do tej kategorii aktywa uznaje się za aktywa obrotowe, jeżeli ich zbycie przewidziane jest w ciągu 12 miesięcy od dnia bilansowego.</w:t>
      </w:r>
    </w:p>
    <w:p w:rsidR="0043277E" w:rsidRDefault="000F2348">
      <w:pPr>
        <w:pStyle w:val="TextSubtitlenumberingRCItalic"/>
        <w:keepNext/>
        <w:ind w:left="357" w:hanging="357"/>
        <w:rPr>
          <w:noProof/>
        </w:rPr>
      </w:pPr>
      <w:r>
        <w:rPr>
          <w:noProof/>
        </w:rPr>
        <w:t>Pożyczki i należności</w:t>
      </w:r>
    </w:p>
    <w:p w:rsidR="0043277E" w:rsidRDefault="000F2348">
      <w:pPr>
        <w:pStyle w:val="DGTextstand-alone"/>
      </w:pPr>
      <w:r>
        <w:t>Pożyczki i należności to aktywa finansowe niebędące instrumentami pochodnymi, ze stałymi lub ustalonymi płatnościami, nienotowane na aktywnym rynku. Powstają one, gdy UE przekazuje środki pieniężne, towary lub usługi bezpośrednio dłu</w:t>
      </w:r>
      <w:r>
        <w:t xml:space="preserve">żnikowi i nie ma zamiaru wprowadzać należności do obrotu lub w przypadku, gdy UE wstępuje w prawa pierwotnego kredytodawcy po dokonaniu przez UE płatności w ramach umowy gwarancji. Płatności należne w terminie do 12 miesięcy od dnia bilansowego uznaje się </w:t>
      </w:r>
      <w:r>
        <w:t>za aktywa obrotowe. Płatności należne w terminie przekraczającym 12 miesięcy od dnia bilansowego uznaje się za aktywa trwałe. Pożyczki i należności obejmują depozyty terminowe o pierwotnym terminie zapadalności powyżej trzech miesięcy.</w:t>
      </w:r>
    </w:p>
    <w:p w:rsidR="0043277E" w:rsidRDefault="000F2348">
      <w:pPr>
        <w:pStyle w:val="TextSubtitlenumberingRCItalic"/>
        <w:ind w:left="357" w:hanging="357"/>
        <w:rPr>
          <w:noProof/>
        </w:rPr>
      </w:pPr>
      <w:r>
        <w:rPr>
          <w:noProof/>
        </w:rPr>
        <w:t>Inwestycje utrzymywa</w:t>
      </w:r>
      <w:r>
        <w:rPr>
          <w:noProof/>
        </w:rPr>
        <w:t>ne do terminu zapadalności</w:t>
      </w:r>
    </w:p>
    <w:p w:rsidR="0043277E" w:rsidRDefault="000F2348">
      <w:pPr>
        <w:pStyle w:val="DGTextstand-alone"/>
      </w:pPr>
      <w:r>
        <w:t>Inwestycje utrzymywane do terminu zapadalności to aktywa finansowe niebędące instrumentami pochodnymi, ze stałymi lub ustalonymi płatnościami i stałymi terminami zapadalności, które UE ma zamiar i może utrzymywać do terminu zapadalności. W ciągu ostatniego</w:t>
      </w:r>
      <w:r>
        <w:t xml:space="preserve"> roku budżetowego UE nie utrzymywała żadnych inwestycji zaliczających się do tej kategorii. </w:t>
      </w:r>
    </w:p>
    <w:p w:rsidR="0043277E" w:rsidRDefault="000F2348">
      <w:pPr>
        <w:pStyle w:val="TextSubtitlenumberingRCItalic"/>
        <w:ind w:left="357" w:hanging="357"/>
        <w:rPr>
          <w:noProof/>
        </w:rPr>
      </w:pPr>
      <w:r>
        <w:rPr>
          <w:noProof/>
        </w:rPr>
        <w:t>Aktywa finansowe dostępne do sprzedaży</w:t>
      </w:r>
    </w:p>
    <w:p w:rsidR="0043277E" w:rsidRDefault="000F2348">
      <w:pPr>
        <w:pStyle w:val="DGTextstand-alone"/>
      </w:pPr>
      <w:r>
        <w:t xml:space="preserve">Aktywa finansowe dostępne do sprzedaży to aktywa niebędące instrumentami pochodnymi, które zostały przypisane do niniejszej </w:t>
      </w:r>
      <w:r>
        <w:t>kategorii lub które nie zaliczają się do żadnej z pozostałych kategorii. Klasyfikuje się je jako aktywa obrotowe lub trwałe, w zależności od okresu, przez który UE planuje je posiadać. Inwestycje w jednostkach nieobjętych konsolidacją ani nieujmowanych met</w:t>
      </w:r>
      <w:r>
        <w:t>odą praw własności oraz inne inwestycje kapitałowe (np. operacje w oparciu o kapitał podwyższonego ryzyka) również klasyfikuje się jako aktywa finansowe dostępne do sprzedaży.</w:t>
      </w:r>
    </w:p>
    <w:p w:rsidR="0043277E" w:rsidRDefault="000F2348">
      <w:pPr>
        <w:pStyle w:val="HEADER5"/>
        <w:rPr>
          <w:b/>
          <w:noProof/>
        </w:rPr>
      </w:pPr>
      <w:r>
        <w:rPr>
          <w:noProof/>
        </w:rPr>
        <w:t>Początkowe ujęcie i wycena</w:t>
      </w:r>
    </w:p>
    <w:p w:rsidR="0043277E" w:rsidRDefault="000F2348">
      <w:pPr>
        <w:pStyle w:val="DGTextstand-alone"/>
      </w:pPr>
      <w:r>
        <w:t>Zakup i sprzedaż aktywów finansowych sklasyfikowanych</w:t>
      </w:r>
      <w:r>
        <w:t xml:space="preserve"> jako aktywa finansowe „wyceniane według wartości godziwej przez nadwyżkę lub deficyt”, „utrzymywane do upływu terminu zapadalności” lub „dostępne do sprzedaży”, ujmuje się na dzień transakcji, czyli dzień, w którym UE zobowiązała się kupić lub sprzedać sk</w:t>
      </w:r>
      <w:r>
        <w:t>ładnik aktywów. Ekwiwalenty środków pieniężnych i pożyczki ujmuje się, gdy środki pieniężne są deponowane w instytucji finansowej lub przekazywane pożyczkobiorcom. Instrumenty finansowe ujmuje się początkowo według wartości godziwej. W przypadku wszystkich</w:t>
      </w:r>
      <w:r>
        <w:t xml:space="preserve"> aktywów finansowych niewycenianych według wartości godziwej przez nadwyżkę lub deficyt koszty transakcji dodaje się do wartości godziwej przy początkowym ujęciu. Aktywa finansowe wyceniane według wartości godziwej przez nadwyżkę lub deficyt ujmuje się poc</w:t>
      </w:r>
      <w:r>
        <w:t>zątkowo w wartości godziwej, a koszty transakcji ujmuje się jako koszty w sprawozdaniu z finansowych wyników działalności.</w:t>
      </w:r>
    </w:p>
    <w:p w:rsidR="0043277E" w:rsidRDefault="000F2348">
      <w:pPr>
        <w:pStyle w:val="DGTextstand-alone"/>
      </w:pPr>
      <w:r>
        <w:t>W początkowym ujęciu wartość godziwa składnika aktywów finansowych odpowiada zwykle cenie transakcji (tj. wartości godziwej otrzymane</w:t>
      </w:r>
      <w:r>
        <w:t>j zapłaty), chyba że wartość godziwa tego instrumentu została potwierdzona poprzez porównanie z obserwacjami innych bieżących transakcji rynkowych na takich samych instrumentach lub na podstawie techniki wyceny, której zmienne obejmują jedynie dane pochodz</w:t>
      </w:r>
      <w:r>
        <w:t>ące z obserwacji rynków (np. w przypadku niektórych kontraktów na instrumenty pochodne). Jednakże wartość godziwą udzielonej pożyczki długoterminowej, która jest nieoprocentowana lub oprocentowana poniżej rynkowych stóp procentowych, ustala się jako wartoś</w:t>
      </w:r>
      <w:r>
        <w:t>ć bieżącą wszystkich przyszłych wpływów środków pieniężnych dyskontowanych w oparciu o obowiązującą rynkową stopę procentową dla podobnego instrumentu o podobnym ratingu.</w:t>
      </w:r>
    </w:p>
    <w:p w:rsidR="0043277E" w:rsidRDefault="000F2348">
      <w:pPr>
        <w:pStyle w:val="DGTextstand-alone"/>
      </w:pPr>
      <w:r>
        <w:t>Pożyczki udzielone wycenia się w ich kwocie nominalnej, którą uznaje się za wartość g</w:t>
      </w:r>
      <w:r>
        <w:t>odziwą pożyczki. Istnieją ku temu następujące powody:</w:t>
      </w:r>
    </w:p>
    <w:p w:rsidR="0043277E" w:rsidRDefault="000F2348">
      <w:pPr>
        <w:pStyle w:val="DGTextstand-alone"/>
        <w:numPr>
          <w:ilvl w:val="0"/>
          <w:numId w:val="24"/>
        </w:numPr>
      </w:pPr>
      <w:r>
        <w:t>„Otoczenie rynkowe” pożyczek UE jest bardzo specyficzne i różni się od rynku kapitałowego, na którym emitowane są obligacje komercyjne lub skarbowe. Pożyczkodawcy na rynku kapitałowym mają bowiem możliw</w:t>
      </w:r>
      <w:r>
        <w:t xml:space="preserve">ość wyboru alternatywnych inwestycji, co znajduje swoje odzwierciedlenie w cenach rynkowych. UE jest jednak pozbawiona tej możliwości, jako że nie może ona inwestować </w:t>
      </w:r>
      <w:r>
        <w:lastRenderedPageBreak/>
        <w:t>środków na rynkach kapitałowych; pożycza ona środki tylko po to, by udzielić pożyczek o t</w:t>
      </w:r>
      <w:r>
        <w:t>akiej samej stopie procentowej. Oznacza to, że w odniesieniu do pożyczonych przez siebie środków UE nie dysponuje innymi możliwościami udzielania pożyczek ani inwestowania tych środków. Dlatego też nie istnieją koszty alternatywne i tym samym nie ma podsta</w:t>
      </w:r>
      <w:r>
        <w:t>wy do porównania ze stopami rynkowymi. W rzeczywistości pożyczki udzielane przez UE same w sobie stanowią osobny rynek. Zasadniczo, jako że nie można zastosować opcji kosztu alternatywnego, cena rynkowa nie oddaje rzetelnie istoty operacji udzielania pożyc</w:t>
      </w:r>
      <w:r>
        <w:t>zek przez UE W związku z tym nie jest właściwe ustalanie wartości godziwej pożyczek UE poprzez odniesienie do obligacji komercyjnych i skarbowych.</w:t>
      </w:r>
    </w:p>
    <w:p w:rsidR="0043277E" w:rsidRDefault="000F2348">
      <w:pPr>
        <w:pStyle w:val="DGTextstand-alone"/>
        <w:numPr>
          <w:ilvl w:val="0"/>
          <w:numId w:val="24"/>
        </w:numPr>
      </w:pPr>
      <w:r>
        <w:t>Ponadto, jako że nie istnieje aktywny rynek ani podobne transakcje, z którymi można by porównać operacje udzi</w:t>
      </w:r>
      <w:r>
        <w:t>elania pożyczek przez UE, stopa procentowa stosowana przez UE do ustalenia wartości godziwej pożyczek udzielanych w ramach EFSM, pożyczek na wsparcie bilansu płatniczego oraz innych takich pożyczek, powinna być równa pobieranej stopie procentowej.</w:t>
      </w:r>
    </w:p>
    <w:p w:rsidR="0043277E" w:rsidRDefault="000F2348">
      <w:pPr>
        <w:pStyle w:val="DGTextstand-alone"/>
        <w:numPr>
          <w:ilvl w:val="0"/>
          <w:numId w:val="24"/>
        </w:numPr>
      </w:pPr>
      <w:r>
        <w:t>Co więce</w:t>
      </w:r>
      <w:r>
        <w:t>j, w przypadku tych pożyczek, między pożyczkami udzielonymi i zaciągniętymi występują efekty równoważące z uwagi na ich charakter wzajemny (ang. back-to-back). Stąd też efektywna stopa procentowa dla pożyczki udzielonej równa się efektywnej stopie procento</w:t>
      </w:r>
      <w:r>
        <w:t>wej powiązanych pożyczek zaciągniętych. Poniesione przez UE koszty transakcji, którymi następnie obciąża się beneficjenta pożyczki, są bezpośrednio ujmowane w sprawozdaniu z finansowych wyników działalności.</w:t>
      </w:r>
    </w:p>
    <w:p w:rsidR="0043277E" w:rsidRDefault="000F2348">
      <w:pPr>
        <w:pStyle w:val="DGTextstand-alone"/>
      </w:pPr>
      <w:r>
        <w:t>Instrumenty finansowe usuwa się z ksiąg w przypa</w:t>
      </w:r>
      <w:r>
        <w:t>dku wygaśnięcia praw do otrzymywania przepływów pieniężnych z inwestycji oraz w przypadku, gdy UE przeniosła zasadniczo całe ryzyko i wszystkie korzyści związane z prawem własności na inny podmiot.</w:t>
      </w:r>
    </w:p>
    <w:p w:rsidR="0043277E" w:rsidRDefault="000F2348">
      <w:pPr>
        <w:pStyle w:val="HEADER5"/>
        <w:rPr>
          <w:noProof/>
        </w:rPr>
      </w:pPr>
      <w:r>
        <w:rPr>
          <w:noProof/>
        </w:rPr>
        <w:t>Późniejsza wycena</w:t>
      </w:r>
    </w:p>
    <w:p w:rsidR="0043277E" w:rsidRDefault="000F2348">
      <w:pPr>
        <w:pStyle w:val="DGTextstand-alone"/>
        <w:numPr>
          <w:ilvl w:val="0"/>
          <w:numId w:val="25"/>
        </w:numPr>
      </w:pPr>
      <w:r>
        <w:t xml:space="preserve">Aktywa finansowe wyceniane według </w:t>
      </w:r>
      <w:r>
        <w:t>wartości godziwej przez nadwyżkę lub deficyt wycenia się następnie według wartości godziwej. Zyski i straty wynikające ze zmiany wartości godziwej kategorii „instrumenty finansowe wykazywane według wartości godziwej przez nadwyżkę lub deficyt” ujmuje się w</w:t>
      </w:r>
      <w:r>
        <w:t xml:space="preserve"> sprawozdaniu z finansowych wyników działalności w okresie, w którym powstały.</w:t>
      </w:r>
    </w:p>
    <w:p w:rsidR="0043277E" w:rsidRDefault="000F2348">
      <w:pPr>
        <w:pStyle w:val="DGTextstand-alone"/>
        <w:numPr>
          <w:ilvl w:val="0"/>
          <w:numId w:val="25"/>
        </w:numPr>
      </w:pPr>
      <w:r>
        <w:t>Pożyczki i należności ujmuje się po zamortyzowanym koszcie w oparciu o metodę efektywnej stopy procentowej. W przypadku pożyczek udzielonych z pożyczonych funduszy ta sama efekt</w:t>
      </w:r>
      <w:r>
        <w:t>ywna stopa procentowa stosowana jest do udzielonych i zaciągniętych pożyczek, gdyż pożyczki te mają cechy operacji wzajemnych (ang. back-to-back), a różnice między warunkami i kwotami pożyczek udzielonych i zaciągniętych nie są istotne. Poniesione przez UE</w:t>
      </w:r>
      <w:r>
        <w:t xml:space="preserve"> koszty transakcji, którymi następnie obciąża się beneficjenta pożyczki, są bezpośrednio ujmowane w sprawozdaniu z finansowych wyników działalności.</w:t>
      </w:r>
    </w:p>
    <w:p w:rsidR="0043277E" w:rsidRDefault="000F2348">
      <w:pPr>
        <w:pStyle w:val="DGTextstand-alone"/>
        <w:numPr>
          <w:ilvl w:val="0"/>
          <w:numId w:val="25"/>
        </w:numPr>
      </w:pPr>
      <w:r>
        <w:t>Aktywa utrzymywane do upływu terminu zapadalności ujmuje się po zamortyzowanym koszcie w oparciu o metodę e</w:t>
      </w:r>
      <w:r>
        <w:t>fektywnej stopy procentowej. UE obecnie nie posiada inwestycji utrzymywanych do terminu zapadalności.</w:t>
      </w:r>
    </w:p>
    <w:p w:rsidR="0043277E" w:rsidRDefault="000F2348">
      <w:pPr>
        <w:pStyle w:val="DGTextstand-alone"/>
        <w:numPr>
          <w:ilvl w:val="0"/>
          <w:numId w:val="25"/>
        </w:numPr>
      </w:pPr>
      <w:r>
        <w:t>Aktywa finansowe dostępne do sprzedaży wycenia się następnie według wartości godziwej. Zyski i straty wynikające ze zmiany wartości godziwej aktywów finan</w:t>
      </w:r>
      <w:r>
        <w:t>sowych dostępnych do sprzedaży ujmuje się w kapitale z aktualizacji wyceny, z wyjątkiem różnic wynikających z przeliczenia walut dotyczących składników aktywów pieniężnych, które ujmuje się w sprawozdaniu z finansowych wyników działalności. W przypadku usu</w:t>
      </w:r>
      <w:r>
        <w:t>nięcia z ksiąg lub sprzedaży lub utraty wartości aktywów sklasyfikowanych jako aktywa finansowe dostępne do sprzedaży, skumulowane korekty wartości godziwej ujęte uprzednio w kapitale z aktualizacji wyceny ujmuje się w sprawozdaniu z finansowych wyników dz</w:t>
      </w:r>
      <w:r>
        <w:t>iałalności. Odsetki od aktywów finansowych dostępnych do sprzedaży obliczone w oparciu o metodę efektywnej stopy procentowej ujmuje się w sprawozdaniu z finansowych wyników działalności. Dywidendy od instrumentów kapitałowych dostępnych do sprzedaży ujmuje</w:t>
      </w:r>
      <w:r>
        <w:t xml:space="preserve"> się po stwierdzeniu prawa UE do otrzymania płatności.</w:t>
      </w:r>
    </w:p>
    <w:p w:rsidR="0043277E" w:rsidRDefault="000F2348">
      <w:pPr>
        <w:pStyle w:val="DGTextstand-alone"/>
      </w:pPr>
      <w:r>
        <w:t>Wartość godziwą inwestycji notowanych na aktywnych rynkach ustala się w oparciu o bieżące oferowane ceny zakupu. W przypadku składników aktywów finansowych, dla których nie ma aktywnego rynku (oraz w p</w:t>
      </w:r>
      <w:r>
        <w:t xml:space="preserve">rzypadku nienotowanych papierów wartościowych i instrumentów pochodnych będących przedmiotem obrotu poza rynkiem regulowanym), UE określa wartość godziwą w oparciu o techniki wyceny. Obejmują one wykorzystanie niedawnych transakcji na warunkach rynkowych, </w:t>
      </w:r>
      <w:r>
        <w:t xml:space="preserve">odniesienie do innych analogicznych instrumentów, analizę zdyskontowanych przepływów pieniężnych, modele wyceny opcji oraz inne metody wyceny powszechnie stosowane przez uczestników rynku. </w:t>
      </w:r>
    </w:p>
    <w:p w:rsidR="0043277E" w:rsidRDefault="000F2348">
      <w:pPr>
        <w:pStyle w:val="DGTextstand-alone"/>
      </w:pPr>
      <w:r>
        <w:lastRenderedPageBreak/>
        <w:t xml:space="preserve">Inwestycje w fundusze venture capital, sklasyfikowane jako aktywa </w:t>
      </w:r>
      <w:r>
        <w:t>finansowe dostępne do sprzedaży, które nie są notowane na aktywnym rynku, wycenia się według przypisanej wartości aktywów netto, którą uznaje się za równą ich wartości godziwej.</w:t>
      </w:r>
    </w:p>
    <w:p w:rsidR="0043277E" w:rsidRDefault="000F2348">
      <w:pPr>
        <w:pStyle w:val="DGTextstand-alone"/>
      </w:pPr>
      <w:r>
        <w:t>W przypadku gdy nie można w wiarygodny sposób wycenić wartości godziwej inwest</w:t>
      </w:r>
      <w:r>
        <w:t>ycji w instrumenty kapitałowe, które nie są notowane na aktywnym rynku, inwestycje te wycenia się po koszcie pomniejszonym o straty z tytułu utraty wartości.</w:t>
      </w:r>
    </w:p>
    <w:p w:rsidR="0043277E" w:rsidRDefault="000F2348">
      <w:pPr>
        <w:pStyle w:val="HEADER5"/>
        <w:rPr>
          <w:b/>
          <w:noProof/>
        </w:rPr>
      </w:pPr>
      <w:r>
        <w:rPr>
          <w:noProof/>
        </w:rPr>
        <w:t>Utrata wartości aktywów finansowych</w:t>
      </w:r>
    </w:p>
    <w:p w:rsidR="0043277E" w:rsidRDefault="000F2348">
      <w:pPr>
        <w:pStyle w:val="DGTextstand-alone"/>
      </w:pPr>
      <w:r>
        <w:t>Utrata wartości danego składnika aktywów finansowych następuje</w:t>
      </w:r>
      <w:r>
        <w:t xml:space="preserve"> tylko i wyłącznie wtedy, gdy istnieją obiektywne dowody na utratę wartości w związku z jednym lub większą liczbą zdarzeń, które miały miejsce po początkowym ujęciu składnika aktywów, oraz gdy zdarzenie (lub zdarzenia) powodujące stratę ma (mają) wpływ na </w:t>
      </w:r>
      <w:r>
        <w:t xml:space="preserve">szacunkowe przyszłe przepływy pieniężne związane z danym składnikiem aktywów finansowych, który to wpływ można w wiarygodny sposób oszacować. Dokonywany jest wówczas odpis aktualizujący z tytułu utraty wartości. Na każdy dzień sprawozdawczy UE ocenia, czy </w:t>
      </w:r>
      <w:r>
        <w:t>istnieją obiektywne dowody utraty wartości danego składnika aktywów finansowych.</w:t>
      </w:r>
    </w:p>
    <w:p w:rsidR="0043277E" w:rsidRDefault="000F2348">
      <w:pPr>
        <w:pStyle w:val="TextSubtitleItalicnumberinglettera"/>
        <w:rPr>
          <w:noProof/>
        </w:rPr>
      </w:pPr>
      <w:r>
        <w:rPr>
          <w:noProof/>
        </w:rPr>
        <w:t>Aktywa wykazywane po zamortyzowanym koszcie</w:t>
      </w:r>
    </w:p>
    <w:p w:rsidR="0043277E" w:rsidRDefault="000F2348">
      <w:pPr>
        <w:pStyle w:val="DGTextstand-alone"/>
      </w:pPr>
      <w:r>
        <w:t>Jeżeli istnieją obiektywne dowody straty z tytułu utraty wartości pożyczek i należności lub inwestycji utrzymywanych do terminu zap</w:t>
      </w:r>
      <w:r>
        <w:t>adalności wykazywanych po zamortyzowanym koszcie, kwotę straty wycenia się jako różnicę między wartością bilansową składnika aktywów a wartością bieżącą szacunkowych przyszłych przepływów pieniężnych (z wyłączeniem przyszłych strat kredytowych, które nie z</w:t>
      </w:r>
      <w:r>
        <w:t xml:space="preserve">ostały poniesione), dyskontowaną według pierwotnej efektywnej stopy procentowej dla składnika aktywów finansowych. Wartość bilansowa składnika aktywów jest zmniejszana, a kwota straty ujmowana jest w sprawozdaniu z finansowych wyników działalności. Jeżeli </w:t>
      </w:r>
      <w:r>
        <w:t>pożyczka lub inwestycja utrzymywana do terminu zapadalności ma zmienne oprocentowanie, w celu wyceny straty z tytułu utraty wartości przyjmuje się stopę dyskontową odpowiadającą bieżącej efektywnej stopie procentowej określonej w umowie. Wartość bieżącą sz</w:t>
      </w:r>
      <w:r>
        <w:t xml:space="preserve">acunkowych przyszłych przepływów pieniężnych z tytułu zabezpieczonego składnika aktywów finansowych oblicza się na podstawie przepływów pieniężnych, które mogą wynikać z zajęcia, pomniejszonych o koszty uzyskania i sprzedaży zabezpieczenia, bez względu na </w:t>
      </w:r>
      <w:r>
        <w:t>prawdopodobieństwo zajęcia. Jeżeli w kolejnym okresie kwota straty z tytułu utraty wartości ulegnie zmniejszeniu oraz jeżeli zmniejszenie to można w obiektywny sposób powiązać ze zdarzeniem mającym miejsce po ujęciu utraty wartości, w sprawozdaniu z finans</w:t>
      </w:r>
      <w:r>
        <w:t>owych wyników działalności dokonuje się odwrócenia uprzednio ujętego odpisu aktualizującego z tytułu utraty wartości.</w:t>
      </w:r>
    </w:p>
    <w:p w:rsidR="0043277E" w:rsidRDefault="000F2348">
      <w:pPr>
        <w:pStyle w:val="TextSubtitleItalicnumberinglettera"/>
        <w:rPr>
          <w:noProof/>
        </w:rPr>
      </w:pPr>
      <w:r>
        <w:rPr>
          <w:noProof/>
        </w:rPr>
        <w:t>Aktywa wyceniane według wartości godziwej</w:t>
      </w:r>
    </w:p>
    <w:p w:rsidR="0043277E" w:rsidRDefault="000F2348">
      <w:pPr>
        <w:pStyle w:val="DGTextstand-alone"/>
      </w:pPr>
      <w:r>
        <w:t>W przypadku inwestycji kapitałowych zaklasyfikowanych jako aktywa finansowe dostępne do sprzedaż</w:t>
      </w:r>
      <w:r>
        <w:t>y, podczas ustalania, czy nie nastąpiła utrata wartości papierów wartościowych, należy wziąć pod uwagę istotny lub trwały (trwający przez dłuższy okres) spadek wartości godziwej papierów wartościowych poniżej ich kosztu. Jeżeli istnieją tego rodzaju dowody</w:t>
      </w:r>
      <w:r>
        <w:t xml:space="preserve"> dla aktywów finansowych dostępnych do sprzedaży, łączną kwotę straty – ustaloną jako różnica między kosztem nabycia a bieżącą wartością godziwą, pomniejszoną o wszelkie straty z tytułu utraty wartości tego składnika aktywów finansowych ujęte uprzednio w s</w:t>
      </w:r>
      <w:r>
        <w:t>prawozdaniu z finansowych wyników działalności – usuwa się z kapitałów rezerwowych i ujmuje w sprawozdaniu z finansowych wyników działalności. Odpisy aktualizujące z tytułu utraty wartości instrumentów kapitałowych ujęte w odpowiednim sprawozdaniu z finans</w:t>
      </w:r>
      <w:r>
        <w:t>owych wyników działalności nie są odwracane w sprawozdaniu z finansowych wyników działalności. Jeżeli w kolejnym okresie wartość godziwa instrumentu dłużnego zaklasyfikowanego jako składnik aktywów finansowych dostępnych do sprzedaży wzrośnie i jeżeli wzro</w:t>
      </w:r>
      <w:r>
        <w:t>st ten w obiektywny sposób można powiązać ze zdarzeniem mającym miejsce po ujęciu odpisu aktualizującego z tytułu utraty wartości, dokonuje się odwrócenia odpisu aktualizującego z tytułu utraty wartości w sprawozdaniu z finansowych wyników działalności.</w:t>
      </w:r>
    </w:p>
    <w:p w:rsidR="0043277E" w:rsidRDefault="000F2348">
      <w:pPr>
        <w:pStyle w:val="HEADER3NOTES"/>
        <w:rPr>
          <w:noProof/>
        </w:rPr>
      </w:pPr>
      <w:r>
        <w:rPr>
          <w:noProof/>
        </w:rPr>
        <w:t>Za</w:t>
      </w:r>
      <w:r>
        <w:rPr>
          <w:noProof/>
        </w:rPr>
        <w:t>pasy</w:t>
      </w:r>
    </w:p>
    <w:p w:rsidR="0043277E" w:rsidRDefault="000F2348">
      <w:pPr>
        <w:pStyle w:val="DGTextstand-alone"/>
        <w:spacing w:after="0"/>
      </w:pPr>
      <w:r>
        <w:t>Zapasy wycenia się według kosztu lub według wartości netto możliwej do uzyskania, w zależności od tego, która z tych kwot jest niższa. Koszt ustala się z zastosowaniem metody FIFO („pierwsze weszło, pierwsze wyszło”). Koszt wyrobów gotowych i produkcj</w:t>
      </w:r>
      <w:r>
        <w:t>i w toku obejmuje koszty surowców, robocizny bezpośredniej, inne koszty, które da się bezpośrednio przyporządkować, oraz powiązane pośrednie koszty produkcji (przy normalnej zdolności produkcyjnej). Możliwa do uzyskania wartość netto stanowi szacunkową cen</w:t>
      </w:r>
      <w:r>
        <w:t xml:space="preserve">ę sprzedaży w toku zwykłej działalności gospodarczej pomniejszoną o koszty realizacji i koszty sprzedaży. Zapasy utrzymywane w celu dystrybucji nieodpłatnej lub za stawkę nominalną wycenia </w:t>
      </w:r>
      <w:r>
        <w:lastRenderedPageBreak/>
        <w:t>się według kosztu lub aktualnego kosztu odtworzenia, w zależności o</w:t>
      </w:r>
      <w:r>
        <w:t>d tego, która z tych wartości jest niższa. Aktualny koszt odtworzenia stanowi koszt, który UE musiałaby ponieść, aby nabyć składnik aktywów na dzień sprawozdawczy.</w:t>
      </w:r>
    </w:p>
    <w:p w:rsidR="0043277E" w:rsidRDefault="000F2348">
      <w:pPr>
        <w:pStyle w:val="HEADER3NOTES"/>
        <w:rPr>
          <w:noProof/>
        </w:rPr>
      </w:pPr>
      <w:r>
        <w:rPr>
          <w:noProof/>
        </w:rPr>
        <w:t>Kwoty płatności zaliczkowych</w:t>
      </w:r>
    </w:p>
    <w:p w:rsidR="0043277E" w:rsidRDefault="000F2348">
      <w:pPr>
        <w:pStyle w:val="DGTextstand-alone"/>
      </w:pPr>
      <w:r>
        <w:t>Płatności zaliczkowe są formą płatności z wyprzedzeniem na rzec</w:t>
      </w:r>
      <w:r>
        <w:t>z beneficjenta, mającą na celu zapewnienie finansowania z góry. Może być ono rozbite na szereg płatności dokonywanych w okresie wskazanym w danej umowie, decyzji, danym porozumieniu lub akcie podstawowym. Płatność lub zaliczka musi zostać wykorzystana na c</w:t>
      </w:r>
      <w:r>
        <w:t>ele, na które była przeznaczona, w okresie wskazanym w umowie albo podlega zwrotowi. Beneficjent, który nie poniesie kosztów kwalifikowalnych, zobowiązany jest do zwrotu UE przyznanej zaliczki. Ponieważ UE zachowuje kontrolę nad płatnościami zaliczkowymi i</w:t>
      </w:r>
      <w:r>
        <w:t xml:space="preserve"> jest upoważniona do otrzymania zwrotu z tytułu części niekwalifikowalnej, kwotę ujmuje się jako składnik aktywów. </w:t>
      </w:r>
    </w:p>
    <w:p w:rsidR="0043277E" w:rsidRDefault="000F2348">
      <w:pPr>
        <w:pStyle w:val="DGTextstand-alone"/>
      </w:pPr>
      <w:r>
        <w:t>Płatności zaliczkowe początkowo ujmuje się w bilansie w momencie przekazania środków pieniężnych odbiorcy. Wycenia się je w kwocie przekazan</w:t>
      </w:r>
      <w:r>
        <w:t>ej zapłaty. W kolejnych okresach płatności zaliczkowe są wyceniane w kwocie początkowo ujętej w bilansie pomniejszonej o wydatki kwalifikowalne (w tym w stosownych przypadkach kwoty szacunkowe) poniesione w danym okresie.</w:t>
      </w:r>
    </w:p>
    <w:p w:rsidR="0043277E" w:rsidRDefault="000F2348">
      <w:pPr>
        <w:pStyle w:val="DGTextstand-alone"/>
      </w:pPr>
      <w:r>
        <w:t xml:space="preserve">Odsetki od płatności zaliczkowych </w:t>
      </w:r>
      <w:r>
        <w:t>ujmuje się w chwili ich uzyskania zgodnie z przepisami odnośnej umowy. Szacunek przychodów z tytułu naliczonych odsetek dokonywany jest na koniec roku w oparciu o najbardziej wiarygodne dane, a następnie uwzględniany jest w bilansie.</w:t>
      </w:r>
    </w:p>
    <w:p w:rsidR="0043277E" w:rsidRDefault="000F2348">
      <w:pPr>
        <w:pStyle w:val="DGTextstand-alone"/>
      </w:pPr>
      <w:r>
        <w:t>Pozostałe zaliczki dla</w:t>
      </w:r>
      <w:r>
        <w:t xml:space="preserve"> państw członkowskich, wynikające ze zwracania przez UE kwot wypłaconych przez państwo członkowskie jako zaliczki na rzecz beneficjentów (w tym w ramach instrumentów finansowych objętych zarządzaniem dzielonym), uwzględnia się jako aktywa i ujmuje w pozycj</w:t>
      </w:r>
      <w:r>
        <w:t>i „Płatności zaliczkowe”. Następnie pozostałe zaliczki dla państw członkowskich wycenia się w kwocie początkowo ujętej w bilansie pomniejszonej o najlepsze możliwe oszacowanie wydatków kwalifikowanych poniesionych przez beneficjentów końcowych, obliczone n</w:t>
      </w:r>
      <w:r>
        <w:t>a podstawie rozsądnych i mających poparcie faktograficzne założeń.</w:t>
      </w:r>
    </w:p>
    <w:p w:rsidR="0043277E" w:rsidRDefault="000F2348">
      <w:pPr>
        <w:pStyle w:val="DGTextstand-alone"/>
      </w:pPr>
      <w:r>
        <w:t>Wkłady UE do funduszy powierniczych Europejskiego Funduszu Rozwoju lub innych jednostek nieobjętych konsolidacją również klasyfikuje się jako płatności zaliczkowe, gdyż ich celem jest umożl</w:t>
      </w:r>
      <w:r>
        <w:t>iwienie funduszowi powierniczemu finansowania działań określonych w celach danego funduszu. Wkłady UE do funduszy powierniczych wycenia się w kwocie początkowo ujętej w bilansie pomniejszonej o wydatki kwalifikowane, w tym w stosownych przypadkach kwoty sz</w:t>
      </w:r>
      <w:r>
        <w:t>acunkowe, poniesione przez fundusz powierniczy w okresie sprawozdawczym i alokowane do wkładu UE zgodnie z umową dotyczącą danego projektu.</w:t>
      </w:r>
    </w:p>
    <w:p w:rsidR="0043277E" w:rsidRDefault="000F2348">
      <w:pPr>
        <w:pStyle w:val="HEADER3NOTES"/>
        <w:rPr>
          <w:noProof/>
        </w:rPr>
      </w:pPr>
      <w:r>
        <w:rPr>
          <w:noProof/>
        </w:rPr>
        <w:t>Należności z tytułu transakcji wymiany i należności z tytułu transakcji innych niż transakcje wymiany</w:t>
      </w:r>
    </w:p>
    <w:p w:rsidR="0043277E" w:rsidRDefault="000F2348">
      <w:pPr>
        <w:pStyle w:val="DGTextstand-alone"/>
      </w:pPr>
      <w:r>
        <w:t>W zasadach rac</w:t>
      </w:r>
      <w:r>
        <w:t xml:space="preserve">hunkowości UE ustanowiono wymóg odrębnej prezentacji transakcji wymiany i transakcji innych niż transakcje wymiany. Aby odróżnić te dwie kategorie, pojęcie „należności” zastrzega się do transakcji wymiany, natomiast w odniesieniu do „transakcji innych niż </w:t>
      </w:r>
      <w:r>
        <w:t>transakcje wymiany”, tj. transakcji, w ramach których UE otrzymuje wartości od innej jednostki, nie przekazując bezpośrednio w zamian wartości zbliżonej, stosuje się termin „kwoty należne” (np. kwoty należne od państw członkowskich związane z zasobami włas</w:t>
      </w:r>
      <w:r>
        <w:t>nymi).</w:t>
      </w:r>
    </w:p>
    <w:p w:rsidR="0043277E" w:rsidRDefault="000F2348">
      <w:pPr>
        <w:pStyle w:val="DGTextstand-alone"/>
      </w:pPr>
      <w:r>
        <w:t xml:space="preserve">Należności z tytułu transakcji wymiany spełniają kryteria definicji instrumentów finansowych i w związku z tym klasyfikuje się je jako pożyczki i należności i odpowiednio wycenia (zob. informacja dodatkowa </w:t>
      </w:r>
      <w:r>
        <w:rPr>
          <w:b/>
        </w:rPr>
        <w:t>1.5.5</w:t>
      </w:r>
      <w:r>
        <w:t>). Ujawnienia w informacjach dodatkowy</w:t>
      </w:r>
      <w:r>
        <w:t>ch na temat instrumentów finansowych w odniesieniu do należności z tytułu transakcji wymiany obejmują naliczone przychody i czynne rozliczenia międzyokresowe kosztów z tytułu transakcji wymiany, ponieważ nie są one istotne. Na podstawie doświadczeń z ubieg</w:t>
      </w:r>
      <w:r>
        <w:t>łych lat dokonuje się ogólnego odpisu aktualizującego wartość w odniesieniu do nierozliczonych nakazów odzyskania środków nieobjętych jeszcze żadnym określonym odpisem.</w:t>
      </w:r>
    </w:p>
    <w:p w:rsidR="0043277E" w:rsidRDefault="000F2348">
      <w:pPr>
        <w:pStyle w:val="DGTextstand-alone"/>
        <w:spacing w:after="0"/>
      </w:pPr>
      <w:r>
        <w:t>Kwoty należne z tytułu transakcji innych niż transakcje wymiany ujmuje się w wartości g</w:t>
      </w:r>
      <w:r>
        <w:t>odziwej w dniu nabycia (skorygowanej o odsetki i kary) pomniejszonej o odpis aktualizujący z tytułu utraty wartości. Odpisu aktualizującego z tytułu utraty wartości kwot należnych z tytułu transakcji innych niż transakcje wymiany dokonuje się, gdy istnieją</w:t>
      </w:r>
      <w:r>
        <w:t xml:space="preserve"> obiektywne dowody na to, że UE nie będzie w stanie pobrać wszystkich należnych kwot zgodnie z pierwotnymi warunkami należności z tytułu transakcji innych niż </w:t>
      </w:r>
      <w:r>
        <w:lastRenderedPageBreak/>
        <w:t>transakcje wymiany. Kwota odpisu aktualizującego stanowi różnicę między wartością bilansową skład</w:t>
      </w:r>
      <w:r>
        <w:t>nika aktywów a jego wartością odzyskiwalną. Kwota odpisu ujmowana jest w sprawozdaniu z finansowych wyników działalności. Na podstawie doświadczeń z ubiegłych lat dokonuje się również ogólnego odpisu aktualizującego wartość w odniesieniu do nierozliczonych</w:t>
      </w:r>
      <w:r>
        <w:t xml:space="preserve"> nakazów odzyskania środków nieobjętych jeszcze żadnym określonym odpisem. W informacji dodatkowej </w:t>
      </w:r>
      <w:r>
        <w:rPr>
          <w:b/>
        </w:rPr>
        <w:t>1.5.14</w:t>
      </w:r>
      <w:r>
        <w:t xml:space="preserve"> przedstawiono informacje dotyczące ujęcia naliczonych dochodów na koniec roku. Kwoty wykazane w bilansie i ujawnione jako należności z tytułu transakc</w:t>
      </w:r>
      <w:r>
        <w:t>ji innych niż transakcje wymiany nie są instrumentami finansowymi, ponieważ w przeciwieństwie do nich nie wynikają z umowy, która powodowałaby powstanie zobowiązań finansowych lub instrumentów kapitałowych. Niemniej jednak, w informacjach dodatkowych do sp</w:t>
      </w:r>
      <w:r>
        <w:t>rawozdania finansowego należności z tytułu transakcji innych niż transakcje wymiany ujawnia się w stosownych przypadkach razem z należnościami z tytułu transakcji wymiany.</w:t>
      </w:r>
    </w:p>
    <w:p w:rsidR="0043277E" w:rsidRDefault="000F2348">
      <w:pPr>
        <w:pStyle w:val="HEADER3NOTES"/>
        <w:rPr>
          <w:noProof/>
        </w:rPr>
      </w:pPr>
      <w:r>
        <w:rPr>
          <w:noProof/>
        </w:rPr>
        <w:t>Środki pieniężne i ich ekwiwalenty</w:t>
      </w:r>
    </w:p>
    <w:p w:rsidR="0043277E" w:rsidRDefault="000F2348">
      <w:pPr>
        <w:pStyle w:val="DGTextstand-alone"/>
      </w:pPr>
      <w:r>
        <w:t>Środki pieniężne i ich ekwiwalenty są instrumenta</w:t>
      </w:r>
      <w:r>
        <w:t>mi finansowymi, które obejmują środki pieniężne w kasie, depozyty bankowe płatne na żądanie lub w krótkim terminie i inne krótkoterminowe wysoce płynne inwestycje o pierwotnym terminie zapadalności do trzech miesięcy.</w:t>
      </w:r>
    </w:p>
    <w:p w:rsidR="0043277E" w:rsidRDefault="000F2348">
      <w:pPr>
        <w:rPr>
          <w:rFonts w:ascii="Verdana" w:hAnsi="Verdana"/>
          <w:noProof/>
          <w:color w:val="016794"/>
          <w:sz w:val="20"/>
          <w:szCs w:val="20"/>
        </w:rPr>
      </w:pPr>
      <w:r>
        <w:rPr>
          <w:noProof/>
        </w:rPr>
        <w:br w:type="page"/>
      </w:r>
    </w:p>
    <w:p w:rsidR="0043277E" w:rsidRDefault="000F2348">
      <w:pPr>
        <w:pStyle w:val="HEADER3NOTES"/>
        <w:rPr>
          <w:noProof/>
        </w:rPr>
      </w:pPr>
      <w:r>
        <w:rPr>
          <w:noProof/>
        </w:rPr>
        <w:lastRenderedPageBreak/>
        <w:t>Świadczenia pracownicze</w:t>
      </w:r>
    </w:p>
    <w:p w:rsidR="0043277E" w:rsidRDefault="000F2348">
      <w:pPr>
        <w:pStyle w:val="DGTextstand-alone"/>
      </w:pPr>
      <w:r>
        <w:t xml:space="preserve">UE zapewnia </w:t>
      </w:r>
      <w:r>
        <w:t>pracownikom szereg świadczeń (wynagrodzenie oraz świadczenia z tytułu zabezpieczenia społecznego). Do celów rachunkowości należy je zaklasyfikować jako krótkoterminowe świadczenia pracownicze i świadczenia po okresie zatrudnienia.</w:t>
      </w:r>
    </w:p>
    <w:p w:rsidR="0043277E" w:rsidRDefault="000F2348">
      <w:pPr>
        <w:pStyle w:val="HEADER5"/>
        <w:rPr>
          <w:b/>
          <w:noProof/>
        </w:rPr>
      </w:pPr>
      <w:r>
        <w:rPr>
          <w:noProof/>
        </w:rPr>
        <w:t>Krótkoterminowe świadczen</w:t>
      </w:r>
      <w:r>
        <w:rPr>
          <w:noProof/>
        </w:rPr>
        <w:t>ia pracownicze</w:t>
      </w:r>
    </w:p>
    <w:p w:rsidR="0043277E" w:rsidRDefault="000F2348">
      <w:pPr>
        <w:pStyle w:val="DGTextstand-alone"/>
      </w:pPr>
      <w:r>
        <w:t xml:space="preserve">Krótkoterminowe świadczenia pracownicze to te świadczenia należne, które podlegają rozliczeniu przed upływem dwunastu miesięcy od końca okresu sprawozdawczego, w którym pracownik wykonywał pracę, takie jak wynagrodzenia, urlop wypoczynkowy, </w:t>
      </w:r>
      <w:r>
        <w:t xml:space="preserve">płatne zwolnienie chorobowe, a także inne krótkoterminowe dodatki pracownicze. Krótkoterminowe świadczenia pracownicze ujmowane są jako koszty, kiedy wykonywana jest związana z nimi praca. Zobowiązanie ujmuje się w kwocie, która ma być wypłacona, jeśli na </w:t>
      </w:r>
      <w:r>
        <w:t>UE ciąży prawny lub zwyczajowo oczekiwany obowiązek zapłaty w wyniku przeszłego zatrudnienia pracownika i jeśli zobowiązanie to można w sposób wiarygodny oszacować.</w:t>
      </w:r>
    </w:p>
    <w:p w:rsidR="0043277E" w:rsidRDefault="000F2348">
      <w:pPr>
        <w:pStyle w:val="HEADER5"/>
        <w:rPr>
          <w:b/>
          <w:noProof/>
        </w:rPr>
      </w:pPr>
      <w:r>
        <w:rPr>
          <w:noProof/>
        </w:rPr>
        <w:t>Świadczenia pracownicze po okresie zatrudnienia</w:t>
      </w:r>
    </w:p>
    <w:p w:rsidR="0043277E" w:rsidRDefault="000F2348">
      <w:pPr>
        <w:pStyle w:val="DGTextstand-alone"/>
      </w:pPr>
      <w:r>
        <w:t>UE przyznaje pracownikom szereg świadczeń p</w:t>
      </w:r>
      <w:r>
        <w:t xml:space="preserve">o okresie zatrudnienia, które obejmują świadczenia emerytalne, rentę z tytułu niezdolności do pracy oraz rentę rodzinną w ramach systemu emerytalno-rentowego dla urzędników europejskich, jak również opiekę medyczną w ramach wspólnego systemu ubezpieczenia </w:t>
      </w:r>
      <w:r>
        <w:t xml:space="preserve">chorobowego (zob. informacja dodatkowa </w:t>
      </w:r>
      <w:r>
        <w:rPr>
          <w:b/>
        </w:rPr>
        <w:t>2.9</w:t>
      </w:r>
      <w:r>
        <w:t>). Świadczenia te przyznaje się w ramach jednego planu – który jest jednak podzielony na dwa programy – i należy traktować je podobnie, aby rzetelnie przedstawiać sytuację i odzwierciedlać rzeczywistość gospodarczą</w:t>
      </w:r>
      <w:r>
        <w:t>:</w:t>
      </w:r>
    </w:p>
    <w:p w:rsidR="0043277E" w:rsidRDefault="000F2348">
      <w:pPr>
        <w:pStyle w:val="DGTextstand-alone"/>
        <w:numPr>
          <w:ilvl w:val="0"/>
          <w:numId w:val="26"/>
        </w:numPr>
      </w:pPr>
      <w:r>
        <w:t>System emerytalno-rentowy urzędników europejskich: Świadczenia przyznawane w ramach tego umownego systemu</w:t>
      </w:r>
      <w:r>
        <w:rPr>
          <w:rStyle w:val="FootnoteReference"/>
        </w:rPr>
        <w:footnoteReference w:id="12"/>
      </w:r>
      <w:r>
        <w:t xml:space="preserve"> odnoszą się do stażu pracy, renty inwalidzkiej i rodzinnej, jak również dodatków rodzinnych, śmierci przed odejściem na emeryturę w przypadku tych </w:t>
      </w:r>
      <w:r>
        <w:t>pracowników, którzy pracują lub pracowali w instytucjach Unii Europejskiej, agencjach lub innych organach UE, lub członków rodzin po zmarłych urzędnikach lub emerytach. Wkład pracowników z ich wynagrodzeń w przewidywane koszty tych świadczeń wynosi jedną t</w:t>
      </w:r>
      <w:r>
        <w:t xml:space="preserve">rzecią tych kosztów. </w:t>
      </w:r>
    </w:p>
    <w:p w:rsidR="0043277E" w:rsidRDefault="000F2348">
      <w:pPr>
        <w:pStyle w:val="DGTextstand-alone"/>
        <w:numPr>
          <w:ilvl w:val="0"/>
          <w:numId w:val="26"/>
        </w:numPr>
      </w:pPr>
      <w:r>
        <w:t>Wspólny system ubezpieczenia chorobowego (JSIS). W ramach tego systemu UE zapewnia pracownikom Komisji Europejskiej, instytucji, agencji i innych organów UE zabezpieczenie zdrowotne poprzez zwrot kosztów leczenia. Świadczenia przyznan</w:t>
      </w:r>
      <w:r>
        <w:t>e w ramach tego systemu osobom biernym zawodowo (tj. emerytom, sierotom itp.) uznaje się za świadczenia pracownicze po okresie zatrudnienia.</w:t>
      </w:r>
    </w:p>
    <w:p w:rsidR="0043277E" w:rsidRDefault="000F2348">
      <w:pPr>
        <w:pStyle w:val="DGTextstand-alone"/>
      </w:pPr>
      <w:r>
        <w:t>UE zapewnia również członkom instytucji Unii Europejskiej świadczenia pracownicze po okresie zatrudnienia za pośred</w:t>
      </w:r>
      <w:r>
        <w:t>nictwem odrębnych systemów emerytalno-rentowych. Przedstawiono je w pozycji „Inne systemy świadczeń emerytalnych”. W ramach tych systemów UE zapewnia świadczenia emerytalne członkom Komisji, Trybunału Sprawiedliwości i Sądu, Europejskiego Trybunału Obrachu</w:t>
      </w:r>
      <w:r>
        <w:t>nkowego, Rady Unii Europejskiej, Parlamentu Europejskiego i Sądu do spraw Służby Publicznej oraz Europejskiemu Rzecznikowi Praw Obywatelskich i Inspektorowi Ochrony Danych. UE zapewnia zabezpieczenie zdrowotne członkom instytucji Unii poprzez wspólny syste</w:t>
      </w:r>
      <w:r>
        <w:t xml:space="preserve">m ubezpieczenia chorobowego. </w:t>
      </w:r>
    </w:p>
    <w:p w:rsidR="0043277E" w:rsidRDefault="000F2348">
      <w:pPr>
        <w:pStyle w:val="DGTextstand-alone"/>
      </w:pPr>
      <w:r>
        <w:t>Wyżej wymienione świadczenia po okresie zatrudnienia uznawane są za zobowiązania UE z tytułu określonych świadczeń i oblicza się je na każdy dzień sprawozdawczy poprzez oszacowanie kwoty przyszłych świadczeń, które wypracowali</w:t>
      </w:r>
      <w:r>
        <w:t xml:space="preserve"> pracownicy w okresie bieżącym i we wcześniejszych okresach, dyskontując tę kwotę oraz odejmując wartość godziwą wszelkich aktywów programu. Obliczanie zobowiązań z tytułu określonych świadczeń dokonywane jest corocznie w oparciu o metodę prognozowanych up</w:t>
      </w:r>
      <w:r>
        <w:t>rawnień jednostkowych. Wartość bieżącą zobowiązania z tytułu określonych świadczeń określa się, dyskontując szacunkowe przyszłe wypływy środków pieniężnych w oparciu o stopy procentowe obligacji państwowych denominowanych w walucie, w której zostaną wypłac</w:t>
      </w:r>
      <w:r>
        <w:t>one świadczenia, i których termin zapadalności jest zbliżony do terminu realizacji powiązanych zobowiązań emerytalno-rentowych.</w:t>
      </w:r>
    </w:p>
    <w:p w:rsidR="0043277E" w:rsidRDefault="000F2348">
      <w:pPr>
        <w:pStyle w:val="DGTextstand-alone"/>
      </w:pPr>
      <w:r>
        <w:lastRenderedPageBreak/>
        <w:t>Świadczenia po okresie zatrudnienia przyznawane pracownikom UE są włączone do jednego planu obejmującego zarówno system emerytal</w:t>
      </w:r>
      <w:r>
        <w:t>no-rentowy urzędników europejskich, jak i system ubezpieczenia chorobowego z prawem do ubezpieczenia w ramach wspólnego systemu ubezpieczenia chorobowego, które zależy od nabycia prawa do ubezpieczenia w ramach systemu emerytalno-rentowego. Zgodnie z warun</w:t>
      </w:r>
      <w:r>
        <w:t>kami tego jednego planu, jak określono w regulaminie pracowniczym, niektóre uprawnienia, takie jak prawo do opóźnionego wypłacenia emerytury lub niższego świadczenia emerytalnego w ramach systemu emerytalno-rentowego urzędników europejskich, nabywa się po </w:t>
      </w:r>
      <w:r>
        <w:t xml:space="preserve">10 latach służby. Uprawnienia nabyte w ramach jednego planu przez kolejne lata służby pracownika są jednak istotnie wyższe niż te początkowo ustalone uprawnienia, co znajduje odzwierciedlenie w kolejnych corocznie nabywanych prawach emerytalno-rentowych. </w:t>
      </w:r>
    </w:p>
    <w:p w:rsidR="0043277E" w:rsidRDefault="000F2348">
      <w:pPr>
        <w:pStyle w:val="DGTextstand-alone"/>
      </w:pPr>
      <w:r>
        <w:t>Stąd też, aby zobrazować ekonomiczny charakter zaistniałej transakcji, czego wymaga wierne odzwierciedlenie będące jedną z cech jakościowych sprawozdawczości finansowej, jak określono zarówno w regule rachunkowości Unii Europejskiej nr 1, jak i w ramach ko</w:t>
      </w:r>
      <w:r>
        <w:t>ncepcyjnych MSRSP, poniesione koszty zatrudnienia ujmowane są w oparciu o metodę liniową w trakcie szacowanego okresu służby czynnej pracownika, tj. okresu od dnia, gdy praca wykonywana przez pracownika uprawniła go do świadczeń w ramach programu świadczeń</w:t>
      </w:r>
      <w:r>
        <w:t xml:space="preserve"> (niezależnie od tego, czy świadczenia te są uzależnione od dalszej pracy, czy też nie), do dnia, począwszy od którego dalsza praca wykonywana przez pracownika nie będzie prowadziła do powstania istotnej kwoty dodatkowych świadczeń w ramach programu, poza </w:t>
      </w:r>
      <w:r>
        <w:t>kwotą wynikającą ze wzrostu wynagrodzeń. Podejście to jest stosowane konsekwentnie względem świadczeń przewidzianych w ramach jednego planu.</w:t>
      </w:r>
    </w:p>
    <w:p w:rsidR="0043277E" w:rsidRDefault="000F2348">
      <w:pPr>
        <w:pStyle w:val="DGTextstand-alone"/>
      </w:pPr>
      <w:r>
        <w:t>Aktualizacja wyceny zobowiązania netto z tytułu określonych świadczeń obejmuje zyski i straty aktuarialne oraz zwro</w:t>
      </w:r>
      <w:r>
        <w:t xml:space="preserve">t z aktywów programu; są one ujmowane bezpośrednio w aktywach netto. </w:t>
      </w:r>
    </w:p>
    <w:p w:rsidR="0043277E" w:rsidRDefault="000F2348">
      <w:pPr>
        <w:pStyle w:val="DGTextstand-alone"/>
      </w:pPr>
      <w:r>
        <w:t xml:space="preserve">UE ujmuje koszty odsetkowe netto (dochody) i inne koszty związane z programami określonych świadczeń w sprawozdaniu z finansowych wyników działalności pod pozycją „Koszty personelu oraz </w:t>
      </w:r>
      <w:r>
        <w:t>rent i emerytur”.</w:t>
      </w:r>
    </w:p>
    <w:p w:rsidR="0043277E" w:rsidRDefault="000F2348">
      <w:pPr>
        <w:pStyle w:val="DGTextstand-alone"/>
      </w:pPr>
      <w:r>
        <w:t>Kiedy przewidziane świadczenia są zmieniane lub ograniczane, powiązana zmiana w świadczeniach, która odnosi się do przeszłego zatrudnienia bądź zysku lub straty spowodowanych ograniczeniem, ujmowana jest niezwłocznie w sprawozdaniu z fina</w:t>
      </w:r>
      <w:r>
        <w:t>nsowych wyników działalności. Zyski i straty wynikające z rozliczenia są ujmowane w dniu rozliczenia. Koszty przeszłego zatrudnienia ujmuje się niezwłocznie w sprawozdaniu z finansowych wyników działalności, chyba że zmiany uzależnione są od pozostawania p</w:t>
      </w:r>
      <w:r>
        <w:t>racowników w służbie przez określony czas (okres nabywania uprawnień).</w:t>
      </w:r>
    </w:p>
    <w:p w:rsidR="0043277E" w:rsidRDefault="000F2348">
      <w:pPr>
        <w:pStyle w:val="HEADER3NOTES"/>
        <w:rPr>
          <w:noProof/>
        </w:rPr>
      </w:pPr>
      <w:r>
        <w:rPr>
          <w:noProof/>
        </w:rPr>
        <w:t>Rezerwy</w:t>
      </w:r>
    </w:p>
    <w:p w:rsidR="0043277E" w:rsidRDefault="000F2348">
      <w:pPr>
        <w:pStyle w:val="DGTextstand-alone"/>
      </w:pPr>
      <w:r>
        <w:t>Rezerwy ujmuje się, gdy UE związana jest prawnym lub zwyczajowo oczekiwanym zobowiązaniem wobec osób trzecich w wyniku przeszłych zdarzeń, gdy istnieje większe prawdopodobieństw</w:t>
      </w:r>
      <w:r>
        <w:t>o, że w celu realizacji zobowiązania konieczny będzie wypływ środków, niż że nie będzie to konieczne, oraz gdy kwotę można wiarygodnie oszacować. Nie ujmuje się rezerw na przyszłe straty operacyjne. Kwotę rezerwy ustala się poprzez najlepsze możliwe oszaco</w:t>
      </w:r>
      <w:r>
        <w:t>wanie kosztów, które według przewidywań trzeba będzie ponieść w celu realizacji bieżącego zobowiązania na dzień sprawozdawczy. W przypadkach, w których rezerwa odnosi się do zbioru wielu pozycji, przy szacunkowym określaniu kwoty zobowiązania uwzględnia si</w:t>
      </w:r>
      <w:r>
        <w:t>ę wszystkie możliwe wyniki oraz odpowiadające im prawdopodobieństwa (metoda „oczekiwanej wartości”).</w:t>
      </w:r>
    </w:p>
    <w:p w:rsidR="0043277E" w:rsidRDefault="000F2348">
      <w:pPr>
        <w:pStyle w:val="DGTextstand-alone"/>
      </w:pPr>
      <w:r>
        <w:t>Rezerwy na umowy rodzące obciążenia wycenia się według wartości bieżącej przewidywanych kosztów rozwiązania umowy lub przewidywanych kosztów netto kontynua</w:t>
      </w:r>
      <w:r>
        <w:t>cji umowy, w zależności od tego, która tych kwot kosztów jest niższa.</w:t>
      </w:r>
    </w:p>
    <w:p w:rsidR="0043277E" w:rsidRDefault="000F2348">
      <w:pPr>
        <w:pStyle w:val="HEADER3NOTES"/>
        <w:rPr>
          <w:noProof/>
        </w:rPr>
      </w:pPr>
      <w:r>
        <w:rPr>
          <w:noProof/>
        </w:rPr>
        <w:t>Zobowiązania finansowe</w:t>
      </w:r>
    </w:p>
    <w:p w:rsidR="0043277E" w:rsidRDefault="000F2348">
      <w:pPr>
        <w:pStyle w:val="DGTextstand-alone"/>
      </w:pPr>
      <w:r>
        <w:t>Zobowiązania finansowe są klasyfikowane jako zobowiązania finansowe wyceniane według wartości godziwej przez nadwyżkę lub deficyt, jako zobowiązania finansowe ujmo</w:t>
      </w:r>
      <w:r>
        <w:t>wane po zamortyzowanym koszcie lub jako zobowiązania z tytułu gwarancji finansowych.</w:t>
      </w:r>
    </w:p>
    <w:p w:rsidR="0043277E" w:rsidRDefault="000F2348">
      <w:pPr>
        <w:pStyle w:val="DGTextstand-alone"/>
      </w:pPr>
      <w:r>
        <w:t>Zaciągnięte pożyczki obejmują pożyczki od instytucji kredytowych i zobowiązania potwierdzone certyfikatami. Zaciągnięte pożyczki ujmuje się początkowo w wartości godziwej,</w:t>
      </w:r>
      <w:r>
        <w:t xml:space="preserve"> czyli w wysokości wpływów z tytułu uzyskania pożyczki (wartości godziwej otrzymanej zapłaty) po odliczeniu poniesionych kosztów transakcji, a następnie wykazuje się je po zamortyzowanym koszcie w oparciu o metodę efektywnej stopy procentowej; wszelkie róż</w:t>
      </w:r>
      <w:r>
        <w:t xml:space="preserve">nice pomiędzy wpływami (po odliczeniu kosztów transakcji) a wartością wykupu ujmuje się w sprawozdaniu z finansowych wyników działalności w okresie </w:t>
      </w:r>
      <w:r>
        <w:lastRenderedPageBreak/>
        <w:t xml:space="preserve">pożyczkowym w oparciu o metodę efektywnej stopy procentowej. W przypadku pożyczek udzielonych z pożyczonych </w:t>
      </w:r>
      <w:r>
        <w:t>środków metody efektywnej stopy procentowej nie można stosować do udzielonych i zaciągniętych pożyczek ze względu na zasadę istotności. Poniesione przez UE koszty transakcji, którymi następnie obciąża się beneficjenta pożyczki, są bezpośrednio ujmowane w s</w:t>
      </w:r>
      <w:r>
        <w:t>prawozdaniu z finansowych wyników działalności.</w:t>
      </w:r>
    </w:p>
    <w:p w:rsidR="0043277E" w:rsidRDefault="000F2348">
      <w:pPr>
        <w:pStyle w:val="DGTextstand-alone"/>
      </w:pPr>
      <w:r>
        <w:t xml:space="preserve">Zobowiązania finansowe zaklasyfikowane jako wyceniane według wartości godziwej przez nadwyżkę lub deficyt obejmują instrumenty pochodne, jeśli ich wartość godziwa jest ujemna. Są księgowane w taki sam sposób </w:t>
      </w:r>
      <w:r>
        <w:t xml:space="preserve">jak aktywa finansowe wyceniane według wartości godziwej przez nadwyżkę lub deficyt; zob. informacja dodatkowa </w:t>
      </w:r>
      <w:r>
        <w:rPr>
          <w:b/>
        </w:rPr>
        <w:t>1.5.5</w:t>
      </w:r>
      <w:r>
        <w:t xml:space="preserve">. </w:t>
      </w:r>
    </w:p>
    <w:p w:rsidR="0043277E" w:rsidRDefault="000F2348">
      <w:pPr>
        <w:pStyle w:val="DGTextstand-alone"/>
      </w:pPr>
      <w:r>
        <w:t>Zobowiązania z tytułu gwarancji finansowych ujmuje się początkowo według wartości godziwej, którą jest wartość otrzymanej premii. Następni</w:t>
      </w:r>
      <w:r>
        <w:t>e zobowiązanie z tytułu gwarancji finansowej jest aktualizowane do wyższej z dwóch wartości: najlepszego możliwego oszacowania spodziewanych kosztów, które według przewidywań trzeba będzie ponieść w celu realizacji zobowiązania z tytułu gwarancji finansowe</w:t>
      </w:r>
      <w:r>
        <w:t>j, lub początkowo ujętej kwoty, w odpowiednich przypadkach pomniejszonej o zakumulowaną amortyzację. UE ujmuje zobowiązanie z tytułu gwarancji finansowych, gdy otrzymuje zapłatę za udzielenie gwarancji, tj. na warunkach rynkowych lub gdy wartość godziwą gw</w:t>
      </w:r>
      <w:r>
        <w:t xml:space="preserve">arancji można wycenić w wiarygodny sposób. Jeżeli dla bezpośrednio równoważnej umowy gwarancji nie istnieje aktywny rynek, UE ujawnia udzieloną gwarancję jako zobowiązanie warunkowe (zob. informacja dodatkowa </w:t>
      </w:r>
      <w:r>
        <w:rPr>
          <w:b/>
        </w:rPr>
        <w:t>1.7.2</w:t>
      </w:r>
      <w:r>
        <w:t>) lub – gdy istnieje większe prawdopodobie</w:t>
      </w:r>
      <w:r>
        <w:t xml:space="preserve">ństwo, że w celu realizacji zobowiązania konieczny będzie wypływ środków, niż że nie będzie to konieczne – UE ujmuje rezerwę (zob. informacja dodatkowa </w:t>
      </w:r>
      <w:r>
        <w:rPr>
          <w:b/>
        </w:rPr>
        <w:t>1.5.11</w:t>
      </w:r>
      <w:r>
        <w:t>).</w:t>
      </w:r>
    </w:p>
    <w:p w:rsidR="0043277E" w:rsidRDefault="000F2348">
      <w:pPr>
        <w:pStyle w:val="DGTextstand-alone"/>
      </w:pPr>
      <w:r>
        <w:t>Zobowiązania finansowe klasyfikuje się jako zobowiązania długoterminowe, z wyjątkiem składników</w:t>
      </w:r>
      <w:r>
        <w:t xml:space="preserve">, których termin wymagalności przypada w terminie krótszym niż 12 miesięcy od dnia bilansowego. </w:t>
      </w:r>
    </w:p>
    <w:p w:rsidR="0043277E" w:rsidRDefault="000F2348">
      <w:pPr>
        <w:pStyle w:val="DGTextstand-alone"/>
      </w:pPr>
      <w:r>
        <w:t>Fundusze powiernicze UE uznawane za część działań operacyjnych Komisji uwzględnia się w zapisach księgowych Komisji i poddaje dalszej konsolidacji w rocznych s</w:t>
      </w:r>
      <w:r>
        <w:t>prawozdaniach finansowych UE. W związku z tym wkłady do funduszy powierniczych UE od innych darczyńców spełniają warunki przychodów z transakcji innych niż transakcje wymiany i są ujmowane jako zobowiązania finansowe do momentu spełnienia warunków związany</w:t>
      </w:r>
      <w:r>
        <w:t>ch z przekazywanymi wkładami, tj. poniesienia kosztów kwalifikowalnych przez fundusz powierniczy. Fundusz powierniczy musi finansować określone projekty i w momencie likwidacji zwrócić pozostałe środki. Na dzień bilansowy pozostającą kwotę zobowiązań związ</w:t>
      </w:r>
      <w:r>
        <w:t>anych z wkładami wycenia się w kwocie otrzymanych wkładów pomniejszonej o koszty poniesione przez fundusz powierniczy, w tym w stosownych przypadkach kwoty szacunkowe. Do celów sprawozdawczych koszty netto przydziela się do wkładów innych darczyńców propor</w:t>
      </w:r>
      <w:r>
        <w:t>cjonalnie do wkładów netto wpłaconych na dzień 31 grudnia. Taka alokacja wkładów ma jedynie charakter orientacyjny. W przypadku likwidacji funduszu powierniczego rzeczywisty podział pozostałych zasobów zostanie określony przez zarząd funduszu powierniczego</w:t>
      </w:r>
      <w:r>
        <w:t>.</w:t>
      </w:r>
    </w:p>
    <w:p w:rsidR="0043277E" w:rsidRDefault="000F2348">
      <w:pPr>
        <w:pStyle w:val="HEADER3NOTES"/>
        <w:rPr>
          <w:noProof/>
        </w:rPr>
      </w:pPr>
      <w:r>
        <w:rPr>
          <w:noProof/>
        </w:rPr>
        <w:t>Zobowiązania</w:t>
      </w:r>
    </w:p>
    <w:p w:rsidR="0043277E" w:rsidRDefault="000F2348">
      <w:pPr>
        <w:pStyle w:val="DGTextstand-alone"/>
      </w:pPr>
      <w:r>
        <w:t>Znacząca kwota zobowiązań UE stanowi kwoty do zapłaty z tytułu zestawień poniesionych wydatków od beneficjentów dotacji lub innych form finansowania przez UE (transakcje inne niż transakcje wymiany). Są one ujmowane jako zobowiązania w kwoci</w:t>
      </w:r>
      <w:r>
        <w:t>e roszczenia w momencie otrzymania zestawienia poniesionych wydatków. Po weryfikacji i zatwierdzeniu kosztów kwalifikowalnych zobowiązania wycenia się w wysokości zatwierdzonej i kwalifikowalnej kwoty.</w:t>
      </w:r>
    </w:p>
    <w:p w:rsidR="0043277E" w:rsidRDefault="000F2348">
      <w:pPr>
        <w:pStyle w:val="DGTextstand-alone"/>
      </w:pPr>
      <w:r>
        <w:t xml:space="preserve">Zobowiązania z tytułu zakupu towarów i usług ujmowane </w:t>
      </w:r>
      <w:r>
        <w:t>są w momencie otrzymania faktury w wysokości pierwotnej kwoty, a powiązane koszty ujmowane są w momencie realizacji i akceptacji dostaw i usług przez UE.</w:t>
      </w:r>
    </w:p>
    <w:p w:rsidR="0043277E" w:rsidRDefault="000F2348">
      <w:pPr>
        <w:pStyle w:val="HEADER3NOTES"/>
        <w:keepNext/>
        <w:rPr>
          <w:noProof/>
        </w:rPr>
      </w:pPr>
      <w:r>
        <w:rPr>
          <w:noProof/>
        </w:rPr>
        <w:t>Rozliczenia międzyokresowe kosztów i przychodów</w:t>
      </w:r>
    </w:p>
    <w:p w:rsidR="0043277E" w:rsidRDefault="000F2348">
      <w:pPr>
        <w:pStyle w:val="DGTextstand-alone"/>
      </w:pPr>
      <w:r>
        <w:t>Transakcje i zdarzenia ujmuje się w sprawozdaniu finan</w:t>
      </w:r>
      <w:r>
        <w:t>sowym w okresie, do którego się odnoszą. Na koniec roku, w przypadku gdy faktura nie została jeszcze wystawiona, a usługa lub dostawa została zrealizowana przez UE, lub w przypadku istnienia porozumienia umownego (np. poprzez odniesienie do traktatu), w sp</w:t>
      </w:r>
      <w:r>
        <w:t>rawozdaniu finansowym ujmuje się naliczone przychody. Ponadto na koniec roku, w przypadku gdy faktura została wystawiona, ale usługi lub dostawy nie zostały jeszcze zrealizowane, przychody uznaje się za przychody przyszłych okresów i ujmuje w kolejnym okre</w:t>
      </w:r>
      <w:r>
        <w:t>sie obrachunkowym.</w:t>
      </w:r>
    </w:p>
    <w:p w:rsidR="0043277E" w:rsidRDefault="000F2348">
      <w:pPr>
        <w:pStyle w:val="DGTextstand-alone"/>
      </w:pPr>
      <w:r>
        <w:t xml:space="preserve">Również koszty ujmuje się w okresie, do którego się odnoszą. Na koniec okresu obrachunkowego bierne rozliczenia międzyokresowe kosztów są ujmowane w oparciu o szacowaną kwotę zobowiązań do </w:t>
      </w:r>
      <w:r>
        <w:lastRenderedPageBreak/>
        <w:t>przeniesienia przypadających na dany okres. Obli</w:t>
      </w:r>
      <w:r>
        <w:t>czenia biernych rozliczeń międzyokresowych kosztów dokonuje się zgodnie z wydanymi przez Komisję szczegółowymi wytycznymi operacyjnymi i praktycznymi, które mają zapewnić wierne odzwierciedlenie w sprawozdaniu finansowym zjawisk ekonomicznych i innych zjaw</w:t>
      </w:r>
      <w:r>
        <w:t>isk, które ma ono przedstawiać. Analogicznie, jeżeli za usługi lub towary, których jeszcze nie otrzymano, dokonano płatności z góry, koszty zostaną odroczone i ujęte w kolejnym okresie obrachunkowym.</w:t>
      </w:r>
    </w:p>
    <w:p w:rsidR="0043277E" w:rsidRDefault="000F2348">
      <w:pPr>
        <w:pStyle w:val="HEADER2NOTES"/>
        <w:rPr>
          <w:noProof/>
        </w:rPr>
      </w:pPr>
      <w:r>
        <w:rPr>
          <w:noProof/>
        </w:rPr>
        <w:t>SPRAWOZDANIE Z FINANSOWYCH WYNIKÓW DZIAŁALNOŚCI</w:t>
      </w:r>
    </w:p>
    <w:p w:rsidR="0043277E" w:rsidRDefault="000F2348">
      <w:pPr>
        <w:pStyle w:val="HEADER3NOTES"/>
        <w:rPr>
          <w:noProof/>
        </w:rPr>
      </w:pPr>
      <w:r>
        <w:rPr>
          <w:noProof/>
        </w:rPr>
        <w:t>Przychod</w:t>
      </w:r>
      <w:r>
        <w:rPr>
          <w:noProof/>
        </w:rPr>
        <w:t>y</w:t>
      </w:r>
    </w:p>
    <w:p w:rsidR="0043277E" w:rsidRDefault="000F2348">
      <w:pPr>
        <w:pStyle w:val="HEADER5"/>
        <w:rPr>
          <w:b/>
          <w:noProof/>
        </w:rPr>
      </w:pPr>
      <w:r>
        <w:rPr>
          <w:noProof/>
        </w:rPr>
        <w:t>PRZYCHODY Z TRANSAKCJI INNYCH NIŻ TRANSAKCJE WYMIANY</w:t>
      </w:r>
    </w:p>
    <w:p w:rsidR="0043277E" w:rsidRDefault="000F2348">
      <w:pPr>
        <w:pStyle w:val="DGTextstand-alone"/>
      </w:pPr>
      <w:r>
        <w:t>Zdecydowana większość przychodów UE dotyczy transakcji innych niż transakcje wymiany:</w:t>
      </w:r>
    </w:p>
    <w:p w:rsidR="0043277E" w:rsidRDefault="000F2348">
      <w:pPr>
        <w:pStyle w:val="HEADER5"/>
        <w:rPr>
          <w:b/>
          <w:noProof/>
        </w:rPr>
      </w:pPr>
      <w:r>
        <w:rPr>
          <w:noProof/>
        </w:rPr>
        <w:t>Zasoby własne oparte na DNB oraz zasoby własne oparte na VAT</w:t>
      </w:r>
    </w:p>
    <w:p w:rsidR="0043277E" w:rsidRDefault="000F2348">
      <w:pPr>
        <w:pStyle w:val="DGTextstand-alone"/>
      </w:pPr>
      <w:r>
        <w:t>Przychody ujmuje się za okres, za który Komisja wysyła</w:t>
      </w:r>
      <w:r>
        <w:t xml:space="preserve"> do państw członkowskich wezwanie do zapłaty należnych składek. Wykazywane są w wysokości „kwoty, do której wniesienia wezwano”. Ponieważ zasoby oparte na VAT i DNB bazują na szacunkach za dany rok budżetowy, można wprowadzać w nich zmiany do czasu podania</w:t>
      </w:r>
      <w:r>
        <w:t xml:space="preserve"> ostatecznych danych przez państwa członkowskie. Wpływ zmian w zakresie wartości szacunkowych uwzględnia się przy ustalaniu nadwyżki lub deficytu netto za okres, w którym nastąpiła zmiana.</w:t>
      </w:r>
    </w:p>
    <w:p w:rsidR="0043277E" w:rsidRDefault="000F2348">
      <w:pPr>
        <w:rPr>
          <w:rFonts w:ascii="Verdana" w:hAnsi="Verdana"/>
          <w:noProof/>
          <w:color w:val="016794"/>
          <w:sz w:val="18"/>
          <w:szCs w:val="18"/>
        </w:rPr>
      </w:pPr>
      <w:r>
        <w:rPr>
          <w:noProof/>
        </w:rPr>
        <w:br w:type="page"/>
      </w:r>
    </w:p>
    <w:p w:rsidR="0043277E" w:rsidRDefault="000F2348">
      <w:pPr>
        <w:pStyle w:val="HEADER5"/>
        <w:rPr>
          <w:b/>
          <w:noProof/>
        </w:rPr>
      </w:pPr>
      <w:r>
        <w:rPr>
          <w:noProof/>
        </w:rPr>
        <w:lastRenderedPageBreak/>
        <w:t>Tradycyjne zasoby własne</w:t>
      </w:r>
    </w:p>
    <w:p w:rsidR="0043277E" w:rsidRDefault="000F2348">
      <w:pPr>
        <w:pStyle w:val="DGTextstand-alone"/>
      </w:pPr>
      <w:r>
        <w:t>Kwoty należne z tytułu transakcji innych</w:t>
      </w:r>
      <w:r>
        <w:t xml:space="preserve"> niż transakcje wymiany i powiązane przychody ujmuje się w chwili otrzymania właściwego miesięcznego wyciągu z konta „A” (obejmującego pobrane cła oraz kwoty należne, które są zabezpieczone i nie są kwestionowane) od państw członkowskich. Na dzień sprawozd</w:t>
      </w:r>
      <w:r>
        <w:t>awczy dochody pobrane przez państwa członkowskie za dany okres, lecz niewypłacone jeszcze Komisji, szacuje się i ujmuje jako naliczone przychody. Kwartalne wyciągi z konta „B” (obejmującego cła niepobrane i niezabezpieczone, jak również kwoty zabezpieczone</w:t>
      </w:r>
      <w:r>
        <w:t xml:space="preserve"> zakwestionowane przez dłużnika) otrzymane od państw członkowskich ujmuje się jako przychody pomniejszone o koszty poboru, do których zatrzymania uprawnione są państwa członkowskie. Ponadto ujmuje się zmniejszenie wartości w wysokości szacunkowych środków,</w:t>
      </w:r>
      <w:r>
        <w:t xml:space="preserve"> które mogą nie zostać odzyskane.</w:t>
      </w:r>
    </w:p>
    <w:p w:rsidR="0043277E" w:rsidRDefault="000F2348">
      <w:pPr>
        <w:pStyle w:val="HEADER5"/>
        <w:rPr>
          <w:b/>
          <w:noProof/>
        </w:rPr>
      </w:pPr>
      <w:r>
        <w:rPr>
          <w:noProof/>
        </w:rPr>
        <w:t>Grzywny</w:t>
      </w:r>
    </w:p>
    <w:p w:rsidR="0043277E" w:rsidRDefault="000F2348">
      <w:pPr>
        <w:pStyle w:val="DGTextstand-alone"/>
      </w:pPr>
      <w:r>
        <w:t>Przychód z tytułu grzywien ujmuje się po podjęciu przez UE decyzji o nałożeniu grzywny i oficjalnym powiadomieniu o takiej decyzji jej adresata. Po podjęciu decyzji o nałożeniu grzywny, od daty powiadomienia przeds</w:t>
      </w:r>
      <w:r>
        <w:t>iębiorstwa mają dwa miesiące na:</w:t>
      </w:r>
    </w:p>
    <w:p w:rsidR="0043277E" w:rsidRDefault="000F2348">
      <w:pPr>
        <w:pStyle w:val="DGTextstand-alone"/>
        <w:numPr>
          <w:ilvl w:val="0"/>
          <w:numId w:val="27"/>
        </w:numPr>
      </w:pPr>
      <w:r>
        <w:t>zaakceptowanie decyzji – wówczas zobowiązani są do uiszczenia grzywny we wskazanym terminie, a kwota zostaje ostatecznie pobrana przez UE; lub</w:t>
      </w:r>
    </w:p>
    <w:p w:rsidR="0043277E" w:rsidRDefault="000F2348">
      <w:pPr>
        <w:pStyle w:val="DGTextstand-alone"/>
        <w:numPr>
          <w:ilvl w:val="0"/>
          <w:numId w:val="27"/>
        </w:numPr>
      </w:pPr>
      <w:r>
        <w:t xml:space="preserve">odrzucenie decyzji – wówczas składają skargę na mocy prawa Unii. </w:t>
      </w:r>
    </w:p>
    <w:p w:rsidR="0043277E" w:rsidRDefault="000F2348">
      <w:pPr>
        <w:pStyle w:val="DGTextstand-alone"/>
      </w:pPr>
      <w:r>
        <w:t>Jednak nawet w</w:t>
      </w:r>
      <w:r>
        <w:t xml:space="preserve"> wypadku złożenia skargi grzywna musi zostać zapłacona we wskazanym terminie trzech miesięcy, ponieważ skarga nie ma skutku zawieszającego (art. 278 TFUE). Otrzymane środki pieniężne wykorzystywane są w celu rozliczenia kwoty należnej. Za zgodą księgowego </w:t>
      </w:r>
      <w:r>
        <w:t>Komisji przedsiębiorstwo może jednak przedłożyć zamiast tego gwarancję bankową na odnośną kwotę. W takim przypadku grzywna pozostaje kwotą należną. Jeżeli nie otrzymano środków pieniężnych ani gwarancji, a doszło do wystąpienia wątpliwości co do wypłacalno</w:t>
      </w:r>
      <w:r>
        <w:t>ści przedsiębiorstwa, ujmuje się zmniejszenie wartości należnej kwoty.</w:t>
      </w:r>
    </w:p>
    <w:p w:rsidR="0043277E" w:rsidRDefault="000F2348">
      <w:pPr>
        <w:pStyle w:val="DGTextstand-alone"/>
      </w:pPr>
      <w:r>
        <w:t xml:space="preserve">Jeżeli przedsiębiorstwo zaskarży decyzję i dokona tymczasowej zapłaty grzywny, kwotę ujmuje się jako zobowiązanie warunkowe, lub, jeżeli wydaje się prawdopodobne, że Sąd może nie wydać </w:t>
      </w:r>
      <w:r>
        <w:t>wyroku korzystnego dla UE, konieczne jest ujęcie rezerwy na pokrycie związanego z tym ryzyka. W przypadku gdy przedłożona została gwarancja, należy dokonać odpowiedniego odpisu aktualizującego wartość nieuregulowanej kwoty należnej.</w:t>
      </w:r>
    </w:p>
    <w:p w:rsidR="0043277E" w:rsidRDefault="000F2348">
      <w:pPr>
        <w:pStyle w:val="DGTextstand-alone"/>
      </w:pPr>
      <w:r>
        <w:t xml:space="preserve">Uzyskane przez Komisję </w:t>
      </w:r>
      <w:r>
        <w:t>skumulowane odsetki z rachunków bankowych, na których zdeponowane były płatności, ujmuje się jako przychody i odpowiednio zwiększa wszelkie zobowiązania warunkowe.</w:t>
      </w:r>
    </w:p>
    <w:p w:rsidR="0043277E" w:rsidRDefault="000F2348">
      <w:pPr>
        <w:pStyle w:val="DGTextstand-alone"/>
      </w:pPr>
      <w:r>
        <w:t>Od 2010 r. Komisja zarządza wszystkimi tymczasowo zainkasowanymi grzywnami za pomocą specjal</w:t>
      </w:r>
      <w:r>
        <w:t>nie w tym celu utworzonego funduszu (BUFI), inwestując w instrumenty finansowe.</w:t>
      </w:r>
    </w:p>
    <w:p w:rsidR="0043277E" w:rsidRDefault="000F2348">
      <w:pPr>
        <w:pStyle w:val="HEADER5"/>
        <w:rPr>
          <w:b/>
          <w:noProof/>
        </w:rPr>
      </w:pPr>
      <w:r>
        <w:rPr>
          <w:noProof/>
        </w:rPr>
        <w:t>PRZYCHODY Z TRANSAKCJI WYMIANY</w:t>
      </w:r>
    </w:p>
    <w:p w:rsidR="0043277E" w:rsidRDefault="000F2348">
      <w:pPr>
        <w:pStyle w:val="DGTextstand-alone"/>
      </w:pPr>
      <w:r>
        <w:t>Przychody ze sprzedaży towarów i usług ujmuje się, gdy znaczące ryzyko oraz korzyści wynikające z własności towarów zostają przeniesione na kupuj</w:t>
      </w:r>
      <w:r>
        <w:t>ącego. Przychody związane ze świadczeniem usług ujmuje się poprzez odniesienie do etapu realizacji transakcji na dzień sprawozdawczy.</w:t>
      </w:r>
    </w:p>
    <w:p w:rsidR="0043277E" w:rsidRDefault="000F2348">
      <w:pPr>
        <w:pStyle w:val="HEADER5"/>
        <w:rPr>
          <w:b/>
          <w:noProof/>
        </w:rPr>
      </w:pPr>
      <w:r>
        <w:rPr>
          <w:noProof/>
        </w:rPr>
        <w:t>Przychody i koszty odsetkowe</w:t>
      </w:r>
    </w:p>
    <w:p w:rsidR="0043277E" w:rsidRDefault="000F2348">
      <w:pPr>
        <w:pStyle w:val="DGTextstand-alone"/>
      </w:pPr>
      <w:r>
        <w:t>Przychody i koszty odsetkowe ujmuje się w sprawozdaniu z finansowych wyników działalności w o</w:t>
      </w:r>
      <w:r>
        <w:t xml:space="preserve">parciu o metodę efektywnej stopy procentowej. Jest to metoda obliczenia zamortyzowanego kosztu składnika aktywów lub zobowiązań finansowych oraz alokacji przychodów lub kosztów odsetkowych w danym okresie. Obliczając efektywną stopę procentową, UE szacuje </w:t>
      </w:r>
      <w:r>
        <w:t>przepływy pieniężne przy uwzględnieniu wszystkich warunków umownych dotyczących danego instrumentu finansowego (na przykład opcji wcześniejszej spłaty), lecz nie bierze pod uwagę przyszłych strat kredytowych. W obliczeniach uwzględniane są wszystkie wynagr</w:t>
      </w:r>
      <w:r>
        <w:t>odzenia i opłaty zapłacone lub uzyskane przez strony umowy, które stanowią integralną część efektywnej stopy procentowej, koszty transakcji oraz wszelkie inne premie lub dyskonta.</w:t>
      </w:r>
    </w:p>
    <w:p w:rsidR="0043277E" w:rsidRDefault="000F2348">
      <w:pPr>
        <w:pStyle w:val="DGTextstand-alone"/>
      </w:pPr>
      <w:r>
        <w:t>Po dokonaniu odpisu aktualizującego wartość składnika aktywów finansowych lu</w:t>
      </w:r>
      <w:r>
        <w:t>b grupy podobnych aktywów finansowych wskutek straty z tytułu trwałej utraty wartości, przychody odsetkowe ujmuje się w oparciu o stopę procentową, za pomocą której dyskontuje się przyszłe przepływy pieniężne w celu ustalenia wysokości odpisu aktualizujące</w:t>
      </w:r>
      <w:r>
        <w:t>go z tytułu utraty wartości.</w:t>
      </w:r>
    </w:p>
    <w:p w:rsidR="0043277E" w:rsidRDefault="0043277E">
      <w:pPr>
        <w:rPr>
          <w:rFonts w:ascii="Verdana" w:hAnsi="Verdana"/>
          <w:noProof/>
          <w:color w:val="016794"/>
          <w:sz w:val="18"/>
          <w:szCs w:val="18"/>
        </w:rPr>
      </w:pPr>
      <w:bookmarkStart w:id="37" w:name="_GoBack"/>
      <w:bookmarkEnd w:id="37"/>
    </w:p>
    <w:p w:rsidR="0043277E" w:rsidRDefault="000F2348">
      <w:pPr>
        <w:pStyle w:val="HEADER5"/>
        <w:rPr>
          <w:b/>
          <w:noProof/>
        </w:rPr>
      </w:pPr>
      <w:r>
        <w:rPr>
          <w:noProof/>
        </w:rPr>
        <w:t>Przychody z tytułu dywidend</w:t>
      </w:r>
    </w:p>
    <w:p w:rsidR="0043277E" w:rsidRDefault="000F2348">
      <w:pPr>
        <w:pStyle w:val="DGTextstand-alone"/>
      </w:pPr>
      <w:r>
        <w:t>Przychody z tytułu dywidend lub podobne podziały zysku ujmuje się z chwilą powstania uprawnienia do otrzymania płatności.</w:t>
      </w:r>
    </w:p>
    <w:p w:rsidR="0043277E" w:rsidRDefault="000F2348">
      <w:pPr>
        <w:pStyle w:val="HEADER3NOTES"/>
        <w:rPr>
          <w:noProof/>
        </w:rPr>
      </w:pPr>
      <w:r>
        <w:rPr>
          <w:noProof/>
        </w:rPr>
        <w:t>Koszty</w:t>
      </w:r>
    </w:p>
    <w:p w:rsidR="0043277E" w:rsidRDefault="000F2348">
      <w:pPr>
        <w:pStyle w:val="DGTextstand-alone"/>
      </w:pPr>
      <w:r>
        <w:t xml:space="preserve">Koszty z tytułu transakcji innych niż transakcje wymiany stanowią </w:t>
      </w:r>
      <w:r>
        <w:t>większość kosztów UE. Odnoszą się one do transferów na rzecz beneficjentów i dzielą się na trzy kategorie: wierzytelności, transfery na mocy umów oraz dotacje, wkłady i darowizny uznaniowe.</w:t>
      </w:r>
    </w:p>
    <w:p w:rsidR="0043277E" w:rsidRDefault="000F2348">
      <w:pPr>
        <w:pStyle w:val="DGTextstand-alone"/>
      </w:pPr>
      <w:r>
        <w:t>Transfery ujmuje się jako koszty w okresie, w którym miały miejsce</w:t>
      </w:r>
      <w:r>
        <w:t xml:space="preserve"> zdarzenia leżące u ich podstaw, pod warunkiem że przepisy (rozporządzenie finansowe, regulamin pracowniczy lub inne przepisy) dopuszczają tego rodzaju transfer lub została podpisana umowa dopuszczająca transfer, beneficjent spełnia wszelkie kryteria kwali</w:t>
      </w:r>
      <w:r>
        <w:t>fikowalności oraz możliwe jest wiarygodne oszacowanie kwoty.</w:t>
      </w:r>
    </w:p>
    <w:p w:rsidR="0043277E" w:rsidRDefault="000F2348">
      <w:pPr>
        <w:pStyle w:val="DGTextstand-alone"/>
      </w:pPr>
      <w:r>
        <w:t>Otrzymany wniosek o płatność lub zestawienie poniesionych wydatków spełniające kryteria ujmowania wykazywane są jako koszt w wysokości kwalifikowalnej kwoty. Na koniec roku poniesione koszty kwal</w:t>
      </w:r>
      <w:r>
        <w:t>ifikowalne należne beneficjentom, lecz jeszcze przez nich nie zgłoszone, szacuje się i ujmuje jako bierne rozliczenia międzyokresowe kosztów.</w:t>
      </w:r>
    </w:p>
    <w:p w:rsidR="0043277E" w:rsidRDefault="000F2348">
      <w:pPr>
        <w:pStyle w:val="DGTextstand-alone"/>
      </w:pPr>
      <w:r>
        <w:t>Koszty z tytułu transakcji wymiany wynikające z zakupu towarów i usług ujmuje się z chwilą realizacji i akceptacji</w:t>
      </w:r>
      <w:r>
        <w:t xml:space="preserve"> dostaw przez UE. Wycenia się je po kwocie początkowej określonej na fakturze. Ponadto na dzień bilansowy koszty związane z usługami dostarczonymi w okresie, za który jeszcze nie otrzymano lub nie zaakceptowano faktury, szacuje się i ujmuje w sprawozdaniu </w:t>
      </w:r>
      <w:r>
        <w:t>z finansowych wyników działalności.</w:t>
      </w:r>
    </w:p>
    <w:p w:rsidR="0043277E" w:rsidRDefault="000F2348">
      <w:pPr>
        <w:pStyle w:val="HEADER2NOTES"/>
        <w:keepNext/>
        <w:rPr>
          <w:noProof/>
        </w:rPr>
      </w:pPr>
      <w:r>
        <w:rPr>
          <w:noProof/>
        </w:rPr>
        <w:t>AKTYWA I ZOBOWIĄZANIA WARUNKOWE</w:t>
      </w:r>
    </w:p>
    <w:p w:rsidR="0043277E" w:rsidRDefault="000F2348">
      <w:pPr>
        <w:pStyle w:val="HEADER3NOTES"/>
        <w:keepNext/>
        <w:rPr>
          <w:noProof/>
        </w:rPr>
      </w:pPr>
      <w:r>
        <w:rPr>
          <w:noProof/>
        </w:rPr>
        <w:t>Aktywa warunkowe</w:t>
      </w:r>
    </w:p>
    <w:p w:rsidR="0043277E" w:rsidRDefault="000F2348">
      <w:pPr>
        <w:pStyle w:val="DGTextstand-alone"/>
      </w:pPr>
      <w:r>
        <w:t>Składnik aktywów warunkowych to składnik aktywów, który może powstać na skutek przeszłych zdarzeń i którego istnienie zostanie potwierdzone dopiero poprzez wystąpienie lub</w:t>
      </w:r>
      <w:r>
        <w:t xml:space="preserve"> niewystąpienie niepewnego przyszłego zdarzenia lub kilku takich zdarzeń, które nie są w pełni zależne od UE. Informacje o aktywach warunkowych ujawnia się, jeśli wpływ korzyści ekonomicznych lub innych świadczeń jest prawdopodobny.</w:t>
      </w:r>
    </w:p>
    <w:p w:rsidR="0043277E" w:rsidRDefault="000F2348">
      <w:pPr>
        <w:pStyle w:val="HEADER3NOTES"/>
        <w:rPr>
          <w:noProof/>
        </w:rPr>
      </w:pPr>
      <w:r>
        <w:rPr>
          <w:noProof/>
        </w:rPr>
        <w:t>Zobowiązania warunkowe</w:t>
      </w:r>
    </w:p>
    <w:p w:rsidR="0043277E" w:rsidRDefault="000F2348">
      <w:pPr>
        <w:pStyle w:val="DGTextstand-alone"/>
      </w:pPr>
      <w:r>
        <w:t xml:space="preserve">Zobowiązanie warunkowe to zobowiązanie, które może powstać na skutek przeszłych zdarzeń i którego istnienie zostanie potwierdzone dopiero poprzez wystąpienie lub niewystąpienie niepewnego przyszłego zdarzenia lub kilku takich zdarzeń, które nie są w pełni </w:t>
      </w:r>
      <w:r>
        <w:t>zależne od UE, lub obecne zobowiązanie, które powstaje na skutek przeszłych zdarzeń, ale nie jest ujmowane w sprawozdaniu, ponieważ nie jest prawdopodobne, aby w celu wykonania zobowiązania konieczny był wypływ środków reprezentujących korzyści ekonomiczne</w:t>
      </w:r>
      <w:r>
        <w:t xml:space="preserve"> lub świadczenia, albo, w rzadkich przypadkach, gdy kwoty zobowiązania nie można wycenić wystarczająco wiarygodnie. Zobowiązania warunkowe wykazuje się, chyba że możliwość wypływu środków zawierających w sobie korzyści ekonomiczne lub świadczenia jest odle</w:t>
      </w:r>
      <w:r>
        <w:t>gła.</w:t>
      </w:r>
    </w:p>
    <w:p w:rsidR="0043277E" w:rsidRDefault="000F2348">
      <w:pPr>
        <w:pStyle w:val="HEADER2NOTES"/>
        <w:rPr>
          <w:noProof/>
        </w:rPr>
      </w:pPr>
      <w:r>
        <w:rPr>
          <w:noProof/>
        </w:rPr>
        <w:t>RACHUNEK PRZEPŁYWÓW PIENIĘŻNYCH</w:t>
      </w:r>
    </w:p>
    <w:p w:rsidR="0043277E" w:rsidRDefault="000F2348">
      <w:pPr>
        <w:pStyle w:val="DGTextstand-alone"/>
      </w:pPr>
      <w:r>
        <w:t>Na podstawie informacji o przepływach pieniężnych przeprowadza się ocenę zdolności UE do generowania środków pieniężnych i ich ekwiwalentów oraz ocenę potrzeb UE w zakresie wykorzystywania tych przepływów pieniężnych.</w:t>
      </w:r>
    </w:p>
    <w:p w:rsidR="0043277E" w:rsidRDefault="000F2348">
      <w:pPr>
        <w:pStyle w:val="DGTextstand-alone"/>
      </w:pPr>
      <w:r>
        <w:t>R</w:t>
      </w:r>
      <w:r>
        <w:t>achunek przepływów pieniężnych sporządzono, wykorzystując metodę pośrednią. Oznacza to, że wynik ekonomiczny w danym roku budżetowym korygowany jest o wpływ transakcji bezgotówkowych, rozliczeń międzyokresowych wynikających z przeszłych lub przyszłych oper</w:t>
      </w:r>
      <w:r>
        <w:t>acyjnych wpływów lub płatności gotówkowych oraz pozycji przychodów lub kosztów związanych z inwestowaniem przepływów pieniężnych.</w:t>
      </w:r>
    </w:p>
    <w:p w:rsidR="0043277E" w:rsidRDefault="000F2348">
      <w:pPr>
        <w:pStyle w:val="DGTextstand-alone"/>
      </w:pPr>
      <w:r>
        <w:lastRenderedPageBreak/>
        <w:t>Przepływy pieniężne wynikające z transakcji w walucie obcej są ujmowane w walucie sprawozdawczej UE (euro) poprzez przeliczeni</w:t>
      </w:r>
      <w:r>
        <w:t>e kwoty w obcej walucie według kursu wymiany euro na walutę obcą obowiązującego w dniu przepływu pieniężnego.</w:t>
      </w:r>
    </w:p>
    <w:p w:rsidR="0043277E" w:rsidRDefault="000F2348">
      <w:pPr>
        <w:pStyle w:val="DGTextstand-alone"/>
      </w:pPr>
      <w:r>
        <w:t>W przedstawionej tabeli przepływu środków pieniężnych ujęto przepływy pieniężne w danym okresie według podziału na działalność operacyjną i inwest</w:t>
      </w:r>
      <w:r>
        <w:t>ycyjną (UE nie prowadzi działalności finansowej).</w:t>
      </w:r>
    </w:p>
    <w:p w:rsidR="0043277E" w:rsidRDefault="000F2348">
      <w:pPr>
        <w:pStyle w:val="DGTextstand-alone"/>
      </w:pPr>
      <w:r>
        <w:t>Działalność operacyjna to działalność UE, której nie zalicza się do działalności inwestycyjnej. Zalicza się do niej większość prowadzonej działalności. Pożyczek udzielanych beneficjentom (w stosownych przyp</w:t>
      </w:r>
      <w:r>
        <w:t xml:space="preserve">adkach również powiązanych zaciąganych pożyczek) nie uważa się za działalność inwestycyjną (ani finansową), ponieważ wpisują się one w cele ogólne i tym samym dotyczą codziennej działalności UE. </w:t>
      </w:r>
    </w:p>
    <w:p w:rsidR="0043277E" w:rsidRDefault="000F2348">
      <w:pPr>
        <w:pStyle w:val="DGTextstand-alone"/>
      </w:pPr>
      <w:r>
        <w:t>Do działalności inwestycyjnej zalicza się nabywanie i zbywan</w:t>
      </w:r>
      <w:r>
        <w:t>ie wartości niematerialnych i prawnych oraz rzeczowych aktywów trwałych, jak również pozostałych inwestycji, których nie uwzględniono w ekwiwalentach środków pieniężnych. Do działalności inwestycyjnej nie zalicza się pożyczek udzielanych beneficjentom. W t</w:t>
      </w:r>
      <w:r>
        <w:t>ej pozycji wykazane mają być rzeczywiste inwestycje, których dokonała UE.</w:t>
      </w:r>
    </w:p>
    <w:p w:rsidR="0043277E" w:rsidRDefault="0043277E">
      <w:pPr>
        <w:pStyle w:val="DGTextstand-alone"/>
      </w:pPr>
    </w:p>
    <w:p w:rsidR="0043277E" w:rsidRDefault="0043277E">
      <w:pPr>
        <w:pStyle w:val="DGTextstand-alone"/>
      </w:pPr>
    </w:p>
    <w:bookmarkEnd w:id="34"/>
    <w:p w:rsidR="0043277E" w:rsidRDefault="0043277E">
      <w:pPr>
        <w:pStyle w:val="DGTextstand-alone"/>
        <w:sectPr w:rsidR="0043277E">
          <w:headerReference w:type="even" r:id="rId113"/>
          <w:headerReference w:type="default" r:id="rId114"/>
          <w:footerReference w:type="even" r:id="rId115"/>
          <w:footerReference w:type="default" r:id="rId116"/>
          <w:headerReference w:type="first" r:id="rId117"/>
          <w:footerReference w:type="first" r:id="rId118"/>
          <w:pgSz w:w="11906" w:h="16838"/>
          <w:pgMar w:top="1134" w:right="1134" w:bottom="1134" w:left="1134" w:header="709" w:footer="709" w:gutter="0"/>
          <w:cols w:space="708"/>
          <w:docGrid w:linePitch="360"/>
        </w:sectPr>
      </w:pPr>
    </w:p>
    <w:p w:rsidR="0043277E" w:rsidRDefault="000F2348">
      <w:pPr>
        <w:pStyle w:val="HEADER1NOTES"/>
        <w:rPr>
          <w:noProof/>
        </w:rPr>
      </w:pPr>
      <w:bookmarkStart w:id="38" w:name="_Toc49413486"/>
      <w:bookmarkStart w:id="39" w:name="_DMBM_17199"/>
      <w:r>
        <w:rPr>
          <w:noProof/>
        </w:rPr>
        <w:lastRenderedPageBreak/>
        <w:t>INFORMACJE DODATKOWE DO BILANSU</w:t>
      </w:r>
      <w:bookmarkEnd w:id="38"/>
    </w:p>
    <w:bookmarkEnd w:id="39"/>
    <w:p w:rsidR="0043277E" w:rsidRDefault="0043277E">
      <w:pPr>
        <w:pStyle w:val="HEADER1NOTES"/>
        <w:numPr>
          <w:ilvl w:val="0"/>
          <w:numId w:val="0"/>
        </w:numPr>
        <w:spacing w:after="0"/>
        <w:rPr>
          <w:noProof/>
        </w:rPr>
        <w:sectPr w:rsidR="0043277E">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rsidR="0043277E" w:rsidRDefault="000F2348">
      <w:pPr>
        <w:pStyle w:val="HEADERTABLE"/>
        <w:rPr>
          <w:noProof/>
        </w:rPr>
      </w:pPr>
      <w:bookmarkStart w:id="40" w:name="_DMBM_17128"/>
      <w:r>
        <w:rPr>
          <w:noProof/>
        </w:rPr>
        <w:t>AKTYWA</w:t>
      </w:r>
    </w:p>
    <w:p w:rsidR="0043277E" w:rsidRDefault="000F2348">
      <w:pPr>
        <w:pStyle w:val="Textstand-alone"/>
        <w:spacing w:before="0" w:after="0"/>
        <w:sectPr w:rsidR="0043277E">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r>
        <w:t xml:space="preserve"> </w:t>
      </w:r>
      <w:bookmarkEnd w:id="40"/>
    </w:p>
    <w:p w:rsidR="0043277E" w:rsidRDefault="000F2348">
      <w:pPr>
        <w:pStyle w:val="HEADER2NOTES"/>
        <w:spacing w:before="0" w:after="240"/>
        <w:rPr>
          <w:noProof/>
        </w:rPr>
      </w:pPr>
      <w:bookmarkStart w:id="41" w:name="_DMBM_17162"/>
      <w:r>
        <w:rPr>
          <w:noProof/>
        </w:rPr>
        <w:t>WARTOŚCI NIEMATERIALNE I PRAWNE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2"/>
        <w:gridCol w:w="2686"/>
      </w:tblGrid>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02BIPINFA"/>
              <w:rPr>
                <w:rFonts w:ascii="Arial" w:eastAsia="Arial" w:hAnsi="Arial" w:cs="Arial"/>
                <w:noProof/>
                <w:color w:val="000000"/>
                <w:sz w:val="16"/>
              </w:rPr>
            </w:pPr>
            <w:bookmarkStart w:id="42" w:name="DOC_TBL00007_1_1"/>
            <w:bookmarkEnd w:id="42"/>
          </w:p>
        </w:tc>
        <w:tc>
          <w:tcPr>
            <w:tcW w:w="26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02BIPINF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707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02BIPINFA"/>
              <w:jc w:val="right"/>
              <w:rPr>
                <w:rFonts w:ascii="Verdana" w:eastAsia="Verdana" w:hAnsi="Verdana" w:cs="Verdana"/>
                <w:noProof/>
                <w:color w:val="FFFFFF"/>
                <w:sz w:val="16"/>
              </w:rPr>
            </w:pPr>
          </w:p>
        </w:tc>
        <w:tc>
          <w:tcPr>
            <w:tcW w:w="268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02BIPINFA"/>
              <w:jc w:val="right"/>
              <w:rPr>
                <w:rFonts w:ascii="Verdana" w:eastAsia="Verdana" w:hAnsi="Verdana" w:cs="Verdana"/>
                <w:noProof/>
                <w:color w:val="FFFFFF"/>
                <w:sz w:val="16"/>
                <w:lang w:bidi="en-GB"/>
              </w:rPr>
            </w:pP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Wartość bilansowa brutto na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1 073</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Zwiększenia</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178</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Rozdysponowanie</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(20)</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Przesunięcia między kategoriami aktywów</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Inne zmiany</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w:t>
            </w:r>
          </w:p>
        </w:tc>
      </w:tr>
      <w:tr w:rsidR="0043277E">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b/>
                <w:noProof/>
                <w:color w:val="000000"/>
                <w:sz w:val="18"/>
              </w:rPr>
            </w:pPr>
            <w:r>
              <w:rPr>
                <w:rFonts w:ascii="Verdana" w:hAnsi="Verdana"/>
                <w:b/>
                <w:noProof/>
                <w:color w:val="000000"/>
                <w:sz w:val="18"/>
              </w:rPr>
              <w:t>Wartość bilansowa brutto na 31.12.2019</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b/>
                <w:noProof/>
                <w:color w:val="000000"/>
                <w:sz w:val="18"/>
              </w:rPr>
            </w:pPr>
            <w:r>
              <w:rPr>
                <w:rFonts w:ascii="Verdana" w:hAnsi="Verdana"/>
                <w:b/>
                <w:noProof/>
                <w:color w:val="000000"/>
                <w:sz w:val="18"/>
              </w:rPr>
              <w:t>1 230</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Zakumulowana amortyzacja na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(627)</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 xml:space="preserve">Odpis </w:t>
            </w:r>
            <w:r>
              <w:rPr>
                <w:rFonts w:ascii="Verdana" w:hAnsi="Verdana"/>
                <w:i/>
                <w:noProof/>
                <w:color w:val="000000"/>
                <w:sz w:val="18"/>
              </w:rPr>
              <w:t>amortyzacyjny za rok</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(107)</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Amortyzacja odpisana</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Rozdysponowanie</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19</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Przesunięcia między kategoriami aktywów</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Inne zmiany</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rsidR="0043277E">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b/>
                <w:noProof/>
                <w:color w:val="000000"/>
                <w:sz w:val="18"/>
              </w:rPr>
            </w:pPr>
            <w:r>
              <w:rPr>
                <w:rFonts w:ascii="Verdana" w:hAnsi="Verdana"/>
                <w:b/>
                <w:noProof/>
                <w:color w:val="000000"/>
                <w:sz w:val="18"/>
              </w:rPr>
              <w:t>Zakumulowana amortyzacja na 31.12.2019</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b/>
                <w:noProof/>
                <w:color w:val="000000"/>
                <w:sz w:val="18"/>
              </w:rPr>
            </w:pPr>
            <w:r>
              <w:rPr>
                <w:rFonts w:ascii="Verdana" w:hAnsi="Verdana"/>
                <w:b/>
                <w:noProof/>
                <w:color w:val="000000"/>
                <w:sz w:val="18"/>
              </w:rPr>
              <w:t xml:space="preserve"> (715)</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INFA"/>
              <w:rPr>
                <w:rFonts w:ascii="Arial" w:eastAsia="Arial" w:hAnsi="Arial" w:cs="Arial"/>
                <w:noProof/>
                <w:color w:val="000000"/>
                <w:sz w:val="18"/>
              </w:rPr>
            </w:pP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INFA"/>
              <w:rPr>
                <w:rFonts w:ascii="Arial" w:eastAsia="Arial" w:hAnsi="Arial" w:cs="Arial"/>
                <w:noProof/>
                <w:color w:val="000000"/>
                <w:sz w:val="18"/>
                <w:lang w:bidi="en-GB"/>
              </w:rPr>
            </w:pPr>
          </w:p>
        </w:tc>
      </w:tr>
      <w:tr w:rsidR="0043277E">
        <w:trPr>
          <w:trHeight w:val="255"/>
        </w:trPr>
        <w:tc>
          <w:tcPr>
            <w:tcW w:w="70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INFA"/>
              <w:rPr>
                <w:rFonts w:ascii="Verdana" w:eastAsia="Verdana" w:hAnsi="Verdana" w:cs="Verdana"/>
                <w:b/>
                <w:noProof/>
                <w:color w:val="000000"/>
                <w:sz w:val="18"/>
              </w:rPr>
            </w:pPr>
            <w:r>
              <w:rPr>
                <w:rFonts w:ascii="Verdana" w:hAnsi="Verdana"/>
                <w:b/>
                <w:noProof/>
                <w:color w:val="000000"/>
                <w:sz w:val="18"/>
              </w:rPr>
              <w:t>Wartość bilansowa netto na 31.12.2019</w:t>
            </w:r>
          </w:p>
        </w:tc>
        <w:tc>
          <w:tcPr>
            <w:tcW w:w="268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INFA"/>
              <w:jc w:val="right"/>
              <w:rPr>
                <w:rFonts w:ascii="Verdana" w:eastAsia="Verdana" w:hAnsi="Verdana" w:cs="Verdana"/>
                <w:b/>
                <w:noProof/>
                <w:color w:val="000000"/>
                <w:sz w:val="18"/>
              </w:rPr>
            </w:pPr>
            <w:r>
              <w:rPr>
                <w:rFonts w:ascii="Verdana" w:hAnsi="Verdana"/>
                <w:b/>
                <w:noProof/>
                <w:color w:val="000000"/>
                <w:sz w:val="18"/>
              </w:rPr>
              <w:t xml:space="preserve"> 515</w:t>
            </w:r>
          </w:p>
        </w:tc>
      </w:tr>
      <w:tr w:rsidR="0043277E">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rPr>
                <w:rFonts w:ascii="Verdana" w:eastAsia="Verdana" w:hAnsi="Verdana" w:cs="Verdana"/>
                <w:i/>
                <w:noProof/>
                <w:color w:val="000000"/>
                <w:sz w:val="18"/>
              </w:rPr>
            </w:pPr>
            <w:r>
              <w:rPr>
                <w:rFonts w:ascii="Verdana" w:hAnsi="Verdana"/>
                <w:i/>
                <w:noProof/>
                <w:color w:val="000000"/>
                <w:sz w:val="18"/>
              </w:rPr>
              <w:t xml:space="preserve">Wartość bilansowa netto </w:t>
            </w:r>
            <w:r>
              <w:rPr>
                <w:rFonts w:ascii="Verdana" w:hAnsi="Verdana"/>
                <w:i/>
                <w:noProof/>
                <w:color w:val="000000"/>
                <w:sz w:val="18"/>
              </w:rPr>
              <w:t>na 31.12.2018</w:t>
            </w:r>
          </w:p>
        </w:tc>
        <w:tc>
          <w:tcPr>
            <w:tcW w:w="2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446</w:t>
            </w:r>
          </w:p>
        </w:tc>
      </w:tr>
    </w:tbl>
    <w:p w:rsidR="0043277E" w:rsidRDefault="000F2348">
      <w:pPr>
        <w:pStyle w:val="Textstand-alone"/>
        <w:spacing w:after="0"/>
      </w:pPr>
      <w:r>
        <w:t xml:space="preserve">Powyższe kwoty odnoszą się przede wszystkim do oprogramowania komputerowego. </w:t>
      </w:r>
    </w:p>
    <w:p w:rsidR="0043277E" w:rsidRDefault="000F2348">
      <w:pPr>
        <w:pStyle w:val="HEADER2NOTES"/>
        <w:tabs>
          <w:tab w:val="clear" w:pos="907"/>
        </w:tabs>
        <w:jc w:val="both"/>
        <w:rPr>
          <w:noProof/>
        </w:rPr>
      </w:pPr>
      <w:r>
        <w:rPr>
          <w:noProof/>
        </w:rPr>
        <w:t>RZECZOWE AKTYWA TRWAŁE</w:t>
      </w:r>
    </w:p>
    <w:p w:rsidR="0043277E" w:rsidRDefault="000F2348">
      <w:pPr>
        <w:pStyle w:val="Textstand-alone"/>
      </w:pPr>
      <w:r>
        <w:t xml:space="preserve">Kategoria „Sprzęt kosmiczny” obejmuje operacyjne aktywa trwałe związane z dwoma unijnymi programami kosmicznymi: globalnym systemem </w:t>
      </w:r>
      <w:r>
        <w:t>nawigacji satelitarnej (GNSS), tj. Galileo i EGNOS, oraz unijnym programem obserwacji i monitorowania Ziemi – Copernicus, natomiast aktywa systemów kosmicznych, które nie są jeszcze operacyjne, są uwzględniane w pozycji „Środki trwałe w budowie”.</w:t>
      </w:r>
    </w:p>
    <w:p w:rsidR="0043277E" w:rsidRDefault="000F2348">
      <w:pPr>
        <w:pStyle w:val="Textstand-alone"/>
      </w:pPr>
      <w:r>
        <w:t>W przypad</w:t>
      </w:r>
      <w:r>
        <w:t>ku Galileo cztery satelity wyniesione na orbitę w 2018 r. z powodzeniem przeszły testy orbitalne. W 2019 r. dodano je do konstelacji operacyjnej, co zwiększyło łączną liczbę satelitów do 26. Operacyjne aktywa trwałe programu Galileo, obejmujące zarówno sat</w:t>
      </w:r>
      <w:r>
        <w:t>elity, jak też instalacje naziemne, pomniejszone o zakumulowaną amortyzację, na dzień 31 grudnia 2019 r. wynosiły 2 489 mln EUR (w 2018 r.: 2 410 mln EUR). Pozostałe środki trwałe w budowie wynoszą łącznie 1 361 mln EUR (w 2018 r.: 1 324 mln EUR). Rozwój s</w:t>
      </w:r>
      <w:r>
        <w:t>ystemu Galileo będzie trwał do czasu, aż system osiągnie pełną zdolność operacyjną. Po ukończeniu konstelacja Galileo będzie obejmowała 30 satelitów (w tym 6 satelitów zapasowych).</w:t>
      </w:r>
    </w:p>
    <w:p w:rsidR="0043277E" w:rsidRDefault="000F2348">
      <w:pPr>
        <w:pStyle w:val="Textstand-alone"/>
      </w:pPr>
      <w:r>
        <w:t>Jeżeli chodzi o program Copernicus, żadne nowe satelity nie zaczęły działać</w:t>
      </w:r>
      <w:r>
        <w:t xml:space="preserve"> w 2019 r. Łączna wartość operacyjnych aktywów trwałych w ramach programu Copernicus wynosi 1 153 mln EUR (w 2018 r.: 1 455 mln EUR), bez zakumulowanej amortyzacji. Kolejna kwota 1 453 mln EUR dotycząca satelitów w ramach programu Copernicus została ujęta </w:t>
      </w:r>
      <w:r>
        <w:t>w pozycji „Środki trwałe w budowie” (w 2018 r.: 1 207 mln EUR).</w:t>
      </w:r>
    </w:p>
    <w:p w:rsidR="0043277E" w:rsidRDefault="000F2348">
      <w:pPr>
        <w:pStyle w:val="Textstand-alone"/>
      </w:pPr>
      <w:r>
        <w:t>Aktywa trwałe związane z infrastrukturą naziemną europejskiego systemu wspomagania satelitarnego (EGNOS) o wartości 37 mln EUR (w 2018 r.: 52 mln EUR) również zostały ujęte w pozycji „Sprzęt k</w:t>
      </w:r>
      <w:r>
        <w:t>osmiczny”. Ponadto środki trwałe w budowie systemu EGNOS wynoszą 238 mln EUR (w 2018 r.: 130 mln EUR).</w:t>
      </w:r>
    </w:p>
    <w:p w:rsidR="0043277E" w:rsidRDefault="000F2348">
      <w:pPr>
        <w:pStyle w:val="Textstand-alone"/>
      </w:pPr>
      <w:r>
        <w:t>Aktywa związane z unijnymi programami kosmicznymi powstają przy wsparciu ze strony Europejskiej Agencji Kosmicznej.</w:t>
      </w:r>
    </w:p>
    <w:p w:rsidR="0043277E" w:rsidRDefault="0043277E">
      <w:pPr>
        <w:pStyle w:val="HEADERTABLE"/>
        <w:spacing w:before="360" w:after="360"/>
        <w:rPr>
          <w:noProof/>
        </w:rPr>
        <w:sectPr w:rsidR="0043277E">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rsidR="0043277E" w:rsidRDefault="000F2348">
      <w:pPr>
        <w:pStyle w:val="HEADERTABLE"/>
        <w:spacing w:before="360" w:after="360"/>
        <w:rPr>
          <w:noProof/>
        </w:rPr>
      </w:pPr>
      <w:r>
        <w:rPr>
          <w:noProof/>
        </w:rPr>
        <w:lastRenderedPageBreak/>
        <w:t>Rzeczowe aktywa trwałe</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0"/>
        <w:gridCol w:w="960"/>
        <w:gridCol w:w="1200"/>
        <w:gridCol w:w="1179"/>
        <w:gridCol w:w="1293"/>
        <w:gridCol w:w="1248"/>
        <w:gridCol w:w="777"/>
        <w:gridCol w:w="1053"/>
        <w:gridCol w:w="1293"/>
        <w:gridCol w:w="1053"/>
      </w:tblGrid>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02BIPEUPPE"/>
              <w:rPr>
                <w:rFonts w:ascii="Arial" w:eastAsia="Arial" w:hAnsi="Arial" w:cs="Arial"/>
                <w:noProof/>
                <w:color w:val="000000"/>
              </w:rPr>
            </w:pPr>
            <w:bookmarkStart w:id="43" w:name="DOC_TBL00008_1_1"/>
            <w:bookmarkEnd w:id="43"/>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cs="Calibri"/>
                <w:noProof/>
                <w:color w:val="000000"/>
              </w:rPr>
            </w:pPr>
          </w:p>
        </w:tc>
        <w:tc>
          <w:tcPr>
            <w:tcW w:w="10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90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02BIPEUPPE"/>
              <w:jc w:val="right"/>
              <w:rPr>
                <w:rFonts w:ascii="Verdana" w:eastAsia="Verdana" w:hAnsi="Verdana" w:cs="Verdana"/>
                <w:noProof/>
                <w:color w:val="FFFFFF"/>
                <w:sz w:val="16"/>
              </w:rPr>
            </w:pPr>
          </w:p>
        </w:tc>
        <w:tc>
          <w:tcPr>
            <w:tcW w:w="96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Grunty i budynki</w:t>
            </w:r>
          </w:p>
        </w:tc>
        <w:tc>
          <w:tcPr>
            <w:tcW w:w="120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Sprzęt kosmiczny</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Urządzenia i wyposażenie techniczne</w:t>
            </w: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Meble i środki transportu</w:t>
            </w:r>
          </w:p>
        </w:tc>
        <w:tc>
          <w:tcPr>
            <w:tcW w:w="124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Sprzęt komputerowy</w:t>
            </w:r>
          </w:p>
        </w:tc>
        <w:tc>
          <w:tcPr>
            <w:tcW w:w="77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Inne</w:t>
            </w:r>
          </w:p>
        </w:tc>
        <w:tc>
          <w:tcPr>
            <w:tcW w:w="10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 xml:space="preserve">Leasing </w:t>
            </w:r>
            <w:r>
              <w:rPr>
                <w:rFonts w:ascii="Verdana" w:hAnsi="Verdana"/>
                <w:noProof/>
                <w:color w:val="FFFFFF"/>
                <w:sz w:val="16"/>
              </w:rPr>
              <w:t>finansowy</w:t>
            </w: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 xml:space="preserve"> Środki trwałe w budowie</w:t>
            </w:r>
          </w:p>
        </w:tc>
        <w:tc>
          <w:tcPr>
            <w:tcW w:w="10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2BIPEUPPE"/>
              <w:jc w:val="right"/>
              <w:rPr>
                <w:rFonts w:ascii="Verdana" w:eastAsia="Verdana" w:hAnsi="Verdana" w:cs="Verdana"/>
                <w:noProof/>
                <w:color w:val="FFFFFF"/>
                <w:sz w:val="16"/>
              </w:rPr>
            </w:pPr>
            <w:r>
              <w:rPr>
                <w:rFonts w:ascii="Verdana" w:hAnsi="Verdana"/>
                <w:noProof/>
                <w:color w:val="FFFFFF"/>
                <w:sz w:val="16"/>
              </w:rPr>
              <w:t>Ogółem</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Wartość bilansowa brutto na 31.12.2018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5 626</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5 259</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641</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270</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634</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327</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2 620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3 199</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18 575</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Zwiększenia</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24</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14</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60</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21</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941</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1 306</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Rozdysponowanie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(28)</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(58)</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(29)</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(236)</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Przesunięcia między kategoriami aktywów</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154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411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(477)</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Inne zmiany</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r>
      <w:tr w:rsidR="0043277E">
        <w:trPr>
          <w:trHeight w:val="255"/>
        </w:trPr>
        <w:tc>
          <w:tcPr>
            <w:tcW w:w="39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b/>
                <w:noProof/>
                <w:color w:val="000000"/>
                <w:sz w:val="16"/>
              </w:rPr>
            </w:pPr>
            <w:r>
              <w:rPr>
                <w:rFonts w:ascii="Verdana" w:hAnsi="Verdana"/>
                <w:b/>
                <w:noProof/>
                <w:color w:val="000000"/>
                <w:sz w:val="16"/>
              </w:rPr>
              <w:t>Wartość bilansowa brutto na 31.12.2019</w:t>
            </w:r>
          </w:p>
        </w:tc>
        <w:tc>
          <w:tcPr>
            <w:tcW w:w="9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5 895</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5 680</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542</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259</w:t>
            </w:r>
          </w:p>
        </w:tc>
        <w:tc>
          <w:tcPr>
            <w:tcW w:w="12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644</w:t>
            </w:r>
          </w:p>
        </w:tc>
        <w:tc>
          <w:tcPr>
            <w:tcW w:w="7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325</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2 638</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3 653</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19 635</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 xml:space="preserve">Zakumulowana amortyzacja </w:t>
            </w:r>
            <w:r>
              <w:rPr>
                <w:rFonts w:ascii="Verdana" w:hAnsi="Verdana"/>
                <w:i/>
                <w:noProof/>
                <w:color w:val="000000"/>
                <w:sz w:val="16"/>
              </w:rPr>
              <w:t>na 31.12.2018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(3 279)</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(1 342)</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(540)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(198)</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(521)</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(255)</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(1 257)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(7 390)</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Odpis amortyzacyjny za rok</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(190)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(659)</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(31)</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(17)</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(64)</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(27)</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(94)</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(1 083)</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Korekty amortyzacji</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14</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61</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Rozdysponowanie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17</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43</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26</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157</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Przesunięcia między kategoriami aktywów</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35</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Inne zmiany</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rsidR="0043277E">
        <w:trPr>
          <w:trHeight w:val="255"/>
        </w:trPr>
        <w:tc>
          <w:tcPr>
            <w:tcW w:w="39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b/>
                <w:noProof/>
                <w:color w:val="000000"/>
                <w:sz w:val="16"/>
              </w:rPr>
            </w:pPr>
            <w:r>
              <w:rPr>
                <w:rFonts w:ascii="Verdana" w:hAnsi="Verdana"/>
                <w:b/>
                <w:noProof/>
                <w:color w:val="000000"/>
                <w:sz w:val="16"/>
              </w:rPr>
              <w:t>Zakumulowana amortyzacja na 31.12.2019</w:t>
            </w:r>
          </w:p>
        </w:tc>
        <w:tc>
          <w:tcPr>
            <w:tcW w:w="9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(3 503)</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(2 001)</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(457)</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(194)</w:t>
            </w:r>
          </w:p>
        </w:tc>
        <w:tc>
          <w:tcPr>
            <w:tcW w:w="12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(533)</w:t>
            </w:r>
          </w:p>
        </w:tc>
        <w:tc>
          <w:tcPr>
            <w:tcW w:w="7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(255)</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(1 313)</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02BIPEUPPE"/>
              <w:jc w:val="right"/>
              <w:rPr>
                <w:rFonts w:ascii="Verdana" w:eastAsia="Verdana" w:hAnsi="Verdana" w:cs="Verdana"/>
                <w:b/>
                <w:noProof/>
                <w:color w:val="000000"/>
                <w:sz w:val="16"/>
              </w:rPr>
            </w:pP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(8 255)</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02BIPEUPPE"/>
              <w:rPr>
                <w:rFonts w:ascii="Arial" w:eastAsia="Arial" w:hAnsi="Arial" w:cs="Arial"/>
                <w:noProof/>
                <w:color w:val="000000"/>
                <w:sz w:val="16"/>
                <w:lang w:bidi="en-GB"/>
              </w:rPr>
            </w:pPr>
          </w:p>
        </w:tc>
      </w:tr>
      <w:tr w:rsidR="0043277E">
        <w:trPr>
          <w:trHeight w:val="255"/>
        </w:trPr>
        <w:tc>
          <w:tcPr>
            <w:tcW w:w="39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rPr>
                <w:rFonts w:ascii="Verdana" w:eastAsia="Verdana" w:hAnsi="Verdana" w:cs="Verdana"/>
                <w:b/>
                <w:noProof/>
                <w:color w:val="000000"/>
                <w:sz w:val="16"/>
              </w:rPr>
            </w:pPr>
            <w:r>
              <w:rPr>
                <w:rFonts w:ascii="Verdana" w:hAnsi="Verdana"/>
                <w:b/>
                <w:noProof/>
                <w:color w:val="000000"/>
                <w:sz w:val="16"/>
              </w:rPr>
              <w:t xml:space="preserve">WARTOŚĆ BILANSOWA NETTO NA </w:t>
            </w:r>
            <w:r>
              <w:rPr>
                <w:rFonts w:ascii="Verdana" w:hAnsi="Verdana"/>
                <w:b/>
                <w:noProof/>
                <w:color w:val="000000"/>
                <w:sz w:val="16"/>
              </w:rPr>
              <w:t>31.12.2019</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2 392</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3 679</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85</w:t>
            </w:r>
          </w:p>
        </w:tc>
        <w:tc>
          <w:tcPr>
            <w:tcW w:w="129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65</w:t>
            </w:r>
          </w:p>
        </w:tc>
        <w:tc>
          <w:tcPr>
            <w:tcW w:w="124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110</w:t>
            </w:r>
          </w:p>
        </w:tc>
        <w:tc>
          <w:tcPr>
            <w:tcW w:w="77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70</w:t>
            </w:r>
          </w:p>
        </w:tc>
        <w:tc>
          <w:tcPr>
            <w:tcW w:w="105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1 325</w:t>
            </w:r>
          </w:p>
        </w:tc>
        <w:tc>
          <w:tcPr>
            <w:tcW w:w="129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3 653</w:t>
            </w:r>
          </w:p>
        </w:tc>
        <w:tc>
          <w:tcPr>
            <w:tcW w:w="105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2BIPEUPPE"/>
              <w:jc w:val="right"/>
              <w:rPr>
                <w:rFonts w:ascii="Verdana" w:eastAsia="Verdana" w:hAnsi="Verdana" w:cs="Verdana"/>
                <w:b/>
                <w:noProof/>
                <w:color w:val="000000"/>
                <w:sz w:val="16"/>
              </w:rPr>
            </w:pPr>
            <w:r>
              <w:rPr>
                <w:rFonts w:ascii="Verdana" w:hAnsi="Verdana"/>
                <w:b/>
                <w:noProof/>
                <w:color w:val="000000"/>
                <w:sz w:val="16"/>
              </w:rPr>
              <w:t>11 380</w:t>
            </w:r>
          </w:p>
        </w:tc>
      </w:tr>
      <w:tr w:rsidR="0043277E">
        <w:trPr>
          <w:trHeight w:val="255"/>
        </w:trPr>
        <w:tc>
          <w:tcPr>
            <w:tcW w:w="39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rPr>
                <w:rFonts w:ascii="Verdana" w:eastAsia="Verdana" w:hAnsi="Verdana" w:cs="Verdana"/>
                <w:i/>
                <w:noProof/>
                <w:color w:val="000000"/>
                <w:sz w:val="16"/>
              </w:rPr>
            </w:pPr>
            <w:r>
              <w:rPr>
                <w:rFonts w:ascii="Verdana" w:hAnsi="Verdana"/>
                <w:i/>
                <w:noProof/>
                <w:color w:val="000000"/>
                <w:sz w:val="16"/>
              </w:rPr>
              <w:t>WARTOŚĆ BILANSOWA NETTO NA 31.12.2018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2 347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3 917</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101</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72</w:t>
            </w:r>
          </w:p>
        </w:tc>
        <w:tc>
          <w:tcPr>
            <w:tcW w:w="12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113</w:t>
            </w:r>
          </w:p>
        </w:tc>
        <w:tc>
          <w:tcPr>
            <w:tcW w:w="7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72</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1 363</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3 199</w:t>
            </w:r>
          </w:p>
        </w:tc>
        <w:tc>
          <w:tcPr>
            <w:tcW w:w="10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02BIPEUPPE"/>
              <w:jc w:val="right"/>
              <w:rPr>
                <w:rFonts w:ascii="Verdana" w:eastAsia="Verdana" w:hAnsi="Verdana" w:cs="Verdana"/>
                <w:i/>
                <w:noProof/>
                <w:color w:val="000000"/>
                <w:sz w:val="16"/>
              </w:rPr>
            </w:pPr>
            <w:r>
              <w:rPr>
                <w:rFonts w:ascii="Verdana" w:hAnsi="Verdana"/>
                <w:i/>
                <w:noProof/>
                <w:color w:val="000000"/>
                <w:sz w:val="16"/>
              </w:rPr>
              <w:t>11 185</w:t>
            </w:r>
          </w:p>
        </w:tc>
      </w:tr>
      <w:bookmarkEnd w:id="41"/>
    </w:tbl>
    <w:p w:rsidR="0043277E" w:rsidRDefault="0043277E">
      <w:pPr>
        <w:pStyle w:val="Textstand-alone"/>
        <w:spacing w:before="0" w:after="0"/>
        <w:sectPr w:rsidR="0043277E">
          <w:headerReference w:type="even" r:id="rId137"/>
          <w:headerReference w:type="default" r:id="rId138"/>
          <w:footerReference w:type="even" r:id="rId139"/>
          <w:footerReference w:type="default" r:id="rId140"/>
          <w:headerReference w:type="first" r:id="rId141"/>
          <w:footerReference w:type="first" r:id="rId142"/>
          <w:pgSz w:w="16838" w:h="11906" w:orient="landscape"/>
          <w:pgMar w:top="1134" w:right="1134" w:bottom="1134" w:left="1134" w:header="708" w:footer="708" w:gutter="0"/>
          <w:cols w:space="708"/>
          <w:docGrid w:linePitch="360"/>
        </w:sectPr>
      </w:pPr>
    </w:p>
    <w:p w:rsidR="0043277E" w:rsidRDefault="000F2348">
      <w:pPr>
        <w:pStyle w:val="HEADER2NOTES"/>
        <w:spacing w:before="0"/>
        <w:rPr>
          <w:noProof/>
        </w:rPr>
      </w:pPr>
      <w:bookmarkStart w:id="44" w:name="_DMBM_17129"/>
      <w:r>
        <w:rPr>
          <w:noProof/>
        </w:rPr>
        <w:lastRenderedPageBreak/>
        <w:t>INWESTYCJE ROZLICZANE ZGODNIE Z METODĄ PRAW WŁASNOŚCI</w:t>
      </w:r>
    </w:p>
    <w:p w:rsidR="0043277E" w:rsidRDefault="000F2348">
      <w:pPr>
        <w:pStyle w:val="DGTextstand-alone"/>
      </w:pPr>
      <w:r>
        <w:t xml:space="preserve">Udział UE, reprezentowanej przez Komisję, w Europejskim Funduszu Inwestycyjnym (EFI) jest traktowany jak udział w jednostce stowarzyszonej i wyceniany metodą praw własności. EFI jest </w:t>
      </w:r>
      <w:r>
        <w:t>instytucją finansową UE specjalizującą się w dostarczaniu kapitału wysokiego ryzyka oraz w gwarancjach na rzecz małych i średnich przedsiębiorstw (MŚP). EFI ma siedzibę w Luksemburgu i funkcjonuje na zasadach partnerstwa publiczno-prywatnego, którego człon</w:t>
      </w:r>
      <w:r>
        <w:t xml:space="preserve">kami są Europejski Bank Inwestycyjny (EBI), UE i grupa instytucji finansowych. Na dzień 31 grudnia 2019 r. </w:t>
      </w:r>
      <w:bookmarkStart w:id="45" w:name="OLE_LINK1"/>
      <w:bookmarkStart w:id="46" w:name="OLE_LINK2"/>
      <w:r>
        <w:t xml:space="preserve">udział własnościowy </w:t>
      </w:r>
      <w:bookmarkEnd w:id="45"/>
      <w:bookmarkEnd w:id="46"/>
      <w:r>
        <w:t>UE w EFI wynosił 29,7 % (w 2018 r.: 29,7 %) i 29,7 % praw głosu (w 2018 r.: 29,7 %). Zgodnie ze swoim statutem EFI ma obowiązek p</w:t>
      </w:r>
      <w:r>
        <w:t>rzeznaczyć co najmniej 20 % swojego rocznego wyniku netto na statutowy kapitał rezerwowy, do czasu aż łączna rezerwa osiągnie 10 % kapitału subskrybowanego. Rezerwa ta nie podlega dystrybucji.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7"/>
        <w:gridCol w:w="2471"/>
      </w:tblGrid>
      <w:tr w:rsidR="0043277E">
        <w:trPr>
          <w:trHeight w:val="255"/>
        </w:trPr>
        <w:tc>
          <w:tcPr>
            <w:tcW w:w="728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70BIPPARTASS1"/>
              <w:rPr>
                <w:rFonts w:ascii="Arial" w:eastAsia="Arial" w:hAnsi="Arial" w:cs="Arial"/>
                <w:noProof/>
                <w:color w:val="000000"/>
                <w:sz w:val="16"/>
              </w:rPr>
            </w:pPr>
            <w:bookmarkStart w:id="47" w:name="DOC_TBL00009_1_1"/>
            <w:bookmarkEnd w:id="47"/>
          </w:p>
        </w:tc>
        <w:tc>
          <w:tcPr>
            <w:tcW w:w="247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1"/>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9758" w:type="dxa"/>
            <w:gridSpan w:val="2"/>
            <w:tcBorders>
              <w:top w:val="nil"/>
              <w:left w:val="nil"/>
              <w:bottom w:val="nil"/>
              <w:right w:val="nil"/>
              <w:tl2br w:val="nil"/>
              <w:tr2bl w:val="nil"/>
            </w:tcBorders>
            <w:shd w:val="solid" w:color="016794" w:fill="FFFFFF"/>
            <w:tcMar>
              <w:left w:w="60" w:type="dxa"/>
              <w:right w:w="60" w:type="dxa"/>
            </w:tcMar>
            <w:vAlign w:val="bottom"/>
          </w:tcPr>
          <w:p w:rsidR="0043277E" w:rsidRDefault="000F2348">
            <w:pPr>
              <w:pStyle w:val="DMETW16570BIPPARTASS1"/>
              <w:jc w:val="right"/>
              <w:rPr>
                <w:rFonts w:ascii="Verdana" w:eastAsia="Verdana" w:hAnsi="Verdana" w:cs="Verdana"/>
                <w:noProof/>
                <w:color w:val="FFFFFF"/>
              </w:rPr>
            </w:pPr>
            <w:r>
              <w:rPr>
                <w:rFonts w:ascii="Verdana" w:hAnsi="Verdana"/>
                <w:noProof/>
                <w:color w:val="FFFFFF"/>
              </w:rPr>
              <w:t>Europejski Fundusz Inwestycyjny</w:t>
            </w:r>
          </w:p>
        </w:tc>
      </w:tr>
      <w:tr w:rsidR="0043277E">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70BIPPARTASS1"/>
              <w:rPr>
                <w:rFonts w:ascii="Verdana" w:eastAsia="Verdana" w:hAnsi="Verdana" w:cs="Verdana"/>
                <w:b/>
                <w:noProof/>
                <w:color w:val="000000"/>
                <w:sz w:val="18"/>
              </w:rPr>
            </w:pPr>
            <w:r>
              <w:rPr>
                <w:rFonts w:ascii="Verdana" w:hAnsi="Verdana"/>
                <w:b/>
                <w:noProof/>
                <w:color w:val="000000"/>
                <w:sz w:val="18"/>
              </w:rPr>
              <w:t xml:space="preserve">Udział </w:t>
            </w:r>
            <w:r>
              <w:rPr>
                <w:rFonts w:ascii="Verdana" w:hAnsi="Verdana"/>
                <w:b/>
                <w:noProof/>
                <w:color w:val="000000"/>
                <w:sz w:val="18"/>
              </w:rPr>
              <w:t>na 31.12.2018</w:t>
            </w:r>
          </w:p>
        </w:tc>
        <w:tc>
          <w:tcPr>
            <w:tcW w:w="2471"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570BIPPARTASS1"/>
              <w:jc w:val="right"/>
              <w:rPr>
                <w:rFonts w:ascii="Verdana" w:eastAsia="Verdana" w:hAnsi="Verdana" w:cs="Verdana"/>
                <w:b/>
                <w:noProof/>
                <w:color w:val="000000"/>
                <w:sz w:val="18"/>
              </w:rPr>
            </w:pPr>
            <w:r>
              <w:rPr>
                <w:rFonts w:ascii="Verdana" w:hAnsi="Verdana"/>
                <w:b/>
                <w:noProof/>
                <w:color w:val="000000"/>
                <w:sz w:val="18"/>
              </w:rPr>
              <w:t xml:space="preserve"> 591</w:t>
            </w:r>
          </w:p>
        </w:tc>
      </w:tr>
      <w:tr w:rsidR="0043277E">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1"/>
              <w:rPr>
                <w:rFonts w:ascii="Verdana" w:eastAsia="Verdana" w:hAnsi="Verdana" w:cs="Verdana"/>
                <w:i/>
                <w:noProof/>
                <w:color w:val="000000"/>
                <w:sz w:val="18"/>
              </w:rPr>
            </w:pPr>
            <w:r>
              <w:rPr>
                <w:rFonts w:ascii="Verdana" w:hAnsi="Verdana"/>
                <w:i/>
                <w:noProof/>
                <w:color w:val="000000"/>
                <w:sz w:val="18"/>
              </w:rPr>
              <w:t>Wkłady</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1"/>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1"/>
              <w:rPr>
                <w:rFonts w:ascii="Verdana" w:eastAsia="Verdana" w:hAnsi="Verdana" w:cs="Verdana"/>
                <w:i/>
                <w:noProof/>
                <w:color w:val="000000"/>
                <w:sz w:val="18"/>
              </w:rPr>
            </w:pPr>
            <w:r>
              <w:rPr>
                <w:rFonts w:ascii="Verdana" w:hAnsi="Verdana"/>
                <w:i/>
                <w:noProof/>
                <w:color w:val="000000"/>
                <w:sz w:val="18"/>
              </w:rPr>
              <w:t>Otrzymane dywidendy</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(3)</w:t>
            </w:r>
          </w:p>
        </w:tc>
      </w:tr>
      <w:tr w:rsidR="0043277E">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1"/>
              <w:rPr>
                <w:rFonts w:ascii="Verdana" w:eastAsia="Verdana" w:hAnsi="Verdana" w:cs="Verdana"/>
                <w:i/>
                <w:noProof/>
                <w:color w:val="000000"/>
                <w:sz w:val="18"/>
              </w:rPr>
            </w:pPr>
            <w:r>
              <w:rPr>
                <w:rFonts w:ascii="Verdana" w:hAnsi="Verdana"/>
                <w:i/>
                <w:noProof/>
                <w:color w:val="000000"/>
                <w:sz w:val="18"/>
              </w:rPr>
              <w:t>Udział w wyniku finansowym netto</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53</w:t>
            </w:r>
          </w:p>
        </w:tc>
      </w:tr>
      <w:tr w:rsidR="0043277E">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1"/>
              <w:rPr>
                <w:rFonts w:ascii="Verdana" w:eastAsia="Verdana" w:hAnsi="Verdana" w:cs="Verdana"/>
                <w:i/>
                <w:noProof/>
                <w:color w:val="000000"/>
                <w:sz w:val="18"/>
              </w:rPr>
            </w:pPr>
            <w:r>
              <w:rPr>
                <w:rFonts w:ascii="Verdana" w:hAnsi="Verdana"/>
                <w:i/>
                <w:noProof/>
                <w:color w:val="000000"/>
                <w:sz w:val="18"/>
              </w:rPr>
              <w:t>Udział w aktywach netto</w:t>
            </w:r>
          </w:p>
        </w:tc>
        <w:tc>
          <w:tcPr>
            <w:tcW w:w="247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(49)</w:t>
            </w:r>
          </w:p>
        </w:tc>
      </w:tr>
      <w:tr w:rsidR="0043277E">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70BIPPARTASS1"/>
              <w:rPr>
                <w:rFonts w:ascii="Verdana" w:eastAsia="Verdana" w:hAnsi="Verdana" w:cs="Verdana"/>
                <w:b/>
                <w:noProof/>
                <w:color w:val="000000"/>
                <w:sz w:val="18"/>
              </w:rPr>
            </w:pPr>
            <w:r>
              <w:rPr>
                <w:rFonts w:ascii="Verdana" w:hAnsi="Verdana"/>
                <w:b/>
                <w:noProof/>
                <w:color w:val="000000"/>
                <w:sz w:val="18"/>
              </w:rPr>
              <w:t>Udział na 31.12.2019</w:t>
            </w:r>
          </w:p>
        </w:tc>
        <w:tc>
          <w:tcPr>
            <w:tcW w:w="2471"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570BIPPARTASS1"/>
              <w:jc w:val="right"/>
              <w:rPr>
                <w:rFonts w:ascii="Verdana" w:eastAsia="Verdana" w:hAnsi="Verdana" w:cs="Verdana"/>
                <w:b/>
                <w:noProof/>
                <w:color w:val="000000"/>
                <w:sz w:val="18"/>
              </w:rPr>
            </w:pPr>
            <w:r>
              <w:rPr>
                <w:rFonts w:ascii="Verdana" w:hAnsi="Verdana"/>
                <w:b/>
                <w:noProof/>
                <w:color w:val="000000"/>
                <w:sz w:val="18"/>
              </w:rPr>
              <w:t xml:space="preserve"> 591</w:t>
            </w:r>
          </w:p>
        </w:tc>
      </w:tr>
    </w:tbl>
    <w:p w:rsidR="0043277E" w:rsidRDefault="000F2348">
      <w:pPr>
        <w:pStyle w:val="DGTextstand-alone"/>
      </w:pPr>
      <w:r>
        <w:t>Następujące wartości bilansowe można przypisać UE w oparciu o procentowy udział: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70BIPPARTASS2"/>
              <w:rPr>
                <w:rFonts w:ascii="Arial" w:eastAsia="Arial" w:hAnsi="Arial" w:cs="Arial"/>
                <w:noProof/>
                <w:color w:val="000000"/>
                <w:sz w:val="16"/>
              </w:rPr>
            </w:pPr>
            <w:bookmarkStart w:id="48" w:name="DOC_TBL00010_1_1"/>
            <w:bookmarkEnd w:id="48"/>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70BIPPARTASS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Arial" w:eastAsia="Arial" w:hAnsi="Arial" w:cs="Arial"/>
                <w:i/>
                <w:noProof/>
                <w:color w:val="000000"/>
                <w:sz w:val="16"/>
              </w:rPr>
            </w:pPr>
            <w:r>
              <w:rPr>
                <w:rFonts w:ascii="Arial" w:hAnsi="Arial"/>
                <w:i/>
                <w:noProof/>
                <w:color w:val="000000"/>
                <w:sz w:val="16"/>
              </w:rPr>
              <w:t>w mln EUR</w:t>
            </w:r>
          </w:p>
        </w:tc>
      </w:tr>
      <w:tr w:rsidR="0043277E">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43277E" w:rsidRDefault="0043277E">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PARTASS2"/>
              <w:jc w:val="right"/>
              <w:rPr>
                <w:rFonts w:ascii="Verdana" w:eastAsia="Verdana" w:hAnsi="Verdana" w:cs="Verdana"/>
                <w:noProof/>
                <w:color w:val="FFFFFF"/>
              </w:rPr>
            </w:pPr>
            <w:r>
              <w:rPr>
                <w:rFonts w:ascii="Verdana" w:hAnsi="Verdana"/>
                <w:noProof/>
                <w:color w:val="FFFFFF"/>
              </w:rPr>
              <w:t>31.12.2019</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PARTASS2"/>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43277E" w:rsidRDefault="0043277E">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PARTASS2"/>
              <w:jc w:val="right"/>
              <w:rPr>
                <w:rFonts w:ascii="Verdana" w:eastAsia="Verdana" w:hAnsi="Verdana" w:cs="Verdana"/>
                <w:noProof/>
                <w:color w:val="FFFFFF"/>
              </w:rPr>
            </w:pPr>
            <w:r>
              <w:rPr>
                <w:rFonts w:ascii="Verdana" w:hAnsi="Verdana"/>
                <w:noProof/>
                <w:color w:val="FFFFFF"/>
              </w:rPr>
              <w:t>EFI ogółem</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PARTASS2"/>
              <w:jc w:val="right"/>
              <w:rPr>
                <w:rFonts w:ascii="Verdana" w:eastAsia="Verdana" w:hAnsi="Verdana" w:cs="Verdana"/>
                <w:noProof/>
                <w:color w:val="FFFFFF"/>
              </w:rPr>
            </w:pPr>
            <w:r>
              <w:rPr>
                <w:rFonts w:ascii="Verdana" w:hAnsi="Verdana"/>
                <w:noProof/>
                <w:color w:val="FFFFFF"/>
              </w:rPr>
              <w:t>EFI ogółem</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2"/>
              <w:rPr>
                <w:rFonts w:ascii="Verdana" w:eastAsia="Verdana" w:hAnsi="Verdana" w:cs="Verdana"/>
                <w:i/>
                <w:noProof/>
                <w:color w:val="000000"/>
                <w:sz w:val="18"/>
              </w:rPr>
            </w:pPr>
            <w:r>
              <w:rPr>
                <w:rFonts w:ascii="Verdana" w:hAnsi="Verdana"/>
                <w:i/>
                <w:noProof/>
                <w:color w:val="000000"/>
                <w:sz w:val="18"/>
              </w:rPr>
              <w:t>Aktywa</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2 965</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2 662</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2"/>
              <w:rPr>
                <w:rFonts w:ascii="Verdana" w:eastAsia="Verdana" w:hAnsi="Verdana" w:cs="Verdana"/>
                <w:i/>
                <w:noProof/>
                <w:color w:val="000000"/>
                <w:sz w:val="18"/>
              </w:rPr>
            </w:pPr>
            <w:r>
              <w:rPr>
                <w:rFonts w:ascii="Verdana" w:hAnsi="Verdana"/>
                <w:i/>
                <w:noProof/>
                <w:color w:val="000000"/>
                <w:sz w:val="18"/>
              </w:rPr>
              <w:t>Zobowiązania</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(975)</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(674)</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2"/>
              <w:rPr>
                <w:rFonts w:ascii="Verdana" w:eastAsia="Verdana" w:hAnsi="Verdana" w:cs="Verdana"/>
                <w:i/>
                <w:noProof/>
                <w:color w:val="000000"/>
                <w:sz w:val="18"/>
              </w:rPr>
            </w:pPr>
            <w:r>
              <w:rPr>
                <w:rFonts w:ascii="Verdana" w:hAnsi="Verdana"/>
                <w:i/>
                <w:noProof/>
                <w:color w:val="000000"/>
                <w:sz w:val="18"/>
              </w:rPr>
              <w:t>Przychody</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337</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291</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2"/>
              <w:rPr>
                <w:rFonts w:ascii="Verdana" w:eastAsia="Verdana" w:hAnsi="Verdana" w:cs="Verdana"/>
                <w:i/>
                <w:noProof/>
                <w:color w:val="000000"/>
                <w:sz w:val="18"/>
              </w:rPr>
            </w:pPr>
            <w:r>
              <w:rPr>
                <w:rFonts w:ascii="Verdana" w:hAnsi="Verdana"/>
                <w:i/>
                <w:noProof/>
                <w:color w:val="000000"/>
                <w:sz w:val="18"/>
              </w:rPr>
              <w:t>Wydatki</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(161)</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(167)</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PARTASS2"/>
              <w:rPr>
                <w:rFonts w:ascii="Verdana" w:eastAsia="Verdana" w:hAnsi="Verdana" w:cs="Verdana"/>
                <w:i/>
                <w:noProof/>
                <w:color w:val="000000"/>
                <w:sz w:val="18"/>
              </w:rPr>
            </w:pPr>
            <w:r>
              <w:rPr>
                <w:rFonts w:ascii="Verdana" w:hAnsi="Verdana"/>
                <w:i/>
                <w:noProof/>
                <w:color w:val="000000"/>
                <w:sz w:val="18"/>
              </w:rPr>
              <w:t>Nadwyżka/(deficyt)</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176</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124</w:t>
            </w:r>
          </w:p>
        </w:tc>
      </w:tr>
    </w:tbl>
    <w:p w:rsidR="0043277E" w:rsidRDefault="000F2348">
      <w:pPr>
        <w:pStyle w:val="DGTextstand-alone"/>
      </w:pPr>
      <w:r>
        <w:t>Uzgodnienie powyższych skróconych informacji finansowych z wartością bilansową udziałów</w:t>
      </w:r>
      <w:r>
        <w:t xml:space="preserve"> EFI przedstawia się następująco: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70BIPEIF2"/>
              <w:rPr>
                <w:rFonts w:ascii="Arial" w:eastAsia="Arial" w:hAnsi="Arial" w:cs="Arial"/>
                <w:noProof/>
                <w:color w:val="000000"/>
                <w:sz w:val="16"/>
              </w:rPr>
            </w:pPr>
            <w:bookmarkStart w:id="49" w:name="DOC_TBL00011_1_1"/>
            <w:bookmarkEnd w:id="49"/>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70BIPEIF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2"/>
              <w:jc w:val="right"/>
              <w:rPr>
                <w:rFonts w:ascii="Arial" w:eastAsia="Arial" w:hAnsi="Arial" w:cs="Arial"/>
                <w:i/>
                <w:noProof/>
                <w:color w:val="000000"/>
                <w:sz w:val="16"/>
              </w:rPr>
            </w:pPr>
            <w:r>
              <w:rPr>
                <w:rFonts w:ascii="Arial" w:hAnsi="Arial"/>
                <w:i/>
                <w:noProof/>
                <w:color w:val="000000"/>
                <w:sz w:val="16"/>
              </w:rPr>
              <w:t>w mln EUR</w:t>
            </w:r>
          </w:p>
        </w:tc>
      </w:tr>
      <w:tr w:rsidR="0043277E">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43277E" w:rsidRDefault="0043277E">
            <w:pPr>
              <w:pStyle w:val="DMETW16570BIPEIF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EIF2"/>
              <w:jc w:val="right"/>
              <w:rPr>
                <w:rFonts w:ascii="Verdana" w:eastAsia="Verdana" w:hAnsi="Verdana" w:cs="Verdana"/>
                <w:noProof/>
                <w:color w:val="FFFFFF"/>
              </w:rPr>
            </w:pPr>
            <w:r>
              <w:rPr>
                <w:rFonts w:ascii="Verdana" w:hAnsi="Verdana"/>
                <w:noProof/>
                <w:color w:val="FFFFFF"/>
              </w:rPr>
              <w:t>31.12.2019</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EIF2"/>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EIF2"/>
              <w:rPr>
                <w:rFonts w:ascii="Verdana" w:eastAsia="Verdana" w:hAnsi="Verdana" w:cs="Verdana"/>
                <w:i/>
                <w:noProof/>
                <w:color w:val="000000"/>
                <w:sz w:val="18"/>
              </w:rPr>
            </w:pPr>
            <w:r>
              <w:rPr>
                <w:rFonts w:ascii="Verdana" w:hAnsi="Verdana"/>
                <w:i/>
                <w:noProof/>
                <w:color w:val="000000"/>
                <w:sz w:val="18"/>
              </w:rPr>
              <w:t>Aktywa netto jednostki stowarzyszonej</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2"/>
              <w:jc w:val="right"/>
              <w:rPr>
                <w:rFonts w:ascii="Verdana" w:eastAsia="Verdana" w:hAnsi="Verdana" w:cs="Verdana"/>
                <w:i/>
                <w:noProof/>
                <w:color w:val="000000"/>
                <w:sz w:val="18"/>
              </w:rPr>
            </w:pPr>
            <w:r>
              <w:rPr>
                <w:rFonts w:ascii="Verdana" w:hAnsi="Verdana"/>
                <w:i/>
                <w:noProof/>
                <w:color w:val="000000"/>
                <w:sz w:val="18"/>
              </w:rPr>
              <w:t>1 990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2"/>
              <w:jc w:val="right"/>
              <w:rPr>
                <w:rFonts w:ascii="Verdana" w:eastAsia="Verdana" w:hAnsi="Verdana" w:cs="Verdana"/>
                <w:i/>
                <w:noProof/>
                <w:color w:val="000000"/>
                <w:sz w:val="18"/>
              </w:rPr>
            </w:pPr>
            <w:r>
              <w:rPr>
                <w:rFonts w:ascii="Verdana" w:hAnsi="Verdana"/>
                <w:i/>
                <w:noProof/>
                <w:color w:val="000000"/>
                <w:sz w:val="18"/>
              </w:rPr>
              <w:t>1 988</w:t>
            </w:r>
          </w:p>
        </w:tc>
      </w:tr>
      <w:tr w:rsidR="0043277E">
        <w:trPr>
          <w:trHeight w:val="255"/>
        </w:trPr>
        <w:tc>
          <w:tcPr>
            <w:tcW w:w="418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70BIPEIF2"/>
              <w:rPr>
                <w:rFonts w:ascii="Verdana" w:eastAsia="Verdana" w:hAnsi="Verdana" w:cs="Verdana"/>
                <w:b/>
                <w:noProof/>
                <w:color w:val="000000"/>
                <w:sz w:val="18"/>
              </w:rPr>
            </w:pPr>
            <w:r>
              <w:rPr>
                <w:rFonts w:ascii="Verdana" w:hAnsi="Verdana"/>
                <w:b/>
                <w:noProof/>
                <w:color w:val="000000"/>
                <w:sz w:val="18"/>
              </w:rPr>
              <w:t>Udziały własnościowe WE w EFI</w:t>
            </w:r>
          </w:p>
        </w:tc>
        <w:tc>
          <w:tcPr>
            <w:tcW w:w="2786"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70BIPEIF2"/>
              <w:jc w:val="right"/>
              <w:rPr>
                <w:rFonts w:ascii="Verdana" w:eastAsia="Verdana" w:hAnsi="Verdana" w:cs="Verdana"/>
                <w:b/>
                <w:noProof/>
                <w:color w:val="000000"/>
                <w:sz w:val="18"/>
              </w:rPr>
            </w:pPr>
            <w:r>
              <w:rPr>
                <w:rFonts w:ascii="Verdana" w:hAnsi="Verdana"/>
                <w:b/>
                <w:noProof/>
                <w:color w:val="000000"/>
                <w:sz w:val="18"/>
              </w:rPr>
              <w:t>29,70 %</w:t>
            </w:r>
          </w:p>
        </w:tc>
        <w:tc>
          <w:tcPr>
            <w:tcW w:w="2787"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70BIPEIF2"/>
              <w:jc w:val="right"/>
              <w:rPr>
                <w:rFonts w:ascii="Verdana" w:eastAsia="Verdana" w:hAnsi="Verdana" w:cs="Verdana"/>
                <w:b/>
                <w:noProof/>
                <w:color w:val="000000"/>
                <w:sz w:val="18"/>
              </w:rPr>
            </w:pPr>
            <w:r>
              <w:rPr>
                <w:rFonts w:ascii="Verdana" w:hAnsi="Verdana"/>
                <w:b/>
                <w:noProof/>
                <w:color w:val="000000"/>
                <w:sz w:val="18"/>
              </w:rPr>
              <w:t>29,70 %</w:t>
            </w:r>
          </w:p>
        </w:tc>
      </w:tr>
      <w:tr w:rsidR="0043277E">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70BIPEIF2"/>
              <w:rPr>
                <w:rFonts w:ascii="Verdana" w:eastAsia="Verdana" w:hAnsi="Verdana" w:cs="Verdana"/>
                <w:i/>
                <w:noProof/>
                <w:color w:val="000000"/>
                <w:sz w:val="18"/>
              </w:rPr>
            </w:pPr>
            <w:r>
              <w:rPr>
                <w:rFonts w:ascii="Verdana" w:hAnsi="Verdana"/>
                <w:i/>
                <w:noProof/>
                <w:color w:val="000000"/>
                <w:sz w:val="18"/>
              </w:rPr>
              <w:t>Wartość bilansowa</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6570BIPEIF2"/>
              <w:jc w:val="right"/>
              <w:rPr>
                <w:rFonts w:ascii="Verdana" w:eastAsia="Verdana" w:hAnsi="Verdana" w:cs="Verdana"/>
                <w:i/>
                <w:noProof/>
                <w:color w:val="000000"/>
                <w:sz w:val="18"/>
              </w:rPr>
            </w:pPr>
            <w:r>
              <w:rPr>
                <w:rFonts w:ascii="Verdana" w:hAnsi="Verdana"/>
                <w:i/>
                <w:noProof/>
                <w:color w:val="000000"/>
                <w:sz w:val="18"/>
              </w:rPr>
              <w:t xml:space="preserve"> 591</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6570BIPEIF2"/>
              <w:jc w:val="right"/>
              <w:rPr>
                <w:rFonts w:ascii="Verdana" w:eastAsia="Verdana" w:hAnsi="Verdana" w:cs="Verdana"/>
                <w:i/>
                <w:noProof/>
                <w:color w:val="000000"/>
                <w:sz w:val="18"/>
              </w:rPr>
            </w:pPr>
            <w:r>
              <w:rPr>
                <w:rFonts w:ascii="Verdana" w:hAnsi="Verdana"/>
                <w:i/>
                <w:noProof/>
                <w:color w:val="000000"/>
                <w:sz w:val="18"/>
              </w:rPr>
              <w:t xml:space="preserve"> 591</w:t>
            </w:r>
          </w:p>
        </w:tc>
      </w:tr>
    </w:tbl>
    <w:p w:rsidR="0043277E" w:rsidRDefault="000F2348">
      <w:pPr>
        <w:pStyle w:val="DGTextstand-alone"/>
      </w:pPr>
      <w:r>
        <w:t xml:space="preserve">Na dzień 31 grudnia 2019 r. UE, reprezentowana przez </w:t>
      </w:r>
      <w:r>
        <w:t>Komisję, opłaciła 20 % subskrybowanych udziałów w kapitale EFI, przy czym kwota wkładu niewniesionego wobec braku wezwania była następująca: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70BIPEIF1"/>
              <w:rPr>
                <w:rFonts w:ascii="Arial" w:eastAsia="Arial" w:hAnsi="Arial" w:cs="Arial"/>
                <w:noProof/>
                <w:color w:val="000000"/>
                <w:sz w:val="16"/>
              </w:rPr>
            </w:pPr>
            <w:bookmarkStart w:id="50" w:name="DOC_TBL00012_1_1"/>
            <w:bookmarkEnd w:id="50"/>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70BIPEIF1"/>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1"/>
              <w:jc w:val="right"/>
              <w:rPr>
                <w:rFonts w:ascii="Arial" w:eastAsia="Arial" w:hAnsi="Arial" w:cs="Arial"/>
                <w:i/>
                <w:noProof/>
                <w:color w:val="000000"/>
                <w:sz w:val="16"/>
              </w:rPr>
            </w:pPr>
            <w:r>
              <w:rPr>
                <w:rFonts w:ascii="Arial" w:hAnsi="Arial"/>
                <w:i/>
                <w:noProof/>
                <w:color w:val="000000"/>
                <w:sz w:val="16"/>
              </w:rPr>
              <w:t>w mln EUR</w:t>
            </w:r>
          </w:p>
        </w:tc>
      </w:tr>
      <w:tr w:rsidR="0043277E">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rsidR="0043277E" w:rsidRDefault="0043277E">
            <w:pPr>
              <w:pStyle w:val="DMETW16570BIPEIF1"/>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EIF1"/>
              <w:jc w:val="right"/>
              <w:rPr>
                <w:rFonts w:ascii="Verdana" w:eastAsia="Verdana" w:hAnsi="Verdana" w:cs="Verdana"/>
                <w:noProof/>
                <w:color w:val="FFFFFF"/>
              </w:rPr>
            </w:pPr>
            <w:r>
              <w:rPr>
                <w:rFonts w:ascii="Verdana" w:hAnsi="Verdana"/>
                <w:noProof/>
                <w:color w:val="FFFFFF"/>
              </w:rPr>
              <w:t>Kapitał EFI ogółem</w:t>
            </w:r>
          </w:p>
        </w:tc>
        <w:tc>
          <w:tcPr>
            <w:tcW w:w="278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70BIPEIF1"/>
              <w:jc w:val="right"/>
              <w:rPr>
                <w:rFonts w:ascii="Verdana" w:eastAsia="Verdana" w:hAnsi="Verdana" w:cs="Verdana"/>
                <w:noProof/>
                <w:color w:val="FFFFFF"/>
              </w:rPr>
            </w:pPr>
            <w:r>
              <w:rPr>
                <w:rFonts w:ascii="Verdana" w:hAnsi="Verdana"/>
                <w:noProof/>
                <w:color w:val="FFFFFF"/>
              </w:rPr>
              <w:t>Subskrypcja UE</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EIF1"/>
              <w:rPr>
                <w:rFonts w:ascii="Verdana" w:eastAsia="Verdana" w:hAnsi="Verdana" w:cs="Verdana"/>
                <w:i/>
                <w:noProof/>
                <w:color w:val="000000"/>
                <w:sz w:val="18"/>
              </w:rPr>
            </w:pPr>
            <w:r>
              <w:rPr>
                <w:rFonts w:ascii="Verdana" w:hAnsi="Verdana"/>
                <w:i/>
                <w:noProof/>
                <w:color w:val="000000"/>
                <w:sz w:val="18"/>
              </w:rPr>
              <w:t>Kapitał podstawowy ogółem</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1"/>
              <w:jc w:val="right"/>
              <w:rPr>
                <w:rFonts w:ascii="Verdana" w:eastAsia="Verdana" w:hAnsi="Verdana" w:cs="Verdana"/>
                <w:i/>
                <w:noProof/>
                <w:color w:val="000000"/>
                <w:sz w:val="18"/>
              </w:rPr>
            </w:pPr>
            <w:r>
              <w:rPr>
                <w:rFonts w:ascii="Verdana" w:hAnsi="Verdana"/>
                <w:i/>
                <w:noProof/>
                <w:color w:val="000000"/>
                <w:sz w:val="18"/>
              </w:rPr>
              <w:t>4 500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1"/>
              <w:jc w:val="right"/>
              <w:rPr>
                <w:rFonts w:ascii="Verdana" w:eastAsia="Verdana" w:hAnsi="Verdana" w:cs="Verdana"/>
                <w:i/>
                <w:noProof/>
                <w:color w:val="000000"/>
                <w:sz w:val="18"/>
              </w:rPr>
            </w:pPr>
            <w:r>
              <w:rPr>
                <w:rFonts w:ascii="Verdana" w:hAnsi="Verdana"/>
                <w:i/>
                <w:noProof/>
                <w:color w:val="000000"/>
                <w:sz w:val="18"/>
              </w:rPr>
              <w:t>1 337</w:t>
            </w:r>
          </w:p>
        </w:tc>
      </w:tr>
      <w:tr w:rsidR="0043277E">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70BIPEIF1"/>
              <w:rPr>
                <w:rFonts w:ascii="Verdana" w:eastAsia="Verdana" w:hAnsi="Verdana" w:cs="Verdana"/>
                <w:i/>
                <w:noProof/>
                <w:color w:val="000000"/>
                <w:sz w:val="18"/>
              </w:rPr>
            </w:pPr>
            <w:r>
              <w:rPr>
                <w:rFonts w:ascii="Verdana" w:hAnsi="Verdana"/>
                <w:i/>
                <w:noProof/>
                <w:color w:val="000000"/>
                <w:sz w:val="18"/>
              </w:rPr>
              <w:t>Wpłacony</w:t>
            </w:r>
          </w:p>
        </w:tc>
        <w:tc>
          <w:tcPr>
            <w:tcW w:w="27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1"/>
              <w:jc w:val="right"/>
              <w:rPr>
                <w:rFonts w:ascii="Verdana" w:eastAsia="Verdana" w:hAnsi="Verdana" w:cs="Verdana"/>
                <w:i/>
                <w:noProof/>
                <w:color w:val="000000"/>
                <w:sz w:val="18"/>
              </w:rPr>
            </w:pPr>
            <w:r>
              <w:rPr>
                <w:rFonts w:ascii="Verdana" w:hAnsi="Verdana"/>
                <w:i/>
                <w:noProof/>
                <w:color w:val="000000"/>
                <w:sz w:val="18"/>
              </w:rPr>
              <w:t xml:space="preserve"> (900)</w:t>
            </w:r>
          </w:p>
        </w:tc>
        <w:tc>
          <w:tcPr>
            <w:tcW w:w="2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70BIPEIF1"/>
              <w:jc w:val="right"/>
              <w:rPr>
                <w:rFonts w:ascii="Verdana" w:eastAsia="Verdana" w:hAnsi="Verdana" w:cs="Verdana"/>
                <w:i/>
                <w:noProof/>
                <w:color w:val="000000"/>
                <w:sz w:val="18"/>
              </w:rPr>
            </w:pPr>
            <w:r>
              <w:rPr>
                <w:rFonts w:ascii="Verdana" w:hAnsi="Verdana"/>
                <w:i/>
                <w:noProof/>
                <w:color w:val="000000"/>
                <w:sz w:val="18"/>
              </w:rPr>
              <w:t xml:space="preserve"> (267)</w:t>
            </w:r>
          </w:p>
        </w:tc>
      </w:tr>
      <w:tr w:rsidR="0043277E">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70BIPEIF1"/>
              <w:rPr>
                <w:rFonts w:ascii="Verdana" w:eastAsia="Verdana" w:hAnsi="Verdana" w:cs="Verdana"/>
                <w:b/>
                <w:noProof/>
                <w:color w:val="000000"/>
                <w:sz w:val="18"/>
              </w:rPr>
            </w:pPr>
            <w:r>
              <w:rPr>
                <w:rFonts w:ascii="Verdana" w:hAnsi="Verdana"/>
                <w:b/>
                <w:noProof/>
                <w:color w:val="000000"/>
                <w:sz w:val="18"/>
              </w:rPr>
              <w:t>Niewniesiony wobec braku wezwania</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6570BIPEIF1"/>
              <w:jc w:val="right"/>
              <w:rPr>
                <w:rFonts w:ascii="Verdana" w:eastAsia="Verdana" w:hAnsi="Verdana" w:cs="Verdana"/>
                <w:b/>
                <w:noProof/>
                <w:color w:val="000000"/>
                <w:sz w:val="18"/>
              </w:rPr>
            </w:pPr>
            <w:r>
              <w:rPr>
                <w:rFonts w:ascii="Verdana" w:hAnsi="Verdana"/>
                <w:b/>
                <w:noProof/>
                <w:color w:val="000000"/>
                <w:sz w:val="18"/>
              </w:rPr>
              <w:t>3 600</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6570BIPEIF1"/>
              <w:jc w:val="right"/>
              <w:rPr>
                <w:rFonts w:ascii="Verdana" w:eastAsia="Verdana" w:hAnsi="Verdana" w:cs="Verdana"/>
                <w:b/>
                <w:noProof/>
                <w:color w:val="000000"/>
                <w:sz w:val="18"/>
              </w:rPr>
            </w:pPr>
            <w:r>
              <w:rPr>
                <w:rFonts w:ascii="Verdana" w:hAnsi="Verdana"/>
                <w:b/>
                <w:noProof/>
                <w:color w:val="000000"/>
                <w:sz w:val="18"/>
              </w:rPr>
              <w:t>1 070</w:t>
            </w:r>
          </w:p>
        </w:tc>
      </w:tr>
    </w:tbl>
    <w:p w:rsidR="0043277E" w:rsidRDefault="000F2348">
      <w:pPr>
        <w:pStyle w:val="DGTextstand-alone"/>
        <w:spacing w:before="0" w:after="0"/>
        <w:sectPr w:rsidR="0043277E">
          <w:headerReference w:type="even" r:id="rId143"/>
          <w:headerReference w:type="default" r:id="rId144"/>
          <w:footerReference w:type="even" r:id="rId145"/>
          <w:footerReference w:type="default" r:id="rId146"/>
          <w:headerReference w:type="first" r:id="rId147"/>
          <w:footerReference w:type="first" r:id="rId148"/>
          <w:pgSz w:w="11906" w:h="16838"/>
          <w:pgMar w:top="1134" w:right="1134" w:bottom="1134" w:left="1134" w:header="709" w:footer="709" w:gutter="0"/>
          <w:cols w:space="708"/>
          <w:docGrid w:linePitch="360"/>
        </w:sectPr>
      </w:pPr>
      <w:r>
        <w:t xml:space="preserve"> </w:t>
      </w:r>
      <w:bookmarkEnd w:id="44"/>
    </w:p>
    <w:p w:rsidR="0043277E" w:rsidRDefault="000F2348">
      <w:pPr>
        <w:pStyle w:val="HEADER2NOTES"/>
        <w:spacing w:before="0"/>
        <w:rPr>
          <w:noProof/>
        </w:rPr>
      </w:pPr>
      <w:bookmarkStart w:id="51" w:name="_DMBM_17157"/>
      <w:r>
        <w:rPr>
          <w:noProof/>
        </w:rPr>
        <w:lastRenderedPageBreak/>
        <w:t>AKTYWA FINANSOWE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4"/>
        <w:gridCol w:w="1554"/>
        <w:gridCol w:w="1555"/>
        <w:gridCol w:w="1555"/>
      </w:tblGrid>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FINA"/>
              <w:rPr>
                <w:rFonts w:ascii="Verdana" w:eastAsia="Verdana" w:hAnsi="Verdana" w:cs="Verdana"/>
                <w:i/>
                <w:noProof/>
                <w:color w:val="FFFFFF"/>
                <w:sz w:val="16"/>
              </w:rPr>
            </w:pPr>
            <w:bookmarkStart w:id="52" w:name="DOC_TBL00013_1_1"/>
            <w:bookmarkEnd w:id="52"/>
          </w:p>
        </w:tc>
        <w:tc>
          <w:tcPr>
            <w:tcW w:w="155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IN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09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FINA"/>
              <w:rPr>
                <w:rFonts w:ascii="Verdana" w:eastAsia="Verdana" w:hAnsi="Verdana" w:cs="Verdana"/>
                <w:noProof/>
                <w:color w:val="FFFFFF"/>
              </w:rPr>
            </w:pPr>
          </w:p>
        </w:tc>
        <w:tc>
          <w:tcPr>
            <w:tcW w:w="155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INA"/>
              <w:jc w:val="center"/>
              <w:rPr>
                <w:rFonts w:ascii="Verdana" w:eastAsia="Verdana" w:hAnsi="Verdana" w:cs="Verdana"/>
                <w:noProof/>
                <w:color w:val="FFFFFF"/>
              </w:rPr>
            </w:pPr>
            <w:r>
              <w:rPr>
                <w:rFonts w:ascii="Verdana" w:hAnsi="Verdana"/>
                <w:noProof/>
                <w:color w:val="FFFFFF"/>
              </w:rPr>
              <w:t>Informacja dodatkowa</w:t>
            </w:r>
          </w:p>
        </w:tc>
        <w:tc>
          <w:tcPr>
            <w:tcW w:w="155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INA"/>
              <w:jc w:val="right"/>
              <w:rPr>
                <w:rFonts w:ascii="Verdana" w:eastAsia="Verdana" w:hAnsi="Verdana" w:cs="Verdana"/>
                <w:noProof/>
                <w:color w:val="FFFFFF"/>
              </w:rPr>
            </w:pPr>
            <w:r>
              <w:rPr>
                <w:rFonts w:ascii="Verdana" w:hAnsi="Verdana"/>
                <w:noProof/>
                <w:color w:val="FFFFFF"/>
              </w:rPr>
              <w:t>31.12.2019</w:t>
            </w:r>
          </w:p>
        </w:tc>
        <w:tc>
          <w:tcPr>
            <w:tcW w:w="155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INA"/>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b/>
                <w:noProof/>
                <w:color w:val="000000"/>
                <w:sz w:val="18"/>
              </w:rPr>
            </w:pPr>
            <w:r>
              <w:rPr>
                <w:rFonts w:ascii="Verdana" w:hAnsi="Verdana"/>
                <w:b/>
                <w:noProof/>
                <w:color w:val="000000"/>
                <w:sz w:val="18"/>
              </w:rPr>
              <w:t>Trwałe</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FINA"/>
              <w:rPr>
                <w:rFonts w:ascii="Verdana" w:eastAsia="Verdana" w:hAnsi="Verdana" w:cs="Verdana"/>
                <w:b/>
                <w:noProof/>
                <w:color w:val="000000"/>
                <w:sz w:val="18"/>
                <w:lang w:bidi="en-GB"/>
              </w:rPr>
            </w:pP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i/>
                <w:noProof/>
                <w:color w:val="000000"/>
                <w:sz w:val="18"/>
              </w:rPr>
            </w:pPr>
            <w:r>
              <w:rPr>
                <w:rFonts w:ascii="Verdana" w:hAnsi="Verdana"/>
                <w:i/>
                <w:noProof/>
                <w:color w:val="000000"/>
                <w:sz w:val="18"/>
              </w:rPr>
              <w:t>Aktywa</w:t>
            </w:r>
            <w:r>
              <w:rPr>
                <w:rFonts w:ascii="Verdana" w:hAnsi="Verdana"/>
                <w:i/>
                <w:noProof/>
                <w:color w:val="000000"/>
                <w:sz w:val="18"/>
              </w:rPr>
              <w:t xml:space="preserve"> finansowe dostępne do sprzedaży</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15 211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13 657</w:t>
            </w: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i/>
                <w:noProof/>
                <w:color w:val="000000"/>
                <w:sz w:val="18"/>
              </w:rPr>
            </w:pPr>
            <w:r>
              <w:rPr>
                <w:rFonts w:ascii="Verdana" w:hAnsi="Verdana"/>
                <w:i/>
                <w:noProof/>
                <w:color w:val="000000"/>
                <w:sz w:val="18"/>
              </w:rPr>
              <w:t>Aktywa finansowe wyceniane według wartości godziwej przez nadwyżkę lub deficyt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134</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14</w:t>
            </w: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i/>
                <w:noProof/>
                <w:color w:val="000000"/>
                <w:sz w:val="18"/>
              </w:rPr>
            </w:pPr>
            <w:r>
              <w:rPr>
                <w:rFonts w:ascii="Verdana" w:hAnsi="Verdana"/>
                <w:i/>
                <w:noProof/>
                <w:color w:val="000000"/>
                <w:sz w:val="18"/>
              </w:rPr>
              <w:t>Pożyczki</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51 368</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51 560</w:t>
            </w:r>
          </w:p>
        </w:tc>
      </w:tr>
      <w:tr w:rsidR="0043277E">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0BIPFINA"/>
              <w:jc w:val="right"/>
              <w:rPr>
                <w:rFonts w:ascii="Verdana" w:eastAsia="Verdana" w:hAnsi="Verdana" w:cs="Verdana"/>
                <w:b/>
                <w:noProof/>
                <w:color w:val="000000"/>
                <w:sz w:val="18"/>
              </w:rPr>
            </w:pPr>
            <w:r>
              <w:rPr>
                <w:rFonts w:ascii="Verdana" w:hAnsi="Verdana"/>
                <w:b/>
                <w:noProof/>
                <w:color w:val="000000"/>
                <w:sz w:val="18"/>
              </w:rPr>
              <w:t>66 714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0BIPFINA"/>
              <w:jc w:val="right"/>
              <w:rPr>
                <w:rFonts w:ascii="Verdana" w:eastAsia="Verdana" w:hAnsi="Verdana" w:cs="Verdana"/>
                <w:b/>
                <w:noProof/>
                <w:color w:val="000000"/>
                <w:sz w:val="18"/>
              </w:rPr>
            </w:pPr>
            <w:r>
              <w:rPr>
                <w:rFonts w:ascii="Verdana" w:hAnsi="Verdana"/>
                <w:b/>
                <w:noProof/>
                <w:color w:val="000000"/>
                <w:sz w:val="18"/>
              </w:rPr>
              <w:t>65 231</w:t>
            </w: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b/>
                <w:noProof/>
                <w:color w:val="000000"/>
                <w:sz w:val="18"/>
              </w:rPr>
            </w:pPr>
            <w:r>
              <w:rPr>
                <w:rFonts w:ascii="Verdana" w:hAnsi="Verdana"/>
                <w:b/>
                <w:noProof/>
                <w:color w:val="000000"/>
                <w:sz w:val="18"/>
              </w:rPr>
              <w:t>Obrotowe</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FINA"/>
              <w:rPr>
                <w:rFonts w:ascii="Verdana" w:eastAsia="Verdana" w:hAnsi="Verdana" w:cs="Verdana"/>
                <w:b/>
                <w:noProof/>
                <w:color w:val="000000"/>
                <w:sz w:val="18"/>
                <w:lang w:bidi="en-GB"/>
              </w:rPr>
            </w:pP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i/>
                <w:noProof/>
                <w:color w:val="000000"/>
                <w:sz w:val="18"/>
              </w:rPr>
            </w:pPr>
            <w:r>
              <w:rPr>
                <w:rFonts w:ascii="Verdana" w:hAnsi="Verdana"/>
                <w:i/>
                <w:noProof/>
                <w:color w:val="000000"/>
                <w:sz w:val="18"/>
              </w:rPr>
              <w:t>Aktywa finansowe dostępne do sprzedaży</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 xml:space="preserve">3 </w:t>
            </w:r>
            <w:r>
              <w:rPr>
                <w:rFonts w:ascii="Verdana" w:hAnsi="Verdana"/>
                <w:i/>
                <w:noProof/>
                <w:color w:val="000000"/>
                <w:sz w:val="18"/>
              </w:rPr>
              <w:t>196</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1 786</w:t>
            </w: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i/>
                <w:noProof/>
                <w:color w:val="000000"/>
                <w:sz w:val="18"/>
              </w:rPr>
            </w:pPr>
            <w:r>
              <w:rPr>
                <w:rFonts w:ascii="Verdana" w:hAnsi="Verdana"/>
                <w:i/>
                <w:noProof/>
                <w:color w:val="000000"/>
                <w:sz w:val="18"/>
              </w:rPr>
              <w:t>Aktywa finansowe wyceniane według wartości godziwej przez nadwyżkę lub deficyt</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2</w:t>
            </w:r>
          </w:p>
        </w:tc>
      </w:tr>
      <w:tr w:rsidR="0043277E">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i/>
                <w:noProof/>
                <w:color w:val="000000"/>
                <w:sz w:val="18"/>
              </w:rPr>
            </w:pPr>
            <w:r>
              <w:rPr>
                <w:rFonts w:ascii="Verdana" w:hAnsi="Verdana"/>
                <w:i/>
                <w:noProof/>
                <w:color w:val="000000"/>
                <w:sz w:val="18"/>
              </w:rPr>
              <w:t>Pożyczki</w:t>
            </w:r>
          </w:p>
        </w:tc>
        <w:tc>
          <w:tcPr>
            <w:tcW w:w="155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1 316</w:t>
            </w:r>
          </w:p>
        </w:tc>
        <w:tc>
          <w:tcPr>
            <w:tcW w:w="15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i/>
                <w:noProof/>
                <w:color w:val="000000"/>
                <w:sz w:val="18"/>
              </w:rPr>
            </w:pPr>
            <w:r>
              <w:rPr>
                <w:rFonts w:ascii="Verdana" w:hAnsi="Verdana"/>
                <w:i/>
                <w:noProof/>
                <w:color w:val="000000"/>
                <w:sz w:val="18"/>
              </w:rPr>
              <w:t>2 380</w:t>
            </w:r>
          </w:p>
        </w:tc>
      </w:tr>
      <w:tr w:rsidR="0043277E">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0BIPFINA"/>
              <w:jc w:val="right"/>
              <w:rPr>
                <w:rFonts w:ascii="Verdana" w:eastAsia="Verdana" w:hAnsi="Verdana" w:cs="Verdana"/>
                <w:b/>
                <w:noProof/>
                <w:color w:val="000000"/>
                <w:sz w:val="18"/>
              </w:rPr>
            </w:pPr>
            <w:r>
              <w:rPr>
                <w:rFonts w:ascii="Verdana" w:hAnsi="Verdana"/>
                <w:b/>
                <w:noProof/>
                <w:color w:val="000000"/>
                <w:sz w:val="18"/>
              </w:rPr>
              <w:t>4 514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0BIPFINA"/>
              <w:jc w:val="right"/>
              <w:rPr>
                <w:rFonts w:ascii="Verdana" w:eastAsia="Verdana" w:hAnsi="Verdana" w:cs="Verdana"/>
                <w:b/>
                <w:noProof/>
                <w:color w:val="000000"/>
                <w:sz w:val="18"/>
              </w:rPr>
            </w:pPr>
            <w:r>
              <w:rPr>
                <w:rFonts w:ascii="Verdana" w:hAnsi="Verdana"/>
                <w:b/>
                <w:noProof/>
                <w:color w:val="000000"/>
                <w:sz w:val="18"/>
              </w:rPr>
              <w:t>4 168</w:t>
            </w:r>
          </w:p>
        </w:tc>
      </w:tr>
      <w:tr w:rsidR="0043277E">
        <w:trPr>
          <w:trHeight w:val="255"/>
        </w:trPr>
        <w:tc>
          <w:tcPr>
            <w:tcW w:w="5094"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FINA"/>
              <w:rPr>
                <w:rFonts w:ascii="Verdana" w:eastAsia="Verdana" w:hAnsi="Verdana" w:cs="Verdana"/>
                <w:b/>
                <w:noProof/>
                <w:color w:val="000000"/>
                <w:sz w:val="18"/>
              </w:rPr>
            </w:pPr>
            <w:r>
              <w:rPr>
                <w:rFonts w:ascii="Verdana" w:hAnsi="Verdana"/>
                <w:b/>
                <w:noProof/>
                <w:color w:val="000000"/>
                <w:sz w:val="18"/>
              </w:rPr>
              <w:t>Ogółem</w:t>
            </w:r>
          </w:p>
        </w:tc>
        <w:tc>
          <w:tcPr>
            <w:tcW w:w="1554"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0BIPFINA"/>
              <w:jc w:val="center"/>
              <w:rPr>
                <w:rFonts w:ascii="Verdana" w:eastAsia="Verdana" w:hAnsi="Verdana" w:cs="Verdana"/>
                <w:i/>
                <w:noProof/>
                <w:color w:val="000000"/>
                <w:sz w:val="18"/>
              </w:rPr>
            </w:pP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b/>
                <w:noProof/>
                <w:color w:val="000000"/>
                <w:sz w:val="18"/>
              </w:rPr>
            </w:pPr>
            <w:r>
              <w:rPr>
                <w:rFonts w:ascii="Verdana" w:hAnsi="Verdana"/>
                <w:b/>
                <w:noProof/>
                <w:color w:val="000000"/>
                <w:sz w:val="18"/>
              </w:rPr>
              <w:t>71 228</w:t>
            </w: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FINA"/>
              <w:jc w:val="right"/>
              <w:rPr>
                <w:rFonts w:ascii="Verdana" w:eastAsia="Verdana" w:hAnsi="Verdana" w:cs="Verdana"/>
                <w:b/>
                <w:noProof/>
                <w:color w:val="000000"/>
                <w:sz w:val="18"/>
              </w:rPr>
            </w:pPr>
            <w:r>
              <w:rPr>
                <w:rFonts w:ascii="Verdana" w:hAnsi="Verdana"/>
                <w:b/>
                <w:noProof/>
                <w:color w:val="000000"/>
                <w:sz w:val="18"/>
              </w:rPr>
              <w:t>69 398</w:t>
            </w:r>
          </w:p>
        </w:tc>
      </w:tr>
    </w:tbl>
    <w:p w:rsidR="0043277E" w:rsidRDefault="000F2348">
      <w:pPr>
        <w:pStyle w:val="HEADER3NOTES"/>
        <w:rPr>
          <w:noProof/>
        </w:rPr>
      </w:pPr>
      <w:r>
        <w:rPr>
          <w:noProof/>
        </w:rPr>
        <w:t>Aktywa finansowe dostępne do sprzedaży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0BIPAFS"/>
              <w:rPr>
                <w:rFonts w:ascii="Verdana" w:eastAsia="Verdana" w:hAnsi="Verdana" w:cs="Verdana"/>
                <w:i/>
                <w:noProof/>
                <w:color w:val="FFFFFF"/>
                <w:sz w:val="16"/>
              </w:rPr>
            </w:pPr>
            <w:bookmarkStart w:id="53" w:name="DOC_TBL00014_1_1"/>
            <w:bookmarkEnd w:id="53"/>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AFS"/>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hRule="exac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AFS"/>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AFS"/>
              <w:jc w:val="right"/>
              <w:rPr>
                <w:rFonts w:ascii="Verdana" w:eastAsia="Verdana" w:hAnsi="Verdana" w:cs="Verdana"/>
                <w:noProof/>
                <w:color w:val="FFFFFF"/>
              </w:rPr>
            </w:pPr>
            <w:r>
              <w:rPr>
                <w:rFonts w:ascii="Verdana" w:hAnsi="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AFS"/>
              <w:jc w:val="right"/>
              <w:rPr>
                <w:rFonts w:ascii="Verdana" w:eastAsia="Verdana" w:hAnsi="Verdana" w:cs="Verdana"/>
                <w:noProof/>
                <w:color w:val="FFFFFF"/>
              </w:rPr>
            </w:pPr>
            <w:r>
              <w:rPr>
                <w:rFonts w:ascii="Verdana" w:hAnsi="Verdana"/>
                <w:noProof/>
                <w:color w:val="FFFFFF"/>
              </w:rPr>
              <w:t>31.12.2018</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 xml:space="preserve">Inwestycje </w:t>
            </w:r>
            <w:r>
              <w:rPr>
                <w:rFonts w:ascii="Verdana" w:hAnsi="Verdana"/>
                <w:i/>
                <w:noProof/>
                <w:color w:val="000000"/>
                <w:sz w:val="18"/>
              </w:rPr>
              <w:t>BUFI</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1 863</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1 888</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EWWiS w likwidacji</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1 459</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1 506</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Europejski Bank Odbudowy i Rozwoju</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188</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188</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Program emerytalny personelu miejscowego ESDZ</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75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3 585</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3 582</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16794"/>
                <w:sz w:val="18"/>
              </w:rPr>
            </w:pPr>
            <w:r>
              <w:rPr>
                <w:rFonts w:ascii="Verdana" w:hAnsi="Verdana"/>
                <w:i/>
                <w:noProof/>
                <w:color w:val="016794"/>
                <w:sz w:val="18"/>
              </w:rPr>
              <w:t>Fundusze gwarancyjne na potrzeby gwarancji budżetowych:</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AFS"/>
              <w:jc w:val="right"/>
              <w:rPr>
                <w:rFonts w:ascii="Verdana" w:eastAsia="Verdana" w:hAnsi="Verdana" w:cs="Verdana"/>
                <w:i/>
                <w:noProof/>
                <w:color w:val="000000"/>
                <w:sz w:val="18"/>
                <w:lang w:bidi="en-GB"/>
              </w:rPr>
            </w:pP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Fundusz Gwarancyjny EFIS</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6 654</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5 </w:t>
            </w:r>
            <w:r>
              <w:rPr>
                <w:rFonts w:ascii="Verdana" w:hAnsi="Verdana"/>
                <w:i/>
                <w:noProof/>
                <w:color w:val="000000"/>
                <w:sz w:val="18"/>
              </w:rPr>
              <w:t>000</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Fundusz Gwarancyjny dla działań zewnętrznych</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2 545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2 465</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Fundusz gwarancyjny EFZR</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595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9</w:t>
            </w:r>
          </w:p>
        </w:tc>
      </w:tr>
      <w:tr w:rsidR="0043277E">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9 794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7 474</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16794"/>
                <w:sz w:val="18"/>
              </w:rPr>
            </w:pPr>
            <w:r>
              <w:rPr>
                <w:rFonts w:ascii="Verdana" w:hAnsi="Verdana"/>
                <w:i/>
                <w:noProof/>
                <w:color w:val="016794"/>
                <w:sz w:val="18"/>
              </w:rPr>
              <w:t>instrumenty finansowe finansowane z budżetu UE: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AFS"/>
              <w:jc w:val="right"/>
              <w:rPr>
                <w:rFonts w:ascii="Verdana" w:eastAsia="Verdana" w:hAnsi="Verdana" w:cs="Verdana"/>
                <w:i/>
                <w:noProof/>
                <w:color w:val="000000"/>
                <w:sz w:val="18"/>
                <w:lang w:bidi="en-GB"/>
              </w:rPr>
            </w:pP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„Horyzont 2020”</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2 455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2 031</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Instrument „Łącząc Europę”</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699</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540</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 xml:space="preserve">Program finansowania </w:t>
            </w:r>
            <w:r>
              <w:rPr>
                <w:rFonts w:ascii="Verdana" w:hAnsi="Verdana"/>
                <w:i/>
                <w:noProof/>
                <w:color w:val="000000"/>
                <w:sz w:val="18"/>
              </w:rPr>
              <w:t>zgodnie z systemem podziału ryzyka</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597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679</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Unijne instrumenty kapitałowe na rzecz MŚP</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507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464</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Europejski Fundusz na rzecz Europy Południowo-Wschodniej</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166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115</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Operacje w oparciu o kapitał podwyższonego ryzyka</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112</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113</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 xml:space="preserve">Program finansowania </w:t>
            </w:r>
            <w:r>
              <w:rPr>
                <w:rFonts w:ascii="Verdana" w:hAnsi="Verdana"/>
                <w:i/>
                <w:noProof/>
                <w:color w:val="000000"/>
                <w:sz w:val="18"/>
              </w:rPr>
              <w:t>efektywności energetycznej</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105</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101</w:t>
            </w:r>
          </w:p>
        </w:tc>
      </w:tr>
      <w:tr w:rsidR="0043277E">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00000"/>
                <w:sz w:val="18"/>
              </w:rPr>
            </w:pPr>
            <w:r>
              <w:rPr>
                <w:rFonts w:ascii="Verdana" w:hAnsi="Verdana"/>
                <w:i/>
                <w:noProof/>
                <w:color w:val="000000"/>
                <w:sz w:val="18"/>
              </w:rPr>
              <w:t>Inne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387</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00000"/>
                <w:sz w:val="18"/>
              </w:rPr>
            </w:pPr>
            <w:r>
              <w:rPr>
                <w:rFonts w:ascii="Verdana" w:hAnsi="Verdana"/>
                <w:i/>
                <w:noProof/>
                <w:color w:val="000000"/>
                <w:sz w:val="18"/>
              </w:rPr>
              <w:t xml:space="preserve"> 343</w:t>
            </w:r>
          </w:p>
        </w:tc>
      </w:tr>
      <w:tr w:rsidR="0043277E">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5 028</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4 386</w:t>
            </w:r>
          </w:p>
        </w:tc>
      </w:tr>
      <w:tr w:rsidR="0043277E">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b/>
                <w:noProof/>
                <w:color w:val="000000"/>
                <w:sz w:val="18"/>
              </w:rPr>
            </w:pPr>
            <w:r>
              <w:rPr>
                <w:rFonts w:ascii="Verdana" w:hAnsi="Verdana"/>
                <w:b/>
                <w:noProof/>
                <w:color w:val="000000"/>
                <w:sz w:val="18"/>
              </w:rPr>
              <w:t>Ogółem</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18 407</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b/>
                <w:noProof/>
                <w:color w:val="000000"/>
                <w:sz w:val="18"/>
              </w:rPr>
            </w:pPr>
            <w:r>
              <w:rPr>
                <w:rFonts w:ascii="Verdana" w:hAnsi="Verdana"/>
                <w:b/>
                <w:noProof/>
                <w:color w:val="000000"/>
                <w:sz w:val="18"/>
              </w:rPr>
              <w:t>15 443</w:t>
            </w:r>
          </w:p>
        </w:tc>
      </w:tr>
      <w:tr w:rsidR="0043277E">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16794"/>
                <w:sz w:val="18"/>
              </w:rPr>
            </w:pPr>
            <w:r>
              <w:rPr>
                <w:rFonts w:ascii="Verdana" w:hAnsi="Verdana"/>
                <w:i/>
                <w:noProof/>
                <w:color w:val="016794"/>
                <w:sz w:val="18"/>
              </w:rPr>
              <w:t>Trwałe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16794"/>
                <w:sz w:val="18"/>
              </w:rPr>
            </w:pPr>
            <w:r>
              <w:rPr>
                <w:rFonts w:ascii="Verdana" w:hAnsi="Verdana"/>
                <w:i/>
                <w:noProof/>
                <w:color w:val="016794"/>
                <w:sz w:val="18"/>
              </w:rPr>
              <w:t>15 211</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16794"/>
                <w:sz w:val="18"/>
              </w:rPr>
            </w:pPr>
            <w:r>
              <w:rPr>
                <w:rFonts w:ascii="Verdana" w:hAnsi="Verdana"/>
                <w:i/>
                <w:noProof/>
                <w:color w:val="016794"/>
                <w:sz w:val="18"/>
              </w:rPr>
              <w:t>13 657</w:t>
            </w:r>
          </w:p>
        </w:tc>
      </w:tr>
      <w:tr w:rsidR="0043277E">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AFS"/>
              <w:rPr>
                <w:rFonts w:ascii="Verdana" w:eastAsia="Verdana" w:hAnsi="Verdana" w:cs="Verdana"/>
                <w:i/>
                <w:noProof/>
                <w:color w:val="016794"/>
                <w:sz w:val="18"/>
              </w:rPr>
            </w:pPr>
            <w:r>
              <w:rPr>
                <w:rFonts w:ascii="Verdana" w:hAnsi="Verdana"/>
                <w:i/>
                <w:noProof/>
                <w:color w:val="016794"/>
                <w:sz w:val="18"/>
              </w:rPr>
              <w:t>Obrotowe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16794"/>
                <w:sz w:val="18"/>
              </w:rPr>
            </w:pPr>
            <w:r>
              <w:rPr>
                <w:rFonts w:ascii="Verdana" w:hAnsi="Verdana"/>
                <w:i/>
                <w:noProof/>
                <w:color w:val="016794"/>
                <w:sz w:val="18"/>
              </w:rPr>
              <w:t>3 196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AFS"/>
              <w:jc w:val="right"/>
              <w:rPr>
                <w:rFonts w:ascii="Verdana" w:eastAsia="Verdana" w:hAnsi="Verdana" w:cs="Verdana"/>
                <w:i/>
                <w:noProof/>
                <w:color w:val="016794"/>
                <w:sz w:val="18"/>
              </w:rPr>
            </w:pPr>
            <w:r>
              <w:rPr>
                <w:rFonts w:ascii="Verdana" w:hAnsi="Verdana"/>
                <w:i/>
                <w:noProof/>
                <w:color w:val="016794"/>
                <w:sz w:val="18"/>
              </w:rPr>
              <w:t>1 786</w:t>
            </w:r>
          </w:p>
        </w:tc>
      </w:tr>
    </w:tbl>
    <w:p w:rsidR="0043277E" w:rsidRDefault="000F2348">
      <w:pPr>
        <w:pStyle w:val="DGTextstand-alone"/>
        <w:spacing w:after="0"/>
      </w:pPr>
      <w:r>
        <w:t xml:space="preserve">Wśród posiadanych przez UE aktywów finansowych dostępnych do sprzedaży na łączną kwotę 18 407 mln EUR znajdują się dłużne </w:t>
      </w:r>
      <w:r>
        <w:t>papiery wartościowe (np. skrypty dłużne) o wartości 14 998 mln EUR (w 2018 r.: 13 993 mln EUR), instrumenty kapitałowe na kwotę 2 801 mln EUR (w 2018 r.: 1 365 mln EUR) i inwestycje w fundusze rynku pieniężnego (takie jak jednolity fundusz EBI) w kwocie 60</w:t>
      </w:r>
      <w:r>
        <w:t>8 mln EUR (w 2018 r.: 85 mln EUR).</w:t>
      </w:r>
    </w:p>
    <w:p w:rsidR="0043277E" w:rsidRDefault="000F2348">
      <w:pPr>
        <w:pStyle w:val="HEADER5"/>
        <w:spacing w:before="240" w:after="240"/>
        <w:rPr>
          <w:noProof/>
        </w:rPr>
      </w:pPr>
      <w:r>
        <w:rPr>
          <w:noProof/>
        </w:rPr>
        <w:t>Inwestycje BUFI</w:t>
      </w:r>
    </w:p>
    <w:p w:rsidR="0043277E" w:rsidRDefault="000F2348">
      <w:pPr>
        <w:pStyle w:val="DGTextstand-alone"/>
        <w:spacing w:before="120" w:after="0"/>
      </w:pPr>
      <w:r>
        <w:lastRenderedPageBreak/>
        <w:t>Tymczasowo zainkasowane grzywny związane ze sprawami z zakresu konkurencji Komisja przydziela do specjalnego funduszu (BUFI – fundusz „grzywien budżetowych”) i inwestuje w instrumenty dłużne zaklasyfikowan</w:t>
      </w:r>
      <w:r>
        <w:t>e jako aktywa finansowe dostępne do sprzedaży.</w:t>
      </w:r>
    </w:p>
    <w:p w:rsidR="0043277E" w:rsidRDefault="000F2348">
      <w:pPr>
        <w:rPr>
          <w:rFonts w:ascii="Verdana" w:hAnsi="Verdana"/>
          <w:noProof/>
          <w:color w:val="016794"/>
          <w:sz w:val="18"/>
          <w:szCs w:val="18"/>
        </w:rPr>
      </w:pPr>
      <w:r>
        <w:rPr>
          <w:noProof/>
        </w:rPr>
        <w:br w:type="page"/>
      </w:r>
    </w:p>
    <w:p w:rsidR="0043277E" w:rsidRDefault="000F2348">
      <w:pPr>
        <w:pStyle w:val="HEADER5"/>
        <w:spacing w:before="240" w:after="240"/>
        <w:rPr>
          <w:noProof/>
        </w:rPr>
      </w:pPr>
      <w:r>
        <w:rPr>
          <w:noProof/>
        </w:rPr>
        <w:lastRenderedPageBreak/>
        <w:t>EWWiS w likwidacji</w:t>
      </w:r>
    </w:p>
    <w:p w:rsidR="0043277E" w:rsidRDefault="000F2348">
      <w:pPr>
        <w:pStyle w:val="Textstand-alone"/>
      </w:pPr>
      <w:r>
        <w:t>Jeżeli chodzi o kwoty dotyczące Europejskiej Wspólnoty Węgla i Stali (EWWiS) w likwidacji, wszystkie aktywa finansowe dostępne do sprzedaży stanowią dłużne papiery wartościowe denominowane</w:t>
      </w:r>
      <w:r>
        <w:t xml:space="preserve"> w euro i notowane na aktywnym rynku.</w:t>
      </w:r>
    </w:p>
    <w:p w:rsidR="0043277E" w:rsidRDefault="000F2348">
      <w:pPr>
        <w:pStyle w:val="HEADER5"/>
        <w:spacing w:before="240" w:after="240"/>
        <w:rPr>
          <w:noProof/>
        </w:rPr>
      </w:pPr>
      <w:r>
        <w:rPr>
          <w:noProof/>
        </w:rPr>
        <w:t>Europejski Bank Odbudowy i Rozwoju</w:t>
      </w:r>
    </w:p>
    <w:p w:rsidR="0043277E" w:rsidRDefault="000F2348">
      <w:pPr>
        <w:pStyle w:val="Textstand-alone"/>
        <w:spacing w:after="0"/>
      </w:pPr>
      <w:r>
        <w:t xml:space="preserve">UE posiada udziały w formie inwestycji finansowej w kapitale Europejskiego Banku Odbudowy i Rozwoju (EBOR), w którym liczba posiadanych udziałów na dzień 31 grudnia 2019 r. wynosiła </w:t>
      </w:r>
      <w:r>
        <w:t>90 044 (w 2018 r.:90 044 udziały), co stanowi 3 % łącznego subskrybowanego kapitału podstawowego. UE subskrybowała udziały na łączną kwotę 900 mln EUR w kapitale podstawowym, z czego obecnie wkład niewniesiony wobec braku wezwania wynosi 713 mln EUR. Zgodn</w:t>
      </w:r>
      <w:r>
        <w:t>ie z porozumieniem ustanawiającym EBOR udziałowcy mają pewne ograniczenia umowne, takie jak fakt, że udziały nie są zbywalne, a ich wykup jest ograniczony do maksymalnej wysokości pierwotnej ceny nabycia.</w:t>
      </w:r>
    </w:p>
    <w:p w:rsidR="0043277E" w:rsidRDefault="000F2348">
      <w:pPr>
        <w:pStyle w:val="Textstand-alone"/>
        <w:spacing w:after="0"/>
      </w:pPr>
      <w:r>
        <w:t>UE wycenia inwestycje w EBOR według wartości godziw</w:t>
      </w:r>
      <w:r>
        <w:t xml:space="preserve">ej. Pierwotną cenę nabycia uważa się za najlepszy szacunek wartości godziwej, w szczególności ze względu na ograniczenia umowne, o których mowa powyżej. Mimo że udziały EBOR nie są notowane na żadnym rynku giełdowym, w kapitale własnym jednostki, w której </w:t>
      </w:r>
      <w:r>
        <w:t>dokonano inwestycji, ostatnio miały miejsce transakcje (emisja kapitału według wartości nominalnej), co wskazuje, że w takiej sytuacji koszt stanowi najlepszy szacunek wartości godziwej.</w:t>
      </w:r>
    </w:p>
    <w:p w:rsidR="0043277E" w:rsidRDefault="000F2348">
      <w:pPr>
        <w:pStyle w:val="HEADER5"/>
        <w:spacing w:before="240" w:after="240"/>
        <w:rPr>
          <w:noProof/>
        </w:rPr>
      </w:pPr>
      <w:r>
        <w:rPr>
          <w:noProof/>
        </w:rPr>
        <w:t>FUNDUSZE GWARANCYJNE NA POTRZEBY GWARANCJI BUDŻETOWYCH</w:t>
      </w:r>
    </w:p>
    <w:p w:rsidR="0043277E" w:rsidRDefault="000F2348">
      <w:pPr>
        <w:pStyle w:val="HEADER5"/>
        <w:spacing w:before="240" w:after="240"/>
        <w:rPr>
          <w:noProof/>
        </w:rPr>
      </w:pPr>
      <w:r>
        <w:rPr>
          <w:noProof/>
        </w:rPr>
        <w:t>Fundusz Gwaran</w:t>
      </w:r>
      <w:r>
        <w:rPr>
          <w:noProof/>
        </w:rPr>
        <w:t>cyjny EFIS</w:t>
      </w:r>
    </w:p>
    <w:p w:rsidR="0043277E" w:rsidRDefault="000F2348">
      <w:pPr>
        <w:pStyle w:val="DGTextstand-alone"/>
        <w:spacing w:before="120"/>
      </w:pPr>
      <w:r>
        <w:t>Zgodnie z rozporządzeniem w sprawie EFIS (rozporządzenie (UE) 2015/2017) Fundusz Gwarancyjny EFIS utworzono w celu zapewnienia bufora płynnościowego w odniesieniu do ewentualnych strat poniesionych przez EBI w związku z finansowaniem i operacjam</w:t>
      </w:r>
      <w:r>
        <w:t xml:space="preserve">i inwestycyjnymi, które kwalifikują się do objęcia unijną gwarancją EFIS na mocy umowy w sprawie EFIS – zob. informacja dodatkowa </w:t>
      </w:r>
      <w:r>
        <w:rPr>
          <w:b/>
        </w:rPr>
        <w:t>4.1.1</w:t>
      </w:r>
      <w:r>
        <w:t>. Fundusz Gwarancyjny EFIS jest finansowany z wkładów z budżetu UE. Środki funduszu pochodzą również ze zwrotów z zainwes</w:t>
      </w:r>
      <w:r>
        <w:t>towanych środków funduszu gwarancyjnego, przychodów UE uzyskanych jako wynagrodzenie za gwarancję zapewnioną w ramach umowy w sprawie EFIS oraz z kwot odzyskanych przez EBI od zalegających ze spłatami dłużników w związku z uruchomionymi wcześniej gwarancja</w:t>
      </w:r>
      <w:r>
        <w:t xml:space="preserve">mi. Na koniec 2019 r. aktywa EFIS wyniosły 6 688 mln EUR (w 2018 r.: 5 452 mln EUR), z czego 6 654 mln EUR została zainwestowana w aktywa finansowe dostępne do sprzedaży (w 2018 r.: 5 000 mln EUR), natomiast pozostała kwota 1 879 mln EUR (w 2018 r.: 2 688 </w:t>
      </w:r>
      <w:r>
        <w:t xml:space="preserve">mln EUR) została już zaangażowana, a nie została jeszcze wypłacona do funduszu i ujęto ją w zobowiązaniach budżetowych pozostających do spłaty (RAL), a także ujawniono ją jako nieujęte jako koszty zobowiązania pozostające do spłaty w informacji dodatkowej </w:t>
      </w:r>
      <w:r>
        <w:rPr>
          <w:b/>
        </w:rPr>
        <w:t>5.1</w:t>
      </w:r>
      <w:r>
        <w:t>. Fundusz będzie stopniowo zasilany, aż osiągnie kwotę 9,1 mld EUR, tj. 35 % łącznych zobowiązań z tytułu unijnej gwarancji EFIS.</w:t>
      </w:r>
    </w:p>
    <w:p w:rsidR="0043277E" w:rsidRDefault="000F2348">
      <w:pPr>
        <w:pStyle w:val="HEADER5"/>
        <w:spacing w:before="240" w:after="240"/>
        <w:rPr>
          <w:noProof/>
        </w:rPr>
      </w:pPr>
      <w:r>
        <w:rPr>
          <w:noProof/>
        </w:rPr>
        <w:t>Fundusz Gwarancyjny dla działań zewnętrznych</w:t>
      </w:r>
    </w:p>
    <w:p w:rsidR="0043277E" w:rsidRDefault="000F2348">
      <w:pPr>
        <w:pStyle w:val="DGTextstand-alone"/>
        <w:spacing w:before="120"/>
      </w:pPr>
      <w:r>
        <w:t>Fundusz Gwarancyjny dla działań zewnętrznych ma zastosowanie do pożyczek gwara</w:t>
      </w:r>
      <w:r>
        <w:t>ntowanych przez budżet UE, w szczególności pożyczek udzielanych przez EBI poza UE, finansowanych z zasobów własnych EBI, oraz pożyczek udzielanych w ramach pomocy makrofinansowej (MFA), jak również pożyczek Euratomu udzielanych poza UE – zob. informacja do</w:t>
      </w:r>
      <w:r>
        <w:t xml:space="preserve">datkowa </w:t>
      </w:r>
      <w:r>
        <w:rPr>
          <w:b/>
        </w:rPr>
        <w:t>4.1.1</w:t>
      </w:r>
      <w:r>
        <w:t>. Funduszem zarządza EBI – jego celem jest zapewnienie środków na pokrycie wszelkich niespłaconych pożyczek objętych gwarancją UE. Środki funduszu pochodzą z wpłat z budżetu UE, wpływów z odsetek od zainwestowanych środków funduszu oraz kwot o</w:t>
      </w:r>
      <w:r>
        <w:t>dzyskanych od zalegających ze spłatami dłużników, w odniesieniu do których fundusz musiał już uruchomić gwarancję. Wartość Funduszu Gwarancyjnego dla działań zewnętrznych powinna być utrzymana na docelowym poziomie odpowiadającym 9 % objętych gwarancją poż</w:t>
      </w:r>
      <w:r>
        <w:t>yczek niespłaconych na koniec roku. Różnicę między kwotą docelową a wartością aktywów funduszu na koniec roku pokrywa się z budżetu UE w roku N+2, zaś nadwyżkę zwraca się do budżetu UE.</w:t>
      </w:r>
    </w:p>
    <w:p w:rsidR="0043277E" w:rsidRDefault="000F2348">
      <w:pPr>
        <w:pStyle w:val="HEADER5"/>
        <w:spacing w:before="240" w:after="240"/>
        <w:rPr>
          <w:noProof/>
        </w:rPr>
      </w:pPr>
      <w:r>
        <w:rPr>
          <w:noProof/>
        </w:rPr>
        <w:t>Fundusz gwarancyjny EFZR</w:t>
      </w:r>
    </w:p>
    <w:p w:rsidR="0043277E" w:rsidRDefault="000F2348">
      <w:pPr>
        <w:pStyle w:val="DGTextstand-alone"/>
        <w:spacing w:before="120"/>
      </w:pPr>
      <w:r>
        <w:t>Na mocy rozporządzenia w sprawie EFZR (rozpor</w:t>
      </w:r>
      <w:r>
        <w:t>ządzenie (UE) 2017/1601) ustanowiono fundusz gwarancyjny EFZR w celu zapewnienia buforu płynnościowego na wypadek uruchomienia gwarancji unijnej udzielonej na podstawie odpowiednich umów gwarancji EFZR. Fundusz gwarancyjny EFZR jest finansowany z wkładów z</w:t>
      </w:r>
      <w:r>
        <w:t xml:space="preserve"> budżetu UE i z wkładów z 11. EFR do budżetu UE oraz z dobrowolnych wkładów państw członkowskich i innych uczestników. Fundusz ten jest również zasilany ze zwrotów z zainwestowanych środków funduszu, kwot odzyskanych od dłużników, którzy nie wykonali zobow</w:t>
      </w:r>
      <w:r>
        <w:t xml:space="preserve">iązania, </w:t>
      </w:r>
      <w:r>
        <w:lastRenderedPageBreak/>
        <w:t>przychodów i wszelkich innych płatności uzyskanych przez Unię zgodnie z umowami gwarancji EFZR. Ogółem według stanu na dzień 31 grudnia 2019 r. do funduszu gwarancyjnego wpłynęło 600 mln EUR, z czego kwota 595 mln EUR została zainwestowana w aktyw</w:t>
      </w:r>
      <w:r>
        <w:t xml:space="preserve">a finansowe dostępne do sprzedaży, a kolejna kwota 95 mln EUR (w 2018 r.: 325 mln EUR) została już zaangażowana, a nie została jeszcze wypłacona i ujęto ją w zobowiązaniach budżetowych pozostających do spłaty (RAL), a także ujawniono ją jako nieujęte jako </w:t>
      </w:r>
      <w:r>
        <w:t xml:space="preserve">koszty zobowiązania pozostające do spłaty w informacji dodatkowej </w:t>
      </w:r>
      <w:r>
        <w:rPr>
          <w:b/>
        </w:rPr>
        <w:t>5.1</w:t>
      </w:r>
      <w:r>
        <w:t xml:space="preserve">. Fundusz gwarancyjny EFZR będzie stopniowo zasilany, aż osiągnie kwotę 750 mln EUR, tj. 50 % łącznych przyszłych zobowiązań wynikających z gwarancji EFZR, pokrywanych z budżetu UE, przy </w:t>
      </w:r>
      <w:r>
        <w:t xml:space="preserve">czym kwota ta będzie dalej powiększana o inne wkłady. </w:t>
      </w:r>
    </w:p>
    <w:p w:rsidR="0043277E" w:rsidRDefault="000F2348">
      <w:pPr>
        <w:pStyle w:val="HEADER5"/>
        <w:spacing w:before="240" w:after="240"/>
        <w:rPr>
          <w:noProof/>
        </w:rPr>
      </w:pPr>
      <w:r>
        <w:rPr>
          <w:noProof/>
        </w:rPr>
        <w:t>INSTRUMENTY FINANSOWE FINANSOWANE Z BUDŻETU UE</w:t>
      </w:r>
    </w:p>
    <w:p w:rsidR="0043277E" w:rsidRDefault="000F2348">
      <w:pPr>
        <w:pStyle w:val="HEADER5"/>
        <w:spacing w:before="240" w:after="240"/>
        <w:rPr>
          <w:noProof/>
        </w:rPr>
      </w:pPr>
      <w:r>
        <w:rPr>
          <w:noProof/>
        </w:rPr>
        <w:t>„Horyzont 2020”</w:t>
      </w:r>
    </w:p>
    <w:p w:rsidR="0043277E" w:rsidRDefault="000F2348">
      <w:pPr>
        <w:pStyle w:val="DGTextstand-alone"/>
        <w:spacing w:before="120"/>
      </w:pPr>
      <w:r>
        <w:t>Na mocy rozporządzenia UE ustanawiającego „Horyzont 2020” – program ramowy w zakresie badań naukowych i innowacji (na lata 2014–2020) usta</w:t>
      </w:r>
      <w:r>
        <w:t xml:space="preserve">nowiono nowe instrumenty finansowe mające na celu zwiększenie dostępu do finansowania dla podmiotów zaangażowanych w badania i innowacje. Te instrumenty to: </w:t>
      </w:r>
      <w:r>
        <w:rPr>
          <w:i/>
        </w:rPr>
        <w:t>instrument pożyczkowo-gwarancyjny InnovFin na rzecz badań naukowych i innowacji</w:t>
      </w:r>
      <w:r>
        <w:t>, w ramach którego K</w:t>
      </w:r>
      <w:r>
        <w:t xml:space="preserve">omisja dzieli ryzyko finansowe związane z portfelem nowych operacji finansowych EBI; </w:t>
      </w:r>
      <w:r>
        <w:rPr>
          <w:i/>
        </w:rPr>
        <w:t xml:space="preserve">InnovFin do celów gwarancji dla MŚP, w tym instrument gwarancji nieograniczonych co do kwoty w inicjatywie dotyczącej MŚP (SIUGI) </w:t>
      </w:r>
      <w:r>
        <w:t>– instrumenty gwarancyjne zarządzane prze</w:t>
      </w:r>
      <w:r>
        <w:t xml:space="preserve">z EFI umożliwiające udzielanie gwarancji i kontrgwarancji pośrednikom finansowym w odniesieniu do nowych portfeli pożyczek (w ramach SIUGI Komisja dzieli ryzyko finansowe związane z gwarancjami udzielanymi przez państwa członkowskie, EFI i EBI); oraz </w:t>
      </w:r>
      <w:r>
        <w:rPr>
          <w:i/>
        </w:rPr>
        <w:t>instr</w:t>
      </w:r>
      <w:r>
        <w:rPr>
          <w:i/>
        </w:rPr>
        <w:t>ument kapitałowy InnovFin na rzecz badań naukowych i innowacji</w:t>
      </w:r>
      <w:r>
        <w:t xml:space="preserve"> – zapewniający inwestycje w fundusze venture capital i zarządzany przez EFI. </w:t>
      </w:r>
    </w:p>
    <w:p w:rsidR="0043277E" w:rsidRDefault="000F2348">
      <w:pPr>
        <w:pStyle w:val="HEADER5"/>
        <w:spacing w:before="240" w:after="240"/>
        <w:rPr>
          <w:noProof/>
        </w:rPr>
      </w:pPr>
      <w:r>
        <w:rPr>
          <w:noProof/>
        </w:rPr>
        <w:t>Mechanizm finansowania oparty na podziale ryzyka</w:t>
      </w:r>
    </w:p>
    <w:p w:rsidR="0043277E" w:rsidRDefault="000F2348">
      <w:pPr>
        <w:pStyle w:val="DGTextstand-alone"/>
        <w:spacing w:before="120"/>
        <w:rPr>
          <w:rFonts w:ascii="Times New Roman" w:hAnsi="Times New Roman"/>
          <w:szCs w:val="20"/>
        </w:rPr>
      </w:pPr>
      <w:r>
        <w:t>Mechanizmem finansowania opartym na podziale ryzyka (RSFF) zarządza EBI, a portfel inwestycyjny Komisji wykorzystuje się na pokrycie ryzyka finansowego z tytułu pożyczek i gwarancji udzielonych przez EBI na rzecz kwalifikowalnych projektów badawczych. Łącz</w:t>
      </w:r>
      <w:r>
        <w:t>nie w ramach WRF na lata 2007–2013 UE przydzieliła do RSFF do 1 mld EUR. W ramach WRF na lata 2014–2020 nie przewiduje się nowych wkładów budżetowych na rzecz RSFF. Biorąc pod uwagę fakt, że znaczna część pozostających do spłaty operacji RSFF została już s</w:t>
      </w:r>
      <w:r>
        <w:t xml:space="preserve">płacona, w 2019 r. EBI częściowo zwolnił gwarancję UE, co doprowadziło do zmniejszenia kwoty zobowiązania warunkowego UE ujawnionej w informacji dodatkowej </w:t>
      </w:r>
      <w:r>
        <w:rPr>
          <w:b/>
        </w:rPr>
        <w:t>4.1.3</w:t>
      </w:r>
      <w:r>
        <w:t>.</w:t>
      </w:r>
    </w:p>
    <w:p w:rsidR="0043277E" w:rsidRDefault="000F2348">
      <w:pPr>
        <w:pStyle w:val="HEADER5"/>
        <w:spacing w:before="240" w:after="240"/>
        <w:rPr>
          <w:noProof/>
        </w:rPr>
      </w:pPr>
      <w:r>
        <w:rPr>
          <w:noProof/>
        </w:rPr>
        <w:t>Instrument „Łącząc Europę”</w:t>
      </w:r>
    </w:p>
    <w:p w:rsidR="0043277E" w:rsidRDefault="000F2348">
      <w:pPr>
        <w:pStyle w:val="DGTextstand-alone"/>
        <w:spacing w:before="120"/>
      </w:pPr>
      <w:r>
        <w:t>Zgodnie z rozporządzeniem (UE) nr 1316/2013 instrument dłużny „Łąc</w:t>
      </w:r>
      <w:r>
        <w:t>ząc Europę” (CEF) utworzono w celu ułatwienia projektom infrastrukturalnym dostępu do finansowania w sektorach transportu, telekomunikacji i energii. Instrument jest zarządzany przez EBI w porozumieniu z UE. Dłużny instrument finansowy „Łącząc Europę” stan</w:t>
      </w:r>
      <w:r>
        <w:t>owi kontynuację instrumentu gwarancji kredytowych dla projektów TEN-T (LGTT) i fazy pilotażowej inicjatywy w zakresie obligacji projektowych (PBI). Instrument umożliwia podział ryzyka związanego z finansowaniem dłużnym w postaci długu uprzywilejowanego i p</w:t>
      </w:r>
      <w:r>
        <w:t>odporządkowanego lub gwarancji oraz wsparcie w zakresie obligacji projektowych. Po dniu 19 czerwca 2019 r., od chwili wprowadzenia pierwszej zmiany w umowie o przyznanie wkładu zawartej z EBI, wszystkie operacje realizowane przez EBI w ramach instrumentu „</w:t>
      </w:r>
      <w:r>
        <w:t xml:space="preserve">Łącząc Europę” przypisuje się do jednego z dwóch portfeli: portfela dłużnego lub niepodlegającego sekurytyzacji portfela finansowego. </w:t>
      </w:r>
    </w:p>
    <w:p w:rsidR="0043277E" w:rsidRDefault="000F2348">
      <w:pPr>
        <w:pStyle w:val="HEADER5"/>
        <w:spacing w:before="240" w:after="240"/>
        <w:rPr>
          <w:noProof/>
        </w:rPr>
      </w:pPr>
      <w:r>
        <w:rPr>
          <w:noProof/>
        </w:rPr>
        <w:t>Unijne instrumenty kapitałowe na rzecz MŚP</w:t>
      </w:r>
    </w:p>
    <w:p w:rsidR="0043277E" w:rsidRDefault="000F2348">
      <w:pPr>
        <w:pStyle w:val="DGTextstand-alone"/>
        <w:spacing w:before="120"/>
      </w:pPr>
      <w:r>
        <w:t>Są to instrumenty kapitałowe finansowane w ramach programu COSME, Programu ram</w:t>
      </w:r>
      <w:r>
        <w:t>owego na rzecz konkurencyjności i innowacji, programu MAP oraz projektu pilotażowego „Transfer technologii”, które są nadzorowane przez EFI i wspierają – poprzez inwestycje w odpowiednich wyspecjalizowanych funduszach venture capital – tworzenie i finansow</w:t>
      </w:r>
      <w:r>
        <w:t>anie unijnych MŚP na etapie rozpoczęcia działalności (etap start-up) i jej rozwoju.</w:t>
      </w:r>
    </w:p>
    <w:p w:rsidR="0043277E" w:rsidRDefault="000F2348">
      <w:pPr>
        <w:pStyle w:val="HEADER3NOTES"/>
        <w:keepNext/>
        <w:rPr>
          <w:noProof/>
        </w:rPr>
      </w:pPr>
      <w:r>
        <w:rPr>
          <w:noProof/>
        </w:rPr>
        <w:lastRenderedPageBreak/>
        <w:t>Aktywa finansowe wyceniane według wartości godziwej przez nadwyżkę lub deficyt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1"/>
        <w:gridCol w:w="1641"/>
        <w:gridCol w:w="1566"/>
        <w:gridCol w:w="1305"/>
        <w:gridCol w:w="1255"/>
      </w:tblGrid>
      <w:tr w:rsidR="0043277E">
        <w:trPr>
          <w:trHeight w:val="255"/>
        </w:trPr>
        <w:tc>
          <w:tcPr>
            <w:tcW w:w="399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AFVTSD"/>
              <w:keepNext/>
              <w:rPr>
                <w:rFonts w:ascii="Arial" w:eastAsia="Arial" w:hAnsi="Arial" w:cs="Arial"/>
                <w:noProof/>
                <w:color w:val="000000"/>
              </w:rPr>
            </w:pPr>
            <w:bookmarkStart w:id="54" w:name="DOC_TBL00015_1_1"/>
            <w:bookmarkEnd w:id="54"/>
          </w:p>
        </w:tc>
        <w:tc>
          <w:tcPr>
            <w:tcW w:w="164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AFVTSD"/>
              <w:keepNext/>
              <w:rPr>
                <w:rFonts w:ascii="Arial" w:eastAsia="Arial" w:hAnsi="Arial" w:cs="Arial"/>
                <w:noProof/>
                <w:color w:val="000000"/>
              </w:rPr>
            </w:pPr>
          </w:p>
        </w:tc>
        <w:tc>
          <w:tcPr>
            <w:tcW w:w="156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AFVTSD"/>
              <w:keepNext/>
              <w:rPr>
                <w:rFonts w:ascii="Arial" w:eastAsia="Arial" w:hAnsi="Arial" w:cs="Arial"/>
                <w:noProof/>
                <w:color w:val="000000"/>
              </w:rPr>
            </w:pPr>
          </w:p>
        </w:tc>
        <w:tc>
          <w:tcPr>
            <w:tcW w:w="130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AFVTSD"/>
              <w:keepNext/>
              <w:rPr>
                <w:rFonts w:ascii="Arial" w:eastAsia="Arial" w:hAnsi="Arial" w:cs="Arial"/>
                <w:noProof/>
                <w:color w:val="000000"/>
              </w:rPr>
            </w:pPr>
          </w:p>
        </w:tc>
        <w:tc>
          <w:tcPr>
            <w:tcW w:w="125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keepNex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99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FAFVTSD"/>
              <w:keepNext/>
              <w:rPr>
                <w:rFonts w:ascii="Verdana" w:eastAsia="Verdana" w:hAnsi="Verdana" w:cs="Verdana"/>
                <w:noProof/>
                <w:color w:val="FFFFFF"/>
              </w:rPr>
            </w:pPr>
          </w:p>
        </w:tc>
        <w:tc>
          <w:tcPr>
            <w:tcW w:w="1641"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AFVTSD"/>
              <w:keepNext/>
              <w:jc w:val="center"/>
              <w:rPr>
                <w:rFonts w:ascii="Verdana" w:eastAsia="Verdana" w:hAnsi="Verdana" w:cs="Verdana"/>
                <w:noProof/>
                <w:color w:val="FFFFFF"/>
              </w:rPr>
            </w:pPr>
            <w:r>
              <w:rPr>
                <w:rFonts w:ascii="Verdana" w:hAnsi="Verdana"/>
                <w:noProof/>
                <w:color w:val="FFFFFF"/>
              </w:rPr>
              <w:t>31.12.2019</w:t>
            </w:r>
          </w:p>
        </w:tc>
        <w:tc>
          <w:tcPr>
            <w:tcW w:w="1305"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AFVTSD"/>
              <w:keepNext/>
              <w:jc w:val="center"/>
              <w:rPr>
                <w:rFonts w:ascii="Verdana" w:eastAsia="Verdana" w:hAnsi="Verdana" w:cs="Verdana"/>
                <w:noProof/>
                <w:color w:val="FFFFFF"/>
              </w:rPr>
            </w:pPr>
            <w:r>
              <w:rPr>
                <w:rFonts w:ascii="Verdana" w:hAnsi="Verdana"/>
                <w:noProof/>
                <w:color w:val="FFFFFF"/>
              </w:rPr>
              <w:t>31.12.2018</w:t>
            </w:r>
          </w:p>
        </w:tc>
      </w:tr>
      <w:tr w:rsidR="0043277E">
        <w:trPr>
          <w:trHeight w:val="255"/>
        </w:trPr>
        <w:tc>
          <w:tcPr>
            <w:tcW w:w="399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AFVTSD"/>
              <w:keepNext/>
              <w:rPr>
                <w:rFonts w:ascii="Verdana" w:eastAsia="Verdana" w:hAnsi="Verdana" w:cs="Verdana"/>
                <w:noProof/>
                <w:color w:val="FFFFFF"/>
              </w:rPr>
            </w:pPr>
            <w:r>
              <w:rPr>
                <w:rFonts w:ascii="Verdana" w:hAnsi="Verdana"/>
                <w:noProof/>
                <w:color w:val="FFFFFF"/>
              </w:rPr>
              <w:t>Rodzaj instrumentu pochodnego</w:t>
            </w:r>
          </w:p>
        </w:tc>
        <w:tc>
          <w:tcPr>
            <w:tcW w:w="1641"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0BIPFAFVTSD"/>
              <w:keepNext/>
              <w:jc w:val="right"/>
              <w:rPr>
                <w:rFonts w:ascii="Verdana" w:eastAsia="Verdana" w:hAnsi="Verdana" w:cs="Verdana"/>
                <w:noProof/>
                <w:color w:val="FFFFFF"/>
              </w:rPr>
            </w:pPr>
            <w:r>
              <w:rPr>
                <w:rFonts w:ascii="Verdana" w:hAnsi="Verdana"/>
                <w:noProof/>
                <w:color w:val="FFFFFF"/>
              </w:rPr>
              <w:t xml:space="preserve">Wartość nominalna </w:t>
            </w:r>
          </w:p>
        </w:tc>
        <w:tc>
          <w:tcPr>
            <w:tcW w:w="156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0BIPFAFVTSD"/>
              <w:keepNext/>
              <w:jc w:val="right"/>
              <w:rPr>
                <w:rFonts w:ascii="Verdana" w:eastAsia="Verdana" w:hAnsi="Verdana" w:cs="Verdana"/>
                <w:noProof/>
                <w:color w:val="FFFFFF"/>
              </w:rPr>
            </w:pPr>
            <w:r>
              <w:rPr>
                <w:rFonts w:ascii="Verdana" w:hAnsi="Verdana"/>
                <w:noProof/>
                <w:color w:val="FFFFFF"/>
              </w:rPr>
              <w:t>Wartość godziwa</w:t>
            </w:r>
          </w:p>
        </w:tc>
        <w:tc>
          <w:tcPr>
            <w:tcW w:w="1305"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0BIPFAFVTSD"/>
              <w:keepNext/>
              <w:jc w:val="right"/>
              <w:rPr>
                <w:rFonts w:ascii="Verdana" w:eastAsia="Verdana" w:hAnsi="Verdana" w:cs="Verdana"/>
                <w:noProof/>
                <w:color w:val="FFFFFF"/>
              </w:rPr>
            </w:pPr>
            <w:r>
              <w:rPr>
                <w:rFonts w:ascii="Verdana" w:hAnsi="Verdana"/>
                <w:noProof/>
                <w:color w:val="FFFFFF"/>
              </w:rPr>
              <w:t xml:space="preserve">Wartość nominalna </w:t>
            </w:r>
          </w:p>
        </w:tc>
        <w:tc>
          <w:tcPr>
            <w:tcW w:w="1255"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0BIPFAFVTSD"/>
              <w:keepNext/>
              <w:jc w:val="right"/>
              <w:rPr>
                <w:rFonts w:ascii="Verdana" w:eastAsia="Verdana" w:hAnsi="Verdana" w:cs="Verdana"/>
                <w:noProof/>
                <w:color w:val="FFFFFF"/>
              </w:rPr>
            </w:pPr>
            <w:r>
              <w:rPr>
                <w:rFonts w:ascii="Verdana" w:hAnsi="Verdana"/>
                <w:noProof/>
                <w:color w:val="FFFFFF"/>
              </w:rPr>
              <w:t>Wartość godziwa</w:t>
            </w:r>
          </w:p>
        </w:tc>
      </w:tr>
      <w:tr w:rsidR="0043277E">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AFVTSD"/>
              <w:keepNext/>
              <w:rPr>
                <w:rFonts w:ascii="Verdana" w:eastAsia="Verdana" w:hAnsi="Verdana" w:cs="Verdana"/>
                <w:i/>
                <w:noProof/>
                <w:color w:val="000000"/>
                <w:sz w:val="18"/>
              </w:rPr>
            </w:pPr>
            <w:r>
              <w:rPr>
                <w:rFonts w:ascii="Verdana" w:hAnsi="Verdana"/>
                <w:i/>
                <w:noProof/>
                <w:color w:val="000000"/>
                <w:sz w:val="18"/>
              </w:rPr>
              <w:t>Walutowe kontrakty terminowe typu forward</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keepNext/>
              <w:jc w:val="right"/>
              <w:rPr>
                <w:rFonts w:ascii="Verdana" w:eastAsia="Verdana" w:hAnsi="Verdana" w:cs="Verdana"/>
                <w:i/>
                <w:noProof/>
                <w:color w:val="000000"/>
                <w:sz w:val="18"/>
              </w:rPr>
            </w:pPr>
            <w:r>
              <w:rPr>
                <w:rFonts w:ascii="Verdana" w:hAnsi="Verdana"/>
                <w:i/>
                <w:noProof/>
                <w:color w:val="000000"/>
                <w:sz w:val="18"/>
              </w:rPr>
              <w:t xml:space="preserve"> 393</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keepNext/>
              <w:jc w:val="right"/>
              <w:rPr>
                <w:rFonts w:ascii="Verdana" w:eastAsia="Verdana" w:hAnsi="Verdana" w:cs="Verdana"/>
                <w:i/>
                <w:noProof/>
                <w:color w:val="000000"/>
                <w:sz w:val="18"/>
              </w:rPr>
            </w:pPr>
            <w:r>
              <w:rPr>
                <w:rFonts w:ascii="Verdana" w:hAnsi="Verdana"/>
                <w:i/>
                <w:noProof/>
                <w:color w:val="000000"/>
                <w:sz w:val="18"/>
              </w:rPr>
              <w:t xml:space="preserve"> 3</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keepNext/>
              <w:jc w:val="right"/>
              <w:rPr>
                <w:rFonts w:ascii="Verdana" w:eastAsia="Verdana" w:hAnsi="Verdana" w:cs="Verdana"/>
                <w:i/>
                <w:noProof/>
                <w:color w:val="000000"/>
                <w:sz w:val="18"/>
              </w:rPr>
            </w:pPr>
            <w:r>
              <w:rPr>
                <w:rFonts w:ascii="Verdana" w:hAnsi="Verdana"/>
                <w:i/>
                <w:noProof/>
                <w:color w:val="000000"/>
                <w:sz w:val="18"/>
              </w:rPr>
              <w:t xml:space="preserve"> 476</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keepNext/>
              <w:jc w:val="right"/>
              <w:rPr>
                <w:rFonts w:ascii="Verdana" w:eastAsia="Verdana" w:hAnsi="Verdana" w:cs="Verdana"/>
                <w:i/>
                <w:noProof/>
                <w:color w:val="000000"/>
                <w:sz w:val="18"/>
              </w:rPr>
            </w:pPr>
            <w:r>
              <w:rPr>
                <w:rFonts w:ascii="Verdana" w:hAnsi="Verdana"/>
                <w:i/>
                <w:noProof/>
                <w:color w:val="000000"/>
                <w:sz w:val="18"/>
              </w:rPr>
              <w:t xml:space="preserve"> 2</w:t>
            </w:r>
          </w:p>
        </w:tc>
      </w:tr>
      <w:tr w:rsidR="0043277E">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AFVTSD"/>
              <w:rPr>
                <w:rFonts w:ascii="Verdana" w:eastAsia="Verdana" w:hAnsi="Verdana" w:cs="Verdana"/>
                <w:i/>
                <w:noProof/>
                <w:color w:val="000000"/>
                <w:sz w:val="18"/>
              </w:rPr>
            </w:pPr>
            <w:r>
              <w:rPr>
                <w:rFonts w:ascii="Verdana" w:hAnsi="Verdana"/>
                <w:i/>
                <w:noProof/>
                <w:color w:val="000000"/>
                <w:sz w:val="18"/>
              </w:rPr>
              <w:t>Gwarancja w odniesieniu do portfela kapitałowego</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00000"/>
                <w:sz w:val="18"/>
              </w:rPr>
            </w:pPr>
            <w:r>
              <w:rPr>
                <w:rFonts w:ascii="Verdana" w:hAnsi="Verdana"/>
                <w:i/>
                <w:noProof/>
                <w:color w:val="000000"/>
                <w:sz w:val="18"/>
              </w:rPr>
              <w:t>1 439</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134</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674</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14</w:t>
            </w:r>
          </w:p>
        </w:tc>
      </w:tr>
      <w:tr w:rsidR="0043277E">
        <w:trPr>
          <w:trHeight w:val="255"/>
        </w:trPr>
        <w:tc>
          <w:tcPr>
            <w:tcW w:w="39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FAFVTSD"/>
              <w:rPr>
                <w:rFonts w:ascii="Verdana" w:eastAsia="Verdana" w:hAnsi="Verdana" w:cs="Verdana"/>
                <w:b/>
                <w:noProof/>
                <w:color w:val="000000"/>
                <w:sz w:val="18"/>
              </w:rPr>
            </w:pPr>
            <w:r>
              <w:rPr>
                <w:rFonts w:ascii="Verdana" w:hAnsi="Verdana"/>
                <w:b/>
                <w:noProof/>
                <w:color w:val="000000"/>
                <w:sz w:val="18"/>
              </w:rPr>
              <w:t>Ogółem</w:t>
            </w:r>
          </w:p>
        </w:tc>
        <w:tc>
          <w:tcPr>
            <w:tcW w:w="16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b/>
                <w:noProof/>
                <w:color w:val="000000"/>
                <w:sz w:val="18"/>
              </w:rPr>
            </w:pPr>
            <w:r>
              <w:rPr>
                <w:rFonts w:ascii="Verdana" w:hAnsi="Verdana"/>
                <w:b/>
                <w:noProof/>
                <w:color w:val="000000"/>
                <w:sz w:val="18"/>
              </w:rPr>
              <w:t>1 832</w:t>
            </w:r>
          </w:p>
        </w:tc>
        <w:tc>
          <w:tcPr>
            <w:tcW w:w="15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b/>
                <w:noProof/>
                <w:color w:val="000000"/>
                <w:sz w:val="18"/>
              </w:rPr>
            </w:pPr>
            <w:r>
              <w:rPr>
                <w:rFonts w:ascii="Verdana" w:hAnsi="Verdana"/>
                <w:b/>
                <w:noProof/>
                <w:color w:val="000000"/>
                <w:sz w:val="18"/>
              </w:rPr>
              <w:t xml:space="preserve"> 137</w:t>
            </w:r>
          </w:p>
        </w:tc>
        <w:tc>
          <w:tcPr>
            <w:tcW w:w="13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b/>
                <w:noProof/>
                <w:color w:val="000000"/>
                <w:sz w:val="18"/>
              </w:rPr>
            </w:pPr>
            <w:r>
              <w:rPr>
                <w:rFonts w:ascii="Verdana" w:hAnsi="Verdana"/>
                <w:b/>
                <w:noProof/>
                <w:color w:val="000000"/>
                <w:sz w:val="18"/>
              </w:rPr>
              <w:t>1 150</w:t>
            </w:r>
          </w:p>
        </w:tc>
        <w:tc>
          <w:tcPr>
            <w:tcW w:w="1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b/>
                <w:noProof/>
                <w:color w:val="000000"/>
                <w:sz w:val="18"/>
              </w:rPr>
            </w:pPr>
            <w:r>
              <w:rPr>
                <w:rFonts w:ascii="Verdana" w:hAnsi="Verdana"/>
                <w:b/>
                <w:noProof/>
                <w:color w:val="000000"/>
                <w:sz w:val="18"/>
              </w:rPr>
              <w:t xml:space="preserve"> 16</w:t>
            </w:r>
          </w:p>
        </w:tc>
      </w:tr>
      <w:tr w:rsidR="0043277E">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AFVTSD"/>
              <w:rPr>
                <w:rFonts w:ascii="Verdana" w:eastAsia="Verdana" w:hAnsi="Verdana" w:cs="Verdana"/>
                <w:i/>
                <w:noProof/>
                <w:color w:val="016794"/>
                <w:sz w:val="18"/>
              </w:rPr>
            </w:pPr>
            <w:r>
              <w:rPr>
                <w:rFonts w:ascii="Verdana" w:hAnsi="Verdana"/>
                <w:i/>
                <w:noProof/>
                <w:color w:val="016794"/>
                <w:sz w:val="18"/>
              </w:rPr>
              <w:t>Trwałe</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1 439</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134</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674</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14</w:t>
            </w:r>
          </w:p>
        </w:tc>
      </w:tr>
      <w:tr w:rsidR="0043277E">
        <w:trPr>
          <w:trHeight w:val="255"/>
        </w:trPr>
        <w:tc>
          <w:tcPr>
            <w:tcW w:w="399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AFVTSD"/>
              <w:rPr>
                <w:rFonts w:ascii="Verdana" w:eastAsia="Verdana" w:hAnsi="Verdana" w:cs="Verdana"/>
                <w:i/>
                <w:noProof/>
                <w:color w:val="016794"/>
                <w:sz w:val="18"/>
              </w:rPr>
            </w:pPr>
            <w:r>
              <w:rPr>
                <w:rFonts w:ascii="Verdana" w:hAnsi="Verdana"/>
                <w:i/>
                <w:noProof/>
                <w:color w:val="016794"/>
                <w:sz w:val="18"/>
              </w:rPr>
              <w:t>Obrotowe</w:t>
            </w:r>
          </w:p>
        </w:tc>
        <w:tc>
          <w:tcPr>
            <w:tcW w:w="16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393</w:t>
            </w:r>
          </w:p>
        </w:tc>
        <w:tc>
          <w:tcPr>
            <w:tcW w:w="156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3</w:t>
            </w:r>
          </w:p>
        </w:tc>
        <w:tc>
          <w:tcPr>
            <w:tcW w:w="13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476</w:t>
            </w:r>
          </w:p>
        </w:tc>
        <w:tc>
          <w:tcPr>
            <w:tcW w:w="125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2</w:t>
            </w:r>
          </w:p>
        </w:tc>
      </w:tr>
    </w:tbl>
    <w:p w:rsidR="0043277E" w:rsidRDefault="000F2348">
      <w:pPr>
        <w:pStyle w:val="DGTextstand-alone"/>
      </w:pPr>
      <w:r>
        <w:t>UE zawiera walutowe kontrakty terminowe typu forward w celu zabezpieczenia się przed ryzykiem walutowym związanym z dłużnymi papierami wartościowymi denominowanymi w USD będącymi w posiadaniu Funduszu Gwarancyjnego EFIS. W ramach walutowych kontra</w:t>
      </w:r>
      <w:r>
        <w:t>któw typu forward UE przekazuje umownie uzgodnioną wartość nominalną w walucie obcej („płatności dokonywane”), jak przedstawiono w tabeli powyżej, a następnie otrzyma wartość nominalną w EUR („płatności otrzymywane”) w terminie zapadalności. Takie kontrakt</w:t>
      </w:r>
      <w:r>
        <w:t>y na instrumenty pochodne wycenia się według wartości godziwej w dniu bilansowym i klasyfikuje jako aktywa finansowe albo zobowiązania finansowe według wartości godziwej przez nadwyżkę lub deficyt, w zależności od tego, czy wartość godziwa jest dodatnia, c</w:t>
      </w:r>
      <w:r>
        <w:t xml:space="preserve">zy ujemna. </w:t>
      </w:r>
    </w:p>
    <w:p w:rsidR="0043277E" w:rsidRDefault="000F2348">
      <w:pPr>
        <w:pStyle w:val="DGTextstand-alone"/>
        <w:spacing w:after="0"/>
      </w:pPr>
      <w:r>
        <w:t>Pozycja „Gwarancja w odniesieniu do portfela kapitałowego” obejmuje gwarancje udzielane przez UE instytucjom finansowym w odniesieniu do portfeli inwestycji kapitałowych klasyfikowanych jako pochodne instrumenty finansowe i ujmowanych jako składnik aktywów</w:t>
      </w:r>
      <w:r>
        <w:t xml:space="preserve"> finansowych lub zobowiązanie finansowe wyceniane według wartości godziwej przez nadwyżkę lub deficyt. Łączna kwota odpowiada zasadniczo gwarancji EFIS przyznanej przez UE na rzecz grupy EBI, w ramach której kwota bazowych inwestycji kapitałowych dokonanyc</w:t>
      </w:r>
      <w:r>
        <w:t xml:space="preserve">h przez EBI i EFI wynosi 1 420 mln EUR (w 2018 r.: 674 mln EUR). Wartość godziwa gwarancji UE na rzecz portfeli kapitałowych EFIS wyniosła 134 mln EUR (w 2018 r.: 14 mln EUR). </w:t>
      </w:r>
    </w:p>
    <w:p w:rsidR="0043277E" w:rsidRDefault="000F2348">
      <w:pPr>
        <w:pStyle w:val="HEADER5"/>
        <w:spacing w:before="360" w:after="240"/>
        <w:rPr>
          <w:noProof/>
        </w:rPr>
      </w:pPr>
      <w:r>
        <w:rPr>
          <w:noProof/>
        </w:rPr>
        <w:t>Hierarchia wartości godziwej aktywów finansowych wycenianych według wartości go</w:t>
      </w:r>
      <w:r>
        <w:rPr>
          <w:noProof/>
        </w:rPr>
        <w:t>dziwej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VH"/>
              <w:rPr>
                <w:rFonts w:ascii="Arial" w:eastAsia="Arial" w:hAnsi="Arial" w:cs="Arial"/>
                <w:noProof/>
                <w:color w:val="000000"/>
              </w:rPr>
            </w:pPr>
            <w:bookmarkStart w:id="55" w:name="DOC_TBL00016_1_1"/>
            <w:bookmarkEnd w:id="55"/>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FVH"/>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FVH"/>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FVH"/>
              <w:jc w:val="right"/>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VH"/>
              <w:jc w:val="right"/>
              <w:rPr>
                <w:rFonts w:ascii="Verdana" w:eastAsia="Verdana" w:hAnsi="Verdana" w:cs="Verdana"/>
                <w:noProof/>
                <w:color w:val="FFFFFF"/>
              </w:rPr>
            </w:pPr>
            <w:r>
              <w:rPr>
                <w:rFonts w:ascii="Verdana" w:hAnsi="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FVH"/>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rPr>
                <w:rFonts w:ascii="Verdana" w:eastAsia="Verdana" w:hAnsi="Verdana" w:cs="Verdana"/>
                <w:i/>
                <w:noProof/>
                <w:color w:val="000000"/>
                <w:sz w:val="18"/>
              </w:rPr>
            </w:pPr>
            <w:r>
              <w:rPr>
                <w:rFonts w:ascii="Verdana" w:hAnsi="Verdana"/>
                <w:i/>
                <w:noProof/>
                <w:color w:val="000000"/>
                <w:sz w:val="18"/>
              </w:rPr>
              <w:t>Poziom 1: Ceny notowane na aktywnych rynkach</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jc w:val="right"/>
              <w:rPr>
                <w:rFonts w:ascii="Verdana" w:eastAsia="Verdana" w:hAnsi="Verdana" w:cs="Verdana"/>
                <w:i/>
                <w:noProof/>
                <w:color w:val="000000"/>
                <w:sz w:val="18"/>
              </w:rPr>
            </w:pPr>
            <w:r>
              <w:rPr>
                <w:rFonts w:ascii="Verdana" w:hAnsi="Verdana"/>
                <w:i/>
                <w:noProof/>
                <w:color w:val="000000"/>
                <w:sz w:val="18"/>
              </w:rPr>
              <w:t>15 482</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jc w:val="right"/>
              <w:rPr>
                <w:rFonts w:ascii="Verdana" w:eastAsia="Verdana" w:hAnsi="Verdana" w:cs="Verdana"/>
                <w:i/>
                <w:noProof/>
                <w:color w:val="000000"/>
                <w:sz w:val="18"/>
              </w:rPr>
            </w:pPr>
            <w:r>
              <w:rPr>
                <w:rFonts w:ascii="Verdana" w:hAnsi="Verdana"/>
                <w:i/>
                <w:noProof/>
                <w:color w:val="000000"/>
                <w:sz w:val="18"/>
              </w:rPr>
              <w:t>13 993</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rPr>
                <w:rFonts w:ascii="Verdana" w:eastAsia="Verdana" w:hAnsi="Verdana" w:cs="Verdana"/>
                <w:i/>
                <w:noProof/>
                <w:color w:val="000000"/>
                <w:sz w:val="18"/>
              </w:rPr>
            </w:pPr>
            <w:r>
              <w:rPr>
                <w:rFonts w:ascii="Verdana" w:hAnsi="Verdana"/>
                <w:i/>
                <w:noProof/>
                <w:color w:val="000000"/>
                <w:sz w:val="18"/>
              </w:rPr>
              <w:t>Poziom 2: Obserwowalne dane inne niż ceny notowane</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jc w:val="right"/>
              <w:rPr>
                <w:rFonts w:ascii="Verdana" w:eastAsia="Verdana" w:hAnsi="Verdana" w:cs="Verdana"/>
                <w:i/>
                <w:noProof/>
                <w:color w:val="000000"/>
                <w:sz w:val="18"/>
              </w:rPr>
            </w:pPr>
            <w:r>
              <w:rPr>
                <w:rFonts w:ascii="Verdana" w:hAnsi="Verdana"/>
                <w:i/>
                <w:noProof/>
                <w:color w:val="000000"/>
                <w:sz w:val="18"/>
              </w:rPr>
              <w:t>1 543</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jc w:val="right"/>
              <w:rPr>
                <w:rFonts w:ascii="Verdana" w:eastAsia="Verdana" w:hAnsi="Verdana" w:cs="Verdana"/>
                <w:i/>
                <w:noProof/>
                <w:color w:val="000000"/>
                <w:sz w:val="18"/>
              </w:rPr>
            </w:pPr>
            <w:r>
              <w:rPr>
                <w:rFonts w:ascii="Verdana" w:hAnsi="Verdana"/>
                <w:i/>
                <w:noProof/>
                <w:color w:val="000000"/>
                <w:sz w:val="18"/>
              </w:rPr>
              <w:t xml:space="preserve"> 275</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tabs>
                <w:tab w:val="left" w:pos="794"/>
              </w:tabs>
              <w:rPr>
                <w:rFonts w:ascii="Verdana" w:eastAsia="Verdana" w:hAnsi="Verdana" w:cs="Verdana"/>
                <w:i/>
                <w:noProof/>
                <w:color w:val="000000"/>
                <w:sz w:val="18"/>
              </w:rPr>
            </w:pPr>
            <w:r>
              <w:rPr>
                <w:rFonts w:ascii="Verdana" w:hAnsi="Verdana"/>
                <w:i/>
                <w:noProof/>
                <w:color w:val="000000"/>
                <w:sz w:val="18"/>
              </w:rPr>
              <w:t xml:space="preserve">Poziom 3: Techniki wyceny z wykorzystaniem danych nieopartych na </w:t>
            </w:r>
            <w:r>
              <w:rPr>
                <w:rFonts w:ascii="Verdana" w:hAnsi="Verdana"/>
                <w:i/>
                <w:noProof/>
                <w:color w:val="000000"/>
                <w:sz w:val="18"/>
              </w:rPr>
              <w:tab/>
              <w:t xml:space="preserve">obserwowalnych danych </w:t>
            </w:r>
            <w:r>
              <w:rPr>
                <w:rFonts w:ascii="Verdana" w:hAnsi="Verdana"/>
                <w:i/>
                <w:noProof/>
                <w:color w:val="000000"/>
                <w:sz w:val="18"/>
              </w:rPr>
              <w:t>rynkowych</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jc w:val="right"/>
              <w:rPr>
                <w:rFonts w:ascii="Verdana" w:eastAsia="Verdana" w:hAnsi="Verdana" w:cs="Verdana"/>
                <w:i/>
                <w:noProof/>
                <w:color w:val="000000"/>
                <w:sz w:val="18"/>
              </w:rPr>
            </w:pPr>
            <w:r>
              <w:rPr>
                <w:rFonts w:ascii="Verdana" w:hAnsi="Verdana"/>
                <w:i/>
                <w:noProof/>
                <w:color w:val="000000"/>
                <w:sz w:val="18"/>
              </w:rPr>
              <w:t>1 518</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FVH"/>
              <w:jc w:val="right"/>
              <w:rPr>
                <w:rFonts w:ascii="Verdana" w:eastAsia="Verdana" w:hAnsi="Verdana" w:cs="Verdana"/>
                <w:i/>
                <w:noProof/>
                <w:color w:val="000000"/>
                <w:sz w:val="18"/>
              </w:rPr>
            </w:pPr>
            <w:r>
              <w:rPr>
                <w:rFonts w:ascii="Verdana" w:hAnsi="Verdana"/>
                <w:i/>
                <w:noProof/>
                <w:color w:val="000000"/>
                <w:sz w:val="18"/>
              </w:rPr>
              <w:t>1 191</w:t>
            </w:r>
          </w:p>
        </w:tc>
      </w:tr>
      <w:tr w:rsidR="0043277E">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FVH"/>
              <w:rPr>
                <w:rFonts w:ascii="Verdana" w:eastAsia="Verdana" w:hAnsi="Verdana" w:cs="Verdana"/>
                <w:b/>
                <w:noProof/>
                <w:color w:val="000000"/>
                <w:sz w:val="18"/>
              </w:rPr>
            </w:pPr>
            <w:r>
              <w:rPr>
                <w:rFonts w:ascii="Verdana" w:hAnsi="Verdana"/>
                <w:b/>
                <w:noProof/>
                <w:color w:val="000000"/>
                <w:sz w:val="18"/>
              </w:rPr>
              <w:t>Ogółem</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FVH"/>
              <w:jc w:val="right"/>
              <w:rPr>
                <w:rFonts w:ascii="Verdana" w:eastAsia="Verdana" w:hAnsi="Verdana" w:cs="Verdana"/>
                <w:b/>
                <w:noProof/>
                <w:color w:val="000000"/>
                <w:sz w:val="18"/>
              </w:rPr>
            </w:pPr>
            <w:r>
              <w:rPr>
                <w:rFonts w:ascii="Verdana" w:hAnsi="Verdana"/>
                <w:b/>
                <w:noProof/>
                <w:color w:val="000000"/>
                <w:sz w:val="18"/>
              </w:rPr>
              <w:t>18 544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FVH"/>
              <w:jc w:val="right"/>
              <w:rPr>
                <w:rFonts w:ascii="Verdana" w:eastAsia="Verdana" w:hAnsi="Verdana" w:cs="Verdana"/>
                <w:b/>
                <w:noProof/>
                <w:color w:val="000000"/>
                <w:sz w:val="18"/>
              </w:rPr>
            </w:pPr>
            <w:r>
              <w:rPr>
                <w:rFonts w:ascii="Verdana" w:hAnsi="Verdana"/>
                <w:b/>
                <w:noProof/>
                <w:color w:val="000000"/>
                <w:sz w:val="18"/>
              </w:rPr>
              <w:t>15 459</w:t>
            </w:r>
          </w:p>
        </w:tc>
      </w:tr>
    </w:tbl>
    <w:p w:rsidR="0043277E" w:rsidRDefault="000F2348">
      <w:pPr>
        <w:pStyle w:val="Textstand-alone"/>
      </w:pPr>
      <w:r>
        <w:t>W okresie sprawozdawczym nie występowały przesunięcia pomiędzy poziomem 1 i 2.</w:t>
      </w:r>
    </w:p>
    <w:p w:rsidR="0043277E" w:rsidRDefault="000F2348">
      <w:pPr>
        <w:pStyle w:val="HEADER5"/>
        <w:spacing w:before="360" w:after="360"/>
        <w:rPr>
          <w:noProof/>
        </w:rPr>
      </w:pPr>
      <w:r>
        <w:rPr>
          <w:noProof/>
        </w:rPr>
        <w:t xml:space="preserve">Uzgodnienie aktywów finansowych wycenionych przy użyciu technik wyceny z wykorzystaniem danych nieopartych na obserwowalnych danych </w:t>
      </w:r>
      <w:r>
        <w:rPr>
          <w:noProof/>
        </w:rPr>
        <w:t>rynkowych (poziom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6"/>
        <w:gridCol w:w="2342"/>
      </w:tblGrid>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45BIPRECOFINA"/>
              <w:rPr>
                <w:rFonts w:ascii="Arial" w:eastAsia="Arial" w:hAnsi="Arial" w:cs="Arial"/>
                <w:noProof/>
                <w:color w:val="000000"/>
              </w:rPr>
            </w:pPr>
            <w:bookmarkStart w:id="56" w:name="DOC_TBL00017_1_1"/>
            <w:bookmarkEnd w:id="56"/>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741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45BIPRECOFINA"/>
              <w:rPr>
                <w:rFonts w:ascii="Verdana" w:eastAsia="Verdana" w:hAnsi="Verdana" w:cs="Verdana"/>
                <w:noProof/>
                <w:color w:val="FFFFFF"/>
              </w:rPr>
            </w:pPr>
          </w:p>
        </w:tc>
        <w:tc>
          <w:tcPr>
            <w:tcW w:w="234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45BIPRECOFINA"/>
              <w:rPr>
                <w:rFonts w:ascii="Verdana" w:eastAsia="Verdana" w:hAnsi="Verdana" w:cs="Verdana"/>
                <w:noProof/>
                <w:color w:val="FFFFFF"/>
                <w:lang w:bidi="en-GB"/>
              </w:rPr>
            </w:pPr>
          </w:p>
        </w:tc>
      </w:tr>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i/>
                <w:noProof/>
                <w:color w:val="000000"/>
                <w:sz w:val="18"/>
              </w:rPr>
            </w:pPr>
            <w:r>
              <w:rPr>
                <w:rFonts w:ascii="Verdana" w:hAnsi="Verdana"/>
                <w:i/>
                <w:noProof/>
                <w:color w:val="000000"/>
                <w:sz w:val="18"/>
              </w:rPr>
              <w:t>Saldo otwarcia na 1.1.2019</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8"/>
              </w:rPr>
            </w:pPr>
            <w:r>
              <w:rPr>
                <w:rFonts w:ascii="Verdana" w:hAnsi="Verdana"/>
                <w:i/>
                <w:noProof/>
                <w:color w:val="000000"/>
                <w:sz w:val="18"/>
              </w:rPr>
              <w:t>1 191</w:t>
            </w:r>
          </w:p>
        </w:tc>
      </w:tr>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i/>
                <w:noProof/>
                <w:color w:val="000000"/>
                <w:sz w:val="18"/>
              </w:rPr>
            </w:pPr>
            <w:r>
              <w:rPr>
                <w:rFonts w:ascii="Verdana" w:hAnsi="Verdana"/>
                <w:i/>
                <w:noProof/>
                <w:color w:val="000000"/>
                <w:sz w:val="18"/>
              </w:rPr>
              <w:t>Zakup, sprzedaż, emisja i rozliczenia</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173</w:t>
            </w:r>
          </w:p>
        </w:tc>
      </w:tr>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i/>
                <w:noProof/>
                <w:color w:val="000000"/>
                <w:sz w:val="18"/>
              </w:rPr>
            </w:pPr>
            <w:r>
              <w:rPr>
                <w:rFonts w:ascii="Verdana" w:hAnsi="Verdana"/>
                <w:i/>
                <w:noProof/>
                <w:color w:val="000000"/>
                <w:sz w:val="18"/>
              </w:rPr>
              <w:t>Zyski lub straty za okres w przychodach finansowych lub kosztach finansowania</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90</w:t>
            </w:r>
          </w:p>
        </w:tc>
      </w:tr>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i/>
                <w:noProof/>
                <w:color w:val="000000"/>
                <w:sz w:val="18"/>
              </w:rPr>
            </w:pPr>
            <w:r>
              <w:rPr>
                <w:rFonts w:ascii="Verdana" w:hAnsi="Verdana"/>
                <w:i/>
                <w:noProof/>
                <w:color w:val="000000"/>
                <w:sz w:val="18"/>
              </w:rPr>
              <w:t>Zyski lub straty w aktywach netto</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71</w:t>
            </w:r>
          </w:p>
        </w:tc>
      </w:tr>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i/>
                <w:noProof/>
                <w:color w:val="000000"/>
                <w:sz w:val="18"/>
              </w:rPr>
            </w:pPr>
            <w:r>
              <w:rPr>
                <w:rFonts w:ascii="Verdana" w:hAnsi="Verdana"/>
                <w:i/>
                <w:noProof/>
                <w:color w:val="000000"/>
                <w:sz w:val="18"/>
              </w:rPr>
              <w:t xml:space="preserve">Przesunięcia do poziomu 3 </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i/>
                <w:noProof/>
                <w:color w:val="000000"/>
                <w:sz w:val="18"/>
              </w:rPr>
            </w:pPr>
            <w:r>
              <w:rPr>
                <w:rFonts w:ascii="Verdana" w:hAnsi="Verdana"/>
                <w:i/>
                <w:noProof/>
                <w:color w:val="000000"/>
                <w:sz w:val="18"/>
              </w:rPr>
              <w:t xml:space="preserve">Przesunięcia z poziomu 3 </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i/>
                <w:noProof/>
                <w:color w:val="000000"/>
                <w:sz w:val="18"/>
              </w:rPr>
            </w:pPr>
            <w:r>
              <w:rPr>
                <w:rFonts w:ascii="Verdana" w:hAnsi="Verdana"/>
                <w:i/>
                <w:noProof/>
                <w:color w:val="000000"/>
                <w:sz w:val="18"/>
              </w:rPr>
              <w:t>Inne</w:t>
            </w:r>
          </w:p>
        </w:tc>
        <w:tc>
          <w:tcPr>
            <w:tcW w:w="234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(8)</w:t>
            </w:r>
          </w:p>
        </w:tc>
      </w:tr>
      <w:tr w:rsidR="0043277E">
        <w:trPr>
          <w:trHeight w:val="255"/>
        </w:trPr>
        <w:tc>
          <w:tcPr>
            <w:tcW w:w="74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45BIPRECOFINA"/>
              <w:rPr>
                <w:rFonts w:ascii="Verdana" w:eastAsia="Verdana" w:hAnsi="Verdana" w:cs="Verdana"/>
                <w:b/>
                <w:noProof/>
                <w:color w:val="000000"/>
                <w:sz w:val="18"/>
              </w:rPr>
            </w:pPr>
            <w:r>
              <w:rPr>
                <w:rFonts w:ascii="Verdana" w:hAnsi="Verdana"/>
                <w:b/>
                <w:noProof/>
                <w:color w:val="000000"/>
                <w:sz w:val="18"/>
              </w:rPr>
              <w:t>Saldo zamknięcia na 31.12.2019</w:t>
            </w:r>
          </w:p>
        </w:tc>
        <w:tc>
          <w:tcPr>
            <w:tcW w:w="23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6545BIPRECOFINA"/>
              <w:jc w:val="right"/>
              <w:rPr>
                <w:rFonts w:ascii="Verdana" w:eastAsia="Verdana" w:hAnsi="Verdana" w:cs="Verdana"/>
                <w:b/>
                <w:noProof/>
                <w:color w:val="000000"/>
                <w:sz w:val="18"/>
              </w:rPr>
            </w:pPr>
            <w:r>
              <w:rPr>
                <w:rFonts w:ascii="Verdana" w:hAnsi="Verdana"/>
                <w:b/>
                <w:noProof/>
                <w:color w:val="000000"/>
                <w:sz w:val="18"/>
              </w:rPr>
              <w:t>1 518</w:t>
            </w:r>
          </w:p>
        </w:tc>
      </w:tr>
    </w:tbl>
    <w:p w:rsidR="0043277E" w:rsidRDefault="000F2348">
      <w:pPr>
        <w:pStyle w:val="HEADER3NOTES"/>
        <w:rPr>
          <w:noProof/>
        </w:rPr>
      </w:pPr>
      <w:r>
        <w:rPr>
          <w:noProof/>
        </w:rPr>
        <w:lastRenderedPageBreak/>
        <w:t>Pożyczki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0"/>
        <w:gridCol w:w="1878"/>
        <w:gridCol w:w="1791"/>
        <w:gridCol w:w="1489"/>
      </w:tblGrid>
      <w:tr w:rsidR="0043277E">
        <w:trPr>
          <w:trHeight w:val="255"/>
        </w:trPr>
        <w:tc>
          <w:tcPr>
            <w:tcW w:w="46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O"/>
              <w:rPr>
                <w:rFonts w:ascii="Arial" w:eastAsia="Arial" w:hAnsi="Arial" w:cs="Arial"/>
                <w:noProof/>
                <w:color w:val="000000"/>
              </w:rPr>
            </w:pPr>
            <w:bookmarkStart w:id="57" w:name="DOC_TBL00018_1_1"/>
            <w:bookmarkEnd w:id="57"/>
          </w:p>
        </w:tc>
        <w:tc>
          <w:tcPr>
            <w:tcW w:w="18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O"/>
              <w:rPr>
                <w:rFonts w:ascii="Arial" w:eastAsia="Arial" w:hAnsi="Arial" w:cs="Arial"/>
                <w:noProof/>
                <w:color w:val="000000"/>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O"/>
              <w:rPr>
                <w:rFonts w:ascii="Arial" w:eastAsia="Arial" w:hAnsi="Arial" w:cs="Arial"/>
                <w:noProof/>
                <w:color w:val="000000"/>
              </w:rPr>
            </w:pPr>
          </w:p>
        </w:tc>
        <w:tc>
          <w:tcPr>
            <w:tcW w:w="148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60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LO"/>
              <w:rPr>
                <w:rFonts w:ascii="Verdana" w:eastAsia="Verdana" w:hAnsi="Verdana" w:cs="Verdana"/>
                <w:noProof/>
                <w:color w:val="FFFFFF"/>
              </w:rPr>
            </w:pPr>
          </w:p>
        </w:tc>
        <w:tc>
          <w:tcPr>
            <w:tcW w:w="18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O"/>
              <w:jc w:val="center"/>
              <w:rPr>
                <w:rFonts w:ascii="Verdana" w:eastAsia="Verdana" w:hAnsi="Verdana" w:cs="Verdana"/>
                <w:noProof/>
                <w:color w:val="FFFFFF"/>
              </w:rPr>
            </w:pPr>
            <w:r>
              <w:rPr>
                <w:rFonts w:ascii="Verdana" w:hAnsi="Verdana"/>
                <w:noProof/>
                <w:color w:val="FFFFFF"/>
              </w:rPr>
              <w:t>Informacja dodatkowa</w:t>
            </w:r>
          </w:p>
        </w:tc>
        <w:tc>
          <w:tcPr>
            <w:tcW w:w="179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O"/>
              <w:jc w:val="right"/>
              <w:rPr>
                <w:rFonts w:ascii="Verdana" w:eastAsia="Verdana" w:hAnsi="Verdana" w:cs="Verdana"/>
                <w:noProof/>
                <w:color w:val="FFFFFF"/>
              </w:rPr>
            </w:pPr>
            <w:r>
              <w:rPr>
                <w:rFonts w:ascii="Verdana" w:hAnsi="Verdana"/>
                <w:noProof/>
                <w:color w:val="FFFFFF"/>
              </w:rPr>
              <w:t>31.12.2019</w:t>
            </w:r>
          </w:p>
        </w:tc>
        <w:tc>
          <w:tcPr>
            <w:tcW w:w="148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O"/>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
              <w:rPr>
                <w:rFonts w:ascii="Verdana" w:eastAsia="Verdana" w:hAnsi="Verdana" w:cs="Verdana"/>
                <w:i/>
                <w:noProof/>
                <w:color w:val="000000"/>
                <w:sz w:val="18"/>
              </w:rPr>
            </w:pPr>
            <w:r>
              <w:rPr>
                <w:rFonts w:ascii="Verdana" w:hAnsi="Verdana"/>
                <w:i/>
                <w:noProof/>
                <w:color w:val="000000"/>
                <w:sz w:val="18"/>
              </w:rPr>
              <w:t>Pożyczki na pomoc finansową</w:t>
            </w:r>
          </w:p>
        </w:tc>
        <w:tc>
          <w:tcPr>
            <w:tcW w:w="1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
              <w:jc w:val="center"/>
              <w:rPr>
                <w:rFonts w:ascii="Verdana" w:eastAsia="Verdana" w:hAnsi="Verdana" w:cs="Verdana"/>
                <w:i/>
                <w:noProof/>
                <w:color w:val="000000"/>
                <w:sz w:val="18"/>
              </w:rPr>
            </w:pPr>
            <w:r>
              <w:rPr>
                <w:rFonts w:ascii="Verdana" w:hAnsi="Verdana"/>
                <w:i/>
                <w:noProof/>
                <w:color w:val="000000"/>
                <w:sz w:val="18"/>
              </w:rPr>
              <w:t>2.4.3.1</w:t>
            </w:r>
          </w:p>
        </w:tc>
        <w:tc>
          <w:tcPr>
            <w:tcW w:w="179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00000"/>
                <w:sz w:val="18"/>
              </w:rPr>
            </w:pPr>
            <w:r>
              <w:rPr>
                <w:rFonts w:ascii="Verdana" w:hAnsi="Verdana"/>
                <w:i/>
                <w:noProof/>
                <w:color w:val="000000"/>
                <w:sz w:val="18"/>
              </w:rPr>
              <w:t>52 564</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00000"/>
                <w:sz w:val="18"/>
              </w:rPr>
            </w:pPr>
            <w:r>
              <w:rPr>
                <w:rFonts w:ascii="Verdana" w:hAnsi="Verdana"/>
                <w:i/>
                <w:noProof/>
                <w:color w:val="000000"/>
                <w:sz w:val="18"/>
              </w:rPr>
              <w:t>53 873</w:t>
            </w:r>
          </w:p>
        </w:tc>
      </w:tr>
      <w:tr w:rsidR="0043277E">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
              <w:rPr>
                <w:rFonts w:ascii="Verdana" w:eastAsia="Verdana" w:hAnsi="Verdana" w:cs="Verdana"/>
                <w:i/>
                <w:noProof/>
                <w:color w:val="000000"/>
                <w:sz w:val="18"/>
              </w:rPr>
            </w:pPr>
            <w:r>
              <w:rPr>
                <w:rFonts w:ascii="Verdana" w:hAnsi="Verdana"/>
                <w:i/>
                <w:noProof/>
                <w:color w:val="000000"/>
                <w:sz w:val="18"/>
              </w:rPr>
              <w:t>Inne pożyczki</w:t>
            </w:r>
          </w:p>
        </w:tc>
        <w:tc>
          <w:tcPr>
            <w:tcW w:w="1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
              <w:jc w:val="center"/>
              <w:rPr>
                <w:rFonts w:ascii="Verdana" w:eastAsia="Verdana" w:hAnsi="Verdana" w:cs="Verdana"/>
                <w:i/>
                <w:noProof/>
                <w:color w:val="000000"/>
                <w:sz w:val="18"/>
              </w:rPr>
            </w:pPr>
            <w:r>
              <w:rPr>
                <w:rFonts w:ascii="Verdana" w:hAnsi="Verdana"/>
                <w:i/>
                <w:noProof/>
                <w:color w:val="000000"/>
                <w:sz w:val="18"/>
              </w:rPr>
              <w:t>2.4.3.2</w:t>
            </w:r>
          </w:p>
        </w:tc>
        <w:tc>
          <w:tcPr>
            <w:tcW w:w="179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00000"/>
                <w:sz w:val="18"/>
              </w:rPr>
            </w:pPr>
            <w:r>
              <w:rPr>
                <w:rFonts w:ascii="Verdana" w:hAnsi="Verdana"/>
                <w:i/>
                <w:noProof/>
                <w:color w:val="000000"/>
                <w:sz w:val="18"/>
              </w:rPr>
              <w:t xml:space="preserve"> 121</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00000"/>
                <w:sz w:val="18"/>
              </w:rPr>
            </w:pPr>
            <w:r>
              <w:rPr>
                <w:rFonts w:ascii="Verdana" w:hAnsi="Verdana"/>
                <w:i/>
                <w:noProof/>
                <w:color w:val="000000"/>
                <w:sz w:val="18"/>
              </w:rPr>
              <w:t xml:space="preserve"> 67</w:t>
            </w:r>
          </w:p>
        </w:tc>
      </w:tr>
      <w:tr w:rsidR="0043277E">
        <w:trPr>
          <w:trHeight w:val="255"/>
        </w:trPr>
        <w:tc>
          <w:tcPr>
            <w:tcW w:w="46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LO"/>
              <w:rPr>
                <w:rFonts w:ascii="Verdana" w:eastAsia="Verdana" w:hAnsi="Verdana" w:cs="Verdana"/>
                <w:b/>
                <w:noProof/>
                <w:color w:val="000000"/>
                <w:sz w:val="18"/>
              </w:rPr>
            </w:pPr>
            <w:r>
              <w:rPr>
                <w:rFonts w:ascii="Verdana" w:hAnsi="Verdana"/>
                <w:b/>
                <w:noProof/>
                <w:color w:val="000000"/>
                <w:sz w:val="18"/>
              </w:rPr>
              <w:t>Ogółem</w:t>
            </w:r>
          </w:p>
        </w:tc>
        <w:tc>
          <w:tcPr>
            <w:tcW w:w="1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43277E">
            <w:pPr>
              <w:pStyle w:val="DMETW17240BIPLO"/>
              <w:jc w:val="right"/>
              <w:rPr>
                <w:rFonts w:ascii="Verdana" w:eastAsia="Verdana" w:hAnsi="Verdana" w:cs="Verdana"/>
                <w:b/>
                <w:noProof/>
                <w:color w:val="000000"/>
                <w:sz w:val="18"/>
              </w:rPr>
            </w:pPr>
          </w:p>
        </w:tc>
        <w:tc>
          <w:tcPr>
            <w:tcW w:w="17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b/>
                <w:noProof/>
                <w:color w:val="000000"/>
                <w:sz w:val="18"/>
              </w:rPr>
            </w:pPr>
            <w:r>
              <w:rPr>
                <w:rFonts w:ascii="Verdana" w:hAnsi="Verdana"/>
                <w:b/>
                <w:noProof/>
                <w:color w:val="000000"/>
                <w:sz w:val="18"/>
              </w:rPr>
              <w:t>52 684</w:t>
            </w:r>
          </w:p>
        </w:tc>
        <w:tc>
          <w:tcPr>
            <w:tcW w:w="14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b/>
                <w:noProof/>
                <w:color w:val="000000"/>
                <w:sz w:val="18"/>
              </w:rPr>
            </w:pPr>
            <w:r>
              <w:rPr>
                <w:rFonts w:ascii="Verdana" w:hAnsi="Verdana"/>
                <w:b/>
                <w:noProof/>
                <w:color w:val="000000"/>
                <w:sz w:val="18"/>
              </w:rPr>
              <w:t>53 939</w:t>
            </w:r>
          </w:p>
        </w:tc>
      </w:tr>
      <w:tr w:rsidR="0043277E">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
              <w:rPr>
                <w:rFonts w:ascii="Verdana" w:eastAsia="Verdana" w:hAnsi="Verdana" w:cs="Verdana"/>
                <w:i/>
                <w:noProof/>
                <w:color w:val="016794"/>
                <w:sz w:val="18"/>
              </w:rPr>
            </w:pPr>
            <w:r>
              <w:rPr>
                <w:rFonts w:ascii="Verdana" w:hAnsi="Verdana"/>
                <w:i/>
                <w:noProof/>
                <w:color w:val="016794"/>
                <w:sz w:val="18"/>
              </w:rPr>
              <w:t>Trwałe</w:t>
            </w:r>
          </w:p>
        </w:tc>
        <w:tc>
          <w:tcPr>
            <w:tcW w:w="18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16794"/>
                <w:sz w:val="18"/>
              </w:rPr>
            </w:pPr>
            <w:r>
              <w:rPr>
                <w:rFonts w:ascii="Verdana" w:hAnsi="Verdana"/>
                <w:i/>
                <w:noProof/>
                <w:color w:val="016794"/>
                <w:sz w:val="18"/>
              </w:rPr>
              <w:t>51 368</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16794"/>
                <w:sz w:val="18"/>
              </w:rPr>
            </w:pPr>
            <w:r>
              <w:rPr>
                <w:rFonts w:ascii="Verdana" w:hAnsi="Verdana"/>
                <w:i/>
                <w:noProof/>
                <w:color w:val="016794"/>
                <w:sz w:val="18"/>
              </w:rPr>
              <w:t>51 560</w:t>
            </w:r>
          </w:p>
        </w:tc>
      </w:tr>
      <w:tr w:rsidR="0043277E">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
              <w:rPr>
                <w:rFonts w:ascii="Verdana" w:eastAsia="Verdana" w:hAnsi="Verdana" w:cs="Verdana"/>
                <w:i/>
                <w:noProof/>
                <w:color w:val="016794"/>
                <w:sz w:val="18"/>
              </w:rPr>
            </w:pPr>
            <w:r>
              <w:rPr>
                <w:rFonts w:ascii="Verdana" w:hAnsi="Verdana"/>
                <w:i/>
                <w:noProof/>
                <w:color w:val="016794"/>
                <w:sz w:val="18"/>
              </w:rPr>
              <w:t>Obrotowe</w:t>
            </w:r>
          </w:p>
        </w:tc>
        <w:tc>
          <w:tcPr>
            <w:tcW w:w="18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16794"/>
                <w:sz w:val="18"/>
              </w:rPr>
            </w:pPr>
            <w:r>
              <w:rPr>
                <w:rFonts w:ascii="Verdana" w:hAnsi="Verdana"/>
                <w:i/>
                <w:noProof/>
                <w:color w:val="016794"/>
                <w:sz w:val="18"/>
              </w:rPr>
              <w:t>1 316</w:t>
            </w:r>
          </w:p>
        </w:tc>
        <w:tc>
          <w:tcPr>
            <w:tcW w:w="148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
              <w:jc w:val="right"/>
              <w:rPr>
                <w:rFonts w:ascii="Verdana" w:eastAsia="Verdana" w:hAnsi="Verdana" w:cs="Verdana"/>
                <w:i/>
                <w:noProof/>
                <w:color w:val="016794"/>
                <w:sz w:val="18"/>
              </w:rPr>
            </w:pPr>
            <w:r>
              <w:rPr>
                <w:rFonts w:ascii="Verdana" w:hAnsi="Verdana"/>
                <w:i/>
                <w:noProof/>
                <w:color w:val="016794"/>
                <w:sz w:val="18"/>
              </w:rPr>
              <w:t>2 380</w:t>
            </w:r>
          </w:p>
        </w:tc>
      </w:tr>
    </w:tbl>
    <w:p w:rsidR="0043277E" w:rsidRDefault="0043277E">
      <w:pPr>
        <w:rPr>
          <w:rFonts w:ascii="Verdana" w:hAnsi="Verdana"/>
          <w:noProof/>
          <w:color w:val="016794"/>
          <w:sz w:val="18"/>
          <w:szCs w:val="18"/>
        </w:rPr>
      </w:pPr>
    </w:p>
    <w:p w:rsidR="0043277E" w:rsidRDefault="000F2348">
      <w:pPr>
        <w:rPr>
          <w:rFonts w:ascii="Verdana" w:hAnsi="Verdana"/>
          <w:noProof/>
          <w:color w:val="016794"/>
          <w:sz w:val="18"/>
          <w:szCs w:val="18"/>
        </w:rPr>
      </w:pPr>
      <w:r>
        <w:rPr>
          <w:noProof/>
        </w:rPr>
        <w:br w:type="page"/>
      </w:r>
    </w:p>
    <w:p w:rsidR="0043277E" w:rsidRDefault="000F2348">
      <w:pPr>
        <w:pStyle w:val="HEADER4NOTES"/>
        <w:rPr>
          <w:noProof/>
        </w:rPr>
      </w:pPr>
      <w:r>
        <w:rPr>
          <w:noProof/>
        </w:rPr>
        <w:lastRenderedPageBreak/>
        <w:t>Pożyczki na pomoc finansową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9"/>
        <w:gridCol w:w="1243"/>
        <w:gridCol w:w="1188"/>
        <w:gridCol w:w="996"/>
        <w:gridCol w:w="959"/>
        <w:gridCol w:w="1124"/>
        <w:gridCol w:w="1279"/>
      </w:tblGrid>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GFBF"/>
              <w:rPr>
                <w:rFonts w:ascii="Arial" w:eastAsia="Arial" w:hAnsi="Arial" w:cs="Arial"/>
                <w:noProof/>
                <w:color w:val="000000"/>
              </w:rPr>
            </w:pPr>
            <w:bookmarkStart w:id="58" w:name="DOC_TBL00019_1_1"/>
            <w:bookmarkEnd w:id="58"/>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GFBF"/>
              <w:rPr>
                <w:rFonts w:ascii="Arial" w:eastAsia="Arial" w:hAnsi="Arial" w:cs="Arial"/>
                <w:noProof/>
                <w:color w:val="000000"/>
              </w:rPr>
            </w:pP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GFBF"/>
              <w:rPr>
                <w:rFonts w:ascii="Arial" w:eastAsia="Arial" w:hAnsi="Arial" w:cs="Arial"/>
                <w:noProof/>
                <w:color w:val="000000"/>
              </w:rPr>
            </w:pP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GFBF"/>
              <w:rPr>
                <w:rFonts w:ascii="Arial" w:eastAsia="Arial" w:hAnsi="Arial" w:cs="Arial"/>
                <w:noProof/>
                <w:color w:val="000000"/>
              </w:rPr>
            </w:pP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GFBF"/>
              <w:rPr>
                <w:rFonts w:ascii="Arial" w:eastAsia="Arial" w:hAnsi="Arial" w:cs="Arial"/>
                <w:noProof/>
                <w:color w:val="000000"/>
              </w:rPr>
            </w:pP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GFBF"/>
              <w:rPr>
                <w:rFonts w:ascii="Arial" w:eastAsia="Arial" w:hAnsi="Arial" w:cs="Arial"/>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96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LGFBF"/>
              <w:jc w:val="right"/>
              <w:rPr>
                <w:rFonts w:ascii="Verdana" w:eastAsia="Verdana" w:hAnsi="Verdana" w:cs="Verdana"/>
                <w:noProof/>
                <w:color w:val="FFFFFF"/>
              </w:rPr>
            </w:pPr>
          </w:p>
        </w:tc>
        <w:tc>
          <w:tcPr>
            <w:tcW w:w="124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GFBF"/>
              <w:jc w:val="right"/>
              <w:rPr>
                <w:rFonts w:ascii="Verdana" w:eastAsia="Verdana" w:hAnsi="Verdana" w:cs="Verdana"/>
                <w:noProof/>
                <w:color w:val="FFFFFF"/>
                <w:sz w:val="18"/>
              </w:rPr>
            </w:pPr>
            <w:r>
              <w:rPr>
                <w:rFonts w:ascii="Verdana" w:hAnsi="Verdana"/>
                <w:noProof/>
                <w:color w:val="FFFFFF"/>
                <w:sz w:val="18"/>
              </w:rPr>
              <w:t>EFSM</w:t>
            </w:r>
          </w:p>
        </w:tc>
        <w:tc>
          <w:tcPr>
            <w:tcW w:w="118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GFBF"/>
              <w:jc w:val="right"/>
              <w:rPr>
                <w:rFonts w:ascii="Verdana" w:eastAsia="Verdana" w:hAnsi="Verdana" w:cs="Verdana"/>
                <w:noProof/>
                <w:color w:val="FFFFFF"/>
                <w:sz w:val="18"/>
              </w:rPr>
            </w:pPr>
            <w:r>
              <w:rPr>
                <w:rFonts w:ascii="Verdana" w:hAnsi="Verdana"/>
                <w:noProof/>
                <w:color w:val="FFFFFF"/>
                <w:sz w:val="18"/>
              </w:rPr>
              <w:t>Wsparcie bilansu płatniczego</w:t>
            </w:r>
          </w:p>
        </w:tc>
        <w:tc>
          <w:tcPr>
            <w:tcW w:w="99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GFBF"/>
              <w:jc w:val="right"/>
              <w:rPr>
                <w:rFonts w:ascii="Verdana" w:eastAsia="Verdana" w:hAnsi="Verdana" w:cs="Verdana"/>
                <w:noProof/>
                <w:color w:val="FFFFFF"/>
                <w:sz w:val="18"/>
              </w:rPr>
            </w:pPr>
            <w:r>
              <w:rPr>
                <w:rFonts w:ascii="Verdana" w:hAnsi="Verdana"/>
                <w:noProof/>
                <w:color w:val="FFFFFF"/>
                <w:sz w:val="18"/>
              </w:rPr>
              <w:t>Pomoc makrofinansowa</w:t>
            </w:r>
          </w:p>
        </w:tc>
        <w:tc>
          <w:tcPr>
            <w:tcW w:w="95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GFBF"/>
              <w:jc w:val="right"/>
              <w:rPr>
                <w:rFonts w:ascii="Verdana" w:eastAsia="Verdana" w:hAnsi="Verdana" w:cs="Verdana"/>
                <w:noProof/>
                <w:color w:val="FFFFFF"/>
                <w:sz w:val="18"/>
              </w:rPr>
            </w:pPr>
            <w:r>
              <w:rPr>
                <w:rFonts w:ascii="Verdana" w:hAnsi="Verdana"/>
                <w:noProof/>
                <w:color w:val="FFFFFF"/>
                <w:sz w:val="18"/>
              </w:rPr>
              <w:t>Euratom</w:t>
            </w:r>
          </w:p>
        </w:tc>
        <w:tc>
          <w:tcPr>
            <w:tcW w:w="112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GFBF"/>
              <w:jc w:val="right"/>
              <w:rPr>
                <w:rFonts w:ascii="Verdana" w:eastAsia="Verdana" w:hAnsi="Verdana" w:cs="Verdana"/>
                <w:noProof/>
                <w:color w:val="FFFFFF"/>
                <w:sz w:val="18"/>
              </w:rPr>
            </w:pPr>
            <w:r>
              <w:rPr>
                <w:rFonts w:ascii="Verdana" w:hAnsi="Verdana"/>
                <w:noProof/>
                <w:color w:val="FFFFFF"/>
                <w:sz w:val="18"/>
              </w:rPr>
              <w:t>EWWiS w likwidacji</w:t>
            </w:r>
          </w:p>
        </w:tc>
        <w:tc>
          <w:tcPr>
            <w:tcW w:w="127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GFBF"/>
              <w:jc w:val="right"/>
              <w:rPr>
                <w:rFonts w:ascii="Verdana" w:eastAsia="Verdana" w:hAnsi="Verdana" w:cs="Verdana"/>
                <w:noProof/>
                <w:color w:val="FFFFFF"/>
                <w:sz w:val="18"/>
              </w:rPr>
            </w:pPr>
            <w:r>
              <w:rPr>
                <w:rFonts w:ascii="Verdana" w:hAnsi="Verdana"/>
                <w:noProof/>
                <w:color w:val="FFFFFF"/>
                <w:sz w:val="18"/>
              </w:rPr>
              <w:t>Ogółem</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00000"/>
                <w:sz w:val="18"/>
              </w:rPr>
            </w:pPr>
            <w:r>
              <w:rPr>
                <w:rFonts w:ascii="Verdana" w:hAnsi="Verdana"/>
                <w:i/>
                <w:noProof/>
                <w:color w:val="000000"/>
                <w:sz w:val="18"/>
              </w:rPr>
              <w:t>Ogółem na 31.12.2018</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47 400</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1 734</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4 388</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254</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98</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53 873</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00000"/>
                <w:sz w:val="18"/>
              </w:rPr>
            </w:pPr>
            <w:r>
              <w:rPr>
                <w:rFonts w:ascii="Verdana" w:hAnsi="Verdana"/>
                <w:i/>
                <w:noProof/>
                <w:color w:val="000000"/>
                <w:sz w:val="18"/>
              </w:rPr>
              <w:t>Nowe udzielone pożyczki</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420</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420</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00000"/>
                <w:sz w:val="18"/>
              </w:rPr>
            </w:pPr>
            <w:r>
              <w:rPr>
                <w:rFonts w:ascii="Verdana" w:hAnsi="Verdana"/>
                <w:i/>
                <w:noProof/>
                <w:color w:val="000000"/>
                <w:sz w:val="18"/>
              </w:rPr>
              <w:t>Spłaty</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(1 500)</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(52)</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(40)</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(1 689)</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00000"/>
                <w:sz w:val="18"/>
              </w:rPr>
            </w:pPr>
            <w:r>
              <w:rPr>
                <w:rFonts w:ascii="Verdana" w:hAnsi="Verdana"/>
                <w:i/>
                <w:noProof/>
                <w:color w:val="000000"/>
                <w:sz w:val="18"/>
              </w:rPr>
              <w:t>Różnice kursowe</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00000"/>
                <w:sz w:val="18"/>
              </w:rPr>
            </w:pPr>
            <w:r>
              <w:rPr>
                <w:rFonts w:ascii="Verdana" w:hAnsi="Verdana"/>
                <w:i/>
                <w:noProof/>
                <w:color w:val="000000"/>
                <w:sz w:val="18"/>
              </w:rPr>
              <w:t>Zmiany wartości bilansowej</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(33)</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(1)</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(45)</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00000"/>
                <w:sz w:val="18"/>
              </w:rPr>
            </w:pPr>
            <w:r>
              <w:rPr>
                <w:rFonts w:ascii="Verdana" w:hAnsi="Verdana"/>
                <w:i/>
                <w:noProof/>
                <w:color w:val="000000"/>
                <w:sz w:val="18"/>
              </w:rPr>
              <w:t>Utrata wartości</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29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GFBF"/>
              <w:rPr>
                <w:rFonts w:ascii="Verdana" w:eastAsia="Verdana" w:hAnsi="Verdana" w:cs="Verdana"/>
                <w:b/>
                <w:noProof/>
                <w:color w:val="000000"/>
                <w:sz w:val="18"/>
              </w:rPr>
            </w:pPr>
            <w:r>
              <w:rPr>
                <w:rFonts w:ascii="Verdana" w:hAnsi="Verdana"/>
                <w:b/>
                <w:noProof/>
                <w:color w:val="000000"/>
                <w:sz w:val="18"/>
              </w:rPr>
              <w:t>Ogółem na 31.12.2019</w:t>
            </w:r>
          </w:p>
        </w:tc>
        <w:tc>
          <w:tcPr>
            <w:tcW w:w="12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b/>
                <w:noProof/>
                <w:color w:val="000000"/>
                <w:sz w:val="18"/>
              </w:rPr>
            </w:pPr>
            <w:r>
              <w:rPr>
                <w:rFonts w:ascii="Verdana" w:hAnsi="Verdana"/>
                <w:b/>
                <w:noProof/>
                <w:color w:val="000000"/>
                <w:sz w:val="18"/>
              </w:rPr>
              <w:t>47 394</w:t>
            </w:r>
          </w:p>
        </w:tc>
        <w:tc>
          <w:tcPr>
            <w:tcW w:w="1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9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b/>
                <w:noProof/>
                <w:color w:val="000000"/>
                <w:sz w:val="18"/>
              </w:rPr>
            </w:pPr>
            <w:r>
              <w:rPr>
                <w:rFonts w:ascii="Verdana" w:hAnsi="Verdana"/>
                <w:b/>
                <w:noProof/>
                <w:color w:val="000000"/>
                <w:sz w:val="18"/>
              </w:rPr>
              <w:t>4 754</w:t>
            </w:r>
          </w:p>
        </w:tc>
        <w:tc>
          <w:tcPr>
            <w:tcW w:w="9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214</w:t>
            </w:r>
          </w:p>
        </w:tc>
        <w:tc>
          <w:tcPr>
            <w:tcW w:w="11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0</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b/>
                <w:noProof/>
                <w:color w:val="000000"/>
                <w:sz w:val="18"/>
              </w:rPr>
            </w:pPr>
            <w:r>
              <w:rPr>
                <w:rFonts w:ascii="Verdana" w:hAnsi="Verdana"/>
                <w:b/>
                <w:noProof/>
                <w:color w:val="000000"/>
                <w:sz w:val="18"/>
              </w:rPr>
              <w:t>52 564</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16794"/>
                <w:sz w:val="18"/>
              </w:rPr>
            </w:pPr>
            <w:r>
              <w:rPr>
                <w:rFonts w:ascii="Verdana" w:hAnsi="Verdana"/>
                <w:i/>
                <w:noProof/>
                <w:color w:val="016794"/>
                <w:sz w:val="18"/>
              </w:rPr>
              <w:t>Trwałe</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46 800</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4 112</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178</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51 290</w:t>
            </w:r>
          </w:p>
        </w:tc>
      </w:tr>
      <w:tr w:rsidR="0043277E">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GFBF"/>
              <w:rPr>
                <w:rFonts w:ascii="Verdana" w:eastAsia="Verdana" w:hAnsi="Verdana" w:cs="Verdana"/>
                <w:i/>
                <w:noProof/>
                <w:color w:val="016794"/>
                <w:sz w:val="18"/>
              </w:rPr>
            </w:pPr>
            <w:r>
              <w:rPr>
                <w:rFonts w:ascii="Verdana" w:hAnsi="Verdana"/>
                <w:i/>
                <w:noProof/>
                <w:color w:val="016794"/>
                <w:sz w:val="18"/>
              </w:rPr>
              <w:t>Obrotowe</w:t>
            </w:r>
          </w:p>
        </w:tc>
        <w:tc>
          <w:tcPr>
            <w:tcW w:w="124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594</w:t>
            </w:r>
          </w:p>
        </w:tc>
        <w:tc>
          <w:tcPr>
            <w:tcW w:w="11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9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643</w:t>
            </w:r>
          </w:p>
        </w:tc>
        <w:tc>
          <w:tcPr>
            <w:tcW w:w="95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35</w:t>
            </w:r>
          </w:p>
        </w:tc>
        <w:tc>
          <w:tcPr>
            <w:tcW w:w="11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GFBF"/>
              <w:jc w:val="right"/>
              <w:rPr>
                <w:rFonts w:ascii="Verdana" w:eastAsia="Verdana" w:hAnsi="Verdana" w:cs="Verdana"/>
                <w:i/>
                <w:noProof/>
                <w:color w:val="016794"/>
                <w:sz w:val="18"/>
              </w:rPr>
            </w:pPr>
            <w:r>
              <w:rPr>
                <w:rFonts w:ascii="Verdana" w:hAnsi="Verdana"/>
                <w:i/>
                <w:noProof/>
                <w:color w:val="016794"/>
                <w:sz w:val="18"/>
              </w:rPr>
              <w:t>1 273</w:t>
            </w:r>
          </w:p>
        </w:tc>
      </w:tr>
    </w:tbl>
    <w:p w:rsidR="0043277E" w:rsidRDefault="000F2348">
      <w:pPr>
        <w:pStyle w:val="DGTextstand-alone"/>
        <w:spacing w:before="120" w:after="120"/>
      </w:pPr>
      <w:r>
        <w:t xml:space="preserve">Wartość nominalna pożyczek na pomoc finansową na dzień 31 grudnia 2019 r. wyniosła 51 941 mln EUR (w 2018 r.: 53 206 mln EUR). Zmiana wartości bilansowej </w:t>
      </w:r>
      <w:r>
        <w:t>odpowiada zmianom naliczonych odsetek.</w:t>
      </w:r>
    </w:p>
    <w:p w:rsidR="0043277E" w:rsidRDefault="000F2348">
      <w:pPr>
        <w:pStyle w:val="DGTextstand-alone"/>
        <w:spacing w:before="120" w:after="120"/>
      </w:pPr>
      <w:r>
        <w:t>EFSM umożliwia przyznanie pomocy finansowej państwu członkowskiemu, które ma trudności lub jest istotnie zagrożone poważnymi trudnościami z racji nadzwyczajnych okoliczności pozostających poza jego kontrolą. Pomoc moż</w:t>
      </w:r>
      <w:r>
        <w:t>e być udzielona w formie pożyczki lub linii kredytowej. Zgodnie z konkluzjami Rady Ecofin z dnia 9 maja 2010 r. pułap tego mechanizmu ograniczono do 60 mld EUR, jednak istnieje ograniczenie prawne, zgodnie z którym łączna kwota pożyczek lub linii kredytowy</w:t>
      </w:r>
      <w:r>
        <w:t>ch jest ograniczona do marginesu dostępnego w ramach pułapu zasobów własnych. Zaciągnięte pożyczki związane z pożyczkami wypłaconymi w ramach EFSM są gwarantowane przez budżet UE. Nie przewiduje się zaangażowania EFSM w nowe programy finansowania ani zawie</w:t>
      </w:r>
      <w:r>
        <w:t>rania przez nie nowych umów o udzielenie pożyczek.</w:t>
      </w:r>
    </w:p>
    <w:p w:rsidR="0043277E" w:rsidRDefault="000F2348">
      <w:pPr>
        <w:pStyle w:val="DGTextstand-alone"/>
        <w:spacing w:before="120" w:after="120"/>
      </w:pPr>
      <w:r>
        <w:t xml:space="preserve">Instrument wsparcia bilansu płatniczego jest opartym na założeniach politycznych instrumentem finansowym, który umożliwia udzielanie średnioterminowej pomocy finansowej państwom członkowskim UE, które nie </w:t>
      </w:r>
      <w:r>
        <w:t>przyjęły euro. Umożliwia on udzielanie pożyczek państwom członkowskim, które mają trudności lub są poważnie zagrożone trudnościami z bieżącym bilansem płatniczym lub przepływem kapitału. Maksymalna kwota pożyczek, jakich można udzielić w ramach tego instru</w:t>
      </w:r>
      <w:r>
        <w:t>mentu, wynosi 50 mld EUR. Zaciągnięte pożyczki związane z pożyczkami wypłaconymi w ramach bilansu płatniczego są gwarantowane przez budżet UE. W 2019 r. Rumunia spłaciła pozostałą część swojej niespłaconej pożyczki w wysokości 1 mld EUR, a Łotwa spłaciła 5</w:t>
      </w:r>
      <w:r>
        <w:t>00 mln EUR z pozostałej do spłaty kwoty 700 mln EUR.</w:t>
      </w:r>
    </w:p>
    <w:p w:rsidR="0043277E" w:rsidRDefault="000F2348">
      <w:pPr>
        <w:pStyle w:val="DGTextstand-alone"/>
        <w:spacing w:before="120" w:after="120"/>
      </w:pPr>
      <w:r>
        <w:t>Pomoc makrofinansowa</w:t>
      </w:r>
      <w:r>
        <w:rPr>
          <w:b/>
        </w:rPr>
        <w:t xml:space="preserve"> </w:t>
      </w:r>
      <w:r>
        <w:t>stanowi formę pomocy finansowej, której zakres UE rozszerzyła na państwa partnerskie zmagające się z kryzysem w bilansie płatniczym. Pomoc ta przyjmuje formę średnio- bądź długotermi</w:t>
      </w:r>
      <w:r>
        <w:t>nowych pożyczek lub dotacji, albo odpowiedniego połączenia tych instrumentów, i zasadniczo służy uzupełnieniu finansowania zapewnianego w ramach programu dostosowań i reform wspieranego przez MFW. Pożyczki te są objęte gwarancją z Funduszu Gwarancyjnego dl</w:t>
      </w:r>
      <w:r>
        <w:t xml:space="preserve">a działań zewnętrznych. W roku, który zakończył się dnia 31 grudnia 2019 r., dokonano dalszych wypłat pożyczek w ramach pomocy makrofinansowej na łączną kwotę 420 mln EUR, w tym 300 mln EUR dla Tunezji, 100 mln EUR dla Jordanii i 20 mln EUR dla Mołdawii – </w:t>
      </w:r>
      <w:r>
        <w:t xml:space="preserve">zob. również informacja dodatkowa </w:t>
      </w:r>
      <w:r>
        <w:rPr>
          <w:b/>
        </w:rPr>
        <w:t>4.1.2</w:t>
      </w:r>
      <w:r>
        <w:t>.</w:t>
      </w:r>
    </w:p>
    <w:p w:rsidR="0043277E" w:rsidRDefault="000F2348">
      <w:pPr>
        <w:pStyle w:val="DGTextstand-alone"/>
        <w:spacing w:before="120" w:after="120"/>
      </w:pPr>
      <w:r>
        <w:t>Europejska Wspólnota Energii Atomowej (Euratom, reprezentowana przez Komisję) pożycza środki finansowe zarówno państwom członkowskim, jak i państwom spoza UE, a także podmiotom z tych państw na finansowanie projektó</w:t>
      </w:r>
      <w:r>
        <w:t xml:space="preserve">w dotyczących instalacji energetycznych. W odniesieniu do pożyczek udzielonych przez Euratom uzyskano od osób trzecich gwarancje w wysokości 214 mln EUR (w 2018 r.: 254 mln EUR) – zob. informacja dodatkowa </w:t>
      </w:r>
      <w:r>
        <w:rPr>
          <w:b/>
        </w:rPr>
        <w:t>4.1.2</w:t>
      </w:r>
      <w:r>
        <w:t>.</w:t>
      </w:r>
    </w:p>
    <w:p w:rsidR="0043277E" w:rsidRDefault="000F2348">
      <w:pPr>
        <w:pStyle w:val="DGTextstand-alone"/>
      </w:pPr>
      <w:r>
        <w:t xml:space="preserve">Pożyczki EWWiS w likwidacji nie są </w:t>
      </w:r>
      <w:r>
        <w:t>pożyczkami o charakterze pomocy finansowej, lecz wekslami własnymi w celu utrzymania przepływów pieniężnych równolegle do zaciągniętych pożyczek. Jednakże, podobnie jak w przypadku pożyczek o charakterze pomocy finansowej, udzielano ich z pożyczonych fundu</w:t>
      </w:r>
      <w:r>
        <w:t>szy zgodnie z art. 54 i 56 Traktatu EWWiS na finansowanie projektów. Ostatnie weksle własne zostały w pełni spłacone w 2019 r.</w:t>
      </w:r>
    </w:p>
    <w:p w:rsidR="0043277E" w:rsidRDefault="000F2348">
      <w:pPr>
        <w:pStyle w:val="HEADER5"/>
        <w:keepNext/>
        <w:spacing w:before="360" w:after="360"/>
        <w:rPr>
          <w:noProof/>
        </w:rPr>
      </w:pPr>
      <w:r>
        <w:rPr>
          <w:noProof/>
        </w:rPr>
        <w:lastRenderedPageBreak/>
        <w:t>Efektywne stopy procentowe udzielonych pożyczek (wyrażone jako przedział stóp procentowych) przedstawiały się następująco: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43277E">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BORR2"/>
              <w:keepNext/>
              <w:jc w:val="right"/>
              <w:rPr>
                <w:rFonts w:ascii="Verdana" w:eastAsia="Verdana" w:hAnsi="Verdana" w:cs="Verdana"/>
                <w:noProof/>
                <w:color w:val="FFFFFF"/>
              </w:rPr>
            </w:pPr>
            <w:bookmarkStart w:id="59" w:name="DOC_TBL00020_1_1"/>
            <w:bookmarkEnd w:id="59"/>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BORR2"/>
              <w:keepNext/>
              <w:jc w:val="right"/>
              <w:rPr>
                <w:rFonts w:ascii="Verdana" w:eastAsia="Verdana" w:hAnsi="Verdana" w:cs="Verdana"/>
                <w:noProof/>
                <w:color w:val="FFFFFF"/>
              </w:rPr>
            </w:pPr>
            <w:r>
              <w:rPr>
                <w:rFonts w:ascii="Verdana" w:hAnsi="Verdana"/>
                <w:noProof/>
                <w:color w:val="FFFFFF"/>
              </w:rPr>
              <w:t>31.12</w:t>
            </w:r>
            <w:r>
              <w:rPr>
                <w:rFonts w:ascii="Verdana" w:hAnsi="Verdana"/>
                <w:noProof/>
                <w:color w:val="FFFFFF"/>
              </w:rPr>
              <w:t>.2019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BORR2"/>
              <w:keepNext/>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rPr>
                <w:rFonts w:ascii="Verdana" w:eastAsia="Verdana" w:hAnsi="Verdana" w:cs="Verdana"/>
                <w:i/>
                <w:noProof/>
                <w:color w:val="000000"/>
                <w:sz w:val="18"/>
              </w:rPr>
            </w:pPr>
            <w:r>
              <w:rPr>
                <w:rFonts w:ascii="Verdana" w:hAnsi="Verdana"/>
                <w:i/>
                <w:noProof/>
                <w:color w:val="000000"/>
                <w:sz w:val="18"/>
              </w:rPr>
              <w:t>Pomoc makrofinansowa (MFA)</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0 % - 3,82 %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0 % - 3,82 %</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rPr>
                <w:rFonts w:ascii="Verdana" w:eastAsia="Verdana" w:hAnsi="Verdana" w:cs="Verdana"/>
                <w:i/>
                <w:noProof/>
                <w:color w:val="000000"/>
                <w:sz w:val="18"/>
              </w:rPr>
            </w:pPr>
            <w:r>
              <w:rPr>
                <w:rFonts w:ascii="Verdana" w:hAnsi="Verdana"/>
                <w:i/>
                <w:noProof/>
                <w:color w:val="000000"/>
                <w:sz w:val="18"/>
              </w:rPr>
              <w:t>Euratom</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0,08 % - 5,76 %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0,08 % - 5,76 %</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rPr>
                <w:rFonts w:ascii="Verdana" w:eastAsia="Verdana" w:hAnsi="Verdana" w:cs="Verdana"/>
                <w:i/>
                <w:noProof/>
                <w:color w:val="000000"/>
                <w:sz w:val="18"/>
              </w:rPr>
            </w:pPr>
            <w:r>
              <w:rPr>
                <w:rFonts w:ascii="Verdana" w:hAnsi="Verdana"/>
                <w:i/>
                <w:noProof/>
                <w:color w:val="000000"/>
                <w:sz w:val="18"/>
              </w:rPr>
              <w:t>Bilans płatniczy (BOP)</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2,88 %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2,88 % - 3,38 %</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rPr>
                <w:rFonts w:ascii="Verdana" w:eastAsia="Verdana" w:hAnsi="Verdana" w:cs="Verdana"/>
                <w:i/>
                <w:noProof/>
                <w:color w:val="000000"/>
                <w:sz w:val="18"/>
              </w:rPr>
            </w:pPr>
            <w:r>
              <w:rPr>
                <w:rFonts w:ascii="Verdana" w:hAnsi="Verdana"/>
                <w:i/>
                <w:noProof/>
                <w:color w:val="000000"/>
                <w:sz w:val="18"/>
              </w:rPr>
              <w:t>Europejski mechanizm stabilizacji finansowej (EFSM)</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0,50 % - 3,75 %</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0,50 % - 3,75 %</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rPr>
                <w:rFonts w:ascii="Verdana" w:eastAsia="Verdana" w:hAnsi="Verdana" w:cs="Verdana"/>
                <w:i/>
                <w:noProof/>
                <w:color w:val="000000"/>
                <w:sz w:val="18"/>
              </w:rPr>
            </w:pPr>
            <w:r>
              <w:rPr>
                <w:rFonts w:ascii="Verdana" w:hAnsi="Verdana"/>
                <w:i/>
                <w:noProof/>
                <w:color w:val="000000"/>
                <w:sz w:val="18"/>
              </w:rPr>
              <w:t xml:space="preserve">EWWiS w </w:t>
            </w:r>
            <w:r>
              <w:rPr>
                <w:rFonts w:ascii="Verdana" w:hAnsi="Verdana"/>
                <w:i/>
                <w:noProof/>
                <w:color w:val="000000"/>
                <w:sz w:val="18"/>
              </w:rPr>
              <w:t>likwidacji</w:t>
            </w:r>
          </w:p>
        </w:tc>
        <w:tc>
          <w:tcPr>
            <w:tcW w:w="2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w:t>
            </w:r>
          </w:p>
        </w:tc>
        <w:tc>
          <w:tcPr>
            <w:tcW w:w="2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BORR2"/>
              <w:keepNext/>
              <w:jc w:val="right"/>
              <w:rPr>
                <w:rFonts w:ascii="Verdana" w:eastAsia="Verdana" w:hAnsi="Verdana" w:cs="Verdana"/>
                <w:i/>
                <w:noProof/>
                <w:color w:val="000000"/>
                <w:sz w:val="18"/>
              </w:rPr>
            </w:pPr>
            <w:r>
              <w:rPr>
                <w:rFonts w:ascii="Verdana" w:hAnsi="Verdana"/>
                <w:i/>
                <w:noProof/>
                <w:color w:val="000000"/>
                <w:sz w:val="18"/>
              </w:rPr>
              <w:t>5,23 % - 5,81 %</w:t>
            </w:r>
          </w:p>
        </w:tc>
      </w:tr>
    </w:tbl>
    <w:p w:rsidR="0043277E" w:rsidRDefault="0043277E">
      <w:pPr>
        <w:pStyle w:val="HEADER5"/>
        <w:keepNext/>
        <w:rPr>
          <w:noProof/>
        </w:rPr>
      </w:pPr>
    </w:p>
    <w:p w:rsidR="0043277E" w:rsidRDefault="000F2348">
      <w:pPr>
        <w:rPr>
          <w:rFonts w:ascii="Verdana" w:hAnsi="Verdana"/>
          <w:noProof/>
          <w:color w:val="016794"/>
          <w:sz w:val="18"/>
          <w:szCs w:val="18"/>
        </w:rPr>
      </w:pPr>
      <w:r>
        <w:rPr>
          <w:noProof/>
        </w:rPr>
        <w:br w:type="page"/>
      </w:r>
    </w:p>
    <w:p w:rsidR="0043277E" w:rsidRDefault="000F2348">
      <w:pPr>
        <w:pStyle w:val="HEADER4NOTES"/>
        <w:rPr>
          <w:noProof/>
        </w:rPr>
      </w:pPr>
      <w:r>
        <w:rPr>
          <w:noProof/>
        </w:rPr>
        <w:lastRenderedPageBreak/>
        <w:t>Inne pożyczki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OBUDG"/>
              <w:rPr>
                <w:rFonts w:ascii="Arial" w:eastAsia="Arial" w:hAnsi="Arial" w:cs="Arial"/>
                <w:noProof/>
                <w:color w:val="000000"/>
              </w:rPr>
            </w:pPr>
            <w:bookmarkStart w:id="60" w:name="DOC_TBL00021_1_1"/>
            <w:bookmarkEnd w:id="60"/>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LOBUDG"/>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LOBUDG"/>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OBUDG"/>
              <w:jc w:val="right"/>
              <w:rPr>
                <w:rFonts w:ascii="Verdana" w:eastAsia="Verdana" w:hAnsi="Verdana" w:cs="Verdana"/>
                <w:noProof/>
                <w:color w:val="FFFFFF"/>
              </w:rPr>
            </w:pPr>
            <w:r>
              <w:rPr>
                <w:rFonts w:ascii="Verdana" w:hAnsi="Verdana"/>
                <w:noProof/>
                <w:color w:val="FFFFFF"/>
              </w:rPr>
              <w:t>31.12.2019</w:t>
            </w:r>
          </w:p>
        </w:tc>
        <w:tc>
          <w:tcPr>
            <w:tcW w:w="2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LOBUDG"/>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BUDG"/>
              <w:rPr>
                <w:rFonts w:ascii="Verdana" w:eastAsia="Verdana" w:hAnsi="Verdana" w:cs="Verdana"/>
                <w:i/>
                <w:noProof/>
                <w:color w:val="000000"/>
                <w:sz w:val="18"/>
              </w:rPr>
            </w:pPr>
            <w:r>
              <w:rPr>
                <w:rFonts w:ascii="Verdana" w:hAnsi="Verdana"/>
                <w:i/>
                <w:noProof/>
                <w:color w:val="000000"/>
                <w:sz w:val="18"/>
              </w:rPr>
              <w:t>Pożyczki na specjalnych warunkach</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73</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64</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BUDG"/>
              <w:rPr>
                <w:rFonts w:ascii="Verdana" w:eastAsia="Verdana" w:hAnsi="Verdana" w:cs="Verdana"/>
                <w:i/>
                <w:noProof/>
                <w:color w:val="000000"/>
                <w:sz w:val="18"/>
              </w:rPr>
            </w:pPr>
            <w:r>
              <w:rPr>
                <w:rFonts w:ascii="Verdana" w:hAnsi="Verdana"/>
                <w:i/>
                <w:noProof/>
                <w:color w:val="000000"/>
                <w:sz w:val="18"/>
              </w:rPr>
              <w:t>Pożyczki EWWiS w likwidacji na budownictwo czynszowe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1</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2</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BUDG"/>
              <w:rPr>
                <w:rFonts w:ascii="Verdana" w:eastAsia="Verdana" w:hAnsi="Verdana" w:cs="Verdana"/>
                <w:i/>
                <w:noProof/>
                <w:color w:val="000000"/>
                <w:sz w:val="18"/>
              </w:rPr>
            </w:pPr>
            <w:r>
              <w:rPr>
                <w:rFonts w:ascii="Verdana" w:hAnsi="Verdana"/>
                <w:i/>
                <w:noProof/>
                <w:color w:val="000000"/>
                <w:sz w:val="18"/>
              </w:rPr>
              <w:t>Depozyty terminowe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46</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0</w:t>
            </w:r>
          </w:p>
        </w:tc>
      </w:tr>
      <w:tr w:rsidR="0043277E">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LOBUDG"/>
              <w:rPr>
                <w:rFonts w:ascii="Verdana" w:eastAsia="Verdana" w:hAnsi="Verdana" w:cs="Verdana"/>
                <w:b/>
                <w:noProof/>
                <w:color w:val="000000"/>
                <w:sz w:val="18"/>
              </w:rPr>
            </w:pPr>
            <w:r>
              <w:rPr>
                <w:rFonts w:ascii="Verdana" w:hAnsi="Verdana"/>
                <w:b/>
                <w:noProof/>
                <w:color w:val="000000"/>
                <w:sz w:val="18"/>
              </w:rPr>
              <w:t>Ogółem</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b/>
                <w:noProof/>
                <w:color w:val="000000"/>
                <w:sz w:val="18"/>
              </w:rPr>
            </w:pPr>
            <w:r>
              <w:rPr>
                <w:rFonts w:ascii="Verdana" w:hAnsi="Verdana"/>
                <w:b/>
                <w:noProof/>
                <w:color w:val="000000"/>
                <w:sz w:val="18"/>
              </w:rPr>
              <w:t xml:space="preserve"> 121</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b/>
                <w:noProof/>
                <w:color w:val="000000"/>
                <w:sz w:val="18"/>
              </w:rPr>
            </w:pPr>
            <w:r>
              <w:rPr>
                <w:rFonts w:ascii="Verdana" w:hAnsi="Verdana"/>
                <w:b/>
                <w:noProof/>
                <w:color w:val="000000"/>
                <w:sz w:val="18"/>
              </w:rPr>
              <w:t xml:space="preserve"> 67</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BUDG"/>
              <w:rPr>
                <w:rFonts w:ascii="Verdana" w:eastAsia="Verdana" w:hAnsi="Verdana" w:cs="Verdana"/>
                <w:i/>
                <w:noProof/>
                <w:color w:val="016794"/>
                <w:sz w:val="18"/>
              </w:rPr>
            </w:pPr>
            <w:r>
              <w:rPr>
                <w:rFonts w:ascii="Verdana" w:hAnsi="Verdana"/>
                <w:i/>
                <w:noProof/>
                <w:color w:val="016794"/>
                <w:sz w:val="18"/>
              </w:rPr>
              <w:t>Trwałe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78</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38</w:t>
            </w:r>
          </w:p>
        </w:tc>
      </w:tr>
      <w:tr w:rsidR="0043277E">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LOBUDG"/>
              <w:rPr>
                <w:rFonts w:ascii="Verdana" w:eastAsia="Verdana" w:hAnsi="Verdana" w:cs="Verdana"/>
                <w:i/>
                <w:noProof/>
                <w:color w:val="016794"/>
                <w:sz w:val="18"/>
              </w:rPr>
            </w:pPr>
            <w:r>
              <w:rPr>
                <w:rFonts w:ascii="Verdana" w:hAnsi="Verdana"/>
                <w:i/>
                <w:noProof/>
                <w:color w:val="016794"/>
                <w:sz w:val="18"/>
              </w:rPr>
              <w:t>Obrotowe</w:t>
            </w:r>
          </w:p>
        </w:tc>
        <w:tc>
          <w:tcPr>
            <w:tcW w:w="221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42</w:t>
            </w:r>
          </w:p>
        </w:tc>
        <w:tc>
          <w:tcPr>
            <w:tcW w:w="211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28</w:t>
            </w:r>
          </w:p>
        </w:tc>
      </w:tr>
    </w:tbl>
    <w:p w:rsidR="0043277E" w:rsidRDefault="000F2348">
      <w:pPr>
        <w:pStyle w:val="DGTextstand-alone"/>
      </w:pPr>
      <w:r>
        <w:t>Wartość nominalna innych pożyczek na dzień 31 grudnia 2019 r. wyniosła 728 mln EUR (w 2018 r.: 617 mln EUR).</w:t>
      </w:r>
    </w:p>
    <w:p w:rsidR="0043277E" w:rsidRDefault="000F2348">
      <w:pPr>
        <w:pStyle w:val="DGTextstand-alone"/>
      </w:pPr>
      <w:r>
        <w:t>Pożyczki na specjalnych warunkach z preferencyjnym oprocentowaniem udzielane są w ramach współpracy z państwami trzecimi.</w:t>
      </w:r>
    </w:p>
    <w:p w:rsidR="0043277E" w:rsidRDefault="000F2348">
      <w:pPr>
        <w:pStyle w:val="DGTextstand-alone"/>
      </w:pPr>
      <w:r>
        <w:t>Depozyty termino</w:t>
      </w:r>
      <w:r>
        <w:t>we obejmują głównie kwoty o okresie zapadalności wynoszącym od 3 do 12 miesięcy, które to kwoty nie spełniają wymogów definicji ekwiwalentów środków pieniężnych.</w:t>
      </w:r>
    </w:p>
    <w:p w:rsidR="0043277E" w:rsidRDefault="000F2348">
      <w:pPr>
        <w:pStyle w:val="HEADER5"/>
        <w:spacing w:before="360" w:after="360"/>
        <w:rPr>
          <w:noProof/>
        </w:rPr>
      </w:pPr>
      <w:r>
        <w:rPr>
          <w:noProof/>
        </w:rPr>
        <w:t>Utrata wartości pozostałych pożyczek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324"/>
        <w:gridCol w:w="1102"/>
        <w:gridCol w:w="1101"/>
        <w:gridCol w:w="1102"/>
        <w:gridCol w:w="995"/>
        <w:gridCol w:w="1324"/>
      </w:tblGrid>
      <w:tr w:rsidR="0043277E">
        <w:trPr>
          <w:trHeight w:val="255"/>
        </w:trPr>
        <w:tc>
          <w:tcPr>
            <w:tcW w:w="281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IMP"/>
              <w:rPr>
                <w:rFonts w:ascii="Arial" w:eastAsia="Arial" w:hAnsi="Arial" w:cs="Arial"/>
                <w:noProof/>
                <w:color w:val="000000"/>
              </w:rPr>
            </w:pPr>
            <w:bookmarkStart w:id="61" w:name="DOC_TBL00022_1_1"/>
            <w:bookmarkEnd w:id="61"/>
          </w:p>
        </w:tc>
        <w:tc>
          <w:tcPr>
            <w:tcW w:w="132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IMP"/>
              <w:rPr>
                <w:rFonts w:ascii="Arial" w:eastAsia="Arial" w:hAnsi="Arial" w:cs="Arial"/>
                <w:noProof/>
                <w:color w:val="000000"/>
              </w:rPr>
            </w:pPr>
          </w:p>
        </w:tc>
        <w:tc>
          <w:tcPr>
            <w:tcW w:w="110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IMP"/>
              <w:rPr>
                <w:rFonts w:ascii="Arial" w:eastAsia="Arial" w:hAnsi="Arial" w:cs="Arial"/>
                <w:noProof/>
                <w:color w:val="000000"/>
              </w:rPr>
            </w:pPr>
          </w:p>
        </w:tc>
        <w:tc>
          <w:tcPr>
            <w:tcW w:w="110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IMP"/>
              <w:rPr>
                <w:rFonts w:ascii="Arial" w:eastAsia="Arial" w:hAnsi="Arial" w:cs="Arial"/>
                <w:noProof/>
                <w:color w:val="000000"/>
              </w:rPr>
            </w:pPr>
          </w:p>
        </w:tc>
        <w:tc>
          <w:tcPr>
            <w:tcW w:w="110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IMP"/>
              <w:rPr>
                <w:rFonts w:ascii="Arial" w:eastAsia="Arial" w:hAnsi="Arial" w:cs="Arial"/>
                <w:noProof/>
                <w:color w:val="000000"/>
              </w:rPr>
            </w:pPr>
          </w:p>
        </w:tc>
        <w:tc>
          <w:tcPr>
            <w:tcW w:w="99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0BIPIMP"/>
              <w:rPr>
                <w:rFonts w:ascii="Arial" w:eastAsia="Arial" w:hAnsi="Arial" w:cs="Arial"/>
                <w:noProof/>
                <w:color w:val="000000"/>
              </w:rPr>
            </w:pPr>
          </w:p>
        </w:tc>
        <w:tc>
          <w:tcPr>
            <w:tcW w:w="13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81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0BIPIMP"/>
              <w:rPr>
                <w:rFonts w:ascii="Verdana" w:eastAsia="Verdana" w:hAnsi="Verdana" w:cs="Verdana"/>
                <w:noProof/>
                <w:color w:val="FFFFFF"/>
                <w:sz w:val="16"/>
              </w:rPr>
            </w:pPr>
          </w:p>
        </w:tc>
        <w:tc>
          <w:tcPr>
            <w:tcW w:w="132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IMP"/>
              <w:jc w:val="right"/>
              <w:rPr>
                <w:rFonts w:ascii="Verdana" w:eastAsia="Verdana" w:hAnsi="Verdana" w:cs="Verdana"/>
                <w:noProof/>
                <w:color w:val="FFFFFF"/>
              </w:rPr>
            </w:pPr>
            <w:r>
              <w:rPr>
                <w:rFonts w:ascii="Verdana" w:hAnsi="Verdana"/>
                <w:noProof/>
                <w:color w:val="FFFFFF"/>
              </w:rPr>
              <w:t>31.12.2018</w:t>
            </w:r>
          </w:p>
        </w:tc>
        <w:tc>
          <w:tcPr>
            <w:tcW w:w="110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IMP"/>
              <w:jc w:val="right"/>
              <w:rPr>
                <w:rFonts w:ascii="Verdana" w:eastAsia="Verdana" w:hAnsi="Verdana" w:cs="Verdana"/>
                <w:noProof/>
                <w:color w:val="FFFFFF"/>
              </w:rPr>
            </w:pPr>
            <w:r>
              <w:rPr>
                <w:rFonts w:ascii="Verdana" w:hAnsi="Verdana"/>
                <w:noProof/>
                <w:color w:val="FFFFFF"/>
              </w:rPr>
              <w:t>Zwiększenia</w:t>
            </w:r>
          </w:p>
        </w:tc>
        <w:tc>
          <w:tcPr>
            <w:tcW w:w="110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IMP"/>
              <w:jc w:val="right"/>
              <w:rPr>
                <w:rFonts w:ascii="Verdana" w:eastAsia="Verdana" w:hAnsi="Verdana" w:cs="Verdana"/>
                <w:noProof/>
                <w:color w:val="FFFFFF"/>
              </w:rPr>
            </w:pPr>
            <w:r>
              <w:rPr>
                <w:rFonts w:ascii="Verdana" w:hAnsi="Verdana"/>
                <w:noProof/>
                <w:color w:val="FFFFFF"/>
              </w:rPr>
              <w:t>Odwrócenia</w:t>
            </w:r>
          </w:p>
        </w:tc>
        <w:tc>
          <w:tcPr>
            <w:tcW w:w="110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IMP"/>
              <w:jc w:val="right"/>
              <w:rPr>
                <w:rFonts w:ascii="Verdana" w:eastAsia="Verdana" w:hAnsi="Verdana" w:cs="Verdana"/>
                <w:noProof/>
                <w:color w:val="FFFFFF"/>
              </w:rPr>
            </w:pPr>
            <w:r>
              <w:rPr>
                <w:rFonts w:ascii="Verdana" w:hAnsi="Verdana"/>
                <w:noProof/>
                <w:color w:val="FFFFFF"/>
              </w:rPr>
              <w:t xml:space="preserve">Umorzenie </w:t>
            </w:r>
          </w:p>
        </w:tc>
        <w:tc>
          <w:tcPr>
            <w:tcW w:w="99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IMP"/>
              <w:jc w:val="right"/>
              <w:rPr>
                <w:rFonts w:ascii="Verdana" w:eastAsia="Verdana" w:hAnsi="Verdana" w:cs="Verdana"/>
                <w:noProof/>
                <w:color w:val="FFFFFF"/>
              </w:rPr>
            </w:pPr>
            <w:r>
              <w:rPr>
                <w:rFonts w:ascii="Verdana" w:hAnsi="Verdana"/>
                <w:noProof/>
                <w:color w:val="FFFFFF"/>
              </w:rPr>
              <w:t>Inne</w:t>
            </w:r>
          </w:p>
        </w:tc>
        <w:tc>
          <w:tcPr>
            <w:tcW w:w="132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0BIPIMP"/>
              <w:jc w:val="right"/>
              <w:rPr>
                <w:rFonts w:ascii="Verdana" w:eastAsia="Verdana" w:hAnsi="Verdana" w:cs="Verdana"/>
                <w:noProof/>
                <w:color w:val="FFFFFF"/>
              </w:rPr>
            </w:pPr>
            <w:r>
              <w:rPr>
                <w:rFonts w:ascii="Verdana" w:hAnsi="Verdana"/>
                <w:noProof/>
                <w:color w:val="FFFFFF"/>
              </w:rPr>
              <w:t>31.12.2019</w:t>
            </w:r>
          </w:p>
        </w:tc>
      </w:tr>
      <w:tr w:rsidR="0043277E">
        <w:trPr>
          <w:trHeight w:val="255"/>
        </w:trPr>
        <w:tc>
          <w:tcPr>
            <w:tcW w:w="281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IMP"/>
              <w:rPr>
                <w:rFonts w:ascii="Verdana" w:eastAsia="Verdana" w:hAnsi="Verdana" w:cs="Verdana"/>
                <w:i/>
                <w:noProof/>
                <w:color w:val="000000"/>
                <w:sz w:val="18"/>
              </w:rPr>
            </w:pPr>
            <w:r>
              <w:rPr>
                <w:rFonts w:ascii="Verdana" w:hAnsi="Verdana"/>
                <w:i/>
                <w:noProof/>
                <w:color w:val="000000"/>
                <w:sz w:val="18"/>
              </w:rPr>
              <w:t>Pożyczki na specjalnych warunkach</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 xml:space="preserve"> 8</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 xml:space="preserve"> 2</w:t>
            </w:r>
          </w:p>
        </w:tc>
        <w:tc>
          <w:tcPr>
            <w:tcW w:w="110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9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 xml:space="preserve"> 10</w:t>
            </w:r>
          </w:p>
        </w:tc>
      </w:tr>
      <w:tr w:rsidR="0043277E">
        <w:trPr>
          <w:trHeight w:val="255"/>
        </w:trPr>
        <w:tc>
          <w:tcPr>
            <w:tcW w:w="281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0BIPIMP"/>
              <w:rPr>
                <w:rFonts w:ascii="Verdana" w:eastAsia="Verdana" w:hAnsi="Verdana" w:cs="Verdana"/>
                <w:i/>
                <w:noProof/>
                <w:color w:val="000000"/>
                <w:sz w:val="18"/>
              </w:rPr>
            </w:pPr>
            <w:r>
              <w:rPr>
                <w:rFonts w:ascii="Verdana" w:hAnsi="Verdana"/>
                <w:i/>
                <w:noProof/>
                <w:color w:val="000000"/>
                <w:sz w:val="18"/>
              </w:rPr>
              <w:t>Pożyczki będące przedmiotem subrogacji</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 xml:space="preserve"> 579</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 xml:space="preserve"> 75</w:t>
            </w:r>
          </w:p>
        </w:tc>
        <w:tc>
          <w:tcPr>
            <w:tcW w:w="110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110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9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 xml:space="preserve"> 4</w:t>
            </w:r>
          </w:p>
        </w:tc>
        <w:tc>
          <w:tcPr>
            <w:tcW w:w="132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i/>
                <w:noProof/>
                <w:color w:val="000000"/>
                <w:sz w:val="18"/>
              </w:rPr>
            </w:pPr>
            <w:r>
              <w:rPr>
                <w:rFonts w:ascii="Verdana" w:hAnsi="Verdana"/>
                <w:i/>
                <w:noProof/>
                <w:color w:val="000000"/>
                <w:sz w:val="18"/>
              </w:rPr>
              <w:t xml:space="preserve"> 658</w:t>
            </w:r>
          </w:p>
        </w:tc>
      </w:tr>
      <w:tr w:rsidR="0043277E">
        <w:trPr>
          <w:trHeight w:val="255"/>
        </w:trPr>
        <w:tc>
          <w:tcPr>
            <w:tcW w:w="28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0BIPIMP"/>
              <w:rPr>
                <w:rFonts w:ascii="Verdana" w:eastAsia="Verdana" w:hAnsi="Verdana" w:cs="Verdana"/>
                <w:b/>
                <w:noProof/>
                <w:color w:val="000000"/>
                <w:sz w:val="18"/>
              </w:rPr>
            </w:pPr>
            <w:r>
              <w:rPr>
                <w:rFonts w:ascii="Verdana" w:hAnsi="Verdana"/>
                <w:b/>
                <w:noProof/>
                <w:color w:val="000000"/>
                <w:sz w:val="18"/>
              </w:rPr>
              <w:t>Ogółem</w:t>
            </w:r>
          </w:p>
        </w:tc>
        <w:tc>
          <w:tcPr>
            <w:tcW w:w="13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b/>
                <w:noProof/>
                <w:color w:val="000000"/>
                <w:sz w:val="18"/>
              </w:rPr>
            </w:pPr>
            <w:r>
              <w:rPr>
                <w:rFonts w:ascii="Verdana" w:hAnsi="Verdana"/>
                <w:b/>
                <w:noProof/>
                <w:color w:val="000000"/>
                <w:sz w:val="18"/>
              </w:rPr>
              <w:t xml:space="preserve"> 587</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b/>
                <w:noProof/>
                <w:color w:val="000000"/>
                <w:sz w:val="18"/>
              </w:rPr>
            </w:pPr>
            <w:r>
              <w:rPr>
                <w:rFonts w:ascii="Verdana" w:hAnsi="Verdana"/>
                <w:b/>
                <w:noProof/>
                <w:color w:val="000000"/>
                <w:sz w:val="18"/>
              </w:rPr>
              <w:t xml:space="preserve"> 77</w:t>
            </w:r>
          </w:p>
        </w:tc>
        <w:tc>
          <w:tcPr>
            <w:tcW w:w="1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b/>
                <w:noProof/>
                <w:color w:val="000000"/>
                <w:sz w:val="18"/>
              </w:rPr>
            </w:pPr>
            <w:r>
              <w:rPr>
                <w:rFonts w:ascii="Verdana" w:hAnsi="Verdana"/>
                <w:b/>
                <w:noProof/>
                <w:color w:val="000000"/>
                <w:sz w:val="18"/>
              </w:rPr>
              <w:t>–</w:t>
            </w:r>
          </w:p>
        </w:tc>
        <w:tc>
          <w:tcPr>
            <w:tcW w:w="1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b/>
                <w:noProof/>
                <w:color w:val="000000"/>
                <w:sz w:val="18"/>
              </w:rPr>
            </w:pPr>
            <w:r>
              <w:rPr>
                <w:rFonts w:ascii="Verdana" w:hAnsi="Verdana"/>
                <w:b/>
                <w:noProof/>
                <w:color w:val="000000"/>
                <w:sz w:val="18"/>
              </w:rPr>
              <w:t>–</w:t>
            </w:r>
          </w:p>
        </w:tc>
        <w:tc>
          <w:tcPr>
            <w:tcW w:w="9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b/>
                <w:noProof/>
                <w:color w:val="000000"/>
                <w:sz w:val="18"/>
              </w:rPr>
            </w:pPr>
            <w:r>
              <w:rPr>
                <w:rFonts w:ascii="Verdana" w:hAnsi="Verdana"/>
                <w:b/>
                <w:noProof/>
                <w:color w:val="000000"/>
                <w:sz w:val="18"/>
              </w:rPr>
              <w:t xml:space="preserve"> 4</w:t>
            </w:r>
          </w:p>
        </w:tc>
        <w:tc>
          <w:tcPr>
            <w:tcW w:w="13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0BIPIMP"/>
              <w:jc w:val="right"/>
              <w:rPr>
                <w:rFonts w:ascii="Verdana" w:eastAsia="Verdana" w:hAnsi="Verdana" w:cs="Verdana"/>
                <w:b/>
                <w:noProof/>
                <w:color w:val="000000"/>
                <w:sz w:val="18"/>
              </w:rPr>
            </w:pPr>
            <w:r>
              <w:rPr>
                <w:rFonts w:ascii="Verdana" w:hAnsi="Verdana"/>
                <w:b/>
                <w:noProof/>
                <w:color w:val="000000"/>
                <w:sz w:val="18"/>
              </w:rPr>
              <w:t xml:space="preserve"> 668</w:t>
            </w:r>
          </w:p>
        </w:tc>
      </w:tr>
    </w:tbl>
    <w:p w:rsidR="0043277E" w:rsidRDefault="0043277E">
      <w:pPr>
        <w:pStyle w:val="HEADER5"/>
        <w:rPr>
          <w:noProof/>
        </w:rPr>
      </w:pPr>
    </w:p>
    <w:p w:rsidR="0043277E" w:rsidRDefault="000F2348">
      <w:pPr>
        <w:pStyle w:val="DGTextstand-alone"/>
        <w:spacing w:after="0"/>
      </w:pPr>
      <w:r>
        <w:t xml:space="preserve">Pożyczki będące przedmiotem subrogacji są pożyczkami niespłaconymi, udzielonymi przez </w:t>
      </w:r>
      <w:r>
        <w:t>EBI i gwarantowanymi przez budżet UE, w odniesieniu do których wszystkie prawa zostały przeniesione na UE w następstwie płatności z Funduszu Gwarancyjnego dla działań zewnętrznych lub z Funduszu Gwarancyjnego EFIS. W przypadku tych pożyczek dokonano pełneg</w:t>
      </w:r>
      <w:r>
        <w:t>o odpisu aktualizacyjnego z tytułu wartości w kwocie 658 mln EUR (w 2018 r.: 579 mln EUR). Uruchomienia gwarancji zostały częściowo pokryte z rezerw finansowych utworzonych w latach poprzednich. Na podstawie stosownych umów zawartych między UE a EBI, EBI w</w:t>
      </w:r>
      <w:r>
        <w:t>szczyna w imieniu UE postępowania mające na celu odzyskanie wszelkich należnych kwot.</w:t>
      </w:r>
      <w:bookmarkEnd w:id="51"/>
    </w:p>
    <w:p w:rsidR="0043277E" w:rsidRDefault="0043277E">
      <w:pPr>
        <w:pStyle w:val="DGTextstand-alone"/>
        <w:spacing w:after="0"/>
        <w:sectPr w:rsidR="0043277E">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p>
    <w:p w:rsidR="0043277E" w:rsidRDefault="000F2348">
      <w:pPr>
        <w:pStyle w:val="HEADER2NOTES"/>
        <w:rPr>
          <w:noProof/>
        </w:rPr>
      </w:pPr>
      <w:bookmarkStart w:id="62" w:name="_DMBM_17113"/>
      <w:r>
        <w:rPr>
          <w:noProof/>
        </w:rPr>
        <w:t>PŁATNOŚCI ZALICZKOWE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1306"/>
        <w:gridCol w:w="2396"/>
        <w:gridCol w:w="2396"/>
      </w:tblGrid>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rPr>
                <w:rFonts w:ascii="Verdana" w:eastAsia="Verdana" w:hAnsi="Verdana" w:cs="Verdana"/>
                <w:i/>
                <w:noProof/>
                <w:color w:val="FFFFFF"/>
                <w:sz w:val="16"/>
              </w:rPr>
            </w:pPr>
            <w:bookmarkStart w:id="63" w:name="DOC_TBL00023_1_1"/>
            <w:bookmarkEnd w:id="63"/>
          </w:p>
        </w:tc>
        <w:tc>
          <w:tcPr>
            <w:tcW w:w="130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1BIPPF"/>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66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1BIPPF"/>
              <w:rPr>
                <w:rFonts w:ascii="Verdana" w:eastAsia="Verdana" w:hAnsi="Verdana" w:cs="Verdana"/>
                <w:noProof/>
                <w:color w:val="FFFFFF"/>
              </w:rPr>
            </w:pPr>
          </w:p>
        </w:tc>
        <w:tc>
          <w:tcPr>
            <w:tcW w:w="130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
              <w:jc w:val="center"/>
              <w:rPr>
                <w:rFonts w:ascii="Verdana" w:eastAsia="Verdana" w:hAnsi="Verdana" w:cs="Verdana"/>
                <w:noProof/>
                <w:color w:val="FFFFFF"/>
              </w:rPr>
            </w:pPr>
            <w:r>
              <w:rPr>
                <w:rFonts w:ascii="Verdana" w:hAnsi="Verdana"/>
                <w:noProof/>
                <w:color w:val="FFFFFF"/>
              </w:rPr>
              <w:t xml:space="preserve">Informacja </w:t>
            </w:r>
            <w:r>
              <w:rPr>
                <w:rFonts w:ascii="Verdana" w:hAnsi="Verdana"/>
                <w:noProof/>
                <w:color w:val="FFFFFF"/>
              </w:rPr>
              <w:t>dodatkowa</w:t>
            </w:r>
          </w:p>
        </w:tc>
        <w:tc>
          <w:tcPr>
            <w:tcW w:w="239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
              <w:jc w:val="right"/>
              <w:rPr>
                <w:rFonts w:ascii="Verdana" w:eastAsia="Verdana" w:hAnsi="Verdana" w:cs="Verdana"/>
                <w:noProof/>
                <w:color w:val="FFFFFF"/>
              </w:rPr>
            </w:pPr>
            <w:r>
              <w:rPr>
                <w:rFonts w:ascii="Verdana" w:hAnsi="Verdana"/>
                <w:noProof/>
                <w:color w:val="FFFFFF"/>
              </w:rPr>
              <w:t>31.12.2019</w:t>
            </w:r>
          </w:p>
        </w:tc>
        <w:tc>
          <w:tcPr>
            <w:tcW w:w="239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b/>
                <w:noProof/>
                <w:color w:val="000000"/>
                <w:sz w:val="18"/>
              </w:rPr>
            </w:pPr>
            <w:r>
              <w:rPr>
                <w:rFonts w:ascii="Verdana" w:hAnsi="Verdana"/>
                <w:b/>
                <w:noProof/>
                <w:color w:val="000000"/>
                <w:sz w:val="18"/>
              </w:rPr>
              <w:t>Trwałe</w:t>
            </w:r>
          </w:p>
        </w:tc>
        <w:tc>
          <w:tcPr>
            <w:tcW w:w="130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jc w:val="center"/>
              <w:rPr>
                <w:rFonts w:ascii="Verdana" w:eastAsia="Verdana" w:hAnsi="Verdana" w:cs="Verdana"/>
                <w:b/>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rPr>
                <w:rFonts w:ascii="Arial" w:eastAsia="Arial" w:hAnsi="Arial" w:cs="Arial"/>
                <w:noProof/>
                <w:color w:val="000000"/>
                <w:lang w:bidi="en-GB"/>
              </w:rPr>
            </w:pPr>
          </w:p>
        </w:tc>
      </w:tr>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i/>
                <w:noProof/>
                <w:color w:val="000000"/>
                <w:sz w:val="18"/>
              </w:rPr>
            </w:pPr>
            <w:r>
              <w:rPr>
                <w:rFonts w:ascii="Verdana" w:hAnsi="Verdana"/>
                <w:i/>
                <w:noProof/>
                <w:color w:val="000000"/>
                <w:sz w:val="18"/>
              </w:rPr>
              <w:t>Płatności zaliczkowe</w:t>
            </w:r>
          </w:p>
        </w:tc>
        <w:tc>
          <w:tcPr>
            <w:tcW w:w="13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center"/>
              <w:rPr>
                <w:rFonts w:ascii="Verdana" w:eastAsia="Verdana" w:hAnsi="Verdana" w:cs="Verdana"/>
                <w:i/>
                <w:noProof/>
                <w:color w:val="000000"/>
                <w:sz w:val="18"/>
              </w:rPr>
            </w:pPr>
            <w:r>
              <w:rPr>
                <w:rFonts w:ascii="Verdana" w:hAnsi="Verdana"/>
                <w:i/>
                <w:noProof/>
                <w:color w:val="000000"/>
                <w:sz w:val="18"/>
              </w:rPr>
              <w:t>2.5.1</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22 135</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21 814</w:t>
            </w:r>
          </w:p>
        </w:tc>
      </w:tr>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i/>
                <w:noProof/>
                <w:color w:val="000000"/>
                <w:sz w:val="18"/>
              </w:rPr>
            </w:pPr>
            <w:r>
              <w:rPr>
                <w:rFonts w:ascii="Verdana" w:hAnsi="Verdana"/>
                <w:i/>
                <w:noProof/>
                <w:color w:val="000000"/>
                <w:sz w:val="18"/>
              </w:rPr>
              <w:t>Inne zaliczki dla państw członkowskich</w:t>
            </w:r>
          </w:p>
        </w:tc>
        <w:tc>
          <w:tcPr>
            <w:tcW w:w="13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center"/>
              <w:rPr>
                <w:rFonts w:ascii="Verdana" w:eastAsia="Verdana" w:hAnsi="Verdana" w:cs="Verdana"/>
                <w:i/>
                <w:noProof/>
                <w:color w:val="000000"/>
                <w:sz w:val="18"/>
              </w:rPr>
            </w:pPr>
            <w:r>
              <w:rPr>
                <w:rFonts w:ascii="Verdana" w:hAnsi="Verdana"/>
                <w:i/>
                <w:noProof/>
                <w:color w:val="000000"/>
                <w:sz w:val="18"/>
              </w:rPr>
              <w:t>2.5.2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4 045</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4 122</w:t>
            </w:r>
          </w:p>
        </w:tc>
      </w:tr>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i/>
                <w:noProof/>
                <w:color w:val="000000"/>
                <w:sz w:val="18"/>
              </w:rPr>
            </w:pPr>
            <w:r>
              <w:rPr>
                <w:rFonts w:ascii="Verdana" w:hAnsi="Verdana"/>
                <w:i/>
                <w:noProof/>
                <w:color w:val="000000"/>
                <w:sz w:val="18"/>
              </w:rPr>
              <w:t>Wkłady do funduszy powierniczych</w:t>
            </w:r>
          </w:p>
        </w:tc>
        <w:tc>
          <w:tcPr>
            <w:tcW w:w="130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jc w:val="center"/>
              <w:rPr>
                <w:rFonts w:ascii="Verdana" w:eastAsia="Verdana" w:hAnsi="Verdana" w:cs="Verdana"/>
                <w:i/>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 xml:space="preserve"> 60</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 xml:space="preserve"> 71</w:t>
            </w:r>
          </w:p>
        </w:tc>
      </w:tr>
      <w:tr w:rsidR="0043277E">
        <w:trPr>
          <w:trHeight w:val="255"/>
        </w:trPr>
        <w:tc>
          <w:tcPr>
            <w:tcW w:w="366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1BIPPF"/>
              <w:rPr>
                <w:rFonts w:ascii="Verdana" w:eastAsia="Verdana" w:hAnsi="Verdana" w:cs="Verdana"/>
                <w:b/>
                <w:noProof/>
                <w:color w:val="000000"/>
                <w:sz w:val="18"/>
              </w:rPr>
            </w:pPr>
          </w:p>
        </w:tc>
        <w:tc>
          <w:tcPr>
            <w:tcW w:w="130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1BIPPF"/>
              <w:jc w:val="center"/>
              <w:rPr>
                <w:rFonts w:ascii="Verdana" w:eastAsia="Verdana" w:hAnsi="Verdana" w:cs="Verdana"/>
                <w:noProof/>
                <w:color w:val="000000"/>
                <w:sz w:val="18"/>
              </w:rPr>
            </w:pP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1BIPPF"/>
              <w:jc w:val="right"/>
              <w:rPr>
                <w:rFonts w:ascii="Verdana" w:eastAsia="Verdana" w:hAnsi="Verdana" w:cs="Verdana"/>
                <w:b/>
                <w:noProof/>
                <w:color w:val="000000"/>
                <w:sz w:val="18"/>
              </w:rPr>
            </w:pPr>
            <w:r>
              <w:rPr>
                <w:rFonts w:ascii="Verdana" w:hAnsi="Verdana"/>
                <w:b/>
                <w:noProof/>
                <w:color w:val="000000"/>
                <w:sz w:val="18"/>
              </w:rPr>
              <w:t>26 240</w:t>
            </w: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1BIPPF"/>
              <w:jc w:val="right"/>
              <w:rPr>
                <w:rFonts w:ascii="Verdana" w:eastAsia="Verdana" w:hAnsi="Verdana" w:cs="Verdana"/>
                <w:b/>
                <w:noProof/>
                <w:color w:val="000000"/>
                <w:sz w:val="18"/>
              </w:rPr>
            </w:pPr>
            <w:r>
              <w:rPr>
                <w:rFonts w:ascii="Verdana" w:hAnsi="Verdana"/>
                <w:b/>
                <w:noProof/>
                <w:color w:val="000000"/>
                <w:sz w:val="18"/>
              </w:rPr>
              <w:t>26 006</w:t>
            </w:r>
          </w:p>
        </w:tc>
      </w:tr>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b/>
                <w:noProof/>
                <w:color w:val="000000"/>
                <w:sz w:val="18"/>
              </w:rPr>
            </w:pPr>
            <w:r>
              <w:rPr>
                <w:rFonts w:ascii="Verdana" w:hAnsi="Verdana"/>
                <w:b/>
                <w:noProof/>
                <w:color w:val="000000"/>
                <w:sz w:val="18"/>
              </w:rPr>
              <w:t>Obrotowe</w:t>
            </w:r>
          </w:p>
        </w:tc>
        <w:tc>
          <w:tcPr>
            <w:tcW w:w="130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jc w:val="center"/>
              <w:rPr>
                <w:rFonts w:ascii="Verdana" w:eastAsia="Verdana" w:hAnsi="Verdana" w:cs="Verdana"/>
                <w:b/>
                <w:noProof/>
                <w:color w:val="000000"/>
                <w:sz w:val="18"/>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
              <w:rPr>
                <w:rFonts w:ascii="Arial" w:eastAsia="Arial" w:hAnsi="Arial" w:cs="Arial"/>
                <w:noProof/>
                <w:color w:val="000000"/>
                <w:lang w:bidi="en-GB"/>
              </w:rPr>
            </w:pPr>
          </w:p>
        </w:tc>
      </w:tr>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i/>
                <w:noProof/>
                <w:color w:val="000000"/>
                <w:sz w:val="18"/>
              </w:rPr>
            </w:pPr>
            <w:r>
              <w:rPr>
                <w:rFonts w:ascii="Verdana" w:hAnsi="Verdana"/>
                <w:i/>
                <w:noProof/>
                <w:color w:val="000000"/>
                <w:sz w:val="18"/>
              </w:rPr>
              <w:t>Płatności zaliczkowe</w:t>
            </w:r>
          </w:p>
        </w:tc>
        <w:tc>
          <w:tcPr>
            <w:tcW w:w="13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center"/>
              <w:rPr>
                <w:rFonts w:ascii="Verdana" w:eastAsia="Verdana" w:hAnsi="Verdana" w:cs="Verdana"/>
                <w:i/>
                <w:noProof/>
                <w:color w:val="000000"/>
                <w:sz w:val="18"/>
              </w:rPr>
            </w:pPr>
            <w:r>
              <w:rPr>
                <w:rFonts w:ascii="Verdana" w:hAnsi="Verdana"/>
                <w:i/>
                <w:noProof/>
                <w:color w:val="000000"/>
                <w:sz w:val="18"/>
              </w:rPr>
              <w:t>2.5.1</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22 314</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 xml:space="preserve">21 </w:t>
            </w:r>
            <w:r>
              <w:rPr>
                <w:rFonts w:ascii="Verdana" w:hAnsi="Verdana"/>
                <w:i/>
                <w:noProof/>
                <w:color w:val="000000"/>
                <w:sz w:val="18"/>
              </w:rPr>
              <w:t>572</w:t>
            </w:r>
          </w:p>
        </w:tc>
      </w:tr>
      <w:tr w:rsidR="0043277E">
        <w:trPr>
          <w:trHeight w:val="255"/>
        </w:trPr>
        <w:tc>
          <w:tcPr>
            <w:tcW w:w="36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i/>
                <w:noProof/>
                <w:color w:val="000000"/>
                <w:sz w:val="18"/>
              </w:rPr>
            </w:pPr>
            <w:r>
              <w:rPr>
                <w:rFonts w:ascii="Verdana" w:hAnsi="Verdana"/>
                <w:i/>
                <w:noProof/>
                <w:color w:val="000000"/>
                <w:sz w:val="18"/>
              </w:rPr>
              <w:t>Inne zaliczki dla państw członkowskich</w:t>
            </w:r>
          </w:p>
        </w:tc>
        <w:tc>
          <w:tcPr>
            <w:tcW w:w="13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center"/>
              <w:rPr>
                <w:rFonts w:ascii="Verdana" w:eastAsia="Verdana" w:hAnsi="Verdana" w:cs="Verdana"/>
                <w:i/>
                <w:noProof/>
                <w:color w:val="000000"/>
                <w:sz w:val="18"/>
              </w:rPr>
            </w:pPr>
            <w:r>
              <w:rPr>
                <w:rFonts w:ascii="Verdana" w:hAnsi="Verdana"/>
                <w:i/>
                <w:noProof/>
                <w:color w:val="000000"/>
                <w:sz w:val="18"/>
              </w:rPr>
              <w:t>2.5.2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2 892</w:t>
            </w:r>
          </w:p>
        </w:tc>
        <w:tc>
          <w:tcPr>
            <w:tcW w:w="23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i/>
                <w:noProof/>
                <w:color w:val="000000"/>
                <w:sz w:val="18"/>
              </w:rPr>
            </w:pPr>
            <w:r>
              <w:rPr>
                <w:rFonts w:ascii="Verdana" w:hAnsi="Verdana"/>
                <w:i/>
                <w:noProof/>
                <w:color w:val="000000"/>
                <w:sz w:val="18"/>
              </w:rPr>
              <w:t>2 396</w:t>
            </w:r>
          </w:p>
        </w:tc>
      </w:tr>
      <w:tr w:rsidR="0043277E">
        <w:trPr>
          <w:trHeight w:val="255"/>
        </w:trPr>
        <w:tc>
          <w:tcPr>
            <w:tcW w:w="366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1BIPPF"/>
              <w:rPr>
                <w:rFonts w:ascii="Verdana" w:eastAsia="Verdana" w:hAnsi="Verdana" w:cs="Verdana"/>
                <w:b/>
                <w:noProof/>
                <w:color w:val="000000"/>
                <w:sz w:val="18"/>
              </w:rPr>
            </w:pPr>
          </w:p>
        </w:tc>
        <w:tc>
          <w:tcPr>
            <w:tcW w:w="130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1BIPPF"/>
              <w:jc w:val="center"/>
              <w:rPr>
                <w:rFonts w:ascii="Verdana" w:eastAsia="Verdana" w:hAnsi="Verdana" w:cs="Verdana"/>
                <w:noProof/>
                <w:color w:val="000000"/>
                <w:sz w:val="18"/>
              </w:rPr>
            </w:pP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1BIPPF"/>
              <w:jc w:val="right"/>
              <w:rPr>
                <w:rFonts w:ascii="Verdana" w:eastAsia="Verdana" w:hAnsi="Verdana" w:cs="Verdana"/>
                <w:b/>
                <w:noProof/>
                <w:color w:val="000000"/>
                <w:sz w:val="18"/>
              </w:rPr>
            </w:pPr>
            <w:r>
              <w:rPr>
                <w:rFonts w:ascii="Verdana" w:hAnsi="Verdana"/>
                <w:b/>
                <w:noProof/>
                <w:color w:val="000000"/>
                <w:sz w:val="18"/>
              </w:rPr>
              <w:t>25 206</w:t>
            </w:r>
          </w:p>
        </w:tc>
        <w:tc>
          <w:tcPr>
            <w:tcW w:w="23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1BIPPF"/>
              <w:jc w:val="right"/>
              <w:rPr>
                <w:rFonts w:ascii="Verdana" w:eastAsia="Verdana" w:hAnsi="Verdana" w:cs="Verdana"/>
                <w:b/>
                <w:noProof/>
                <w:color w:val="000000"/>
                <w:sz w:val="18"/>
              </w:rPr>
            </w:pPr>
            <w:r>
              <w:rPr>
                <w:rFonts w:ascii="Verdana" w:hAnsi="Verdana"/>
                <w:b/>
                <w:noProof/>
                <w:color w:val="000000"/>
                <w:sz w:val="18"/>
              </w:rPr>
              <w:t>23 968</w:t>
            </w:r>
          </w:p>
        </w:tc>
      </w:tr>
      <w:tr w:rsidR="0043277E">
        <w:trPr>
          <w:trHeight w:val="255"/>
        </w:trPr>
        <w:tc>
          <w:tcPr>
            <w:tcW w:w="3660"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
              <w:rPr>
                <w:rFonts w:ascii="Verdana" w:eastAsia="Verdana" w:hAnsi="Verdana" w:cs="Verdana"/>
                <w:b/>
                <w:noProof/>
                <w:color w:val="000000"/>
                <w:sz w:val="18"/>
              </w:rPr>
            </w:pPr>
            <w:r>
              <w:rPr>
                <w:rFonts w:ascii="Verdana" w:hAnsi="Verdana"/>
                <w:b/>
                <w:noProof/>
                <w:color w:val="000000"/>
                <w:sz w:val="18"/>
              </w:rPr>
              <w:t>Ogółem</w:t>
            </w:r>
          </w:p>
        </w:tc>
        <w:tc>
          <w:tcPr>
            <w:tcW w:w="1306"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1BIPPF"/>
              <w:jc w:val="center"/>
              <w:rPr>
                <w:rFonts w:ascii="Verdana" w:eastAsia="Verdana" w:hAnsi="Verdana" w:cs="Verdana"/>
                <w:noProof/>
                <w:color w:val="000000"/>
                <w:sz w:val="18"/>
              </w:rPr>
            </w:pPr>
          </w:p>
        </w:tc>
        <w:tc>
          <w:tcPr>
            <w:tcW w:w="2396"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b/>
                <w:noProof/>
                <w:color w:val="000000"/>
                <w:sz w:val="18"/>
              </w:rPr>
            </w:pPr>
            <w:r>
              <w:rPr>
                <w:rFonts w:ascii="Verdana" w:hAnsi="Verdana"/>
                <w:b/>
                <w:noProof/>
                <w:color w:val="000000"/>
                <w:sz w:val="18"/>
              </w:rPr>
              <w:t>51 446</w:t>
            </w:r>
          </w:p>
        </w:tc>
        <w:tc>
          <w:tcPr>
            <w:tcW w:w="2396"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
              <w:jc w:val="right"/>
              <w:rPr>
                <w:rFonts w:ascii="Verdana" w:eastAsia="Verdana" w:hAnsi="Verdana" w:cs="Verdana"/>
                <w:b/>
                <w:noProof/>
                <w:color w:val="000000"/>
                <w:sz w:val="18"/>
              </w:rPr>
            </w:pPr>
            <w:r>
              <w:rPr>
                <w:rFonts w:ascii="Verdana" w:hAnsi="Verdana"/>
                <w:b/>
                <w:noProof/>
                <w:color w:val="000000"/>
                <w:sz w:val="18"/>
              </w:rPr>
              <w:t>49 974</w:t>
            </w:r>
          </w:p>
        </w:tc>
      </w:tr>
    </w:tbl>
    <w:p w:rsidR="0043277E" w:rsidRDefault="000F2348">
      <w:pPr>
        <w:pStyle w:val="DGTextstand-alone"/>
      </w:pPr>
      <w:r>
        <w:lastRenderedPageBreak/>
        <w:t>Kwoty płatności zaliczkowych w ramach różnych programów muszą być wystarczające, aby zapewnić beneficjentowi niezbędne finansowanie, które umożliwi mu rozpoczęcie projektu i kontynuowanie jego realizacji, przy jednoczesnym zabezpieczeniu interesów finansow</w:t>
      </w:r>
      <w:r>
        <w:t xml:space="preserve">ych UE oraz uwzględnieniu ograniczeń prawnych i operacyjnych, a także ograniczeń związanych z efektywnością kosztową. </w:t>
      </w:r>
    </w:p>
    <w:p w:rsidR="0043277E" w:rsidRDefault="000F2348">
      <w:pPr>
        <w:rPr>
          <w:rFonts w:ascii="Verdana" w:hAnsi="Verdana"/>
          <w:noProof/>
          <w:color w:val="016794"/>
          <w:sz w:val="20"/>
          <w:szCs w:val="20"/>
        </w:rPr>
      </w:pPr>
      <w:r>
        <w:rPr>
          <w:noProof/>
        </w:rPr>
        <w:br w:type="page"/>
      </w:r>
    </w:p>
    <w:p w:rsidR="0043277E" w:rsidRDefault="000F2348">
      <w:pPr>
        <w:pStyle w:val="HEADER3NOTES"/>
        <w:rPr>
          <w:noProof/>
        </w:rPr>
      </w:pPr>
      <w:r>
        <w:rPr>
          <w:noProof/>
        </w:rPr>
        <w:lastRenderedPageBreak/>
        <w:t>Płatności zaliczkowe</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1200"/>
        <w:gridCol w:w="1080"/>
        <w:gridCol w:w="1320"/>
        <w:gridCol w:w="1200"/>
        <w:gridCol w:w="1200"/>
        <w:gridCol w:w="1320"/>
      </w:tblGrid>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D"/>
              <w:rPr>
                <w:rFonts w:ascii="Arial" w:eastAsia="Arial" w:hAnsi="Arial" w:cs="Arial"/>
                <w:noProof/>
                <w:color w:val="000000"/>
              </w:rPr>
            </w:pPr>
            <w:bookmarkStart w:id="64" w:name="DOC_TBL00024_1_1"/>
            <w:bookmarkEnd w:id="64"/>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D"/>
              <w:rPr>
                <w:rFonts w:ascii="Arial" w:eastAsia="Arial" w:hAnsi="Arial" w:cs="Arial"/>
                <w:noProof/>
                <w:color w:val="000000"/>
              </w:rPr>
            </w:pPr>
          </w:p>
        </w:tc>
        <w:tc>
          <w:tcPr>
            <w:tcW w:w="10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D"/>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D"/>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D"/>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1BIPPFD"/>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46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1BIPPFD"/>
              <w:jc w:val="right"/>
              <w:rPr>
                <w:rFonts w:ascii="Verdana" w:eastAsia="Verdana" w:hAnsi="Verdana" w:cs="Verdana"/>
                <w:noProof/>
                <w:color w:val="FFFFFF"/>
                <w:sz w:val="16"/>
              </w:rPr>
            </w:pPr>
          </w:p>
        </w:tc>
        <w:tc>
          <w:tcPr>
            <w:tcW w:w="120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D"/>
              <w:jc w:val="right"/>
              <w:rPr>
                <w:rFonts w:ascii="Verdana" w:eastAsia="Verdana" w:hAnsi="Verdana" w:cs="Verdana"/>
                <w:noProof/>
                <w:color w:val="FFFFFF"/>
                <w:sz w:val="16"/>
              </w:rPr>
            </w:pPr>
            <w:r>
              <w:rPr>
                <w:rFonts w:ascii="Verdana" w:hAnsi="Verdana"/>
                <w:noProof/>
                <w:color w:val="FFFFFF"/>
                <w:sz w:val="16"/>
              </w:rPr>
              <w:t>Kwota brutto</w:t>
            </w:r>
          </w:p>
        </w:tc>
        <w:tc>
          <w:tcPr>
            <w:tcW w:w="10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D"/>
              <w:jc w:val="right"/>
              <w:rPr>
                <w:rFonts w:ascii="Verdana" w:eastAsia="Verdana" w:hAnsi="Verdana" w:cs="Verdana"/>
                <w:noProof/>
                <w:color w:val="FFFFFF"/>
                <w:sz w:val="16"/>
              </w:rPr>
            </w:pPr>
            <w:r>
              <w:rPr>
                <w:rFonts w:ascii="Verdana" w:hAnsi="Verdana"/>
                <w:noProof/>
                <w:color w:val="FFFFFF"/>
                <w:sz w:val="16"/>
              </w:rPr>
              <w:t>Rozliczone w ramach rozliczeń międzyokresowych</w:t>
            </w:r>
          </w:p>
        </w:tc>
        <w:tc>
          <w:tcPr>
            <w:tcW w:w="13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D"/>
              <w:jc w:val="right"/>
              <w:rPr>
                <w:rFonts w:ascii="Verdana" w:eastAsia="Verdana" w:hAnsi="Verdana" w:cs="Verdana"/>
                <w:noProof/>
                <w:color w:val="FFFFFF"/>
                <w:sz w:val="16"/>
              </w:rPr>
            </w:pPr>
            <w:r>
              <w:rPr>
                <w:rFonts w:ascii="Verdana" w:hAnsi="Verdana"/>
                <w:noProof/>
                <w:color w:val="FFFFFF"/>
                <w:sz w:val="16"/>
              </w:rPr>
              <w:t>Kwota netto na 31.12.2019</w:t>
            </w:r>
          </w:p>
        </w:tc>
        <w:tc>
          <w:tcPr>
            <w:tcW w:w="120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D"/>
              <w:jc w:val="right"/>
              <w:rPr>
                <w:rFonts w:ascii="Verdana" w:eastAsia="Verdana" w:hAnsi="Verdana" w:cs="Verdana"/>
                <w:noProof/>
                <w:color w:val="FFFFFF"/>
                <w:sz w:val="16"/>
              </w:rPr>
            </w:pPr>
            <w:r>
              <w:rPr>
                <w:rFonts w:ascii="Verdana" w:hAnsi="Verdana"/>
                <w:noProof/>
                <w:color w:val="FFFFFF"/>
                <w:sz w:val="16"/>
              </w:rPr>
              <w:t xml:space="preserve">Kwota </w:t>
            </w:r>
            <w:r>
              <w:rPr>
                <w:rFonts w:ascii="Verdana" w:hAnsi="Verdana"/>
                <w:noProof/>
                <w:color w:val="FFFFFF"/>
                <w:sz w:val="16"/>
              </w:rPr>
              <w:t>brutto</w:t>
            </w:r>
          </w:p>
        </w:tc>
        <w:tc>
          <w:tcPr>
            <w:tcW w:w="120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D"/>
              <w:jc w:val="right"/>
              <w:rPr>
                <w:rFonts w:ascii="Verdana" w:eastAsia="Verdana" w:hAnsi="Verdana" w:cs="Verdana"/>
                <w:noProof/>
                <w:color w:val="FFFFFF"/>
                <w:sz w:val="16"/>
              </w:rPr>
            </w:pPr>
            <w:r>
              <w:rPr>
                <w:rFonts w:ascii="Verdana" w:hAnsi="Verdana"/>
                <w:noProof/>
                <w:color w:val="FFFFFF"/>
                <w:sz w:val="16"/>
              </w:rPr>
              <w:t>Rozliczone w ramach rozliczeń międzyokresowych</w:t>
            </w:r>
          </w:p>
        </w:tc>
        <w:tc>
          <w:tcPr>
            <w:tcW w:w="13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1BIPPFD"/>
              <w:jc w:val="right"/>
              <w:rPr>
                <w:rFonts w:ascii="Verdana" w:eastAsia="Verdana" w:hAnsi="Verdana" w:cs="Verdana"/>
                <w:noProof/>
                <w:color w:val="FFFFFF"/>
                <w:sz w:val="16"/>
              </w:rPr>
            </w:pPr>
            <w:r>
              <w:rPr>
                <w:rFonts w:ascii="Verdana" w:hAnsi="Verdana"/>
                <w:noProof/>
                <w:color w:val="FFFFFF"/>
                <w:sz w:val="16"/>
              </w:rPr>
              <w:t>Kwota netto na 31.12.2018</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b/>
                <w:noProof/>
                <w:color w:val="000000"/>
                <w:sz w:val="16"/>
              </w:rPr>
            </w:pPr>
            <w:r>
              <w:rPr>
                <w:rFonts w:ascii="Verdana" w:hAnsi="Verdana"/>
                <w:b/>
                <w:noProof/>
                <w:color w:val="000000"/>
                <w:sz w:val="16"/>
              </w:rPr>
              <w:t>Zarządzanie dzielone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lang w:bidi="en-GB"/>
              </w:rPr>
            </w:pP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EFRROW oraz inne </w:t>
            </w:r>
          </w:p>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instrumenty na rzecz rozwoju obszarów wiejskich</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3 193</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3 193</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3 743</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3 743</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EFRR i FS</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17 985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(3 540)</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14 444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18 </w:t>
            </w:r>
            <w:r>
              <w:rPr>
                <w:rFonts w:ascii="Verdana" w:hAnsi="Verdana"/>
                <w:i/>
                <w:noProof/>
                <w:color w:val="000000"/>
                <w:sz w:val="16"/>
              </w:rPr>
              <w:t>088</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(3 461)</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14 627</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EFS</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6 830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(1 530)</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5 301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6 548</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(1 147)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5 401</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Inne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3 549</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(1 463)</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2 086</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4 684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(2 498)</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2 186</w:t>
            </w:r>
          </w:p>
        </w:tc>
      </w:tr>
      <w:tr w:rsidR="0043277E">
        <w:trPr>
          <w:trHeight w:val="255"/>
        </w:trPr>
        <w:tc>
          <w:tcPr>
            <w:tcW w:w="2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1BIPPFD"/>
              <w:rPr>
                <w:rFonts w:ascii="Verdana" w:eastAsia="Verdana" w:hAnsi="Verdana" w:cs="Verdana"/>
                <w:b/>
                <w:noProof/>
                <w:color w:val="000000"/>
                <w:sz w:val="16"/>
              </w:rPr>
            </w:pP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31 557</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(6 533)</w:t>
            </w:r>
          </w:p>
        </w:tc>
        <w:tc>
          <w:tcPr>
            <w:tcW w:w="1320"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25 024</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33 063</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(7 105)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25 958</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b/>
                <w:noProof/>
                <w:color w:val="000000"/>
                <w:sz w:val="16"/>
              </w:rPr>
            </w:pPr>
            <w:r>
              <w:rPr>
                <w:rFonts w:ascii="Verdana" w:hAnsi="Verdana"/>
                <w:b/>
                <w:noProof/>
                <w:color w:val="000000"/>
                <w:sz w:val="16"/>
              </w:rPr>
              <w:t>Zarządzanie bezpośrednie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lang w:bidi="en-GB"/>
              </w:rPr>
            </w:pP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Wydatkowane przez: </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lang w:bidi="en-GB"/>
              </w:rPr>
            </w:pP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Komisję</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12 839</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(8 344)</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4 </w:t>
            </w:r>
            <w:r>
              <w:rPr>
                <w:rFonts w:ascii="Verdana" w:hAnsi="Verdana"/>
                <w:i/>
                <w:noProof/>
                <w:color w:val="000000"/>
                <w:sz w:val="16"/>
              </w:rPr>
              <w:t>495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12 531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(8 262)</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4 269</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Agencje wykonawcze UE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16 522</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(10 339)</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6 184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15 012</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(9 540)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5 472</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Fundusze powiernicze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858</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(665)</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194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585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(433)</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152</w:t>
            </w:r>
          </w:p>
        </w:tc>
      </w:tr>
      <w:tr w:rsidR="0043277E">
        <w:trPr>
          <w:trHeight w:val="255"/>
        </w:trPr>
        <w:tc>
          <w:tcPr>
            <w:tcW w:w="2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1BIPPFD"/>
              <w:rPr>
                <w:rFonts w:ascii="Verdana" w:eastAsia="Verdana" w:hAnsi="Verdana" w:cs="Verdana"/>
                <w:b/>
                <w:noProof/>
                <w:color w:val="000000"/>
                <w:sz w:val="16"/>
              </w:rPr>
            </w:pP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30 219</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(19 347)</w:t>
            </w:r>
          </w:p>
        </w:tc>
        <w:tc>
          <w:tcPr>
            <w:tcW w:w="1320"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10 872</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28 127</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(18 234)</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9 893</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b/>
                <w:noProof/>
                <w:color w:val="000000"/>
                <w:sz w:val="16"/>
              </w:rPr>
            </w:pPr>
            <w:r>
              <w:rPr>
                <w:rFonts w:ascii="Verdana" w:hAnsi="Verdana"/>
                <w:b/>
                <w:noProof/>
                <w:color w:val="000000"/>
                <w:sz w:val="16"/>
              </w:rPr>
              <w:t>Zarządzanie pośrednie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rPr>
            </w:pP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b/>
                <w:noProof/>
                <w:color w:val="000000"/>
                <w:sz w:val="16"/>
                <w:lang w:bidi="en-GB"/>
              </w:rPr>
            </w:pP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Wydatkowane przez:</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rPr>
            </w:pP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1BIPPFD"/>
              <w:jc w:val="right"/>
              <w:rPr>
                <w:rFonts w:ascii="Verdana" w:eastAsia="Verdana" w:hAnsi="Verdana" w:cs="Verdana"/>
                <w:i/>
                <w:noProof/>
                <w:color w:val="000000"/>
                <w:sz w:val="16"/>
                <w:lang w:bidi="en-GB"/>
              </w:rPr>
            </w:pP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Inne agencje i organy UE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1 162</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(678)</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484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762</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(207)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555</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Państwa trzecie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1 491</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(861)</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630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1 546</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(879)</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667</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Organizacje międzynarodowe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8 289</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(5 317)</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2 972</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7 684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(5 053)</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2 631</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00000"/>
                <w:sz w:val="16"/>
              </w:rPr>
            </w:pPr>
            <w:r>
              <w:rPr>
                <w:rFonts w:ascii="Verdana" w:hAnsi="Verdana"/>
                <w:i/>
                <w:noProof/>
                <w:color w:val="000000"/>
                <w:sz w:val="16"/>
              </w:rPr>
              <w:t xml:space="preserve">     Inne podmioty</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10 570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(6 104)</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4 467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9 107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(5 426)</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00000"/>
                <w:sz w:val="16"/>
              </w:rPr>
            </w:pPr>
            <w:r>
              <w:rPr>
                <w:rFonts w:ascii="Verdana" w:hAnsi="Verdana"/>
                <w:i/>
                <w:noProof/>
                <w:color w:val="000000"/>
                <w:sz w:val="16"/>
              </w:rPr>
              <w:t>3</w:t>
            </w:r>
            <w:r>
              <w:rPr>
                <w:rFonts w:ascii="Verdana" w:hAnsi="Verdana"/>
                <w:i/>
                <w:noProof/>
                <w:color w:val="000000"/>
                <w:sz w:val="16"/>
              </w:rPr>
              <w:t xml:space="preserve"> 681</w:t>
            </w:r>
          </w:p>
        </w:tc>
      </w:tr>
      <w:tr w:rsidR="0043277E">
        <w:trPr>
          <w:trHeight w:val="255"/>
        </w:trPr>
        <w:tc>
          <w:tcPr>
            <w:tcW w:w="2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1BIPPFD"/>
              <w:rPr>
                <w:rFonts w:ascii="Verdana" w:eastAsia="Verdana" w:hAnsi="Verdana" w:cs="Verdana"/>
                <w:b/>
                <w:noProof/>
                <w:color w:val="000000"/>
                <w:sz w:val="16"/>
              </w:rPr>
            </w:pP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21 513</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(12 960)</w:t>
            </w:r>
          </w:p>
        </w:tc>
        <w:tc>
          <w:tcPr>
            <w:tcW w:w="1320"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8 553</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19 099</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(11 565)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7 534</w:t>
            </w:r>
          </w:p>
        </w:tc>
      </w:tr>
      <w:tr w:rsidR="0043277E">
        <w:trPr>
          <w:trHeight w:val="255"/>
        </w:trPr>
        <w:tc>
          <w:tcPr>
            <w:tcW w:w="2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b/>
                <w:noProof/>
                <w:color w:val="000000"/>
                <w:sz w:val="16"/>
              </w:rPr>
            </w:pPr>
            <w:r>
              <w:rPr>
                <w:rFonts w:ascii="Verdana" w:hAnsi="Verdana"/>
                <w:b/>
                <w:noProof/>
                <w:color w:val="000000"/>
                <w:sz w:val="16"/>
              </w:rPr>
              <w:t>Ogółem</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83 289</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(38 840)</w:t>
            </w:r>
          </w:p>
        </w:tc>
        <w:tc>
          <w:tcPr>
            <w:tcW w:w="1320"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44 449</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80 289</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(36 904)</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b/>
                <w:noProof/>
                <w:color w:val="000000"/>
                <w:sz w:val="16"/>
              </w:rPr>
            </w:pPr>
            <w:r>
              <w:rPr>
                <w:rFonts w:ascii="Verdana" w:hAnsi="Verdana"/>
                <w:b/>
                <w:noProof/>
                <w:color w:val="000000"/>
                <w:sz w:val="16"/>
              </w:rPr>
              <w:t>43 386</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16794"/>
                <w:sz w:val="16"/>
              </w:rPr>
            </w:pPr>
            <w:r>
              <w:rPr>
                <w:rFonts w:ascii="Verdana" w:hAnsi="Verdana"/>
                <w:i/>
                <w:noProof/>
                <w:color w:val="016794"/>
                <w:sz w:val="16"/>
              </w:rPr>
              <w:t>Trwałe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22 135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22 135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21 814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21 814</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rPr>
                <w:rFonts w:ascii="Verdana" w:eastAsia="Verdana" w:hAnsi="Verdana" w:cs="Verdana"/>
                <w:i/>
                <w:noProof/>
                <w:color w:val="016794"/>
                <w:sz w:val="16"/>
              </w:rPr>
            </w:pPr>
            <w:r>
              <w:rPr>
                <w:rFonts w:ascii="Verdana" w:hAnsi="Verdana"/>
                <w:i/>
                <w:noProof/>
                <w:color w:val="016794"/>
                <w:sz w:val="16"/>
              </w:rPr>
              <w:t>Obrotowe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61 154</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(38 840)</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22 314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58 476</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(36 904)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1BIPPFD"/>
              <w:jc w:val="right"/>
              <w:rPr>
                <w:rFonts w:ascii="Verdana" w:eastAsia="Verdana" w:hAnsi="Verdana" w:cs="Verdana"/>
                <w:i/>
                <w:noProof/>
                <w:color w:val="016794"/>
                <w:sz w:val="16"/>
              </w:rPr>
            </w:pPr>
            <w:r>
              <w:rPr>
                <w:rFonts w:ascii="Verdana" w:hAnsi="Verdana"/>
                <w:i/>
                <w:noProof/>
                <w:color w:val="016794"/>
                <w:sz w:val="16"/>
              </w:rPr>
              <w:t>21 572</w:t>
            </w:r>
          </w:p>
        </w:tc>
      </w:tr>
    </w:tbl>
    <w:p w:rsidR="0043277E" w:rsidRDefault="000F2348">
      <w:pPr>
        <w:pStyle w:val="DGTextstand-alone"/>
      </w:pPr>
      <w:r>
        <w:t xml:space="preserve">Płatności zaliczkowe oznaczają wypłacone pieniądze, a tym samym wykonanie środków na płatności. Jak wyjaśniono w informacji dodatkowej </w:t>
      </w:r>
      <w:r>
        <w:rPr>
          <w:b/>
        </w:rPr>
        <w:t>1.5.7</w:t>
      </w:r>
      <w:r>
        <w:t xml:space="preserve">, są to zaliczki, które nie zostały jeszcze ujęte jako koszty. Chociaż płatności zaliczkowe zmniejszają w związku z </w:t>
      </w:r>
      <w:r>
        <w:t xml:space="preserve">tym wysokość zobowiązań pozostających do spłaty (zob. informacja dodatkowa </w:t>
      </w:r>
      <w:r>
        <w:rPr>
          <w:b/>
        </w:rPr>
        <w:t>5.1</w:t>
      </w:r>
      <w:r>
        <w:t>), stanowią one koszty, które w dalszym ciągu należy zatwierdzić i uwzględnić w sprawozdaniu z finansowych wyników działalności.</w:t>
      </w:r>
    </w:p>
    <w:p w:rsidR="0043277E" w:rsidRDefault="000F2348">
      <w:pPr>
        <w:pStyle w:val="DGTextstand-alone"/>
      </w:pPr>
      <w:r>
        <w:t>W przypadku zarządzania dzielonego niemal wszystk</w:t>
      </w:r>
      <w:r>
        <w:t>ie płatności zaliczkowe odnoszą się do obecnego okresu programowania. Istnieje kwota początkowych płatności zaliczkowych, która nie zostanie rozliczona (tj. uwzględniona w sprawozdaniu z finansowych wyników działalności) przed końcem tego okresu programowa</w:t>
      </w:r>
      <w:r>
        <w:t xml:space="preserve">nia i którą wykazuje się jako zaliczkowanie długoterminowe. Istnieje też kwota rocznych płatności zaliczkowych, którą rozlicza się corocznie i wykazuje się jako zaliczkowanie krótkoterminowe. W 2019 r. w ramach nowych płatności zaliczkowych wypłacono 10,5 </w:t>
      </w:r>
      <w:r>
        <w:t xml:space="preserve">mld EUR. W przypadku zarządzania dzielonego płatności zaliczkowe utrzymują się na stabilnym poziomie w porównaniu z rokiem 2018, z wyjątkiem spadku kwot w ramach EFRROW wynikającego z płatności zaliczkowych pozostałych z poprzedniego okresu programowania. </w:t>
      </w:r>
      <w:r>
        <w:t xml:space="preserve">Kwoty te zostały rozliczone w ciągu roku. </w:t>
      </w:r>
    </w:p>
    <w:p w:rsidR="0043277E" w:rsidRDefault="000F2348">
      <w:pPr>
        <w:pStyle w:val="DGTextstand-alone"/>
      </w:pPr>
      <w:r>
        <w:t>Jeżeli chodzi o zarządzanie bezpośrednie, największa część płatności zaliczkowych dotyczy pozycji związanych z badaniami (głównie program „Horyzont 2020” wdrażany przez Komisję i agencje wykonawcze UE) i wynosi 7,</w:t>
      </w:r>
      <w:r>
        <w:t>8 mld EUR (w 2018 r.: 6,8 mld EUR). Wzrost ten wynika z umów zawartych w 2019 r., w odniesieniu do których wniesiono płatności zaliczkowe.</w:t>
      </w:r>
    </w:p>
    <w:p w:rsidR="0043277E" w:rsidRDefault="000F2348">
      <w:pPr>
        <w:pStyle w:val="DGTextstand-alone"/>
      </w:pPr>
      <w:r>
        <w:t>W przypadku zarządzania pośredniego płatności zaliczkowe obejmują głównie programy polityki wewnętrznej, takie jak Er</w:t>
      </w:r>
      <w:r>
        <w:t>asmus, Galileo i EGNOS, ale także instrumenty związane ze stosunkami zewnętrznymi, takie jak ENI (Europejski Instrument Sąsiedztwa), Instrument Finansowania Współpracy na rzecz Rozwoju oraz IPA (Instrument Pomocy Przedakcesyjnej). Wzrost kwoty płatności za</w:t>
      </w:r>
      <w:r>
        <w:t xml:space="preserve">liczkowych na rzecz organizacji międzynarodowych dotyczy głównie wymienionych powyżej instrumentów związanych ze stosunkami zewnętrznymi. Zwiększenie kwoty płatności zaliczkowych na rzecz innych </w:t>
      </w:r>
      <w:r>
        <w:lastRenderedPageBreak/>
        <w:t>podmiotów jest związane głównie z programem Erasmus wdrażanym</w:t>
      </w:r>
      <w:r>
        <w:t xml:space="preserve"> przez agencje narodowe z uwagi na rozpoczęcie obowiązywania nowych umów w 2019 r.</w:t>
      </w:r>
    </w:p>
    <w:p w:rsidR="0043277E" w:rsidRDefault="000F2348">
      <w:pPr>
        <w:pStyle w:val="HEADER5"/>
        <w:rPr>
          <w:b/>
          <w:noProof/>
        </w:rPr>
      </w:pPr>
      <w:r>
        <w:rPr>
          <w:noProof/>
        </w:rPr>
        <w:t>Zabezpieczenia otrzymane w związku z płatnościami zaliczkowymi</w:t>
      </w:r>
    </w:p>
    <w:p w:rsidR="0043277E" w:rsidRDefault="000F2348">
      <w:pPr>
        <w:pStyle w:val="DGTextstand-alone"/>
      </w:pPr>
      <w:r>
        <w:t>Są to zabezpieczenia, których Komisja wymaga w niektórych przypadkach od beneficjentów innych niż państwa czło</w:t>
      </w:r>
      <w:r>
        <w:t>nkowskie przy wypłacie zaliczek (płatności zaliczkowych). W przypadku tego rodzaju zabezpieczeń wykazuje się dwie wartości – „wartość nominalną” i „wartość bieżącą”. W przypadku wartości nominalnej zdarzenie generujące jest związane z istnieniem zabezpiecz</w:t>
      </w:r>
      <w:r>
        <w:t>enia. W przypadku wartości bieżącej zdarzeniem generującym zabezpieczenie jest wypłacenie płatności zaliczkowej w ramach gwarancji, po czym następuje obniżenie jej kwoty w ramach późniejszych rozliczeń. Na dzień 31 grudnia 2019 r. wartość nominalna uzyskan</w:t>
      </w:r>
      <w:r>
        <w:t>ych gwarancji w odniesieniu do płatności zaliczkowych wynosiła 492 mln EUR, natomiast wartość bieżąca tych gwarancji – 406 mln EUR (w 2018 r.: odpowiednio 516 mln EUR i 420 mln EUR).</w:t>
      </w:r>
    </w:p>
    <w:p w:rsidR="0043277E" w:rsidRDefault="000F2348">
      <w:pPr>
        <w:pStyle w:val="DGTextstand-alone"/>
      </w:pPr>
      <w:r>
        <w:t>Niektóre kwoty płatności zaliczkowych wypłacone w ramach siódmego program</w:t>
      </w:r>
      <w:r>
        <w:t>u ramowego w zakresie badań i rozwoju technologicznego (7PR) i programu „Horyzont 2020” są w istocie pokrywane z funduszu gwarancyjnego dla uczestników (PGF). Jest to instrument wzajemnych gwarancji ustanowiony w celu zabezpieczenia ryzyka finansowego zwią</w:t>
      </w:r>
      <w:r>
        <w:t>zanego z niedokonaniem płatności przez beneficjentów w trakcie realizacji działań pośrednich w ramach 7PR oraz programu „Horyzont 2020”. Wszyscy uczestnicy działań pośrednich otrzymujący dotację z UE wnoszą 5 % łącznej otrzymanej kwoty na poczet kapitału P</w:t>
      </w:r>
      <w:r>
        <w:t>GF.</w:t>
      </w:r>
    </w:p>
    <w:p w:rsidR="0043277E" w:rsidRDefault="000F2348">
      <w:pPr>
        <w:pStyle w:val="DGTextstand-alone"/>
      </w:pPr>
      <w:r>
        <w:t>Na dzień 31 grudnia 2019 r. płatności zaliczkowe objęte PGF wynosiły 2,1 mld EUR (w 2018 r.: 2 mld EUR). UE (reprezentowana przez Komisję) działa jako przedstawiciel wykonawczy udziałowców PGF, ale to oni są jego właścicielami.</w:t>
      </w:r>
    </w:p>
    <w:p w:rsidR="0043277E" w:rsidRDefault="000F2348">
      <w:pPr>
        <w:pStyle w:val="DGTextstand-alone"/>
      </w:pPr>
      <w:r>
        <w:t>Aktywa PGF na koniec rok</w:t>
      </w:r>
      <w:r>
        <w:t>u wynosiły ogółem 2,2 mld EUR (w 2018 r.: 2,1 mld EUR). Aktywa PGF obejmują także aktywa finansowe zarządzane przez Komisję. Ponieważ PGF jest odrębną jednostką, jego aktywa nie podlegają konsolidacji w niniejszym sprawozdaniu finansowym UE.</w:t>
      </w:r>
    </w:p>
    <w:p w:rsidR="0043277E" w:rsidRDefault="000F2348">
      <w:pPr>
        <w:pStyle w:val="HEADER3NOTES"/>
        <w:rPr>
          <w:noProof/>
        </w:rPr>
      </w:pPr>
      <w:r>
        <w:rPr>
          <w:noProof/>
        </w:rPr>
        <w:t xml:space="preserve">Inne zaliczki </w:t>
      </w:r>
      <w:r>
        <w:rPr>
          <w:noProof/>
        </w:rPr>
        <w:t>dla państw członkowskich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2102"/>
        <w:gridCol w:w="2103"/>
      </w:tblGrid>
      <w:tr w:rsidR="0043277E">
        <w:trPr>
          <w:trHeight w:val="255"/>
        </w:trPr>
        <w:tc>
          <w:tcPr>
            <w:tcW w:w="555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47BIPFEIAS"/>
              <w:rPr>
                <w:rFonts w:ascii="Arial" w:eastAsia="Arial" w:hAnsi="Arial" w:cs="Arial"/>
                <w:noProof/>
                <w:color w:val="000000"/>
              </w:rPr>
            </w:pPr>
            <w:bookmarkStart w:id="65" w:name="DOC_TBL00025_1_1"/>
            <w:bookmarkEnd w:id="65"/>
          </w:p>
        </w:tc>
        <w:tc>
          <w:tcPr>
            <w:tcW w:w="210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47BIPFEIAS"/>
              <w:rPr>
                <w:rFonts w:ascii="Arial" w:eastAsia="Arial" w:hAnsi="Arial" w:cs="Arial"/>
                <w:noProof/>
                <w:color w:val="000000"/>
              </w:rPr>
            </w:pPr>
          </w:p>
        </w:tc>
        <w:tc>
          <w:tcPr>
            <w:tcW w:w="210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47BIPFEIA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55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47BIPFEIAS"/>
              <w:jc w:val="center"/>
              <w:rPr>
                <w:rFonts w:ascii="Verdana" w:eastAsia="Verdana" w:hAnsi="Verdana" w:cs="Verdana"/>
                <w:noProof/>
                <w:color w:val="FFFFFF"/>
              </w:rPr>
            </w:pPr>
          </w:p>
        </w:tc>
        <w:tc>
          <w:tcPr>
            <w:tcW w:w="210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47BIPFEIAS"/>
              <w:jc w:val="right"/>
              <w:rPr>
                <w:rFonts w:ascii="Verdana" w:eastAsia="Verdana" w:hAnsi="Verdana" w:cs="Verdana"/>
                <w:noProof/>
                <w:color w:val="FFFFFF"/>
              </w:rPr>
            </w:pPr>
            <w:r>
              <w:rPr>
                <w:rFonts w:ascii="Verdana" w:hAnsi="Verdana"/>
                <w:noProof/>
                <w:color w:val="FFFFFF"/>
              </w:rPr>
              <w:t>31.12.2019</w:t>
            </w:r>
          </w:p>
        </w:tc>
        <w:tc>
          <w:tcPr>
            <w:tcW w:w="210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47BIPFEIAS"/>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rPr>
                <w:rFonts w:ascii="Verdana" w:eastAsia="Verdana" w:hAnsi="Verdana" w:cs="Verdana"/>
                <w:i/>
                <w:noProof/>
                <w:color w:val="000000"/>
                <w:sz w:val="18"/>
              </w:rPr>
            </w:pPr>
            <w:r>
              <w:rPr>
                <w:rFonts w:ascii="Verdana" w:hAnsi="Verdana"/>
                <w:i/>
                <w:noProof/>
                <w:color w:val="000000"/>
                <w:sz w:val="18"/>
              </w:rPr>
              <w:t>Zaliczki dla państw członkowskich w ramach instrumentów finansowych objętych zarządzaniem dzielonym</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00000"/>
                <w:sz w:val="18"/>
              </w:rPr>
            </w:pPr>
            <w:r>
              <w:rPr>
                <w:rFonts w:ascii="Verdana" w:hAnsi="Verdana"/>
                <w:i/>
                <w:noProof/>
                <w:color w:val="000000"/>
                <w:sz w:val="18"/>
              </w:rPr>
              <w:t>3 304</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00000"/>
                <w:sz w:val="18"/>
              </w:rPr>
            </w:pPr>
            <w:r>
              <w:rPr>
                <w:rFonts w:ascii="Verdana" w:hAnsi="Verdana"/>
                <w:i/>
                <w:noProof/>
                <w:color w:val="000000"/>
                <w:sz w:val="18"/>
              </w:rPr>
              <w:t>3 675</w:t>
            </w:r>
          </w:p>
        </w:tc>
      </w:tr>
      <w:tr w:rsidR="0043277E">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rPr>
                <w:rFonts w:ascii="Verdana" w:eastAsia="Verdana" w:hAnsi="Verdana" w:cs="Verdana"/>
                <w:i/>
                <w:noProof/>
                <w:color w:val="000000"/>
                <w:sz w:val="18"/>
              </w:rPr>
            </w:pPr>
            <w:r>
              <w:rPr>
                <w:rFonts w:ascii="Verdana" w:hAnsi="Verdana"/>
                <w:i/>
                <w:noProof/>
                <w:color w:val="000000"/>
                <w:sz w:val="18"/>
              </w:rPr>
              <w:t>Programy pomocy</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00000"/>
                <w:sz w:val="18"/>
              </w:rPr>
            </w:pPr>
            <w:r>
              <w:rPr>
                <w:rFonts w:ascii="Verdana" w:hAnsi="Verdana"/>
                <w:i/>
                <w:noProof/>
                <w:color w:val="000000"/>
                <w:sz w:val="18"/>
              </w:rPr>
              <w:t>3 634</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00000"/>
                <w:sz w:val="18"/>
              </w:rPr>
            </w:pPr>
            <w:r>
              <w:rPr>
                <w:rFonts w:ascii="Verdana" w:hAnsi="Verdana"/>
                <w:i/>
                <w:noProof/>
                <w:color w:val="000000"/>
                <w:sz w:val="18"/>
              </w:rPr>
              <w:t>2 843</w:t>
            </w:r>
          </w:p>
        </w:tc>
      </w:tr>
      <w:tr w:rsidR="0043277E">
        <w:trPr>
          <w:trHeight w:val="255"/>
        </w:trPr>
        <w:tc>
          <w:tcPr>
            <w:tcW w:w="55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47BIPFEIAS"/>
              <w:rPr>
                <w:rFonts w:ascii="Verdana" w:eastAsia="Verdana" w:hAnsi="Verdana" w:cs="Verdana"/>
                <w:b/>
                <w:noProof/>
                <w:color w:val="000000"/>
                <w:sz w:val="18"/>
              </w:rPr>
            </w:pPr>
            <w:r>
              <w:rPr>
                <w:rFonts w:ascii="Verdana" w:hAnsi="Verdana"/>
                <w:b/>
                <w:noProof/>
                <w:color w:val="000000"/>
                <w:sz w:val="18"/>
              </w:rPr>
              <w:t>Ogółem</w:t>
            </w:r>
          </w:p>
        </w:tc>
        <w:tc>
          <w:tcPr>
            <w:tcW w:w="2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b/>
                <w:noProof/>
                <w:color w:val="000000"/>
                <w:sz w:val="18"/>
              </w:rPr>
            </w:pPr>
            <w:r>
              <w:rPr>
                <w:rFonts w:ascii="Verdana" w:hAnsi="Verdana"/>
                <w:b/>
                <w:noProof/>
                <w:color w:val="000000"/>
                <w:sz w:val="18"/>
              </w:rPr>
              <w:t>6 937</w:t>
            </w:r>
          </w:p>
        </w:tc>
        <w:tc>
          <w:tcPr>
            <w:tcW w:w="210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b/>
                <w:noProof/>
                <w:color w:val="000000"/>
                <w:sz w:val="18"/>
              </w:rPr>
            </w:pPr>
            <w:r>
              <w:rPr>
                <w:rFonts w:ascii="Verdana" w:hAnsi="Verdana"/>
                <w:b/>
                <w:noProof/>
                <w:color w:val="000000"/>
                <w:sz w:val="18"/>
              </w:rPr>
              <w:t>6 518</w:t>
            </w:r>
          </w:p>
        </w:tc>
      </w:tr>
      <w:tr w:rsidR="0043277E">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rPr>
                <w:rFonts w:ascii="Verdana" w:eastAsia="Verdana" w:hAnsi="Verdana" w:cs="Verdana"/>
                <w:i/>
                <w:noProof/>
                <w:color w:val="016794"/>
                <w:sz w:val="18"/>
              </w:rPr>
            </w:pPr>
            <w:r>
              <w:rPr>
                <w:rFonts w:ascii="Verdana" w:hAnsi="Verdana"/>
                <w:i/>
                <w:noProof/>
                <w:color w:val="016794"/>
                <w:sz w:val="18"/>
              </w:rPr>
              <w:t>Trwałe</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16794"/>
                <w:sz w:val="18"/>
              </w:rPr>
            </w:pPr>
            <w:r>
              <w:rPr>
                <w:rFonts w:ascii="Verdana" w:hAnsi="Verdana"/>
                <w:i/>
                <w:noProof/>
                <w:color w:val="016794"/>
                <w:sz w:val="18"/>
              </w:rPr>
              <w:t>4 045</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16794"/>
                <w:sz w:val="18"/>
              </w:rPr>
            </w:pPr>
            <w:r>
              <w:rPr>
                <w:rFonts w:ascii="Verdana" w:hAnsi="Verdana"/>
                <w:i/>
                <w:noProof/>
                <w:color w:val="016794"/>
                <w:sz w:val="18"/>
              </w:rPr>
              <w:t>4 122</w:t>
            </w:r>
          </w:p>
        </w:tc>
      </w:tr>
      <w:tr w:rsidR="0043277E">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rPr>
                <w:rFonts w:ascii="Verdana" w:eastAsia="Verdana" w:hAnsi="Verdana" w:cs="Verdana"/>
                <w:i/>
                <w:noProof/>
                <w:color w:val="016794"/>
                <w:sz w:val="18"/>
              </w:rPr>
            </w:pPr>
            <w:r>
              <w:rPr>
                <w:rFonts w:ascii="Verdana" w:hAnsi="Verdana"/>
                <w:i/>
                <w:noProof/>
                <w:color w:val="016794"/>
                <w:sz w:val="18"/>
              </w:rPr>
              <w:t>Obrotowe</w:t>
            </w:r>
          </w:p>
        </w:tc>
        <w:tc>
          <w:tcPr>
            <w:tcW w:w="21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16794"/>
                <w:sz w:val="18"/>
              </w:rPr>
            </w:pPr>
            <w:r>
              <w:rPr>
                <w:rFonts w:ascii="Verdana" w:hAnsi="Verdana"/>
                <w:i/>
                <w:noProof/>
                <w:color w:val="016794"/>
                <w:sz w:val="18"/>
              </w:rPr>
              <w:t xml:space="preserve">2 </w:t>
            </w:r>
            <w:r>
              <w:rPr>
                <w:rFonts w:ascii="Verdana" w:hAnsi="Verdana"/>
                <w:i/>
                <w:noProof/>
                <w:color w:val="016794"/>
                <w:sz w:val="18"/>
              </w:rPr>
              <w:t>892</w:t>
            </w:r>
          </w:p>
        </w:tc>
        <w:tc>
          <w:tcPr>
            <w:tcW w:w="210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47BIPFEIAS"/>
              <w:jc w:val="right"/>
              <w:rPr>
                <w:rFonts w:ascii="Verdana" w:eastAsia="Verdana" w:hAnsi="Verdana" w:cs="Verdana"/>
                <w:i/>
                <w:noProof/>
                <w:color w:val="016794"/>
                <w:sz w:val="18"/>
              </w:rPr>
            </w:pPr>
            <w:r>
              <w:rPr>
                <w:rFonts w:ascii="Verdana" w:hAnsi="Verdana"/>
                <w:i/>
                <w:noProof/>
                <w:color w:val="016794"/>
                <w:sz w:val="18"/>
              </w:rPr>
              <w:t>2 396</w:t>
            </w:r>
          </w:p>
        </w:tc>
      </w:tr>
    </w:tbl>
    <w:p w:rsidR="0043277E" w:rsidRDefault="0043277E">
      <w:pPr>
        <w:pStyle w:val="Heading8pNormalCentered"/>
        <w:jc w:val="both"/>
        <w:rPr>
          <w:lang w:bidi="en-GB"/>
        </w:rPr>
      </w:pPr>
    </w:p>
    <w:p w:rsidR="0043277E" w:rsidRDefault="000F2348">
      <w:pPr>
        <w:pStyle w:val="HEADER5"/>
        <w:spacing w:before="240" w:after="240"/>
        <w:rPr>
          <w:noProof/>
        </w:rPr>
      </w:pPr>
      <w:r>
        <w:rPr>
          <w:noProof/>
        </w:rPr>
        <w:t>Zaliczki dla państw członkowskich w ramach instrumentów finansowych objętych zarządzaniem dzielonym</w:t>
      </w:r>
    </w:p>
    <w:p w:rsidR="0043277E" w:rsidRDefault="000F2348">
      <w:pPr>
        <w:pStyle w:val="Textstand-alone"/>
      </w:pPr>
      <w:r>
        <w:t xml:space="preserve">W ramach programów finansowanych z europejskich funduszy strukturalnych i inwestycyjnych można dokonywać płatności zaliczkowych z budżetu UE na </w:t>
      </w:r>
      <w:r>
        <w:t>rzecz państw członkowskich, aby zasilić instrumenty finansowe (tj. pożyczki, inwestycje kapitałowe lub gwarancje). Te instrumenty finansowe są tworzone i zarządzane przez państwa członkowskie, a nie Komisję. Środki pieniężne niewykorzystane w ramach tych i</w:t>
      </w:r>
      <w:r>
        <w:t>nstrumentów na koniec roku stanowią własność UE (tak jak w przypadku całego zaliczkowania) i dlatego traktuje się je jako składnik aktywów w bilansie UE.</w:t>
      </w:r>
    </w:p>
    <w:p w:rsidR="0043277E" w:rsidRDefault="000F2348">
      <w:pPr>
        <w:pStyle w:val="Textstand-alone"/>
        <w:spacing w:before="0"/>
        <w:rPr>
          <w:i/>
        </w:rPr>
      </w:pPr>
      <w:r>
        <w:rPr>
          <w:i/>
        </w:rPr>
        <w:t>Okres 2014–2020:</w:t>
      </w:r>
    </w:p>
    <w:p w:rsidR="0043277E" w:rsidRDefault="000F2348">
      <w:pPr>
        <w:pStyle w:val="DGTextstand-alone"/>
      </w:pPr>
      <w:r>
        <w:t xml:space="preserve">Szacuje się, że z kwoty 7 146 mln EUR wypłaconej w ramach polityki spójności kwota 3 </w:t>
      </w:r>
      <w:r>
        <w:t xml:space="preserve">247 mln EUR pozostała niewykorzystana na dzień 31 grudnia 2019 r. Kwota ta obejmowała wkład państw członkowskich w inicjatywę dotyczącą MŚP, instrument zachęcający sektor bankowy do udzielania MŚP dodatkowych pożyczek (wypłacono kwotę 1 198 mln EUR, która </w:t>
      </w:r>
      <w:r>
        <w:t>nie obejmowała kwot wciąż stanowiących płatności zaliczkowe, z czego szacuje się, że 324 mln EUR są jeszcze niewykorzystane).</w:t>
      </w:r>
    </w:p>
    <w:p w:rsidR="0043277E" w:rsidRDefault="000F2348">
      <w:pPr>
        <w:pStyle w:val="DGTextstand-alone"/>
      </w:pPr>
      <w:r>
        <w:t>W przypadku rozwoju obszarów wiejskich kwota 54 mln EUR pozostała niewykorzystana na koniec roku.</w:t>
      </w:r>
    </w:p>
    <w:p w:rsidR="0043277E" w:rsidRDefault="000F2348">
      <w:pPr>
        <w:pStyle w:val="Textstand-alone"/>
        <w:spacing w:before="0"/>
        <w:rPr>
          <w:i/>
        </w:rPr>
      </w:pPr>
      <w:r>
        <w:rPr>
          <w:i/>
        </w:rPr>
        <w:t xml:space="preserve">Okres 2007–2013: </w:t>
      </w:r>
    </w:p>
    <w:p w:rsidR="0043277E" w:rsidRDefault="000F2348">
      <w:pPr>
        <w:pStyle w:val="DGTextstand-alone"/>
      </w:pPr>
      <w:r>
        <w:lastRenderedPageBreak/>
        <w:t xml:space="preserve">Wszelkie kwoty dotyczące polityki spójności </w:t>
      </w:r>
      <w:r>
        <w:rPr>
          <w:bdr w:val="none" w:sz="0" w:space="0" w:color="auto" w:frame="1"/>
        </w:rPr>
        <w:t xml:space="preserve">uznaje się </w:t>
      </w:r>
      <w:r>
        <w:t xml:space="preserve">albo za wykorzystane, albo za realokowane na inne działania, a zatem na dzień 31 grudnia 2019 r. </w:t>
      </w:r>
      <w:r>
        <w:rPr>
          <w:bdr w:val="none" w:sz="0" w:space="0" w:color="auto" w:frame="1"/>
        </w:rPr>
        <w:t>w bilansie nie są wykazywane żadne aktywa</w:t>
      </w:r>
      <w:r>
        <w:t xml:space="preserve">. </w:t>
      </w:r>
      <w:r>
        <w:rPr>
          <w:bdr w:val="none" w:sz="0" w:space="0" w:color="auto" w:frame="1"/>
        </w:rPr>
        <w:t>Należy zauważyć, że rzeczywiste wykorzystanie w ramach różnyc</w:t>
      </w:r>
      <w:r>
        <w:rPr>
          <w:bdr w:val="none" w:sz="0" w:space="0" w:color="auto" w:frame="1"/>
        </w:rPr>
        <w:t>h instrumentów zostanie poddane przeglądowi w ramach procesu zamykania programów w nadchodzących latach.</w:t>
      </w:r>
    </w:p>
    <w:p w:rsidR="0043277E" w:rsidRDefault="000F2348">
      <w:pPr>
        <w:pStyle w:val="HEADER5"/>
        <w:rPr>
          <w:b/>
          <w:noProof/>
        </w:rPr>
      </w:pPr>
      <w:r>
        <w:rPr>
          <w:noProof/>
        </w:rPr>
        <w:t>Programy pomocy</w:t>
      </w:r>
    </w:p>
    <w:p w:rsidR="0043277E" w:rsidRDefault="000F2348">
      <w:pPr>
        <w:pStyle w:val="Textstand-alone"/>
      </w:pPr>
      <w:r>
        <w:t xml:space="preserve">Podobnie zaliczki wypłacone przez państwa członkowskie w związku z różnymi programami pomocy (pomoc państwa, środki związane z rynkiem </w:t>
      </w:r>
      <w:r>
        <w:t xml:space="preserve">w ramach EFRG lub środki inwestycyjne EFRROW), które nie zostały wykorzystane na koniec roku, wykazuje się w bilansie UE po stronie aktywów (zaliczki). Komisja oszacowała wartość tych zaliczek w oparciu o informacje dostarczone przez państwa członkowskie; </w:t>
      </w:r>
      <w:r>
        <w:t>odpowiednie kwoty ujęto w podpozycji „Programy pomocy” powyżej.</w:t>
      </w:r>
    </w:p>
    <w:p w:rsidR="0043277E" w:rsidRDefault="000F2348">
      <w:pPr>
        <w:pStyle w:val="Textstand-alone"/>
        <w:spacing w:before="0"/>
        <w:rPr>
          <w:i/>
        </w:rPr>
      </w:pPr>
      <w:r>
        <w:rPr>
          <w:i/>
        </w:rPr>
        <w:t>Okres 2014–2020:</w:t>
      </w:r>
    </w:p>
    <w:p w:rsidR="0043277E" w:rsidRDefault="000F2348">
      <w:pPr>
        <w:pStyle w:val="Textstand-alone"/>
        <w:spacing w:before="0"/>
      </w:pPr>
      <w:r>
        <w:t>Na koniec roku niewykorzystane kwoty szacowano na 2 044 mln EUR, jeżeli chodzi o politykę spójności, oraz na 1 460 mln EUR, jeżeli chodzi o rolnictwo i rozwój obszarów wiejski</w:t>
      </w:r>
      <w:r>
        <w:t>ch.</w:t>
      </w:r>
    </w:p>
    <w:p w:rsidR="0043277E" w:rsidRDefault="000F2348">
      <w:pPr>
        <w:pStyle w:val="Textstand-alone"/>
        <w:spacing w:before="0"/>
        <w:rPr>
          <w:i/>
        </w:rPr>
      </w:pPr>
      <w:r>
        <w:rPr>
          <w:i/>
        </w:rPr>
        <w:t>Okres 2007–2013:</w:t>
      </w:r>
    </w:p>
    <w:p w:rsidR="0043277E" w:rsidRDefault="000F2348">
      <w:pPr>
        <w:pStyle w:val="Textstand-alone"/>
        <w:spacing w:before="0" w:after="0"/>
      </w:pPr>
      <w:r>
        <w:t>Szacuje się, że 130 mln EUR wypłaconych w kontekście rozwoju obszarów wiejskich pozostało niewykorzystanych na koniec 2019 r.</w:t>
      </w:r>
    </w:p>
    <w:p w:rsidR="0043277E" w:rsidRDefault="000F2348">
      <w:pPr>
        <w:pStyle w:val="Textstand-alone"/>
        <w:spacing w:before="0" w:after="0"/>
        <w:sectPr w:rsidR="0043277E">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r>
        <w:t xml:space="preserve"> </w:t>
      </w:r>
      <w:bookmarkEnd w:id="62"/>
    </w:p>
    <w:p w:rsidR="0043277E" w:rsidRDefault="000F2348">
      <w:pPr>
        <w:pStyle w:val="HEADER2NOTES"/>
        <w:rPr>
          <w:noProof/>
        </w:rPr>
      </w:pPr>
      <w:bookmarkStart w:id="66" w:name="_DMBM_17188"/>
      <w:r>
        <w:rPr>
          <w:noProof/>
        </w:rPr>
        <w:t>NALEŻNOŚCI Z TYTUŁU TRANSAKCJI WYMIANY I NALEŻNOŚCI Z TYTUŁU TRANSAKCJI INNYCH NIŻ TRANSAKCJE WYMIANY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ERNER"/>
              <w:rPr>
                <w:rFonts w:ascii="Verdana" w:eastAsia="Verdana" w:hAnsi="Verdana" w:cs="Verdana"/>
                <w:i/>
                <w:noProof/>
                <w:color w:val="FFFFFF"/>
                <w:sz w:val="16"/>
              </w:rPr>
            </w:pPr>
            <w:bookmarkStart w:id="67" w:name="DOC_TBL00026_1_1"/>
            <w:bookmarkEnd w:id="67"/>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7BIPERNER"/>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ERNER"/>
              <w:jc w:val="center"/>
              <w:rPr>
                <w:rFonts w:ascii="Verdana" w:eastAsia="Verdana" w:hAnsi="Verdana" w:cs="Verdana"/>
                <w:noProof/>
                <w:color w:val="FFFFFF"/>
                <w:sz w:val="19"/>
                <w:szCs w:val="19"/>
              </w:rPr>
            </w:pPr>
            <w:r>
              <w:rPr>
                <w:rFonts w:ascii="Verdana" w:hAnsi="Verdana"/>
                <w:noProof/>
                <w:color w:val="FFFFFF"/>
                <w:sz w:val="19"/>
                <w:szCs w:val="19"/>
              </w:rPr>
              <w:t>Informacja dodatkowa</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ERNER"/>
              <w:jc w:val="right"/>
              <w:rPr>
                <w:rFonts w:ascii="Verdana" w:eastAsia="Verdana" w:hAnsi="Verdana" w:cs="Verdana"/>
                <w:noProof/>
                <w:color w:val="FFFFFF"/>
                <w:sz w:val="19"/>
                <w:szCs w:val="19"/>
              </w:rPr>
            </w:pPr>
            <w:r>
              <w:rPr>
                <w:rFonts w:ascii="Verdana" w:hAnsi="Verdana"/>
                <w:noProof/>
                <w:color w:val="FFFFFF"/>
                <w:sz w:val="19"/>
                <w:szCs w:val="19"/>
              </w:rPr>
              <w:t>31.12.2019</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ERNER"/>
              <w:jc w:val="right"/>
              <w:rPr>
                <w:rFonts w:ascii="Verdana" w:eastAsia="Verdana" w:hAnsi="Verdana" w:cs="Verdana"/>
                <w:noProof/>
                <w:color w:val="FFFFFF"/>
                <w:sz w:val="19"/>
                <w:szCs w:val="19"/>
              </w:rPr>
            </w:pPr>
            <w:r>
              <w:rPr>
                <w:rFonts w:ascii="Verdana" w:hAnsi="Verdana"/>
                <w:noProof/>
                <w:color w:val="FFFFFF"/>
                <w:sz w:val="19"/>
                <w:szCs w:val="19"/>
              </w:rPr>
              <w:t>31.12.2018</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rPr>
                <w:rFonts w:ascii="Verdana" w:eastAsia="Verdana" w:hAnsi="Verdana" w:cs="Verdana"/>
                <w:b/>
                <w:noProof/>
                <w:color w:val="000000"/>
                <w:sz w:val="17"/>
                <w:szCs w:val="17"/>
              </w:rPr>
            </w:pPr>
            <w:r>
              <w:rPr>
                <w:rFonts w:ascii="Verdana" w:hAnsi="Verdana"/>
                <w:b/>
                <w:noProof/>
                <w:color w:val="000000"/>
                <w:sz w:val="17"/>
                <w:szCs w:val="17"/>
              </w:rPr>
              <w:t>Trwałe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ERNER"/>
              <w:jc w:val="cent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ERN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ERNER"/>
              <w:rPr>
                <w:rFonts w:ascii="Verdana" w:eastAsia="Verdana" w:hAnsi="Verdana" w:cs="Verdana"/>
                <w:b/>
                <w:noProof/>
                <w:color w:val="000000"/>
                <w:sz w:val="17"/>
                <w:szCs w:val="17"/>
                <w:lang w:bidi="en-GB"/>
              </w:rPr>
            </w:pP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rPr>
                <w:rFonts w:ascii="Verdana" w:eastAsia="Verdana" w:hAnsi="Verdana" w:cs="Verdana"/>
                <w:i/>
                <w:noProof/>
                <w:color w:val="000000"/>
                <w:sz w:val="17"/>
                <w:szCs w:val="17"/>
              </w:rPr>
            </w:pPr>
            <w:r>
              <w:rPr>
                <w:rFonts w:ascii="Verdana" w:hAnsi="Verdana"/>
                <w:i/>
                <w:noProof/>
                <w:color w:val="000000"/>
                <w:sz w:val="17"/>
                <w:szCs w:val="17"/>
              </w:rPr>
              <w:t>Należności z tytułu transakcji innych niż transakcje wymiany</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jc w:val="center"/>
              <w:rPr>
                <w:rFonts w:ascii="Verdana" w:eastAsia="Verdana" w:hAnsi="Verdana" w:cs="Verdana"/>
                <w:i/>
                <w:noProof/>
                <w:color w:val="000000"/>
                <w:sz w:val="17"/>
                <w:szCs w:val="17"/>
              </w:rPr>
            </w:pPr>
            <w:r>
              <w:rPr>
                <w:rFonts w:ascii="Verdana" w:hAnsi="Verdana"/>
                <w:i/>
                <w:noProof/>
                <w:color w:val="000000"/>
                <w:sz w:val="17"/>
                <w:szCs w:val="17"/>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 xml:space="preserve"> 397</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rPr>
                <w:rFonts w:ascii="Verdana" w:eastAsia="Verdana" w:hAnsi="Verdana" w:cs="Verdana"/>
                <w:i/>
                <w:noProof/>
                <w:color w:val="000000"/>
                <w:sz w:val="17"/>
                <w:szCs w:val="17"/>
              </w:rPr>
            </w:pPr>
            <w:r>
              <w:rPr>
                <w:rFonts w:ascii="Verdana" w:hAnsi="Verdana"/>
                <w:i/>
                <w:noProof/>
                <w:color w:val="000000"/>
                <w:sz w:val="17"/>
                <w:szCs w:val="17"/>
              </w:rPr>
              <w:t>Należności z tytułu transakcji wymiany</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jc w:val="center"/>
              <w:rPr>
                <w:rFonts w:ascii="Verdana" w:eastAsia="Verdana" w:hAnsi="Verdana" w:cs="Verdana"/>
                <w:i/>
                <w:noProof/>
                <w:color w:val="000000"/>
                <w:sz w:val="17"/>
                <w:szCs w:val="17"/>
              </w:rPr>
            </w:pPr>
            <w:r>
              <w:rPr>
                <w:rFonts w:ascii="Verdana" w:hAnsi="Verdana"/>
                <w:i/>
                <w:noProof/>
                <w:color w:val="000000"/>
                <w:sz w:val="17"/>
                <w:szCs w:val="17"/>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1 185</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 xml:space="preserve"> 19</w:t>
            </w:r>
          </w:p>
        </w:tc>
      </w:tr>
      <w:tr w:rsidR="0043277E">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7BIPERN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7BIPERNER"/>
              <w:jc w:val="center"/>
              <w:rPr>
                <w:rFonts w:ascii="Verdana" w:eastAsia="Verdana" w:hAnsi="Verdana" w:cs="Verdana"/>
                <w:noProof/>
                <w:color w:val="000000"/>
                <w:sz w:val="17"/>
                <w:szCs w:val="17"/>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17BIPERNER"/>
              <w:jc w:val="right"/>
              <w:rPr>
                <w:rFonts w:ascii="Verdana" w:eastAsia="Verdana" w:hAnsi="Verdana" w:cs="Verdana"/>
                <w:b/>
                <w:noProof/>
                <w:color w:val="000000"/>
                <w:sz w:val="17"/>
                <w:szCs w:val="17"/>
              </w:rPr>
            </w:pPr>
            <w:r>
              <w:rPr>
                <w:rFonts w:ascii="Verdana" w:hAnsi="Verdana"/>
                <w:b/>
                <w:noProof/>
                <w:color w:val="000000"/>
                <w:sz w:val="17"/>
                <w:szCs w:val="17"/>
              </w:rPr>
              <w:t>3 607</w:t>
            </w: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17BIPERNER"/>
              <w:jc w:val="right"/>
              <w:rPr>
                <w:rFonts w:ascii="Verdana" w:eastAsia="Verdana" w:hAnsi="Verdana" w:cs="Verdana"/>
                <w:b/>
                <w:noProof/>
                <w:color w:val="000000"/>
                <w:sz w:val="17"/>
                <w:szCs w:val="17"/>
              </w:rPr>
            </w:pPr>
            <w:r>
              <w:rPr>
                <w:rFonts w:ascii="Verdana" w:hAnsi="Verdana"/>
                <w:b/>
                <w:noProof/>
                <w:color w:val="000000"/>
                <w:sz w:val="17"/>
                <w:szCs w:val="17"/>
              </w:rPr>
              <w:t xml:space="preserve"> 416</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rPr>
                <w:rFonts w:ascii="Verdana" w:eastAsia="Verdana" w:hAnsi="Verdana" w:cs="Verdana"/>
                <w:b/>
                <w:noProof/>
                <w:color w:val="000000"/>
                <w:sz w:val="17"/>
                <w:szCs w:val="17"/>
              </w:rPr>
            </w:pPr>
            <w:r>
              <w:rPr>
                <w:rFonts w:ascii="Verdana" w:hAnsi="Verdana"/>
                <w:b/>
                <w:noProof/>
                <w:color w:val="000000"/>
                <w:sz w:val="17"/>
                <w:szCs w:val="17"/>
              </w:rPr>
              <w:t>Obrotowe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ERNER"/>
              <w:jc w:val="cent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ERN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ERNER"/>
              <w:rPr>
                <w:rFonts w:ascii="Verdana" w:eastAsia="Verdana" w:hAnsi="Verdana" w:cs="Verdana"/>
                <w:b/>
                <w:noProof/>
                <w:color w:val="000000"/>
                <w:sz w:val="17"/>
                <w:szCs w:val="17"/>
                <w:lang w:bidi="en-GB"/>
              </w:rPr>
            </w:pP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rPr>
                <w:rFonts w:ascii="Verdana" w:eastAsia="Verdana" w:hAnsi="Verdana" w:cs="Verdana"/>
                <w:i/>
                <w:noProof/>
                <w:color w:val="000000"/>
                <w:sz w:val="17"/>
                <w:szCs w:val="17"/>
              </w:rPr>
            </w:pPr>
            <w:r>
              <w:rPr>
                <w:rFonts w:ascii="Verdana" w:hAnsi="Verdana"/>
                <w:i/>
                <w:noProof/>
                <w:color w:val="000000"/>
                <w:sz w:val="17"/>
                <w:szCs w:val="17"/>
              </w:rPr>
              <w:t>Należności z tytułu transakcji innych niż transakcje wymiany</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jc w:val="center"/>
              <w:rPr>
                <w:rFonts w:ascii="Verdana" w:eastAsia="Verdana" w:hAnsi="Verdana" w:cs="Verdana"/>
                <w:i/>
                <w:noProof/>
                <w:color w:val="000000"/>
                <w:sz w:val="17"/>
                <w:szCs w:val="17"/>
              </w:rPr>
            </w:pPr>
            <w:r>
              <w:rPr>
                <w:rFonts w:ascii="Verdana" w:hAnsi="Verdana"/>
                <w:i/>
                <w:noProof/>
                <w:color w:val="000000"/>
                <w:sz w:val="17"/>
                <w:szCs w:val="17"/>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19 328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22 212</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rPr>
                <w:rFonts w:ascii="Verdana" w:eastAsia="Verdana" w:hAnsi="Verdana" w:cs="Verdana"/>
                <w:i/>
                <w:noProof/>
                <w:color w:val="000000"/>
                <w:sz w:val="17"/>
                <w:szCs w:val="17"/>
              </w:rPr>
            </w:pPr>
            <w:r>
              <w:rPr>
                <w:rFonts w:ascii="Verdana" w:hAnsi="Verdana"/>
                <w:i/>
                <w:noProof/>
                <w:color w:val="000000"/>
                <w:sz w:val="17"/>
                <w:szCs w:val="17"/>
              </w:rPr>
              <w:t>Należności z tytułu transakcji wymiany</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ERNER"/>
              <w:jc w:val="center"/>
              <w:rPr>
                <w:rFonts w:ascii="Verdana" w:eastAsia="Verdana" w:hAnsi="Verdana" w:cs="Verdana"/>
                <w:i/>
                <w:noProof/>
                <w:color w:val="000000"/>
                <w:sz w:val="17"/>
                <w:szCs w:val="17"/>
              </w:rPr>
            </w:pPr>
            <w:r>
              <w:rPr>
                <w:rFonts w:ascii="Verdana" w:hAnsi="Verdana"/>
                <w:i/>
                <w:noProof/>
                <w:color w:val="000000"/>
                <w:sz w:val="17"/>
                <w:szCs w:val="17"/>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1 038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i/>
                <w:noProof/>
                <w:color w:val="000000"/>
                <w:sz w:val="17"/>
                <w:szCs w:val="17"/>
              </w:rPr>
            </w:pPr>
            <w:r>
              <w:rPr>
                <w:rFonts w:ascii="Verdana" w:hAnsi="Verdana"/>
                <w:i/>
                <w:noProof/>
                <w:color w:val="000000"/>
                <w:sz w:val="17"/>
                <w:szCs w:val="17"/>
              </w:rPr>
              <w:t>2 036</w:t>
            </w:r>
          </w:p>
        </w:tc>
      </w:tr>
      <w:tr w:rsidR="0043277E">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7BIPERN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7BIPERNER"/>
              <w:jc w:val="center"/>
              <w:rPr>
                <w:rFonts w:ascii="Verdana" w:eastAsia="Verdana" w:hAnsi="Verdana" w:cs="Verdana"/>
                <w:noProof/>
                <w:color w:val="000000"/>
                <w:sz w:val="17"/>
                <w:szCs w:val="17"/>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17BIPERNER"/>
              <w:jc w:val="right"/>
              <w:rPr>
                <w:rFonts w:ascii="Verdana" w:eastAsia="Verdana" w:hAnsi="Verdana" w:cs="Verdana"/>
                <w:b/>
                <w:noProof/>
                <w:color w:val="000000"/>
                <w:sz w:val="17"/>
                <w:szCs w:val="17"/>
              </w:rPr>
            </w:pPr>
            <w:r>
              <w:rPr>
                <w:rFonts w:ascii="Verdana" w:hAnsi="Verdana"/>
                <w:b/>
                <w:noProof/>
                <w:color w:val="000000"/>
                <w:sz w:val="17"/>
                <w:szCs w:val="17"/>
              </w:rPr>
              <w:t>20 367</w:t>
            </w:r>
          </w:p>
        </w:tc>
        <w:tc>
          <w:tcPr>
            <w:tcW w:w="1753"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17BIPERNER"/>
              <w:jc w:val="right"/>
              <w:rPr>
                <w:rFonts w:ascii="Verdana" w:eastAsia="Verdana" w:hAnsi="Verdana" w:cs="Verdana"/>
                <w:b/>
                <w:noProof/>
                <w:color w:val="000000"/>
                <w:sz w:val="17"/>
                <w:szCs w:val="17"/>
              </w:rPr>
            </w:pPr>
            <w:r>
              <w:rPr>
                <w:rFonts w:ascii="Verdana" w:hAnsi="Verdana"/>
                <w:b/>
                <w:noProof/>
                <w:color w:val="000000"/>
                <w:sz w:val="17"/>
                <w:szCs w:val="17"/>
              </w:rPr>
              <w:t xml:space="preserve">24 </w:t>
            </w:r>
            <w:r>
              <w:rPr>
                <w:rFonts w:ascii="Verdana" w:hAnsi="Verdana"/>
                <w:b/>
                <w:noProof/>
                <w:color w:val="000000"/>
                <w:sz w:val="17"/>
                <w:szCs w:val="17"/>
              </w:rPr>
              <w:t>248</w:t>
            </w:r>
          </w:p>
        </w:tc>
      </w:tr>
      <w:tr w:rsidR="0043277E">
        <w:trPr>
          <w:trHeight w:val="255"/>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7BIPERNER"/>
              <w:rPr>
                <w:rFonts w:ascii="Verdana" w:eastAsia="Verdana" w:hAnsi="Verdana" w:cs="Verdana"/>
                <w:b/>
                <w:noProof/>
                <w:color w:val="000000"/>
                <w:sz w:val="17"/>
                <w:szCs w:val="17"/>
              </w:rPr>
            </w:pPr>
            <w:r>
              <w:rPr>
                <w:rFonts w:ascii="Verdana" w:hAnsi="Verdana"/>
                <w:b/>
                <w:noProof/>
                <w:color w:val="000000"/>
                <w:sz w:val="17"/>
                <w:szCs w:val="17"/>
              </w:rPr>
              <w:t>Ogółem</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ERNER"/>
              <w:jc w:val="center"/>
              <w:rPr>
                <w:rFonts w:ascii="Verdana" w:eastAsia="Verdana" w:hAnsi="Verdana" w:cs="Verdana"/>
                <w:noProof/>
                <w:color w:val="000000"/>
                <w:sz w:val="17"/>
                <w:szCs w:val="17"/>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b/>
                <w:noProof/>
                <w:color w:val="000000"/>
                <w:sz w:val="17"/>
                <w:szCs w:val="17"/>
              </w:rPr>
            </w:pPr>
            <w:r>
              <w:rPr>
                <w:rFonts w:ascii="Verdana" w:hAnsi="Verdana"/>
                <w:b/>
                <w:noProof/>
                <w:color w:val="000000"/>
                <w:sz w:val="17"/>
                <w:szCs w:val="17"/>
              </w:rPr>
              <w:t>23 974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ERNER"/>
              <w:jc w:val="right"/>
              <w:rPr>
                <w:rFonts w:ascii="Verdana" w:eastAsia="Verdana" w:hAnsi="Verdana" w:cs="Verdana"/>
                <w:b/>
                <w:noProof/>
                <w:color w:val="000000"/>
                <w:sz w:val="17"/>
                <w:szCs w:val="17"/>
              </w:rPr>
            </w:pPr>
            <w:r>
              <w:rPr>
                <w:rFonts w:ascii="Verdana" w:hAnsi="Verdana"/>
                <w:b/>
                <w:noProof/>
                <w:color w:val="000000"/>
                <w:sz w:val="17"/>
                <w:szCs w:val="17"/>
              </w:rPr>
              <w:t>24 664</w:t>
            </w:r>
          </w:p>
        </w:tc>
      </w:tr>
    </w:tbl>
    <w:p w:rsidR="0043277E" w:rsidRDefault="000F2348">
      <w:pPr>
        <w:pStyle w:val="HEADER3NOTES"/>
        <w:rPr>
          <w:noProof/>
        </w:rPr>
      </w:pPr>
      <w:r>
        <w:rPr>
          <w:noProof/>
        </w:rPr>
        <w:t>Należności z tytułu transakcji innych niż transakcje wymiany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rPr>
                <w:rFonts w:ascii="Verdana" w:eastAsia="Verdana" w:hAnsi="Verdana" w:cs="Verdana"/>
                <w:i/>
                <w:noProof/>
                <w:color w:val="FFFFFF"/>
                <w:sz w:val="16"/>
              </w:rPr>
            </w:pPr>
            <w:bookmarkStart w:id="68" w:name="DOC_TBL00027_1_1"/>
            <w:bookmarkEnd w:id="68"/>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7BIPRNET"/>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RNET"/>
              <w:jc w:val="center"/>
              <w:rPr>
                <w:rFonts w:ascii="Verdana" w:eastAsia="Verdana" w:hAnsi="Verdana" w:cs="Verdana"/>
                <w:noProof/>
                <w:color w:val="FFFFFF"/>
                <w:sz w:val="19"/>
                <w:szCs w:val="19"/>
              </w:rPr>
            </w:pPr>
            <w:r>
              <w:rPr>
                <w:rFonts w:ascii="Verdana" w:hAnsi="Verdana"/>
                <w:noProof/>
                <w:color w:val="FFFFFF"/>
                <w:sz w:val="19"/>
                <w:szCs w:val="19"/>
              </w:rPr>
              <w:t>Informacja dodatkowa</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RNET"/>
              <w:jc w:val="right"/>
              <w:rPr>
                <w:rFonts w:ascii="Verdana" w:eastAsia="Verdana" w:hAnsi="Verdana" w:cs="Verdana"/>
                <w:noProof/>
                <w:color w:val="FFFFFF"/>
                <w:sz w:val="19"/>
                <w:szCs w:val="19"/>
              </w:rPr>
            </w:pPr>
            <w:r>
              <w:rPr>
                <w:rFonts w:ascii="Verdana" w:hAnsi="Verdana"/>
                <w:noProof/>
                <w:color w:val="FFFFFF"/>
                <w:sz w:val="19"/>
                <w:szCs w:val="19"/>
              </w:rPr>
              <w:t>31.12.2019</w:t>
            </w:r>
          </w:p>
        </w:tc>
        <w:tc>
          <w:tcPr>
            <w:tcW w:w="17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RNET"/>
              <w:jc w:val="right"/>
              <w:rPr>
                <w:rFonts w:ascii="Verdana" w:eastAsia="Verdana" w:hAnsi="Verdana" w:cs="Verdana"/>
                <w:noProof/>
                <w:color w:val="FFFFFF"/>
                <w:sz w:val="19"/>
                <w:szCs w:val="19"/>
              </w:rPr>
            </w:pPr>
            <w:r>
              <w:rPr>
                <w:rFonts w:ascii="Verdana" w:hAnsi="Verdana"/>
                <w:noProof/>
                <w:color w:val="FFFFFF"/>
                <w:sz w:val="19"/>
                <w:szCs w:val="19"/>
              </w:rPr>
              <w:t>31.12.2018</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b/>
                <w:noProof/>
                <w:color w:val="000000"/>
                <w:sz w:val="17"/>
                <w:szCs w:val="17"/>
              </w:rPr>
            </w:pPr>
            <w:r>
              <w:rPr>
                <w:rFonts w:ascii="Verdana" w:hAnsi="Verdana"/>
                <w:b/>
                <w:noProof/>
                <w:color w:val="000000"/>
                <w:sz w:val="17"/>
                <w:szCs w:val="17"/>
              </w:rPr>
              <w:t>Trwałe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jc w:val="cent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rPr>
                <w:rFonts w:ascii="Verdana" w:eastAsia="Verdana" w:hAnsi="Verdana" w:cs="Verdana"/>
                <w:b/>
                <w:noProof/>
                <w:color w:val="000000"/>
                <w:sz w:val="17"/>
                <w:szCs w:val="17"/>
                <w:lang w:bidi="en-GB"/>
              </w:rPr>
            </w:pPr>
          </w:p>
        </w:tc>
      </w:tr>
      <w:tr w:rsidR="0043277E">
        <w:trPr>
          <w:trHeight w:val="174"/>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i/>
                <w:noProof/>
                <w:color w:val="000000"/>
                <w:sz w:val="17"/>
                <w:szCs w:val="17"/>
              </w:rPr>
            </w:pPr>
            <w:r>
              <w:rPr>
                <w:rFonts w:ascii="Verdana" w:hAnsi="Verdana"/>
                <w:i/>
                <w:noProof/>
                <w:color w:val="000000"/>
                <w:sz w:val="17"/>
                <w:szCs w:val="17"/>
              </w:rPr>
              <w:t>Państwa członkowskie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jc w:val="center"/>
              <w:rPr>
                <w:rFonts w:ascii="Verdana" w:eastAsia="Verdana" w:hAnsi="Verdana" w:cs="Verdana"/>
                <w:i/>
                <w:noProof/>
                <w:color w:val="000000"/>
                <w:sz w:val="17"/>
                <w:szCs w:val="17"/>
              </w:rPr>
            </w:pPr>
            <w:r>
              <w:rPr>
                <w:rFonts w:ascii="Verdana" w:hAnsi="Verdana"/>
                <w:i/>
                <w:noProof/>
                <w:color w:val="000000"/>
                <w:sz w:val="17"/>
                <w:szCs w:val="17"/>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 xml:space="preserve"> 397</w:t>
            </w:r>
          </w:p>
        </w:tc>
      </w:tr>
      <w:tr w:rsidR="0043277E">
        <w:trPr>
          <w:trHeight w:val="200"/>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RNET"/>
              <w:rPr>
                <w:rFonts w:ascii="Verdana" w:eastAsia="Verdana" w:hAnsi="Verdana" w:cs="Verdana"/>
                <w:i/>
                <w:noProof/>
                <w:color w:val="000000"/>
                <w:sz w:val="17"/>
                <w:szCs w:val="17"/>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RNET"/>
              <w:jc w:val="center"/>
              <w:rPr>
                <w:rFonts w:ascii="Verdana" w:eastAsia="Verdana" w:hAnsi="Verdana" w:cs="Verdana"/>
                <w:noProof/>
                <w:color w:val="000000"/>
                <w:sz w:val="17"/>
                <w:szCs w:val="17"/>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b/>
                <w:noProof/>
                <w:color w:val="000000"/>
                <w:sz w:val="17"/>
                <w:szCs w:val="17"/>
              </w:rPr>
            </w:pPr>
            <w:r>
              <w:rPr>
                <w:rFonts w:ascii="Verdana" w:hAnsi="Verdana"/>
                <w:b/>
                <w:noProof/>
                <w:color w:val="000000"/>
                <w:sz w:val="17"/>
                <w:szCs w:val="17"/>
              </w:rPr>
              <w:t>2 422</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b/>
                <w:noProof/>
                <w:color w:val="000000"/>
                <w:sz w:val="17"/>
                <w:szCs w:val="17"/>
              </w:rPr>
            </w:pPr>
            <w:r>
              <w:rPr>
                <w:rFonts w:ascii="Verdana" w:hAnsi="Verdana"/>
                <w:b/>
                <w:noProof/>
                <w:color w:val="000000"/>
                <w:sz w:val="17"/>
                <w:szCs w:val="17"/>
              </w:rPr>
              <w:t xml:space="preserve"> 397</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b/>
                <w:noProof/>
                <w:color w:val="000000"/>
                <w:sz w:val="17"/>
                <w:szCs w:val="17"/>
              </w:rPr>
            </w:pPr>
            <w:r>
              <w:rPr>
                <w:rFonts w:ascii="Verdana" w:hAnsi="Verdana"/>
                <w:b/>
                <w:noProof/>
                <w:color w:val="000000"/>
                <w:sz w:val="17"/>
                <w:szCs w:val="17"/>
              </w:rPr>
              <w:t>Obrotowe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jc w:val="center"/>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rPr>
                <w:rFonts w:ascii="Verdana" w:eastAsia="Verdana" w:hAnsi="Verdana" w:cs="Verdana"/>
                <w:b/>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rPr>
                <w:rFonts w:ascii="Verdana" w:eastAsia="Verdana" w:hAnsi="Verdana" w:cs="Verdana"/>
                <w:b/>
                <w:noProof/>
                <w:color w:val="000000"/>
                <w:sz w:val="17"/>
                <w:szCs w:val="17"/>
                <w:lang w:bidi="en-GB"/>
              </w:rPr>
            </w:pP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i/>
                <w:noProof/>
                <w:color w:val="000000"/>
                <w:sz w:val="17"/>
                <w:szCs w:val="17"/>
              </w:rPr>
            </w:pPr>
            <w:r>
              <w:rPr>
                <w:rFonts w:ascii="Verdana" w:hAnsi="Verdana"/>
                <w:i/>
                <w:noProof/>
                <w:color w:val="000000"/>
                <w:sz w:val="17"/>
                <w:szCs w:val="17"/>
              </w:rPr>
              <w:t>Państwa członkowskie</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jc w:val="center"/>
              <w:rPr>
                <w:rFonts w:ascii="Verdana" w:eastAsia="Verdana" w:hAnsi="Verdana" w:cs="Verdana"/>
                <w:i/>
                <w:noProof/>
                <w:color w:val="000000"/>
                <w:sz w:val="17"/>
                <w:szCs w:val="17"/>
              </w:rPr>
            </w:pPr>
            <w:r>
              <w:rPr>
                <w:rFonts w:ascii="Verdana" w:hAnsi="Verdana"/>
                <w:i/>
                <w:noProof/>
                <w:color w:val="000000"/>
                <w:sz w:val="17"/>
                <w:szCs w:val="17"/>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6 180</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10 900</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i/>
                <w:noProof/>
                <w:color w:val="000000"/>
                <w:sz w:val="17"/>
                <w:szCs w:val="17"/>
              </w:rPr>
            </w:pPr>
            <w:r>
              <w:rPr>
                <w:rFonts w:ascii="Verdana" w:hAnsi="Verdana"/>
                <w:i/>
                <w:noProof/>
                <w:color w:val="000000"/>
                <w:sz w:val="17"/>
                <w:szCs w:val="17"/>
              </w:rPr>
              <w:t>Grzywny za naruszenie zasad konkurencji</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jc w:val="center"/>
              <w:rPr>
                <w:rFonts w:ascii="Verdana" w:eastAsia="Verdana" w:hAnsi="Verdana" w:cs="Verdana"/>
                <w:i/>
                <w:noProof/>
                <w:color w:val="000000"/>
                <w:sz w:val="17"/>
                <w:szCs w:val="17"/>
              </w:rPr>
            </w:pPr>
            <w:r>
              <w:rPr>
                <w:rFonts w:ascii="Verdana" w:hAnsi="Verdana"/>
                <w:i/>
                <w:noProof/>
                <w:color w:val="000000"/>
                <w:sz w:val="17"/>
                <w:szCs w:val="17"/>
              </w:rPr>
              <w:t>2.6.1.2</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11 301</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9 727</w:t>
            </w:r>
          </w:p>
        </w:tc>
      </w:tr>
      <w:tr w:rsidR="0043277E">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i/>
                <w:noProof/>
                <w:color w:val="000000"/>
                <w:sz w:val="17"/>
                <w:szCs w:val="17"/>
              </w:rPr>
            </w:pPr>
            <w:r>
              <w:rPr>
                <w:rFonts w:ascii="Verdana" w:hAnsi="Verdana"/>
                <w:i/>
                <w:noProof/>
                <w:color w:val="000000"/>
                <w:sz w:val="17"/>
                <w:szCs w:val="17"/>
              </w:rPr>
              <w:t>Naliczone przychody i czynne rozliczenia międzyokresowe kosztów</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jc w:val="center"/>
              <w:rPr>
                <w:rFonts w:ascii="Verdana" w:eastAsia="Verdana" w:hAnsi="Verdana" w:cs="Verdana"/>
                <w:i/>
                <w:noProof/>
                <w:color w:val="000000"/>
                <w:sz w:val="17"/>
                <w:szCs w:val="17"/>
              </w:rPr>
            </w:pPr>
            <w:r>
              <w:rPr>
                <w:rFonts w:ascii="Verdana" w:hAnsi="Verdana"/>
                <w:i/>
                <w:noProof/>
                <w:color w:val="000000"/>
                <w:sz w:val="17"/>
                <w:szCs w:val="17"/>
              </w:rPr>
              <w:t>2.6.1.3</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1 788</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1 511</w:t>
            </w:r>
          </w:p>
        </w:tc>
      </w:tr>
      <w:tr w:rsidR="0043277E">
        <w:trPr>
          <w:trHeight w:val="198"/>
        </w:trPr>
        <w:tc>
          <w:tcPr>
            <w:tcW w:w="44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i/>
                <w:noProof/>
                <w:color w:val="000000"/>
                <w:sz w:val="17"/>
                <w:szCs w:val="17"/>
              </w:rPr>
            </w:pPr>
            <w:r>
              <w:rPr>
                <w:rFonts w:ascii="Verdana" w:hAnsi="Verdana"/>
                <w:i/>
                <w:noProof/>
                <w:color w:val="000000"/>
                <w:sz w:val="17"/>
                <w:szCs w:val="17"/>
              </w:rPr>
              <w:t>Inne należności</w:t>
            </w:r>
          </w:p>
        </w:tc>
        <w:tc>
          <w:tcPr>
            <w:tcW w:w="17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NET"/>
              <w:jc w:val="center"/>
              <w:rPr>
                <w:rFonts w:ascii="Verdana" w:eastAsia="Verdana" w:hAnsi="Verdana" w:cs="Verdana"/>
                <w:i/>
                <w:noProof/>
                <w:color w:val="000000"/>
                <w:sz w:val="17"/>
                <w:szCs w:val="17"/>
              </w:rPr>
            </w:pP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 xml:space="preserve"> 59</w:t>
            </w:r>
          </w:p>
        </w:tc>
        <w:tc>
          <w:tcPr>
            <w:tcW w:w="175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i/>
                <w:noProof/>
                <w:color w:val="000000"/>
                <w:sz w:val="17"/>
                <w:szCs w:val="17"/>
              </w:rPr>
            </w:pPr>
            <w:r>
              <w:rPr>
                <w:rFonts w:ascii="Verdana" w:hAnsi="Verdana"/>
                <w:i/>
                <w:noProof/>
                <w:color w:val="000000"/>
                <w:sz w:val="17"/>
                <w:szCs w:val="17"/>
              </w:rPr>
              <w:t xml:space="preserve"> 74</w:t>
            </w:r>
          </w:p>
        </w:tc>
      </w:tr>
      <w:tr w:rsidR="0043277E">
        <w:trPr>
          <w:trHeight w:val="152"/>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RNET"/>
              <w:rPr>
                <w:rFonts w:ascii="Verdana" w:eastAsia="Verdana" w:hAnsi="Verdana" w:cs="Verdana"/>
                <w:i/>
                <w:noProof/>
                <w:color w:val="000000"/>
                <w:sz w:val="17"/>
                <w:szCs w:val="17"/>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RNET"/>
              <w:jc w:val="center"/>
              <w:rPr>
                <w:rFonts w:ascii="Verdana" w:eastAsia="Verdana" w:hAnsi="Verdana" w:cs="Verdana"/>
                <w:noProof/>
                <w:color w:val="000000"/>
                <w:sz w:val="17"/>
                <w:szCs w:val="17"/>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b/>
                <w:noProof/>
                <w:color w:val="000000"/>
                <w:sz w:val="17"/>
                <w:szCs w:val="17"/>
              </w:rPr>
            </w:pPr>
            <w:r>
              <w:rPr>
                <w:rFonts w:ascii="Verdana" w:hAnsi="Verdana"/>
                <w:b/>
                <w:noProof/>
                <w:color w:val="000000"/>
                <w:sz w:val="17"/>
                <w:szCs w:val="17"/>
              </w:rPr>
              <w:t>19 328</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b/>
                <w:noProof/>
                <w:color w:val="000000"/>
                <w:sz w:val="17"/>
                <w:szCs w:val="17"/>
              </w:rPr>
            </w:pPr>
            <w:r>
              <w:rPr>
                <w:rFonts w:ascii="Verdana" w:hAnsi="Verdana"/>
                <w:b/>
                <w:noProof/>
                <w:color w:val="000000"/>
                <w:sz w:val="17"/>
                <w:szCs w:val="17"/>
              </w:rPr>
              <w:t>22 212</w:t>
            </w:r>
          </w:p>
        </w:tc>
      </w:tr>
      <w:tr w:rsidR="0043277E">
        <w:trPr>
          <w:trHeight w:val="284"/>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7BIPRNET"/>
              <w:rPr>
                <w:rFonts w:ascii="Verdana" w:eastAsia="Verdana" w:hAnsi="Verdana" w:cs="Verdana"/>
                <w:b/>
                <w:noProof/>
                <w:color w:val="000000"/>
                <w:sz w:val="17"/>
                <w:szCs w:val="17"/>
              </w:rPr>
            </w:pPr>
            <w:r>
              <w:rPr>
                <w:rFonts w:ascii="Verdana" w:hAnsi="Verdana"/>
                <w:b/>
                <w:noProof/>
                <w:color w:val="000000"/>
                <w:sz w:val="17"/>
                <w:szCs w:val="17"/>
              </w:rPr>
              <w:t>Ogółem</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RNET"/>
              <w:jc w:val="center"/>
              <w:rPr>
                <w:rFonts w:ascii="Verdana" w:eastAsia="Verdana" w:hAnsi="Verdana" w:cs="Verdana"/>
                <w:noProof/>
                <w:color w:val="000000"/>
                <w:sz w:val="17"/>
                <w:szCs w:val="17"/>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b/>
                <w:noProof/>
                <w:color w:val="000000"/>
                <w:sz w:val="17"/>
                <w:szCs w:val="17"/>
              </w:rPr>
            </w:pPr>
            <w:r>
              <w:rPr>
                <w:rFonts w:ascii="Verdana" w:hAnsi="Verdana"/>
                <w:b/>
                <w:noProof/>
                <w:color w:val="000000"/>
                <w:sz w:val="17"/>
                <w:szCs w:val="17"/>
              </w:rPr>
              <w:t>21 750</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NET"/>
              <w:jc w:val="right"/>
              <w:rPr>
                <w:rFonts w:ascii="Verdana" w:eastAsia="Verdana" w:hAnsi="Verdana" w:cs="Verdana"/>
                <w:b/>
                <w:noProof/>
                <w:color w:val="000000"/>
                <w:sz w:val="17"/>
                <w:szCs w:val="17"/>
              </w:rPr>
            </w:pPr>
            <w:r>
              <w:rPr>
                <w:rFonts w:ascii="Verdana" w:hAnsi="Verdana"/>
                <w:b/>
                <w:noProof/>
                <w:color w:val="000000"/>
                <w:sz w:val="17"/>
                <w:szCs w:val="17"/>
              </w:rPr>
              <w:t>22 609</w:t>
            </w:r>
          </w:p>
        </w:tc>
      </w:tr>
    </w:tbl>
    <w:p w:rsidR="0043277E" w:rsidRDefault="0043277E">
      <w:pPr>
        <w:rPr>
          <w:rFonts w:ascii="Verdana" w:hAnsi="Verdana"/>
          <w:noProof/>
          <w:color w:val="016794"/>
          <w:sz w:val="18"/>
          <w:szCs w:val="18"/>
        </w:rPr>
      </w:pPr>
    </w:p>
    <w:p w:rsidR="0043277E" w:rsidRDefault="000F2348">
      <w:pPr>
        <w:rPr>
          <w:rFonts w:ascii="Verdana" w:hAnsi="Verdana"/>
          <w:noProof/>
          <w:color w:val="016794"/>
          <w:sz w:val="18"/>
          <w:szCs w:val="18"/>
        </w:rPr>
      </w:pPr>
      <w:r>
        <w:rPr>
          <w:noProof/>
        </w:rPr>
        <w:br w:type="page"/>
      </w:r>
    </w:p>
    <w:p w:rsidR="0043277E" w:rsidRDefault="000F2348">
      <w:pPr>
        <w:pStyle w:val="HEADER4NOTES"/>
        <w:rPr>
          <w:noProof/>
        </w:rPr>
      </w:pPr>
      <w:r>
        <w:rPr>
          <w:noProof/>
        </w:rPr>
        <w:lastRenderedPageBreak/>
        <w:t xml:space="preserve">Należności od państw </w:t>
      </w:r>
      <w:r>
        <w:rPr>
          <w:noProof/>
        </w:rPr>
        <w:t>członkowskich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8"/>
        <w:gridCol w:w="1815"/>
        <w:gridCol w:w="1815"/>
      </w:tblGrid>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8BIPRMS"/>
              <w:rPr>
                <w:rFonts w:ascii="Arial" w:eastAsia="Arial" w:hAnsi="Arial" w:cs="Arial"/>
                <w:noProof/>
                <w:color w:val="000000"/>
              </w:rPr>
            </w:pPr>
            <w:bookmarkStart w:id="69" w:name="DOC_TBL00028_1_1"/>
            <w:bookmarkEnd w:id="69"/>
          </w:p>
        </w:tc>
        <w:tc>
          <w:tcPr>
            <w:tcW w:w="181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8BIPRMS"/>
              <w:rPr>
                <w:rFonts w:ascii="Arial" w:eastAsia="Arial" w:hAnsi="Arial" w:cs="Arial"/>
                <w:noProof/>
                <w:color w:val="000000"/>
              </w:rPr>
            </w:pPr>
          </w:p>
        </w:tc>
        <w:tc>
          <w:tcPr>
            <w:tcW w:w="181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8BIPRM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12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8BIPRMS"/>
              <w:jc w:val="right"/>
              <w:rPr>
                <w:rFonts w:ascii="Verdana" w:eastAsia="Verdana" w:hAnsi="Verdana" w:cs="Verdana"/>
                <w:noProof/>
                <w:color w:val="FFFFFF"/>
                <w:sz w:val="18"/>
              </w:rPr>
            </w:pPr>
          </w:p>
        </w:tc>
        <w:tc>
          <w:tcPr>
            <w:tcW w:w="181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8BIPRMS"/>
              <w:jc w:val="right"/>
              <w:rPr>
                <w:rFonts w:ascii="Verdana" w:eastAsia="Verdana" w:hAnsi="Verdana" w:cs="Verdana"/>
                <w:noProof/>
                <w:color w:val="FFFFFF"/>
              </w:rPr>
            </w:pPr>
            <w:r>
              <w:rPr>
                <w:rFonts w:ascii="Verdana" w:hAnsi="Verdana"/>
                <w:noProof/>
                <w:color w:val="FFFFFF"/>
              </w:rPr>
              <w:t>31.12.2019</w:t>
            </w:r>
          </w:p>
        </w:tc>
        <w:tc>
          <w:tcPr>
            <w:tcW w:w="181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8BIPRMS"/>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Rachunki A TZW</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5 478</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5 609</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Odrębne rachunki TZW</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1 591</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1 612</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Należne zasoby własne</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7</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2 758</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Utrata wartości</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(931)</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(991)</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Inne</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86</w:t>
            </w:r>
          </w:p>
        </w:tc>
      </w:tr>
      <w:tr w:rsidR="0043277E">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b/>
                <w:noProof/>
                <w:color w:val="000000"/>
                <w:sz w:val="18"/>
              </w:rPr>
            </w:pPr>
            <w:r>
              <w:rPr>
                <w:rFonts w:ascii="Verdana" w:hAnsi="Verdana"/>
                <w:b/>
                <w:noProof/>
                <w:color w:val="000000"/>
                <w:sz w:val="18"/>
              </w:rPr>
              <w:t>Kwoty należne związane z zasobami własnymi</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6 145</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9 075</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 xml:space="preserve">Europejski </w:t>
            </w:r>
            <w:r>
              <w:rPr>
                <w:rFonts w:ascii="Verdana" w:hAnsi="Verdana"/>
                <w:i/>
                <w:noProof/>
                <w:color w:val="000000"/>
                <w:sz w:val="18"/>
              </w:rPr>
              <w:t>Fundusz Rolniczy Gwarancji (EFRG)</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1 722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1 708</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Europejski Fundusz Rolny na rzecz Rozwoju Obszarów Wiejskich (EFRROW) oraz inne instrumenty na rzecz rozwoju obszarów wiejskich</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879</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954</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00000"/>
                <w:sz w:val="18"/>
              </w:rPr>
            </w:pPr>
            <w:r>
              <w:rPr>
                <w:rFonts w:ascii="Verdana" w:hAnsi="Verdana"/>
                <w:i/>
                <w:noProof/>
                <w:color w:val="000000"/>
                <w:sz w:val="18"/>
              </w:rPr>
              <w:t>Utrata wartości</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(822)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00000"/>
                <w:sz w:val="18"/>
              </w:rPr>
            </w:pPr>
            <w:r>
              <w:rPr>
                <w:rFonts w:ascii="Verdana" w:hAnsi="Verdana"/>
                <w:i/>
                <w:noProof/>
                <w:color w:val="000000"/>
                <w:sz w:val="18"/>
              </w:rPr>
              <w:t xml:space="preserve"> (788)</w:t>
            </w:r>
          </w:p>
        </w:tc>
      </w:tr>
      <w:tr w:rsidR="0043277E">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b/>
                <w:noProof/>
                <w:color w:val="000000"/>
                <w:sz w:val="18"/>
              </w:rPr>
            </w:pPr>
            <w:r>
              <w:rPr>
                <w:rFonts w:ascii="Verdana" w:hAnsi="Verdana"/>
                <w:b/>
                <w:noProof/>
                <w:color w:val="000000"/>
                <w:sz w:val="18"/>
              </w:rPr>
              <w:t xml:space="preserve">Należności związane z EFRG i rozwojem </w:t>
            </w:r>
            <w:r>
              <w:rPr>
                <w:rFonts w:ascii="Verdana" w:hAnsi="Verdana"/>
                <w:b/>
                <w:noProof/>
                <w:color w:val="000000"/>
                <w:sz w:val="18"/>
              </w:rPr>
              <w:t>obszarów wiejskich</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1 779</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1 875</w:t>
            </w:r>
          </w:p>
        </w:tc>
      </w:tr>
      <w:tr w:rsidR="0043277E">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b/>
                <w:noProof/>
                <w:color w:val="000000"/>
                <w:sz w:val="18"/>
              </w:rPr>
            </w:pPr>
            <w:r>
              <w:rPr>
                <w:rFonts w:ascii="Verdana" w:hAnsi="Verdana"/>
                <w:b/>
                <w:noProof/>
                <w:color w:val="000000"/>
                <w:sz w:val="18"/>
              </w:rPr>
              <w:t>Płatności zaliczkowe do odzyskania</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 xml:space="preserve"> 443</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 xml:space="preserve"> 145</w:t>
            </w:r>
          </w:p>
        </w:tc>
      </w:tr>
      <w:tr w:rsidR="0043277E">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b/>
                <w:noProof/>
                <w:color w:val="000000"/>
                <w:sz w:val="18"/>
              </w:rPr>
            </w:pPr>
            <w:r>
              <w:rPr>
                <w:rFonts w:ascii="Verdana" w:hAnsi="Verdana"/>
                <w:b/>
                <w:noProof/>
                <w:color w:val="000000"/>
                <w:sz w:val="18"/>
              </w:rPr>
              <w:t>VAT zapłacony i podlegający odzyskaniu</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 xml:space="preserve"> 44</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 xml:space="preserve"> 45</w:t>
            </w:r>
          </w:p>
        </w:tc>
      </w:tr>
      <w:tr w:rsidR="0043277E">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b/>
                <w:noProof/>
                <w:color w:val="000000"/>
                <w:sz w:val="18"/>
              </w:rPr>
            </w:pPr>
            <w:r>
              <w:rPr>
                <w:rFonts w:ascii="Verdana" w:hAnsi="Verdana"/>
                <w:b/>
                <w:noProof/>
                <w:color w:val="000000"/>
                <w:sz w:val="18"/>
              </w:rPr>
              <w:t>Inne należności od państw członkowskich</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 xml:space="preserve"> 191</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 xml:space="preserve"> 158</w:t>
            </w:r>
          </w:p>
        </w:tc>
      </w:tr>
      <w:tr w:rsidR="0043277E">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b/>
                <w:noProof/>
                <w:color w:val="000000"/>
                <w:sz w:val="18"/>
              </w:rPr>
            </w:pPr>
            <w:r>
              <w:rPr>
                <w:rFonts w:ascii="Verdana" w:hAnsi="Verdana"/>
                <w:b/>
                <w:noProof/>
                <w:color w:val="000000"/>
                <w:sz w:val="18"/>
              </w:rPr>
              <w:t>Ogółem</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8 602</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b/>
                <w:noProof/>
                <w:color w:val="000000"/>
                <w:sz w:val="18"/>
              </w:rPr>
            </w:pPr>
            <w:r>
              <w:rPr>
                <w:rFonts w:ascii="Verdana" w:hAnsi="Verdana"/>
                <w:b/>
                <w:noProof/>
                <w:color w:val="000000"/>
                <w:sz w:val="18"/>
              </w:rPr>
              <w:t>11 297</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16794"/>
                <w:sz w:val="18"/>
              </w:rPr>
            </w:pPr>
            <w:r>
              <w:rPr>
                <w:rFonts w:ascii="Verdana" w:hAnsi="Verdana"/>
                <w:i/>
                <w:noProof/>
                <w:color w:val="016794"/>
                <w:sz w:val="18"/>
              </w:rPr>
              <w:t>Trwałe</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16794"/>
                <w:sz w:val="18"/>
              </w:rPr>
            </w:pPr>
            <w:r>
              <w:rPr>
                <w:rFonts w:ascii="Verdana" w:hAnsi="Verdana"/>
                <w:i/>
                <w:noProof/>
                <w:color w:val="016794"/>
                <w:sz w:val="18"/>
              </w:rPr>
              <w:t>2 422</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16794"/>
                <w:sz w:val="18"/>
              </w:rPr>
            </w:pPr>
            <w:r>
              <w:rPr>
                <w:rFonts w:ascii="Verdana" w:hAnsi="Verdana"/>
                <w:i/>
                <w:noProof/>
                <w:color w:val="016794"/>
                <w:sz w:val="18"/>
              </w:rPr>
              <w:t xml:space="preserve"> 397</w:t>
            </w:r>
          </w:p>
        </w:tc>
      </w:tr>
      <w:tr w:rsidR="0043277E">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rPr>
                <w:rFonts w:ascii="Verdana" w:eastAsia="Verdana" w:hAnsi="Verdana" w:cs="Verdana"/>
                <w:i/>
                <w:noProof/>
                <w:color w:val="016794"/>
                <w:sz w:val="18"/>
              </w:rPr>
            </w:pPr>
            <w:r>
              <w:rPr>
                <w:rFonts w:ascii="Verdana" w:hAnsi="Verdana"/>
                <w:i/>
                <w:noProof/>
                <w:color w:val="016794"/>
                <w:sz w:val="18"/>
              </w:rPr>
              <w:t>Obrotowe</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16794"/>
                <w:sz w:val="18"/>
              </w:rPr>
            </w:pPr>
            <w:r>
              <w:rPr>
                <w:rFonts w:ascii="Verdana" w:hAnsi="Verdana"/>
                <w:i/>
                <w:noProof/>
                <w:color w:val="016794"/>
                <w:sz w:val="18"/>
              </w:rPr>
              <w:t>6 180</w:t>
            </w:r>
          </w:p>
        </w:tc>
        <w:tc>
          <w:tcPr>
            <w:tcW w:w="1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8BIPRMS"/>
              <w:jc w:val="right"/>
              <w:rPr>
                <w:rFonts w:ascii="Verdana" w:eastAsia="Verdana" w:hAnsi="Verdana" w:cs="Verdana"/>
                <w:i/>
                <w:noProof/>
                <w:color w:val="016794"/>
                <w:sz w:val="18"/>
              </w:rPr>
            </w:pPr>
            <w:r>
              <w:rPr>
                <w:rFonts w:ascii="Verdana" w:hAnsi="Verdana"/>
                <w:i/>
                <w:noProof/>
                <w:color w:val="016794"/>
                <w:sz w:val="18"/>
              </w:rPr>
              <w:t>10 900</w:t>
            </w:r>
          </w:p>
        </w:tc>
      </w:tr>
    </w:tbl>
    <w:p w:rsidR="0043277E" w:rsidRDefault="000F2348">
      <w:pPr>
        <w:pStyle w:val="Textstand-alone"/>
        <w:rPr>
          <w:rFonts w:eastAsia="Calibri"/>
        </w:rPr>
      </w:pPr>
      <w:r>
        <w:t>Największa kwota</w:t>
      </w:r>
      <w:r>
        <w:t xml:space="preserve"> ujęta w pozycji „Trwałe” dotyczy kwot należnych od państw członkowskich, przy czym znaczny wzrost tej kwoty odnotowano w związku z postępowaniem w sprawie uchybienia zobowiązaniom państwa członkowskiego prowadzonym przeciwko Zjednoczonemu Królestwu (UK) (</w:t>
      </w:r>
      <w:r>
        <w:t>zob. wyjaśnienia poniżej) – w ubiegłym roku kwota ta, która opiewa na 2,1 mld EUR, była ujęta w pozycji „Obrotowe”. Podobnie jak w latach ubiegłych, w pozycji „Trwałe” ujęto również kwoty związane z niewykonanymi decyzjami w ramach kontroli zgodności rozli</w:t>
      </w:r>
      <w:r>
        <w:t>czeń w odniesieniu do Europejskiego Funduszu Rolniczego Gwarancji (EFRG) oraz Europejskiego Funduszu Rolnego na rzecz Rozwoju Obszarów Wiejskich (EFRROW). Odzyskiwanie kwot związanych z tymi decyzjami odbywa się w ratach rocznych.</w:t>
      </w:r>
    </w:p>
    <w:p w:rsidR="0043277E" w:rsidRDefault="000F2348">
      <w:pPr>
        <w:pStyle w:val="Textstand-alone"/>
        <w:rPr>
          <w:rFonts w:eastAsia="Calibri"/>
        </w:rPr>
      </w:pPr>
      <w:r>
        <w:t>Opisane powyżej przeniesi</w:t>
      </w:r>
      <w:r>
        <w:t>one kwoty z pozycji „Obrotowe” do pozycji „Trwałe” tłumaczy również istotne zmniejszenie bieżących kwot należnych od państw członkowskich. Spadek ten wynika również z faktu, że w 2019 r. nie przewiduje się otrzymania żadnych zasobów własnych w związku z bu</w:t>
      </w:r>
      <w:r>
        <w:t>dżetem korygującym w porównaniu z 2018 r. – zob. poniżej.</w:t>
      </w:r>
    </w:p>
    <w:p w:rsidR="0043277E" w:rsidRDefault="000F2348">
      <w:pPr>
        <w:pStyle w:val="Textstand-alone"/>
        <w:rPr>
          <w:b/>
        </w:rPr>
      </w:pPr>
      <w:r>
        <w:rPr>
          <w:color w:val="016794"/>
        </w:rPr>
        <w:t>Kwoty należne związane z zasobami własnymi</w:t>
      </w:r>
    </w:p>
    <w:p w:rsidR="0043277E" w:rsidRDefault="000F2348">
      <w:pPr>
        <w:pStyle w:val="DGTextstand-alone"/>
      </w:pPr>
      <w:r>
        <w:t>„Rachunek A” oznacza miesięczne zestawienia, w których państwa członkowskie przekazują Komisji informacje o ustalonych kwotach należności w ramach tradycyj</w:t>
      </w:r>
      <w:r>
        <w:t>nych zasobów własnych, które to należności nie zostały jeszcze odzyskane. Na tradycyjne zasoby własne (TZW) składają się cła i opłaty wyrównawcze od cukru pobierane przez państwa członkowskie w imieniu Komisji.</w:t>
      </w:r>
    </w:p>
    <w:p w:rsidR="0043277E" w:rsidRDefault="000F2348">
      <w:pPr>
        <w:pStyle w:val="DGTextstand-alone"/>
      </w:pPr>
      <w:r>
        <w:t>Według stanu na koniec roku „rachunek A” utrz</w:t>
      </w:r>
      <w:r>
        <w:t xml:space="preserve">ymywał się zasadniczo na poziomie zbliżonym do 3 mld EUR, jednak zarówno w 2018 r., jak i w 2019 r. bilans obejmował dodatkowe kwoty TZW związane z postępowaniem w sprawie uchybienia zobowiązaniom państwa członkowskiego prowadzonym przeciwko Zjednoczonemu </w:t>
      </w:r>
      <w:r>
        <w:t>Królestwu (zob. wyjaśnienia poniżej) oraz z innymi sprawozdaniami z inspekcji TZW. Ponieważ zastosowanie mają odsetki za zwłokę w wysokości 1,2 mld EUR (w 2018 r.: 1,3 mld EUR), kwoty te są zatem ujmowane również w niniejszym rocznym sprawozdaniu finansowy</w:t>
      </w:r>
      <w:r>
        <w:t xml:space="preserve">m (zob. informacje dodatkowe </w:t>
      </w:r>
      <w:r>
        <w:rPr>
          <w:b/>
        </w:rPr>
        <w:t>2.6.2</w:t>
      </w:r>
      <w:r>
        <w:t xml:space="preserve"> i </w:t>
      </w:r>
      <w:r>
        <w:rPr>
          <w:b/>
        </w:rPr>
        <w:t>3.7</w:t>
      </w:r>
      <w:r>
        <w:t>).</w:t>
      </w:r>
    </w:p>
    <w:p w:rsidR="0043277E" w:rsidRDefault="000F2348">
      <w:pPr>
        <w:pStyle w:val="DGTextstand-alone"/>
      </w:pPr>
      <w:r>
        <w:t>Jeżeli chodzi o postępowanie w sprawie uchybienia zobowiązaniom państwa członkowskiego, dnia 8 marca 2018 r. Komisja przesłała do Zjednoczonego Królestwa wezwanie do usunięcia uchybienia (naruszenie nr 2018/2008),</w:t>
      </w:r>
      <w:r>
        <w:t xml:space="preserve"> ponieważ Zjednoczone Królestwo nie wywiązało się z przewidzianego w prawie Unii obowiązku udostępnienia budżetowi UE prawidłowej kwoty tradycyjnych zasobów własnych. Ponieważ Zjednoczone Królestwo nie udzieliło zadowalającej odpowiedzi ani na wezwanie do </w:t>
      </w:r>
      <w:r>
        <w:t>usunięcia uchybienia, ani na uzasadnioną opinię przesłaną w dniu 24 września 2018 r., w dniu 6 marca 2019 r. Komisja potwierdziła swoją decyzję o wniesieniu sprawy o uchybienie zobowiązaniom państwa członkowskiego do Trybunału Sprawiedliwości Unii Europejs</w:t>
      </w:r>
      <w:r>
        <w:t xml:space="preserve">kiej i wytoczyła powództwo w tym zakresie w dniu 7 marca 2019 r. Sprawa miała swój początek w sprawozdaniu OLAF z 2017 r., w którym wykazano, </w:t>
      </w:r>
      <w:r>
        <w:lastRenderedPageBreak/>
        <w:t>że importerzy w Zjednoczonym Królestwie unikali płacenia znacznych kwot należności celnych, wykorzystując fikcyjne</w:t>
      </w:r>
      <w:r>
        <w:t xml:space="preserve"> i fałszywe faktury oraz nieprawidłowe deklaracje wartości celnej przy wwozie. Na podstawie metodyki opracowanej przez OLAF i JRC oraz w oparciu o dostępne informacje Komisja szacuje, że efektem naruszania przepisów unijnych przez Zjednoczone Królestwo w o</w:t>
      </w:r>
      <w:r>
        <w:t>kresie od listopada 2011 r. do października 2017 r. były straty w budżecie UE wynoszące 2,1 mld EUR (netto, tj. po odliczeniu od kwoty brutto wynoszącej 2,7 mld EUR kosztów poboru, które mają zostać zatrzymane przez Zjednoczone Królestwo). Zjednoczone Król</w:t>
      </w:r>
      <w:r>
        <w:t>estwo nie akceptuje metody zastosowanej przez Komisję do oszacowania powyższych strat. Dotychczasowy przebieg toczącego się postępowania sądowego i udostępnione do tej pory informacje sugerują, że postępowanie to będzie miało długoterminowy charakter. Dlat</w:t>
      </w:r>
      <w:r>
        <w:t>ego też zarówno kwotę główną wynoszącą 2,1 mld EUR, jak i szacunkowe odsetki za zwłokę wynoszące 1,1 mld EUR naliczone do końca 2019 r. (w porównaniu z odsetkami w wysokości 0,7 mld EUR naliczonymi i zatwierdzonymi do końca 2018 r.) zaklasyfikowano jako ak</w:t>
      </w:r>
      <w:r>
        <w:t xml:space="preserve">tywa długoterminowe. </w:t>
      </w:r>
    </w:p>
    <w:p w:rsidR="0043277E" w:rsidRDefault="000F2348">
      <w:pPr>
        <w:pStyle w:val="DGTextstand-alone"/>
      </w:pPr>
      <w:r>
        <w:t>W rachunku tym Komisja dodatkowo uwzględniła należności w wysokości 0,2 mld EUR w zakresie ustalonych ceł oraz odsetki za zwłokę, których kwotę obliczono na podstawie najnowszych dostępnych informacji. Kwota 0,7 mld EUR początkowo zat</w:t>
      </w:r>
      <w:r>
        <w:t xml:space="preserve">wierdzona w 2018 r. została skorygowana w dół po otrzymaniu nowych informacji od organów Zjednoczonego Królestwa w 2019 r. (zob. informacje dodatkowe </w:t>
      </w:r>
      <w:r>
        <w:rPr>
          <w:b/>
        </w:rPr>
        <w:t xml:space="preserve">2.6.2 </w:t>
      </w:r>
      <w:r>
        <w:t>i</w:t>
      </w:r>
      <w:r>
        <w:rPr>
          <w:b/>
        </w:rPr>
        <w:t xml:space="preserve"> 3.7</w:t>
      </w:r>
      <w:r>
        <w:t>).</w:t>
      </w:r>
    </w:p>
    <w:p w:rsidR="0043277E" w:rsidRDefault="000F2348">
      <w:pPr>
        <w:pStyle w:val="DGTextstand-alone"/>
      </w:pPr>
      <w:r>
        <w:t xml:space="preserve">„Odrębny rachunek” oznacza rachunek, na którym przedstawia się ustalone należności, których </w:t>
      </w:r>
      <w:r>
        <w:t xml:space="preserve">nie ujęto na rachunku A, ponieważ nie zostały odzyskane przez państwa członkowskie i nie objęto ich żadnym zabezpieczeniem (lub jeżeli zabezpieczenie zostało przekazane, a należności i tak zostały zakwestionowane). Należności te podlegają utracie wartości </w:t>
      </w:r>
      <w:r>
        <w:t>na podstawie informacji przekazywanych co roku przez państwa członkowskie. Kwoty te utrzymywały się zasadniczo na zbliżonym poziomie na koniec każdego roku, jak wykazano powyżej.</w:t>
      </w:r>
    </w:p>
    <w:p w:rsidR="0043277E" w:rsidRDefault="000F2348">
      <w:pPr>
        <w:pStyle w:val="DGTextstand-alone"/>
      </w:pPr>
      <w:r>
        <w:t xml:space="preserve">„Należne zasoby własne” w 2018 r. oznaczają kwoty należne powstałe w związku </w:t>
      </w:r>
      <w:r>
        <w:t>z budżetem korygującym nr 6/2018 przyjętym w dniu 12 grudnia 2018 r. Odpowiednie kwoty zostały zapisane przez państwa członkowskie w pierwszym dniu roboczym stycznia 2019 r. Nie stwierdzono istnienia żadnej takiej kwoty w odniesieniu do 2019 r.</w:t>
      </w:r>
    </w:p>
    <w:p w:rsidR="0043277E" w:rsidRDefault="000F2348">
      <w:pPr>
        <w:pStyle w:val="Textstand-alone"/>
        <w:rPr>
          <w:b/>
        </w:rPr>
      </w:pPr>
      <w:r>
        <w:rPr>
          <w:color w:val="016794"/>
        </w:rPr>
        <w:t xml:space="preserve">Należności </w:t>
      </w:r>
      <w:r>
        <w:rPr>
          <w:color w:val="016794"/>
        </w:rPr>
        <w:t>związane z EFRG i rozwojem obszarów wiejskich</w:t>
      </w:r>
    </w:p>
    <w:p w:rsidR="0043277E" w:rsidRDefault="000F2348">
      <w:pPr>
        <w:pStyle w:val="DGTextstand-alone"/>
      </w:pPr>
      <w:r>
        <w:t xml:space="preserve">Pozycja ta obejmuje przede wszystkim kwoty należne od państw członkowskich na dzień 31 grudnia 2019 r., na podstawie kwot zadeklarowanych i poświadczonych przez państwa członkowskie na dzień 15 października </w:t>
      </w:r>
      <w:r>
        <w:t>2019 r. Kwoty należne powstałe w okresie między zadeklarowaniem tych kwot a dniem 31 grudnia 2019 r. podlegają oszacowaniu. Komisja szacuje także wysokość odpisu aktualizującego wartość w odniesieniu do kwot należnych od beneficjentów, których odzyskanie j</w:t>
      </w:r>
      <w:r>
        <w:t>est mało prawdopodobne. Ujęcie takiej korekty nie oznacza, że Komisja odstępuje od odzyskania tych kwot w przyszłości. W korekcie uwzględnia się także odliczenie w wysokości 20 %, które odpowiada kwocie, którą państwa członkowskie mają prawo zatrzymać na p</w:t>
      </w:r>
      <w:r>
        <w:t>okrycie kosztów administracyjnych.</w:t>
      </w:r>
    </w:p>
    <w:p w:rsidR="0043277E" w:rsidRDefault="000F2348">
      <w:pPr>
        <w:pStyle w:val="HEADER4NOTES"/>
        <w:rPr>
          <w:noProof/>
        </w:rPr>
      </w:pPr>
      <w:r>
        <w:rPr>
          <w:noProof/>
        </w:rPr>
        <w:t>Należności z tytułu grzywien za naruszenie zasad konkurencji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rsidR="0043277E">
        <w:trPr>
          <w:trHeight w:val="255"/>
        </w:trPr>
        <w:tc>
          <w:tcPr>
            <w:tcW w:w="54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FINES"/>
              <w:rPr>
                <w:rFonts w:ascii="Arial" w:eastAsia="Arial" w:hAnsi="Arial" w:cs="Arial"/>
                <w:noProof/>
                <w:color w:val="000000"/>
              </w:rPr>
            </w:pPr>
            <w:bookmarkStart w:id="70" w:name="DOC_TBL00029_1_1"/>
            <w:bookmarkEnd w:id="70"/>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FINES"/>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7BIPFINES"/>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FINES"/>
              <w:jc w:val="right"/>
              <w:rPr>
                <w:rFonts w:ascii="Verdana" w:eastAsia="Verdana" w:hAnsi="Verdana" w:cs="Verdana"/>
                <w:noProof/>
                <w:color w:val="FFFFFF"/>
              </w:rPr>
            </w:pPr>
            <w:r>
              <w:rPr>
                <w:rFonts w:ascii="Verdana" w:hAnsi="Verdana"/>
                <w:noProof/>
                <w:color w:val="FFFFFF"/>
              </w:rPr>
              <w:t>31.12.2019</w:t>
            </w: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FINES"/>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FINES"/>
              <w:rPr>
                <w:rFonts w:ascii="Verdana" w:eastAsia="Verdana" w:hAnsi="Verdana" w:cs="Verdana"/>
                <w:i/>
                <w:noProof/>
                <w:color w:val="000000"/>
                <w:sz w:val="18"/>
              </w:rPr>
            </w:pPr>
            <w:r>
              <w:rPr>
                <w:rFonts w:ascii="Verdana" w:hAnsi="Verdana"/>
                <w:i/>
                <w:noProof/>
                <w:color w:val="000000"/>
                <w:sz w:val="18"/>
              </w:rPr>
              <w:t>Należność z tytułu kwoty grzywien brutto</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00000"/>
                <w:sz w:val="18"/>
              </w:rPr>
            </w:pPr>
            <w:r>
              <w:rPr>
                <w:rFonts w:ascii="Verdana" w:hAnsi="Verdana"/>
                <w:i/>
                <w:noProof/>
                <w:color w:val="000000"/>
                <w:sz w:val="18"/>
              </w:rPr>
              <w:t>14 606</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00000"/>
                <w:sz w:val="18"/>
              </w:rPr>
            </w:pPr>
            <w:r>
              <w:rPr>
                <w:rFonts w:ascii="Verdana" w:hAnsi="Verdana"/>
                <w:i/>
                <w:noProof/>
                <w:color w:val="000000"/>
                <w:sz w:val="18"/>
              </w:rPr>
              <w:t>13 022</w:t>
            </w:r>
          </w:p>
        </w:tc>
      </w:tr>
      <w:tr w:rsidR="0043277E">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FINES"/>
              <w:rPr>
                <w:rFonts w:ascii="Verdana" w:eastAsia="Verdana" w:hAnsi="Verdana" w:cs="Verdana"/>
                <w:i/>
                <w:noProof/>
                <w:color w:val="000000"/>
                <w:sz w:val="18"/>
              </w:rPr>
            </w:pPr>
            <w:r>
              <w:rPr>
                <w:rFonts w:ascii="Verdana" w:hAnsi="Verdana"/>
                <w:i/>
                <w:noProof/>
                <w:color w:val="000000"/>
                <w:sz w:val="18"/>
              </w:rPr>
              <w:t>Płatności tymczasowe</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00000"/>
                <w:sz w:val="18"/>
              </w:rPr>
            </w:pPr>
            <w:r>
              <w:rPr>
                <w:rFonts w:ascii="Verdana" w:hAnsi="Verdana"/>
                <w:i/>
                <w:noProof/>
                <w:color w:val="000000"/>
                <w:sz w:val="18"/>
              </w:rPr>
              <w:t>(3 125)</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00000"/>
                <w:sz w:val="18"/>
              </w:rPr>
            </w:pPr>
            <w:r>
              <w:rPr>
                <w:rFonts w:ascii="Verdana" w:hAnsi="Verdana"/>
                <w:i/>
                <w:noProof/>
                <w:color w:val="000000"/>
                <w:sz w:val="18"/>
              </w:rPr>
              <w:t>(3 131)</w:t>
            </w:r>
          </w:p>
        </w:tc>
      </w:tr>
      <w:tr w:rsidR="0043277E">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FINES"/>
              <w:rPr>
                <w:rFonts w:ascii="Verdana" w:eastAsia="Verdana" w:hAnsi="Verdana" w:cs="Verdana"/>
                <w:i/>
                <w:noProof/>
                <w:color w:val="000000"/>
                <w:sz w:val="18"/>
              </w:rPr>
            </w:pPr>
            <w:r>
              <w:rPr>
                <w:rFonts w:ascii="Verdana" w:hAnsi="Verdana"/>
                <w:i/>
                <w:noProof/>
                <w:color w:val="000000"/>
                <w:sz w:val="18"/>
              </w:rPr>
              <w:t>Utrata wartości</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00000"/>
                <w:sz w:val="18"/>
              </w:rPr>
            </w:pPr>
            <w:r>
              <w:rPr>
                <w:rFonts w:ascii="Verdana" w:hAnsi="Verdana"/>
                <w:i/>
                <w:noProof/>
                <w:color w:val="000000"/>
                <w:sz w:val="18"/>
              </w:rPr>
              <w:t xml:space="preserve"> (180)</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00000"/>
                <w:sz w:val="18"/>
              </w:rPr>
            </w:pPr>
            <w:r>
              <w:rPr>
                <w:rFonts w:ascii="Verdana" w:hAnsi="Verdana"/>
                <w:i/>
                <w:noProof/>
                <w:color w:val="000000"/>
                <w:sz w:val="18"/>
              </w:rPr>
              <w:t xml:space="preserve"> (164)</w:t>
            </w:r>
          </w:p>
        </w:tc>
      </w:tr>
      <w:tr w:rsidR="0043277E">
        <w:trPr>
          <w:trHeigh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7BIPFINES"/>
              <w:rPr>
                <w:rFonts w:ascii="Verdana" w:eastAsia="Verdana" w:hAnsi="Verdana" w:cs="Verdana"/>
                <w:b/>
                <w:noProof/>
                <w:color w:val="000000"/>
                <w:sz w:val="18"/>
              </w:rPr>
            </w:pPr>
            <w:r>
              <w:rPr>
                <w:rFonts w:ascii="Verdana" w:hAnsi="Verdana"/>
                <w:b/>
                <w:noProof/>
                <w:color w:val="000000"/>
                <w:sz w:val="18"/>
              </w:rPr>
              <w:t>Ogółem</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b/>
                <w:noProof/>
                <w:color w:val="000000"/>
                <w:sz w:val="18"/>
              </w:rPr>
            </w:pPr>
            <w:r>
              <w:rPr>
                <w:rFonts w:ascii="Verdana" w:hAnsi="Verdana"/>
                <w:b/>
                <w:noProof/>
                <w:color w:val="000000"/>
                <w:sz w:val="18"/>
              </w:rPr>
              <w:t>11 301</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b/>
                <w:noProof/>
                <w:color w:val="000000"/>
                <w:sz w:val="18"/>
              </w:rPr>
            </w:pPr>
            <w:r>
              <w:rPr>
                <w:rFonts w:ascii="Verdana" w:hAnsi="Verdana"/>
                <w:b/>
                <w:noProof/>
                <w:color w:val="000000"/>
                <w:sz w:val="18"/>
              </w:rPr>
              <w:t>9 727</w:t>
            </w:r>
          </w:p>
        </w:tc>
      </w:tr>
      <w:tr w:rsidR="0043277E">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FINES"/>
              <w:rPr>
                <w:rFonts w:ascii="Verdana" w:eastAsia="Verdana" w:hAnsi="Verdana" w:cs="Verdana"/>
                <w:i/>
                <w:noProof/>
                <w:color w:val="016794"/>
                <w:sz w:val="18"/>
              </w:rPr>
            </w:pPr>
            <w:r>
              <w:rPr>
                <w:rFonts w:ascii="Verdana" w:hAnsi="Verdana"/>
                <w:i/>
                <w:noProof/>
                <w:color w:val="016794"/>
                <w:sz w:val="18"/>
              </w:rPr>
              <w:t>Trwałe</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16794"/>
                <w:sz w:val="18"/>
              </w:rPr>
            </w:pPr>
            <w:r>
              <w:rPr>
                <w:rFonts w:ascii="Verdana" w:hAnsi="Verdana"/>
                <w:i/>
                <w:noProof/>
                <w:color w:val="016794"/>
                <w:sz w:val="18"/>
              </w:rPr>
              <w:t>–</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16794"/>
                <w:sz w:val="18"/>
              </w:rPr>
            </w:pPr>
            <w:r>
              <w:rPr>
                <w:rFonts w:ascii="Verdana" w:hAnsi="Verdana"/>
                <w:i/>
                <w:noProof/>
                <w:color w:val="016794"/>
                <w:sz w:val="18"/>
              </w:rPr>
              <w:t>–</w:t>
            </w:r>
          </w:p>
        </w:tc>
      </w:tr>
      <w:tr w:rsidR="0043277E">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FINES"/>
              <w:rPr>
                <w:rFonts w:ascii="Verdana" w:eastAsia="Verdana" w:hAnsi="Verdana" w:cs="Verdana"/>
                <w:i/>
                <w:noProof/>
                <w:color w:val="016794"/>
                <w:sz w:val="18"/>
              </w:rPr>
            </w:pPr>
            <w:r>
              <w:rPr>
                <w:rFonts w:ascii="Verdana" w:hAnsi="Verdana"/>
                <w:i/>
                <w:noProof/>
                <w:color w:val="016794"/>
                <w:sz w:val="18"/>
              </w:rPr>
              <w:t>Obrotowe</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16794"/>
                <w:sz w:val="18"/>
              </w:rPr>
            </w:pPr>
            <w:r>
              <w:rPr>
                <w:rFonts w:ascii="Verdana" w:hAnsi="Verdana"/>
                <w:i/>
                <w:noProof/>
                <w:color w:val="016794"/>
                <w:sz w:val="18"/>
              </w:rPr>
              <w:t>11 301</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FINES"/>
              <w:jc w:val="right"/>
              <w:rPr>
                <w:rFonts w:ascii="Verdana" w:eastAsia="Verdana" w:hAnsi="Verdana" w:cs="Verdana"/>
                <w:i/>
                <w:noProof/>
                <w:color w:val="016794"/>
                <w:sz w:val="18"/>
              </w:rPr>
            </w:pPr>
            <w:r>
              <w:rPr>
                <w:rFonts w:ascii="Verdana" w:hAnsi="Verdana"/>
                <w:i/>
                <w:noProof/>
                <w:color w:val="016794"/>
                <w:sz w:val="18"/>
              </w:rPr>
              <w:t>9 727</w:t>
            </w:r>
          </w:p>
        </w:tc>
      </w:tr>
    </w:tbl>
    <w:p w:rsidR="0043277E" w:rsidRDefault="000F2348">
      <w:pPr>
        <w:pStyle w:val="DGTextstand-alone"/>
      </w:pPr>
      <w:r>
        <w:t>Płatności tymczasowe dotyczą głównie wpływów gotówkowych od przedsiębiorstw, które jednak wniosły odwołanie lub wciąż mają możliwość wniesienia do unijnych sądów odwołania od decyzji w sprawie nałożenia grzywien. W związku z możliwością zwrotu tych kwot uk</w:t>
      </w:r>
      <w:r>
        <w:t xml:space="preserve">aranym przedsiębiorstwom ujmuje się zobowiązania warunkowe (zob. informacja dodatkowa </w:t>
      </w:r>
      <w:r>
        <w:rPr>
          <w:b/>
        </w:rPr>
        <w:t>4.1.4</w:t>
      </w:r>
      <w:r>
        <w:t>).</w:t>
      </w:r>
    </w:p>
    <w:p w:rsidR="0043277E" w:rsidRDefault="000F2348">
      <w:pPr>
        <w:pStyle w:val="DGTextstand-alone"/>
      </w:pPr>
      <w:r>
        <w:t>Ukarane przedsiębiorstwa, które wniosły lub planują wnieść odwołanie, mają możliwość albo dokonać płatności tymczasowych, albo dostarczyć Komisji gwarancje bankow</w:t>
      </w:r>
      <w:r>
        <w:t xml:space="preserve">e. W przypadku grzywien niezainkasowanych na koniec roku Komisja zaakceptowała gwarancje finansowe, których łączna wartość wynosi 11 133 mln EUR (w 2018 r.: 9 354 mln EUR). </w:t>
      </w:r>
    </w:p>
    <w:p w:rsidR="0043277E" w:rsidRDefault="000F2348">
      <w:pPr>
        <w:pStyle w:val="DGTextstand-alone"/>
      </w:pPr>
      <w:r>
        <w:lastRenderedPageBreak/>
        <w:t>Kwoty odpisów z tytułu utraty wartości odzwierciedlają indywidualną ocenę przeprow</w:t>
      </w:r>
      <w:r>
        <w:t>adzoną przez Komisję w odniesieniu do kwot grzywien niezainkasowanych ani nie objętych gwarancją, których Komisja nie spodziewa się odzyskać.</w:t>
      </w:r>
    </w:p>
    <w:p w:rsidR="0043277E" w:rsidRDefault="000F2348">
      <w:pPr>
        <w:pStyle w:val="DGTextstand-alone"/>
      </w:pPr>
      <w:r>
        <w:t>Wzrost kwot należnych z tytułu grzywien za naruszenie zasad konkurencji jest spowodowany głównie jedną znaczącą gr</w:t>
      </w:r>
      <w:r>
        <w:t xml:space="preserve">zywną </w:t>
      </w:r>
      <w:r>
        <w:br/>
        <w:t>(1 494 mln EUR) – przedsiębiorstwo pokryło tę grzywnę przy wykorzystaniu gwarancji bankowej zatwierdzonej przez Komisję. Pozostała część wzrostu wynikająca z innych grzywien za naruszenie zasad konkurencji nałożonych w ciągu roku (2 597 mln EUR) zos</w:t>
      </w:r>
      <w:r>
        <w:t xml:space="preserve">tała w dużej mierze zrównoważona grzywnami, które zostały ostatecznie zainkasowane w 2019 r. (zob. informacja dodatkowa </w:t>
      </w:r>
      <w:r>
        <w:rPr>
          <w:b/>
        </w:rPr>
        <w:t>2.8.1</w:t>
      </w:r>
      <w:r>
        <w:t>).</w:t>
      </w:r>
    </w:p>
    <w:p w:rsidR="0043277E" w:rsidRDefault="0043277E">
      <w:pPr>
        <w:pStyle w:val="DGTextstand-alone"/>
      </w:pPr>
    </w:p>
    <w:p w:rsidR="0043277E" w:rsidRDefault="000F2348">
      <w:pPr>
        <w:rPr>
          <w:rFonts w:ascii="Verdana" w:hAnsi="Verdana"/>
          <w:noProof/>
          <w:color w:val="016794"/>
          <w:sz w:val="18"/>
          <w:szCs w:val="18"/>
        </w:rPr>
      </w:pPr>
      <w:r>
        <w:rPr>
          <w:noProof/>
        </w:rPr>
        <w:br w:type="page"/>
      </w:r>
    </w:p>
    <w:p w:rsidR="0043277E" w:rsidRDefault="000F2348">
      <w:pPr>
        <w:pStyle w:val="HEADER4NOTES"/>
        <w:rPr>
          <w:noProof/>
        </w:rPr>
      </w:pPr>
      <w:r>
        <w:rPr>
          <w:noProof/>
        </w:rPr>
        <w:lastRenderedPageBreak/>
        <w:t>Naliczone przychody i czynne rozliczenia międzyokresowe kosztów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4"/>
        <w:gridCol w:w="1787"/>
        <w:gridCol w:w="1787"/>
      </w:tblGrid>
      <w:tr w:rsidR="0043277E">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9BIPAIDC"/>
              <w:rPr>
                <w:rFonts w:ascii="Arial" w:eastAsia="Arial" w:hAnsi="Arial" w:cs="Arial"/>
                <w:noProof/>
                <w:color w:val="000000"/>
              </w:rPr>
            </w:pPr>
            <w:bookmarkStart w:id="71" w:name="DOC_TBL00030_1_1"/>
            <w:bookmarkEnd w:id="71"/>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9BIPAIDC"/>
              <w:rPr>
                <w:rFonts w:ascii="Arial" w:eastAsia="Arial" w:hAnsi="Arial" w:cs="Arial"/>
                <w:noProof/>
                <w:color w:val="000000"/>
              </w:rPr>
            </w:pP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hRule="exact" w:val="255"/>
        </w:trPr>
        <w:tc>
          <w:tcPr>
            <w:tcW w:w="618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9BIPAIDC"/>
              <w:jc w:val="right"/>
              <w:rPr>
                <w:rFonts w:ascii="Verdana" w:eastAsia="Verdana" w:hAnsi="Verdana" w:cs="Verdana"/>
                <w:noProof/>
                <w:color w:val="FFFFFF"/>
                <w:sz w:val="18"/>
              </w:rPr>
            </w:pPr>
          </w:p>
        </w:tc>
        <w:tc>
          <w:tcPr>
            <w:tcW w:w="178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9BIPAIDC"/>
              <w:jc w:val="right"/>
              <w:rPr>
                <w:rFonts w:ascii="Verdana" w:eastAsia="Verdana" w:hAnsi="Verdana" w:cs="Verdana"/>
                <w:noProof/>
                <w:color w:val="FFFFFF"/>
              </w:rPr>
            </w:pPr>
            <w:r>
              <w:rPr>
                <w:rFonts w:ascii="Verdana" w:hAnsi="Verdana"/>
                <w:noProof/>
                <w:color w:val="FFFFFF"/>
              </w:rPr>
              <w:t>31.12.2019</w:t>
            </w:r>
          </w:p>
        </w:tc>
        <w:tc>
          <w:tcPr>
            <w:tcW w:w="178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9BIPAIDC"/>
              <w:jc w:val="right"/>
              <w:rPr>
                <w:rFonts w:ascii="Verdana" w:eastAsia="Verdana" w:hAnsi="Verdana" w:cs="Verdana"/>
                <w:noProof/>
                <w:color w:val="FFFFFF"/>
              </w:rPr>
            </w:pPr>
            <w:r>
              <w:rPr>
                <w:rFonts w:ascii="Verdana" w:hAnsi="Verdana"/>
                <w:noProof/>
                <w:color w:val="FFFFFF"/>
              </w:rPr>
              <w:t>31.12.2018</w:t>
            </w:r>
          </w:p>
        </w:tc>
      </w:tr>
      <w:tr w:rsidR="0043277E">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9BIPAIDC"/>
              <w:rPr>
                <w:rFonts w:ascii="Verdana" w:eastAsia="Verdana" w:hAnsi="Verdana" w:cs="Verdana"/>
                <w:i/>
                <w:noProof/>
                <w:color w:val="000000"/>
                <w:sz w:val="18"/>
              </w:rPr>
            </w:pPr>
            <w:r>
              <w:rPr>
                <w:rFonts w:ascii="Verdana" w:hAnsi="Verdana"/>
                <w:i/>
                <w:noProof/>
                <w:color w:val="000000"/>
                <w:sz w:val="18"/>
              </w:rPr>
              <w:t>Naliczone przychody</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00000"/>
                <w:sz w:val="18"/>
              </w:rPr>
            </w:pPr>
            <w:r>
              <w:rPr>
                <w:rFonts w:ascii="Verdana" w:hAnsi="Verdana"/>
                <w:i/>
                <w:noProof/>
                <w:color w:val="000000"/>
                <w:sz w:val="18"/>
              </w:rPr>
              <w:t xml:space="preserve">1 </w:t>
            </w:r>
            <w:r>
              <w:rPr>
                <w:rFonts w:ascii="Verdana" w:hAnsi="Verdana"/>
                <w:i/>
                <w:noProof/>
                <w:color w:val="000000"/>
                <w:sz w:val="18"/>
              </w:rPr>
              <w:t>502</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00000"/>
                <w:sz w:val="18"/>
              </w:rPr>
            </w:pPr>
            <w:r>
              <w:rPr>
                <w:rFonts w:ascii="Verdana" w:hAnsi="Verdana"/>
                <w:i/>
                <w:noProof/>
                <w:color w:val="000000"/>
                <w:sz w:val="18"/>
              </w:rPr>
              <w:t>1 240</w:t>
            </w:r>
          </w:p>
        </w:tc>
      </w:tr>
      <w:tr w:rsidR="0043277E">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9BIPAIDC"/>
              <w:rPr>
                <w:rFonts w:ascii="Verdana" w:eastAsia="Verdana" w:hAnsi="Verdana" w:cs="Verdana"/>
                <w:i/>
                <w:noProof/>
                <w:color w:val="000000"/>
                <w:sz w:val="18"/>
              </w:rPr>
            </w:pPr>
            <w:r>
              <w:rPr>
                <w:rFonts w:ascii="Verdana" w:hAnsi="Verdana"/>
                <w:i/>
                <w:noProof/>
                <w:color w:val="000000"/>
                <w:sz w:val="18"/>
              </w:rPr>
              <w:t>Czynne rozliczenia międzyokresowe kosztów związane z transakcjami innymi niż transakcje wymiany</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00000"/>
                <w:sz w:val="18"/>
              </w:rPr>
            </w:pPr>
            <w:r>
              <w:rPr>
                <w:rFonts w:ascii="Verdana" w:hAnsi="Verdana"/>
                <w:i/>
                <w:noProof/>
                <w:color w:val="000000"/>
                <w:sz w:val="18"/>
              </w:rPr>
              <w:t xml:space="preserve"> 286</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00000"/>
                <w:sz w:val="18"/>
              </w:rPr>
            </w:pPr>
            <w:r>
              <w:rPr>
                <w:rFonts w:ascii="Verdana" w:hAnsi="Verdana"/>
                <w:i/>
                <w:noProof/>
                <w:color w:val="000000"/>
                <w:sz w:val="18"/>
              </w:rPr>
              <w:t xml:space="preserve"> 272</w:t>
            </w:r>
          </w:p>
        </w:tc>
      </w:tr>
      <w:tr w:rsidR="0043277E">
        <w:trPr>
          <w:trHeight w:hRule="exact" w:val="255"/>
        </w:trPr>
        <w:tc>
          <w:tcPr>
            <w:tcW w:w="61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9BIPAIDC"/>
              <w:rPr>
                <w:rFonts w:ascii="Verdana" w:eastAsia="Verdana" w:hAnsi="Verdana" w:cs="Verdana"/>
                <w:b/>
                <w:noProof/>
                <w:color w:val="000000"/>
                <w:sz w:val="18"/>
              </w:rPr>
            </w:pPr>
            <w:r>
              <w:rPr>
                <w:rFonts w:ascii="Verdana" w:hAnsi="Verdana"/>
                <w:b/>
                <w:noProof/>
                <w:color w:val="000000"/>
                <w:sz w:val="18"/>
              </w:rPr>
              <w:t>Ogółem</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b/>
                <w:noProof/>
                <w:color w:val="000000"/>
                <w:sz w:val="18"/>
              </w:rPr>
            </w:pPr>
            <w:r>
              <w:rPr>
                <w:rFonts w:ascii="Verdana" w:hAnsi="Verdana"/>
                <w:b/>
                <w:noProof/>
                <w:color w:val="000000"/>
                <w:sz w:val="18"/>
              </w:rPr>
              <w:t>1 788</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b/>
                <w:noProof/>
                <w:color w:val="000000"/>
                <w:sz w:val="18"/>
              </w:rPr>
            </w:pPr>
            <w:r>
              <w:rPr>
                <w:rFonts w:ascii="Verdana" w:hAnsi="Verdana"/>
                <w:b/>
                <w:noProof/>
                <w:color w:val="000000"/>
                <w:sz w:val="18"/>
              </w:rPr>
              <w:t>1 511</w:t>
            </w:r>
          </w:p>
        </w:tc>
      </w:tr>
      <w:tr w:rsidR="0043277E">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9BIPAIDC"/>
              <w:rPr>
                <w:rFonts w:ascii="Verdana" w:eastAsia="Verdana" w:hAnsi="Verdana" w:cs="Verdana"/>
                <w:i/>
                <w:noProof/>
                <w:color w:val="016794"/>
                <w:sz w:val="18"/>
              </w:rPr>
            </w:pPr>
            <w:r>
              <w:rPr>
                <w:rFonts w:ascii="Verdana" w:hAnsi="Verdana"/>
                <w:i/>
                <w:noProof/>
                <w:color w:val="016794"/>
                <w:sz w:val="18"/>
              </w:rPr>
              <w:t>Trwałe</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16794"/>
                <w:sz w:val="18"/>
              </w:rPr>
            </w:pPr>
            <w:r>
              <w:rPr>
                <w:rFonts w:ascii="Verdana" w:hAnsi="Verdana"/>
                <w:i/>
                <w:noProof/>
                <w:color w:val="016794"/>
                <w:sz w:val="18"/>
              </w:rPr>
              <w:t>–</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16794"/>
                <w:sz w:val="18"/>
              </w:rPr>
            </w:pPr>
            <w:r>
              <w:rPr>
                <w:rFonts w:ascii="Verdana" w:hAnsi="Verdana"/>
                <w:i/>
                <w:noProof/>
                <w:color w:val="016794"/>
                <w:sz w:val="18"/>
              </w:rPr>
              <w:t>–</w:t>
            </w:r>
          </w:p>
        </w:tc>
      </w:tr>
      <w:tr w:rsidR="0043277E">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9BIPAIDC"/>
              <w:rPr>
                <w:rFonts w:ascii="Verdana" w:eastAsia="Verdana" w:hAnsi="Verdana" w:cs="Verdana"/>
                <w:i/>
                <w:noProof/>
                <w:color w:val="016794"/>
                <w:sz w:val="18"/>
              </w:rPr>
            </w:pPr>
            <w:r>
              <w:rPr>
                <w:rFonts w:ascii="Verdana" w:hAnsi="Verdana"/>
                <w:i/>
                <w:noProof/>
                <w:color w:val="016794"/>
                <w:sz w:val="18"/>
              </w:rPr>
              <w:t>Obrotowe</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16794"/>
                <w:sz w:val="18"/>
              </w:rPr>
            </w:pPr>
            <w:r>
              <w:rPr>
                <w:rFonts w:ascii="Verdana" w:hAnsi="Verdana"/>
                <w:i/>
                <w:noProof/>
                <w:color w:val="016794"/>
                <w:sz w:val="18"/>
              </w:rPr>
              <w:t>1 788</w:t>
            </w:r>
          </w:p>
        </w:tc>
        <w:tc>
          <w:tcPr>
            <w:tcW w:w="178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9BIPAIDC"/>
              <w:jc w:val="right"/>
              <w:rPr>
                <w:rFonts w:ascii="Verdana" w:eastAsia="Verdana" w:hAnsi="Verdana" w:cs="Verdana"/>
                <w:i/>
                <w:noProof/>
                <w:color w:val="016794"/>
                <w:sz w:val="18"/>
              </w:rPr>
            </w:pPr>
            <w:r>
              <w:rPr>
                <w:rFonts w:ascii="Verdana" w:hAnsi="Verdana"/>
                <w:i/>
                <w:noProof/>
                <w:color w:val="016794"/>
                <w:sz w:val="18"/>
              </w:rPr>
              <w:t>1 511</w:t>
            </w:r>
          </w:p>
        </w:tc>
      </w:tr>
    </w:tbl>
    <w:p w:rsidR="0043277E" w:rsidRDefault="000F2348">
      <w:pPr>
        <w:pStyle w:val="DGTextstand-alone"/>
        <w:rPr>
          <w:color w:val="000000" w:themeColor="text1"/>
        </w:rPr>
      </w:pPr>
      <w:r>
        <w:rPr>
          <w:color w:val="000000" w:themeColor="text1"/>
        </w:rPr>
        <w:t>Naliczone przychody obejmują kwotę 1,4 mld EUR (w 2018 r.: 1,1 mld EUR), którą Komisja spodziewa się odzyskać od państw członkowskich w obszarze spójności. Odzyskanie będzie wynikiem badania i zatwierdzenia rocznych sprawozdań finansowych przedłożonych prz</w:t>
      </w:r>
      <w:r>
        <w:rPr>
          <w:color w:val="000000" w:themeColor="text1"/>
        </w:rPr>
        <w:t xml:space="preserve">ez państwa członkowskie na początku 2020 r. Tę procedurę zatwierdzenia rocznych sprawozdań finansowych państw członkowskich wprowadzono w obszarze spójności w odniesieniu do okresu programowania 2014–2020. </w:t>
      </w:r>
    </w:p>
    <w:p w:rsidR="0043277E" w:rsidRDefault="000F2348">
      <w:pPr>
        <w:pStyle w:val="HEADER3NOTES"/>
        <w:rPr>
          <w:noProof/>
        </w:rPr>
      </w:pPr>
      <w:r>
        <w:rPr>
          <w:noProof/>
        </w:rPr>
        <w:t>Należności z tytułu transakcji wymiany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RET"/>
              <w:rPr>
                <w:rFonts w:ascii="Arial" w:eastAsia="Arial" w:hAnsi="Arial" w:cs="Arial"/>
                <w:noProof/>
                <w:color w:val="000000"/>
              </w:rPr>
            </w:pPr>
            <w:bookmarkStart w:id="72" w:name="DOC_TBL00031_1_1"/>
            <w:bookmarkEnd w:id="72"/>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17BIPRET"/>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6"/>
              </w:rPr>
            </w:pPr>
            <w:r>
              <w:rPr>
                <w:rFonts w:ascii="Verdana" w:hAnsi="Verdana"/>
                <w:i/>
                <w:noProof/>
                <w:color w:val="000000"/>
                <w:sz w:val="16"/>
              </w:rPr>
              <w:t>w mln EU</w:t>
            </w:r>
            <w:r>
              <w:rPr>
                <w:rFonts w:ascii="Verdana" w:hAnsi="Verdana"/>
                <w:i/>
                <w:noProof/>
                <w:color w:val="000000"/>
                <w:sz w:val="16"/>
              </w:rPr>
              <w:t>R</w:t>
            </w:r>
          </w:p>
        </w:tc>
      </w:tr>
      <w:tr w:rsidR="0043277E">
        <w:trPr>
          <w:trHeight w:hRule="exac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7BIPRET"/>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RET"/>
              <w:jc w:val="right"/>
              <w:rPr>
                <w:rFonts w:ascii="Verdana" w:eastAsia="Verdana" w:hAnsi="Verdana" w:cs="Verdana"/>
                <w:noProof/>
                <w:color w:val="FFFFFF"/>
              </w:rPr>
            </w:pPr>
            <w:r>
              <w:rPr>
                <w:rFonts w:ascii="Verdana" w:hAnsi="Verdana"/>
                <w:noProof/>
                <w:color w:val="FFFFFF"/>
              </w:rPr>
              <w:t>31.12.2019</w:t>
            </w:r>
          </w:p>
        </w:tc>
        <w:tc>
          <w:tcPr>
            <w:tcW w:w="21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7BIPRET"/>
              <w:jc w:val="right"/>
              <w:rPr>
                <w:rFonts w:ascii="Verdana" w:eastAsia="Verdana" w:hAnsi="Verdana" w:cs="Verdana"/>
                <w:noProof/>
                <w:color w:val="FFFFFF"/>
              </w:rPr>
            </w:pPr>
            <w:r>
              <w:rPr>
                <w:rFonts w:ascii="Verdana" w:hAnsi="Verdana"/>
                <w:noProof/>
                <w:color w:val="FFFFFF"/>
              </w:rPr>
              <w:t>31.12.2018</w:t>
            </w: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b/>
                <w:noProof/>
                <w:color w:val="000000"/>
                <w:sz w:val="18"/>
              </w:rPr>
            </w:pPr>
            <w:r>
              <w:rPr>
                <w:rFonts w:ascii="Verdana" w:hAnsi="Verdana"/>
                <w:b/>
                <w:noProof/>
                <w:color w:val="000000"/>
                <w:sz w:val="18"/>
              </w:rPr>
              <w:t>Trwałe</w:t>
            </w:r>
          </w:p>
        </w:tc>
        <w:tc>
          <w:tcPr>
            <w:tcW w:w="21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ET"/>
              <w:rPr>
                <w:rFonts w:ascii="Verdana" w:eastAsia="Verdana" w:hAnsi="Verdana" w:cs="Verdana"/>
                <w:b/>
                <w:noProof/>
                <w:color w:val="000000"/>
                <w:sz w:val="18"/>
                <w:lang w:bidi="en-GB"/>
              </w:rPr>
            </w:pP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i/>
                <w:noProof/>
                <w:color w:val="000000"/>
                <w:sz w:val="18"/>
              </w:rPr>
            </w:pPr>
            <w:r>
              <w:rPr>
                <w:rFonts w:ascii="Verdana" w:hAnsi="Verdana"/>
                <w:i/>
                <w:noProof/>
                <w:color w:val="000000"/>
                <w:sz w:val="18"/>
              </w:rPr>
              <w:t>Odsetki za zwłokę</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1 137</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i/>
                <w:noProof/>
                <w:color w:val="000000"/>
                <w:sz w:val="18"/>
              </w:rPr>
            </w:pPr>
            <w:r>
              <w:rPr>
                <w:rFonts w:ascii="Verdana" w:hAnsi="Verdana"/>
                <w:i/>
                <w:noProof/>
                <w:color w:val="000000"/>
                <w:sz w:val="18"/>
              </w:rPr>
              <w:t>Inne należności</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48</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19</w:t>
            </w:r>
          </w:p>
        </w:tc>
      </w:tr>
      <w:tr w:rsidR="0043277E">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b/>
                <w:noProof/>
                <w:color w:val="000000"/>
                <w:sz w:val="18"/>
              </w:rPr>
            </w:pPr>
            <w:r>
              <w:rPr>
                <w:rFonts w:ascii="Verdana" w:hAnsi="Verdana"/>
                <w:b/>
                <w:noProof/>
                <w:color w:val="000000"/>
                <w:sz w:val="18"/>
              </w:rPr>
              <w:t>1 185</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b/>
                <w:noProof/>
                <w:color w:val="000000"/>
                <w:sz w:val="18"/>
              </w:rPr>
            </w:pPr>
            <w:r>
              <w:rPr>
                <w:rFonts w:ascii="Verdana" w:hAnsi="Verdana"/>
                <w:b/>
                <w:noProof/>
                <w:color w:val="000000"/>
                <w:sz w:val="18"/>
              </w:rPr>
              <w:t xml:space="preserve"> 19</w:t>
            </w: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b/>
                <w:noProof/>
                <w:color w:val="000000"/>
                <w:sz w:val="18"/>
              </w:rPr>
            </w:pPr>
            <w:r>
              <w:rPr>
                <w:rFonts w:ascii="Verdana" w:hAnsi="Verdana"/>
                <w:b/>
                <w:noProof/>
                <w:color w:val="000000"/>
                <w:sz w:val="18"/>
              </w:rPr>
              <w:t>Obrotowe</w:t>
            </w:r>
          </w:p>
        </w:tc>
        <w:tc>
          <w:tcPr>
            <w:tcW w:w="21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7BIPRET"/>
              <w:rPr>
                <w:rFonts w:ascii="Verdana" w:eastAsia="Verdana" w:hAnsi="Verdana" w:cs="Verdana"/>
                <w:b/>
                <w:noProof/>
                <w:color w:val="000000"/>
                <w:sz w:val="18"/>
                <w:lang w:bidi="en-GB"/>
              </w:rPr>
            </w:pP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i/>
                <w:noProof/>
                <w:color w:val="000000"/>
                <w:sz w:val="18"/>
              </w:rPr>
            </w:pPr>
            <w:r>
              <w:rPr>
                <w:rFonts w:ascii="Verdana" w:hAnsi="Verdana"/>
                <w:i/>
                <w:noProof/>
                <w:color w:val="000000"/>
                <w:sz w:val="18"/>
              </w:rPr>
              <w:t>Od klientów</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269</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232</w:t>
            </w: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i/>
                <w:noProof/>
                <w:color w:val="000000"/>
                <w:sz w:val="18"/>
              </w:rPr>
            </w:pPr>
            <w:r>
              <w:rPr>
                <w:rFonts w:ascii="Verdana" w:hAnsi="Verdana"/>
                <w:i/>
                <w:noProof/>
                <w:color w:val="000000"/>
                <w:sz w:val="18"/>
              </w:rPr>
              <w:t>Utrata wartości należności od klientów</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(153)</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(143)</w:t>
            </w: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i/>
                <w:noProof/>
                <w:color w:val="000000"/>
                <w:sz w:val="18"/>
              </w:rPr>
            </w:pPr>
            <w:r>
              <w:rPr>
                <w:rFonts w:ascii="Verdana" w:hAnsi="Verdana"/>
                <w:i/>
                <w:noProof/>
                <w:color w:val="000000"/>
                <w:sz w:val="18"/>
              </w:rPr>
              <w:t xml:space="preserve">Czynne rozliczenia międzyokresowe kosztów związane z transakcjami </w:t>
            </w:r>
            <w:r>
              <w:rPr>
                <w:rFonts w:ascii="Verdana" w:hAnsi="Verdana"/>
                <w:i/>
                <w:noProof/>
                <w:color w:val="000000"/>
                <w:sz w:val="18"/>
              </w:rPr>
              <w:t>wymiany</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238</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243</w:t>
            </w:r>
          </w:p>
        </w:tc>
      </w:tr>
      <w:tr w:rsidR="0043277E">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i/>
                <w:noProof/>
                <w:color w:val="000000"/>
                <w:sz w:val="18"/>
              </w:rPr>
            </w:pPr>
            <w:r>
              <w:rPr>
                <w:rFonts w:ascii="Verdana" w:hAnsi="Verdana"/>
                <w:i/>
                <w:noProof/>
                <w:color w:val="000000"/>
                <w:sz w:val="18"/>
              </w:rPr>
              <w:t>Inne</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 xml:space="preserve"> 684</w:t>
            </w:r>
          </w:p>
        </w:tc>
        <w:tc>
          <w:tcPr>
            <w:tcW w:w="21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i/>
                <w:noProof/>
                <w:color w:val="000000"/>
                <w:sz w:val="18"/>
              </w:rPr>
            </w:pPr>
            <w:r>
              <w:rPr>
                <w:rFonts w:ascii="Verdana" w:hAnsi="Verdana"/>
                <w:i/>
                <w:noProof/>
                <w:color w:val="000000"/>
                <w:sz w:val="18"/>
              </w:rPr>
              <w:t>1 704</w:t>
            </w:r>
          </w:p>
        </w:tc>
      </w:tr>
      <w:tr w:rsidR="0043277E">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b/>
                <w:noProof/>
                <w:color w:val="000000"/>
                <w:sz w:val="18"/>
              </w:rPr>
            </w:pPr>
            <w:r>
              <w:rPr>
                <w:rFonts w:ascii="Verdana" w:hAnsi="Verdana"/>
                <w:b/>
                <w:noProof/>
                <w:color w:val="000000"/>
                <w:sz w:val="18"/>
              </w:rPr>
              <w:t>1 038</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b/>
                <w:noProof/>
                <w:color w:val="000000"/>
                <w:sz w:val="18"/>
              </w:rPr>
            </w:pPr>
            <w:r>
              <w:rPr>
                <w:rFonts w:ascii="Verdana" w:hAnsi="Verdana"/>
                <w:b/>
                <w:noProof/>
                <w:color w:val="000000"/>
                <w:sz w:val="18"/>
              </w:rPr>
              <w:t>2 036</w:t>
            </w:r>
          </w:p>
        </w:tc>
      </w:tr>
      <w:tr w:rsidR="0043277E">
        <w:trPr>
          <w:trHeight w:hRule="exact" w:val="300"/>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17BIPRET"/>
              <w:rPr>
                <w:rFonts w:ascii="Verdana" w:eastAsia="Verdana" w:hAnsi="Verdana" w:cs="Verdana"/>
                <w:b/>
                <w:noProof/>
                <w:color w:val="000000"/>
                <w:sz w:val="18"/>
              </w:rPr>
            </w:pPr>
            <w:r>
              <w:rPr>
                <w:rFonts w:ascii="Verdana" w:hAnsi="Verdana"/>
                <w:b/>
                <w:noProof/>
                <w:color w:val="000000"/>
                <w:sz w:val="18"/>
              </w:rPr>
              <w:t>Ogółem</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b/>
                <w:noProof/>
                <w:color w:val="000000"/>
                <w:sz w:val="18"/>
              </w:rPr>
            </w:pPr>
            <w:r>
              <w:rPr>
                <w:rFonts w:ascii="Verdana" w:hAnsi="Verdana"/>
                <w:b/>
                <w:noProof/>
                <w:color w:val="000000"/>
                <w:sz w:val="18"/>
              </w:rPr>
              <w:t>2 223</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17BIPRET"/>
              <w:jc w:val="right"/>
              <w:rPr>
                <w:rFonts w:ascii="Verdana" w:eastAsia="Verdana" w:hAnsi="Verdana" w:cs="Verdana"/>
                <w:b/>
                <w:noProof/>
                <w:color w:val="000000"/>
                <w:sz w:val="18"/>
              </w:rPr>
            </w:pPr>
            <w:r>
              <w:rPr>
                <w:rFonts w:ascii="Verdana" w:hAnsi="Verdana"/>
                <w:b/>
                <w:noProof/>
                <w:color w:val="000000"/>
                <w:sz w:val="18"/>
              </w:rPr>
              <w:t>2 055</w:t>
            </w:r>
          </w:p>
        </w:tc>
      </w:tr>
    </w:tbl>
    <w:p w:rsidR="0043277E" w:rsidRDefault="0043277E">
      <w:pPr>
        <w:pStyle w:val="DGTextstand-alone"/>
        <w:spacing w:before="0" w:after="0"/>
        <w:rPr>
          <w:lang w:bidi="en-GB"/>
        </w:rPr>
      </w:pPr>
    </w:p>
    <w:p w:rsidR="0043277E" w:rsidRDefault="000F2348">
      <w:pPr>
        <w:pStyle w:val="DGTextstand-alone"/>
        <w:spacing w:before="0" w:after="0"/>
      </w:pPr>
      <w:r>
        <w:t xml:space="preserve">Pozycja „Trwałe odsetki za zwłokę” obejmuje postępowanie w sprawie uchybienia zobowiązaniom państwa członkowskiego, o którym mowa w informacji dodatkowej </w:t>
      </w:r>
      <w:r>
        <w:rPr>
          <w:b/>
        </w:rPr>
        <w:t>2.6.1.1</w:t>
      </w:r>
      <w:r>
        <w:t xml:space="preserve">. W 2018 r. odsetki te </w:t>
      </w:r>
      <w:r>
        <w:t>ujęto w pozycji „Obrotowe”.</w:t>
      </w:r>
    </w:p>
    <w:p w:rsidR="0043277E" w:rsidRDefault="0043277E">
      <w:pPr>
        <w:pStyle w:val="DGTextstand-alone"/>
        <w:spacing w:before="0" w:after="0"/>
      </w:pPr>
    </w:p>
    <w:p w:rsidR="0043277E" w:rsidRDefault="000F2348">
      <w:pPr>
        <w:rPr>
          <w:rFonts w:ascii="Verdana" w:eastAsia="Calibri" w:hAnsi="Verdana"/>
          <w:noProof/>
          <w:sz w:val="18"/>
          <w:szCs w:val="18"/>
        </w:rPr>
      </w:pPr>
      <w:r>
        <w:rPr>
          <w:rFonts w:ascii="Verdana" w:hAnsi="Verdana"/>
          <w:noProof/>
          <w:sz w:val="18"/>
          <w:szCs w:val="18"/>
        </w:rPr>
        <w:t xml:space="preserve">Pozostałe należności obrotowe odnoszą się głównie do odsetek za zwłokę. Spadek w 2019 r. jest spowodowany głównie sklasyfikowaniem odsetek dotyczących postępowania w sprawie uchybienia zobowiązaniom państwa członkowskiego jako </w:t>
      </w:r>
      <w:r>
        <w:rPr>
          <w:rFonts w:ascii="Verdana" w:hAnsi="Verdana"/>
          <w:noProof/>
          <w:sz w:val="18"/>
          <w:szCs w:val="18"/>
        </w:rPr>
        <w:t xml:space="preserve">trwałych i skorygowaniem w dół TZW przedstawionych w sprawozdaniach z inspekcji (zob. informacja dodatkowa </w:t>
      </w:r>
      <w:r>
        <w:rPr>
          <w:rFonts w:ascii="Verdana" w:hAnsi="Verdana"/>
          <w:b/>
          <w:noProof/>
          <w:sz w:val="18"/>
          <w:szCs w:val="18"/>
        </w:rPr>
        <w:t>2.6.1.1</w:t>
      </w:r>
      <w:r>
        <w:rPr>
          <w:rFonts w:ascii="Verdana" w:hAnsi="Verdana"/>
          <w:noProof/>
          <w:sz w:val="18"/>
          <w:szCs w:val="18"/>
        </w:rPr>
        <w:t>).</w:t>
      </w:r>
    </w:p>
    <w:bookmarkEnd w:id="66"/>
    <w:p w:rsidR="0043277E" w:rsidRDefault="0043277E">
      <w:pPr>
        <w:pStyle w:val="DGTextstand-alone"/>
        <w:spacing w:before="0" w:after="0"/>
        <w:sectPr w:rsidR="0043277E">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p>
    <w:p w:rsidR="0043277E" w:rsidRDefault="000F2348">
      <w:pPr>
        <w:pStyle w:val="HEADER2NOTES"/>
        <w:rPr>
          <w:noProof/>
        </w:rPr>
      </w:pPr>
      <w:bookmarkStart w:id="73" w:name="_DMBM_17121"/>
      <w:r>
        <w:rPr>
          <w:noProof/>
        </w:rPr>
        <w:t xml:space="preserve">ZAPASY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2392"/>
        <w:gridCol w:w="2392"/>
      </w:tblGrid>
      <w:tr w:rsidR="0043277E">
        <w:trPr>
          <w:trHeight w:val="255"/>
        </w:trPr>
        <w:tc>
          <w:tcPr>
            <w:tcW w:w="497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2BIPINV"/>
              <w:rPr>
                <w:rFonts w:ascii="Arial" w:eastAsia="Arial" w:hAnsi="Arial" w:cs="Arial"/>
                <w:noProof/>
                <w:color w:val="000000"/>
              </w:rPr>
            </w:pPr>
            <w:bookmarkStart w:id="74" w:name="DOC_TBL00032_1_1"/>
            <w:bookmarkEnd w:id="74"/>
          </w:p>
        </w:tc>
        <w:tc>
          <w:tcPr>
            <w:tcW w:w="239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2BIPINV"/>
              <w:rPr>
                <w:rFonts w:ascii="Arial" w:eastAsia="Arial" w:hAnsi="Arial" w:cs="Arial"/>
                <w:noProof/>
                <w:color w:val="000000"/>
              </w:rPr>
            </w:pPr>
          </w:p>
        </w:tc>
        <w:tc>
          <w:tcPr>
            <w:tcW w:w="239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2BIPINV"/>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97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2BIPINV"/>
              <w:jc w:val="right"/>
              <w:rPr>
                <w:rFonts w:ascii="Verdana" w:eastAsia="Verdana" w:hAnsi="Verdana" w:cs="Verdana"/>
                <w:noProof/>
                <w:color w:val="FFFFFF"/>
                <w:sz w:val="18"/>
              </w:rPr>
            </w:pPr>
          </w:p>
        </w:tc>
        <w:tc>
          <w:tcPr>
            <w:tcW w:w="239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2BIPINV"/>
              <w:jc w:val="right"/>
              <w:rPr>
                <w:rFonts w:ascii="Verdana" w:eastAsia="Verdana" w:hAnsi="Verdana" w:cs="Verdana"/>
                <w:noProof/>
                <w:color w:val="FFFFFF"/>
              </w:rPr>
            </w:pPr>
            <w:r>
              <w:rPr>
                <w:rFonts w:ascii="Verdana" w:hAnsi="Verdana"/>
                <w:noProof/>
                <w:color w:val="FFFFFF"/>
              </w:rPr>
              <w:t>31.12.2019</w:t>
            </w:r>
          </w:p>
        </w:tc>
        <w:tc>
          <w:tcPr>
            <w:tcW w:w="239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2BIPINV"/>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2BIPINV"/>
              <w:rPr>
                <w:rFonts w:ascii="Verdana" w:eastAsia="Verdana" w:hAnsi="Verdana" w:cs="Verdana"/>
                <w:i/>
                <w:noProof/>
                <w:color w:val="000000"/>
                <w:sz w:val="18"/>
              </w:rPr>
            </w:pPr>
            <w:r>
              <w:rPr>
                <w:rFonts w:ascii="Verdana" w:hAnsi="Verdana"/>
                <w:i/>
                <w:noProof/>
                <w:color w:val="000000"/>
                <w:sz w:val="18"/>
              </w:rPr>
              <w:t>Materiały naukowe</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2BIPINV"/>
              <w:jc w:val="right"/>
              <w:rPr>
                <w:rFonts w:ascii="Verdana" w:eastAsia="Verdana" w:hAnsi="Verdana" w:cs="Verdana"/>
                <w:i/>
                <w:noProof/>
                <w:color w:val="000000"/>
                <w:sz w:val="18"/>
              </w:rPr>
            </w:pPr>
            <w:r>
              <w:rPr>
                <w:rFonts w:ascii="Verdana" w:hAnsi="Verdana"/>
                <w:i/>
                <w:noProof/>
                <w:color w:val="000000"/>
                <w:sz w:val="18"/>
              </w:rPr>
              <w:t xml:space="preserve"> 47</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2BIPINV"/>
              <w:jc w:val="right"/>
              <w:rPr>
                <w:rFonts w:ascii="Verdana" w:eastAsia="Verdana" w:hAnsi="Verdana" w:cs="Verdana"/>
                <w:i/>
                <w:noProof/>
                <w:color w:val="000000"/>
                <w:sz w:val="18"/>
              </w:rPr>
            </w:pPr>
            <w:r>
              <w:rPr>
                <w:rFonts w:ascii="Verdana" w:hAnsi="Verdana"/>
                <w:i/>
                <w:noProof/>
                <w:color w:val="000000"/>
                <w:sz w:val="18"/>
              </w:rPr>
              <w:t xml:space="preserve"> 52</w:t>
            </w:r>
          </w:p>
        </w:tc>
      </w:tr>
      <w:tr w:rsidR="0043277E">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2BIPINV"/>
              <w:rPr>
                <w:rFonts w:ascii="Verdana" w:eastAsia="Verdana" w:hAnsi="Verdana" w:cs="Verdana"/>
                <w:i/>
                <w:noProof/>
                <w:color w:val="000000"/>
                <w:sz w:val="18"/>
              </w:rPr>
            </w:pPr>
            <w:r>
              <w:rPr>
                <w:rFonts w:ascii="Verdana" w:hAnsi="Verdana"/>
                <w:i/>
                <w:noProof/>
                <w:color w:val="000000"/>
                <w:sz w:val="18"/>
              </w:rPr>
              <w:t>Inne</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2BIPINV"/>
              <w:jc w:val="right"/>
              <w:rPr>
                <w:rFonts w:ascii="Verdana" w:eastAsia="Verdana" w:hAnsi="Verdana" w:cs="Verdana"/>
                <w:i/>
                <w:noProof/>
                <w:color w:val="000000"/>
                <w:sz w:val="18"/>
              </w:rPr>
            </w:pPr>
            <w:r>
              <w:rPr>
                <w:rFonts w:ascii="Verdana" w:hAnsi="Verdana"/>
                <w:i/>
                <w:noProof/>
                <w:color w:val="000000"/>
                <w:sz w:val="18"/>
              </w:rPr>
              <w:t xml:space="preserve"> 21</w:t>
            </w:r>
          </w:p>
        </w:tc>
        <w:tc>
          <w:tcPr>
            <w:tcW w:w="239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2BIPINV"/>
              <w:jc w:val="right"/>
              <w:rPr>
                <w:rFonts w:ascii="Verdana" w:eastAsia="Verdana" w:hAnsi="Verdana" w:cs="Verdana"/>
                <w:i/>
                <w:noProof/>
                <w:color w:val="000000"/>
                <w:sz w:val="18"/>
              </w:rPr>
            </w:pPr>
            <w:r>
              <w:rPr>
                <w:rFonts w:ascii="Verdana" w:hAnsi="Verdana"/>
                <w:i/>
                <w:noProof/>
                <w:color w:val="000000"/>
                <w:sz w:val="18"/>
              </w:rPr>
              <w:t xml:space="preserve"> 21</w:t>
            </w:r>
          </w:p>
        </w:tc>
      </w:tr>
      <w:tr w:rsidR="0043277E">
        <w:trPr>
          <w:trHeight w:val="255"/>
        </w:trPr>
        <w:tc>
          <w:tcPr>
            <w:tcW w:w="497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2BIPINV"/>
              <w:rPr>
                <w:rFonts w:ascii="Verdana" w:eastAsia="Verdana" w:hAnsi="Verdana" w:cs="Verdana"/>
                <w:b/>
                <w:noProof/>
                <w:color w:val="000000"/>
                <w:sz w:val="18"/>
              </w:rPr>
            </w:pPr>
            <w:r>
              <w:rPr>
                <w:rFonts w:ascii="Verdana" w:hAnsi="Verdana"/>
                <w:b/>
                <w:noProof/>
                <w:color w:val="000000"/>
                <w:sz w:val="18"/>
              </w:rPr>
              <w:t>Ogółem</w:t>
            </w:r>
          </w:p>
        </w:tc>
        <w:tc>
          <w:tcPr>
            <w:tcW w:w="2392"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2BIPINV"/>
              <w:jc w:val="right"/>
              <w:rPr>
                <w:rFonts w:ascii="Verdana" w:eastAsia="Verdana" w:hAnsi="Verdana" w:cs="Verdana"/>
                <w:b/>
                <w:noProof/>
                <w:color w:val="000000"/>
                <w:sz w:val="18"/>
              </w:rPr>
            </w:pPr>
            <w:r>
              <w:rPr>
                <w:rFonts w:ascii="Verdana" w:hAnsi="Verdana"/>
                <w:b/>
                <w:noProof/>
                <w:color w:val="000000"/>
                <w:sz w:val="18"/>
              </w:rPr>
              <w:t xml:space="preserve"> 68</w:t>
            </w:r>
          </w:p>
        </w:tc>
        <w:tc>
          <w:tcPr>
            <w:tcW w:w="2392"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2BIPINV"/>
              <w:jc w:val="right"/>
              <w:rPr>
                <w:rFonts w:ascii="Verdana" w:eastAsia="Verdana" w:hAnsi="Verdana" w:cs="Verdana"/>
                <w:b/>
                <w:noProof/>
                <w:color w:val="000000"/>
                <w:sz w:val="18"/>
              </w:rPr>
            </w:pPr>
            <w:r>
              <w:rPr>
                <w:rFonts w:ascii="Verdana" w:hAnsi="Verdana"/>
                <w:b/>
                <w:noProof/>
                <w:color w:val="000000"/>
                <w:sz w:val="18"/>
              </w:rPr>
              <w:t xml:space="preserve"> 73</w:t>
            </w:r>
          </w:p>
        </w:tc>
      </w:tr>
    </w:tbl>
    <w:p w:rsidR="0043277E" w:rsidRDefault="000F2348">
      <w:pPr>
        <w:pStyle w:val="Textstand-alone"/>
        <w:spacing w:before="0" w:after="0"/>
        <w:sectPr w:rsidR="0043277E">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r>
        <w:t xml:space="preserve"> </w:t>
      </w:r>
      <w:bookmarkEnd w:id="73"/>
    </w:p>
    <w:p w:rsidR="0043277E" w:rsidRDefault="000F2348">
      <w:pPr>
        <w:rPr>
          <w:rFonts w:ascii="Verdana" w:hAnsi="Verdana"/>
          <w:b/>
          <w:noProof/>
          <w:color w:val="016794"/>
          <w:sz w:val="28"/>
          <w:szCs w:val="28"/>
        </w:rPr>
      </w:pPr>
      <w:bookmarkStart w:id="75" w:name="_DMBM_17146"/>
      <w:r>
        <w:rPr>
          <w:noProof/>
        </w:rPr>
        <w:br w:type="page"/>
      </w:r>
    </w:p>
    <w:p w:rsidR="0043277E" w:rsidRDefault="000F2348">
      <w:pPr>
        <w:pStyle w:val="HEADER2NOTES"/>
        <w:rPr>
          <w:noProof/>
        </w:rPr>
      </w:pPr>
      <w:r>
        <w:rPr>
          <w:noProof/>
        </w:rPr>
        <w:lastRenderedPageBreak/>
        <w:t>ŚRODKI PIENIĘŻNE I ICH EKWIWALENTY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6"/>
        <w:gridCol w:w="1226"/>
        <w:gridCol w:w="1288"/>
        <w:gridCol w:w="1288"/>
      </w:tblGrid>
      <w:tr w:rsidR="0043277E">
        <w:trPr>
          <w:trHeight w:val="255"/>
        </w:trPr>
        <w:tc>
          <w:tcPr>
            <w:tcW w:w="595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3BIPCCE"/>
              <w:rPr>
                <w:rFonts w:ascii="Arial" w:eastAsia="Arial" w:hAnsi="Arial" w:cs="Arial"/>
                <w:noProof/>
                <w:color w:val="000000"/>
              </w:rPr>
            </w:pPr>
            <w:bookmarkStart w:id="76" w:name="DOC_TBL00033_1_1"/>
            <w:bookmarkEnd w:id="76"/>
          </w:p>
        </w:tc>
        <w:tc>
          <w:tcPr>
            <w:tcW w:w="122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3BIPCC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95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3BIPCCE"/>
              <w:jc w:val="right"/>
              <w:rPr>
                <w:rFonts w:ascii="Verdana" w:eastAsia="Verdana" w:hAnsi="Verdana" w:cs="Verdana"/>
                <w:noProof/>
                <w:color w:val="FFFFFF"/>
              </w:rPr>
            </w:pPr>
          </w:p>
        </w:tc>
        <w:tc>
          <w:tcPr>
            <w:tcW w:w="122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3BIPCCE"/>
              <w:jc w:val="center"/>
              <w:rPr>
                <w:rFonts w:ascii="Verdana" w:eastAsia="Verdana" w:hAnsi="Verdana" w:cs="Verdana"/>
                <w:noProof/>
                <w:color w:val="FFFFFF"/>
              </w:rPr>
            </w:pPr>
            <w:r>
              <w:rPr>
                <w:rFonts w:ascii="Verdana" w:hAnsi="Verdana"/>
                <w:noProof/>
                <w:color w:val="FFFFFF"/>
              </w:rPr>
              <w:t>Informacja dodatkowa</w:t>
            </w:r>
          </w:p>
        </w:tc>
        <w:tc>
          <w:tcPr>
            <w:tcW w:w="128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3BIPCCE"/>
              <w:jc w:val="right"/>
              <w:rPr>
                <w:rFonts w:ascii="Verdana" w:eastAsia="Verdana" w:hAnsi="Verdana" w:cs="Verdana"/>
                <w:noProof/>
                <w:color w:val="FFFFFF"/>
              </w:rPr>
            </w:pPr>
            <w:r>
              <w:rPr>
                <w:rFonts w:ascii="Verdana" w:hAnsi="Verdana"/>
                <w:noProof/>
                <w:color w:val="FFFFFF"/>
              </w:rPr>
              <w:t>31.12.2019</w:t>
            </w:r>
          </w:p>
        </w:tc>
        <w:tc>
          <w:tcPr>
            <w:tcW w:w="128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3BIPCCE"/>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Rachunki – administracje finansowe i banki centralne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15 519</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12 932</w:t>
            </w:r>
          </w:p>
        </w:tc>
      </w:tr>
      <w:tr w:rsidR="0043277E">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Rachunki bieżące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 xml:space="preserve"> 91</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 xml:space="preserve"> 79</w:t>
            </w:r>
          </w:p>
        </w:tc>
      </w:tr>
      <w:tr w:rsidR="0043277E">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Rachunki zaliczkowe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 xml:space="preserve"> 7</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 xml:space="preserve"> 5</w:t>
            </w:r>
          </w:p>
        </w:tc>
      </w:tr>
      <w:tr w:rsidR="0043277E">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Przekazanie (środki pieniężne w drodze)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 xml:space="preserve"> 0</w:t>
            </w:r>
          </w:p>
        </w:tc>
        <w:tc>
          <w:tcPr>
            <w:tcW w:w="12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i/>
                <w:noProof/>
                <w:color w:val="000000"/>
                <w:sz w:val="18"/>
              </w:rPr>
            </w:pPr>
            <w:r>
              <w:rPr>
                <w:rFonts w:ascii="Verdana" w:hAnsi="Verdana"/>
                <w:i/>
                <w:noProof/>
                <w:color w:val="000000"/>
                <w:sz w:val="18"/>
              </w:rPr>
              <w:t xml:space="preserve"> 0</w:t>
            </w:r>
          </w:p>
        </w:tc>
      </w:tr>
      <w:tr w:rsidR="0043277E">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 xml:space="preserve">Rachunki bankowe na potrzeby wykonania </w:t>
            </w:r>
            <w:r>
              <w:rPr>
                <w:rFonts w:ascii="Verdana" w:hAnsi="Verdana"/>
                <w:i/>
                <w:noProof/>
                <w:color w:val="000000"/>
                <w:sz w:val="18"/>
              </w:rPr>
              <w:t>budżetu</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center"/>
              <w:rPr>
                <w:rFonts w:ascii="Verdana" w:eastAsia="Verdana" w:hAnsi="Verdana" w:cs="Verdana"/>
                <w:i/>
                <w:noProof/>
                <w:color w:val="000000"/>
                <w:sz w:val="18"/>
              </w:rPr>
            </w:pPr>
            <w:r>
              <w:rPr>
                <w:rFonts w:ascii="Verdana" w:hAnsi="Verdana"/>
                <w:i/>
                <w:noProof/>
                <w:color w:val="000000"/>
                <w:sz w:val="18"/>
              </w:rPr>
              <w:t>2.8.1</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15 617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13 017</w:t>
            </w:r>
          </w:p>
        </w:tc>
      </w:tr>
      <w:tr w:rsidR="0043277E">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Środki pieniężne związane z instrumentami finansowymi</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center"/>
              <w:rPr>
                <w:rFonts w:ascii="Verdana" w:eastAsia="Verdana" w:hAnsi="Verdana" w:cs="Verdana"/>
                <w:i/>
                <w:noProof/>
                <w:color w:val="000000"/>
                <w:sz w:val="18"/>
              </w:rPr>
            </w:pPr>
            <w:r>
              <w:rPr>
                <w:rFonts w:ascii="Verdana" w:hAnsi="Verdana"/>
                <w:i/>
                <w:noProof/>
                <w:color w:val="000000"/>
                <w:sz w:val="18"/>
              </w:rPr>
              <w:t>2.8.2</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1 567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2 377</w:t>
            </w:r>
          </w:p>
        </w:tc>
      </w:tr>
      <w:tr w:rsidR="0043277E">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Środki pieniężne związane z grzywnami</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center"/>
              <w:rPr>
                <w:rFonts w:ascii="Verdana" w:eastAsia="Verdana" w:hAnsi="Verdana" w:cs="Verdana"/>
                <w:i/>
                <w:noProof/>
                <w:color w:val="000000"/>
                <w:sz w:val="18"/>
              </w:rPr>
            </w:pPr>
            <w:r>
              <w:rPr>
                <w:rFonts w:ascii="Verdana" w:hAnsi="Verdana"/>
                <w:i/>
                <w:noProof/>
                <w:color w:val="000000"/>
                <w:sz w:val="18"/>
              </w:rPr>
              <w:t>2.8.3</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1 258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1 438</w:t>
            </w:r>
          </w:p>
        </w:tc>
      </w:tr>
      <w:tr w:rsidR="0043277E">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Środki pieniężne związane z innymi instytucjami, agencjami i organami</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1 208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1 167</w:t>
            </w:r>
          </w:p>
        </w:tc>
      </w:tr>
      <w:tr w:rsidR="0043277E">
        <w:trPr>
          <w:trHeight w:val="255"/>
        </w:trPr>
        <w:tc>
          <w:tcPr>
            <w:tcW w:w="5956"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3BIPCCE"/>
              <w:rPr>
                <w:rFonts w:ascii="Verdana" w:eastAsia="Verdana" w:hAnsi="Verdana" w:cs="Verdana"/>
                <w:i/>
                <w:noProof/>
                <w:color w:val="000000"/>
                <w:sz w:val="18"/>
              </w:rPr>
            </w:pPr>
            <w:r>
              <w:rPr>
                <w:rFonts w:ascii="Verdana" w:hAnsi="Verdana"/>
                <w:i/>
                <w:noProof/>
                <w:color w:val="000000"/>
                <w:sz w:val="18"/>
              </w:rPr>
              <w:t xml:space="preserve">Środki </w:t>
            </w:r>
            <w:r>
              <w:rPr>
                <w:rFonts w:ascii="Verdana" w:hAnsi="Verdana"/>
                <w:i/>
                <w:noProof/>
                <w:color w:val="000000"/>
                <w:sz w:val="18"/>
              </w:rPr>
              <w:t>pieniężne związane z funduszami powierniczymi</w:t>
            </w:r>
          </w:p>
        </w:tc>
        <w:tc>
          <w:tcPr>
            <w:tcW w:w="1226"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43277E">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 xml:space="preserve"> 97</w:t>
            </w: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 xml:space="preserve"> 114</w:t>
            </w:r>
          </w:p>
        </w:tc>
      </w:tr>
      <w:tr w:rsidR="0043277E">
        <w:trPr>
          <w:trHeight w:val="255"/>
        </w:trPr>
        <w:tc>
          <w:tcPr>
            <w:tcW w:w="5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3BIPCCE"/>
              <w:rPr>
                <w:rFonts w:ascii="Verdana" w:eastAsia="Verdana" w:hAnsi="Verdana" w:cs="Verdana"/>
                <w:b/>
                <w:noProof/>
                <w:color w:val="000000"/>
                <w:sz w:val="18"/>
              </w:rPr>
            </w:pPr>
            <w:r>
              <w:rPr>
                <w:rFonts w:ascii="Verdana" w:hAnsi="Verdana"/>
                <w:b/>
                <w:noProof/>
                <w:color w:val="000000"/>
                <w:sz w:val="18"/>
              </w:rPr>
              <w:t>Ogółem</w:t>
            </w:r>
          </w:p>
        </w:tc>
        <w:tc>
          <w:tcPr>
            <w:tcW w:w="122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3BIPCCE"/>
              <w:rPr>
                <w:rFonts w:ascii="Verdana" w:eastAsia="Verdana" w:hAnsi="Verdana" w:cs="Verdana"/>
                <w:b/>
                <w:noProof/>
                <w:color w:val="000000"/>
                <w:sz w:val="18"/>
              </w:rPr>
            </w:pPr>
          </w:p>
        </w:tc>
        <w:tc>
          <w:tcPr>
            <w:tcW w:w="12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19 745</w:t>
            </w:r>
          </w:p>
        </w:tc>
        <w:tc>
          <w:tcPr>
            <w:tcW w:w="12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3BIPCCE"/>
              <w:jc w:val="right"/>
              <w:rPr>
                <w:rFonts w:ascii="Verdana" w:eastAsia="Verdana" w:hAnsi="Verdana" w:cs="Verdana"/>
                <w:b/>
                <w:noProof/>
                <w:color w:val="000000"/>
                <w:sz w:val="18"/>
              </w:rPr>
            </w:pPr>
            <w:r>
              <w:rPr>
                <w:rFonts w:ascii="Verdana" w:hAnsi="Verdana"/>
                <w:b/>
                <w:noProof/>
                <w:color w:val="000000"/>
                <w:sz w:val="18"/>
              </w:rPr>
              <w:t>18 113</w:t>
            </w:r>
          </w:p>
        </w:tc>
      </w:tr>
    </w:tbl>
    <w:p w:rsidR="0043277E" w:rsidRDefault="0043277E">
      <w:pPr>
        <w:rPr>
          <w:rFonts w:ascii="Verdana" w:hAnsi="Verdana"/>
          <w:noProof/>
          <w:color w:val="016794"/>
          <w:sz w:val="20"/>
          <w:szCs w:val="20"/>
        </w:rPr>
      </w:pPr>
    </w:p>
    <w:p w:rsidR="0043277E" w:rsidRDefault="000F2348">
      <w:pPr>
        <w:pStyle w:val="HEADER3NOTES"/>
        <w:rPr>
          <w:noProof/>
        </w:rPr>
      </w:pPr>
      <w:r>
        <w:rPr>
          <w:noProof/>
        </w:rPr>
        <w:t>Rachunki bankowe na potrzeby wykonania budżetu</w:t>
      </w:r>
    </w:p>
    <w:p w:rsidR="0043277E" w:rsidRDefault="000F2348">
      <w:pPr>
        <w:pStyle w:val="DGTextstand-alone"/>
      </w:pPr>
      <w:r>
        <w:t xml:space="preserve">W tej pozycji ujęto wszelkie środki pieniężne, które Komisja przechowuje na rachunkach bankowych w poszczególnych państwach </w:t>
      </w:r>
      <w:r>
        <w:t>członkowskich i państwach EFTA (administracja finansowa lub bank centralny), jak również na rachunkach bieżących w bankach komercyjnych, na rachunkach zaliczkowych, a także na rachunkach środków podręcznych (petty cash). Saldo środków pieniężnych na koniec</w:t>
      </w:r>
      <w:r>
        <w:t xml:space="preserve"> 2019 r. wynika z następujących głównych elementów:</w:t>
      </w:r>
    </w:p>
    <w:p w:rsidR="0043277E" w:rsidRDefault="000F2348">
      <w:pPr>
        <w:pStyle w:val="DGTextstand-alone"/>
        <w:numPr>
          <w:ilvl w:val="0"/>
          <w:numId w:val="28"/>
        </w:numPr>
        <w:rPr>
          <w:sz w:val="16"/>
        </w:rPr>
      </w:pPr>
      <w:r>
        <w:t xml:space="preserve">Kwota grzywien nałożonych przez Komisję w związku z naruszeniami reguł konkurencji, tj. 2,6 mld EUR, ostatecznie zainkasowana w 2019 r., ale jeszcze nieuwzględniona w żadnym budżecie korygującym, została </w:t>
      </w:r>
      <w:r>
        <w:t>również ujęta w saldzie środków pieniężnych na koniec roku.</w:t>
      </w:r>
    </w:p>
    <w:p w:rsidR="0043277E" w:rsidRDefault="000F2348">
      <w:pPr>
        <w:pStyle w:val="DGTextstand-alone"/>
        <w:numPr>
          <w:ilvl w:val="0"/>
          <w:numId w:val="28"/>
        </w:numPr>
        <w:rPr>
          <w:sz w:val="16"/>
        </w:rPr>
      </w:pPr>
      <w:r>
        <w:t>Saldo środków obejmuje również niewykorzystane jeszcze środki na płatności z tytułu dochodów przeznaczonych na określony cel i inne środki na płatności w wysokości 9,7 mld EUR z budżetu na 2019 r.</w:t>
      </w:r>
    </w:p>
    <w:p w:rsidR="0043277E" w:rsidRDefault="000F2348">
      <w:pPr>
        <w:pStyle w:val="HEADER3NOTES"/>
        <w:rPr>
          <w:noProof/>
        </w:rPr>
      </w:pPr>
      <w:r>
        <w:rPr>
          <w:noProof/>
        </w:rPr>
        <w:t>Środki pieniężne związane z instrumentami finansowymi</w:t>
      </w:r>
    </w:p>
    <w:p w:rsidR="0043277E" w:rsidRDefault="000F2348">
      <w:pPr>
        <w:pStyle w:val="Textstand-alone"/>
      </w:pPr>
      <w:r>
        <w:t>Kwoty wykazane w tej pozycji obejmują przede wszystkim ekwiwalenty środków pieniężnych, którymi w imieniu Komisji zarządzają powiernicy w celu wdrażania określonych programów za pomocą instrumentów fin</w:t>
      </w:r>
      <w:r>
        <w:t xml:space="preserve">ansowych finansowanych z budżetu UE oraz środki pieniężne i ich ekwiwalenty utrzymywane w funduszach gwarancyjnych związanych z gwarancjami budżetowymi (zob. informacja dodatkowa </w:t>
      </w:r>
      <w:r>
        <w:rPr>
          <w:b/>
        </w:rPr>
        <w:t>2.4.1</w:t>
      </w:r>
      <w:r>
        <w:t>). Środki pieniężne należące do instrumentów finansowych i funduszy gwar</w:t>
      </w:r>
      <w:r>
        <w:t>ancyjnych mogą zostać wykorzystane jedynie na dane programy.</w:t>
      </w:r>
    </w:p>
    <w:p w:rsidR="0043277E" w:rsidRDefault="000F2348">
      <w:pPr>
        <w:pStyle w:val="HEADER3NOTES"/>
        <w:rPr>
          <w:noProof/>
        </w:rPr>
      </w:pPr>
      <w:r>
        <w:rPr>
          <w:noProof/>
        </w:rPr>
        <w:t>Środki pieniężne związane z grzywnami</w:t>
      </w:r>
    </w:p>
    <w:p w:rsidR="0043277E" w:rsidRDefault="000F2348">
      <w:pPr>
        <w:pStyle w:val="Textstand-alone"/>
      </w:pPr>
      <w:r>
        <w:t xml:space="preserve">Środki te obejmują kwoty otrzymane w związku z grzywnami nałożonymi przez Komisję, w przypadku których postępowanie jest nadal w toku. Kwoty te znajdują się </w:t>
      </w:r>
      <w:r>
        <w:t>na specjalnych rachunkach depozytowych, które wykorzystywane są wyłącznie do tego celu. W przypadkach, gdy została złożona skarga lub kiedy nie wiadomo, czy druga strona złoży skargę, odnośną kwotę wykazuje się jako zobowiązanie warunkowe w informacji doda</w:t>
      </w:r>
      <w:r>
        <w:t xml:space="preserve">tkowej </w:t>
      </w:r>
      <w:r>
        <w:rPr>
          <w:b/>
        </w:rPr>
        <w:t>4.1.4</w:t>
      </w:r>
      <w:r>
        <w:t>.</w:t>
      </w:r>
    </w:p>
    <w:p w:rsidR="0043277E" w:rsidRDefault="000F2348">
      <w:pPr>
        <w:pStyle w:val="Textstand-alone"/>
        <w:spacing w:after="0"/>
      </w:pPr>
      <w:r>
        <w:t>Od 2010 r. Komisja zarządza wszelkimi kolejnymi tymczasowo zainkasowanymi grzywnami, korzystając z funduszu BUFI i inwestując dostępne środki w instrumenty finansowe zaklasyfikowane jako aktywa finansowe dostępne do sprzedaży (zob. informacja</w:t>
      </w:r>
      <w:r>
        <w:t xml:space="preserve"> dodatkowa </w:t>
      </w:r>
      <w:r>
        <w:rPr>
          <w:b/>
        </w:rPr>
        <w:t>2.4.1</w:t>
      </w:r>
      <w:r>
        <w:t>).</w:t>
      </w:r>
      <w:bookmarkEnd w:id="75"/>
    </w:p>
    <w:p w:rsidR="0043277E" w:rsidRDefault="0043277E">
      <w:pPr>
        <w:pStyle w:val="Textstand-alone"/>
        <w:spacing w:after="0"/>
      </w:pPr>
    </w:p>
    <w:p w:rsidR="0043277E" w:rsidRDefault="0043277E">
      <w:pPr>
        <w:pStyle w:val="Textstand-alone"/>
        <w:spacing w:after="0"/>
        <w:sectPr w:rsidR="0043277E">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rsidR="0043277E" w:rsidRDefault="000F2348">
      <w:pPr>
        <w:pStyle w:val="HEADERTABLE"/>
        <w:spacing w:after="0"/>
        <w:rPr>
          <w:noProof/>
        </w:rPr>
      </w:pPr>
      <w:bookmarkStart w:id="77" w:name="_DMBM_17102"/>
      <w:r>
        <w:rPr>
          <w:noProof/>
        </w:rPr>
        <w:lastRenderedPageBreak/>
        <w:t>ZOBOWIĄZANIA</w:t>
      </w:r>
    </w:p>
    <w:p w:rsidR="0043277E" w:rsidRDefault="000F2348">
      <w:pPr>
        <w:pStyle w:val="Textstand-alone"/>
        <w:spacing w:before="0" w:after="0"/>
        <w:sectPr w:rsidR="0043277E">
          <w:headerReference w:type="even" r:id="rId179"/>
          <w:headerReference w:type="default" r:id="rId180"/>
          <w:footerReference w:type="even" r:id="rId181"/>
          <w:footerReference w:type="default" r:id="rId182"/>
          <w:headerReference w:type="first" r:id="rId183"/>
          <w:footerReference w:type="first" r:id="rId184"/>
          <w:pgSz w:w="11906" w:h="16838"/>
          <w:pgMar w:top="1134" w:right="1134" w:bottom="1134" w:left="1134" w:header="709" w:footer="709" w:gutter="0"/>
          <w:cols w:space="708"/>
          <w:docGrid w:linePitch="360"/>
        </w:sectPr>
      </w:pPr>
      <w:r>
        <w:t xml:space="preserve"> </w:t>
      </w:r>
      <w:bookmarkEnd w:id="77"/>
    </w:p>
    <w:p w:rsidR="0043277E" w:rsidRDefault="000F2348">
      <w:pPr>
        <w:pStyle w:val="HEADER2NOTES"/>
        <w:rPr>
          <w:noProof/>
        </w:rPr>
      </w:pPr>
      <w:bookmarkStart w:id="78" w:name="_DMBM_17190"/>
      <w:r>
        <w:rPr>
          <w:noProof/>
        </w:rPr>
        <w:t>ŚWIADCZENIA EMERYTALNO-RENTOWE ORAZ INNE ŚWIADCZENIA PRACOWNICZE</w:t>
      </w:r>
    </w:p>
    <w:p w:rsidR="0043277E" w:rsidRDefault="000F2348">
      <w:pPr>
        <w:pStyle w:val="HEADER5"/>
        <w:rPr>
          <w:noProof/>
        </w:rPr>
      </w:pPr>
      <w:r>
        <w:rPr>
          <w:noProof/>
        </w:rPr>
        <w:t>Zobowiązania z tytułu systemu świadczeń pracowniczych netto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1401"/>
        <w:gridCol w:w="1402"/>
        <w:gridCol w:w="1348"/>
        <w:gridCol w:w="1440"/>
        <w:gridCol w:w="1418"/>
      </w:tblGrid>
      <w:tr w:rsidR="0043277E">
        <w:trPr>
          <w:trHeight w:val="255"/>
        </w:trPr>
        <w:tc>
          <w:tcPr>
            <w:tcW w:w="274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
              <w:rPr>
                <w:rFonts w:ascii="Arial" w:eastAsia="Arial" w:hAnsi="Arial" w:cs="Arial"/>
                <w:noProof/>
                <w:color w:val="000000"/>
              </w:rPr>
            </w:pPr>
            <w:bookmarkStart w:id="79" w:name="DOC_TBL00034_1_1"/>
            <w:bookmarkEnd w:id="79"/>
          </w:p>
        </w:tc>
        <w:tc>
          <w:tcPr>
            <w:tcW w:w="140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
              <w:rPr>
                <w:rFonts w:ascii="Arial" w:eastAsia="Arial" w:hAnsi="Arial" w:cs="Arial"/>
                <w:noProof/>
                <w:color w:val="000000"/>
              </w:rPr>
            </w:pPr>
          </w:p>
        </w:tc>
        <w:tc>
          <w:tcPr>
            <w:tcW w:w="140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
              <w:rPr>
                <w:rFonts w:ascii="Arial" w:eastAsia="Arial" w:hAnsi="Arial" w:cs="Arial"/>
                <w:noProof/>
                <w:color w:val="000000"/>
              </w:rPr>
            </w:pPr>
          </w:p>
        </w:tc>
        <w:tc>
          <w:tcPr>
            <w:tcW w:w="134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
              <w:rPr>
                <w:rFonts w:ascii="Arial" w:eastAsia="Arial" w:hAnsi="Arial" w:cs="Arial"/>
                <w:noProof/>
                <w:color w:val="000000"/>
              </w:rPr>
            </w:pPr>
          </w:p>
        </w:tc>
        <w:tc>
          <w:tcPr>
            <w:tcW w:w="141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74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1"/>
              <w:jc w:val="right"/>
              <w:rPr>
                <w:rFonts w:ascii="Verdana" w:eastAsia="Verdana" w:hAnsi="Verdana" w:cs="Verdana"/>
                <w:noProof/>
                <w:color w:val="FFFFFF"/>
                <w:sz w:val="18"/>
              </w:rPr>
            </w:pPr>
          </w:p>
        </w:tc>
        <w:tc>
          <w:tcPr>
            <w:tcW w:w="1401"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1"/>
              <w:jc w:val="right"/>
              <w:rPr>
                <w:rFonts w:ascii="Verdana" w:eastAsia="Verdana" w:hAnsi="Verdana" w:cs="Verdana"/>
                <w:noProof/>
                <w:color w:val="FFFFFF"/>
                <w:sz w:val="17"/>
                <w:szCs w:val="17"/>
              </w:rPr>
            </w:pPr>
            <w:r>
              <w:rPr>
                <w:rFonts w:ascii="Verdana" w:hAnsi="Verdana"/>
                <w:noProof/>
                <w:color w:val="FFFFFF"/>
                <w:sz w:val="17"/>
                <w:szCs w:val="17"/>
              </w:rPr>
              <w:t>System emerytalno-rentowy urzędników europejskich</w:t>
            </w:r>
          </w:p>
        </w:tc>
        <w:tc>
          <w:tcPr>
            <w:tcW w:w="1402"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1"/>
              <w:jc w:val="right"/>
              <w:rPr>
                <w:rFonts w:ascii="Verdana" w:eastAsia="Verdana" w:hAnsi="Verdana" w:cs="Verdana"/>
                <w:noProof/>
                <w:color w:val="FFFFFF"/>
                <w:sz w:val="17"/>
                <w:szCs w:val="17"/>
              </w:rPr>
            </w:pPr>
            <w:r>
              <w:rPr>
                <w:rFonts w:ascii="Verdana" w:hAnsi="Verdana"/>
                <w:noProof/>
                <w:color w:val="FFFFFF"/>
                <w:sz w:val="17"/>
                <w:szCs w:val="17"/>
              </w:rPr>
              <w:t>Inne systemy świadczeń emerytalnych</w:t>
            </w:r>
          </w:p>
        </w:tc>
        <w:tc>
          <w:tcPr>
            <w:tcW w:w="1348"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1"/>
              <w:jc w:val="right"/>
              <w:rPr>
                <w:rFonts w:ascii="Verdana" w:eastAsia="Verdana" w:hAnsi="Verdana" w:cs="Verdana"/>
                <w:noProof/>
                <w:color w:val="FFFFFF"/>
                <w:sz w:val="17"/>
                <w:szCs w:val="17"/>
              </w:rPr>
            </w:pPr>
            <w:r>
              <w:rPr>
                <w:rFonts w:ascii="Verdana" w:hAnsi="Verdana"/>
                <w:noProof/>
                <w:color w:val="FFFFFF"/>
                <w:sz w:val="17"/>
                <w:szCs w:val="17"/>
              </w:rPr>
              <w:t>Wspólny system ubezpieczenia chorobowego</w:t>
            </w:r>
          </w:p>
        </w:tc>
        <w:tc>
          <w:tcPr>
            <w:tcW w:w="144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1"/>
              <w:jc w:val="right"/>
              <w:rPr>
                <w:rFonts w:ascii="Verdana" w:eastAsia="Verdana" w:hAnsi="Verdana" w:cs="Verdana"/>
                <w:noProof/>
                <w:color w:val="FFFFFF"/>
                <w:sz w:val="17"/>
                <w:szCs w:val="17"/>
              </w:rPr>
            </w:pPr>
            <w:r>
              <w:rPr>
                <w:rFonts w:ascii="Verdana" w:hAnsi="Verdana"/>
                <w:noProof/>
                <w:color w:val="FFFFFF"/>
                <w:sz w:val="17"/>
                <w:szCs w:val="17"/>
              </w:rPr>
              <w:t>Ogółem na 31.12.2019</w:t>
            </w:r>
          </w:p>
        </w:tc>
        <w:tc>
          <w:tcPr>
            <w:tcW w:w="1418"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1"/>
              <w:jc w:val="right"/>
              <w:rPr>
                <w:rFonts w:ascii="Verdana" w:eastAsia="Verdana" w:hAnsi="Verdana" w:cs="Verdana"/>
                <w:noProof/>
                <w:color w:val="FFFFFF"/>
                <w:sz w:val="17"/>
                <w:szCs w:val="17"/>
              </w:rPr>
            </w:pPr>
            <w:r>
              <w:rPr>
                <w:rFonts w:ascii="Verdana" w:hAnsi="Verdana"/>
                <w:noProof/>
                <w:color w:val="FFFFFF"/>
                <w:sz w:val="17"/>
                <w:szCs w:val="17"/>
              </w:rPr>
              <w:t>Ogółem na 31.12.2018</w:t>
            </w:r>
          </w:p>
        </w:tc>
      </w:tr>
      <w:tr w:rsidR="0043277E">
        <w:trPr>
          <w:trHeight w:val="255"/>
        </w:trPr>
        <w:tc>
          <w:tcPr>
            <w:tcW w:w="27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1"/>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40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83 842</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2 149</w:t>
            </w:r>
          </w:p>
        </w:tc>
        <w:tc>
          <w:tcPr>
            <w:tcW w:w="134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12 071</w:t>
            </w:r>
          </w:p>
        </w:tc>
        <w:tc>
          <w:tcPr>
            <w:tcW w:w="144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98 062</w:t>
            </w:r>
          </w:p>
        </w:tc>
        <w:tc>
          <w:tcPr>
            <w:tcW w:w="141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80 871</w:t>
            </w:r>
          </w:p>
        </w:tc>
      </w:tr>
      <w:tr w:rsidR="0043277E">
        <w:trPr>
          <w:trHeight w:val="255"/>
        </w:trPr>
        <w:tc>
          <w:tcPr>
            <w:tcW w:w="27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1"/>
              <w:rPr>
                <w:rFonts w:ascii="Verdana" w:eastAsia="Verdana" w:hAnsi="Verdana" w:cs="Verdana"/>
                <w:i/>
                <w:noProof/>
                <w:color w:val="000000"/>
                <w:sz w:val="18"/>
              </w:rPr>
            </w:pPr>
            <w:r>
              <w:rPr>
                <w:rFonts w:ascii="Verdana" w:hAnsi="Verdana"/>
                <w:i/>
                <w:noProof/>
                <w:color w:val="000000"/>
                <w:sz w:val="18"/>
              </w:rPr>
              <w:t>Aktywa programu</w:t>
            </w:r>
          </w:p>
        </w:tc>
        <w:tc>
          <w:tcPr>
            <w:tcW w:w="140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nie dotyczy</w:t>
            </w:r>
          </w:p>
        </w:tc>
        <w:tc>
          <w:tcPr>
            <w:tcW w:w="140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(94)</w:t>
            </w:r>
          </w:p>
        </w:tc>
        <w:tc>
          <w:tcPr>
            <w:tcW w:w="134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(309)</w:t>
            </w:r>
          </w:p>
        </w:tc>
        <w:tc>
          <w:tcPr>
            <w:tcW w:w="144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(403)</w:t>
            </w:r>
          </w:p>
        </w:tc>
        <w:tc>
          <w:tcPr>
            <w:tcW w:w="141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(415)</w:t>
            </w:r>
          </w:p>
        </w:tc>
      </w:tr>
      <w:tr w:rsidR="0043277E">
        <w:trPr>
          <w:trHeight w:val="255"/>
        </w:trPr>
        <w:tc>
          <w:tcPr>
            <w:tcW w:w="27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4BIPPENS1"/>
              <w:rPr>
                <w:rFonts w:ascii="Verdana" w:eastAsia="Verdana" w:hAnsi="Verdana" w:cs="Verdana"/>
                <w:b/>
                <w:noProof/>
                <w:color w:val="000000"/>
                <w:sz w:val="18"/>
              </w:rPr>
            </w:pPr>
            <w:r>
              <w:rPr>
                <w:rFonts w:ascii="Verdana" w:hAnsi="Verdana"/>
                <w:b/>
                <w:noProof/>
                <w:color w:val="000000"/>
                <w:sz w:val="18"/>
              </w:rPr>
              <w:t>Zobowiązania netto</w:t>
            </w:r>
          </w:p>
        </w:tc>
        <w:tc>
          <w:tcPr>
            <w:tcW w:w="1401"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4BIPPENS1"/>
              <w:jc w:val="right"/>
              <w:rPr>
                <w:rFonts w:ascii="Verdana" w:eastAsia="Verdana" w:hAnsi="Verdana" w:cs="Verdana"/>
                <w:b/>
                <w:noProof/>
                <w:color w:val="000000"/>
                <w:sz w:val="18"/>
              </w:rPr>
            </w:pPr>
            <w:r>
              <w:rPr>
                <w:rFonts w:ascii="Verdana" w:hAnsi="Verdana"/>
                <w:b/>
                <w:noProof/>
                <w:color w:val="000000"/>
                <w:sz w:val="18"/>
              </w:rPr>
              <w:t>83 842</w:t>
            </w:r>
          </w:p>
        </w:tc>
        <w:tc>
          <w:tcPr>
            <w:tcW w:w="1402"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4BIPPENS1"/>
              <w:jc w:val="right"/>
              <w:rPr>
                <w:rFonts w:ascii="Verdana" w:eastAsia="Verdana" w:hAnsi="Verdana" w:cs="Verdana"/>
                <w:b/>
                <w:noProof/>
                <w:color w:val="000000"/>
                <w:sz w:val="18"/>
              </w:rPr>
            </w:pPr>
            <w:r>
              <w:rPr>
                <w:rFonts w:ascii="Verdana" w:hAnsi="Verdana"/>
                <w:b/>
                <w:noProof/>
                <w:color w:val="000000"/>
                <w:sz w:val="18"/>
              </w:rPr>
              <w:t>2 055</w:t>
            </w:r>
          </w:p>
        </w:tc>
        <w:tc>
          <w:tcPr>
            <w:tcW w:w="1348"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4BIPPENS1"/>
              <w:jc w:val="right"/>
              <w:rPr>
                <w:rFonts w:ascii="Verdana" w:eastAsia="Verdana" w:hAnsi="Verdana" w:cs="Verdana"/>
                <w:b/>
                <w:noProof/>
                <w:color w:val="000000"/>
                <w:sz w:val="18"/>
              </w:rPr>
            </w:pPr>
            <w:r>
              <w:rPr>
                <w:rFonts w:ascii="Verdana" w:hAnsi="Verdana"/>
                <w:b/>
                <w:noProof/>
                <w:color w:val="000000"/>
                <w:sz w:val="18"/>
              </w:rPr>
              <w:t xml:space="preserve">11 </w:t>
            </w:r>
            <w:r>
              <w:rPr>
                <w:rFonts w:ascii="Verdana" w:hAnsi="Verdana"/>
                <w:b/>
                <w:noProof/>
                <w:color w:val="000000"/>
                <w:sz w:val="18"/>
              </w:rPr>
              <w:t>762</w:t>
            </w:r>
          </w:p>
        </w:tc>
        <w:tc>
          <w:tcPr>
            <w:tcW w:w="1440"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4BIPPENS1"/>
              <w:jc w:val="right"/>
              <w:rPr>
                <w:rFonts w:ascii="Verdana" w:eastAsia="Verdana" w:hAnsi="Verdana" w:cs="Verdana"/>
                <w:b/>
                <w:noProof/>
                <w:color w:val="000000"/>
                <w:sz w:val="18"/>
              </w:rPr>
            </w:pPr>
            <w:r>
              <w:rPr>
                <w:rFonts w:ascii="Verdana" w:hAnsi="Verdana"/>
                <w:b/>
                <w:noProof/>
                <w:color w:val="000000"/>
                <w:sz w:val="18"/>
              </w:rPr>
              <w:t>97 659</w:t>
            </w:r>
          </w:p>
        </w:tc>
        <w:tc>
          <w:tcPr>
            <w:tcW w:w="1418"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4BIPPENS1"/>
              <w:jc w:val="right"/>
              <w:rPr>
                <w:rFonts w:ascii="Verdana" w:eastAsia="Verdana" w:hAnsi="Verdana" w:cs="Verdana"/>
                <w:b/>
                <w:noProof/>
                <w:color w:val="000000"/>
                <w:sz w:val="18"/>
              </w:rPr>
            </w:pPr>
            <w:r>
              <w:rPr>
                <w:rFonts w:ascii="Verdana" w:hAnsi="Verdana"/>
                <w:b/>
                <w:noProof/>
                <w:color w:val="000000"/>
                <w:sz w:val="18"/>
              </w:rPr>
              <w:t>80 456</w:t>
            </w:r>
          </w:p>
        </w:tc>
      </w:tr>
    </w:tbl>
    <w:p w:rsidR="0043277E" w:rsidRDefault="0043277E">
      <w:pPr>
        <w:pStyle w:val="HEADER5"/>
        <w:rPr>
          <w:noProof/>
        </w:rPr>
      </w:pPr>
    </w:p>
    <w:p w:rsidR="0043277E" w:rsidRDefault="000F2348">
      <w:pPr>
        <w:pStyle w:val="DGTextstand-alone"/>
      </w:pPr>
      <w:r>
        <w:t>Wzrost łącznych zobowiązań z tytułu świadczeń pracowniczych wynika głównie ze wzrostu zobowiązań netto systemu emerytalno-rentowego urzędników europejskich, będącego największym istniejącym systemem. Do wzrostu wspomnianych zobowiązań z</w:t>
      </w:r>
      <w:r>
        <w:t>wiązanych z systemem emerytalno-rentowym urzędników europejskich doszło głównie z uwagi na straty aktuarialne spowodowane zmianami w założeniach finansowych wprowadzonymi w związku z gwałtownym spadkiem nominalnej stopy dyskontowej. Ponadto z uwagi na fakt</w:t>
      </w:r>
      <w:r>
        <w:t>, że nominalną stopę dyskontową koryguje się o poziom inflacji, aby uzyskać rzeczywistą stopę dyskontową, w tym roku rzeczywista stopa dyskontowa była po raz pierwszy ujemna – co oznacza, że jakakolwiek kwota jest obecnie warta więcej niż w przyszłości: do</w:t>
      </w:r>
      <w:r>
        <w:t xml:space="preserve">prowadziło to do znaczącego wzrostu kwoty zobowiązania na koniec roku (zob. informacja dodatkowa </w:t>
      </w:r>
      <w:r>
        <w:rPr>
          <w:b/>
        </w:rPr>
        <w:t>2.9.3</w:t>
      </w:r>
      <w:r>
        <w:t>). Niższa stopa dyskontowa wywarła podobny wpływ na pozostałe mniejsze systemy.</w:t>
      </w:r>
    </w:p>
    <w:p w:rsidR="0043277E" w:rsidRDefault="000F2348">
      <w:pPr>
        <w:pStyle w:val="DGTextstand-alone"/>
      </w:pPr>
      <w:r>
        <w:t>Ponadto prawa nabyte w ciągu roku z tytułu zatrudnienia przewyższają świad</w:t>
      </w:r>
      <w:r>
        <w:t>czenia wypłacone w ciągu roku. Odnotowano również wzrost spowodowany rocznym kosztem odsetek (odwrócenie dyskonta zobowiązań) oraz straty aktuarialne wynikające z korekty założeń.</w:t>
      </w:r>
    </w:p>
    <w:p w:rsidR="0043277E" w:rsidRDefault="000F2348">
      <w:pPr>
        <w:pStyle w:val="HEADER3NOTES"/>
        <w:rPr>
          <w:noProof/>
        </w:rPr>
      </w:pPr>
      <w:r>
        <w:rPr>
          <w:noProof/>
        </w:rPr>
        <w:t>System emerytalno-rentowy urzędników europejskich</w:t>
      </w:r>
    </w:p>
    <w:p w:rsidR="0043277E" w:rsidRDefault="000F2348">
      <w:pPr>
        <w:pStyle w:val="DGTextstand-alone"/>
      </w:pPr>
      <w:r>
        <w:t>To zobowiązanie z tytułu o</w:t>
      </w:r>
      <w:r>
        <w:t>kreślonych świadczeń to wartość bieżąca przewidywanych przyszłych płatności, których UE musi dokonać w celu wywiązania się z zobowiązań emerytalno-rentowych wynikających z pracy wykonywanej przez pracowników w okresie bieżącym i w okresach ubiegłych. Syste</w:t>
      </w:r>
      <w:r>
        <w:t>m ma jednak charakter bieżący, w związku z czym wszystkie płatności, które corocznie muszą zostać dokonane z systemu, są co roku uwzględniane w budżecie UE.</w:t>
      </w:r>
    </w:p>
    <w:p w:rsidR="0043277E" w:rsidRDefault="000F2348">
      <w:pPr>
        <w:pStyle w:val="DGTextstand-alone"/>
      </w:pPr>
      <w:r>
        <w:t>Zgodnie z art. 83 regulaminu pracowniczego świadczenia przewidziane w pracowniczym systemie emerytalno-rentowym pokrywane są z budżetu UE. System ten ma charakter systemu umownego, a państwa członkowskie wspólnie gwarantują wypłacanie tych świadczeń. Obowi</w:t>
      </w:r>
      <w:r>
        <w:t>ązkowe składki emerytalne odejmuje się od wynagrodzeń podstawowych czynnych pracowników – obecnie stanowią one 9,7 % wynagrodzenia. Składki te uznaje się za dochód budżetowy w danym roku i wkład w ogólne finansowanie wydatków UE; zob. również informacja do</w:t>
      </w:r>
      <w:r>
        <w:t xml:space="preserve">datkowa </w:t>
      </w:r>
      <w:r>
        <w:rPr>
          <w:b/>
        </w:rPr>
        <w:t>3.6</w:t>
      </w:r>
      <w:r>
        <w:t>.</w:t>
      </w:r>
    </w:p>
    <w:p w:rsidR="0043277E" w:rsidRDefault="000F2348">
      <w:pPr>
        <w:pStyle w:val="DGTextstand-alone"/>
      </w:pPr>
      <w:r>
        <w:t>Zobowiązania w ramach systemu emerytalno-rentowego wyceniono na podstawie liczby pracowników objętych systemem emerytalno-rentowym urzędników europejskich (pracownicy aktywni zawodowo, pracownicy na emeryturze, byli pracownicy aktywni zawodowo</w:t>
      </w:r>
      <w:r>
        <w:t xml:space="preserve"> przebywający obecnie na rencie z tytułu niezdolności do pracy oraz osoby pozostające na utrzymaniu zmarłych pracowników) na dzień 31 grudnia 2019 r. oraz obowiązujących na ten dzień zasad określonych w regulaminie pracowniczym. Wycena ta została przeprowa</w:t>
      </w:r>
      <w:r>
        <w:t>dzona w oparciu o metody określone w MSRSP 39 (a zatem zgodnie z 12. regułą rachunkowości UE).</w:t>
      </w:r>
    </w:p>
    <w:p w:rsidR="0043277E" w:rsidRDefault="000F2348">
      <w:pPr>
        <w:pStyle w:val="HEADER3NOTES"/>
        <w:keepNext/>
        <w:rPr>
          <w:noProof/>
        </w:rPr>
      </w:pPr>
      <w:r>
        <w:rPr>
          <w:noProof/>
        </w:rPr>
        <w:lastRenderedPageBreak/>
        <w:t>Inne systemy świadczeń emerytalnych</w:t>
      </w:r>
    </w:p>
    <w:p w:rsidR="0043277E" w:rsidRDefault="000F2348">
      <w:pPr>
        <w:pStyle w:val="DGTextstand-alone"/>
        <w:keepNext/>
      </w:pPr>
      <w:r>
        <w:t>Pozycja ta obejmuje zobowiązania emerytalno-rentowe wobec członków i byłych członków Komisji, Trybunału Sprawiedliwości (oraz</w:t>
      </w:r>
      <w:r>
        <w:t xml:space="preserve"> Sądu), Trybunału Obrachunkowego, Rady i Sądu do spraw Służby Publicznej Unii Europejskiej oraz Europejskiego Rzecznika Praw Obywatelskich i Europejskiego Inspektora Ochrony Danych. W pozycji tej ujęto również zobowiązanie dotyczące świadczeń emerytalno-re</w:t>
      </w:r>
      <w:r>
        <w:t>ntowych dla posłów do Parlamentu Europejskiego.</w:t>
      </w:r>
    </w:p>
    <w:p w:rsidR="0043277E" w:rsidRDefault="000F2348">
      <w:pPr>
        <w:rPr>
          <w:rFonts w:ascii="Verdana" w:hAnsi="Verdana"/>
          <w:noProof/>
          <w:color w:val="016794"/>
          <w:sz w:val="20"/>
          <w:szCs w:val="20"/>
        </w:rPr>
      </w:pPr>
      <w:r>
        <w:rPr>
          <w:noProof/>
        </w:rPr>
        <w:br w:type="page"/>
      </w:r>
    </w:p>
    <w:p w:rsidR="0043277E" w:rsidRDefault="000F2348">
      <w:pPr>
        <w:pStyle w:val="HEADER3NOTES"/>
        <w:rPr>
          <w:noProof/>
        </w:rPr>
      </w:pPr>
      <w:r>
        <w:rPr>
          <w:noProof/>
        </w:rPr>
        <w:lastRenderedPageBreak/>
        <w:t>Wspólny system ubezpieczenia chorobowego</w:t>
      </w:r>
    </w:p>
    <w:p w:rsidR="0043277E" w:rsidRDefault="000F2348">
      <w:pPr>
        <w:pStyle w:val="HEADER5"/>
        <w:jc w:val="both"/>
        <w:rPr>
          <w:rFonts w:eastAsia="Calibri"/>
          <w:noProof/>
          <w:color w:val="auto"/>
        </w:rPr>
      </w:pPr>
      <w:r>
        <w:rPr>
          <w:noProof/>
          <w:color w:val="auto"/>
        </w:rPr>
        <w:t>Oprócz powyższych systemów świadczeń emerytalnych dokonuje się również wyceny w celu oszacowania zobowiązań UE związanych ze wspólnym systemem ubezpieczenia chorobow</w:t>
      </w:r>
      <w:r>
        <w:rPr>
          <w:noProof/>
          <w:color w:val="auto"/>
        </w:rPr>
        <w:t xml:space="preserve">ego (JSIS) w odniesieniu do kosztów opieki zdrowotnej, które trzeba ponieść po okresie aktywności pracowników (z odliczeniem ich składek). Jak wskazano w informacji dodatkowej </w:t>
      </w:r>
      <w:r>
        <w:rPr>
          <w:b/>
          <w:noProof/>
          <w:color w:val="auto"/>
        </w:rPr>
        <w:t>1.5.10</w:t>
      </w:r>
      <w:r>
        <w:rPr>
          <w:noProof/>
          <w:color w:val="auto"/>
        </w:rPr>
        <w:t>, przy obliczaniu wysokości tych zobowiązań uwzględnia się całkowity okres</w:t>
      </w:r>
      <w:r>
        <w:rPr>
          <w:noProof/>
          <w:color w:val="auto"/>
        </w:rPr>
        <w:t xml:space="preserve"> służby czynnej, co zapewnia spójne uwzględnienie obu systemów – systemu emerytalno-rentowego i systemu ubezpieczenia chorobowego – składających się na pracowniczy program świadczeń po okresie zatrudnienia. Biorąc pod uwagę obowiązek wiernego przedstawieni</w:t>
      </w:r>
      <w:r>
        <w:rPr>
          <w:noProof/>
          <w:color w:val="auto"/>
        </w:rPr>
        <w:t>a ekonomicznego charakteru zaistniałej sytuacji, zgodnie zarówno z regułą rachunkowości UE, jak i z MSRSP, przy przypisywaniu świadczeń do okresów służby nie przyjęliśmy bardziej rygorystycznej interpretacji MSRSP 39. Naliczanie kosztów zatrudnienia w przy</w:t>
      </w:r>
      <w:r>
        <w:rPr>
          <w:noProof/>
          <w:color w:val="auto"/>
        </w:rPr>
        <w:t>padku wspólnego systemu ubezpieczenia chorobowego w pełnym zakresie przez okres 10 lat w odniesieniu do wszystkich urzędników, a nie za okres czynnej służby pracownika,</w:t>
      </w:r>
      <w:r>
        <w:rPr>
          <w:noProof/>
          <w:color w:val="auto"/>
        </w:rPr>
        <w:br/>
        <w:t xml:space="preserve">skutkowałoby wzrostem kwoty zobowiązania z tytułu określonych świadczeń na koniec roku </w:t>
      </w:r>
      <w:r>
        <w:rPr>
          <w:noProof/>
          <w:color w:val="auto"/>
        </w:rPr>
        <w:t xml:space="preserve">o </w:t>
      </w:r>
      <w:r>
        <w:rPr>
          <w:noProof/>
          <w:color w:val="auto"/>
        </w:rPr>
        <w:br/>
        <w:t>4,3 mld EUR. Jak już wspomniano, takie bardziej rygorystyczne podejście nie byłoby jednak zgodne z cechą jakościową, jaką jest wierne odzwierciedlenie, a zatem nie uznano by, że dostarcza ono wiarygodnych informacji zgodnie z regułą rachunkowości UE nr </w:t>
      </w:r>
      <w:r>
        <w:rPr>
          <w:noProof/>
          <w:color w:val="auto"/>
        </w:rPr>
        <w:t>1 i koncepcyjnymi ramami MSRSP. Szacunek ten jest bardzo wrażliwy na zmianę bieżącego statusu administracyjnego personelu (w szczególności na liczbę członków zatrudnionych w oparciu o umowę o pracę na czas określony, co do których przewiduje się, że w przy</w:t>
      </w:r>
      <w:r>
        <w:rPr>
          <w:noProof/>
          <w:color w:val="auto"/>
        </w:rPr>
        <w:t>szłości uzyskają status urzędnika).</w:t>
      </w:r>
    </w:p>
    <w:p w:rsidR="0043277E" w:rsidRDefault="000F2348">
      <w:pPr>
        <w:pStyle w:val="HEADER5"/>
        <w:spacing w:before="240" w:after="240"/>
        <w:jc w:val="both"/>
        <w:rPr>
          <w:b/>
          <w:noProof/>
        </w:rPr>
      </w:pPr>
      <w:r>
        <w:rPr>
          <w:noProof/>
        </w:rPr>
        <w:t>Zmiany wartości bieżącej zobowiązanie z tytułu określonych świadczeń pracowniczych</w:t>
      </w:r>
    </w:p>
    <w:p w:rsidR="0043277E" w:rsidRDefault="000F2348">
      <w:pPr>
        <w:pStyle w:val="DGTextstand-alone"/>
      </w:pPr>
      <w:r>
        <w:t>Wartość bieżąca zobowiązania z tytułu określonych świadczeń to wartość zdyskontowana przewidywanych przyszłych płatności, których dokonan</w:t>
      </w:r>
      <w:r>
        <w:t>ie wymagane jest do wywiązania się z zobowiązań wynikających z pracy wykonywanej przez pracowników w okresie bieżącym i w okresach ubiegłych.</w:t>
      </w:r>
    </w:p>
    <w:p w:rsidR="0043277E" w:rsidRDefault="000F2348">
      <w:pPr>
        <w:pStyle w:val="DGTextstand-alone"/>
        <w:spacing w:after="120"/>
      </w:pPr>
      <w:r>
        <w:t>Poniżej przedstawiono analizę zmian zobowiązań z tytułu określonych świadczeń w bieżącym roku: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1615"/>
        <w:gridCol w:w="1615"/>
        <w:gridCol w:w="1616"/>
        <w:gridCol w:w="1152"/>
      </w:tblGrid>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2"/>
              <w:rPr>
                <w:rFonts w:ascii="Arial" w:eastAsia="Arial" w:hAnsi="Arial" w:cs="Arial"/>
                <w:noProof/>
                <w:color w:val="000000"/>
              </w:rPr>
            </w:pPr>
            <w:bookmarkStart w:id="80" w:name="DOC_TBL00035_1_1"/>
            <w:bookmarkEnd w:id="80"/>
          </w:p>
        </w:tc>
        <w:tc>
          <w:tcPr>
            <w:tcW w:w="161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2"/>
              <w:rPr>
                <w:rFonts w:ascii="Arial" w:eastAsia="Arial" w:hAnsi="Arial" w:cs="Arial"/>
                <w:noProof/>
                <w:color w:val="000000"/>
              </w:rPr>
            </w:pPr>
          </w:p>
        </w:tc>
        <w:tc>
          <w:tcPr>
            <w:tcW w:w="161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2"/>
              <w:rPr>
                <w:rFonts w:ascii="Arial" w:eastAsia="Arial" w:hAnsi="Arial" w:cs="Arial"/>
                <w:noProof/>
                <w:color w:val="000000"/>
              </w:rPr>
            </w:pPr>
          </w:p>
        </w:tc>
        <w:tc>
          <w:tcPr>
            <w:tcW w:w="161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2"/>
              <w:rPr>
                <w:rFonts w:ascii="Arial" w:eastAsia="Arial" w:hAnsi="Arial" w:cs="Arial"/>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2"/>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76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2"/>
              <w:jc w:val="right"/>
              <w:rPr>
                <w:rFonts w:ascii="Verdana" w:eastAsia="Verdana" w:hAnsi="Verdana" w:cs="Verdana"/>
                <w:noProof/>
                <w:color w:val="FFFFFF"/>
                <w:sz w:val="18"/>
              </w:rPr>
            </w:pPr>
          </w:p>
        </w:tc>
        <w:tc>
          <w:tcPr>
            <w:tcW w:w="1615"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2"/>
              <w:jc w:val="right"/>
              <w:rPr>
                <w:rFonts w:ascii="Verdana" w:eastAsia="Verdana" w:hAnsi="Verdana" w:cs="Verdana"/>
                <w:noProof/>
                <w:color w:val="FFFFFF"/>
                <w:sz w:val="18"/>
              </w:rPr>
            </w:pPr>
            <w:r>
              <w:rPr>
                <w:rFonts w:ascii="Verdana" w:hAnsi="Verdana"/>
                <w:noProof/>
                <w:color w:val="FFFFFF"/>
                <w:sz w:val="18"/>
              </w:rPr>
              <w:t xml:space="preserve">System emerytalno-rentowy urzędników europejskich </w:t>
            </w:r>
          </w:p>
        </w:tc>
        <w:tc>
          <w:tcPr>
            <w:tcW w:w="1615"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2"/>
              <w:jc w:val="right"/>
              <w:rPr>
                <w:rFonts w:ascii="Verdana" w:eastAsia="Verdana" w:hAnsi="Verdana" w:cs="Verdana"/>
                <w:noProof/>
                <w:color w:val="FFFFFF"/>
                <w:sz w:val="18"/>
              </w:rPr>
            </w:pPr>
            <w:r>
              <w:rPr>
                <w:rFonts w:ascii="Verdana" w:hAnsi="Verdana"/>
                <w:noProof/>
                <w:color w:val="FFFFFF"/>
                <w:sz w:val="18"/>
              </w:rPr>
              <w:t>Inne systemy świadczeń emerytalnych</w:t>
            </w:r>
          </w:p>
        </w:tc>
        <w:tc>
          <w:tcPr>
            <w:tcW w:w="1616"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2"/>
              <w:jc w:val="right"/>
              <w:rPr>
                <w:rFonts w:ascii="Verdana" w:eastAsia="Verdana" w:hAnsi="Verdana" w:cs="Verdana"/>
                <w:noProof/>
                <w:color w:val="FFFFFF"/>
                <w:sz w:val="18"/>
              </w:rPr>
            </w:pPr>
            <w:r>
              <w:rPr>
                <w:rFonts w:ascii="Verdana" w:hAnsi="Verdana"/>
                <w:noProof/>
                <w:color w:val="FFFFFF"/>
                <w:sz w:val="18"/>
              </w:rPr>
              <w:t>Wspólny system ubezpieczenia chorobowego</w:t>
            </w:r>
          </w:p>
        </w:tc>
        <w:tc>
          <w:tcPr>
            <w:tcW w:w="1152"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2"/>
              <w:jc w:val="right"/>
              <w:rPr>
                <w:rFonts w:ascii="Verdana" w:eastAsia="Verdana" w:hAnsi="Verdana" w:cs="Verdana"/>
                <w:noProof/>
                <w:color w:val="FFFFFF"/>
                <w:sz w:val="18"/>
              </w:rPr>
            </w:pPr>
            <w:r>
              <w:rPr>
                <w:rFonts w:ascii="Verdana" w:hAnsi="Verdana"/>
                <w:noProof/>
                <w:color w:val="FFFFFF"/>
                <w:sz w:val="18"/>
              </w:rPr>
              <w:t>Ogółem</w:t>
            </w:r>
          </w:p>
        </w:tc>
      </w:tr>
      <w:tr w:rsidR="0043277E">
        <w:trPr>
          <w:trHeight w:val="255"/>
        </w:trPr>
        <w:tc>
          <w:tcPr>
            <w:tcW w:w="3760"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b/>
                <w:noProof/>
                <w:color w:val="000000"/>
                <w:sz w:val="18"/>
              </w:rPr>
            </w:pPr>
            <w:r>
              <w:rPr>
                <w:rFonts w:ascii="Verdana" w:hAnsi="Verdana"/>
                <w:b/>
                <w:noProof/>
                <w:color w:val="000000"/>
                <w:sz w:val="18"/>
              </w:rPr>
              <w:t>Wartość bieżąca na 31.12.2018</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70 017</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1 865</w:t>
            </w:r>
          </w:p>
        </w:tc>
        <w:tc>
          <w:tcPr>
            <w:tcW w:w="1616"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8 990</w:t>
            </w:r>
          </w:p>
        </w:tc>
        <w:tc>
          <w:tcPr>
            <w:tcW w:w="115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80 871</w:t>
            </w: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b/>
                <w:noProof/>
                <w:color w:val="000000"/>
                <w:sz w:val="18"/>
              </w:rPr>
            </w:pPr>
            <w:r>
              <w:rPr>
                <w:rFonts w:ascii="Verdana" w:hAnsi="Verdana"/>
                <w:b/>
                <w:noProof/>
                <w:color w:val="000000"/>
                <w:sz w:val="18"/>
              </w:rPr>
              <w:t>Ujęte w sprawozdaniu z finansowych wyników działalności</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lang w:bidi="en-GB"/>
              </w:rPr>
            </w:pP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Koszty bieżącego zatrudnienia</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2 824</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84</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277</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3 185</w:t>
            </w: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Koszty odsetek</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1 339</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30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180</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1 549</w:t>
            </w: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Koszty przeszłego zatrudnienia</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(60)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(60)</w:t>
            </w: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b/>
                <w:noProof/>
                <w:color w:val="000000"/>
                <w:sz w:val="18"/>
              </w:rPr>
            </w:pPr>
            <w:r>
              <w:rPr>
                <w:rFonts w:ascii="Verdana" w:hAnsi="Verdana"/>
                <w:b/>
                <w:noProof/>
                <w:color w:val="000000"/>
                <w:sz w:val="18"/>
              </w:rPr>
              <w:t>Ujęte w aktywach netto</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lang w:bidi="en-GB"/>
              </w:rPr>
            </w:pP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Aktualizacja wyceny zobowiązań z tytułu świadczeń pracowniczych</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lang w:bidi="en-GB"/>
              </w:rPr>
            </w:pP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 xml:space="preserve">     (Zyski)/straty aktuarialne wynikające z</w:t>
            </w:r>
          </w:p>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 xml:space="preserve">     korekty założeń</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1 910</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77</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(339)</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1 648</w:t>
            </w: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 xml:space="preserve">     (Zyski)/straty aktuarialne wynikające z </w:t>
            </w:r>
          </w:p>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 xml:space="preserve">     założeń demograficznych</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0</w:t>
            </w: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 xml:space="preserve">     (Zyski)/straty aktuarialne wynikające z</w:t>
            </w:r>
          </w:p>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 xml:space="preserve">     założeń finansowych</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9 339</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220</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3 065</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12 625</w:t>
            </w: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b/>
                <w:noProof/>
                <w:color w:val="000000"/>
                <w:sz w:val="18"/>
              </w:rPr>
            </w:pPr>
            <w:r>
              <w:rPr>
                <w:rFonts w:ascii="Verdana" w:hAnsi="Verdana"/>
                <w:b/>
                <w:noProof/>
                <w:color w:val="000000"/>
                <w:sz w:val="18"/>
              </w:rPr>
              <w:t>Inne</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PENS2"/>
              <w:rPr>
                <w:rFonts w:ascii="Verdana" w:eastAsia="Verdana" w:hAnsi="Verdana" w:cs="Verdana"/>
                <w:b/>
                <w:noProof/>
                <w:color w:val="000000"/>
                <w:sz w:val="18"/>
                <w:lang w:bidi="en-GB"/>
              </w:rPr>
            </w:pPr>
          </w:p>
        </w:tc>
      </w:tr>
      <w:tr w:rsidR="0043277E">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i/>
                <w:noProof/>
                <w:color w:val="000000"/>
                <w:sz w:val="18"/>
              </w:rPr>
            </w:pPr>
            <w:r>
              <w:rPr>
                <w:rFonts w:ascii="Verdana" w:hAnsi="Verdana"/>
                <w:i/>
                <w:noProof/>
                <w:color w:val="000000"/>
                <w:sz w:val="18"/>
              </w:rPr>
              <w:t>Wypłacone świadczenia</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(1 587)</w:t>
            </w:r>
          </w:p>
        </w:tc>
        <w:tc>
          <w:tcPr>
            <w:tcW w:w="16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(67)</w:t>
            </w:r>
          </w:p>
        </w:tc>
        <w:tc>
          <w:tcPr>
            <w:tcW w:w="16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 xml:space="preserve"> (101)</w:t>
            </w:r>
          </w:p>
        </w:tc>
        <w:tc>
          <w:tcPr>
            <w:tcW w:w="11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i/>
                <w:noProof/>
                <w:color w:val="000000"/>
                <w:sz w:val="18"/>
              </w:rPr>
            </w:pPr>
            <w:r>
              <w:rPr>
                <w:rFonts w:ascii="Verdana" w:hAnsi="Verdana"/>
                <w:i/>
                <w:noProof/>
                <w:color w:val="000000"/>
                <w:sz w:val="18"/>
              </w:rPr>
              <w:t>(1 756)</w:t>
            </w:r>
          </w:p>
        </w:tc>
      </w:tr>
      <w:tr w:rsidR="0043277E">
        <w:trPr>
          <w:trHeight w:val="255"/>
        </w:trPr>
        <w:tc>
          <w:tcPr>
            <w:tcW w:w="37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rPr>
                <w:rFonts w:ascii="Verdana" w:eastAsia="Verdana" w:hAnsi="Verdana" w:cs="Verdana"/>
                <w:b/>
                <w:noProof/>
                <w:color w:val="000000"/>
                <w:sz w:val="18"/>
              </w:rPr>
            </w:pPr>
            <w:r>
              <w:rPr>
                <w:rFonts w:ascii="Verdana" w:hAnsi="Verdana"/>
                <w:b/>
                <w:noProof/>
                <w:color w:val="000000"/>
                <w:sz w:val="18"/>
              </w:rPr>
              <w:t>Wartość bieżąca na 31.12.2019</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83 842</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2 149</w:t>
            </w:r>
          </w:p>
        </w:tc>
        <w:tc>
          <w:tcPr>
            <w:tcW w:w="16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12 071</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2"/>
              <w:jc w:val="right"/>
              <w:rPr>
                <w:rFonts w:ascii="Verdana" w:eastAsia="Verdana" w:hAnsi="Verdana" w:cs="Verdana"/>
                <w:b/>
                <w:noProof/>
                <w:color w:val="000000"/>
                <w:sz w:val="18"/>
              </w:rPr>
            </w:pPr>
            <w:r>
              <w:rPr>
                <w:rFonts w:ascii="Verdana" w:hAnsi="Verdana"/>
                <w:b/>
                <w:noProof/>
                <w:color w:val="000000"/>
                <w:sz w:val="18"/>
              </w:rPr>
              <w:t>98 062</w:t>
            </w:r>
          </w:p>
        </w:tc>
      </w:tr>
    </w:tbl>
    <w:p w:rsidR="0043277E" w:rsidRDefault="000F2348">
      <w:pPr>
        <w:pStyle w:val="HEADER5"/>
        <w:spacing w:before="240"/>
        <w:jc w:val="both"/>
        <w:rPr>
          <w:rFonts w:eastAsia="Calibri"/>
          <w:noProof/>
          <w:color w:val="auto"/>
        </w:rPr>
      </w:pPr>
      <w:r>
        <w:rPr>
          <w:noProof/>
          <w:color w:val="auto"/>
        </w:rPr>
        <w:t xml:space="preserve">Koszt bieżącego zatrudnienia stanowi wzrost wartości bieżącej zobowiązań z tytułu określonych świadczeń wynikający z </w:t>
      </w:r>
      <w:r>
        <w:rPr>
          <w:noProof/>
          <w:color w:val="auto"/>
        </w:rPr>
        <w:t>bieżącego zatrudnienia członków w bieżącym roku.</w:t>
      </w:r>
    </w:p>
    <w:p w:rsidR="0043277E" w:rsidRDefault="0043277E">
      <w:pPr>
        <w:pStyle w:val="HEADER5"/>
        <w:jc w:val="both"/>
        <w:rPr>
          <w:rFonts w:eastAsia="Calibri"/>
          <w:noProof/>
          <w:color w:val="auto"/>
        </w:rPr>
      </w:pPr>
    </w:p>
    <w:p w:rsidR="0043277E" w:rsidRDefault="000F2348">
      <w:pPr>
        <w:pStyle w:val="HEADER5"/>
        <w:jc w:val="both"/>
        <w:rPr>
          <w:rFonts w:eastAsia="Calibri"/>
          <w:noProof/>
          <w:color w:val="auto"/>
        </w:rPr>
      </w:pPr>
      <w:r>
        <w:rPr>
          <w:noProof/>
          <w:color w:val="auto"/>
        </w:rPr>
        <w:t xml:space="preserve">Koszt odsetek odnosi się do wzrostu w ciągu danego okresu wartości bieżącej zobowiązania z tytułu określonych świadczeń na skutek tego, że termin rozliczenia świadczeń zbliżył się o jeden okres. </w:t>
      </w:r>
    </w:p>
    <w:p w:rsidR="0043277E" w:rsidRDefault="0043277E">
      <w:pPr>
        <w:pStyle w:val="HEADER5"/>
        <w:jc w:val="both"/>
        <w:rPr>
          <w:rFonts w:eastAsia="Calibri"/>
          <w:noProof/>
          <w:color w:val="auto"/>
        </w:rPr>
      </w:pPr>
    </w:p>
    <w:p w:rsidR="0043277E" w:rsidRDefault="000F2348">
      <w:pPr>
        <w:pStyle w:val="HEADER5"/>
        <w:jc w:val="both"/>
        <w:rPr>
          <w:rFonts w:eastAsia="Calibri"/>
          <w:b/>
          <w:noProof/>
          <w:color w:val="auto"/>
        </w:rPr>
      </w:pPr>
      <w:r>
        <w:rPr>
          <w:noProof/>
          <w:color w:val="auto"/>
        </w:rPr>
        <w:lastRenderedPageBreak/>
        <w:t>Zyski i s</w:t>
      </w:r>
      <w:r>
        <w:rPr>
          <w:noProof/>
          <w:color w:val="auto"/>
        </w:rPr>
        <w:t>traty aktuarialne wynikające z korekt założeń odnoszą się do skutków różnic pomiędzy oczekiwaniami przedstawionymi w założeniach na 2019 r. sporządzonych w ubiegłym roku a tym, co faktycznie nastąpiło w 2019 r.</w:t>
      </w:r>
    </w:p>
    <w:p w:rsidR="0043277E" w:rsidRDefault="0043277E">
      <w:pPr>
        <w:pStyle w:val="HEADER5"/>
        <w:jc w:val="both"/>
        <w:rPr>
          <w:rFonts w:eastAsia="Calibri"/>
          <w:noProof/>
          <w:color w:val="auto"/>
        </w:rPr>
      </w:pPr>
    </w:p>
    <w:p w:rsidR="0043277E" w:rsidRDefault="000F2348">
      <w:pPr>
        <w:pStyle w:val="HEADER5"/>
        <w:jc w:val="both"/>
        <w:rPr>
          <w:rFonts w:eastAsia="Calibri"/>
          <w:noProof/>
          <w:color w:val="auto"/>
        </w:rPr>
      </w:pPr>
      <w:r>
        <w:rPr>
          <w:noProof/>
          <w:color w:val="auto"/>
        </w:rPr>
        <w:t>Zyski i straty aktuarialne wynikające z zało</w:t>
      </w:r>
      <w:r>
        <w:rPr>
          <w:noProof/>
          <w:color w:val="auto"/>
        </w:rPr>
        <w:t>żeń aktuarialnych (zmiennych demograficznych, takich jak rotacja pracowników i umieralność, i finansowych, takich jak stopy dyskontowe i oczekiwane poziomy wzrostu wynagrodzeń) powstają, gdy założenia te są aktualizowane, aby odzwierciedlić zmiany w podsta</w:t>
      </w:r>
      <w:r>
        <w:rPr>
          <w:noProof/>
          <w:color w:val="auto"/>
        </w:rPr>
        <w:t xml:space="preserve">wowych uwarunkowaniach. </w:t>
      </w:r>
    </w:p>
    <w:p w:rsidR="0043277E" w:rsidRDefault="0043277E">
      <w:pPr>
        <w:pStyle w:val="HEADER5"/>
        <w:rPr>
          <w:rFonts w:eastAsia="Calibri"/>
          <w:noProof/>
          <w:color w:val="auto"/>
        </w:rPr>
      </w:pPr>
    </w:p>
    <w:p w:rsidR="0043277E" w:rsidRDefault="000F2348">
      <w:pPr>
        <w:pStyle w:val="HEADER5"/>
        <w:jc w:val="both"/>
        <w:rPr>
          <w:rFonts w:eastAsia="Calibri"/>
          <w:noProof/>
          <w:color w:val="auto"/>
        </w:rPr>
      </w:pPr>
      <w:r>
        <w:rPr>
          <w:noProof/>
          <w:color w:val="auto"/>
        </w:rPr>
        <w:t>Świadczenia (np. świadczenia emerytalno-rentowe lub zwroty kosztów leczenia) wypłaca się w trakcie roku zgodnie z zasadami systemu. Wypłata tych świadczeń prowadzi do spadku zobowiązań z tytułu określonych świadczeń.</w:t>
      </w:r>
    </w:p>
    <w:p w:rsidR="0043277E" w:rsidRDefault="000F2348">
      <w:pPr>
        <w:rPr>
          <w:rFonts w:ascii="Verdana" w:hAnsi="Verdana"/>
          <w:noProof/>
          <w:color w:val="016794"/>
          <w:sz w:val="18"/>
          <w:szCs w:val="18"/>
        </w:rPr>
      </w:pPr>
      <w:r>
        <w:rPr>
          <w:noProof/>
        </w:rPr>
        <w:br w:type="page"/>
      </w:r>
    </w:p>
    <w:p w:rsidR="0043277E" w:rsidRDefault="000F2348">
      <w:pPr>
        <w:pStyle w:val="HEADER5"/>
        <w:spacing w:before="240"/>
        <w:jc w:val="both"/>
        <w:rPr>
          <w:rFonts w:eastAsia="Calibri"/>
          <w:noProof/>
          <w:color w:val="auto"/>
        </w:rPr>
      </w:pPr>
      <w:r>
        <w:rPr>
          <w:noProof/>
        </w:rPr>
        <w:lastRenderedPageBreak/>
        <w:t>Aktywa prog</w:t>
      </w:r>
      <w:r>
        <w:rPr>
          <w:noProof/>
        </w:rPr>
        <w:t>ramu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6"/>
        <w:gridCol w:w="1954"/>
        <w:gridCol w:w="1954"/>
        <w:gridCol w:w="1954"/>
      </w:tblGrid>
      <w:tr w:rsidR="0043277E">
        <w:trPr>
          <w:trHeight w:val="255"/>
        </w:trPr>
        <w:tc>
          <w:tcPr>
            <w:tcW w:w="389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3"/>
              <w:rPr>
                <w:rFonts w:ascii="Arial" w:eastAsia="Arial" w:hAnsi="Arial" w:cs="Arial"/>
                <w:noProof/>
                <w:color w:val="000000"/>
              </w:rPr>
            </w:pPr>
            <w:bookmarkStart w:id="81" w:name="DOC_TBL00036_1_1"/>
            <w:bookmarkEnd w:id="81"/>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89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3"/>
              <w:jc w:val="right"/>
              <w:rPr>
                <w:rFonts w:ascii="Verdana" w:eastAsia="Verdana" w:hAnsi="Verdana" w:cs="Verdana"/>
                <w:noProof/>
                <w:color w:val="FFFFFF"/>
                <w:sz w:val="18"/>
              </w:rPr>
            </w:pPr>
          </w:p>
        </w:tc>
        <w:tc>
          <w:tcPr>
            <w:tcW w:w="1954"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3"/>
              <w:jc w:val="right"/>
              <w:rPr>
                <w:rFonts w:ascii="Verdana" w:eastAsia="Verdana" w:hAnsi="Verdana" w:cs="Verdana"/>
                <w:noProof/>
                <w:color w:val="FFFFFF"/>
                <w:sz w:val="18"/>
              </w:rPr>
            </w:pPr>
            <w:r>
              <w:rPr>
                <w:rFonts w:ascii="Verdana" w:hAnsi="Verdana"/>
                <w:noProof/>
                <w:color w:val="FFFFFF"/>
                <w:sz w:val="18"/>
              </w:rPr>
              <w:t>Inne systemy świadczeń emerytalnych</w:t>
            </w:r>
          </w:p>
        </w:tc>
        <w:tc>
          <w:tcPr>
            <w:tcW w:w="1954"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3"/>
              <w:jc w:val="right"/>
              <w:rPr>
                <w:rFonts w:ascii="Verdana" w:eastAsia="Verdana" w:hAnsi="Verdana" w:cs="Verdana"/>
                <w:noProof/>
                <w:color w:val="FFFFFF"/>
                <w:sz w:val="18"/>
              </w:rPr>
            </w:pPr>
            <w:r>
              <w:rPr>
                <w:rFonts w:ascii="Verdana" w:hAnsi="Verdana"/>
                <w:noProof/>
                <w:color w:val="FFFFFF"/>
                <w:sz w:val="18"/>
              </w:rPr>
              <w:t>Wspólny system ubezpieczenia chorobowego</w:t>
            </w:r>
          </w:p>
        </w:tc>
        <w:tc>
          <w:tcPr>
            <w:tcW w:w="1954"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4BIPPENS3"/>
              <w:jc w:val="right"/>
              <w:rPr>
                <w:rFonts w:ascii="Verdana" w:eastAsia="Verdana" w:hAnsi="Verdana" w:cs="Verdana"/>
                <w:noProof/>
                <w:color w:val="FFFFFF"/>
                <w:sz w:val="18"/>
              </w:rPr>
            </w:pPr>
            <w:r>
              <w:rPr>
                <w:rFonts w:ascii="Verdana" w:hAnsi="Verdana"/>
                <w:noProof/>
                <w:color w:val="FFFFFF"/>
                <w:sz w:val="18"/>
              </w:rPr>
              <w:t>Ogółem</w:t>
            </w:r>
          </w:p>
        </w:tc>
      </w:tr>
      <w:tr w:rsidR="0043277E">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3"/>
              <w:rPr>
                <w:rFonts w:ascii="Verdana" w:eastAsia="Verdana" w:hAnsi="Verdana" w:cs="Verdana"/>
                <w:b/>
                <w:noProof/>
                <w:color w:val="000000"/>
                <w:sz w:val="18"/>
              </w:rPr>
            </w:pPr>
            <w:r>
              <w:rPr>
                <w:rFonts w:ascii="Verdana" w:hAnsi="Verdana"/>
                <w:b/>
                <w:noProof/>
                <w:color w:val="000000"/>
                <w:sz w:val="18"/>
              </w:rPr>
              <w:t>Wartość bieżąca na 31.12.2018</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119</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296</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415</w:t>
            </w:r>
          </w:p>
        </w:tc>
      </w:tr>
      <w:tr w:rsidR="0043277E">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3"/>
              <w:rPr>
                <w:rFonts w:ascii="Verdana" w:eastAsia="Verdana" w:hAnsi="Verdana" w:cs="Verdana"/>
                <w:i/>
                <w:noProof/>
                <w:color w:val="000000"/>
                <w:sz w:val="18"/>
              </w:rPr>
            </w:pPr>
            <w:r>
              <w:rPr>
                <w:rFonts w:ascii="Verdana" w:hAnsi="Verdana"/>
                <w:i/>
                <w:noProof/>
                <w:color w:val="000000"/>
                <w:sz w:val="18"/>
              </w:rPr>
              <w:t>Zmiana aktywów programu netto</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(25)</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14</w:t>
            </w:r>
          </w:p>
        </w:tc>
        <w:tc>
          <w:tcPr>
            <w:tcW w:w="195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(12)</w:t>
            </w:r>
          </w:p>
        </w:tc>
      </w:tr>
      <w:tr w:rsidR="0043277E">
        <w:trPr>
          <w:trHeight w:val="255"/>
        </w:trPr>
        <w:tc>
          <w:tcPr>
            <w:tcW w:w="38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3"/>
              <w:rPr>
                <w:rFonts w:ascii="Verdana" w:eastAsia="Verdana" w:hAnsi="Verdana" w:cs="Verdana"/>
                <w:b/>
                <w:noProof/>
                <w:color w:val="000000"/>
                <w:sz w:val="18"/>
              </w:rPr>
            </w:pPr>
            <w:r>
              <w:rPr>
                <w:rFonts w:ascii="Verdana" w:hAnsi="Verdana"/>
                <w:b/>
                <w:noProof/>
                <w:color w:val="000000"/>
                <w:sz w:val="18"/>
              </w:rPr>
              <w:t>Wartość bieżąca na 31.12.2019</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94</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309</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403</w:t>
            </w:r>
          </w:p>
        </w:tc>
      </w:tr>
    </w:tbl>
    <w:p w:rsidR="0043277E" w:rsidRDefault="000F2348">
      <w:pPr>
        <w:pStyle w:val="HEADER5"/>
        <w:spacing w:before="240" w:after="240"/>
        <w:rPr>
          <w:noProof/>
        </w:rPr>
      </w:pPr>
      <w:r>
        <w:rPr>
          <w:noProof/>
        </w:rPr>
        <w:t xml:space="preserve">Założenia </w:t>
      </w:r>
      <w:r>
        <w:rPr>
          <w:noProof/>
        </w:rPr>
        <w:t>aktuarialne – świadczenia pracownicze</w:t>
      </w:r>
    </w:p>
    <w:p w:rsidR="0043277E" w:rsidRDefault="000F2348">
      <w:pPr>
        <w:pStyle w:val="DGTextstand-alone"/>
      </w:pPr>
      <w:r>
        <w:t>Podstawowe założenia aktuarialne zastosowane do wyceny dwóch głównych systemów świadczeń pracowniczych UE przedstawiono poniżej: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2435"/>
        <w:gridCol w:w="2435"/>
      </w:tblGrid>
      <w:tr w:rsidR="0043277E">
        <w:trPr>
          <w:trHeight w:val="255"/>
        </w:trPr>
        <w:tc>
          <w:tcPr>
            <w:tcW w:w="488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SPL"/>
              <w:jc w:val="right"/>
              <w:rPr>
                <w:rFonts w:ascii="Verdana" w:eastAsia="Verdana" w:hAnsi="Verdana" w:cs="Verdana"/>
                <w:noProof/>
                <w:color w:val="FFFFFF"/>
                <w:sz w:val="18"/>
              </w:rPr>
            </w:pPr>
            <w:bookmarkStart w:id="82" w:name="DOC_TBL00037_1_1"/>
            <w:bookmarkEnd w:id="82"/>
          </w:p>
        </w:tc>
        <w:tc>
          <w:tcPr>
            <w:tcW w:w="24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SPL"/>
              <w:jc w:val="right"/>
              <w:rPr>
                <w:rFonts w:ascii="Verdana" w:eastAsia="Verdana" w:hAnsi="Verdana" w:cs="Verdana"/>
                <w:noProof/>
                <w:color w:val="FFFFFF"/>
                <w:sz w:val="18"/>
              </w:rPr>
            </w:pPr>
            <w:r>
              <w:rPr>
                <w:rFonts w:ascii="Verdana" w:hAnsi="Verdana"/>
                <w:noProof/>
                <w:color w:val="FFFFFF"/>
                <w:sz w:val="18"/>
              </w:rPr>
              <w:t>System emerytalno-rentowy urzędników europejskich</w:t>
            </w:r>
          </w:p>
        </w:tc>
        <w:tc>
          <w:tcPr>
            <w:tcW w:w="24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SPL"/>
              <w:jc w:val="right"/>
              <w:rPr>
                <w:rFonts w:ascii="Verdana" w:eastAsia="Verdana" w:hAnsi="Verdana" w:cs="Verdana"/>
                <w:noProof/>
                <w:color w:val="FFFFFF"/>
                <w:sz w:val="18"/>
              </w:rPr>
            </w:pPr>
            <w:r>
              <w:rPr>
                <w:rFonts w:ascii="Verdana" w:hAnsi="Verdana"/>
                <w:noProof/>
                <w:color w:val="FFFFFF"/>
                <w:sz w:val="18"/>
              </w:rPr>
              <w:t>Wspólny system ubezpieczenia chorobowe</w:t>
            </w:r>
            <w:r>
              <w:rPr>
                <w:rFonts w:ascii="Verdana" w:hAnsi="Verdana"/>
                <w:noProof/>
                <w:color w:val="FFFFFF"/>
                <w:sz w:val="18"/>
              </w:rPr>
              <w:t>go</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b/>
                <w:noProof/>
                <w:color w:val="000000"/>
                <w:sz w:val="18"/>
              </w:rPr>
            </w:pPr>
            <w:r>
              <w:rPr>
                <w:rFonts w:ascii="Verdana" w:hAnsi="Verdana"/>
                <w:b/>
                <w:noProof/>
                <w:color w:val="000000"/>
                <w:sz w:val="18"/>
              </w:rPr>
              <w:t>2019</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SPL"/>
              <w:jc w:val="right"/>
              <w:rPr>
                <w:rFonts w:ascii="Verdana" w:eastAsia="Verdana" w:hAnsi="Verdana" w:cs="Verdana"/>
                <w:noProof/>
                <w:color w:val="000000"/>
                <w:sz w:val="18"/>
                <w:lang w:bidi="en-GB"/>
              </w:rPr>
            </w:pP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 xml:space="preserve">Nominalna stopa dyskontowa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1,1 %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1,2 %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 xml:space="preserve">Spodziewana stopa inflacji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1,3 %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1,3 %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Rzeczywista stopa dyskontowa</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(0,2)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(0,1)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Spodziewana stopa wzrostu wynagrodzeń</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1,8 %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1,8 %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Wskaźniki charakteryzujące tendencje dotyczące kosztów leczenia</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nie dotyczy</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3,0 %</w:t>
            </w:r>
          </w:p>
        </w:tc>
      </w:tr>
      <w:tr w:rsidR="0043277E">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Wiek emerytalny</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b/>
                <w:noProof/>
                <w:color w:val="000000"/>
                <w:sz w:val="18"/>
              </w:rPr>
            </w:pPr>
            <w:r>
              <w:rPr>
                <w:rFonts w:ascii="Verdana" w:hAnsi="Verdana"/>
                <w:b/>
                <w:noProof/>
                <w:color w:val="000000"/>
                <w:sz w:val="18"/>
              </w:rPr>
              <w:t>2018</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SPL"/>
              <w:jc w:val="right"/>
              <w:rPr>
                <w:rFonts w:ascii="Verdana" w:eastAsia="Verdana" w:hAnsi="Verdana" w:cs="Verdana"/>
                <w:noProof/>
                <w:color w:val="000000"/>
                <w:sz w:val="18"/>
                <w:lang w:bidi="en-GB"/>
              </w:rPr>
            </w:pP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 xml:space="preserve">Nominalna stopa dyskontowa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1,9 %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2,0 %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 xml:space="preserve">Spodziewana stopa inflacji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1,4 %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1,5 %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Rzeczywista stopa dyskontowa</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0,5 %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0,5 %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Spodziewana stopa wzrostu wynagrodzeń</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1,9 %</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1,8 %</w:t>
            </w:r>
          </w:p>
        </w:tc>
      </w:tr>
      <w:tr w:rsidR="0043277E">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 xml:space="preserve">Wskaźniki </w:t>
            </w:r>
            <w:r>
              <w:rPr>
                <w:rFonts w:ascii="Verdana" w:hAnsi="Verdana"/>
                <w:i/>
                <w:noProof/>
                <w:color w:val="000000"/>
                <w:sz w:val="18"/>
              </w:rPr>
              <w:t>charakteryzujące tendencje dotyczące kosztów leczenia</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nie dotyczy</w:t>
            </w:r>
          </w:p>
        </w:tc>
        <w:tc>
          <w:tcPr>
            <w:tcW w:w="24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3,0 %</w:t>
            </w:r>
          </w:p>
        </w:tc>
      </w:tr>
      <w:tr w:rsidR="0043277E">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SPL"/>
              <w:rPr>
                <w:rFonts w:ascii="Verdana" w:eastAsia="Verdana" w:hAnsi="Verdana" w:cs="Verdana"/>
                <w:i/>
                <w:noProof/>
                <w:color w:val="000000"/>
                <w:sz w:val="18"/>
              </w:rPr>
            </w:pPr>
            <w:r>
              <w:rPr>
                <w:rFonts w:ascii="Verdana" w:hAnsi="Verdana"/>
                <w:i/>
                <w:noProof/>
                <w:color w:val="000000"/>
                <w:sz w:val="18"/>
              </w:rPr>
              <w:t>Wiek emerytalny</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r>
    </w:tbl>
    <w:p w:rsidR="0043277E" w:rsidRDefault="000F2348">
      <w:pPr>
        <w:pStyle w:val="DGTextstand-alone"/>
      </w:pPr>
      <w:r>
        <w:t>Współczynniki umieralności na 2018 i 2019 r. oparto na tablicy trwania życia unijnych urzędników służby cywilnej (EULT 2018).</w:t>
      </w:r>
    </w:p>
    <w:p w:rsidR="0043277E" w:rsidRDefault="000F2348">
      <w:pPr>
        <w:pStyle w:val="DGTextstand-alone"/>
      </w:pPr>
      <w:r>
        <w:t xml:space="preserve">Nominalną stopę </w:t>
      </w:r>
      <w:r>
        <w:t>dyskontową określa się jako wartość dochodowości obligacji zerokuponowych denominowanych w euro (o okresie zapadalności wynoszącym 22 lata zgodnie ze stanem na grudzień 2019 r. w przypadku systemu emerytalno-rentowego urzędników europejskich i 26 lat w prz</w:t>
      </w:r>
      <w:r>
        <w:t>ypadku wspólnego systemu ubezpieczenia chorobowego). Zastosowana stopa inflacji to przewidywana stopa inflacji w równoważnym okresie. Następnie określa się ją empirycznie, w oparciu o przewidywane wartości określone w indeksowanych obligacjach na europejsk</w:t>
      </w:r>
      <w:r>
        <w:t>ich rynkach finansowych. Rzeczywistą stopę dyskontową oblicza się na podstawie nominalnej stopy dyskontowej i przewidywanej długoterminowej stopy inflacji.</w:t>
      </w:r>
    </w:p>
    <w:p w:rsidR="0043277E" w:rsidRDefault="000F2348">
      <w:pPr>
        <w:pStyle w:val="DGTextstand-alone"/>
      </w:pPr>
      <w:r>
        <w:t>Choć spadek rzeczywistej stopy dyskontowej, tj. różnicy między nominalną stopą dyskontową a oczekiwa</w:t>
      </w:r>
      <w:r>
        <w:t xml:space="preserve">ną stopą inflacji, obserwowano już od kilku lat, w 2019 r. był on szczególnie gwałtowny. Spadek rzeczywistej stopy dyskontowej wynika głównie z obniżenia poziomu nominalnej stopy dyskontowej, co jest zgodne z globalną tendencją, jaką można zaobserwować na </w:t>
      </w:r>
      <w:r>
        <w:t>rynkach finansowych. Ponieważ oczekiwana stopa inflacji zmniejszyła się tylko nieznacznie, spadek nominalnej stopy dyskontowej nie został zrównoważony i przełożył się na istotne obniżenie rzeczywistej stopy dyskontowej, co doprowadziło do sytuacji, w które</w:t>
      </w:r>
      <w:r>
        <w:t>j stopa ta po raz pierwszy przyjęła wartość ujemną, przyczyniając się do znacznej straty aktuarialnej wynikającej z założeń finansowych.</w:t>
      </w:r>
    </w:p>
    <w:p w:rsidR="0043277E" w:rsidRDefault="000F2348">
      <w:pPr>
        <w:pStyle w:val="DGTextstand-alone"/>
        <w:rPr>
          <w:rFonts w:eastAsia="Times New Roman"/>
          <w:color w:val="016794"/>
        </w:rPr>
      </w:pPr>
      <w:r>
        <w:rPr>
          <w:color w:val="016794"/>
        </w:rPr>
        <w:t xml:space="preserve">Analizy wrażliwości </w:t>
      </w:r>
    </w:p>
    <w:p w:rsidR="0043277E" w:rsidRDefault="000F2348">
      <w:pPr>
        <w:pStyle w:val="DGTextstand-alone"/>
      </w:pPr>
      <w:r>
        <w:t>Analiza wrażliwości opiera się na symulacjach, które podlegają zmianom – przy założeniu, że pozost</w:t>
      </w:r>
      <w:r>
        <w:t>ałe czynniki pozostają niezmienione –wartości odpowiednich założeń i obserwacji reakcji modelu.</w:t>
      </w:r>
    </w:p>
    <w:p w:rsidR="0043277E" w:rsidRDefault="000F2348">
      <w:pPr>
        <w:pStyle w:val="DGTextstand-alone"/>
        <w:rPr>
          <w:rFonts w:eastAsia="Times New Roman"/>
          <w:color w:val="016794"/>
        </w:rPr>
      </w:pPr>
      <w:r>
        <w:rPr>
          <w:color w:val="016794"/>
        </w:rPr>
        <w:t>Wspólny system ubezpieczenia chorobowego – wrażliwość</w:t>
      </w:r>
    </w:p>
    <w:p w:rsidR="0043277E" w:rsidRDefault="000F2348">
      <w:pPr>
        <w:pStyle w:val="DGTextstand-alone"/>
        <w:spacing w:after="120"/>
      </w:pPr>
      <w:r>
        <w:lastRenderedPageBreak/>
        <w:t>Zmiana o dziesięć punktów bazowych w zakładanych wskaźnikach charakteryzujących tendencje dotyczące kosztó</w:t>
      </w:r>
      <w:r>
        <w:t>w leczenia miałaby następujące skutki:</w:t>
      </w:r>
    </w:p>
    <w:p w:rsidR="0043277E" w:rsidRDefault="000F2348">
      <w:pPr>
        <w:rPr>
          <w:rFonts w:ascii="Verdana" w:eastAsia="Calibri" w:hAnsi="Verdana"/>
          <w:noProof/>
          <w:sz w:val="18"/>
          <w:szCs w:val="18"/>
          <w:bdr w:val="nil"/>
        </w:rPr>
      </w:pPr>
      <w:r>
        <w:rPr>
          <w:noProof/>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43277E">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6"/>
              <w:rPr>
                <w:rFonts w:ascii="Arial" w:eastAsia="Arial" w:hAnsi="Arial" w:cs="Arial"/>
                <w:noProof/>
                <w:color w:val="000000"/>
              </w:rPr>
            </w:pPr>
            <w:bookmarkStart w:id="83" w:name="DOC_TBL00038_1_1"/>
            <w:bookmarkEnd w:id="83"/>
          </w:p>
          <w:p w:rsidR="0043277E" w:rsidRDefault="0043277E">
            <w:pPr>
              <w:pStyle w:val="DMETW17244BIPPENS6"/>
              <w:rPr>
                <w:rFonts w:ascii="Arial" w:eastAsia="Arial" w:hAnsi="Arial" w:cs="Arial"/>
                <w:noProof/>
                <w:color w:val="000000"/>
                <w:lang w:bidi="en-GB"/>
              </w:rPr>
            </w:pPr>
          </w:p>
        </w:tc>
        <w:tc>
          <w:tcPr>
            <w:tcW w:w="163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6"/>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6"/>
              <w:jc w:val="right"/>
              <w:rPr>
                <w:rFonts w:ascii="Verdana" w:eastAsia="Verdana" w:hAnsi="Verdana" w:cs="Verdana"/>
                <w:noProof/>
                <w:color w:val="FFFFFF"/>
                <w:sz w:val="18"/>
              </w:rPr>
            </w:pPr>
          </w:p>
        </w:tc>
        <w:tc>
          <w:tcPr>
            <w:tcW w:w="3265"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6"/>
              <w:jc w:val="center"/>
              <w:rPr>
                <w:rFonts w:ascii="Verdana" w:eastAsia="Verdana" w:hAnsi="Verdana" w:cs="Verdana"/>
                <w:noProof/>
                <w:color w:val="FFFFFF"/>
                <w:sz w:val="18"/>
              </w:rPr>
            </w:pPr>
            <w:r>
              <w:rPr>
                <w:rFonts w:ascii="Verdana" w:hAnsi="Verdana"/>
                <w:noProof/>
                <w:color w:val="FFFFFF"/>
                <w:sz w:val="18"/>
              </w:rPr>
              <w:t>2019</w:t>
            </w:r>
          </w:p>
        </w:tc>
        <w:tc>
          <w:tcPr>
            <w:tcW w:w="3264"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6"/>
              <w:jc w:val="center"/>
              <w:rPr>
                <w:rFonts w:ascii="Verdana" w:eastAsia="Verdana" w:hAnsi="Verdana" w:cs="Verdana"/>
                <w:noProof/>
                <w:color w:val="FFFFFF"/>
                <w:sz w:val="18"/>
              </w:rPr>
            </w:pPr>
            <w:r>
              <w:rPr>
                <w:rFonts w:ascii="Verdana" w:hAnsi="Verdana"/>
                <w:noProof/>
                <w:color w:val="FFFFFF"/>
                <w:sz w:val="18"/>
              </w:rPr>
              <w:t>2018</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6"/>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6"/>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6"/>
              <w:jc w:val="right"/>
              <w:rPr>
                <w:rFonts w:ascii="Verdana" w:eastAsia="Verdana" w:hAnsi="Verdana" w:cs="Verdana"/>
                <w:noProof/>
                <w:color w:val="FFFFFF"/>
                <w:sz w:val="18"/>
              </w:rPr>
            </w:pPr>
            <w:r>
              <w:rPr>
                <w:rFonts w:ascii="Verdana" w:hAnsi="Verdana"/>
                <w:noProof/>
                <w:color w:val="FFFFFF"/>
                <w:sz w:val="18"/>
              </w:rPr>
              <w:t>Spadek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6"/>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6"/>
              <w:jc w:val="right"/>
              <w:rPr>
                <w:rFonts w:ascii="Verdana" w:eastAsia="Verdana" w:hAnsi="Verdana" w:cs="Verdana"/>
                <w:noProof/>
                <w:color w:val="FFFFFF"/>
                <w:sz w:val="18"/>
              </w:rPr>
            </w:pPr>
            <w:r>
              <w:rPr>
                <w:rFonts w:ascii="Verdana" w:hAnsi="Verdana"/>
                <w:noProof/>
                <w:color w:val="FFFFFF"/>
                <w:sz w:val="18"/>
              </w:rPr>
              <w:t>Spadek o 0,1 %</w:t>
            </w:r>
          </w:p>
        </w:tc>
      </w:tr>
      <w:tr w:rsidR="0043277E">
        <w:trPr>
          <w:trHeight w:val="255"/>
        </w:trPr>
        <w:tc>
          <w:tcPr>
            <w:tcW w:w="32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6"/>
              <w:rPr>
                <w:rFonts w:ascii="Verdana" w:eastAsia="Verdana" w:hAnsi="Verdana" w:cs="Verdana"/>
                <w:i/>
                <w:noProof/>
                <w:color w:val="000000"/>
                <w:sz w:val="18"/>
              </w:rPr>
            </w:pPr>
            <w:r>
              <w:rPr>
                <w:rFonts w:ascii="Verdana" w:hAnsi="Verdana"/>
                <w:i/>
                <w:noProof/>
                <w:color w:val="000000"/>
                <w:sz w:val="18"/>
              </w:rPr>
              <w:t xml:space="preserve">Łączna kwota kosztów bieżącego zatrudnienia oraz kosztów odsetek będących składnikami okresowych kosztów leczenia po okresie </w:t>
            </w:r>
            <w:r>
              <w:rPr>
                <w:rFonts w:ascii="Verdana" w:hAnsi="Verdana"/>
                <w:i/>
                <w:noProof/>
                <w:color w:val="000000"/>
                <w:sz w:val="18"/>
              </w:rPr>
              <w:t>zatrudnienia</w:t>
            </w:r>
          </w:p>
        </w:tc>
        <w:tc>
          <w:tcPr>
            <w:tcW w:w="16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12</w:t>
            </w:r>
          </w:p>
        </w:tc>
        <w:tc>
          <w:tcPr>
            <w:tcW w:w="16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(12)</w:t>
            </w:r>
          </w:p>
        </w:tc>
      </w:tr>
      <w:tr w:rsidR="0043277E">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6"/>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352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(341)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253</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(246)</w:t>
            </w:r>
          </w:p>
        </w:tc>
      </w:tr>
    </w:tbl>
    <w:p w:rsidR="0043277E" w:rsidRDefault="000F2348">
      <w:pPr>
        <w:pStyle w:val="DGTextstand-alone"/>
      </w:pPr>
      <w:r>
        <w:t>Zmiana zakładanej stopy dyskontowej o dziesięć punktów bazowych (0,1 %) miałaby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43277E">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7"/>
              <w:rPr>
                <w:rFonts w:ascii="Arial" w:eastAsia="Arial" w:hAnsi="Arial" w:cs="Arial"/>
                <w:noProof/>
                <w:color w:val="000000"/>
              </w:rPr>
            </w:pPr>
            <w:bookmarkStart w:id="84" w:name="DOC_TBL00039_1_1"/>
            <w:bookmarkEnd w:id="84"/>
          </w:p>
        </w:tc>
        <w:tc>
          <w:tcPr>
            <w:tcW w:w="163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7"/>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7"/>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7"/>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7"/>
              <w:jc w:val="center"/>
              <w:rPr>
                <w:rFonts w:ascii="Verdana" w:eastAsia="Verdana" w:hAnsi="Verdana" w:cs="Verdana"/>
                <w:noProof/>
                <w:color w:val="FFFFFF"/>
                <w:sz w:val="18"/>
              </w:rPr>
            </w:pPr>
            <w:r>
              <w:rPr>
                <w:rFonts w:ascii="Verdana" w:hAnsi="Verdana"/>
                <w:noProof/>
                <w:color w:val="FFFFFF"/>
                <w:sz w:val="18"/>
              </w:rPr>
              <w:t>2018</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7"/>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7"/>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7"/>
              <w:jc w:val="right"/>
              <w:rPr>
                <w:rFonts w:ascii="Verdana" w:eastAsia="Verdana" w:hAnsi="Verdana" w:cs="Verdana"/>
                <w:noProof/>
                <w:color w:val="FFFFFF"/>
                <w:sz w:val="18"/>
              </w:rPr>
            </w:pPr>
            <w:r>
              <w:rPr>
                <w:rFonts w:ascii="Verdana" w:hAnsi="Verdana"/>
                <w:noProof/>
                <w:color w:val="FFFFFF"/>
                <w:sz w:val="18"/>
              </w:rPr>
              <w:t xml:space="preserve">Spadek o </w:t>
            </w:r>
            <w:r>
              <w:rPr>
                <w:rFonts w:ascii="Verdana" w:hAnsi="Verdana"/>
                <w:noProof/>
                <w:color w:val="FFFFFF"/>
                <w:sz w:val="18"/>
              </w:rPr>
              <w:t>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7"/>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7"/>
              <w:jc w:val="right"/>
              <w:rPr>
                <w:rFonts w:ascii="Verdana" w:eastAsia="Verdana" w:hAnsi="Verdana" w:cs="Verdana"/>
                <w:noProof/>
                <w:color w:val="FFFFFF"/>
                <w:sz w:val="18"/>
              </w:rPr>
            </w:pPr>
            <w:r>
              <w:rPr>
                <w:rFonts w:ascii="Verdana" w:hAnsi="Verdana"/>
                <w:noProof/>
                <w:color w:val="FFFFFF"/>
                <w:sz w:val="18"/>
              </w:rPr>
              <w:t>Spadek o 0,1 %</w:t>
            </w:r>
          </w:p>
        </w:tc>
      </w:tr>
      <w:tr w:rsidR="0043277E">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7"/>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(311)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322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(219)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226</w:t>
            </w:r>
          </w:p>
        </w:tc>
      </w:tr>
    </w:tbl>
    <w:p w:rsidR="0043277E" w:rsidRDefault="000F2348">
      <w:pPr>
        <w:pStyle w:val="DGTextstand-alone"/>
      </w:pPr>
      <w:r>
        <w:t>Zmiana zakładanej stopy wzrostu wynagrodzeń o dziesięć punktów bazowych (0,1 %) miałaby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43277E">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8"/>
              <w:rPr>
                <w:rFonts w:ascii="Arial" w:eastAsia="Arial" w:hAnsi="Arial" w:cs="Arial"/>
                <w:noProof/>
                <w:color w:val="000000"/>
              </w:rPr>
            </w:pPr>
            <w:bookmarkStart w:id="85" w:name="DOC_TBL00040_1_1"/>
            <w:bookmarkEnd w:id="85"/>
          </w:p>
        </w:tc>
        <w:tc>
          <w:tcPr>
            <w:tcW w:w="163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8"/>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8"/>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8"/>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8"/>
              <w:jc w:val="center"/>
              <w:rPr>
                <w:rFonts w:ascii="Verdana" w:eastAsia="Verdana" w:hAnsi="Verdana" w:cs="Verdana"/>
                <w:noProof/>
                <w:color w:val="FFFFFF"/>
                <w:sz w:val="18"/>
              </w:rPr>
            </w:pPr>
            <w:r>
              <w:rPr>
                <w:rFonts w:ascii="Verdana" w:hAnsi="Verdana"/>
                <w:noProof/>
                <w:color w:val="FFFFFF"/>
                <w:sz w:val="18"/>
              </w:rPr>
              <w:t>2018</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8"/>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8"/>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8"/>
              <w:jc w:val="right"/>
              <w:rPr>
                <w:rFonts w:ascii="Verdana" w:eastAsia="Verdana" w:hAnsi="Verdana" w:cs="Verdana"/>
                <w:noProof/>
                <w:color w:val="FFFFFF"/>
                <w:sz w:val="18"/>
              </w:rPr>
            </w:pPr>
            <w:r>
              <w:rPr>
                <w:rFonts w:ascii="Verdana" w:hAnsi="Verdana"/>
                <w:noProof/>
                <w:color w:val="FFFFFF"/>
                <w:sz w:val="18"/>
              </w:rPr>
              <w:t>Spadek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8"/>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8"/>
              <w:jc w:val="right"/>
              <w:rPr>
                <w:rFonts w:ascii="Verdana" w:eastAsia="Verdana" w:hAnsi="Verdana" w:cs="Verdana"/>
                <w:noProof/>
                <w:color w:val="FFFFFF"/>
                <w:sz w:val="18"/>
              </w:rPr>
            </w:pPr>
            <w:r>
              <w:rPr>
                <w:rFonts w:ascii="Verdana" w:hAnsi="Verdana"/>
                <w:noProof/>
                <w:color w:val="FFFFFF"/>
                <w:sz w:val="18"/>
              </w:rPr>
              <w:t>Spadek o 0,1 %</w:t>
            </w:r>
          </w:p>
        </w:tc>
      </w:tr>
      <w:tr w:rsidR="0043277E">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8"/>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(30)</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(26)</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25</w:t>
            </w:r>
          </w:p>
        </w:tc>
      </w:tr>
    </w:tbl>
    <w:p w:rsidR="0043277E" w:rsidRDefault="000F2348">
      <w:pPr>
        <w:pStyle w:val="DGTextstand-alone"/>
      </w:pPr>
      <w:r>
        <w:t>Zmiana o jeden rok przyjętego wieku emerytalnego miałaby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rsidR="0043277E">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9"/>
              <w:rPr>
                <w:rFonts w:ascii="Arial" w:eastAsia="Arial" w:hAnsi="Arial" w:cs="Arial"/>
                <w:noProof/>
                <w:color w:val="000000"/>
              </w:rPr>
            </w:pPr>
            <w:bookmarkStart w:id="86" w:name="DOC_TBL00041_1_1"/>
            <w:bookmarkEnd w:id="86"/>
          </w:p>
        </w:tc>
        <w:tc>
          <w:tcPr>
            <w:tcW w:w="182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9"/>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9"/>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9"/>
              <w:jc w:val="center"/>
              <w:rPr>
                <w:rFonts w:ascii="Verdana" w:eastAsia="Verdana" w:hAnsi="Verdana" w:cs="Verdana"/>
                <w:noProof/>
                <w:color w:val="FFFFFF"/>
                <w:sz w:val="18"/>
              </w:rPr>
            </w:pPr>
            <w:r>
              <w:rPr>
                <w:rFonts w:ascii="Verdana" w:hAnsi="Verdana"/>
                <w:noProof/>
                <w:color w:val="FFFFFF"/>
                <w:sz w:val="18"/>
              </w:rPr>
              <w:t>2019</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9"/>
              <w:jc w:val="center"/>
              <w:rPr>
                <w:rFonts w:ascii="Verdana" w:eastAsia="Verdana" w:hAnsi="Verdana" w:cs="Verdana"/>
                <w:noProof/>
                <w:color w:val="FFFFFF"/>
                <w:sz w:val="18"/>
              </w:rPr>
            </w:pPr>
            <w:r>
              <w:rPr>
                <w:rFonts w:ascii="Verdana" w:hAnsi="Verdana"/>
                <w:noProof/>
                <w:color w:val="FFFFFF"/>
                <w:sz w:val="18"/>
              </w:rPr>
              <w:t>2018</w:t>
            </w:r>
          </w:p>
        </w:tc>
      </w:tr>
      <w:tr w:rsidR="0043277E">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9"/>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9"/>
              <w:jc w:val="right"/>
              <w:rPr>
                <w:rFonts w:ascii="Verdana" w:eastAsia="Verdana" w:hAnsi="Verdana" w:cs="Verdana"/>
                <w:noProof/>
                <w:color w:val="FFFFFF"/>
                <w:sz w:val="18"/>
              </w:rPr>
            </w:pPr>
            <w:r>
              <w:rPr>
                <w:rFonts w:ascii="Verdana" w:hAnsi="Verdana"/>
                <w:noProof/>
                <w:color w:val="FFFFFF"/>
                <w:sz w:val="18"/>
              </w:rPr>
              <w:t>Podwyższenie o jeden rok</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9"/>
              <w:jc w:val="right"/>
              <w:rPr>
                <w:rFonts w:ascii="Verdana" w:eastAsia="Verdana" w:hAnsi="Verdana" w:cs="Verdana"/>
                <w:noProof/>
                <w:color w:val="FFFFFF"/>
                <w:sz w:val="18"/>
              </w:rPr>
            </w:pPr>
            <w:r>
              <w:rPr>
                <w:rFonts w:ascii="Verdana" w:hAnsi="Verdana"/>
                <w:noProof/>
                <w:color w:val="FFFFFF"/>
                <w:sz w:val="18"/>
              </w:rPr>
              <w:t xml:space="preserve">Obniżenie o </w:t>
            </w:r>
            <w:r>
              <w:rPr>
                <w:rFonts w:ascii="Verdana" w:hAnsi="Verdana"/>
                <w:noProof/>
                <w:color w:val="FFFFFF"/>
                <w:sz w:val="18"/>
              </w:rPr>
              <w:t>jeden rok</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9"/>
              <w:jc w:val="right"/>
              <w:rPr>
                <w:rFonts w:ascii="Verdana" w:eastAsia="Verdana" w:hAnsi="Verdana" w:cs="Verdana"/>
                <w:noProof/>
                <w:color w:val="FFFFFF"/>
                <w:sz w:val="18"/>
              </w:rPr>
            </w:pPr>
            <w:r>
              <w:rPr>
                <w:rFonts w:ascii="Verdana" w:hAnsi="Verdana"/>
                <w:noProof/>
                <w:color w:val="FFFFFF"/>
                <w:sz w:val="18"/>
              </w:rPr>
              <w:t>Podwyższenie o jeden rok</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9"/>
              <w:jc w:val="right"/>
              <w:rPr>
                <w:rFonts w:ascii="Verdana" w:eastAsia="Verdana" w:hAnsi="Verdana" w:cs="Verdana"/>
                <w:noProof/>
                <w:color w:val="FFFFFF"/>
                <w:sz w:val="18"/>
              </w:rPr>
            </w:pPr>
            <w:r>
              <w:rPr>
                <w:rFonts w:ascii="Verdana" w:hAnsi="Verdana"/>
                <w:noProof/>
                <w:color w:val="FFFFFF"/>
                <w:sz w:val="18"/>
              </w:rPr>
              <w:t>Obniżenie o jeden rok</w:t>
            </w:r>
          </w:p>
        </w:tc>
      </w:tr>
      <w:tr w:rsidR="0043277E">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9"/>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(363)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383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(91)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54</w:t>
            </w:r>
          </w:p>
        </w:tc>
      </w:tr>
    </w:tbl>
    <w:p w:rsidR="0043277E" w:rsidRDefault="000F2348">
      <w:pPr>
        <w:pStyle w:val="DGTextstand-alone"/>
        <w:rPr>
          <w:rFonts w:eastAsia="Times New Roman"/>
          <w:color w:val="016794"/>
        </w:rPr>
      </w:pPr>
      <w:r>
        <w:rPr>
          <w:color w:val="016794"/>
        </w:rPr>
        <w:t>Wrażliwość systemu emerytalno-rentowego urzędników europejskich</w:t>
      </w:r>
    </w:p>
    <w:p w:rsidR="0043277E" w:rsidRDefault="000F2348">
      <w:pPr>
        <w:pStyle w:val="DGTextstand-alone"/>
      </w:pPr>
      <w:r>
        <w:t xml:space="preserve">Zmiana zakładanej stopy dyskontowej o dziesięć punktów bazowych </w:t>
      </w:r>
      <w:r>
        <w:t>(0,1 %) miałaby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43277E">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0"/>
              <w:rPr>
                <w:rFonts w:ascii="Arial" w:eastAsia="Arial" w:hAnsi="Arial" w:cs="Arial"/>
                <w:noProof/>
                <w:color w:val="000000"/>
              </w:rPr>
            </w:pPr>
            <w:bookmarkStart w:id="87" w:name="DOC_TBL00042_1_1"/>
            <w:bookmarkEnd w:id="87"/>
          </w:p>
        </w:tc>
        <w:tc>
          <w:tcPr>
            <w:tcW w:w="163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0"/>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10"/>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0"/>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0"/>
              <w:jc w:val="center"/>
              <w:rPr>
                <w:rFonts w:ascii="Verdana" w:eastAsia="Verdana" w:hAnsi="Verdana" w:cs="Verdana"/>
                <w:noProof/>
                <w:color w:val="FFFFFF"/>
                <w:sz w:val="18"/>
              </w:rPr>
            </w:pPr>
            <w:r>
              <w:rPr>
                <w:rFonts w:ascii="Verdana" w:hAnsi="Verdana"/>
                <w:noProof/>
                <w:color w:val="FFFFFF"/>
                <w:sz w:val="18"/>
              </w:rPr>
              <w:t>2018</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10"/>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0"/>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0"/>
              <w:jc w:val="right"/>
              <w:rPr>
                <w:rFonts w:ascii="Verdana" w:eastAsia="Verdana" w:hAnsi="Verdana" w:cs="Verdana"/>
                <w:noProof/>
                <w:color w:val="FFFFFF"/>
                <w:sz w:val="18"/>
              </w:rPr>
            </w:pPr>
            <w:r>
              <w:rPr>
                <w:rFonts w:ascii="Verdana" w:hAnsi="Verdana"/>
                <w:noProof/>
                <w:color w:val="FFFFFF"/>
                <w:sz w:val="18"/>
              </w:rPr>
              <w:t>Spadek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0"/>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0"/>
              <w:jc w:val="right"/>
              <w:rPr>
                <w:rFonts w:ascii="Verdana" w:eastAsia="Verdana" w:hAnsi="Verdana" w:cs="Verdana"/>
                <w:noProof/>
                <w:color w:val="FFFFFF"/>
                <w:sz w:val="18"/>
              </w:rPr>
            </w:pPr>
            <w:r>
              <w:rPr>
                <w:rFonts w:ascii="Verdana" w:hAnsi="Verdana"/>
                <w:noProof/>
                <w:color w:val="FFFFFF"/>
                <w:sz w:val="18"/>
              </w:rPr>
              <w:t>Spadek o 0,1 %</w:t>
            </w:r>
          </w:p>
        </w:tc>
      </w:tr>
      <w:tr w:rsidR="0043277E">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0"/>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0"/>
              <w:jc w:val="right"/>
              <w:rPr>
                <w:rFonts w:ascii="Verdana" w:eastAsia="Verdana" w:hAnsi="Verdana" w:cs="Verdana"/>
                <w:i/>
                <w:noProof/>
                <w:color w:val="000000"/>
                <w:sz w:val="18"/>
              </w:rPr>
            </w:pPr>
            <w:r>
              <w:rPr>
                <w:rFonts w:ascii="Verdana" w:hAnsi="Verdana"/>
                <w:i/>
                <w:noProof/>
                <w:color w:val="000000"/>
                <w:sz w:val="18"/>
              </w:rPr>
              <w:t>(1 797)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0"/>
              <w:jc w:val="right"/>
              <w:rPr>
                <w:rFonts w:ascii="Verdana" w:eastAsia="Verdana" w:hAnsi="Verdana" w:cs="Verdana"/>
                <w:i/>
                <w:noProof/>
                <w:color w:val="000000"/>
                <w:sz w:val="18"/>
              </w:rPr>
            </w:pPr>
            <w:r>
              <w:rPr>
                <w:rFonts w:ascii="Verdana" w:hAnsi="Verdana"/>
                <w:i/>
                <w:noProof/>
                <w:color w:val="000000"/>
                <w:sz w:val="18"/>
              </w:rPr>
              <w:t>1 854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0"/>
              <w:jc w:val="right"/>
              <w:rPr>
                <w:rFonts w:ascii="Verdana" w:eastAsia="Verdana" w:hAnsi="Verdana" w:cs="Verdana"/>
                <w:i/>
                <w:noProof/>
                <w:color w:val="000000"/>
                <w:sz w:val="18"/>
              </w:rPr>
            </w:pPr>
            <w:r>
              <w:rPr>
                <w:rFonts w:ascii="Verdana" w:hAnsi="Verdana"/>
                <w:i/>
                <w:noProof/>
                <w:color w:val="000000"/>
                <w:sz w:val="18"/>
              </w:rPr>
              <w:t>(1 434)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0"/>
              <w:jc w:val="right"/>
              <w:rPr>
                <w:rFonts w:ascii="Verdana" w:eastAsia="Verdana" w:hAnsi="Verdana" w:cs="Verdana"/>
                <w:i/>
                <w:noProof/>
                <w:color w:val="000000"/>
                <w:sz w:val="18"/>
              </w:rPr>
            </w:pPr>
            <w:r>
              <w:rPr>
                <w:rFonts w:ascii="Verdana" w:hAnsi="Verdana"/>
                <w:i/>
                <w:noProof/>
                <w:color w:val="000000"/>
                <w:sz w:val="18"/>
              </w:rPr>
              <w:t>1 478</w:t>
            </w:r>
          </w:p>
        </w:tc>
      </w:tr>
    </w:tbl>
    <w:p w:rsidR="0043277E" w:rsidRDefault="000F2348">
      <w:pPr>
        <w:pStyle w:val="DGTextstand-alone"/>
      </w:pPr>
      <w:r>
        <w:t xml:space="preserve">Zmiana zakładanej stopy wzrostu wynagrodzeń o dziesięć </w:t>
      </w:r>
      <w:r>
        <w:t>punktów bazowych (0,1 %) miałaby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rsidR="0043277E">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1"/>
              <w:rPr>
                <w:rFonts w:ascii="Arial" w:eastAsia="Arial" w:hAnsi="Arial" w:cs="Arial"/>
                <w:noProof/>
                <w:color w:val="000000"/>
              </w:rPr>
            </w:pPr>
            <w:bookmarkStart w:id="88" w:name="DOC_TBL00043_1_1"/>
            <w:bookmarkEnd w:id="88"/>
          </w:p>
        </w:tc>
        <w:tc>
          <w:tcPr>
            <w:tcW w:w="163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1"/>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11"/>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1"/>
              <w:jc w:val="center"/>
              <w:rPr>
                <w:rFonts w:ascii="Verdana" w:eastAsia="Verdana" w:hAnsi="Verdana" w:cs="Verdana"/>
                <w:noProof/>
                <w:color w:val="FFFFFF"/>
                <w:sz w:val="18"/>
              </w:rPr>
            </w:pPr>
            <w:r>
              <w:rPr>
                <w:rFonts w:ascii="Verdana" w:hAnsi="Verdana"/>
                <w:noProof/>
                <w:color w:val="FFFFFF"/>
                <w:sz w:val="18"/>
              </w:rPr>
              <w:t>2019</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1"/>
              <w:jc w:val="center"/>
              <w:rPr>
                <w:rFonts w:ascii="Verdana" w:eastAsia="Verdana" w:hAnsi="Verdana" w:cs="Verdana"/>
                <w:noProof/>
                <w:color w:val="FFFFFF"/>
                <w:sz w:val="18"/>
              </w:rPr>
            </w:pPr>
            <w:r>
              <w:rPr>
                <w:rFonts w:ascii="Verdana" w:hAnsi="Verdana"/>
                <w:noProof/>
                <w:color w:val="FFFFFF"/>
                <w:sz w:val="18"/>
              </w:rPr>
              <w:t>2019</w:t>
            </w:r>
          </w:p>
        </w:tc>
      </w:tr>
      <w:tr w:rsidR="0043277E">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11"/>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1"/>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1"/>
              <w:jc w:val="right"/>
              <w:rPr>
                <w:rFonts w:ascii="Verdana" w:eastAsia="Verdana" w:hAnsi="Verdana" w:cs="Verdana"/>
                <w:noProof/>
                <w:color w:val="FFFFFF"/>
                <w:sz w:val="18"/>
              </w:rPr>
            </w:pPr>
            <w:r>
              <w:rPr>
                <w:rFonts w:ascii="Verdana" w:hAnsi="Verdana"/>
                <w:noProof/>
                <w:color w:val="FFFFFF"/>
                <w:sz w:val="18"/>
              </w:rPr>
              <w:t>Spadek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1"/>
              <w:jc w:val="right"/>
              <w:rPr>
                <w:rFonts w:ascii="Verdana" w:eastAsia="Verdana" w:hAnsi="Verdana" w:cs="Verdana"/>
                <w:noProof/>
                <w:color w:val="FFFFFF"/>
                <w:sz w:val="18"/>
              </w:rPr>
            </w:pPr>
            <w:r>
              <w:rPr>
                <w:rFonts w:ascii="Verdana" w:hAnsi="Verdana"/>
                <w:noProof/>
                <w:color w:val="FFFFFF"/>
                <w:sz w:val="18"/>
              </w:rPr>
              <w:t>Wzrost o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1"/>
              <w:jc w:val="right"/>
              <w:rPr>
                <w:rFonts w:ascii="Verdana" w:eastAsia="Verdana" w:hAnsi="Verdana" w:cs="Verdana"/>
                <w:noProof/>
                <w:color w:val="FFFFFF"/>
                <w:sz w:val="18"/>
              </w:rPr>
            </w:pPr>
            <w:r>
              <w:rPr>
                <w:rFonts w:ascii="Verdana" w:hAnsi="Verdana"/>
                <w:noProof/>
                <w:color w:val="FFFFFF"/>
                <w:sz w:val="18"/>
              </w:rPr>
              <w:t>Spadek o 0,1 %</w:t>
            </w:r>
          </w:p>
        </w:tc>
      </w:tr>
      <w:tr w:rsidR="0043277E">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1"/>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1"/>
              <w:jc w:val="right"/>
              <w:rPr>
                <w:rFonts w:ascii="Verdana" w:eastAsia="Verdana" w:hAnsi="Verdana" w:cs="Verdana"/>
                <w:i/>
                <w:noProof/>
                <w:color w:val="000000"/>
                <w:sz w:val="18"/>
              </w:rPr>
            </w:pPr>
            <w:r>
              <w:rPr>
                <w:rFonts w:ascii="Verdana" w:hAnsi="Verdana"/>
                <w:i/>
                <w:noProof/>
                <w:color w:val="000000"/>
                <w:sz w:val="18"/>
              </w:rPr>
              <w:t>1 774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1"/>
              <w:jc w:val="right"/>
              <w:rPr>
                <w:rFonts w:ascii="Verdana" w:eastAsia="Verdana" w:hAnsi="Verdana" w:cs="Verdana"/>
                <w:i/>
                <w:noProof/>
                <w:color w:val="000000"/>
                <w:sz w:val="18"/>
              </w:rPr>
            </w:pPr>
            <w:r>
              <w:rPr>
                <w:rFonts w:ascii="Verdana" w:hAnsi="Verdana"/>
                <w:i/>
                <w:noProof/>
                <w:color w:val="000000"/>
                <w:sz w:val="18"/>
              </w:rPr>
              <w:t>(1 724)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1"/>
              <w:jc w:val="right"/>
              <w:rPr>
                <w:rFonts w:ascii="Verdana" w:eastAsia="Verdana" w:hAnsi="Verdana" w:cs="Verdana"/>
                <w:i/>
                <w:noProof/>
                <w:color w:val="000000"/>
                <w:sz w:val="18"/>
              </w:rPr>
            </w:pPr>
            <w:r>
              <w:rPr>
                <w:rFonts w:ascii="Verdana" w:hAnsi="Verdana"/>
                <w:i/>
                <w:noProof/>
                <w:color w:val="000000"/>
                <w:sz w:val="18"/>
              </w:rPr>
              <w:t>1 427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1"/>
              <w:jc w:val="right"/>
              <w:rPr>
                <w:rFonts w:ascii="Verdana" w:eastAsia="Verdana" w:hAnsi="Verdana" w:cs="Verdana"/>
                <w:i/>
                <w:noProof/>
                <w:color w:val="000000"/>
                <w:sz w:val="18"/>
              </w:rPr>
            </w:pPr>
            <w:r>
              <w:rPr>
                <w:rFonts w:ascii="Verdana" w:hAnsi="Verdana"/>
                <w:i/>
                <w:noProof/>
                <w:color w:val="000000"/>
                <w:sz w:val="18"/>
              </w:rPr>
              <w:t>(1 388)</w:t>
            </w:r>
          </w:p>
        </w:tc>
      </w:tr>
    </w:tbl>
    <w:p w:rsidR="0043277E" w:rsidRDefault="000F2348">
      <w:pPr>
        <w:pStyle w:val="DGTextstand-alone"/>
        <w:keepNext/>
      </w:pPr>
      <w:r>
        <w:lastRenderedPageBreak/>
        <w:t xml:space="preserve">Zmiana o jeden rok przyjętego wieku </w:t>
      </w:r>
      <w:r>
        <w:t>emerytalnego miałaby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rsidR="0043277E">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2"/>
              <w:keepNext/>
              <w:rPr>
                <w:rFonts w:ascii="Arial" w:eastAsia="Arial" w:hAnsi="Arial" w:cs="Arial"/>
                <w:noProof/>
                <w:color w:val="000000"/>
              </w:rPr>
            </w:pPr>
            <w:bookmarkStart w:id="89" w:name="DOC_TBL00044_1_1"/>
            <w:bookmarkEnd w:id="89"/>
          </w:p>
        </w:tc>
        <w:tc>
          <w:tcPr>
            <w:tcW w:w="182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2"/>
              <w:keepNext/>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2"/>
              <w:keepNext/>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4BIPPENS12"/>
              <w:keepNext/>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4BIPPENS12"/>
              <w:keepNex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12"/>
              <w:keepNext/>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2"/>
              <w:keepNext/>
              <w:jc w:val="center"/>
              <w:rPr>
                <w:rFonts w:ascii="Verdana" w:eastAsia="Verdana" w:hAnsi="Verdana" w:cs="Verdana"/>
                <w:noProof/>
                <w:color w:val="FFFFFF"/>
                <w:sz w:val="18"/>
              </w:rPr>
            </w:pPr>
            <w:r>
              <w:rPr>
                <w:rFonts w:ascii="Verdana" w:hAnsi="Verdana"/>
                <w:noProof/>
                <w:color w:val="FFFFFF"/>
                <w:sz w:val="18"/>
              </w:rPr>
              <w:t>2019</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2"/>
              <w:keepNext/>
              <w:jc w:val="center"/>
              <w:rPr>
                <w:rFonts w:ascii="Verdana" w:eastAsia="Verdana" w:hAnsi="Verdana" w:cs="Verdana"/>
                <w:noProof/>
                <w:color w:val="FFFFFF"/>
                <w:sz w:val="18"/>
              </w:rPr>
            </w:pPr>
            <w:r>
              <w:rPr>
                <w:rFonts w:ascii="Verdana" w:hAnsi="Verdana"/>
                <w:noProof/>
                <w:color w:val="FFFFFF"/>
                <w:sz w:val="18"/>
              </w:rPr>
              <w:t>2018</w:t>
            </w:r>
          </w:p>
        </w:tc>
      </w:tr>
      <w:tr w:rsidR="0043277E">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4BIPPENS12"/>
              <w:keepNext/>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2"/>
              <w:keepNext/>
              <w:jc w:val="right"/>
              <w:rPr>
                <w:rFonts w:ascii="Verdana" w:eastAsia="Verdana" w:hAnsi="Verdana" w:cs="Verdana"/>
                <w:noProof/>
                <w:color w:val="FFFFFF"/>
                <w:sz w:val="18"/>
              </w:rPr>
            </w:pPr>
            <w:r>
              <w:rPr>
                <w:rFonts w:ascii="Verdana" w:hAnsi="Verdana"/>
                <w:noProof/>
                <w:color w:val="FFFFFF"/>
                <w:sz w:val="18"/>
              </w:rPr>
              <w:t>Podwyższenie o jeden rok</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2"/>
              <w:keepNext/>
              <w:jc w:val="right"/>
              <w:rPr>
                <w:rFonts w:ascii="Verdana" w:eastAsia="Verdana" w:hAnsi="Verdana" w:cs="Verdana"/>
                <w:noProof/>
                <w:color w:val="FFFFFF"/>
                <w:sz w:val="18"/>
              </w:rPr>
            </w:pPr>
            <w:r>
              <w:rPr>
                <w:rFonts w:ascii="Verdana" w:hAnsi="Verdana"/>
                <w:noProof/>
                <w:color w:val="FFFFFF"/>
                <w:sz w:val="18"/>
              </w:rPr>
              <w:t>Obniżenie o jeden rok</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2"/>
              <w:keepNext/>
              <w:jc w:val="right"/>
              <w:rPr>
                <w:rFonts w:ascii="Verdana" w:eastAsia="Verdana" w:hAnsi="Verdana" w:cs="Verdana"/>
                <w:noProof/>
                <w:color w:val="FFFFFF"/>
                <w:sz w:val="18"/>
              </w:rPr>
            </w:pPr>
            <w:r>
              <w:rPr>
                <w:rFonts w:ascii="Verdana" w:hAnsi="Verdana"/>
                <w:noProof/>
                <w:color w:val="FFFFFF"/>
                <w:sz w:val="18"/>
              </w:rPr>
              <w:t>Podwyższenie o jeden rok</w:t>
            </w:r>
          </w:p>
        </w:tc>
        <w:tc>
          <w:tcPr>
            <w:tcW w:w="18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4BIPPENS12"/>
              <w:keepNext/>
              <w:jc w:val="right"/>
              <w:rPr>
                <w:rFonts w:ascii="Verdana" w:eastAsia="Verdana" w:hAnsi="Verdana" w:cs="Verdana"/>
                <w:noProof/>
                <w:color w:val="FFFFFF"/>
                <w:sz w:val="18"/>
              </w:rPr>
            </w:pPr>
            <w:r>
              <w:rPr>
                <w:rFonts w:ascii="Verdana" w:hAnsi="Verdana"/>
                <w:noProof/>
                <w:color w:val="FFFFFF"/>
                <w:sz w:val="18"/>
              </w:rPr>
              <w:t>Obniżenie o jeden rok</w:t>
            </w:r>
          </w:p>
        </w:tc>
      </w:tr>
      <w:tr w:rsidR="0043277E">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2"/>
              <w:rPr>
                <w:rFonts w:ascii="Verdana" w:eastAsia="Verdana" w:hAnsi="Verdana" w:cs="Verdana"/>
                <w:i/>
                <w:noProof/>
                <w:color w:val="000000"/>
                <w:sz w:val="18"/>
              </w:rPr>
            </w:pPr>
            <w:r>
              <w:rPr>
                <w:rFonts w:ascii="Verdana" w:hAnsi="Verdana"/>
                <w:i/>
                <w:noProof/>
                <w:color w:val="000000"/>
                <w:sz w:val="18"/>
              </w:rPr>
              <w:t>Zobowiązania z tytułu określonych świadczeń</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(620)</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771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(573)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645</w:t>
            </w:r>
          </w:p>
        </w:tc>
      </w:tr>
      <w:bookmarkEnd w:id="78"/>
    </w:tbl>
    <w:p w:rsidR="0043277E" w:rsidRDefault="0043277E">
      <w:pPr>
        <w:pStyle w:val="DGTextstand-alone"/>
        <w:rPr>
          <w:lang w:bidi="en-GB"/>
        </w:rPr>
        <w:sectPr w:rsidR="0043277E">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rsidR="0043277E" w:rsidRDefault="000F2348">
      <w:pPr>
        <w:pStyle w:val="HEADER2NOTES"/>
        <w:rPr>
          <w:noProof/>
        </w:rPr>
      </w:pPr>
      <w:bookmarkStart w:id="90" w:name="_DMBM_17131"/>
      <w:r>
        <w:rPr>
          <w:noProof/>
        </w:rPr>
        <w:lastRenderedPageBreak/>
        <w:t>REZERWY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00"/>
        <w:gridCol w:w="1200"/>
        <w:gridCol w:w="1560"/>
        <w:gridCol w:w="960"/>
        <w:gridCol w:w="1200"/>
        <w:gridCol w:w="1200"/>
        <w:gridCol w:w="1178"/>
      </w:tblGrid>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5BIPPROV"/>
              <w:rPr>
                <w:rFonts w:ascii="Arial" w:eastAsia="Arial" w:hAnsi="Arial" w:cs="Arial"/>
                <w:noProof/>
                <w:color w:val="000000"/>
              </w:rPr>
            </w:pPr>
            <w:bookmarkStart w:id="91" w:name="DOC_TBL00045_1_1"/>
            <w:bookmarkEnd w:id="91"/>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5BIPPROV"/>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5BIPPROV"/>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5BIPPROV"/>
              <w:rPr>
                <w:rFonts w:ascii="Arial" w:eastAsia="Arial" w:hAnsi="Arial" w:cs="Arial"/>
                <w:noProof/>
                <w:color w:val="000000"/>
              </w:rPr>
            </w:pPr>
          </w:p>
        </w:tc>
        <w:tc>
          <w:tcPr>
            <w:tcW w:w="9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5BIPPROV"/>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5BIPPROV"/>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5BIPPROV"/>
              <w:rPr>
                <w:rFonts w:ascii="Arial" w:eastAsia="Arial" w:hAnsi="Arial" w:cs="Arial"/>
                <w:noProof/>
                <w:color w:val="000000"/>
              </w:rPr>
            </w:pPr>
          </w:p>
        </w:tc>
        <w:tc>
          <w:tcPr>
            <w:tcW w:w="117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5BIPPROV"/>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126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5BIPPROV"/>
              <w:jc w:val="right"/>
              <w:rPr>
                <w:rFonts w:ascii="Verdana" w:eastAsia="Verdana" w:hAnsi="Verdana" w:cs="Verdana"/>
                <w:noProof/>
                <w:color w:val="FFFFFF"/>
                <w:sz w:val="18"/>
              </w:rPr>
            </w:pPr>
          </w:p>
        </w:tc>
        <w:tc>
          <w:tcPr>
            <w:tcW w:w="120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5BIPPROV"/>
              <w:jc w:val="right"/>
              <w:rPr>
                <w:rFonts w:ascii="Verdana" w:eastAsia="Verdana" w:hAnsi="Verdana" w:cs="Verdana"/>
                <w:noProof/>
                <w:color w:val="FFFFFF"/>
                <w:sz w:val="17"/>
                <w:szCs w:val="17"/>
              </w:rPr>
            </w:pPr>
            <w:r>
              <w:rPr>
                <w:rFonts w:ascii="Verdana" w:hAnsi="Verdana"/>
                <w:noProof/>
                <w:color w:val="FFFFFF"/>
                <w:sz w:val="17"/>
                <w:szCs w:val="17"/>
              </w:rPr>
              <w:t>Stan na 31.12.2018</w:t>
            </w:r>
          </w:p>
        </w:tc>
        <w:tc>
          <w:tcPr>
            <w:tcW w:w="120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5BIPPROV"/>
              <w:jc w:val="right"/>
              <w:rPr>
                <w:rFonts w:ascii="Verdana" w:eastAsia="Verdana" w:hAnsi="Verdana" w:cs="Verdana"/>
                <w:noProof/>
                <w:color w:val="FFFFFF"/>
                <w:sz w:val="17"/>
                <w:szCs w:val="17"/>
              </w:rPr>
            </w:pPr>
            <w:r>
              <w:rPr>
                <w:rFonts w:ascii="Verdana" w:hAnsi="Verdana"/>
                <w:noProof/>
                <w:color w:val="FFFFFF"/>
                <w:sz w:val="17"/>
                <w:szCs w:val="17"/>
              </w:rPr>
              <w:t>Dodatkowe rezerwy</w:t>
            </w:r>
          </w:p>
        </w:tc>
        <w:tc>
          <w:tcPr>
            <w:tcW w:w="156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5BIPPROV"/>
              <w:jc w:val="right"/>
              <w:rPr>
                <w:rFonts w:ascii="Verdana" w:eastAsia="Verdana" w:hAnsi="Verdana" w:cs="Verdana"/>
                <w:noProof/>
                <w:color w:val="FFFFFF"/>
                <w:sz w:val="17"/>
                <w:szCs w:val="17"/>
              </w:rPr>
            </w:pPr>
            <w:r>
              <w:rPr>
                <w:rFonts w:ascii="Verdana" w:hAnsi="Verdana"/>
                <w:noProof/>
                <w:color w:val="FFFFFF"/>
                <w:sz w:val="17"/>
                <w:szCs w:val="17"/>
              </w:rPr>
              <w:t>Cofnięte kwoty niewykorzystane</w:t>
            </w:r>
          </w:p>
        </w:tc>
        <w:tc>
          <w:tcPr>
            <w:tcW w:w="96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5BIPPROV"/>
              <w:ind w:right="-69"/>
              <w:jc w:val="right"/>
              <w:rPr>
                <w:rFonts w:ascii="Verdana" w:eastAsia="Verdana" w:hAnsi="Verdana" w:cs="Verdana"/>
                <w:noProof/>
                <w:color w:val="FFFFFF"/>
                <w:sz w:val="17"/>
                <w:szCs w:val="17"/>
              </w:rPr>
            </w:pPr>
            <w:r>
              <w:rPr>
                <w:rFonts w:ascii="Verdana" w:hAnsi="Verdana"/>
                <w:noProof/>
                <w:color w:val="FFFFFF"/>
                <w:sz w:val="17"/>
                <w:szCs w:val="17"/>
              </w:rPr>
              <w:t>Kwoty wykorzystane</w:t>
            </w:r>
          </w:p>
        </w:tc>
        <w:tc>
          <w:tcPr>
            <w:tcW w:w="120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5BIPPROV"/>
              <w:jc w:val="right"/>
              <w:rPr>
                <w:rFonts w:ascii="Verdana" w:eastAsia="Verdana" w:hAnsi="Verdana" w:cs="Verdana"/>
                <w:noProof/>
                <w:color w:val="FFFFFF"/>
                <w:sz w:val="17"/>
                <w:szCs w:val="17"/>
              </w:rPr>
            </w:pPr>
            <w:r>
              <w:rPr>
                <w:rFonts w:ascii="Verdana" w:hAnsi="Verdana"/>
                <w:noProof/>
                <w:color w:val="FFFFFF"/>
                <w:sz w:val="17"/>
                <w:szCs w:val="17"/>
              </w:rPr>
              <w:t>Przesunięcia między kategoriami</w:t>
            </w:r>
          </w:p>
        </w:tc>
        <w:tc>
          <w:tcPr>
            <w:tcW w:w="120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5BIPPROV"/>
              <w:jc w:val="right"/>
              <w:rPr>
                <w:rFonts w:ascii="Verdana" w:eastAsia="Verdana" w:hAnsi="Verdana" w:cs="Verdana"/>
                <w:noProof/>
                <w:color w:val="FFFFFF"/>
                <w:sz w:val="17"/>
                <w:szCs w:val="17"/>
              </w:rPr>
            </w:pPr>
            <w:r>
              <w:rPr>
                <w:rFonts w:ascii="Verdana" w:hAnsi="Verdana"/>
                <w:noProof/>
                <w:color w:val="FFFFFF"/>
                <w:sz w:val="17"/>
                <w:szCs w:val="17"/>
              </w:rPr>
              <w:t xml:space="preserve">Zmiana w </w:t>
            </w:r>
            <w:r>
              <w:rPr>
                <w:rFonts w:ascii="Verdana" w:hAnsi="Verdana"/>
                <w:noProof/>
                <w:color w:val="FFFFFF"/>
                <w:sz w:val="17"/>
                <w:szCs w:val="17"/>
              </w:rPr>
              <w:t>szacunkach</w:t>
            </w:r>
          </w:p>
        </w:tc>
        <w:tc>
          <w:tcPr>
            <w:tcW w:w="1178"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45BIPPROV"/>
              <w:jc w:val="right"/>
              <w:rPr>
                <w:rFonts w:ascii="Verdana" w:eastAsia="Verdana" w:hAnsi="Verdana" w:cs="Verdana"/>
                <w:noProof/>
                <w:color w:val="FFFFFF"/>
                <w:sz w:val="17"/>
                <w:szCs w:val="17"/>
              </w:rPr>
            </w:pPr>
            <w:r>
              <w:rPr>
                <w:rFonts w:ascii="Verdana" w:hAnsi="Verdana"/>
                <w:noProof/>
                <w:color w:val="FFFFFF"/>
                <w:sz w:val="17"/>
                <w:szCs w:val="17"/>
              </w:rPr>
              <w:t>Stan na 31.12.2019</w:t>
            </w:r>
          </w:p>
        </w:tc>
      </w:tr>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rPr>
                <w:rFonts w:ascii="Verdana" w:eastAsia="Verdana" w:hAnsi="Verdana" w:cs="Verdana"/>
                <w:i/>
                <w:noProof/>
                <w:color w:val="000000"/>
                <w:sz w:val="18"/>
              </w:rPr>
            </w:pPr>
            <w:r>
              <w:rPr>
                <w:rFonts w:ascii="Verdana" w:hAnsi="Verdana"/>
                <w:i/>
                <w:noProof/>
                <w:color w:val="000000"/>
                <w:sz w:val="18"/>
              </w:rPr>
              <w:t>Sprawy sądowe: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5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lang w:bidi="en-GB"/>
              </w:rPr>
            </w:pPr>
          </w:p>
        </w:tc>
      </w:tr>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rPr>
                <w:rFonts w:ascii="Verdana" w:eastAsia="Verdana" w:hAnsi="Verdana" w:cs="Verdana"/>
                <w:i/>
                <w:noProof/>
                <w:color w:val="000000"/>
                <w:sz w:val="18"/>
              </w:rPr>
            </w:pPr>
            <w:r>
              <w:rPr>
                <w:rFonts w:ascii="Verdana" w:hAnsi="Verdana"/>
                <w:i/>
                <w:noProof/>
                <w:color w:val="000000"/>
                <w:sz w:val="18"/>
              </w:rPr>
              <w:t xml:space="preserve">     Rolnictwo</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439</w:t>
            </w:r>
          </w:p>
        </w:tc>
        <w:tc>
          <w:tcPr>
            <w:tcW w:w="15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(269)</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441</w:t>
            </w:r>
          </w:p>
        </w:tc>
      </w:tr>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rPr>
                <w:rFonts w:ascii="Verdana" w:eastAsia="Verdana" w:hAnsi="Verdana" w:cs="Verdana"/>
                <w:i/>
                <w:noProof/>
                <w:color w:val="000000"/>
                <w:sz w:val="18"/>
              </w:rPr>
            </w:pPr>
            <w:r>
              <w:rPr>
                <w:rFonts w:ascii="Verdana" w:hAnsi="Verdana"/>
                <w:i/>
                <w:noProof/>
                <w:color w:val="000000"/>
                <w:sz w:val="18"/>
              </w:rPr>
              <w:t xml:space="preserve">     Inne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100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w:t>
            </w:r>
          </w:p>
        </w:tc>
        <w:tc>
          <w:tcPr>
            <w:tcW w:w="15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(6)</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12</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103</w:t>
            </w:r>
          </w:p>
        </w:tc>
      </w:tr>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rPr>
                <w:rFonts w:ascii="Verdana" w:eastAsia="Verdana" w:hAnsi="Verdana" w:cs="Verdana"/>
                <w:i/>
                <w:noProof/>
                <w:color w:val="000000"/>
                <w:sz w:val="18"/>
              </w:rPr>
            </w:pPr>
            <w:r>
              <w:rPr>
                <w:rFonts w:ascii="Verdana" w:hAnsi="Verdana"/>
                <w:i/>
                <w:noProof/>
                <w:color w:val="000000"/>
                <w:sz w:val="18"/>
              </w:rPr>
              <w:t>Likwidacja obiektów jądrowych</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1 933</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5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233</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2 132</w:t>
            </w:r>
          </w:p>
        </w:tc>
      </w:tr>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rPr>
                <w:rFonts w:ascii="Verdana" w:eastAsia="Verdana" w:hAnsi="Verdana" w:cs="Verdana"/>
                <w:i/>
                <w:noProof/>
                <w:color w:val="000000"/>
                <w:sz w:val="18"/>
              </w:rPr>
            </w:pPr>
            <w:r>
              <w:rPr>
                <w:rFonts w:ascii="Verdana" w:hAnsi="Verdana"/>
                <w:i/>
                <w:noProof/>
                <w:color w:val="000000"/>
                <w:sz w:val="18"/>
              </w:rPr>
              <w:t>Rezerwy finansowe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1 551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587</w:t>
            </w:r>
          </w:p>
        </w:tc>
        <w:tc>
          <w:tcPr>
            <w:tcW w:w="15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(206)</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7</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1 938</w:t>
            </w:r>
          </w:p>
        </w:tc>
      </w:tr>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rPr>
                <w:rFonts w:ascii="Verdana" w:eastAsia="Verdana" w:hAnsi="Verdana" w:cs="Verdana"/>
                <w:i/>
                <w:noProof/>
                <w:color w:val="000000"/>
                <w:sz w:val="18"/>
              </w:rPr>
            </w:pPr>
            <w:r>
              <w:rPr>
                <w:rFonts w:ascii="Verdana" w:hAnsi="Verdana"/>
                <w:i/>
                <w:noProof/>
                <w:color w:val="000000"/>
                <w:sz w:val="18"/>
              </w:rPr>
              <w:t>Inne</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278</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31</w:t>
            </w:r>
          </w:p>
        </w:tc>
        <w:tc>
          <w:tcPr>
            <w:tcW w:w="15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(12)</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211</w:t>
            </w:r>
          </w:p>
        </w:tc>
      </w:tr>
      <w:tr w:rsidR="0043277E">
        <w:trPr>
          <w:trHeight w:val="255"/>
        </w:trPr>
        <w:tc>
          <w:tcPr>
            <w:tcW w:w="126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rPr>
                <w:rFonts w:ascii="Verdana" w:eastAsia="Verdana" w:hAnsi="Verdana" w:cs="Verdana"/>
                <w:b/>
                <w:noProof/>
                <w:color w:val="000000"/>
                <w:sz w:val="18"/>
              </w:rPr>
            </w:pPr>
            <w:r>
              <w:rPr>
                <w:rFonts w:ascii="Verdana" w:hAnsi="Verdana"/>
                <w:b/>
                <w:noProof/>
                <w:color w:val="000000"/>
                <w:sz w:val="18"/>
              </w:rPr>
              <w:t>Ogółem</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4 132</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1 061</w:t>
            </w:r>
          </w:p>
        </w:tc>
        <w:tc>
          <w:tcPr>
            <w:tcW w:w="156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(43)</w:t>
            </w:r>
          </w:p>
        </w:tc>
        <w:tc>
          <w:tcPr>
            <w:tcW w:w="96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(539)</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0</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214</w:t>
            </w:r>
          </w:p>
        </w:tc>
        <w:tc>
          <w:tcPr>
            <w:tcW w:w="117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4 826</w:t>
            </w:r>
          </w:p>
        </w:tc>
      </w:tr>
      <w:tr w:rsidR="0043277E">
        <w:trPr>
          <w:trHeight w:val="255"/>
        </w:trPr>
        <w:tc>
          <w:tcPr>
            <w:tcW w:w="12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rPr>
                <w:rFonts w:ascii="Verdana" w:eastAsia="Verdana" w:hAnsi="Verdana" w:cs="Verdana"/>
                <w:b/>
                <w:noProof/>
                <w:color w:val="000000"/>
                <w:sz w:val="18"/>
              </w:rPr>
            </w:pPr>
            <w:r>
              <w:rPr>
                <w:rFonts w:ascii="Verdana" w:hAnsi="Verdana"/>
                <w:b/>
                <w:noProof/>
                <w:color w:val="000000"/>
                <w:sz w:val="18"/>
              </w:rPr>
              <w:t>Trwałe</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3 281</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871</w:t>
            </w:r>
          </w:p>
        </w:tc>
        <w:tc>
          <w:tcPr>
            <w:tcW w:w="15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(17)</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(278)</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(362)</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215</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3 710</w:t>
            </w:r>
          </w:p>
        </w:tc>
      </w:tr>
      <w:tr w:rsidR="0043277E">
        <w:trPr>
          <w:trHeight w:val="255"/>
        </w:trPr>
        <w:tc>
          <w:tcPr>
            <w:tcW w:w="12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5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rPr>
            </w:pP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5BIPPROV"/>
              <w:jc w:val="right"/>
              <w:rPr>
                <w:rFonts w:ascii="Verdana" w:eastAsia="Verdana" w:hAnsi="Verdana" w:cs="Verdana"/>
                <w:b/>
                <w:noProof/>
                <w:color w:val="000000"/>
                <w:sz w:val="18"/>
                <w:lang w:bidi="en-GB"/>
              </w:rPr>
            </w:pPr>
          </w:p>
        </w:tc>
      </w:tr>
      <w:tr w:rsidR="0043277E">
        <w:trPr>
          <w:trHeight w:val="255"/>
        </w:trPr>
        <w:tc>
          <w:tcPr>
            <w:tcW w:w="12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rPr>
                <w:rFonts w:ascii="Verdana" w:eastAsia="Verdana" w:hAnsi="Verdana" w:cs="Verdana"/>
                <w:b/>
                <w:noProof/>
                <w:color w:val="000000"/>
                <w:sz w:val="18"/>
              </w:rPr>
            </w:pPr>
            <w:r>
              <w:rPr>
                <w:rFonts w:ascii="Verdana" w:hAnsi="Verdana"/>
                <w:b/>
                <w:noProof/>
                <w:color w:val="000000"/>
                <w:sz w:val="18"/>
              </w:rPr>
              <w:t>Obrotowe</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852</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190</w:t>
            </w:r>
          </w:p>
        </w:tc>
        <w:tc>
          <w:tcPr>
            <w:tcW w:w="15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(27)</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(261)</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362</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5BIPPROV"/>
              <w:jc w:val="right"/>
              <w:rPr>
                <w:rFonts w:ascii="Verdana" w:eastAsia="Verdana" w:hAnsi="Verdana" w:cs="Verdana"/>
                <w:b/>
                <w:noProof/>
                <w:color w:val="000000"/>
                <w:sz w:val="18"/>
              </w:rPr>
            </w:pPr>
            <w:r>
              <w:rPr>
                <w:rFonts w:ascii="Verdana" w:hAnsi="Verdana"/>
                <w:b/>
                <w:noProof/>
                <w:color w:val="000000"/>
                <w:sz w:val="18"/>
              </w:rPr>
              <w:t>1 116</w:t>
            </w:r>
          </w:p>
        </w:tc>
      </w:tr>
    </w:tbl>
    <w:p w:rsidR="0043277E" w:rsidRDefault="000F2348">
      <w:pPr>
        <w:pStyle w:val="DGTextstand-alone"/>
      </w:pPr>
      <w:r>
        <w:t xml:space="preserve">Rezerwy to kwoty oszacowane w wiarygodny sposób, które </w:t>
      </w:r>
      <w:r>
        <w:t>powstają na skutek przeszłych zdarzeń i prawdopodobnie będą musiały zostać pokryte w przyszłości z budżetu UE.</w:t>
      </w:r>
    </w:p>
    <w:p w:rsidR="0043277E" w:rsidRDefault="000F2348">
      <w:pPr>
        <w:pStyle w:val="HEADER5"/>
        <w:rPr>
          <w:noProof/>
        </w:rPr>
      </w:pPr>
      <w:r>
        <w:rPr>
          <w:noProof/>
        </w:rPr>
        <w:t>Sprawy sądowe</w:t>
      </w:r>
    </w:p>
    <w:p w:rsidR="0043277E" w:rsidRDefault="000F2348">
      <w:pPr>
        <w:pStyle w:val="DGTextstand-alone"/>
      </w:pPr>
      <w:r>
        <w:t>W pozycji tej wykazano szacunkowe kwoty, które prawdopodobnie będzie należało wypłacić po zakończeniu roku w związku z toczącymi si</w:t>
      </w:r>
      <w:r>
        <w:t>ę sprawami sądowymi. Kwoty ujęte w pozycji „Rolnictwo” obejmują czynności prawne podejmowane przez państwa członkowskie przeciwko decyzjom w ramach kontroli zgodności obliczeń wydanym w odniesieniu do EFRG.</w:t>
      </w:r>
    </w:p>
    <w:p w:rsidR="0043277E" w:rsidRDefault="000F2348">
      <w:pPr>
        <w:pStyle w:val="HEADER5"/>
        <w:rPr>
          <w:b/>
          <w:noProof/>
        </w:rPr>
      </w:pPr>
      <w:r>
        <w:rPr>
          <w:noProof/>
        </w:rPr>
        <w:t>Likwidacja obiektów jądrowych</w:t>
      </w:r>
    </w:p>
    <w:p w:rsidR="0043277E" w:rsidRDefault="000F2348">
      <w:pPr>
        <w:pStyle w:val="DGTextstand-alone"/>
      </w:pPr>
      <w:r>
        <w:t>Od 2017 r. podstawa</w:t>
      </w:r>
      <w:r>
        <w:t xml:space="preserve"> istnienia rezerwy została zmieniona zgodnie ze zaktualizowaną strategią programu JRC w zakresie likwidacji obiektów jądrowych i gospodarowania odpadami z 2017 r. Przegląd strategii oraz potrzeb w zakresie budżetu i personelu przeprowadzono razem z niezale</w:t>
      </w:r>
      <w:r>
        <w:t>żną grupą ekspertów ds. programu JRC w zakresie likwidacji obiektów jądrowych i gospodarowania odpadami. Jest to najlepszy dostępny szacunek budżetu oraz personelu potrzebnego do ukończenia likwidacji obiektów jądrowych JRC w Isprze, Geel, Karlsruhe i Pett</w:t>
      </w:r>
      <w:r>
        <w:t>en.</w:t>
      </w:r>
    </w:p>
    <w:p w:rsidR="0043277E" w:rsidRDefault="000F2348">
      <w:pPr>
        <w:pStyle w:val="DGTextstand-alone"/>
      </w:pPr>
      <w:r>
        <w:t xml:space="preserve">Zgodnie z zasadami rachunkowości UE ta rezerwa jest indeksowana wskaźnikiem inflacji, a następnie dyskontowana do jej wartości bieżącej netto (w oparciu o krzywą swapu w euro). Na dzień 31 grudnia 2019 r. stan tej rezerwy wynosił w związku z tym 2 132 </w:t>
      </w:r>
      <w:r>
        <w:t>mln EUR, podzielone na kwoty, których wykorzystania należy się spodziewać w 2020 r. (31 mln EUR) i później (2 101 mln EUR). Wzrost w porównaniu z 2018 r. wynika głównie z obniżenia stopy dyskontowej stosowanej w odniesieniu do szacunkowych przyszłych koszt</w:t>
      </w:r>
      <w:r>
        <w:t>ów.</w:t>
      </w:r>
    </w:p>
    <w:p w:rsidR="0043277E" w:rsidRDefault="000F2348">
      <w:pPr>
        <w:pStyle w:val="DGTextstand-alone"/>
      </w:pPr>
      <w:r>
        <w:t>Należy zauważyć, że znaczna niepewność związana z długoterminowym planowaniem likwidacji obiektów jądrowych może mieć wpływ na ten szacunek, który w przyszłości może znacząco wzrosnąć. Główne źródła niepewności są związane ze stanem końcowym likwidowan</w:t>
      </w:r>
      <w:r>
        <w:t>ego obiektu, materiałami jądrowymi, gospodarowaniem odpadami i aspektami związanymi z ich unieszkodliwieniem, niekompletnym określeniem krajowych ram regulacyjnych lub ich brakiem, skomplikowanymi i czasochłonnymi procedurami udzielania zezwoleń oraz przys</w:t>
      </w:r>
      <w:r>
        <w:t>złymi zmianami na przemysłowym rynku likwidacji.</w:t>
      </w:r>
    </w:p>
    <w:p w:rsidR="0043277E" w:rsidRDefault="000F2348">
      <w:pPr>
        <w:pStyle w:val="HEADER5"/>
        <w:rPr>
          <w:b/>
          <w:noProof/>
        </w:rPr>
      </w:pPr>
      <w:r>
        <w:rPr>
          <w:noProof/>
        </w:rPr>
        <w:t>Rezerwy finansowe</w:t>
      </w:r>
    </w:p>
    <w:p w:rsidR="0043277E" w:rsidRDefault="000F2348">
      <w:pPr>
        <w:pStyle w:val="DGTextstand-alone"/>
      </w:pPr>
      <w:r>
        <w:t xml:space="preserve">Rezerwy finansowe to przede wszystkim rezerwy odpowiadające szacunkowym stratom, które zostaną poniesione w związku z gwarancjami udzielonymi w ramach różnych instrumentów finansowych. </w:t>
      </w:r>
      <w:r>
        <w:t>Dotyczy to przypadków, gdy podmioty, którym powierzono to zadanie, są upoważnione do udzielania gwarancji we własnym imieniu, ale z upoważnienia i na ryzyko UE. Istnieją ograniczenia dotyczące ryzyka finansowego ponoszonego przez UE w związku z gwarancjami</w:t>
      </w:r>
      <w:r>
        <w:t xml:space="preserve"> i tworzone są rezerwy aktywów </w:t>
      </w:r>
      <w:r>
        <w:lastRenderedPageBreak/>
        <w:t>finansowych na pokrycie przyszłych uruchomień gwarancji. Pozycja ta obejmuje również rezerwy na pokrycie niespłaconych kredytów udzielonych Syrii przez EBI w ramach upoważnienia EBI do udzielania pożyczek na rzecz państw trze</w:t>
      </w:r>
      <w:r>
        <w:t>cich i tym samym zagwarantowanych przez UE za pośrednictwem Funduszu Gwarancyjnego dla działań zewnętrznych. Długoterminowe rezerwy finansowe są dyskontowane do ich wartości bieżącej netto.</w:t>
      </w:r>
    </w:p>
    <w:p w:rsidR="0043277E" w:rsidRDefault="000F2348">
      <w:pPr>
        <w:pStyle w:val="DGTextstand-alone"/>
      </w:pPr>
      <w:r>
        <w:t>Zwiększenie rezerw finansowych jest związane ze wzrostem ilości op</w:t>
      </w:r>
      <w:r>
        <w:t>eracji objętych gwarancją w ramach instrumentów finansowych „Horyzont 2020” i COSME.</w:t>
      </w:r>
    </w:p>
    <w:p w:rsidR="0043277E" w:rsidRDefault="0043277E">
      <w:pPr>
        <w:pStyle w:val="DGTextstand-alone"/>
      </w:pPr>
    </w:p>
    <w:bookmarkEnd w:id="90"/>
    <w:p w:rsidR="0043277E" w:rsidRDefault="0043277E">
      <w:pPr>
        <w:pStyle w:val="DGTextstand-alone"/>
        <w:sectPr w:rsidR="0043277E">
          <w:headerReference w:type="even" r:id="rId191"/>
          <w:headerReference w:type="default" r:id="rId192"/>
          <w:footerReference w:type="even" r:id="rId193"/>
          <w:footerReference w:type="default" r:id="rId194"/>
          <w:headerReference w:type="first" r:id="rId195"/>
          <w:footerReference w:type="first" r:id="rId196"/>
          <w:pgSz w:w="11906" w:h="16838"/>
          <w:pgMar w:top="1134" w:right="1134" w:bottom="1134" w:left="1134" w:header="709" w:footer="709" w:gutter="0"/>
          <w:cols w:space="708"/>
          <w:docGrid w:linePitch="360"/>
        </w:sectPr>
      </w:pPr>
    </w:p>
    <w:p w:rsidR="0043277E" w:rsidRDefault="000F2348">
      <w:pPr>
        <w:pStyle w:val="HEADER2NOTES"/>
        <w:rPr>
          <w:noProof/>
        </w:rPr>
      </w:pPr>
      <w:bookmarkStart w:id="92" w:name="_DMBM_17127"/>
      <w:r>
        <w:rPr>
          <w:noProof/>
        </w:rPr>
        <w:lastRenderedPageBreak/>
        <w:t>ZOBOWIĄZANIA FINANSOWE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5"/>
        <w:gridCol w:w="1464"/>
        <w:gridCol w:w="1464"/>
        <w:gridCol w:w="1465"/>
      </w:tblGrid>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rPr>
                <w:rFonts w:ascii="Verdana" w:eastAsia="Verdana" w:hAnsi="Verdana" w:cs="Verdana"/>
                <w:i/>
                <w:noProof/>
                <w:color w:val="FFFFFF"/>
                <w:sz w:val="16"/>
              </w:rPr>
            </w:pPr>
            <w:bookmarkStart w:id="93" w:name="DOC_TBL00046_1_1"/>
            <w:bookmarkEnd w:id="93"/>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rPr>
                <w:rFonts w:ascii="Arial" w:eastAsia="Arial" w:hAnsi="Arial" w:cs="Arial"/>
                <w:noProof/>
                <w:color w:val="000000"/>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365"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6BIPFINL"/>
              <w:rPr>
                <w:rFonts w:ascii="Verdana" w:eastAsia="Verdana" w:hAnsi="Verdana" w:cs="Verdana"/>
                <w:noProof/>
                <w:color w:val="FFFFFF"/>
              </w:rPr>
            </w:pPr>
          </w:p>
        </w:tc>
        <w:tc>
          <w:tcPr>
            <w:tcW w:w="146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FINL"/>
              <w:jc w:val="center"/>
              <w:rPr>
                <w:rFonts w:ascii="Verdana" w:eastAsia="Verdana" w:hAnsi="Verdana" w:cs="Verdana"/>
                <w:noProof/>
                <w:color w:val="FFFFFF"/>
              </w:rPr>
            </w:pPr>
            <w:r>
              <w:rPr>
                <w:rFonts w:ascii="Verdana" w:hAnsi="Verdana"/>
                <w:noProof/>
                <w:color w:val="FFFFFF"/>
              </w:rPr>
              <w:t xml:space="preserve">Informacja </w:t>
            </w:r>
            <w:r>
              <w:rPr>
                <w:rFonts w:ascii="Verdana" w:hAnsi="Verdana"/>
                <w:noProof/>
                <w:color w:val="FFFFFF"/>
              </w:rPr>
              <w:t>dodatkowa</w:t>
            </w:r>
          </w:p>
        </w:tc>
        <w:tc>
          <w:tcPr>
            <w:tcW w:w="146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FINL"/>
              <w:jc w:val="right"/>
              <w:rPr>
                <w:rFonts w:ascii="Verdana" w:eastAsia="Verdana" w:hAnsi="Verdana" w:cs="Verdana"/>
                <w:noProof/>
                <w:color w:val="FFFFFF"/>
              </w:rPr>
            </w:pPr>
            <w:r>
              <w:rPr>
                <w:rFonts w:ascii="Verdana" w:hAnsi="Verdana"/>
                <w:noProof/>
                <w:color w:val="FFFFFF"/>
              </w:rPr>
              <w:t>31.12.2019</w:t>
            </w:r>
          </w:p>
        </w:tc>
        <w:tc>
          <w:tcPr>
            <w:tcW w:w="146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FINL"/>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b/>
                <w:noProof/>
                <w:color w:val="000000"/>
                <w:sz w:val="18"/>
              </w:rPr>
            </w:pPr>
            <w:r>
              <w:rPr>
                <w:rFonts w:ascii="Verdana" w:hAnsi="Verdana"/>
                <w:b/>
                <w:noProof/>
                <w:color w:val="000000"/>
                <w:sz w:val="18"/>
              </w:rPr>
              <w:t>Trwałe</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rPr>
                <w:rFonts w:ascii="Arial" w:eastAsia="Arial" w:hAnsi="Arial" w:cs="Arial"/>
                <w:noProof/>
                <w:color w:val="000000"/>
                <w:lang w:bidi="en-GB"/>
              </w:rPr>
            </w:pPr>
          </w:p>
        </w:tc>
      </w:tr>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i/>
                <w:noProof/>
                <w:color w:val="000000"/>
                <w:sz w:val="18"/>
              </w:rPr>
            </w:pPr>
            <w:r>
              <w:rPr>
                <w:rFonts w:ascii="Verdana" w:hAnsi="Verdana"/>
                <w:i/>
                <w:noProof/>
                <w:color w:val="000000"/>
                <w:sz w:val="18"/>
              </w:rPr>
              <w:t>Zobowiązania finansowe wyceniane według zamortyzowanego kosztu</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center"/>
              <w:rPr>
                <w:rFonts w:ascii="Verdana" w:eastAsia="Verdana" w:hAnsi="Verdana" w:cs="Verdana"/>
                <w:i/>
                <w:noProof/>
                <w:color w:val="000000"/>
                <w:sz w:val="18"/>
              </w:rPr>
            </w:pPr>
            <w:r>
              <w:rPr>
                <w:rFonts w:ascii="Verdana" w:hAnsi="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53 062</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53 281</w:t>
            </w:r>
          </w:p>
        </w:tc>
      </w:tr>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i/>
                <w:noProof/>
                <w:color w:val="000000"/>
                <w:sz w:val="18"/>
              </w:rPr>
            </w:pPr>
            <w:r>
              <w:rPr>
                <w:rFonts w:ascii="Verdana" w:hAnsi="Verdana"/>
                <w:i/>
                <w:noProof/>
                <w:color w:val="000000"/>
                <w:sz w:val="18"/>
              </w:rPr>
              <w:t>Zobowiązania finansowe wyceniane według wartości godziwej przez nadwyżkę lub deficyt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center"/>
              <w:rPr>
                <w:rFonts w:ascii="Verdana" w:eastAsia="Verdana" w:hAnsi="Verdana" w:cs="Verdana"/>
                <w:i/>
                <w:noProof/>
                <w:color w:val="000000"/>
                <w:sz w:val="18"/>
              </w:rPr>
            </w:pPr>
            <w:r>
              <w:rPr>
                <w:rFonts w:ascii="Verdana" w:hAnsi="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9</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7</w:t>
            </w:r>
          </w:p>
        </w:tc>
      </w:tr>
      <w:tr w:rsidR="0043277E">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6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6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6BIPFINL"/>
              <w:jc w:val="right"/>
              <w:rPr>
                <w:rFonts w:ascii="Verdana" w:eastAsia="Verdana" w:hAnsi="Verdana" w:cs="Verdana"/>
                <w:b/>
                <w:noProof/>
                <w:color w:val="000000"/>
                <w:sz w:val="18"/>
              </w:rPr>
            </w:pPr>
            <w:r>
              <w:rPr>
                <w:rFonts w:ascii="Verdana" w:hAnsi="Verdana"/>
                <w:b/>
                <w:noProof/>
                <w:color w:val="000000"/>
                <w:sz w:val="18"/>
              </w:rPr>
              <w:t>53 071</w:t>
            </w:r>
          </w:p>
        </w:tc>
        <w:tc>
          <w:tcPr>
            <w:tcW w:w="146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6BIPFINL"/>
              <w:jc w:val="right"/>
              <w:rPr>
                <w:rFonts w:ascii="Verdana" w:eastAsia="Verdana" w:hAnsi="Verdana" w:cs="Verdana"/>
                <w:b/>
                <w:noProof/>
                <w:color w:val="000000"/>
                <w:sz w:val="18"/>
              </w:rPr>
            </w:pPr>
            <w:r>
              <w:rPr>
                <w:rFonts w:ascii="Verdana" w:hAnsi="Verdana"/>
                <w:b/>
                <w:noProof/>
                <w:color w:val="000000"/>
                <w:sz w:val="18"/>
              </w:rPr>
              <w:t>53 289</w:t>
            </w:r>
          </w:p>
        </w:tc>
      </w:tr>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b/>
                <w:noProof/>
                <w:color w:val="000000"/>
                <w:sz w:val="18"/>
              </w:rPr>
            </w:pPr>
            <w:r>
              <w:rPr>
                <w:rFonts w:ascii="Verdana" w:hAnsi="Verdana"/>
                <w:b/>
                <w:noProof/>
                <w:color w:val="000000"/>
                <w:sz w:val="18"/>
              </w:rPr>
              <w:t>Obrotowe</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INL"/>
              <w:rPr>
                <w:rFonts w:ascii="Arial" w:eastAsia="Arial" w:hAnsi="Arial" w:cs="Arial"/>
                <w:noProof/>
                <w:color w:val="000000"/>
                <w:lang w:bidi="en-GB"/>
              </w:rPr>
            </w:pPr>
          </w:p>
        </w:tc>
      </w:tr>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i/>
                <w:noProof/>
                <w:color w:val="000000"/>
                <w:sz w:val="18"/>
              </w:rPr>
            </w:pPr>
            <w:r>
              <w:rPr>
                <w:rFonts w:ascii="Verdana" w:hAnsi="Verdana"/>
                <w:i/>
                <w:noProof/>
                <w:color w:val="000000"/>
                <w:sz w:val="18"/>
              </w:rPr>
              <w:t>Zobowiązania finansowe wyceniane według zamortyzowanego kosztu</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center"/>
              <w:rPr>
                <w:rFonts w:ascii="Verdana" w:eastAsia="Verdana" w:hAnsi="Verdana" w:cs="Verdana"/>
                <w:i/>
                <w:noProof/>
                <w:color w:val="000000"/>
                <w:sz w:val="18"/>
              </w:rPr>
            </w:pPr>
            <w:r>
              <w:rPr>
                <w:rFonts w:ascii="Verdana" w:hAnsi="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1 423</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2 602</w:t>
            </w:r>
          </w:p>
        </w:tc>
      </w:tr>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i/>
                <w:noProof/>
                <w:color w:val="000000"/>
                <w:sz w:val="18"/>
              </w:rPr>
            </w:pPr>
            <w:r>
              <w:rPr>
                <w:rFonts w:ascii="Verdana" w:hAnsi="Verdana"/>
                <w:i/>
                <w:noProof/>
                <w:color w:val="000000"/>
                <w:sz w:val="18"/>
              </w:rPr>
              <w:t>Zobowiązania finansowe wyceniane według wartości godziwej przez nadwyżkę lub deficyt</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center"/>
              <w:rPr>
                <w:rFonts w:ascii="Verdana" w:eastAsia="Verdana" w:hAnsi="Verdana" w:cs="Verdana"/>
                <w:i/>
                <w:noProof/>
                <w:color w:val="000000"/>
                <w:sz w:val="18"/>
              </w:rPr>
            </w:pPr>
            <w:r>
              <w:rPr>
                <w:rFonts w:ascii="Verdana" w:hAnsi="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4</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15</w:t>
            </w:r>
          </w:p>
        </w:tc>
      </w:tr>
      <w:tr w:rsidR="0043277E">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i/>
                <w:noProof/>
                <w:color w:val="000000"/>
                <w:sz w:val="18"/>
              </w:rPr>
            </w:pPr>
            <w:r>
              <w:rPr>
                <w:rFonts w:ascii="Verdana" w:hAnsi="Verdana"/>
                <w:i/>
                <w:noProof/>
                <w:color w:val="000000"/>
                <w:sz w:val="18"/>
              </w:rPr>
              <w:t>Zobowiązania z tytułu gwarancji finansowych</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center"/>
              <w:rPr>
                <w:rFonts w:ascii="Verdana" w:eastAsia="Verdana" w:hAnsi="Verdana" w:cs="Verdana"/>
                <w:i/>
                <w:noProof/>
                <w:color w:val="000000"/>
                <w:sz w:val="18"/>
              </w:rPr>
            </w:pPr>
            <w:r>
              <w:rPr>
                <w:rFonts w:ascii="Verdana" w:hAnsi="Verdana"/>
                <w:i/>
                <w:noProof/>
                <w:color w:val="000000"/>
                <w:sz w:val="18"/>
              </w:rPr>
              <w:t>2.11.3</w:t>
            </w:r>
          </w:p>
        </w:tc>
        <w:tc>
          <w:tcPr>
            <w:tcW w:w="14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20</w:t>
            </w:r>
          </w:p>
        </w:tc>
        <w:tc>
          <w:tcPr>
            <w:tcW w:w="146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6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46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6BIPFINL"/>
              <w:jc w:val="right"/>
              <w:rPr>
                <w:rFonts w:ascii="Verdana" w:eastAsia="Verdana" w:hAnsi="Verdana" w:cs="Verdana"/>
                <w:b/>
                <w:noProof/>
                <w:color w:val="000000"/>
                <w:sz w:val="18"/>
              </w:rPr>
            </w:pPr>
            <w:r>
              <w:rPr>
                <w:rFonts w:ascii="Verdana" w:hAnsi="Verdana"/>
                <w:b/>
                <w:noProof/>
                <w:color w:val="000000"/>
                <w:sz w:val="18"/>
              </w:rPr>
              <w:t>1 446</w:t>
            </w:r>
          </w:p>
        </w:tc>
        <w:tc>
          <w:tcPr>
            <w:tcW w:w="146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6BIPFINL"/>
              <w:jc w:val="right"/>
              <w:rPr>
                <w:rFonts w:ascii="Verdana" w:eastAsia="Verdana" w:hAnsi="Verdana" w:cs="Verdana"/>
                <w:b/>
                <w:noProof/>
                <w:color w:val="000000"/>
                <w:sz w:val="18"/>
              </w:rPr>
            </w:pPr>
            <w:r>
              <w:rPr>
                <w:rFonts w:ascii="Verdana" w:hAnsi="Verdana"/>
                <w:b/>
                <w:noProof/>
                <w:color w:val="000000"/>
                <w:sz w:val="18"/>
              </w:rPr>
              <w:t>2 617</w:t>
            </w:r>
          </w:p>
        </w:tc>
      </w:tr>
      <w:tr w:rsidR="0043277E">
        <w:trPr>
          <w:trHeight w:val="255"/>
        </w:trPr>
        <w:tc>
          <w:tcPr>
            <w:tcW w:w="536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6BIPFINL"/>
              <w:rPr>
                <w:rFonts w:ascii="Verdana" w:eastAsia="Verdana" w:hAnsi="Verdana" w:cs="Verdana"/>
                <w:b/>
                <w:noProof/>
                <w:color w:val="000000"/>
                <w:sz w:val="18"/>
              </w:rPr>
            </w:pPr>
            <w:r>
              <w:rPr>
                <w:rFonts w:ascii="Verdana" w:hAnsi="Verdana"/>
                <w:b/>
                <w:noProof/>
                <w:color w:val="000000"/>
                <w:sz w:val="18"/>
              </w:rPr>
              <w:t>Ogółem</w:t>
            </w: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6BIPFINL"/>
              <w:jc w:val="center"/>
              <w:rPr>
                <w:rFonts w:ascii="Verdana" w:eastAsia="Verdana" w:hAnsi="Verdana" w:cs="Verdana"/>
                <w:noProof/>
                <w:color w:val="000000"/>
                <w:sz w:val="18"/>
              </w:rPr>
            </w:pP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b/>
                <w:noProof/>
                <w:color w:val="000000"/>
                <w:sz w:val="18"/>
              </w:rPr>
            </w:pPr>
            <w:r>
              <w:rPr>
                <w:rFonts w:ascii="Verdana" w:hAnsi="Verdana"/>
                <w:b/>
                <w:noProof/>
                <w:color w:val="000000"/>
                <w:sz w:val="18"/>
              </w:rPr>
              <w:t>54 517</w:t>
            </w:r>
          </w:p>
        </w:tc>
        <w:tc>
          <w:tcPr>
            <w:tcW w:w="1465" w:type="dxa"/>
            <w:tcBorders>
              <w:top w:val="nil"/>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6BIPFINL"/>
              <w:jc w:val="right"/>
              <w:rPr>
                <w:rFonts w:ascii="Verdana" w:eastAsia="Verdana" w:hAnsi="Verdana" w:cs="Verdana"/>
                <w:b/>
                <w:noProof/>
                <w:color w:val="000000"/>
                <w:sz w:val="18"/>
              </w:rPr>
            </w:pPr>
            <w:r>
              <w:rPr>
                <w:rFonts w:ascii="Verdana" w:hAnsi="Verdana"/>
                <w:b/>
                <w:noProof/>
                <w:color w:val="000000"/>
                <w:sz w:val="18"/>
              </w:rPr>
              <w:t>55 906</w:t>
            </w:r>
          </w:p>
        </w:tc>
      </w:tr>
    </w:tbl>
    <w:p w:rsidR="0043277E" w:rsidRDefault="000F2348">
      <w:pPr>
        <w:pStyle w:val="HEADER3NOTES"/>
        <w:rPr>
          <w:noProof/>
        </w:rPr>
      </w:pPr>
      <w:r>
        <w:rPr>
          <w:noProof/>
        </w:rPr>
        <w:t xml:space="preserve">Zobowiązania finansowe wyceniane według zamortyzowanego kosztu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6"/>
        <w:gridCol w:w="1464"/>
        <w:gridCol w:w="1464"/>
        <w:gridCol w:w="1464"/>
      </w:tblGrid>
      <w:tr w:rsidR="0043277E">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LB"/>
              <w:rPr>
                <w:rFonts w:ascii="Verdana" w:eastAsia="Verdana" w:hAnsi="Verdana" w:cs="Verdana"/>
                <w:i/>
                <w:noProof/>
                <w:color w:val="FFFFFF"/>
                <w:sz w:val="16"/>
              </w:rPr>
            </w:pPr>
            <w:bookmarkStart w:id="94" w:name="DOC_TBL00047_1_1"/>
            <w:bookmarkEnd w:id="94"/>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LB"/>
              <w:rPr>
                <w:rFonts w:ascii="Arial" w:eastAsia="Arial" w:hAnsi="Arial" w:cs="Arial"/>
                <w:noProof/>
                <w:color w:val="000000"/>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LB"/>
              <w:rPr>
                <w:rFonts w:ascii="Arial" w:eastAsia="Arial" w:hAnsi="Arial" w:cs="Arial"/>
                <w:noProof/>
                <w:color w:val="000000"/>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36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6BIPFLB"/>
              <w:rPr>
                <w:rFonts w:ascii="Verdana" w:eastAsia="Verdana" w:hAnsi="Verdana" w:cs="Verdana"/>
                <w:noProof/>
                <w:color w:val="FFFFFF"/>
              </w:rPr>
            </w:pP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FLB"/>
              <w:jc w:val="center"/>
              <w:rPr>
                <w:rFonts w:ascii="Verdana" w:eastAsia="Verdana" w:hAnsi="Verdana" w:cs="Verdana"/>
                <w:noProof/>
                <w:color w:val="FFFFFF"/>
              </w:rPr>
            </w:pPr>
            <w:r>
              <w:rPr>
                <w:rFonts w:ascii="Verdana" w:hAnsi="Verdana"/>
                <w:noProof/>
                <w:color w:val="FFFFFF"/>
              </w:rPr>
              <w:t>Informacja dodatkowa</w:t>
            </w: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FLB"/>
              <w:jc w:val="right"/>
              <w:rPr>
                <w:rFonts w:ascii="Verdana" w:eastAsia="Verdana" w:hAnsi="Verdana" w:cs="Verdana"/>
                <w:noProof/>
                <w:color w:val="FFFFFF"/>
              </w:rPr>
            </w:pPr>
            <w:r>
              <w:rPr>
                <w:rFonts w:ascii="Verdana" w:hAnsi="Verdana"/>
                <w:noProof/>
                <w:color w:val="FFFFFF"/>
              </w:rPr>
              <w:t>31.12.2019</w:t>
            </w:r>
          </w:p>
        </w:tc>
        <w:tc>
          <w:tcPr>
            <w:tcW w:w="14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FLB"/>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rPr>
                <w:rFonts w:ascii="Verdana" w:eastAsia="Verdana" w:hAnsi="Verdana" w:cs="Verdana"/>
                <w:i/>
                <w:noProof/>
                <w:color w:val="000000"/>
                <w:sz w:val="18"/>
              </w:rPr>
            </w:pPr>
            <w:r>
              <w:rPr>
                <w:rFonts w:ascii="Verdana" w:hAnsi="Verdana"/>
                <w:i/>
                <w:noProof/>
                <w:color w:val="000000"/>
                <w:sz w:val="18"/>
              </w:rPr>
              <w:t>Pożyczki na pomoc finansową</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center"/>
              <w:rPr>
                <w:rFonts w:ascii="Verdana" w:eastAsia="Verdana" w:hAnsi="Verdana" w:cs="Verdana"/>
                <w:i/>
                <w:noProof/>
                <w:color w:val="000000"/>
                <w:sz w:val="18"/>
              </w:rPr>
            </w:pPr>
            <w:r>
              <w:rPr>
                <w:rFonts w:ascii="Verdana" w:hAnsi="Verdana"/>
                <w:i/>
                <w:noProof/>
                <w:color w:val="000000"/>
                <w:sz w:val="18"/>
              </w:rPr>
              <w:t>2.11.1.1</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00000"/>
                <w:sz w:val="18"/>
              </w:rPr>
            </w:pPr>
            <w:r>
              <w:rPr>
                <w:rFonts w:ascii="Verdana" w:hAnsi="Verdana"/>
                <w:i/>
                <w:noProof/>
                <w:color w:val="000000"/>
                <w:sz w:val="18"/>
              </w:rPr>
              <w:t>52 564</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00000"/>
                <w:sz w:val="18"/>
              </w:rPr>
            </w:pPr>
            <w:r>
              <w:rPr>
                <w:rFonts w:ascii="Verdana" w:hAnsi="Verdana"/>
                <w:i/>
                <w:noProof/>
                <w:color w:val="000000"/>
                <w:sz w:val="18"/>
              </w:rPr>
              <w:t>53 872</w:t>
            </w:r>
          </w:p>
        </w:tc>
      </w:tr>
      <w:tr w:rsidR="0043277E">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rPr>
                <w:rFonts w:ascii="Verdana" w:eastAsia="Verdana" w:hAnsi="Verdana" w:cs="Verdana"/>
                <w:i/>
                <w:noProof/>
                <w:color w:val="000000"/>
                <w:sz w:val="18"/>
              </w:rPr>
            </w:pPr>
            <w:r>
              <w:rPr>
                <w:rFonts w:ascii="Verdana" w:hAnsi="Verdana"/>
                <w:i/>
                <w:noProof/>
                <w:color w:val="000000"/>
                <w:sz w:val="18"/>
              </w:rPr>
              <w:t>Inne zobowiązania finansowe</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center"/>
              <w:rPr>
                <w:rFonts w:ascii="Verdana" w:eastAsia="Verdana" w:hAnsi="Verdana" w:cs="Verdana"/>
                <w:i/>
                <w:noProof/>
                <w:color w:val="000000"/>
                <w:sz w:val="18"/>
              </w:rPr>
            </w:pPr>
            <w:r>
              <w:rPr>
                <w:rFonts w:ascii="Verdana" w:hAnsi="Verdana"/>
                <w:i/>
                <w:noProof/>
                <w:color w:val="000000"/>
                <w:sz w:val="18"/>
              </w:rPr>
              <w:t>2.11.1.2</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00000"/>
                <w:sz w:val="18"/>
              </w:rPr>
            </w:pPr>
            <w:r>
              <w:rPr>
                <w:rFonts w:ascii="Verdana" w:hAnsi="Verdana"/>
                <w:i/>
                <w:noProof/>
                <w:color w:val="000000"/>
                <w:sz w:val="18"/>
              </w:rPr>
              <w:t>1 921</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00000"/>
                <w:sz w:val="18"/>
              </w:rPr>
            </w:pPr>
            <w:r>
              <w:rPr>
                <w:rFonts w:ascii="Verdana" w:hAnsi="Verdana"/>
                <w:i/>
                <w:noProof/>
                <w:color w:val="000000"/>
                <w:sz w:val="18"/>
              </w:rPr>
              <w:t>2 012</w:t>
            </w:r>
          </w:p>
        </w:tc>
      </w:tr>
      <w:tr w:rsidR="0043277E">
        <w:trPr>
          <w:trHeight w:val="255"/>
        </w:trPr>
        <w:tc>
          <w:tcPr>
            <w:tcW w:w="5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6BIPFLB"/>
              <w:rPr>
                <w:rFonts w:ascii="Verdana" w:eastAsia="Verdana" w:hAnsi="Verdana" w:cs="Verdana"/>
                <w:b/>
                <w:noProof/>
                <w:color w:val="000000"/>
                <w:sz w:val="18"/>
              </w:rPr>
            </w:pPr>
            <w:r>
              <w:rPr>
                <w:rFonts w:ascii="Verdana" w:hAnsi="Verdana"/>
                <w:b/>
                <w:noProof/>
                <w:color w:val="000000"/>
                <w:sz w:val="18"/>
              </w:rPr>
              <w:t>Ogółem</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6BIPFLB"/>
              <w:jc w:val="center"/>
              <w:rPr>
                <w:rFonts w:ascii="Verdana" w:eastAsia="Verdana" w:hAnsi="Verdana" w:cs="Verdana"/>
                <w:noProof/>
                <w:color w:val="000000"/>
                <w:sz w:val="18"/>
              </w:rPr>
            </w:pP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b/>
                <w:noProof/>
                <w:color w:val="000000"/>
                <w:sz w:val="18"/>
              </w:rPr>
            </w:pPr>
            <w:r>
              <w:rPr>
                <w:rFonts w:ascii="Verdana" w:hAnsi="Verdana"/>
                <w:b/>
                <w:noProof/>
                <w:color w:val="000000"/>
                <w:sz w:val="18"/>
              </w:rPr>
              <w:t>54 485</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b/>
                <w:noProof/>
                <w:color w:val="000000"/>
                <w:sz w:val="18"/>
              </w:rPr>
            </w:pPr>
            <w:r>
              <w:rPr>
                <w:rFonts w:ascii="Verdana" w:hAnsi="Verdana"/>
                <w:b/>
                <w:noProof/>
                <w:color w:val="000000"/>
                <w:sz w:val="18"/>
              </w:rPr>
              <w:t>55 884</w:t>
            </w:r>
          </w:p>
        </w:tc>
      </w:tr>
      <w:tr w:rsidR="0043277E">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rPr>
                <w:rFonts w:ascii="Verdana" w:eastAsia="Verdana" w:hAnsi="Verdana" w:cs="Verdana"/>
                <w:i/>
                <w:noProof/>
                <w:color w:val="016794"/>
                <w:sz w:val="18"/>
              </w:rPr>
            </w:pPr>
            <w:r>
              <w:rPr>
                <w:rFonts w:ascii="Verdana" w:hAnsi="Verdana"/>
                <w:i/>
                <w:noProof/>
                <w:color w:val="016794"/>
                <w:sz w:val="18"/>
              </w:rPr>
              <w:t>Trwałe</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LB"/>
              <w:jc w:val="center"/>
              <w:rPr>
                <w:rFonts w:ascii="Verdana" w:eastAsia="Verdana" w:hAnsi="Verdana" w:cs="Verdana"/>
                <w:i/>
                <w:noProof/>
                <w:color w:val="016794"/>
                <w:sz w:val="18"/>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16794"/>
                <w:sz w:val="18"/>
              </w:rPr>
            </w:pPr>
            <w:r>
              <w:rPr>
                <w:rFonts w:ascii="Verdana" w:hAnsi="Verdana"/>
                <w:i/>
                <w:noProof/>
                <w:color w:val="016794"/>
                <w:sz w:val="18"/>
              </w:rPr>
              <w:t>53 062</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16794"/>
                <w:sz w:val="18"/>
              </w:rPr>
            </w:pPr>
            <w:r>
              <w:rPr>
                <w:rFonts w:ascii="Verdana" w:hAnsi="Verdana"/>
                <w:i/>
                <w:noProof/>
                <w:color w:val="016794"/>
                <w:sz w:val="18"/>
              </w:rPr>
              <w:t>53 281</w:t>
            </w:r>
          </w:p>
        </w:tc>
      </w:tr>
      <w:tr w:rsidR="0043277E">
        <w:trPr>
          <w:trHeight w:val="255"/>
        </w:trPr>
        <w:tc>
          <w:tcPr>
            <w:tcW w:w="53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rPr>
                <w:rFonts w:ascii="Verdana" w:eastAsia="Verdana" w:hAnsi="Verdana" w:cs="Verdana"/>
                <w:i/>
                <w:noProof/>
                <w:color w:val="016794"/>
                <w:sz w:val="18"/>
              </w:rPr>
            </w:pPr>
            <w:r>
              <w:rPr>
                <w:rFonts w:ascii="Verdana" w:hAnsi="Verdana"/>
                <w:i/>
                <w:noProof/>
                <w:color w:val="016794"/>
                <w:sz w:val="18"/>
              </w:rPr>
              <w:t>Obrotowe</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6BIPFLB"/>
              <w:jc w:val="center"/>
              <w:rPr>
                <w:rFonts w:ascii="Verdana" w:eastAsia="Verdana" w:hAnsi="Verdana" w:cs="Verdana"/>
                <w:i/>
                <w:noProof/>
                <w:color w:val="016794"/>
                <w:sz w:val="18"/>
              </w:rPr>
            </w:pP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16794"/>
                <w:sz w:val="18"/>
              </w:rPr>
            </w:pPr>
            <w:r>
              <w:rPr>
                <w:rFonts w:ascii="Verdana" w:hAnsi="Verdana"/>
                <w:i/>
                <w:noProof/>
                <w:color w:val="016794"/>
                <w:sz w:val="18"/>
              </w:rPr>
              <w:t>1 423</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FLB"/>
              <w:jc w:val="right"/>
              <w:rPr>
                <w:rFonts w:ascii="Verdana" w:eastAsia="Verdana" w:hAnsi="Verdana" w:cs="Verdana"/>
                <w:i/>
                <w:noProof/>
                <w:color w:val="016794"/>
                <w:sz w:val="18"/>
              </w:rPr>
            </w:pPr>
            <w:r>
              <w:rPr>
                <w:rFonts w:ascii="Verdana" w:hAnsi="Verdana"/>
                <w:i/>
                <w:noProof/>
                <w:color w:val="016794"/>
                <w:sz w:val="18"/>
              </w:rPr>
              <w:t>2 602</w:t>
            </w:r>
          </w:p>
        </w:tc>
      </w:tr>
    </w:tbl>
    <w:p w:rsidR="0043277E" w:rsidRDefault="000F2348">
      <w:pPr>
        <w:pStyle w:val="HEADER4NOTES"/>
        <w:rPr>
          <w:noProof/>
        </w:rPr>
      </w:pPr>
      <w:r>
        <w:rPr>
          <w:noProof/>
        </w:rPr>
        <w:t>Pożyczki na pomoc finansową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826"/>
        <w:gridCol w:w="1100"/>
        <w:gridCol w:w="1068"/>
        <w:gridCol w:w="1068"/>
        <w:gridCol w:w="1405"/>
        <w:gridCol w:w="1072"/>
      </w:tblGrid>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6BIPLGFBF"/>
              <w:rPr>
                <w:rFonts w:ascii="Arial" w:eastAsia="Arial" w:hAnsi="Arial" w:cs="Arial"/>
                <w:noProof/>
                <w:color w:val="000000"/>
              </w:rPr>
            </w:pPr>
            <w:bookmarkStart w:id="95" w:name="DOC_TBL00048_1_1"/>
            <w:bookmarkEnd w:id="95"/>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6BIPLGFBF"/>
              <w:rPr>
                <w:rFonts w:ascii="Arial" w:eastAsia="Arial" w:hAnsi="Arial" w:cs="Arial"/>
                <w:noProof/>
                <w:color w:val="000000"/>
              </w:rPr>
            </w:pP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6BIPLGFBF"/>
              <w:rPr>
                <w:rFonts w:ascii="Arial" w:eastAsia="Arial" w:hAnsi="Arial" w:cs="Arial"/>
                <w:noProof/>
                <w:color w:val="000000"/>
              </w:rPr>
            </w:pP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6BIPLGFBF"/>
              <w:rPr>
                <w:rFonts w:ascii="Arial" w:eastAsia="Arial" w:hAnsi="Arial" w:cs="Arial"/>
                <w:noProof/>
                <w:color w:val="000000"/>
              </w:rPr>
            </w:pP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21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6BIPLGFBF"/>
              <w:jc w:val="right"/>
              <w:rPr>
                <w:rFonts w:ascii="Verdana" w:eastAsia="Verdana" w:hAnsi="Verdana" w:cs="Verdana"/>
                <w:noProof/>
                <w:color w:val="FFFFFF"/>
              </w:rPr>
            </w:pP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LGFBF"/>
              <w:jc w:val="right"/>
              <w:rPr>
                <w:rFonts w:ascii="Verdana" w:eastAsia="Verdana" w:hAnsi="Verdana" w:cs="Verdana"/>
                <w:noProof/>
                <w:color w:val="FFFFFF"/>
                <w:sz w:val="18"/>
              </w:rPr>
            </w:pPr>
            <w:r>
              <w:rPr>
                <w:rFonts w:ascii="Verdana" w:hAnsi="Verdana"/>
                <w:noProof/>
                <w:color w:val="FFFFFF"/>
                <w:sz w:val="18"/>
              </w:rPr>
              <w:t>EFSM</w:t>
            </w:r>
          </w:p>
        </w:tc>
        <w:tc>
          <w:tcPr>
            <w:tcW w:w="110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LGFBF"/>
              <w:jc w:val="right"/>
              <w:rPr>
                <w:rFonts w:ascii="Verdana" w:eastAsia="Verdana" w:hAnsi="Verdana" w:cs="Verdana"/>
                <w:noProof/>
                <w:color w:val="FFFFFF"/>
                <w:sz w:val="18"/>
              </w:rPr>
            </w:pPr>
            <w:r>
              <w:rPr>
                <w:rFonts w:ascii="Verdana" w:hAnsi="Verdana"/>
                <w:noProof/>
                <w:color w:val="FFFFFF"/>
                <w:sz w:val="18"/>
              </w:rPr>
              <w:t>Wsparcie bilansu płatniczego</w:t>
            </w:r>
          </w:p>
        </w:tc>
        <w:tc>
          <w:tcPr>
            <w:tcW w:w="106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LGFBF"/>
              <w:jc w:val="right"/>
              <w:rPr>
                <w:rFonts w:ascii="Verdana" w:eastAsia="Verdana" w:hAnsi="Verdana" w:cs="Verdana"/>
                <w:noProof/>
                <w:color w:val="FFFFFF"/>
                <w:sz w:val="18"/>
              </w:rPr>
            </w:pPr>
            <w:r>
              <w:rPr>
                <w:rFonts w:ascii="Verdana" w:hAnsi="Verdana"/>
                <w:noProof/>
                <w:color w:val="FFFFFF"/>
                <w:sz w:val="18"/>
              </w:rPr>
              <w:t>Pomoc makrofinansowa</w:t>
            </w:r>
          </w:p>
        </w:tc>
        <w:tc>
          <w:tcPr>
            <w:tcW w:w="106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LGFBF"/>
              <w:jc w:val="right"/>
              <w:rPr>
                <w:rFonts w:ascii="Verdana" w:eastAsia="Verdana" w:hAnsi="Verdana" w:cs="Verdana"/>
                <w:noProof/>
                <w:color w:val="FFFFFF"/>
                <w:sz w:val="18"/>
              </w:rPr>
            </w:pPr>
            <w:r>
              <w:rPr>
                <w:rFonts w:ascii="Verdana" w:hAnsi="Verdana"/>
                <w:noProof/>
                <w:color w:val="FFFFFF"/>
                <w:sz w:val="18"/>
              </w:rPr>
              <w:t>Euratom</w:t>
            </w:r>
          </w:p>
        </w:tc>
        <w:tc>
          <w:tcPr>
            <w:tcW w:w="140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LGFBF"/>
              <w:jc w:val="right"/>
              <w:rPr>
                <w:rFonts w:ascii="Verdana" w:eastAsia="Verdana" w:hAnsi="Verdana" w:cs="Verdana"/>
                <w:noProof/>
                <w:color w:val="FFFFFF"/>
                <w:sz w:val="18"/>
              </w:rPr>
            </w:pPr>
            <w:r>
              <w:rPr>
                <w:rFonts w:ascii="Verdana" w:hAnsi="Verdana"/>
                <w:noProof/>
                <w:color w:val="FFFFFF"/>
                <w:sz w:val="18"/>
              </w:rPr>
              <w:t>EWWiS w likwidacji</w:t>
            </w:r>
          </w:p>
        </w:tc>
        <w:tc>
          <w:tcPr>
            <w:tcW w:w="107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LGFBF"/>
              <w:jc w:val="right"/>
              <w:rPr>
                <w:rFonts w:ascii="Verdana" w:eastAsia="Verdana" w:hAnsi="Verdana" w:cs="Verdana"/>
                <w:noProof/>
                <w:color w:val="FFFFFF"/>
                <w:sz w:val="18"/>
              </w:rPr>
            </w:pPr>
            <w:r>
              <w:rPr>
                <w:rFonts w:ascii="Verdana" w:hAnsi="Verdana"/>
                <w:noProof/>
                <w:color w:val="FFFFFF"/>
                <w:sz w:val="18"/>
              </w:rPr>
              <w:t>Ogółem</w:t>
            </w:r>
          </w:p>
        </w:tc>
      </w:tr>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LGFBF"/>
              <w:rPr>
                <w:rFonts w:ascii="Verdana" w:eastAsia="Verdana" w:hAnsi="Verdana" w:cs="Verdana"/>
                <w:i/>
                <w:noProof/>
                <w:color w:val="000000"/>
                <w:sz w:val="18"/>
              </w:rPr>
            </w:pPr>
            <w:r>
              <w:rPr>
                <w:rFonts w:ascii="Verdana" w:hAnsi="Verdana"/>
                <w:i/>
                <w:noProof/>
                <w:color w:val="000000"/>
                <w:sz w:val="18"/>
              </w:rPr>
              <w:t>Ogółem na 31.12.2018</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47 400</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1 734</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4 388</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254</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53 872</w:t>
            </w:r>
          </w:p>
        </w:tc>
      </w:tr>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LGFBF"/>
              <w:rPr>
                <w:rFonts w:ascii="Verdana" w:eastAsia="Verdana" w:hAnsi="Verdana" w:cs="Verdana"/>
                <w:i/>
                <w:noProof/>
                <w:color w:val="000000"/>
                <w:sz w:val="18"/>
              </w:rPr>
            </w:pPr>
            <w:r>
              <w:rPr>
                <w:rFonts w:ascii="Verdana" w:hAnsi="Verdana"/>
                <w:i/>
                <w:noProof/>
                <w:color w:val="000000"/>
                <w:sz w:val="18"/>
              </w:rPr>
              <w:t>Nowe udzielone pożyczki</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420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420</w:t>
            </w:r>
          </w:p>
        </w:tc>
      </w:tr>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LGFBF"/>
              <w:rPr>
                <w:rFonts w:ascii="Verdana" w:eastAsia="Verdana" w:hAnsi="Verdana" w:cs="Verdana"/>
                <w:i/>
                <w:noProof/>
                <w:color w:val="000000"/>
                <w:sz w:val="18"/>
              </w:rPr>
            </w:pPr>
            <w:r>
              <w:rPr>
                <w:rFonts w:ascii="Verdana" w:hAnsi="Verdana"/>
                <w:i/>
                <w:noProof/>
                <w:color w:val="000000"/>
                <w:sz w:val="18"/>
              </w:rPr>
              <w:t>Spłaty</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(1 500)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(52)</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(40)</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(1 689)</w:t>
            </w:r>
          </w:p>
        </w:tc>
      </w:tr>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LGFBF"/>
              <w:rPr>
                <w:rFonts w:ascii="Verdana" w:eastAsia="Verdana" w:hAnsi="Verdana" w:cs="Verdana"/>
                <w:i/>
                <w:noProof/>
                <w:color w:val="000000"/>
                <w:sz w:val="18"/>
              </w:rPr>
            </w:pPr>
            <w:r>
              <w:rPr>
                <w:rFonts w:ascii="Verdana" w:hAnsi="Verdana"/>
                <w:i/>
                <w:noProof/>
                <w:color w:val="000000"/>
                <w:sz w:val="18"/>
              </w:rPr>
              <w:t>Różnice kursowe</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r>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LGFBF"/>
              <w:rPr>
                <w:rFonts w:ascii="Verdana" w:eastAsia="Verdana" w:hAnsi="Verdana" w:cs="Verdana"/>
                <w:i/>
                <w:noProof/>
                <w:color w:val="000000"/>
                <w:sz w:val="18"/>
              </w:rPr>
            </w:pPr>
            <w:r>
              <w:rPr>
                <w:rFonts w:ascii="Verdana" w:hAnsi="Verdana"/>
                <w:i/>
                <w:noProof/>
                <w:color w:val="000000"/>
                <w:sz w:val="18"/>
              </w:rPr>
              <w:t>Zmiany wartości bilansowej</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(33)</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(44)</w:t>
            </w:r>
          </w:p>
        </w:tc>
      </w:tr>
      <w:tr w:rsidR="0043277E">
        <w:trPr>
          <w:trHeight w:val="255"/>
        </w:trPr>
        <w:tc>
          <w:tcPr>
            <w:tcW w:w="32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6BIPLGFBF"/>
              <w:rPr>
                <w:rFonts w:ascii="Verdana" w:eastAsia="Verdana" w:hAnsi="Verdana" w:cs="Verdana"/>
                <w:b/>
                <w:noProof/>
                <w:color w:val="000000"/>
                <w:sz w:val="18"/>
              </w:rPr>
            </w:pPr>
            <w:r>
              <w:rPr>
                <w:rFonts w:ascii="Verdana" w:hAnsi="Verdana"/>
                <w:b/>
                <w:noProof/>
                <w:color w:val="000000"/>
                <w:sz w:val="18"/>
              </w:rPr>
              <w:t>Ogółem na 31.12.2019</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b/>
                <w:noProof/>
                <w:color w:val="000000"/>
                <w:sz w:val="18"/>
              </w:rPr>
            </w:pPr>
            <w:r>
              <w:rPr>
                <w:rFonts w:ascii="Verdana" w:hAnsi="Verdana"/>
                <w:b/>
                <w:noProof/>
                <w:color w:val="000000"/>
                <w:sz w:val="18"/>
              </w:rPr>
              <w:t>47 394</w:t>
            </w:r>
          </w:p>
        </w:tc>
        <w:tc>
          <w:tcPr>
            <w:tcW w:w="1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b/>
                <w:noProof/>
                <w:color w:val="000000"/>
                <w:sz w:val="18"/>
              </w:rPr>
            </w:pPr>
            <w:r>
              <w:rPr>
                <w:rFonts w:ascii="Verdana" w:hAnsi="Verdana"/>
                <w:b/>
                <w:noProof/>
                <w:color w:val="000000"/>
                <w:sz w:val="18"/>
              </w:rPr>
              <w:t>4 754</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214</w:t>
            </w:r>
          </w:p>
        </w:tc>
        <w:tc>
          <w:tcPr>
            <w:tcW w:w="14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0</w:t>
            </w:r>
          </w:p>
        </w:tc>
        <w:tc>
          <w:tcPr>
            <w:tcW w:w="1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b/>
                <w:noProof/>
                <w:color w:val="000000"/>
                <w:sz w:val="18"/>
              </w:rPr>
            </w:pPr>
            <w:r>
              <w:rPr>
                <w:rFonts w:ascii="Verdana" w:hAnsi="Verdana"/>
                <w:b/>
                <w:noProof/>
                <w:color w:val="000000"/>
                <w:sz w:val="18"/>
              </w:rPr>
              <w:t>52 564</w:t>
            </w:r>
          </w:p>
        </w:tc>
      </w:tr>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LGFBF"/>
              <w:rPr>
                <w:rFonts w:ascii="Verdana" w:eastAsia="Verdana" w:hAnsi="Verdana" w:cs="Verdana"/>
                <w:i/>
                <w:noProof/>
                <w:color w:val="016794"/>
                <w:sz w:val="18"/>
              </w:rPr>
            </w:pPr>
            <w:r>
              <w:rPr>
                <w:rFonts w:ascii="Verdana" w:hAnsi="Verdana"/>
                <w:i/>
                <w:noProof/>
                <w:color w:val="016794"/>
                <w:sz w:val="18"/>
              </w:rPr>
              <w:t>Trwałe</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46 800</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4 112</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178</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51 290</w:t>
            </w:r>
          </w:p>
        </w:tc>
      </w:tr>
      <w:tr w:rsidR="0043277E">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LGFBF"/>
              <w:rPr>
                <w:rFonts w:ascii="Verdana" w:eastAsia="Verdana" w:hAnsi="Verdana" w:cs="Verdana"/>
                <w:i/>
                <w:noProof/>
                <w:color w:val="016794"/>
                <w:sz w:val="18"/>
              </w:rPr>
            </w:pPr>
            <w:r>
              <w:rPr>
                <w:rFonts w:ascii="Verdana" w:hAnsi="Verdana"/>
                <w:i/>
                <w:noProof/>
                <w:color w:val="016794"/>
                <w:sz w:val="18"/>
              </w:rPr>
              <w:t>Obrotowe</w:t>
            </w:r>
          </w:p>
        </w:tc>
        <w:tc>
          <w:tcPr>
            <w:tcW w:w="82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594</w:t>
            </w:r>
          </w:p>
        </w:tc>
        <w:tc>
          <w:tcPr>
            <w:tcW w:w="110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643</w:t>
            </w:r>
          </w:p>
        </w:tc>
        <w:tc>
          <w:tcPr>
            <w:tcW w:w="106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35</w:t>
            </w:r>
          </w:p>
        </w:tc>
        <w:tc>
          <w:tcPr>
            <w:tcW w:w="140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6BIPLGFBF"/>
              <w:jc w:val="right"/>
              <w:rPr>
                <w:rFonts w:ascii="Verdana" w:eastAsia="Verdana" w:hAnsi="Verdana" w:cs="Verdana"/>
                <w:i/>
                <w:noProof/>
                <w:color w:val="016794"/>
                <w:sz w:val="18"/>
              </w:rPr>
            </w:pPr>
            <w:r>
              <w:rPr>
                <w:rFonts w:ascii="Verdana" w:hAnsi="Verdana"/>
                <w:i/>
                <w:noProof/>
                <w:color w:val="016794"/>
                <w:sz w:val="18"/>
              </w:rPr>
              <w:t>1 273</w:t>
            </w:r>
          </w:p>
        </w:tc>
      </w:tr>
    </w:tbl>
    <w:p w:rsidR="0043277E" w:rsidRDefault="000F2348">
      <w:pPr>
        <w:pStyle w:val="Textstand-alone"/>
      </w:pPr>
      <w:r>
        <w:t>Zaciągnięte pożyczki obejmują głównie zobowiązania potwierdzone certyfikatami na kwotę 52 433 mln EUR (w 2018 r.: 53 725 mln EUR). Zmiany wartości bilansowej odpowiadają zmianom naliczonych odsetek.</w:t>
      </w:r>
    </w:p>
    <w:p w:rsidR="0043277E" w:rsidRDefault="000F2348">
      <w:pPr>
        <w:pStyle w:val="Textstand-alone"/>
        <w:spacing w:after="360"/>
      </w:pPr>
      <w:r>
        <w:t xml:space="preserve">Spłata powyższych zaciągniętych pożyczek jest ostatecznie gwarantowana przez budżet UE – zob. informacja dodatkowa </w:t>
      </w:r>
      <w:r>
        <w:rPr>
          <w:b/>
        </w:rPr>
        <w:t>4.1.2</w:t>
      </w:r>
      <w:r>
        <w:t xml:space="preserve"> – i, co za tym idzie, przez każde państwo członkowskie.</w:t>
      </w:r>
    </w:p>
    <w:p w:rsidR="0043277E" w:rsidRDefault="000F2348">
      <w:pPr>
        <w:pStyle w:val="DGTextstand-alone"/>
      </w:pPr>
      <w:r>
        <w:br w:type="page"/>
      </w:r>
    </w:p>
    <w:p w:rsidR="0043277E" w:rsidRDefault="000F2348">
      <w:pPr>
        <w:pStyle w:val="HEADER5"/>
        <w:rPr>
          <w:noProof/>
        </w:rPr>
      </w:pPr>
      <w:r>
        <w:rPr>
          <w:noProof/>
        </w:rPr>
        <w:lastRenderedPageBreak/>
        <w:t>Efektywne stopy procentowe zaciągniętych pożyczek (wyrażone jako przedział st</w:t>
      </w:r>
      <w:r>
        <w:rPr>
          <w:noProof/>
        </w:rPr>
        <w:t>óp procentowych)</w:t>
      </w:r>
    </w:p>
    <w:p w:rsidR="0043277E" w:rsidRDefault="0043277E">
      <w:pPr>
        <w:pStyle w:val="HEADER5"/>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2067"/>
        <w:gridCol w:w="2067"/>
      </w:tblGrid>
      <w:tr w:rsidR="0043277E">
        <w:trPr>
          <w:trHeight w:val="255"/>
        </w:trPr>
        <w:tc>
          <w:tcPr>
            <w:tcW w:w="562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6BIPBORR3"/>
              <w:jc w:val="right"/>
              <w:rPr>
                <w:rFonts w:ascii="Verdana" w:eastAsia="Verdana" w:hAnsi="Verdana" w:cs="Verdana"/>
                <w:noProof/>
                <w:color w:val="FFFFFF"/>
              </w:rPr>
            </w:pPr>
            <w:bookmarkStart w:id="96" w:name="DOC_TBL00049_1_1"/>
            <w:bookmarkEnd w:id="96"/>
          </w:p>
        </w:tc>
        <w:tc>
          <w:tcPr>
            <w:tcW w:w="206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BORR3"/>
              <w:jc w:val="right"/>
              <w:rPr>
                <w:rFonts w:ascii="Verdana" w:eastAsia="Verdana" w:hAnsi="Verdana" w:cs="Verdana"/>
                <w:noProof/>
                <w:color w:val="FFFFFF"/>
              </w:rPr>
            </w:pPr>
            <w:r>
              <w:rPr>
                <w:rFonts w:ascii="Verdana" w:hAnsi="Verdana"/>
                <w:noProof/>
                <w:color w:val="FFFFFF"/>
              </w:rPr>
              <w:t>31.12.2019</w:t>
            </w:r>
          </w:p>
        </w:tc>
        <w:tc>
          <w:tcPr>
            <w:tcW w:w="206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6BIPBORR3"/>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rPr>
                <w:rFonts w:ascii="Verdana" w:eastAsia="Verdana" w:hAnsi="Verdana" w:cs="Verdana"/>
                <w:i/>
                <w:noProof/>
                <w:color w:val="000000"/>
                <w:sz w:val="18"/>
              </w:rPr>
            </w:pPr>
            <w:r>
              <w:rPr>
                <w:rFonts w:ascii="Verdana" w:hAnsi="Verdana"/>
                <w:i/>
                <w:noProof/>
                <w:color w:val="000000"/>
                <w:sz w:val="18"/>
              </w:rPr>
              <w:t>Pomoc makrofinansowa (MFA)</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0 % - 3,82 %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0 % - 3,82 %</w:t>
            </w:r>
          </w:p>
        </w:tc>
      </w:tr>
      <w:tr w:rsidR="0043277E">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rPr>
                <w:rFonts w:ascii="Verdana" w:eastAsia="Verdana" w:hAnsi="Verdana" w:cs="Verdana"/>
                <w:i/>
                <w:noProof/>
                <w:color w:val="000000"/>
                <w:sz w:val="18"/>
              </w:rPr>
            </w:pPr>
            <w:r>
              <w:rPr>
                <w:rFonts w:ascii="Verdana" w:hAnsi="Verdana"/>
                <w:i/>
                <w:noProof/>
                <w:color w:val="000000"/>
                <w:sz w:val="18"/>
              </w:rPr>
              <w:t>Euratom</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0 % - 5,68 %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0 % - 5,68 %</w:t>
            </w:r>
          </w:p>
        </w:tc>
      </w:tr>
      <w:tr w:rsidR="0043277E">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rPr>
                <w:rFonts w:ascii="Verdana" w:eastAsia="Verdana" w:hAnsi="Verdana" w:cs="Verdana"/>
                <w:i/>
                <w:noProof/>
                <w:color w:val="000000"/>
                <w:sz w:val="18"/>
              </w:rPr>
            </w:pPr>
            <w:r>
              <w:rPr>
                <w:rFonts w:ascii="Verdana" w:hAnsi="Verdana"/>
                <w:i/>
                <w:noProof/>
                <w:color w:val="000000"/>
                <w:sz w:val="18"/>
              </w:rPr>
              <w:t>Bilans płatniczy (BOP)</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2,88 %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2,88 % - 3,38 %</w:t>
            </w:r>
          </w:p>
        </w:tc>
      </w:tr>
      <w:tr w:rsidR="0043277E">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rPr>
                <w:rFonts w:ascii="Verdana" w:eastAsia="Verdana" w:hAnsi="Verdana" w:cs="Verdana"/>
                <w:i/>
                <w:noProof/>
                <w:color w:val="000000"/>
                <w:sz w:val="18"/>
              </w:rPr>
            </w:pPr>
            <w:r>
              <w:rPr>
                <w:rFonts w:ascii="Verdana" w:hAnsi="Verdana"/>
                <w:i/>
                <w:noProof/>
                <w:color w:val="000000"/>
                <w:sz w:val="18"/>
              </w:rPr>
              <w:t>Europejski mechanizm stabilizacji finansowej (EFSM)</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0,50 % - 3,75 %</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 xml:space="preserve">0,50 % - </w:t>
            </w:r>
            <w:r>
              <w:rPr>
                <w:rFonts w:ascii="Verdana" w:hAnsi="Verdana"/>
                <w:i/>
                <w:noProof/>
                <w:color w:val="000000"/>
                <w:sz w:val="18"/>
              </w:rPr>
              <w:t>3,75 %</w:t>
            </w:r>
          </w:p>
        </w:tc>
      </w:tr>
      <w:tr w:rsidR="0043277E">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rPr>
                <w:rFonts w:ascii="Verdana" w:eastAsia="Verdana" w:hAnsi="Verdana" w:cs="Verdana"/>
                <w:i/>
                <w:noProof/>
                <w:color w:val="000000"/>
                <w:sz w:val="18"/>
              </w:rPr>
            </w:pPr>
            <w:r>
              <w:rPr>
                <w:rFonts w:ascii="Verdana" w:hAnsi="Verdana"/>
                <w:i/>
                <w:noProof/>
                <w:color w:val="000000"/>
                <w:sz w:val="18"/>
              </w:rPr>
              <w:t>EWWiS w likwidacji</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w:t>
            </w:r>
          </w:p>
        </w:tc>
        <w:tc>
          <w:tcPr>
            <w:tcW w:w="206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6BIPBORR3"/>
              <w:jc w:val="right"/>
              <w:rPr>
                <w:rFonts w:ascii="Verdana" w:eastAsia="Verdana" w:hAnsi="Verdana" w:cs="Verdana"/>
                <w:i/>
                <w:noProof/>
                <w:color w:val="000000"/>
                <w:sz w:val="18"/>
              </w:rPr>
            </w:pPr>
            <w:r>
              <w:rPr>
                <w:rFonts w:ascii="Verdana" w:hAnsi="Verdana"/>
                <w:i/>
                <w:noProof/>
                <w:color w:val="000000"/>
                <w:sz w:val="18"/>
              </w:rPr>
              <w:t>6,91 % - 8,97 %</w:t>
            </w:r>
          </w:p>
        </w:tc>
      </w:tr>
    </w:tbl>
    <w:p w:rsidR="0043277E" w:rsidRDefault="0043277E">
      <w:pPr>
        <w:pStyle w:val="HEADER5"/>
        <w:rPr>
          <w:noProof/>
        </w:rPr>
      </w:pPr>
    </w:p>
    <w:p w:rsidR="0043277E" w:rsidRDefault="000F2348">
      <w:pPr>
        <w:pStyle w:val="HEADER4NOTES"/>
        <w:rPr>
          <w:noProof/>
        </w:rPr>
      </w:pPr>
      <w:r>
        <w:rPr>
          <w:noProof/>
        </w:rPr>
        <w:t>Inne zobowiązania finansowe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344"/>
        <w:gridCol w:w="2344"/>
      </w:tblGrid>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7BIPOFL"/>
              <w:rPr>
                <w:rFonts w:ascii="Arial" w:eastAsia="Arial" w:hAnsi="Arial" w:cs="Arial"/>
                <w:noProof/>
                <w:color w:val="000000"/>
              </w:rPr>
            </w:pPr>
            <w:bookmarkStart w:id="97" w:name="DOC_TBL00050_1_1"/>
            <w:bookmarkEnd w:id="97"/>
          </w:p>
        </w:tc>
        <w:tc>
          <w:tcPr>
            <w:tcW w:w="234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7BIPOFL"/>
              <w:rPr>
                <w:rFonts w:ascii="Arial" w:eastAsia="Arial" w:hAnsi="Arial" w:cs="Arial"/>
                <w:noProof/>
                <w:color w:val="000000"/>
              </w:rPr>
            </w:pPr>
          </w:p>
        </w:tc>
        <w:tc>
          <w:tcPr>
            <w:tcW w:w="23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7BIPOFL"/>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07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7BIPOFL"/>
              <w:jc w:val="right"/>
              <w:rPr>
                <w:rFonts w:ascii="Verdana" w:eastAsia="Verdana" w:hAnsi="Verdana" w:cs="Verdana"/>
                <w:noProof/>
                <w:color w:val="FFFFFF"/>
              </w:rPr>
            </w:pPr>
          </w:p>
        </w:tc>
        <w:tc>
          <w:tcPr>
            <w:tcW w:w="234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7BIPOFL"/>
              <w:jc w:val="right"/>
              <w:rPr>
                <w:rFonts w:ascii="Verdana" w:eastAsia="Verdana" w:hAnsi="Verdana" w:cs="Verdana"/>
                <w:noProof/>
                <w:color w:val="FFFFFF"/>
              </w:rPr>
            </w:pPr>
            <w:r>
              <w:rPr>
                <w:rFonts w:ascii="Verdana" w:hAnsi="Verdana"/>
                <w:noProof/>
                <w:color w:val="FFFFFF"/>
              </w:rPr>
              <w:t>31.12.2019</w:t>
            </w:r>
          </w:p>
        </w:tc>
        <w:tc>
          <w:tcPr>
            <w:tcW w:w="234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7BIPOFL"/>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b/>
                <w:noProof/>
                <w:color w:val="000000"/>
                <w:sz w:val="18"/>
              </w:rPr>
            </w:pPr>
            <w:r>
              <w:rPr>
                <w:rFonts w:ascii="Verdana" w:hAnsi="Verdana"/>
                <w:b/>
                <w:noProof/>
                <w:color w:val="000000"/>
                <w:sz w:val="18"/>
              </w:rPr>
              <w:t>Trwałe</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7BIPOFL"/>
              <w:rPr>
                <w:rFonts w:ascii="Arial" w:eastAsia="Arial" w:hAnsi="Arial" w:cs="Arial"/>
                <w:noProof/>
                <w:color w:val="000000"/>
                <w:lang w:bidi="en-GB"/>
              </w:rPr>
            </w:pP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i/>
                <w:noProof/>
                <w:color w:val="000000"/>
                <w:sz w:val="18"/>
              </w:rPr>
            </w:pPr>
            <w:r>
              <w:rPr>
                <w:rFonts w:ascii="Verdana" w:hAnsi="Verdana"/>
                <w:i/>
                <w:noProof/>
                <w:color w:val="000000"/>
                <w:sz w:val="18"/>
              </w:rPr>
              <w:t>Zobowiązania z tytułu leasingu finansowego</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1 244</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1 331</w:t>
            </w: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i/>
                <w:noProof/>
                <w:color w:val="000000"/>
                <w:sz w:val="18"/>
              </w:rPr>
            </w:pPr>
            <w:r>
              <w:rPr>
                <w:rFonts w:ascii="Verdana" w:hAnsi="Verdana"/>
                <w:i/>
                <w:noProof/>
                <w:color w:val="000000"/>
                <w:sz w:val="18"/>
              </w:rPr>
              <w:t>Budynki, których cena zakupu płacona jest w ratach</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385</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314</w:t>
            </w: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i/>
                <w:noProof/>
                <w:color w:val="000000"/>
                <w:sz w:val="18"/>
              </w:rPr>
            </w:pPr>
            <w:r>
              <w:rPr>
                <w:rFonts w:ascii="Verdana" w:hAnsi="Verdana"/>
                <w:i/>
                <w:noProof/>
                <w:color w:val="000000"/>
                <w:sz w:val="18"/>
              </w:rPr>
              <w:t>Inne</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144</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115</w:t>
            </w:r>
          </w:p>
        </w:tc>
      </w:tr>
      <w:tr w:rsidR="0043277E">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b/>
                <w:noProof/>
                <w:color w:val="000000"/>
                <w:sz w:val="18"/>
              </w:rPr>
            </w:pPr>
            <w:r>
              <w:rPr>
                <w:rFonts w:ascii="Verdana" w:hAnsi="Verdana"/>
                <w:b/>
                <w:noProof/>
                <w:color w:val="000000"/>
                <w:sz w:val="18"/>
              </w:rPr>
              <w:t>1 772</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b/>
                <w:noProof/>
                <w:color w:val="000000"/>
                <w:sz w:val="18"/>
              </w:rPr>
            </w:pPr>
            <w:r>
              <w:rPr>
                <w:rFonts w:ascii="Verdana" w:hAnsi="Verdana"/>
                <w:b/>
                <w:noProof/>
                <w:color w:val="000000"/>
                <w:sz w:val="18"/>
              </w:rPr>
              <w:t>1 760</w:t>
            </w: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b/>
                <w:noProof/>
                <w:color w:val="000000"/>
                <w:sz w:val="18"/>
              </w:rPr>
            </w:pPr>
            <w:r>
              <w:rPr>
                <w:rFonts w:ascii="Verdana" w:hAnsi="Verdana"/>
                <w:b/>
                <w:noProof/>
                <w:color w:val="000000"/>
                <w:sz w:val="18"/>
              </w:rPr>
              <w:t>Obrotowe</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47BIPOFL"/>
              <w:rPr>
                <w:rFonts w:ascii="Arial" w:eastAsia="Arial" w:hAnsi="Arial" w:cs="Arial"/>
                <w:noProof/>
                <w:color w:val="000000"/>
                <w:lang w:bidi="en-GB"/>
              </w:rPr>
            </w:pP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i/>
                <w:noProof/>
                <w:color w:val="000000"/>
                <w:sz w:val="18"/>
              </w:rPr>
            </w:pPr>
            <w:r>
              <w:rPr>
                <w:rFonts w:ascii="Verdana" w:hAnsi="Verdana"/>
                <w:i/>
                <w:noProof/>
                <w:color w:val="000000"/>
                <w:sz w:val="18"/>
              </w:rPr>
              <w:t>Zobowiązania z tytułu leasingu finansowego</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97</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93</w:t>
            </w: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i/>
                <w:noProof/>
                <w:color w:val="000000"/>
                <w:sz w:val="18"/>
              </w:rPr>
            </w:pPr>
            <w:r>
              <w:rPr>
                <w:rFonts w:ascii="Verdana" w:hAnsi="Verdana"/>
                <w:i/>
                <w:noProof/>
                <w:color w:val="000000"/>
                <w:sz w:val="18"/>
              </w:rPr>
              <w:t>Budynki, których cena zakupu płacona jest w ratach</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36</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29</w:t>
            </w: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i/>
                <w:noProof/>
                <w:color w:val="000000"/>
                <w:sz w:val="18"/>
              </w:rPr>
            </w:pPr>
            <w:r>
              <w:rPr>
                <w:rFonts w:ascii="Verdana" w:hAnsi="Verdana"/>
                <w:i/>
                <w:noProof/>
                <w:color w:val="000000"/>
                <w:sz w:val="18"/>
              </w:rPr>
              <w:t>Grzywny do zwrotu</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125</w:t>
            </w:r>
          </w:p>
        </w:tc>
      </w:tr>
      <w:tr w:rsidR="0043277E">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i/>
                <w:noProof/>
                <w:color w:val="000000"/>
                <w:sz w:val="18"/>
              </w:rPr>
            </w:pPr>
            <w:r>
              <w:rPr>
                <w:rFonts w:ascii="Verdana" w:hAnsi="Verdana"/>
                <w:i/>
                <w:noProof/>
                <w:color w:val="000000"/>
                <w:sz w:val="18"/>
              </w:rPr>
              <w:t>Inne</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17</w:t>
            </w:r>
          </w:p>
        </w:tc>
        <w:tc>
          <w:tcPr>
            <w:tcW w:w="23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i/>
                <w:noProof/>
                <w:color w:val="000000"/>
                <w:sz w:val="18"/>
              </w:rPr>
            </w:pPr>
            <w:r>
              <w:rPr>
                <w:rFonts w:ascii="Verdana" w:hAnsi="Verdana"/>
                <w:i/>
                <w:noProof/>
                <w:color w:val="000000"/>
                <w:sz w:val="18"/>
              </w:rPr>
              <w:t xml:space="preserve"> 5</w:t>
            </w:r>
          </w:p>
        </w:tc>
      </w:tr>
      <w:tr w:rsidR="0043277E">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b/>
                <w:noProof/>
                <w:color w:val="000000"/>
                <w:sz w:val="18"/>
              </w:rPr>
            </w:pPr>
            <w:r>
              <w:rPr>
                <w:rFonts w:ascii="Verdana" w:hAnsi="Verdana"/>
                <w:b/>
                <w:noProof/>
                <w:color w:val="000000"/>
                <w:sz w:val="18"/>
              </w:rPr>
              <w:t xml:space="preserve"> 149</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b/>
                <w:noProof/>
                <w:color w:val="000000"/>
                <w:sz w:val="18"/>
              </w:rPr>
            </w:pPr>
            <w:r>
              <w:rPr>
                <w:rFonts w:ascii="Verdana" w:hAnsi="Verdana"/>
                <w:b/>
                <w:noProof/>
                <w:color w:val="000000"/>
                <w:sz w:val="18"/>
              </w:rPr>
              <w:t xml:space="preserve"> 252</w:t>
            </w:r>
          </w:p>
        </w:tc>
      </w:tr>
      <w:tr w:rsidR="0043277E">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7BIPOFL"/>
              <w:rPr>
                <w:rFonts w:ascii="Verdana" w:eastAsia="Verdana" w:hAnsi="Verdana" w:cs="Verdana"/>
                <w:b/>
                <w:noProof/>
                <w:color w:val="000000"/>
                <w:sz w:val="18"/>
              </w:rPr>
            </w:pPr>
            <w:r>
              <w:rPr>
                <w:rFonts w:ascii="Verdana" w:hAnsi="Verdana"/>
                <w:b/>
                <w:noProof/>
                <w:color w:val="000000"/>
                <w:sz w:val="18"/>
              </w:rPr>
              <w:t>Ogółem</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b/>
                <w:noProof/>
                <w:color w:val="000000"/>
                <w:sz w:val="18"/>
              </w:rPr>
            </w:pPr>
            <w:r>
              <w:rPr>
                <w:rFonts w:ascii="Verdana" w:hAnsi="Verdana"/>
                <w:b/>
                <w:noProof/>
                <w:color w:val="000000"/>
                <w:sz w:val="18"/>
              </w:rPr>
              <w:t>1 921</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7BIPOFL"/>
              <w:jc w:val="right"/>
              <w:rPr>
                <w:rFonts w:ascii="Verdana" w:eastAsia="Verdana" w:hAnsi="Verdana" w:cs="Verdana"/>
                <w:b/>
                <w:noProof/>
                <w:color w:val="000000"/>
                <w:sz w:val="18"/>
              </w:rPr>
            </w:pPr>
            <w:r>
              <w:rPr>
                <w:rFonts w:ascii="Verdana" w:hAnsi="Verdana"/>
                <w:b/>
                <w:noProof/>
                <w:color w:val="000000"/>
                <w:sz w:val="18"/>
              </w:rPr>
              <w:t>2 012</w:t>
            </w:r>
          </w:p>
        </w:tc>
      </w:tr>
    </w:tbl>
    <w:p w:rsidR="0043277E" w:rsidRDefault="0043277E">
      <w:pPr>
        <w:pStyle w:val="Heading9pNormalRight025"/>
        <w:rPr>
          <w:noProof/>
          <w:lang w:bidi="en-GB"/>
        </w:rPr>
      </w:pPr>
    </w:p>
    <w:p w:rsidR="0043277E" w:rsidRDefault="000F2348">
      <w:pPr>
        <w:pStyle w:val="HEADER5"/>
        <w:spacing w:before="240"/>
        <w:rPr>
          <w:noProof/>
        </w:rPr>
      </w:pPr>
      <w:r>
        <w:rPr>
          <w:noProof/>
        </w:rPr>
        <w:t>Zobowiązania z tytułu leasingu finansowego</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4"/>
        <w:gridCol w:w="1321"/>
        <w:gridCol w:w="1321"/>
        <w:gridCol w:w="1321"/>
        <w:gridCol w:w="1463"/>
      </w:tblGrid>
      <w:tr w:rsidR="0043277E">
        <w:trPr>
          <w:trHeight w:val="255"/>
        </w:trPr>
        <w:tc>
          <w:tcPr>
            <w:tcW w:w="447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8BIPFL"/>
              <w:rPr>
                <w:rFonts w:ascii="Arial" w:eastAsia="Arial" w:hAnsi="Arial" w:cs="Arial"/>
                <w:noProof/>
                <w:color w:val="000000"/>
              </w:rPr>
            </w:pPr>
            <w:bookmarkStart w:id="98" w:name="DOC_TBL00051_1_1"/>
            <w:bookmarkEnd w:id="98"/>
          </w:p>
        </w:tc>
        <w:tc>
          <w:tcPr>
            <w:tcW w:w="132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8BIPFL"/>
              <w:rPr>
                <w:rFonts w:ascii="Arial" w:eastAsia="Arial" w:hAnsi="Arial" w:cs="Arial"/>
                <w:noProof/>
                <w:color w:val="000000"/>
              </w:rPr>
            </w:pPr>
          </w:p>
        </w:tc>
        <w:tc>
          <w:tcPr>
            <w:tcW w:w="14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8BIPFL"/>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8BIPFL"/>
              <w:rPr>
                <w:rFonts w:ascii="Verdana" w:eastAsia="Verdana" w:hAnsi="Verdana" w:cs="Verdana"/>
                <w:noProof/>
                <w:color w:val="FFFFFF"/>
              </w:rPr>
            </w:pPr>
          </w:p>
        </w:tc>
        <w:tc>
          <w:tcPr>
            <w:tcW w:w="5426"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8BIPFL"/>
              <w:jc w:val="center"/>
              <w:rPr>
                <w:rFonts w:ascii="Verdana" w:eastAsia="Verdana" w:hAnsi="Verdana" w:cs="Verdana"/>
                <w:noProof/>
                <w:color w:val="FFFFFF"/>
                <w:sz w:val="18"/>
              </w:rPr>
            </w:pPr>
            <w:r>
              <w:rPr>
                <w:rFonts w:ascii="Verdana" w:hAnsi="Verdana"/>
                <w:noProof/>
                <w:color w:val="FFFFFF"/>
                <w:sz w:val="18"/>
              </w:rPr>
              <w:t>Kwoty do zapłaty w przyszłości</w:t>
            </w:r>
          </w:p>
        </w:tc>
      </w:tr>
      <w:tr w:rsidR="0043277E">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8BIPFL"/>
              <w:rPr>
                <w:rFonts w:ascii="Verdana" w:eastAsia="Verdana" w:hAnsi="Verdana" w:cs="Verdana"/>
                <w:noProof/>
                <w:color w:val="FFFFFF"/>
              </w:rPr>
            </w:pP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8BIPFL"/>
              <w:jc w:val="right"/>
              <w:rPr>
                <w:rFonts w:ascii="Verdana" w:eastAsia="Verdana" w:hAnsi="Verdana" w:cs="Verdana"/>
                <w:noProof/>
                <w:color w:val="FFFFFF"/>
                <w:sz w:val="18"/>
              </w:rPr>
            </w:pPr>
            <w:r>
              <w:rPr>
                <w:rFonts w:ascii="Verdana" w:hAnsi="Verdana"/>
                <w:noProof/>
                <w:color w:val="FFFFFF"/>
                <w:sz w:val="18"/>
              </w:rPr>
              <w:t>&lt; 1 rok</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8BIPFL"/>
              <w:jc w:val="right"/>
              <w:rPr>
                <w:rFonts w:ascii="Verdana" w:eastAsia="Verdana" w:hAnsi="Verdana" w:cs="Verdana"/>
                <w:noProof/>
                <w:color w:val="FFFFFF"/>
                <w:sz w:val="18"/>
              </w:rPr>
            </w:pPr>
            <w:r>
              <w:rPr>
                <w:rFonts w:ascii="Verdana" w:hAnsi="Verdana"/>
                <w:noProof/>
                <w:color w:val="FFFFFF"/>
                <w:sz w:val="18"/>
              </w:rPr>
              <w:t>1–5 lat</w:t>
            </w:r>
          </w:p>
        </w:tc>
        <w:tc>
          <w:tcPr>
            <w:tcW w:w="1321"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8BIPFL"/>
              <w:jc w:val="right"/>
              <w:rPr>
                <w:rFonts w:ascii="Verdana" w:eastAsia="Verdana" w:hAnsi="Verdana" w:cs="Verdana"/>
                <w:noProof/>
                <w:color w:val="FFFFFF"/>
                <w:sz w:val="18"/>
              </w:rPr>
            </w:pPr>
            <w:r>
              <w:rPr>
                <w:rFonts w:ascii="Verdana" w:hAnsi="Verdana"/>
                <w:noProof/>
                <w:color w:val="FFFFFF"/>
                <w:sz w:val="18"/>
              </w:rPr>
              <w:t>&gt; 5 lat</w:t>
            </w:r>
          </w:p>
        </w:tc>
        <w:tc>
          <w:tcPr>
            <w:tcW w:w="146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48BIPFL"/>
              <w:jc w:val="right"/>
              <w:rPr>
                <w:rFonts w:ascii="Verdana" w:eastAsia="Verdana" w:hAnsi="Verdana" w:cs="Verdana"/>
                <w:noProof/>
                <w:color w:val="FFFFFF"/>
                <w:sz w:val="18"/>
              </w:rPr>
            </w:pPr>
            <w:r>
              <w:rPr>
                <w:rFonts w:ascii="Verdana" w:hAnsi="Verdana"/>
                <w:noProof/>
                <w:color w:val="FFFFFF"/>
                <w:sz w:val="18"/>
              </w:rPr>
              <w:t>Zobowiązania ogółem</w:t>
            </w:r>
          </w:p>
        </w:tc>
      </w:tr>
      <w:tr w:rsidR="0043277E">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rPr>
                <w:rFonts w:ascii="Verdana" w:eastAsia="Verdana" w:hAnsi="Verdana" w:cs="Verdana"/>
                <w:i/>
                <w:noProof/>
                <w:color w:val="000000"/>
                <w:sz w:val="18"/>
              </w:rPr>
            </w:pPr>
            <w:r>
              <w:rPr>
                <w:rFonts w:ascii="Verdana" w:hAnsi="Verdana"/>
                <w:i/>
                <w:noProof/>
                <w:color w:val="000000"/>
                <w:sz w:val="18"/>
              </w:rPr>
              <w:t>Grunty i budynki</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91</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332</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788</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1 211</w:t>
            </w:r>
          </w:p>
        </w:tc>
      </w:tr>
      <w:tr w:rsidR="0043277E">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rPr>
                <w:rFonts w:ascii="Verdana" w:eastAsia="Verdana" w:hAnsi="Verdana" w:cs="Verdana"/>
                <w:i/>
                <w:noProof/>
                <w:color w:val="000000"/>
                <w:sz w:val="18"/>
              </w:rPr>
            </w:pPr>
            <w:r>
              <w:rPr>
                <w:rFonts w:ascii="Verdana" w:hAnsi="Verdana"/>
                <w:i/>
                <w:noProof/>
                <w:color w:val="000000"/>
                <w:sz w:val="18"/>
              </w:rPr>
              <w:t>Inne aktywa trwałe</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5</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124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129</w:t>
            </w:r>
          </w:p>
        </w:tc>
      </w:tr>
      <w:tr w:rsidR="0043277E">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rPr>
                <w:rFonts w:ascii="Verdana" w:eastAsia="Verdana" w:hAnsi="Verdana" w:cs="Verdana"/>
                <w:b/>
                <w:noProof/>
                <w:color w:val="000000"/>
                <w:sz w:val="18"/>
              </w:rPr>
            </w:pPr>
            <w:r>
              <w:rPr>
                <w:rFonts w:ascii="Verdana" w:hAnsi="Verdana"/>
                <w:b/>
                <w:noProof/>
                <w:color w:val="000000"/>
                <w:sz w:val="18"/>
              </w:rPr>
              <w:t>Ogółem na 31.12.2019</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 xml:space="preserve"> 97</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 xml:space="preserve"> 456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 xml:space="preserve"> 788</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1 340</w:t>
            </w:r>
          </w:p>
        </w:tc>
      </w:tr>
      <w:tr w:rsidR="0043277E">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rPr>
                <w:rFonts w:ascii="Verdana" w:eastAsia="Verdana" w:hAnsi="Verdana" w:cs="Verdana"/>
                <w:i/>
                <w:noProof/>
                <w:color w:val="000000"/>
                <w:sz w:val="18"/>
              </w:rPr>
            </w:pPr>
            <w:r>
              <w:rPr>
                <w:rFonts w:ascii="Verdana" w:hAnsi="Verdana"/>
                <w:i/>
                <w:noProof/>
                <w:color w:val="000000"/>
                <w:sz w:val="18"/>
              </w:rPr>
              <w:t>Część odsetkowa</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54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189</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157</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400</w:t>
            </w:r>
          </w:p>
        </w:tc>
      </w:tr>
      <w:tr w:rsidR="0043277E">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rPr>
                <w:rFonts w:ascii="Verdana" w:eastAsia="Verdana" w:hAnsi="Verdana" w:cs="Verdana"/>
                <w:b/>
                <w:noProof/>
                <w:color w:val="000000"/>
                <w:sz w:val="18"/>
              </w:rPr>
            </w:pPr>
            <w:r>
              <w:rPr>
                <w:rFonts w:ascii="Verdana" w:hAnsi="Verdana"/>
                <w:b/>
                <w:noProof/>
                <w:color w:val="000000"/>
                <w:sz w:val="18"/>
              </w:rPr>
              <w:t xml:space="preserve">Przyszłe </w:t>
            </w:r>
            <w:r>
              <w:rPr>
                <w:rFonts w:ascii="Verdana" w:hAnsi="Verdana"/>
                <w:b/>
                <w:noProof/>
                <w:color w:val="000000"/>
                <w:sz w:val="18"/>
              </w:rPr>
              <w:t>minimalne opłaty leasingowe ogółem na 31.12.2019</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 xml:space="preserve"> 150</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 xml:space="preserve"> 644</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 xml:space="preserve"> 946</w:t>
            </w:r>
          </w:p>
        </w:tc>
        <w:tc>
          <w:tcPr>
            <w:tcW w:w="14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b/>
                <w:noProof/>
                <w:color w:val="000000"/>
                <w:sz w:val="18"/>
              </w:rPr>
            </w:pPr>
            <w:r>
              <w:rPr>
                <w:rFonts w:ascii="Verdana" w:hAnsi="Verdana"/>
                <w:b/>
                <w:noProof/>
                <w:color w:val="000000"/>
                <w:sz w:val="18"/>
              </w:rPr>
              <w:t>1 741</w:t>
            </w:r>
          </w:p>
        </w:tc>
      </w:tr>
      <w:tr w:rsidR="0043277E">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rPr>
                <w:rFonts w:ascii="Verdana" w:eastAsia="Verdana" w:hAnsi="Verdana" w:cs="Verdana"/>
                <w:i/>
                <w:noProof/>
                <w:color w:val="000000"/>
                <w:sz w:val="18"/>
              </w:rPr>
            </w:pPr>
            <w:r>
              <w:rPr>
                <w:rFonts w:ascii="Verdana" w:hAnsi="Verdana"/>
                <w:i/>
                <w:noProof/>
                <w:color w:val="000000"/>
                <w:sz w:val="18"/>
              </w:rPr>
              <w:t>Przyszłe minimalne opłaty leasingowe ogółem na 31.12.2018</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153</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 xml:space="preserve"> 654</w:t>
            </w:r>
          </w:p>
        </w:tc>
        <w:tc>
          <w:tcPr>
            <w:tcW w:w="13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1 089</w:t>
            </w:r>
          </w:p>
        </w:tc>
        <w:tc>
          <w:tcPr>
            <w:tcW w:w="14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8BIPFL"/>
              <w:jc w:val="right"/>
              <w:rPr>
                <w:rFonts w:ascii="Verdana" w:eastAsia="Verdana" w:hAnsi="Verdana" w:cs="Verdana"/>
                <w:i/>
                <w:noProof/>
                <w:color w:val="000000"/>
                <w:sz w:val="18"/>
              </w:rPr>
            </w:pPr>
            <w:r>
              <w:rPr>
                <w:rFonts w:ascii="Verdana" w:hAnsi="Verdana"/>
                <w:i/>
                <w:noProof/>
                <w:color w:val="000000"/>
                <w:sz w:val="18"/>
              </w:rPr>
              <w:t>1 896</w:t>
            </w:r>
          </w:p>
        </w:tc>
      </w:tr>
    </w:tbl>
    <w:p w:rsidR="0043277E" w:rsidRDefault="0043277E">
      <w:pPr>
        <w:pStyle w:val="HEADER5"/>
        <w:rPr>
          <w:noProof/>
        </w:rPr>
      </w:pPr>
    </w:p>
    <w:p w:rsidR="0043277E" w:rsidRDefault="000F2348">
      <w:pPr>
        <w:pStyle w:val="DGTextstand-alone"/>
      </w:pPr>
      <w:r>
        <w:t>Kwoty związane z leasingiem i z budynkami zostaną sfinansowane z przyszłych budżetów.</w:t>
      </w:r>
    </w:p>
    <w:p w:rsidR="0043277E" w:rsidRDefault="000F2348">
      <w:pPr>
        <w:rPr>
          <w:rFonts w:ascii="Verdana" w:hAnsi="Verdana"/>
          <w:noProof/>
          <w:color w:val="016794"/>
          <w:sz w:val="20"/>
          <w:szCs w:val="20"/>
        </w:rPr>
      </w:pPr>
      <w:r>
        <w:rPr>
          <w:noProof/>
        </w:rPr>
        <w:br w:type="page"/>
      </w:r>
    </w:p>
    <w:p w:rsidR="0043277E" w:rsidRDefault="000F2348">
      <w:pPr>
        <w:pStyle w:val="HEADER3NOTES"/>
        <w:rPr>
          <w:noProof/>
        </w:rPr>
      </w:pPr>
      <w:r>
        <w:rPr>
          <w:noProof/>
        </w:rPr>
        <w:lastRenderedPageBreak/>
        <w:t xml:space="preserve">Zobowiązania finansowe wyceniane według wartości godziwej przez nadwyżkę lub deficyt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1"/>
        <w:gridCol w:w="1449"/>
        <w:gridCol w:w="1406"/>
        <w:gridCol w:w="1166"/>
        <w:gridCol w:w="1166"/>
      </w:tblGrid>
      <w:tr w:rsidR="0043277E">
        <w:trPr>
          <w:trHeight w:val="255"/>
        </w:trPr>
        <w:tc>
          <w:tcPr>
            <w:tcW w:w="457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2BIPNOTIONALFL"/>
              <w:rPr>
                <w:rFonts w:ascii="Arial" w:eastAsia="Arial" w:hAnsi="Arial" w:cs="Arial"/>
                <w:noProof/>
                <w:color w:val="000000"/>
              </w:rPr>
            </w:pPr>
            <w:bookmarkStart w:id="99" w:name="DOC_TBL00052_1_1"/>
            <w:bookmarkEnd w:id="99"/>
          </w:p>
        </w:tc>
        <w:tc>
          <w:tcPr>
            <w:tcW w:w="144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2BIPNOTIONALFL"/>
              <w:rPr>
                <w:rFonts w:ascii="Arial" w:eastAsia="Arial" w:hAnsi="Arial" w:cs="Arial"/>
                <w:noProof/>
                <w:color w:val="000000"/>
              </w:rPr>
            </w:pPr>
          </w:p>
        </w:tc>
        <w:tc>
          <w:tcPr>
            <w:tcW w:w="140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2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2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2BIPNOTIONALFL"/>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571"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2BIPNOTIONALFL"/>
              <w:jc w:val="center"/>
              <w:rPr>
                <w:rFonts w:ascii="Verdana" w:eastAsia="Verdana" w:hAnsi="Verdana" w:cs="Verdana"/>
                <w:noProof/>
                <w:color w:val="FFFFFF"/>
              </w:rPr>
            </w:pPr>
            <w:r>
              <w:rPr>
                <w:rFonts w:ascii="Verdana" w:hAnsi="Verdana"/>
                <w:noProof/>
                <w:color w:val="FFFFFF"/>
              </w:rPr>
              <w:t>Rodzaj instrumentu pochodnego</w:t>
            </w:r>
          </w:p>
        </w:tc>
        <w:tc>
          <w:tcPr>
            <w:tcW w:w="1449"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2BIPNOTIONALFL"/>
              <w:jc w:val="center"/>
              <w:rPr>
                <w:rFonts w:ascii="Verdana" w:eastAsia="Verdana" w:hAnsi="Verdana" w:cs="Verdana"/>
                <w:noProof/>
                <w:color w:val="FFFFFF"/>
              </w:rPr>
            </w:pPr>
            <w:r>
              <w:rPr>
                <w:rFonts w:ascii="Verdana" w:hAnsi="Verdana"/>
                <w:noProof/>
                <w:color w:val="FFFFFF"/>
              </w:rPr>
              <w:t>31.12.2019</w:t>
            </w:r>
          </w:p>
        </w:tc>
        <w:tc>
          <w:tcPr>
            <w:tcW w:w="1166"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2BIPNOTIONALFL"/>
              <w:jc w:val="center"/>
              <w:rPr>
                <w:rFonts w:ascii="Verdana" w:eastAsia="Verdana" w:hAnsi="Verdana" w:cs="Verdana"/>
                <w:noProof/>
                <w:color w:val="FFFFFF"/>
              </w:rPr>
            </w:pPr>
            <w:r>
              <w:rPr>
                <w:rFonts w:ascii="Verdana" w:hAnsi="Verdana"/>
                <w:noProof/>
                <w:color w:val="FFFFFF"/>
              </w:rPr>
              <w:t>31.12.2018</w:t>
            </w:r>
          </w:p>
        </w:tc>
      </w:tr>
      <w:tr w:rsidR="0043277E">
        <w:trPr>
          <w:trHeight w:val="255"/>
        </w:trPr>
        <w:tc>
          <w:tcPr>
            <w:tcW w:w="4845"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52BIPNOTIONALFL"/>
              <w:jc w:val="center"/>
              <w:rPr>
                <w:rFonts w:ascii="Verdana" w:eastAsia="Verdana" w:hAnsi="Verdana" w:cs="Verdana"/>
                <w:noProof/>
                <w:color w:val="FFFFFF"/>
              </w:rPr>
            </w:pPr>
          </w:p>
        </w:tc>
        <w:tc>
          <w:tcPr>
            <w:tcW w:w="1449"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6552BIPNOTIONALFL"/>
              <w:jc w:val="center"/>
              <w:rPr>
                <w:rFonts w:ascii="Verdana" w:eastAsia="Verdana" w:hAnsi="Verdana" w:cs="Verdana"/>
                <w:noProof/>
                <w:color w:val="FFFFFF"/>
              </w:rPr>
            </w:pPr>
            <w:r>
              <w:rPr>
                <w:rFonts w:ascii="Verdana" w:hAnsi="Verdana"/>
                <w:noProof/>
                <w:color w:val="FFFFFF"/>
              </w:rPr>
              <w:t xml:space="preserve">Wartość nominalna </w:t>
            </w:r>
          </w:p>
        </w:tc>
        <w:tc>
          <w:tcPr>
            <w:tcW w:w="140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6552BIPNOTIONALFL"/>
              <w:jc w:val="center"/>
              <w:rPr>
                <w:rFonts w:ascii="Verdana" w:eastAsia="Verdana" w:hAnsi="Verdana" w:cs="Verdana"/>
                <w:noProof/>
                <w:color w:val="FFFFFF"/>
              </w:rPr>
            </w:pPr>
            <w:r>
              <w:rPr>
                <w:rFonts w:ascii="Verdana" w:hAnsi="Verdana"/>
                <w:noProof/>
                <w:color w:val="FFFFFF"/>
              </w:rPr>
              <w:t>Wartość godziwa</w:t>
            </w:r>
          </w:p>
        </w:tc>
        <w:tc>
          <w:tcPr>
            <w:tcW w:w="116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6552BIPNOTIONALFL"/>
              <w:jc w:val="center"/>
              <w:rPr>
                <w:rFonts w:ascii="Verdana" w:eastAsia="Verdana" w:hAnsi="Verdana" w:cs="Verdana"/>
                <w:noProof/>
                <w:color w:val="FFFFFF"/>
              </w:rPr>
            </w:pPr>
            <w:r>
              <w:rPr>
                <w:rFonts w:ascii="Verdana" w:hAnsi="Verdana"/>
                <w:noProof/>
                <w:color w:val="FFFFFF"/>
              </w:rPr>
              <w:t xml:space="preserve">Wartość nominalna </w:t>
            </w:r>
          </w:p>
        </w:tc>
        <w:tc>
          <w:tcPr>
            <w:tcW w:w="116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6552BIPNOTIONALFL"/>
              <w:jc w:val="center"/>
              <w:rPr>
                <w:rFonts w:ascii="Verdana" w:eastAsia="Verdana" w:hAnsi="Verdana" w:cs="Verdana"/>
                <w:noProof/>
                <w:color w:val="FFFFFF"/>
              </w:rPr>
            </w:pPr>
            <w:r>
              <w:rPr>
                <w:rFonts w:ascii="Verdana" w:hAnsi="Verdana"/>
                <w:noProof/>
                <w:color w:val="FFFFFF"/>
              </w:rPr>
              <w:t>Wartość godziwa</w:t>
            </w:r>
          </w:p>
        </w:tc>
      </w:tr>
      <w:tr w:rsidR="0043277E">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rPr>
                <w:rFonts w:ascii="Verdana" w:eastAsia="Verdana" w:hAnsi="Verdana" w:cs="Verdana"/>
                <w:i/>
                <w:noProof/>
                <w:color w:val="000000"/>
                <w:sz w:val="18"/>
              </w:rPr>
            </w:pPr>
            <w:r>
              <w:rPr>
                <w:rFonts w:ascii="Verdana" w:hAnsi="Verdana"/>
                <w:i/>
                <w:noProof/>
                <w:color w:val="000000"/>
                <w:sz w:val="18"/>
              </w:rPr>
              <w:t xml:space="preserve">Gwarancja w odniesieniu do </w:t>
            </w:r>
            <w:r>
              <w:rPr>
                <w:rFonts w:ascii="Verdana" w:hAnsi="Verdana"/>
                <w:i/>
                <w:noProof/>
                <w:color w:val="000000"/>
                <w:sz w:val="18"/>
              </w:rPr>
              <w:t>portfela kapitałowego</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752</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10</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536</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20</w:t>
            </w:r>
          </w:p>
        </w:tc>
      </w:tr>
      <w:tr w:rsidR="0043277E">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rPr>
                <w:rFonts w:ascii="Verdana" w:eastAsia="Verdana" w:hAnsi="Verdana" w:cs="Verdana"/>
                <w:i/>
                <w:noProof/>
                <w:color w:val="000000"/>
                <w:sz w:val="18"/>
              </w:rPr>
            </w:pPr>
            <w:r>
              <w:rPr>
                <w:rFonts w:ascii="Verdana" w:hAnsi="Verdana"/>
                <w:i/>
                <w:noProof/>
                <w:color w:val="000000"/>
                <w:sz w:val="18"/>
              </w:rPr>
              <w:t>Opcja walutowa (opcja typu put spread)</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13</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11</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w:t>
            </w:r>
          </w:p>
        </w:tc>
      </w:tr>
      <w:tr w:rsidR="0043277E">
        <w:trPr>
          <w:trHeight w:val="255"/>
        </w:trPr>
        <w:tc>
          <w:tcPr>
            <w:tcW w:w="45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NOTIONALFL"/>
              <w:rPr>
                <w:rFonts w:ascii="Verdana" w:eastAsia="Verdana" w:hAnsi="Verdana" w:cs="Verdana"/>
                <w:b/>
                <w:noProof/>
                <w:color w:val="000000"/>
                <w:sz w:val="18"/>
              </w:rPr>
            </w:pPr>
            <w:r>
              <w:rPr>
                <w:rFonts w:ascii="Verdana" w:hAnsi="Verdana"/>
                <w:b/>
                <w:noProof/>
                <w:color w:val="000000"/>
                <w:sz w:val="18"/>
              </w:rPr>
              <w:t>Ogółem</w:t>
            </w:r>
          </w:p>
        </w:tc>
        <w:tc>
          <w:tcPr>
            <w:tcW w:w="144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765</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12</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546</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22</w:t>
            </w:r>
          </w:p>
        </w:tc>
      </w:tr>
      <w:tr w:rsidR="0043277E">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rPr>
                <w:rFonts w:ascii="Verdana" w:eastAsia="Verdana" w:hAnsi="Verdana" w:cs="Verdana"/>
                <w:i/>
                <w:noProof/>
                <w:color w:val="016794"/>
                <w:sz w:val="18"/>
              </w:rPr>
            </w:pPr>
            <w:r>
              <w:rPr>
                <w:rFonts w:ascii="Verdana" w:hAnsi="Verdana"/>
                <w:i/>
                <w:noProof/>
                <w:color w:val="016794"/>
                <w:sz w:val="18"/>
              </w:rPr>
              <w:t>Trwałe</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148</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9</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82</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7</w:t>
            </w:r>
          </w:p>
        </w:tc>
      </w:tr>
      <w:tr w:rsidR="0043277E">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rPr>
                <w:rFonts w:ascii="Verdana" w:eastAsia="Verdana" w:hAnsi="Verdana" w:cs="Verdana"/>
                <w:i/>
                <w:noProof/>
                <w:color w:val="016794"/>
                <w:sz w:val="18"/>
              </w:rPr>
            </w:pPr>
            <w:r>
              <w:rPr>
                <w:rFonts w:ascii="Verdana" w:hAnsi="Verdana"/>
                <w:i/>
                <w:noProof/>
                <w:color w:val="016794"/>
                <w:sz w:val="18"/>
              </w:rPr>
              <w:t>Obrotowe</w:t>
            </w:r>
          </w:p>
        </w:tc>
        <w:tc>
          <w:tcPr>
            <w:tcW w:w="14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617</w:t>
            </w:r>
          </w:p>
        </w:tc>
        <w:tc>
          <w:tcPr>
            <w:tcW w:w="14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4</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464</w:t>
            </w:r>
          </w:p>
        </w:tc>
        <w:tc>
          <w:tcPr>
            <w:tcW w:w="11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15</w:t>
            </w:r>
          </w:p>
        </w:tc>
      </w:tr>
    </w:tbl>
    <w:p w:rsidR="0043277E" w:rsidRDefault="0043277E">
      <w:pPr>
        <w:pStyle w:val="HEADER5"/>
        <w:rPr>
          <w:noProof/>
          <w:lang w:bidi="en-GB"/>
        </w:rPr>
      </w:pPr>
    </w:p>
    <w:p w:rsidR="0043277E" w:rsidRDefault="000F2348">
      <w:pPr>
        <w:pStyle w:val="HEADER5"/>
        <w:rPr>
          <w:noProof/>
        </w:rPr>
      </w:pPr>
      <w:r>
        <w:rPr>
          <w:noProof/>
        </w:rPr>
        <w:t>Gwarancja w odniesieniu do portfela kapitałowego</w:t>
      </w:r>
    </w:p>
    <w:p w:rsidR="0043277E" w:rsidRDefault="000F2348">
      <w:pPr>
        <w:pStyle w:val="DGTextstand-alone"/>
      </w:pPr>
      <w:r>
        <w:t>Gwarancje udzielane w odniesieniu do portfela kapitałowego klasyfikuje się jako zobowiązania finansowe wyceniane według wartości godziwej przez nadwyżkę lub deficyt, gdyż nie spełniają one wymogów definicji zobowiązania z tytułu gwarancji finansowych – zob</w:t>
      </w:r>
      <w:r>
        <w:t xml:space="preserve">. informacja dodatkowa </w:t>
      </w:r>
      <w:r>
        <w:rPr>
          <w:b/>
        </w:rPr>
        <w:t>1.5.12</w:t>
      </w:r>
      <w:r>
        <w:t xml:space="preserve">. Według stanu na dzień 31 grudnia 2019 r. pozycja ta dotyczy głównie gwarancji udzielonej przez UE w ramach instrumentów finansowych „Horyzont 2020” (zob. informacja dodatkowa </w:t>
      </w:r>
      <w:r>
        <w:rPr>
          <w:b/>
        </w:rPr>
        <w:t>2.4.1</w:t>
      </w:r>
      <w:r>
        <w:t>) na rzecz grupy EBI w odniesieniu do portfel</w:t>
      </w:r>
      <w:r>
        <w:t>a operacji kapitałowych. Zobowiązanie finansowe UE wycenia się na podstawie wartości bazowych inwestycji.</w:t>
      </w:r>
    </w:p>
    <w:p w:rsidR="0043277E" w:rsidRDefault="000F2348">
      <w:pPr>
        <w:pStyle w:val="HEADER5"/>
        <w:rPr>
          <w:noProof/>
        </w:rPr>
      </w:pPr>
      <w:r>
        <w:rPr>
          <w:noProof/>
        </w:rPr>
        <w:t>Opcja walutowa</w:t>
      </w:r>
    </w:p>
    <w:p w:rsidR="0043277E" w:rsidRDefault="000F2348">
      <w:pPr>
        <w:pStyle w:val="DGTextstand-alone"/>
      </w:pPr>
      <w:r>
        <w:t>Na dzień 31 grudnia 2019 r. UE posiada pochodny instrument finansowy (opcja walutowa – opcja typu put spread), w ramach którego zabezpi</w:t>
      </w:r>
      <w:r>
        <w:t>ecza się przed ryzykiem dewaluacji waluty obcej (UAH) związanym z kredytami udzielonymi MŚP na Ukrainie przez instytucje finansowe, aby poprawić dostęp do finansowania, jak również aby zwiększyć atrakcyjność warunków kredytowych na Ukrainie. Na podstawie w</w:t>
      </w:r>
      <w:r>
        <w:t>arunków umowy UE zapewnia swoim partnerom – w odniesieniu do każdego kwalifikującego się kredytu i do maksymalnej wartości 30 % – możliwość wezwania do wniesienia unijnego wkładu w przypadku dewaluacji UAH w stosunku do EUR.</w:t>
      </w:r>
    </w:p>
    <w:p w:rsidR="0043277E" w:rsidRDefault="000F2348">
      <w:pPr>
        <w:pStyle w:val="HEADER5"/>
        <w:spacing w:before="360" w:after="360"/>
        <w:rPr>
          <w:b/>
          <w:noProof/>
        </w:rPr>
      </w:pPr>
      <w:r>
        <w:rPr>
          <w:noProof/>
        </w:rPr>
        <w:t xml:space="preserve">Hierarchia wartości godziwej </w:t>
      </w:r>
      <w:r>
        <w:rPr>
          <w:noProof/>
        </w:rPr>
        <w:t>zobowiązań finansowych wycenianych według wartości godziwej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899"/>
        <w:gridCol w:w="1844"/>
      </w:tblGrid>
      <w:tr w:rsidR="0043277E">
        <w:trPr>
          <w:trHeight w:val="255"/>
        </w:trPr>
        <w:tc>
          <w:tcPr>
            <w:tcW w:w="601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2BIPFVH"/>
              <w:rPr>
                <w:rFonts w:ascii="Arial" w:eastAsia="Arial" w:hAnsi="Arial" w:cs="Arial"/>
                <w:noProof/>
                <w:color w:val="000000"/>
              </w:rPr>
            </w:pPr>
            <w:bookmarkStart w:id="100" w:name="DOC_TBL00053_1_1"/>
            <w:bookmarkEnd w:id="100"/>
          </w:p>
        </w:tc>
        <w:tc>
          <w:tcPr>
            <w:tcW w:w="189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2BIPFVH"/>
              <w:rPr>
                <w:rFonts w:ascii="Arial" w:eastAsia="Arial" w:hAnsi="Arial" w:cs="Arial"/>
                <w:noProof/>
                <w:color w:val="000000"/>
              </w:rPr>
            </w:pPr>
          </w:p>
        </w:tc>
        <w:tc>
          <w:tcPr>
            <w:tcW w:w="184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2BIPFVH"/>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015"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52BIPFVH"/>
              <w:jc w:val="center"/>
              <w:rPr>
                <w:rFonts w:ascii="Verdana" w:eastAsia="Verdana" w:hAnsi="Verdana" w:cs="Verdana"/>
                <w:noProof/>
                <w:color w:val="FFFFFF"/>
              </w:rPr>
            </w:pPr>
          </w:p>
        </w:tc>
        <w:tc>
          <w:tcPr>
            <w:tcW w:w="189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2BIPFVH"/>
              <w:jc w:val="right"/>
              <w:rPr>
                <w:rFonts w:ascii="Verdana" w:eastAsia="Verdana" w:hAnsi="Verdana" w:cs="Verdana"/>
                <w:noProof/>
                <w:color w:val="FFFFFF"/>
              </w:rPr>
            </w:pPr>
            <w:r>
              <w:rPr>
                <w:rFonts w:ascii="Verdana" w:hAnsi="Verdana"/>
                <w:noProof/>
                <w:color w:val="FFFFFF"/>
              </w:rPr>
              <w:t>31.12.2019</w:t>
            </w:r>
          </w:p>
        </w:tc>
        <w:tc>
          <w:tcPr>
            <w:tcW w:w="184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2BIPFVH"/>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rPr>
                <w:rFonts w:ascii="Verdana" w:eastAsia="Verdana" w:hAnsi="Verdana" w:cs="Verdana"/>
                <w:i/>
                <w:noProof/>
                <w:color w:val="000000"/>
                <w:sz w:val="18"/>
              </w:rPr>
            </w:pPr>
            <w:r>
              <w:rPr>
                <w:rFonts w:ascii="Verdana" w:hAnsi="Verdana"/>
                <w:i/>
                <w:noProof/>
                <w:color w:val="000000"/>
                <w:sz w:val="18"/>
              </w:rPr>
              <w:t>Poziom 1: Ceny notowane na aktywnych rynkach</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i/>
                <w:noProof/>
                <w:color w:val="000000"/>
                <w:sz w:val="18"/>
              </w:rPr>
            </w:pPr>
            <w:r>
              <w:rPr>
                <w:rFonts w:ascii="Verdana" w:hAnsi="Verdana"/>
                <w:i/>
                <w:noProof/>
                <w:color w:val="000000"/>
                <w:sz w:val="18"/>
              </w:rPr>
              <w:t>–</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rPr>
                <w:rFonts w:ascii="Verdana" w:eastAsia="Verdana" w:hAnsi="Verdana" w:cs="Verdana"/>
                <w:i/>
                <w:noProof/>
                <w:color w:val="000000"/>
                <w:sz w:val="18"/>
              </w:rPr>
            </w:pPr>
            <w:r>
              <w:rPr>
                <w:rFonts w:ascii="Verdana" w:hAnsi="Verdana"/>
                <w:i/>
                <w:noProof/>
                <w:color w:val="000000"/>
                <w:sz w:val="18"/>
              </w:rPr>
              <w:t>Poziom 2: Obserwowalne dane inne niż ceny notowane</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w:t>
            </w:r>
          </w:p>
        </w:tc>
      </w:tr>
      <w:tr w:rsidR="0043277E">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rPr>
                <w:rFonts w:ascii="Verdana" w:eastAsia="Verdana" w:hAnsi="Verdana" w:cs="Verdana"/>
                <w:i/>
                <w:noProof/>
                <w:color w:val="000000"/>
                <w:sz w:val="18"/>
              </w:rPr>
            </w:pPr>
            <w:r>
              <w:rPr>
                <w:rFonts w:ascii="Verdana" w:hAnsi="Verdana"/>
                <w:i/>
                <w:noProof/>
                <w:color w:val="000000"/>
                <w:sz w:val="18"/>
              </w:rPr>
              <w:t xml:space="preserve">Poziom 3: Techniki wyceny z wykorzystaniem danych </w:t>
            </w:r>
            <w:r>
              <w:rPr>
                <w:rFonts w:ascii="Verdana" w:hAnsi="Verdana"/>
                <w:i/>
                <w:noProof/>
                <w:color w:val="000000"/>
                <w:sz w:val="18"/>
              </w:rPr>
              <w:t>nieopartych na obserwowalnych danych rynkowych</w:t>
            </w:r>
          </w:p>
        </w:tc>
        <w:tc>
          <w:tcPr>
            <w:tcW w:w="18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i/>
                <w:noProof/>
                <w:color w:val="000000"/>
                <w:sz w:val="18"/>
              </w:rPr>
            </w:pPr>
            <w:r>
              <w:rPr>
                <w:rFonts w:ascii="Verdana" w:hAnsi="Verdana"/>
                <w:i/>
                <w:noProof/>
                <w:color w:val="000000"/>
                <w:sz w:val="18"/>
              </w:rPr>
              <w:t xml:space="preserve"> 10</w:t>
            </w:r>
          </w:p>
        </w:tc>
        <w:tc>
          <w:tcPr>
            <w:tcW w:w="1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20</w:t>
            </w:r>
          </w:p>
        </w:tc>
      </w:tr>
      <w:tr w:rsidR="0043277E">
        <w:trPr>
          <w:trHeight w:val="255"/>
        </w:trPr>
        <w:tc>
          <w:tcPr>
            <w:tcW w:w="60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FVH"/>
              <w:rPr>
                <w:rFonts w:ascii="Verdana" w:eastAsia="Verdana" w:hAnsi="Verdana" w:cs="Verdana"/>
                <w:b/>
                <w:noProof/>
                <w:color w:val="000000"/>
                <w:sz w:val="18"/>
              </w:rPr>
            </w:pPr>
            <w:r>
              <w:rPr>
                <w:rFonts w:ascii="Verdana" w:hAnsi="Verdana"/>
                <w:b/>
                <w:noProof/>
                <w:color w:val="000000"/>
                <w:sz w:val="18"/>
              </w:rPr>
              <w:t>Ogółem</w:t>
            </w:r>
          </w:p>
        </w:tc>
        <w:tc>
          <w:tcPr>
            <w:tcW w:w="18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b/>
                <w:noProof/>
                <w:color w:val="000000"/>
                <w:sz w:val="18"/>
              </w:rPr>
            </w:pPr>
            <w:r>
              <w:rPr>
                <w:rFonts w:ascii="Verdana" w:hAnsi="Verdana"/>
                <w:b/>
                <w:noProof/>
                <w:color w:val="000000"/>
                <w:sz w:val="18"/>
              </w:rPr>
              <w:t xml:space="preserve"> 12</w:t>
            </w:r>
          </w:p>
        </w:tc>
        <w:tc>
          <w:tcPr>
            <w:tcW w:w="18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52BIPFVH"/>
              <w:jc w:val="right"/>
              <w:rPr>
                <w:rFonts w:ascii="Verdana" w:eastAsia="Verdana" w:hAnsi="Verdana" w:cs="Verdana"/>
                <w:b/>
                <w:noProof/>
                <w:color w:val="000000"/>
                <w:sz w:val="18"/>
              </w:rPr>
            </w:pPr>
            <w:r>
              <w:rPr>
                <w:rFonts w:ascii="Verdana" w:hAnsi="Verdana"/>
                <w:b/>
                <w:noProof/>
                <w:color w:val="000000"/>
                <w:sz w:val="18"/>
              </w:rPr>
              <w:t xml:space="preserve"> 22</w:t>
            </w:r>
          </w:p>
        </w:tc>
      </w:tr>
    </w:tbl>
    <w:p w:rsidR="0043277E" w:rsidRDefault="000F2348">
      <w:pPr>
        <w:pStyle w:val="HEADER3NOTES"/>
        <w:rPr>
          <w:noProof/>
        </w:rPr>
      </w:pPr>
      <w:r>
        <w:rPr>
          <w:noProof/>
        </w:rPr>
        <w:t>Zobowiązania z tytułu gwarancji finansowych</w:t>
      </w:r>
    </w:p>
    <w:p w:rsidR="0043277E" w:rsidRDefault="000F2348">
      <w:pPr>
        <w:pStyle w:val="DGTextstand-alone"/>
      </w:pPr>
      <w:r>
        <w:t>Gwarancję EFIS dotyczącą portfela dłużnego wypłaconą przez EBI w ramach segmentu operacji EFIS obejmującego infrastrukturę i innowacje, a także gwarancję objętą upoważnieniem EBI do udzielania pożyczek na rzecz państw trzecich ustanowioną na potrzeby pożyc</w:t>
      </w:r>
      <w:r>
        <w:t xml:space="preserve">zek EBI wypłacanych w ramach Inicjatywy EBI na rzecz budowania odporności, zaklasyfikowano jako zobowiązanie z tytułu gwarancji finansowej. Na dzień 31 grudnia 2019 r. zobowiązanie z tytułu gwarancji finansowych w ramach EFIS wyniosło zero EUR (w 2018 r.: </w:t>
      </w:r>
      <w:r>
        <w:t xml:space="preserve">zero EUR), ponieważ dochody uzyskane z tytułu tej gwarancji przekroczyły oczekiwane straty, przy czym zobowiązanie z tytułu gwarancji finansowej objętej upoważnieniem EBI do udzielania pożyczek na rzecz państw trzecich ustanowionej w ramach Inicjatywy EBI </w:t>
      </w:r>
      <w:r>
        <w:t xml:space="preserve">na rzecz budowania odporności wynosi 20 mln EUR (zob. informacja dodatkowa </w:t>
      </w:r>
      <w:r>
        <w:rPr>
          <w:b/>
        </w:rPr>
        <w:t>4.1.1</w:t>
      </w:r>
      <w:r>
        <w:t>).</w:t>
      </w:r>
    </w:p>
    <w:bookmarkEnd w:id="92"/>
    <w:p w:rsidR="0043277E" w:rsidRDefault="0043277E">
      <w:pPr>
        <w:pStyle w:val="DGTextstand-alone"/>
      </w:pPr>
    </w:p>
    <w:p w:rsidR="0043277E" w:rsidRDefault="0043277E">
      <w:pPr>
        <w:pStyle w:val="DGTextstand-alone"/>
        <w:sectPr w:rsidR="0043277E">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p>
    <w:p w:rsidR="0043277E" w:rsidRDefault="000F2348">
      <w:pPr>
        <w:rPr>
          <w:rFonts w:ascii="Verdana" w:hAnsi="Verdana"/>
          <w:b/>
          <w:noProof/>
          <w:color w:val="016794"/>
          <w:sz w:val="28"/>
          <w:szCs w:val="28"/>
        </w:rPr>
      </w:pPr>
      <w:bookmarkStart w:id="101" w:name="_DMBM_17137"/>
      <w:r>
        <w:rPr>
          <w:noProof/>
        </w:rPr>
        <w:br w:type="page"/>
      </w:r>
    </w:p>
    <w:p w:rsidR="0043277E" w:rsidRDefault="000F2348">
      <w:pPr>
        <w:pStyle w:val="HEADER2NOTES"/>
        <w:rPr>
          <w:noProof/>
        </w:rPr>
      </w:pPr>
      <w:r>
        <w:rPr>
          <w:noProof/>
        </w:rPr>
        <w:lastRenderedPageBreak/>
        <w:t>ZOBOWIĄZANIA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1179"/>
        <w:gridCol w:w="835"/>
        <w:gridCol w:w="1320"/>
        <w:gridCol w:w="1200"/>
        <w:gridCol w:w="960"/>
        <w:gridCol w:w="1778"/>
      </w:tblGrid>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0BIPPAYAB"/>
              <w:rPr>
                <w:rFonts w:ascii="Arial" w:eastAsia="Arial" w:hAnsi="Arial" w:cs="Arial"/>
                <w:noProof/>
                <w:color w:val="000000"/>
              </w:rPr>
            </w:pPr>
            <w:bookmarkStart w:id="102" w:name="DOC_TBL00054_1_1"/>
            <w:bookmarkEnd w:id="102"/>
          </w:p>
        </w:tc>
        <w:tc>
          <w:tcPr>
            <w:tcW w:w="117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0BIPPAYAB"/>
              <w:rPr>
                <w:rFonts w:ascii="Arial" w:eastAsia="Arial" w:hAnsi="Arial" w:cs="Arial"/>
                <w:noProof/>
                <w:color w:val="000000"/>
              </w:rPr>
            </w:pPr>
          </w:p>
        </w:tc>
        <w:tc>
          <w:tcPr>
            <w:tcW w:w="83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0BIPPAYAB"/>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0BIPPAYAB"/>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0BIPPAYAB"/>
              <w:rPr>
                <w:rFonts w:ascii="Arial" w:eastAsia="Arial" w:hAnsi="Arial" w:cs="Arial"/>
                <w:noProof/>
                <w:color w:val="000000"/>
              </w:rPr>
            </w:pPr>
          </w:p>
        </w:tc>
        <w:tc>
          <w:tcPr>
            <w:tcW w:w="9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0BIPPAYAB"/>
              <w:rPr>
                <w:rFonts w:ascii="Arial" w:eastAsia="Arial" w:hAnsi="Arial" w:cs="Arial"/>
                <w:noProof/>
                <w:color w:val="000000"/>
              </w:rPr>
            </w:pPr>
          </w:p>
        </w:tc>
        <w:tc>
          <w:tcPr>
            <w:tcW w:w="177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48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0BIPPAYAB"/>
              <w:jc w:val="right"/>
              <w:rPr>
                <w:rFonts w:ascii="Verdana" w:eastAsia="Verdana" w:hAnsi="Verdana" w:cs="Verdana"/>
                <w:noProof/>
                <w:color w:val="FFFFFF"/>
                <w:sz w:val="16"/>
              </w:rPr>
            </w:pP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0BIPPAYAB"/>
              <w:jc w:val="right"/>
              <w:rPr>
                <w:rFonts w:ascii="Verdana" w:eastAsia="Verdana" w:hAnsi="Verdana" w:cs="Verdana"/>
                <w:noProof/>
                <w:color w:val="FFFFFF"/>
                <w:sz w:val="16"/>
              </w:rPr>
            </w:pPr>
            <w:r>
              <w:rPr>
                <w:rFonts w:ascii="Verdana" w:hAnsi="Verdana"/>
                <w:noProof/>
                <w:color w:val="FFFFFF"/>
                <w:sz w:val="16"/>
              </w:rPr>
              <w:t>Kwota brutto</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0BIPPAYAB"/>
              <w:jc w:val="right"/>
              <w:rPr>
                <w:rFonts w:ascii="Verdana" w:eastAsia="Verdana" w:hAnsi="Verdana" w:cs="Verdana"/>
                <w:noProof/>
                <w:color w:val="FFFFFF"/>
                <w:sz w:val="16"/>
              </w:rPr>
            </w:pPr>
            <w:r>
              <w:rPr>
                <w:rFonts w:ascii="Verdana" w:hAnsi="Verdana"/>
                <w:noProof/>
                <w:color w:val="FFFFFF"/>
                <w:sz w:val="16"/>
              </w:rPr>
              <w:t>Korekty</w:t>
            </w:r>
          </w:p>
        </w:tc>
        <w:tc>
          <w:tcPr>
            <w:tcW w:w="13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0BIPPAYAB"/>
              <w:jc w:val="right"/>
              <w:rPr>
                <w:rFonts w:ascii="Verdana" w:eastAsia="Verdana" w:hAnsi="Verdana" w:cs="Verdana"/>
                <w:noProof/>
                <w:color w:val="FFFFFF"/>
                <w:sz w:val="16"/>
              </w:rPr>
            </w:pPr>
            <w:r>
              <w:rPr>
                <w:rFonts w:ascii="Verdana" w:hAnsi="Verdana"/>
                <w:noProof/>
                <w:color w:val="FFFFFF"/>
                <w:sz w:val="16"/>
              </w:rPr>
              <w:t>Kwota netto na 31.12.2019</w:t>
            </w:r>
          </w:p>
        </w:tc>
        <w:tc>
          <w:tcPr>
            <w:tcW w:w="120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0BIPPAYAB"/>
              <w:jc w:val="right"/>
              <w:rPr>
                <w:rFonts w:ascii="Verdana" w:eastAsia="Verdana" w:hAnsi="Verdana" w:cs="Verdana"/>
                <w:noProof/>
                <w:color w:val="FFFFFF"/>
                <w:sz w:val="16"/>
              </w:rPr>
            </w:pPr>
            <w:r>
              <w:rPr>
                <w:rFonts w:ascii="Verdana" w:hAnsi="Verdana"/>
                <w:noProof/>
                <w:color w:val="FFFFFF"/>
                <w:sz w:val="16"/>
              </w:rPr>
              <w:t>Kwota brutto</w:t>
            </w:r>
          </w:p>
        </w:tc>
        <w:tc>
          <w:tcPr>
            <w:tcW w:w="96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0BIPPAYAB"/>
              <w:jc w:val="right"/>
              <w:rPr>
                <w:rFonts w:ascii="Verdana" w:eastAsia="Verdana" w:hAnsi="Verdana" w:cs="Verdana"/>
                <w:noProof/>
                <w:color w:val="FFFFFF"/>
                <w:sz w:val="16"/>
              </w:rPr>
            </w:pPr>
            <w:r>
              <w:rPr>
                <w:rFonts w:ascii="Verdana" w:hAnsi="Verdana"/>
                <w:noProof/>
                <w:color w:val="FFFFFF"/>
                <w:sz w:val="16"/>
              </w:rPr>
              <w:t>Korekty</w:t>
            </w:r>
          </w:p>
        </w:tc>
        <w:tc>
          <w:tcPr>
            <w:tcW w:w="17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0BIPPAYAB"/>
              <w:jc w:val="right"/>
              <w:rPr>
                <w:rFonts w:ascii="Verdana" w:eastAsia="Verdana" w:hAnsi="Verdana" w:cs="Verdana"/>
                <w:noProof/>
                <w:color w:val="FFFFFF"/>
                <w:sz w:val="16"/>
              </w:rPr>
            </w:pPr>
            <w:r>
              <w:rPr>
                <w:rFonts w:ascii="Verdana" w:hAnsi="Verdana"/>
                <w:noProof/>
                <w:color w:val="FFFFFF"/>
                <w:sz w:val="16"/>
              </w:rPr>
              <w:t>Kwota netto na 31.12.2018</w:t>
            </w:r>
          </w:p>
        </w:tc>
      </w:tr>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b/>
                <w:noProof/>
                <w:color w:val="000000"/>
                <w:sz w:val="16"/>
              </w:rPr>
            </w:pPr>
            <w:r>
              <w:rPr>
                <w:rFonts w:ascii="Verdana" w:hAnsi="Verdana"/>
                <w:b/>
                <w:noProof/>
                <w:color w:val="000000"/>
                <w:sz w:val="16"/>
              </w:rPr>
              <w:t>Zestawienia poniesionych wydatków i faktury otrzymane od następujących podmiotów:</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lang w:bidi="en-GB"/>
              </w:rPr>
            </w:pPr>
          </w:p>
        </w:tc>
      </w:tr>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i/>
                <w:noProof/>
                <w:color w:val="016794"/>
                <w:sz w:val="16"/>
              </w:rPr>
            </w:pPr>
            <w:r>
              <w:rPr>
                <w:rFonts w:ascii="Verdana" w:hAnsi="Verdana"/>
                <w:i/>
                <w:noProof/>
                <w:color w:val="016794"/>
                <w:sz w:val="16"/>
              </w:rPr>
              <w:t>Państwa członkowskie</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lang w:bidi="en-GB"/>
              </w:rPr>
            </w:pPr>
          </w:p>
        </w:tc>
      </w:tr>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i/>
                <w:noProof/>
                <w:color w:val="000000"/>
                <w:sz w:val="16"/>
              </w:rPr>
            </w:pPr>
            <w:r>
              <w:rPr>
                <w:rFonts w:ascii="Verdana" w:hAnsi="Verdana"/>
                <w:i/>
                <w:noProof/>
                <w:color w:val="000000"/>
                <w:sz w:val="16"/>
              </w:rPr>
              <w:t>EFRROW oraz inne instrumenty na rzecz rozwoju obszarów wiejskich</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FFFFFF"/>
                <w:sz w:val="16"/>
              </w:rPr>
            </w:pPr>
            <w:r>
              <w:rPr>
                <w:rFonts w:ascii="Verdana" w:hAnsi="Verdana"/>
                <w:i/>
                <w:noProof/>
                <w:color w:val="FFFFFF"/>
                <w:sz w:val="16"/>
              </w:rPr>
              <w:t xml:space="preserve"> (0)</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247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FFFFFF"/>
                <w:sz w:val="16"/>
              </w:rPr>
            </w:pPr>
            <w:r>
              <w:rPr>
                <w:rFonts w:ascii="Verdana" w:hAnsi="Verdana"/>
                <w:i/>
                <w:noProof/>
                <w:color w:val="FFFFFF"/>
                <w:sz w:val="16"/>
              </w:rPr>
              <w:t>–</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247</w:t>
            </w:r>
          </w:p>
        </w:tc>
      </w:tr>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i/>
                <w:noProof/>
                <w:color w:val="000000"/>
                <w:sz w:val="16"/>
              </w:rPr>
            </w:pPr>
            <w:r>
              <w:rPr>
                <w:rFonts w:ascii="Verdana" w:hAnsi="Verdana"/>
                <w:i/>
                <w:noProof/>
                <w:color w:val="000000"/>
                <w:sz w:val="16"/>
              </w:rPr>
              <w:t>EFRR i FS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8 068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(2 437)</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5 631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10 761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(1 724)</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9 037</w:t>
            </w:r>
          </w:p>
        </w:tc>
      </w:tr>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i/>
                <w:noProof/>
                <w:color w:val="000000"/>
                <w:sz w:val="16"/>
              </w:rPr>
            </w:pPr>
            <w:r>
              <w:rPr>
                <w:rFonts w:ascii="Verdana" w:hAnsi="Verdana"/>
                <w:i/>
                <w:noProof/>
                <w:color w:val="000000"/>
                <w:sz w:val="16"/>
              </w:rPr>
              <w:t>EFS</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2 882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(558)</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2 325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5 195</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(496)</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4 699</w:t>
            </w:r>
          </w:p>
        </w:tc>
      </w:tr>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i/>
                <w:noProof/>
                <w:color w:val="000000"/>
                <w:sz w:val="16"/>
              </w:rPr>
            </w:pPr>
            <w:r>
              <w:rPr>
                <w:rFonts w:ascii="Verdana" w:hAnsi="Verdana"/>
                <w:i/>
                <w:noProof/>
                <w:color w:val="000000"/>
                <w:sz w:val="16"/>
              </w:rPr>
              <w:t>Inne</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852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(45)</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807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632</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(75)</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00000"/>
                <w:sz w:val="16"/>
              </w:rPr>
            </w:pPr>
            <w:r>
              <w:rPr>
                <w:rFonts w:ascii="Verdana" w:hAnsi="Verdana"/>
                <w:i/>
                <w:noProof/>
                <w:color w:val="000000"/>
                <w:sz w:val="16"/>
              </w:rPr>
              <w:t xml:space="preserve"> 557</w:t>
            </w:r>
          </w:p>
        </w:tc>
      </w:tr>
      <w:tr w:rsidR="0043277E">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i/>
                <w:noProof/>
                <w:color w:val="016794"/>
                <w:sz w:val="16"/>
              </w:rPr>
            </w:pPr>
            <w:r>
              <w:rPr>
                <w:rFonts w:ascii="Verdana" w:hAnsi="Verdana"/>
                <w:i/>
                <w:noProof/>
                <w:color w:val="016794"/>
                <w:sz w:val="16"/>
              </w:rPr>
              <w:t>Podmioty prywatne i publiczne</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16794"/>
                <w:sz w:val="16"/>
              </w:rPr>
            </w:pPr>
            <w:r>
              <w:rPr>
                <w:rFonts w:ascii="Verdana" w:hAnsi="Verdana"/>
                <w:i/>
                <w:noProof/>
                <w:color w:val="016794"/>
                <w:sz w:val="16"/>
              </w:rPr>
              <w:t>1 562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16794"/>
                <w:sz w:val="16"/>
              </w:rPr>
            </w:pPr>
            <w:r>
              <w:rPr>
                <w:rFonts w:ascii="Verdana" w:hAnsi="Verdana"/>
                <w:i/>
                <w:noProof/>
                <w:color w:val="016794"/>
                <w:sz w:val="16"/>
              </w:rPr>
              <w:t xml:space="preserve"> (180)</w:t>
            </w:r>
          </w:p>
        </w:tc>
        <w:tc>
          <w:tcPr>
            <w:tcW w:w="1320"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16794"/>
                <w:sz w:val="16"/>
              </w:rPr>
            </w:pPr>
            <w:r>
              <w:rPr>
                <w:rFonts w:ascii="Verdana" w:hAnsi="Verdana"/>
                <w:i/>
                <w:noProof/>
                <w:color w:val="016794"/>
                <w:sz w:val="16"/>
              </w:rPr>
              <w:t>1 381</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16794"/>
                <w:sz w:val="16"/>
              </w:rPr>
            </w:pPr>
            <w:r>
              <w:rPr>
                <w:rFonts w:ascii="Verdana" w:hAnsi="Verdana"/>
                <w:i/>
                <w:noProof/>
                <w:color w:val="016794"/>
                <w:sz w:val="16"/>
              </w:rPr>
              <w:t>1 461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16794"/>
                <w:sz w:val="16"/>
              </w:rPr>
            </w:pPr>
            <w:r>
              <w:rPr>
                <w:rFonts w:ascii="Verdana" w:hAnsi="Verdana"/>
                <w:i/>
                <w:noProof/>
                <w:color w:val="016794"/>
                <w:sz w:val="16"/>
              </w:rPr>
              <w:t xml:space="preserve"> (179)</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i/>
                <w:noProof/>
                <w:color w:val="016794"/>
                <w:sz w:val="16"/>
              </w:rPr>
            </w:pPr>
            <w:r>
              <w:rPr>
                <w:rFonts w:ascii="Verdana" w:hAnsi="Verdana"/>
                <w:i/>
                <w:noProof/>
                <w:color w:val="016794"/>
                <w:sz w:val="16"/>
              </w:rPr>
              <w:t>1 282</w:t>
            </w:r>
          </w:p>
        </w:tc>
      </w:tr>
      <w:tr w:rsidR="0043277E">
        <w:trPr>
          <w:trHeight w:val="255"/>
        </w:trPr>
        <w:tc>
          <w:tcPr>
            <w:tcW w:w="24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b/>
                <w:noProof/>
                <w:color w:val="000000"/>
                <w:sz w:val="16"/>
              </w:rPr>
            </w:pPr>
            <w:r>
              <w:rPr>
                <w:rFonts w:ascii="Verdana" w:hAnsi="Verdana"/>
                <w:b/>
                <w:noProof/>
                <w:color w:val="000000"/>
                <w:sz w:val="16"/>
              </w:rPr>
              <w:t xml:space="preserve">Otrzymane zestawienia </w:t>
            </w:r>
            <w:r>
              <w:rPr>
                <w:rFonts w:ascii="Verdana" w:hAnsi="Verdana"/>
                <w:b/>
                <w:noProof/>
                <w:color w:val="000000"/>
                <w:sz w:val="16"/>
              </w:rPr>
              <w:t>poniesionych wydatków i faktury ogółem</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13 384</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(3 220)</w:t>
            </w:r>
          </w:p>
        </w:tc>
        <w:tc>
          <w:tcPr>
            <w:tcW w:w="1320"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10 165</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18 296</w:t>
            </w:r>
          </w:p>
        </w:tc>
        <w:tc>
          <w:tcPr>
            <w:tcW w:w="9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(2 475)</w:t>
            </w:r>
          </w:p>
        </w:tc>
        <w:tc>
          <w:tcPr>
            <w:tcW w:w="17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15 821</w:t>
            </w:r>
          </w:p>
        </w:tc>
      </w:tr>
      <w:tr w:rsidR="0043277E">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b/>
                <w:noProof/>
                <w:color w:val="000000"/>
                <w:sz w:val="16"/>
              </w:rPr>
            </w:pPr>
            <w:r>
              <w:rPr>
                <w:rFonts w:ascii="Verdana" w:hAnsi="Verdana"/>
                <w:b/>
                <w:noProof/>
                <w:color w:val="000000"/>
                <w:sz w:val="16"/>
              </w:rPr>
              <w:t>EFRG</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16 255</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320"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16 255</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14 772</w:t>
            </w:r>
          </w:p>
        </w:tc>
        <w:tc>
          <w:tcPr>
            <w:tcW w:w="96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77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14 772</w:t>
            </w:r>
          </w:p>
        </w:tc>
      </w:tr>
      <w:tr w:rsidR="0043277E">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b/>
                <w:noProof/>
                <w:color w:val="000000"/>
                <w:sz w:val="16"/>
              </w:rPr>
            </w:pPr>
            <w:r>
              <w:rPr>
                <w:rFonts w:ascii="Verdana" w:hAnsi="Verdana"/>
                <w:b/>
                <w:noProof/>
                <w:color w:val="000000"/>
                <w:sz w:val="16"/>
              </w:rPr>
              <w:t>Zobowiązania z tytułu zasobów własnych</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43277E">
            <w:pPr>
              <w:pStyle w:val="DMETW17220BIPPAYAB"/>
              <w:jc w:val="right"/>
              <w:rPr>
                <w:rFonts w:ascii="Verdana" w:eastAsia="Verdana" w:hAnsi="Verdana" w:cs="Verdana"/>
                <w:b/>
                <w:noProof/>
                <w:color w:val="000000"/>
                <w:sz w:val="16"/>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320"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769</w:t>
            </w:r>
          </w:p>
        </w:tc>
        <w:tc>
          <w:tcPr>
            <w:tcW w:w="96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77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769</w:t>
            </w:r>
          </w:p>
        </w:tc>
      </w:tr>
      <w:tr w:rsidR="0043277E">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b/>
                <w:noProof/>
                <w:color w:val="000000"/>
                <w:sz w:val="16"/>
              </w:rPr>
            </w:pPr>
            <w:r>
              <w:rPr>
                <w:rFonts w:ascii="Verdana" w:hAnsi="Verdana"/>
                <w:b/>
                <w:noProof/>
                <w:color w:val="000000"/>
                <w:sz w:val="16"/>
              </w:rPr>
              <w:t>Zobowiązania różne</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539</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320"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539</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570</w:t>
            </w:r>
          </w:p>
        </w:tc>
        <w:tc>
          <w:tcPr>
            <w:tcW w:w="96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77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570</w:t>
            </w:r>
          </w:p>
        </w:tc>
      </w:tr>
      <w:tr w:rsidR="0043277E">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rPr>
                <w:rFonts w:ascii="Verdana" w:eastAsia="Verdana" w:hAnsi="Verdana" w:cs="Verdana"/>
                <w:b/>
                <w:noProof/>
                <w:color w:val="000000"/>
                <w:sz w:val="16"/>
              </w:rPr>
            </w:pPr>
            <w:r>
              <w:rPr>
                <w:rFonts w:ascii="Verdana" w:hAnsi="Verdana"/>
                <w:b/>
                <w:noProof/>
                <w:color w:val="000000"/>
                <w:sz w:val="16"/>
              </w:rPr>
              <w:t>Inne</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283</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320"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283</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294</w:t>
            </w:r>
          </w:p>
        </w:tc>
        <w:tc>
          <w:tcPr>
            <w:tcW w:w="96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nie dotyczy</w:t>
            </w:r>
          </w:p>
        </w:tc>
        <w:tc>
          <w:tcPr>
            <w:tcW w:w="177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 xml:space="preserve"> 294</w:t>
            </w:r>
          </w:p>
        </w:tc>
      </w:tr>
      <w:tr w:rsidR="0043277E">
        <w:trPr>
          <w:trHeight w:val="255"/>
        </w:trPr>
        <w:tc>
          <w:tcPr>
            <w:tcW w:w="248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0BIPPAYAB"/>
              <w:rPr>
                <w:rFonts w:ascii="Verdana" w:eastAsia="Verdana" w:hAnsi="Verdana" w:cs="Verdana"/>
                <w:b/>
                <w:noProof/>
                <w:color w:val="000000"/>
                <w:sz w:val="16"/>
              </w:rPr>
            </w:pPr>
            <w:r>
              <w:rPr>
                <w:rFonts w:ascii="Verdana" w:hAnsi="Verdana"/>
                <w:b/>
                <w:noProof/>
                <w:color w:val="000000"/>
                <w:sz w:val="16"/>
              </w:rPr>
              <w:t>Ogółem</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30 462</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(3 220)</w:t>
            </w:r>
          </w:p>
        </w:tc>
        <w:tc>
          <w:tcPr>
            <w:tcW w:w="1320"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27 241</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34 701</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(2 475)</w:t>
            </w:r>
          </w:p>
        </w:tc>
        <w:tc>
          <w:tcPr>
            <w:tcW w:w="17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0BIPPAYAB"/>
              <w:jc w:val="right"/>
              <w:rPr>
                <w:rFonts w:ascii="Verdana" w:eastAsia="Verdana" w:hAnsi="Verdana" w:cs="Verdana"/>
                <w:b/>
                <w:noProof/>
                <w:color w:val="000000"/>
                <w:sz w:val="16"/>
              </w:rPr>
            </w:pPr>
            <w:r>
              <w:rPr>
                <w:rFonts w:ascii="Verdana" w:hAnsi="Verdana"/>
                <w:b/>
                <w:noProof/>
                <w:color w:val="000000"/>
                <w:sz w:val="16"/>
              </w:rPr>
              <w:t>32 227</w:t>
            </w:r>
          </w:p>
        </w:tc>
      </w:tr>
    </w:tbl>
    <w:p w:rsidR="0043277E" w:rsidRDefault="000F2348">
      <w:pPr>
        <w:pStyle w:val="DGTextstand-alone"/>
      </w:pPr>
      <w:r>
        <w:t xml:space="preserve">Zobowiązania obejmują faktury i zestawienia poniesionych wydatków, które otrzymano, ale które nie zostały opłacone do końca </w:t>
      </w:r>
      <w:r>
        <w:t>roku. Początkowo są one ujmowane w momencie otrzymania faktur / zestawień poniesionych wydatków w kwocie roszczeń. Następnie zobowiązania koryguje się, aby odzwierciedlały jedynie kwoty zatwierdzone po dokonaniu przeglądu kosztów oraz kwoty uznane za kwali</w:t>
      </w:r>
      <w:r>
        <w:t>fikowalne. Kwoty uznane za niekwalifikowalne umieszcza się w kolumnie „Korekty”; największe kwoty dotyczą działań strukturalnych.</w:t>
      </w:r>
    </w:p>
    <w:p w:rsidR="0043277E" w:rsidRDefault="000F2348">
      <w:pPr>
        <w:pStyle w:val="DGTextstand-alone"/>
      </w:pPr>
      <w:r>
        <w:t>W okresie programowania 2014–2020 rozporządzenie w sprawie wspólnych przepisów (RWP) mające zastosowanie do funduszy strukturalnych (EFRR i EFS), Funduszu Spójności i Europejskiego Funduszu Morskiego i Rybackiego (EFMR) przewiduje ochronę budżetu UE poprze</w:t>
      </w:r>
      <w:r>
        <w:t>z systematyczne zatrzymywanie 10 % płatności okresowych. Po zakończeniu roku budżetowego (1 lipca–30 czerwca) określonego w rozporządzeniu w sprawie wspólnych przepisów do lutego zostaje zakończony cykl kontroli w drodze kontroli zarządczych prowadzonych p</w:t>
      </w:r>
      <w:r>
        <w:t>rzez instytucje zarządzające i audytów prowadzonych przez instytucje audytowe. Komisja analizuje dokumenty dające gwarancję i zestawienia wydatków przedłożone przez odpowiednie organy w państwach członkowskich. Zapłaty/odzyskania salda końcowego dokonuje s</w:t>
      </w:r>
      <w:r>
        <w:t>ię dopiero po zakończeniu tej oceny i zatwierdzeniu zestawienia wydatków. Kwota zatrzymana zgodnie z tym przepisem na koniec 2019 r. wyniosła 7,6 mld EUR. Część tej kwoty (2 mld EUR) uznaje się za niekwalifikowalną na podstawie informacji przedłożonych prz</w:t>
      </w:r>
      <w:r>
        <w:t xml:space="preserve">ez państwa członkowskie w zestawieniach wydatków i również umieszcza w kolumnie „Korekty”. Ostatni składnik korekt dotyczących zobowiązań stanowią kwoty odpowiadające innym zaliczkom dla państw członkowskich (zob. informacja dodatkowa </w:t>
      </w:r>
      <w:r>
        <w:rPr>
          <w:b/>
        </w:rPr>
        <w:t>2.5.2</w:t>
      </w:r>
      <w:r>
        <w:t>), które są nada</w:t>
      </w:r>
      <w:r>
        <w:t>l do wypłaty na koniec roku (0,5 mld EUR).</w:t>
      </w:r>
    </w:p>
    <w:p w:rsidR="0043277E" w:rsidRDefault="000F2348">
      <w:pPr>
        <w:pStyle w:val="DGTextstand-alone"/>
      </w:pPr>
      <w:r>
        <w:t>Odnotowano spadek zobowiązań dotyczących polityki spójności (EFRR, Fundusz Spójności, EFS). Kwota roszczeń dotyczących lat 2007–2013 obniżyła się do poziomu 1,9 mld EUR (w 2018 r.: 3,5 mld EUR) w związku z tym, że</w:t>
      </w:r>
      <w:r>
        <w:t xml:space="preserve"> Komisja zatwierdziła i wypłaciła końcowe zestawienia poniesionych wydatków przedłożone przez państwa członkowskie za ten okres. Jednocześnie kwota roszczeń dotyczących lat 2014–2020 zmniejszyła się do 5,8 mld EUR (w 2018 r.: 10 mld EUR) z uwagi na mniejsz</w:t>
      </w:r>
      <w:r>
        <w:t xml:space="preserve">ą liczbę otrzymanych zestawień poniesionych wydatków do zapłaty według stanu na dzień 31 grudnia w porównaniu z rokiem ubiegłym. Proces wdrażania programów wciąż jednak postępuje (zob. EFRR, Fundusz spójności – informacja dodatkowa </w:t>
      </w:r>
      <w:r>
        <w:rPr>
          <w:b/>
        </w:rPr>
        <w:t>3.9</w:t>
      </w:r>
      <w:r>
        <w:t>), o czym świadczy fa</w:t>
      </w:r>
      <w:r>
        <w:t xml:space="preserve">kt, że zobowiązania ogółem w przypadku EFRR i Funduszu Spójności utrzymują się na stałym poziomie – zob. wzrost biernych rozliczeń międzyokresowych kosztów, informacja dodatkowa </w:t>
      </w:r>
      <w:r>
        <w:rPr>
          <w:b/>
        </w:rPr>
        <w:t>2.13</w:t>
      </w:r>
      <w:r>
        <w:t>.</w:t>
      </w:r>
    </w:p>
    <w:p w:rsidR="0043277E" w:rsidRDefault="000F2348">
      <w:pPr>
        <w:pStyle w:val="DGTextstand-alone"/>
      </w:pPr>
      <w:r>
        <w:lastRenderedPageBreak/>
        <w:t>Wzrost zobowiązań związanych z EFRG wiąże się z tym, jak zobowiązania EF</w:t>
      </w:r>
      <w:r>
        <w:t>RG ogółem rozkładają się na zobowiązania i bierne rozliczenia międzyokresowe kosztów. Zobowiązania EFRG ogółem pozostają na stałym poziomie i wynoszą 44 448 mln EUR w porównaniu z 44 159 mln EUR w roku ubiegłym. W 2019 r. kwoty, które zostały już zadeklaro</w:t>
      </w:r>
      <w:r>
        <w:t>wane przez państwa członkowskie na koniec roku (ujęte jako zobowiązania), przewyższają jednak kwoty z 2018 r.</w:t>
      </w:r>
    </w:p>
    <w:p w:rsidR="0043277E" w:rsidRDefault="000F2348">
      <w:pPr>
        <w:pStyle w:val="HEADER5"/>
        <w:spacing w:before="240" w:after="120"/>
        <w:rPr>
          <w:noProof/>
        </w:rPr>
      </w:pPr>
      <w:r>
        <w:rPr>
          <w:noProof/>
        </w:rPr>
        <w:t>Wnioski o płatności zaliczkowe</w:t>
      </w:r>
    </w:p>
    <w:p w:rsidR="0043277E" w:rsidRDefault="000F2348">
      <w:pPr>
        <w:pStyle w:val="DGTextstand-alone"/>
        <w:spacing w:after="0"/>
      </w:pPr>
      <w:r>
        <w:t xml:space="preserve">Oprócz wspomnianych powyżej kwot na koniec 2019 r. kwota z tytułu wniosków o płatności zaliczkowe, które wpłynęły, </w:t>
      </w:r>
      <w:r>
        <w:t>lecz nie zostały jeszcze zrealizowane na koniec roku, wynosiła 0,5 mld EUR. Zgodnie z zasadami rachunkowości UE kwot tych nie księguje się jako zobowiązania.</w:t>
      </w:r>
    </w:p>
    <w:p w:rsidR="0043277E" w:rsidRDefault="000F2348">
      <w:pPr>
        <w:rPr>
          <w:rFonts w:ascii="Verdana" w:hAnsi="Verdana"/>
          <w:noProof/>
          <w:color w:val="016794"/>
          <w:sz w:val="18"/>
          <w:szCs w:val="18"/>
        </w:rPr>
      </w:pPr>
      <w:r>
        <w:rPr>
          <w:noProof/>
        </w:rPr>
        <w:br w:type="page"/>
      </w:r>
    </w:p>
    <w:p w:rsidR="0043277E" w:rsidRDefault="000F2348">
      <w:pPr>
        <w:pStyle w:val="HEADER5"/>
        <w:spacing w:before="240" w:after="120"/>
        <w:rPr>
          <w:noProof/>
        </w:rPr>
      </w:pPr>
      <w:r>
        <w:rPr>
          <w:noProof/>
        </w:rPr>
        <w:lastRenderedPageBreak/>
        <w:t>Zobowiązania z tytułu zasobów własnych</w:t>
      </w:r>
    </w:p>
    <w:p w:rsidR="0043277E" w:rsidRDefault="000F2348">
      <w:pPr>
        <w:pStyle w:val="DGTextstand-alone"/>
        <w:spacing w:before="0" w:after="0"/>
      </w:pPr>
      <w:r>
        <w:t>Zobowiązania z tytułu zasobów własnych odnoszą się do skł</w:t>
      </w:r>
      <w:r>
        <w:t>adek państw członkowskich wnoszonych do budżetu UE, które miały zostać zwrócone na koniec roku. Budżety korygujące wykonuje się zgodnie z art. 10 ust. 3 rozporządzenia nr 609/2014. Kwota na dzień 31 grudnia 2018 r. wynikała z przyjęcia budżetu korygującego</w:t>
      </w:r>
      <w:r>
        <w:t xml:space="preserve"> nr 6/2018 w dniu 12 grudnia 2018 r. Zgodnie z tym przepisem odpowiednie kwoty zostały zwrócone państwom członkowskim w pierwszym dniu roboczym w styczniu 2019 r. Ponieważ w tym roku nie przyjęto podobnego budżetu korygującego, nie miały również miejsca ta</w:t>
      </w:r>
      <w:r>
        <w:t>kie zobowiązania.</w:t>
      </w:r>
      <w:bookmarkEnd w:id="101"/>
    </w:p>
    <w:p w:rsidR="0043277E" w:rsidRDefault="0043277E">
      <w:pPr>
        <w:pStyle w:val="DGTextstand-alone"/>
        <w:spacing w:before="0" w:after="0"/>
        <w:sectPr w:rsidR="0043277E">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9" w:footer="709" w:gutter="0"/>
          <w:cols w:space="708"/>
          <w:docGrid w:linePitch="360"/>
        </w:sectPr>
      </w:pPr>
    </w:p>
    <w:p w:rsidR="0043277E" w:rsidRDefault="000F2348">
      <w:pPr>
        <w:pStyle w:val="HEADER2NOTES"/>
        <w:rPr>
          <w:noProof/>
        </w:rPr>
      </w:pPr>
      <w:bookmarkStart w:id="103" w:name="_DMBM_17193"/>
      <w:r>
        <w:rPr>
          <w:noProof/>
        </w:rPr>
        <w:t>BIERNE ROZLICZENIA MIĘDZYOKRESOWE KOSZTÓW I PRZYCHODY PRZYSZŁYCH OKRESÓW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9BIPACDI"/>
              <w:rPr>
                <w:rFonts w:ascii="Arial" w:eastAsia="Arial" w:hAnsi="Arial" w:cs="Arial"/>
                <w:noProof/>
                <w:color w:val="000000"/>
              </w:rPr>
            </w:pPr>
            <w:bookmarkStart w:id="104" w:name="DOC_TBL00055_1_1"/>
            <w:bookmarkEnd w:id="104"/>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9BIPACDI"/>
              <w:rPr>
                <w:rFonts w:ascii="Arial" w:eastAsia="Arial" w:hAnsi="Arial" w:cs="Arial"/>
                <w:noProof/>
                <w:color w:val="000000"/>
              </w:rPr>
            </w:pP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27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9BIPACDI"/>
              <w:jc w:val="right"/>
              <w:rPr>
                <w:rFonts w:ascii="Verdana" w:eastAsia="Verdana" w:hAnsi="Verdana" w:cs="Verdana"/>
                <w:noProof/>
                <w:color w:val="FFFFFF"/>
                <w:sz w:val="18"/>
              </w:rPr>
            </w:pP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9BIPACDI"/>
              <w:jc w:val="right"/>
              <w:rPr>
                <w:rFonts w:ascii="Verdana" w:eastAsia="Verdana" w:hAnsi="Verdana" w:cs="Verdana"/>
                <w:noProof/>
                <w:color w:val="FFFFFF"/>
              </w:rPr>
            </w:pPr>
            <w:r>
              <w:rPr>
                <w:rFonts w:ascii="Verdana" w:hAnsi="Verdana"/>
                <w:noProof/>
                <w:color w:val="FFFFFF"/>
              </w:rPr>
              <w:t>31.12.2019</w:t>
            </w: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9BIPACDI"/>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
              <w:rPr>
                <w:rFonts w:ascii="Verdana" w:eastAsia="Verdana" w:hAnsi="Verdana" w:cs="Verdana"/>
                <w:i/>
                <w:noProof/>
                <w:color w:val="000000"/>
                <w:sz w:val="18"/>
              </w:rPr>
            </w:pPr>
            <w:r>
              <w:rPr>
                <w:rFonts w:ascii="Verdana" w:hAnsi="Verdana"/>
                <w:i/>
                <w:noProof/>
                <w:color w:val="000000"/>
                <w:sz w:val="18"/>
              </w:rPr>
              <w:t xml:space="preserve">Bierne </w:t>
            </w:r>
            <w:r>
              <w:rPr>
                <w:rFonts w:ascii="Verdana" w:hAnsi="Verdana"/>
                <w:i/>
                <w:noProof/>
                <w:color w:val="000000"/>
                <w:sz w:val="18"/>
              </w:rPr>
              <w:t>rozliczenia międzyokresowe kosztów</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
              <w:jc w:val="right"/>
              <w:rPr>
                <w:rFonts w:ascii="Verdana" w:eastAsia="Verdana" w:hAnsi="Verdana" w:cs="Verdana"/>
                <w:i/>
                <w:noProof/>
                <w:color w:val="000000"/>
                <w:sz w:val="18"/>
              </w:rPr>
            </w:pPr>
            <w:r>
              <w:rPr>
                <w:rFonts w:ascii="Verdana" w:hAnsi="Verdana"/>
                <w:i/>
                <w:noProof/>
                <w:color w:val="000000"/>
                <w:sz w:val="18"/>
              </w:rPr>
              <w:t>66 860</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
              <w:jc w:val="right"/>
              <w:rPr>
                <w:rFonts w:ascii="Verdana" w:eastAsia="Verdana" w:hAnsi="Verdana" w:cs="Verdana"/>
                <w:i/>
                <w:noProof/>
                <w:color w:val="000000"/>
                <w:sz w:val="18"/>
              </w:rPr>
            </w:pPr>
            <w:r>
              <w:rPr>
                <w:rFonts w:ascii="Verdana" w:hAnsi="Verdana"/>
                <w:i/>
                <w:noProof/>
                <w:color w:val="000000"/>
                <w:sz w:val="18"/>
              </w:rPr>
              <w:t>62 877</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
              <w:rPr>
                <w:rFonts w:ascii="Verdana" w:eastAsia="Verdana" w:hAnsi="Verdana" w:cs="Verdana"/>
                <w:i/>
                <w:noProof/>
                <w:color w:val="000000"/>
                <w:sz w:val="18"/>
              </w:rPr>
            </w:pPr>
            <w:r>
              <w:rPr>
                <w:rFonts w:ascii="Verdana" w:hAnsi="Verdana"/>
                <w:i/>
                <w:noProof/>
                <w:color w:val="000000"/>
                <w:sz w:val="18"/>
              </w:rPr>
              <w:t>Przychody przyszłych okresów</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251</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96</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
              <w:rPr>
                <w:rFonts w:ascii="Verdana" w:eastAsia="Verdana" w:hAnsi="Verdana" w:cs="Verdana"/>
                <w:i/>
                <w:noProof/>
                <w:color w:val="000000"/>
                <w:sz w:val="18"/>
              </w:rPr>
            </w:pPr>
            <w:r>
              <w:rPr>
                <w:rFonts w:ascii="Verdana" w:hAnsi="Verdana"/>
                <w:i/>
                <w:noProof/>
                <w:color w:val="000000"/>
                <w:sz w:val="18"/>
              </w:rPr>
              <w:t>Inne</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116</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213</w:t>
            </w:r>
          </w:p>
        </w:tc>
      </w:tr>
      <w:tr w:rsidR="0043277E">
        <w:trPr>
          <w:trHeight w:val="255"/>
        </w:trPr>
        <w:tc>
          <w:tcPr>
            <w:tcW w:w="627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49BIPACDI"/>
              <w:rPr>
                <w:rFonts w:ascii="Verdana" w:eastAsia="Verdana" w:hAnsi="Verdana" w:cs="Verdana"/>
                <w:b/>
                <w:noProof/>
                <w:color w:val="000000"/>
                <w:sz w:val="18"/>
              </w:rPr>
            </w:pPr>
            <w:r>
              <w:rPr>
                <w:rFonts w:ascii="Verdana" w:hAnsi="Verdana"/>
                <w:b/>
                <w:noProof/>
                <w:color w:val="000000"/>
                <w:sz w:val="18"/>
              </w:rPr>
              <w:t>Ogółem</w:t>
            </w:r>
          </w:p>
        </w:tc>
        <w:tc>
          <w:tcPr>
            <w:tcW w:w="1741"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9BIPACDI"/>
              <w:jc w:val="right"/>
              <w:rPr>
                <w:rFonts w:ascii="Verdana" w:eastAsia="Verdana" w:hAnsi="Verdana" w:cs="Verdana"/>
                <w:b/>
                <w:noProof/>
                <w:color w:val="000000"/>
                <w:sz w:val="18"/>
              </w:rPr>
            </w:pPr>
            <w:r>
              <w:rPr>
                <w:rFonts w:ascii="Verdana" w:hAnsi="Verdana"/>
                <w:b/>
                <w:noProof/>
                <w:color w:val="000000"/>
                <w:sz w:val="18"/>
              </w:rPr>
              <w:t>67 227</w:t>
            </w:r>
          </w:p>
        </w:tc>
        <w:tc>
          <w:tcPr>
            <w:tcW w:w="1741"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7249BIPACDI"/>
              <w:jc w:val="right"/>
              <w:rPr>
                <w:rFonts w:ascii="Verdana" w:eastAsia="Verdana" w:hAnsi="Verdana" w:cs="Verdana"/>
                <w:b/>
                <w:noProof/>
                <w:color w:val="000000"/>
                <w:sz w:val="18"/>
              </w:rPr>
            </w:pPr>
            <w:r>
              <w:rPr>
                <w:rFonts w:ascii="Verdana" w:hAnsi="Verdana"/>
                <w:b/>
                <w:noProof/>
                <w:color w:val="000000"/>
                <w:sz w:val="18"/>
              </w:rPr>
              <w:t>63 186</w:t>
            </w:r>
          </w:p>
        </w:tc>
      </w:tr>
    </w:tbl>
    <w:p w:rsidR="0043277E" w:rsidRDefault="000F2348">
      <w:pPr>
        <w:pStyle w:val="DGTextstand-alone"/>
      </w:pPr>
      <w:r>
        <w:t>Bierne rozliczenia międzyokresowe kosztów mają następującą strukturę: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9BIPACDISPLIT"/>
              <w:rPr>
                <w:rFonts w:ascii="Arial" w:eastAsia="Arial" w:hAnsi="Arial" w:cs="Arial"/>
                <w:noProof/>
                <w:color w:val="000000"/>
              </w:rPr>
            </w:pPr>
            <w:bookmarkStart w:id="105" w:name="DOC_TBL00056_1_1"/>
            <w:bookmarkEnd w:id="105"/>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49BIPACDISPLIT"/>
              <w:rPr>
                <w:rFonts w:ascii="Arial" w:eastAsia="Arial" w:hAnsi="Arial" w:cs="Arial"/>
                <w:noProof/>
                <w:color w:val="000000"/>
              </w:rPr>
            </w:pP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27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49BIPACDISPLIT"/>
              <w:jc w:val="right"/>
              <w:rPr>
                <w:rFonts w:ascii="Verdana" w:eastAsia="Verdana" w:hAnsi="Verdana" w:cs="Verdana"/>
                <w:noProof/>
                <w:color w:val="FFFFFF"/>
                <w:sz w:val="18"/>
              </w:rPr>
            </w:pP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9BIPACDISPLIT"/>
              <w:jc w:val="right"/>
              <w:rPr>
                <w:rFonts w:ascii="Verdana" w:eastAsia="Verdana" w:hAnsi="Verdana" w:cs="Verdana"/>
                <w:noProof/>
                <w:color w:val="FFFFFF"/>
              </w:rPr>
            </w:pPr>
            <w:r>
              <w:rPr>
                <w:rFonts w:ascii="Verdana" w:hAnsi="Verdana"/>
                <w:noProof/>
                <w:color w:val="FFFFFF"/>
              </w:rPr>
              <w:t>31.12.2019</w:t>
            </w:r>
          </w:p>
        </w:tc>
        <w:tc>
          <w:tcPr>
            <w:tcW w:w="174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49BIPACDISPLIT"/>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SPLIT"/>
              <w:rPr>
                <w:rFonts w:ascii="Verdana" w:eastAsia="Verdana" w:hAnsi="Verdana" w:cs="Verdana"/>
                <w:i/>
                <w:noProof/>
                <w:color w:val="000000"/>
                <w:sz w:val="18"/>
              </w:rPr>
            </w:pPr>
            <w:r>
              <w:rPr>
                <w:rFonts w:ascii="Verdana" w:hAnsi="Verdana"/>
                <w:i/>
                <w:noProof/>
                <w:color w:val="000000"/>
                <w:sz w:val="18"/>
              </w:rPr>
              <w:t>EFRG</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28 193</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29 387</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SPLIT"/>
              <w:rPr>
                <w:rFonts w:ascii="Verdana" w:eastAsia="Verdana" w:hAnsi="Verdana" w:cs="Verdana"/>
                <w:i/>
                <w:noProof/>
                <w:color w:val="000000"/>
                <w:sz w:val="18"/>
              </w:rPr>
            </w:pPr>
            <w:r>
              <w:rPr>
                <w:rFonts w:ascii="Verdana" w:hAnsi="Verdana"/>
                <w:i/>
                <w:noProof/>
                <w:color w:val="000000"/>
                <w:sz w:val="18"/>
              </w:rPr>
              <w:t>EFRROW oraz inne instrumenty na rzecz rozwoju obszarów wiejskich</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18 583</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18 687</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SPLIT"/>
              <w:rPr>
                <w:rFonts w:ascii="Verdana" w:eastAsia="Verdana" w:hAnsi="Verdana" w:cs="Verdana"/>
                <w:i/>
                <w:noProof/>
                <w:color w:val="000000"/>
                <w:sz w:val="18"/>
              </w:rPr>
            </w:pPr>
            <w:r>
              <w:rPr>
                <w:rFonts w:ascii="Verdana" w:hAnsi="Verdana"/>
                <w:i/>
                <w:noProof/>
                <w:color w:val="000000"/>
                <w:sz w:val="18"/>
              </w:rPr>
              <w:t>EFRR i FS</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9 525</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5 863</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SPLIT"/>
              <w:rPr>
                <w:rFonts w:ascii="Verdana" w:eastAsia="Verdana" w:hAnsi="Verdana" w:cs="Verdana"/>
                <w:i/>
                <w:noProof/>
                <w:color w:val="000000"/>
                <w:sz w:val="18"/>
              </w:rPr>
            </w:pPr>
            <w:r>
              <w:rPr>
                <w:rFonts w:ascii="Verdana" w:hAnsi="Verdana"/>
                <w:i/>
                <w:noProof/>
                <w:color w:val="000000"/>
                <w:sz w:val="18"/>
              </w:rPr>
              <w:t>EFS</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3 016</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2 321</w:t>
            </w:r>
          </w:p>
        </w:tc>
      </w:tr>
      <w:tr w:rsidR="0043277E">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49BIPACDISPLIT"/>
              <w:rPr>
                <w:rFonts w:ascii="Verdana" w:eastAsia="Verdana" w:hAnsi="Verdana" w:cs="Verdana"/>
                <w:i/>
                <w:noProof/>
                <w:color w:val="000000"/>
                <w:sz w:val="18"/>
              </w:rPr>
            </w:pPr>
            <w:r>
              <w:rPr>
                <w:rFonts w:ascii="Verdana" w:hAnsi="Verdana"/>
                <w:i/>
                <w:noProof/>
                <w:color w:val="000000"/>
                <w:sz w:val="18"/>
              </w:rPr>
              <w:t>Inne</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7 542</w:t>
            </w:r>
          </w:p>
        </w:tc>
        <w:tc>
          <w:tcPr>
            <w:tcW w:w="174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i/>
                <w:noProof/>
                <w:color w:val="000000"/>
                <w:sz w:val="18"/>
              </w:rPr>
            </w:pPr>
            <w:r>
              <w:rPr>
                <w:rFonts w:ascii="Verdana" w:hAnsi="Verdana"/>
                <w:i/>
                <w:noProof/>
                <w:color w:val="000000"/>
                <w:sz w:val="18"/>
              </w:rPr>
              <w:t>6 619</w:t>
            </w:r>
          </w:p>
        </w:tc>
      </w:tr>
      <w:tr w:rsidR="0043277E">
        <w:trPr>
          <w:trHeight w:val="255"/>
        </w:trPr>
        <w:tc>
          <w:tcPr>
            <w:tcW w:w="62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49BIPACDISPLIT"/>
              <w:rPr>
                <w:rFonts w:ascii="Verdana" w:eastAsia="Verdana" w:hAnsi="Verdana" w:cs="Verdana"/>
                <w:b/>
                <w:noProof/>
                <w:color w:val="000000"/>
                <w:sz w:val="18"/>
              </w:rPr>
            </w:pPr>
            <w:r>
              <w:rPr>
                <w:rFonts w:ascii="Verdana" w:hAnsi="Verdana"/>
                <w:b/>
                <w:noProof/>
                <w:color w:val="000000"/>
                <w:sz w:val="18"/>
              </w:rPr>
              <w:t>Ogółem</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b/>
                <w:noProof/>
                <w:color w:val="000000"/>
                <w:sz w:val="18"/>
              </w:rPr>
            </w:pPr>
            <w:r>
              <w:rPr>
                <w:rFonts w:ascii="Verdana" w:hAnsi="Verdana"/>
                <w:b/>
                <w:noProof/>
                <w:color w:val="000000"/>
                <w:sz w:val="18"/>
              </w:rPr>
              <w:t>66 860</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rsidR="0043277E" w:rsidRDefault="000F2348">
            <w:pPr>
              <w:pStyle w:val="DMETW17249BIPACDISPLIT"/>
              <w:jc w:val="right"/>
              <w:rPr>
                <w:rFonts w:ascii="Verdana" w:eastAsia="Verdana" w:hAnsi="Verdana" w:cs="Verdana"/>
                <w:b/>
                <w:noProof/>
                <w:color w:val="000000"/>
                <w:sz w:val="18"/>
              </w:rPr>
            </w:pPr>
            <w:r>
              <w:rPr>
                <w:rFonts w:ascii="Verdana" w:hAnsi="Verdana"/>
                <w:b/>
                <w:noProof/>
                <w:color w:val="000000"/>
                <w:sz w:val="18"/>
              </w:rPr>
              <w:t>62 877</w:t>
            </w:r>
          </w:p>
        </w:tc>
      </w:tr>
    </w:tbl>
    <w:p w:rsidR="0043277E" w:rsidRDefault="000F2348">
      <w:pPr>
        <w:pStyle w:val="DGTextstand-alone"/>
        <w:spacing w:after="0"/>
      </w:pPr>
      <w:r>
        <w:t>Bierne rozliczenia międzyokresowe kosztów odnoszą się do ujmowanych wydatków, w odniesieniu do których Komisja nie otrzymała jeszcze zestawień poniesionych wydatków. Jeżeli chodzi o politykę spójności, wzrost biernych rozliczeń międzyokresowych kosztów zwi</w:t>
      </w:r>
      <w:r>
        <w:t>ązanych z EFRR i Funduszem spójności (wynikający z faktu, że programy te są w dalszym ciągu wdrażane) równoważy zmniejszenie kwoty zobowiązań, co skutkuje stabilną kwotą ogólnych zobowiązań wobec państw członkowskich (15 156 mln EUR w porównaniu z 14 900 m</w:t>
      </w:r>
      <w:r>
        <w:t>ln EUR w roku ubiegłym). Jeżeli chodzi o EFS, łączna kwota zobowiązań zmniejszyła się do 5 341 mln EUR (w 2018 r.: 7 020 mln EUR) zgodnie z tendencją obserwowaną w odniesieniu do wydatków związanych z EFS. Informacje na temat spadku związanego z EFRG przed</w:t>
      </w:r>
      <w:r>
        <w:t xml:space="preserve">stawiono w informacji dodatkowej </w:t>
      </w:r>
      <w:r>
        <w:rPr>
          <w:b/>
        </w:rPr>
        <w:t>2.12</w:t>
      </w:r>
      <w:r>
        <w:t xml:space="preserve"> powyżej.</w:t>
      </w:r>
      <w:bookmarkEnd w:id="103"/>
    </w:p>
    <w:p w:rsidR="0043277E" w:rsidRDefault="0043277E">
      <w:pPr>
        <w:pStyle w:val="DGTextstand-alone"/>
        <w:spacing w:after="0"/>
      </w:pPr>
    </w:p>
    <w:p w:rsidR="0043277E" w:rsidRDefault="0043277E">
      <w:pPr>
        <w:pStyle w:val="DGTextstand-alone"/>
        <w:spacing w:after="0"/>
        <w:sectPr w:rsidR="0043277E">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p>
    <w:p w:rsidR="0043277E" w:rsidRDefault="000F2348">
      <w:pPr>
        <w:pStyle w:val="HEADERTABLE"/>
        <w:rPr>
          <w:noProof/>
        </w:rPr>
      </w:pPr>
      <w:bookmarkStart w:id="106" w:name="_DMBM_17149"/>
      <w:r>
        <w:rPr>
          <w:noProof/>
        </w:rPr>
        <w:lastRenderedPageBreak/>
        <w:t>AKTYWA NETTO</w:t>
      </w:r>
    </w:p>
    <w:p w:rsidR="0043277E" w:rsidRDefault="000F2348">
      <w:pPr>
        <w:pStyle w:val="HEADER2NOTES"/>
        <w:rPr>
          <w:noProof/>
        </w:rPr>
      </w:pPr>
      <w:r>
        <w:rPr>
          <w:noProof/>
        </w:rPr>
        <w:t>KAPITAŁY REZERWOWE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826"/>
        <w:gridCol w:w="1827"/>
        <w:gridCol w:w="1827"/>
      </w:tblGrid>
      <w:tr w:rsidR="0043277E">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43277E">
            <w:pPr>
              <w:pStyle w:val="DMETW17250BIPRES"/>
              <w:jc w:val="right"/>
              <w:rPr>
                <w:rFonts w:ascii="Verdana" w:eastAsia="Times New Roman" w:hAnsi="Verdana" w:cs="Verdana"/>
                <w:i/>
                <w:noProof/>
                <w:color w:val="000000"/>
                <w:sz w:val="16"/>
              </w:rPr>
            </w:pPr>
            <w:bookmarkStart w:id="107" w:name="DOC_TBL00057_1_1"/>
            <w:bookmarkEnd w:id="107"/>
          </w:p>
        </w:tc>
        <w:tc>
          <w:tcPr>
            <w:tcW w:w="1826"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43277E">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43277E">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0F2348">
            <w:pPr>
              <w:pStyle w:val="DMETW17250BIPRES"/>
              <w:jc w:val="right"/>
              <w:rPr>
                <w:rFonts w:ascii="Verdana" w:eastAsia="Times New Roman" w:hAnsi="Verdana" w:cs="Verdana"/>
                <w:i/>
                <w:noProof/>
                <w:color w:val="000000"/>
                <w:sz w:val="16"/>
              </w:rPr>
            </w:pPr>
            <w:r>
              <w:rPr>
                <w:rFonts w:ascii="Verdana" w:hAnsi="Verdana"/>
                <w:i/>
                <w:noProof/>
                <w:color w:val="000000"/>
                <w:sz w:val="16"/>
              </w:rPr>
              <w:t>w mln EUR</w:t>
            </w:r>
          </w:p>
        </w:tc>
      </w:tr>
      <w:tr w:rsidR="0043277E">
        <w:trPr>
          <w:trHeight w:val="255"/>
        </w:trPr>
        <w:tc>
          <w:tcPr>
            <w:tcW w:w="4278"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43277E">
            <w:pPr>
              <w:pStyle w:val="DMETW17250BIPRES"/>
              <w:rPr>
                <w:rFonts w:ascii="Verdana" w:eastAsia="Times New Roman" w:hAnsi="Verdana" w:cs="Verdana"/>
                <w:noProof/>
                <w:color w:val="FFFFFF"/>
              </w:rPr>
            </w:pPr>
          </w:p>
        </w:tc>
        <w:tc>
          <w:tcPr>
            <w:tcW w:w="1826"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0F2348">
            <w:pPr>
              <w:pStyle w:val="DMETW17250BIPRES"/>
              <w:jc w:val="center"/>
              <w:rPr>
                <w:rFonts w:ascii="Verdana" w:eastAsia="Times New Roman" w:hAnsi="Verdana" w:cs="Verdana"/>
                <w:noProof/>
                <w:color w:val="FFFFFF"/>
              </w:rPr>
            </w:pPr>
            <w:r>
              <w:rPr>
                <w:rFonts w:ascii="Verdana" w:hAnsi="Verdana"/>
                <w:noProof/>
                <w:color w:val="FFFFFF"/>
              </w:rPr>
              <w:t>Informacja dodatkowa</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noProof/>
                <w:color w:val="FFFFFF"/>
              </w:rPr>
            </w:pPr>
            <w:r>
              <w:rPr>
                <w:rFonts w:ascii="Verdana" w:hAnsi="Verdana"/>
                <w:noProof/>
                <w:color w:val="FFFFFF"/>
              </w:rPr>
              <w:t>31.12.2019</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noProof/>
                <w:color w:val="FFFFFF"/>
              </w:rPr>
            </w:pPr>
            <w:r>
              <w:rPr>
                <w:rFonts w:ascii="Verdana" w:hAnsi="Verdana"/>
                <w:noProof/>
                <w:color w:val="FFFFFF"/>
              </w:rPr>
              <w:t>31.12.2018</w:t>
            </w:r>
          </w:p>
        </w:tc>
      </w:tr>
      <w:tr w:rsidR="0043277E">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rPr>
                <w:rFonts w:ascii="Verdana" w:eastAsia="Times New Roman" w:hAnsi="Verdana" w:cs="Verdana"/>
                <w:i/>
                <w:noProof/>
                <w:color w:val="000000"/>
                <w:sz w:val="18"/>
              </w:rPr>
            </w:pPr>
            <w:r>
              <w:rPr>
                <w:rFonts w:ascii="Verdana" w:hAnsi="Verdana"/>
                <w:i/>
                <w:noProof/>
                <w:color w:val="000000"/>
                <w:sz w:val="18"/>
              </w:rPr>
              <w:t>Kapitał z aktualizacji wyceny</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center"/>
              <w:rPr>
                <w:rFonts w:ascii="Verdana" w:eastAsia="Times New Roman" w:hAnsi="Verdana" w:cs="Verdana"/>
                <w:i/>
                <w:noProof/>
                <w:color w:val="000000"/>
                <w:sz w:val="18"/>
              </w:rPr>
            </w:pPr>
            <w:r>
              <w:rPr>
                <w:rFonts w:ascii="Verdana" w:hAnsi="Verdana"/>
                <w:i/>
                <w:noProof/>
                <w:color w:val="000000"/>
                <w:sz w:val="18"/>
              </w:rPr>
              <w:t>2.14.1</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i/>
                <w:noProof/>
                <w:color w:val="000000"/>
                <w:sz w:val="18"/>
              </w:rPr>
            </w:pPr>
            <w:r>
              <w:rPr>
                <w:rFonts w:ascii="Verdana" w:hAnsi="Verdana"/>
                <w:i/>
                <w:noProof/>
                <w:color w:val="000000"/>
                <w:sz w:val="18"/>
              </w:rPr>
              <w:t xml:space="preserve"> 391</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i/>
                <w:noProof/>
                <w:color w:val="000000"/>
                <w:sz w:val="18"/>
              </w:rPr>
            </w:pPr>
            <w:r>
              <w:rPr>
                <w:rFonts w:ascii="Verdana" w:hAnsi="Verdana"/>
                <w:i/>
                <w:noProof/>
                <w:color w:val="000000"/>
                <w:sz w:val="18"/>
              </w:rPr>
              <w:t xml:space="preserve"> 231</w:t>
            </w:r>
          </w:p>
        </w:tc>
      </w:tr>
      <w:tr w:rsidR="0043277E">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rPr>
                <w:rFonts w:ascii="Verdana" w:eastAsia="Times New Roman" w:hAnsi="Verdana" w:cs="Verdana"/>
                <w:i/>
                <w:noProof/>
                <w:color w:val="000000"/>
                <w:sz w:val="18"/>
              </w:rPr>
            </w:pPr>
            <w:r>
              <w:rPr>
                <w:rFonts w:ascii="Verdana" w:hAnsi="Verdana"/>
                <w:i/>
                <w:noProof/>
                <w:color w:val="000000"/>
                <w:sz w:val="18"/>
              </w:rPr>
              <w:t>Kapitał rezerwowy Funduszu Gwarancyjnego</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center"/>
              <w:rPr>
                <w:rFonts w:ascii="Verdana" w:eastAsia="Times New Roman" w:hAnsi="Verdana" w:cs="Verdana"/>
                <w:i/>
                <w:noProof/>
                <w:color w:val="000000"/>
                <w:sz w:val="18"/>
              </w:rPr>
            </w:pPr>
            <w:r>
              <w:rPr>
                <w:rFonts w:ascii="Verdana" w:hAnsi="Verdana"/>
                <w:i/>
                <w:noProof/>
                <w:color w:val="000000"/>
                <w:sz w:val="18"/>
              </w:rPr>
              <w:t>2.14.2</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i/>
                <w:noProof/>
                <w:color w:val="000000"/>
                <w:sz w:val="18"/>
              </w:rPr>
            </w:pPr>
            <w:r>
              <w:rPr>
                <w:rFonts w:ascii="Verdana" w:hAnsi="Verdana"/>
                <w:i/>
                <w:noProof/>
                <w:color w:val="000000"/>
                <w:sz w:val="18"/>
              </w:rPr>
              <w:t>2 870</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i/>
                <w:noProof/>
                <w:color w:val="000000"/>
                <w:sz w:val="18"/>
              </w:rPr>
            </w:pPr>
            <w:r>
              <w:rPr>
                <w:rFonts w:ascii="Verdana" w:hAnsi="Verdana"/>
                <w:i/>
                <w:noProof/>
                <w:color w:val="000000"/>
                <w:sz w:val="18"/>
              </w:rPr>
              <w:t>2 849</w:t>
            </w:r>
          </w:p>
        </w:tc>
      </w:tr>
      <w:tr w:rsidR="0043277E">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rPr>
                <w:rFonts w:ascii="Verdana" w:eastAsia="Times New Roman" w:hAnsi="Verdana" w:cs="Verdana"/>
                <w:i/>
                <w:noProof/>
                <w:color w:val="000000"/>
                <w:sz w:val="18"/>
              </w:rPr>
            </w:pPr>
            <w:r>
              <w:rPr>
                <w:rFonts w:ascii="Verdana" w:hAnsi="Verdana"/>
                <w:i/>
                <w:noProof/>
                <w:color w:val="000000"/>
                <w:sz w:val="18"/>
              </w:rPr>
              <w:t>Inne kapitały rezerwowe</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center"/>
              <w:rPr>
                <w:rFonts w:ascii="Verdana" w:eastAsia="Times New Roman" w:hAnsi="Verdana" w:cs="Verdana"/>
                <w:i/>
                <w:noProof/>
                <w:color w:val="000000"/>
                <w:sz w:val="18"/>
              </w:rPr>
            </w:pPr>
            <w:r>
              <w:rPr>
                <w:rFonts w:ascii="Verdana" w:hAnsi="Verdana"/>
                <w:i/>
                <w:noProof/>
                <w:color w:val="000000"/>
                <w:sz w:val="18"/>
              </w:rPr>
              <w:t>2.14.3</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i/>
                <w:noProof/>
                <w:color w:val="000000"/>
                <w:sz w:val="18"/>
              </w:rPr>
            </w:pPr>
            <w:r>
              <w:rPr>
                <w:rFonts w:ascii="Verdana" w:hAnsi="Verdana"/>
                <w:i/>
                <w:noProof/>
                <w:color w:val="000000"/>
                <w:sz w:val="18"/>
              </w:rPr>
              <w:t>1 776</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i/>
                <w:noProof/>
                <w:color w:val="000000"/>
                <w:sz w:val="18"/>
              </w:rPr>
            </w:pPr>
            <w:r>
              <w:rPr>
                <w:rFonts w:ascii="Verdana" w:hAnsi="Verdana"/>
                <w:i/>
                <w:noProof/>
                <w:color w:val="000000"/>
                <w:sz w:val="18"/>
              </w:rPr>
              <w:t>1 881</w:t>
            </w:r>
          </w:p>
        </w:tc>
      </w:tr>
      <w:tr w:rsidR="0043277E">
        <w:trPr>
          <w:trHeight w:val="255"/>
        </w:trPr>
        <w:tc>
          <w:tcPr>
            <w:tcW w:w="4278" w:type="dxa"/>
            <w:tcBorders>
              <w:top w:val="nil"/>
              <w:left w:val="nil"/>
              <w:bottom w:val="nil"/>
              <w:right w:val="nil"/>
            </w:tcBorders>
            <w:shd w:val="solid" w:color="CCE1EA" w:fill="FFFFFF"/>
            <w:tcMar>
              <w:top w:w="0" w:type="dxa"/>
              <w:left w:w="60" w:type="dxa"/>
              <w:bottom w:w="0" w:type="dxa"/>
              <w:right w:w="60" w:type="dxa"/>
            </w:tcMar>
            <w:vAlign w:val="center"/>
          </w:tcPr>
          <w:p w:rsidR="0043277E" w:rsidRDefault="000F2348">
            <w:pPr>
              <w:pStyle w:val="DMETW17250BIPRES"/>
              <w:rPr>
                <w:rFonts w:ascii="Verdana" w:eastAsia="Times New Roman" w:hAnsi="Verdana" w:cs="Verdana"/>
                <w:b/>
                <w:noProof/>
                <w:color w:val="000000"/>
                <w:sz w:val="18"/>
              </w:rPr>
            </w:pPr>
            <w:r>
              <w:rPr>
                <w:rFonts w:ascii="Verdana" w:hAnsi="Verdana"/>
                <w:b/>
                <w:noProof/>
                <w:color w:val="000000"/>
                <w:sz w:val="18"/>
              </w:rPr>
              <w:t>Ogółem</w:t>
            </w:r>
          </w:p>
        </w:tc>
        <w:tc>
          <w:tcPr>
            <w:tcW w:w="1826" w:type="dxa"/>
            <w:tcBorders>
              <w:top w:val="nil"/>
              <w:left w:val="nil"/>
              <w:bottom w:val="nil"/>
              <w:right w:val="nil"/>
            </w:tcBorders>
            <w:shd w:val="solid" w:color="CCE1EA" w:fill="FFFFFF"/>
            <w:tcMar>
              <w:top w:w="0" w:type="dxa"/>
              <w:left w:w="60" w:type="dxa"/>
              <w:bottom w:w="0" w:type="dxa"/>
              <w:right w:w="60" w:type="dxa"/>
            </w:tcMar>
            <w:vAlign w:val="center"/>
          </w:tcPr>
          <w:p w:rsidR="0043277E" w:rsidRDefault="0043277E">
            <w:pPr>
              <w:pStyle w:val="DMETW17250BIPRES"/>
              <w:jc w:val="center"/>
              <w:rPr>
                <w:rFonts w:ascii="Verdana" w:eastAsia="Times New Roman" w:hAnsi="Verdana" w:cs="Verdana"/>
                <w:noProof/>
                <w:color w:val="000000"/>
                <w:sz w:val="18"/>
              </w:rPr>
            </w:pP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b/>
                <w:noProof/>
                <w:color w:val="000000"/>
                <w:sz w:val="18"/>
              </w:rPr>
            </w:pPr>
            <w:r>
              <w:rPr>
                <w:rFonts w:ascii="Verdana" w:hAnsi="Verdana"/>
                <w:b/>
                <w:noProof/>
                <w:color w:val="000000"/>
                <w:sz w:val="18"/>
              </w:rPr>
              <w:t>5 037</w:t>
            </w: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rsidR="0043277E" w:rsidRDefault="000F2348">
            <w:pPr>
              <w:pStyle w:val="DMETW17250BIPRES"/>
              <w:jc w:val="right"/>
              <w:rPr>
                <w:rFonts w:ascii="Verdana" w:eastAsia="Times New Roman" w:hAnsi="Verdana" w:cs="Verdana"/>
                <w:b/>
                <w:noProof/>
                <w:color w:val="000000"/>
                <w:sz w:val="18"/>
              </w:rPr>
            </w:pPr>
            <w:r>
              <w:rPr>
                <w:rFonts w:ascii="Verdana" w:hAnsi="Verdana"/>
                <w:b/>
                <w:noProof/>
                <w:color w:val="000000"/>
                <w:sz w:val="18"/>
              </w:rPr>
              <w:t>4 961</w:t>
            </w:r>
          </w:p>
        </w:tc>
      </w:tr>
    </w:tbl>
    <w:p w:rsidR="0043277E" w:rsidRDefault="000F2348">
      <w:pPr>
        <w:pStyle w:val="HEADER3NOTES"/>
        <w:rPr>
          <w:noProof/>
        </w:rPr>
      </w:pPr>
      <w:r>
        <w:rPr>
          <w:noProof/>
        </w:rPr>
        <w:t>Kapitał z aktualizacji wyceny</w:t>
      </w:r>
    </w:p>
    <w:p w:rsidR="0043277E" w:rsidRDefault="000F2348">
      <w:pPr>
        <w:pStyle w:val="DGTextstand-alone"/>
      </w:pPr>
      <w:r>
        <w:t xml:space="preserve">Zgodnie z zasadami rachunkowości UE korekta do </w:t>
      </w:r>
      <w:r>
        <w:t>wartości godziwej aktywów finansowych dostępnych do sprzedaży jest ujmowana w kapitale z aktualizacji wyceny.</w:t>
      </w:r>
    </w:p>
    <w:p w:rsidR="0043277E" w:rsidRDefault="000F2348">
      <w:pPr>
        <w:pStyle w:val="HEADER5"/>
        <w:rPr>
          <w:noProof/>
        </w:rPr>
      </w:pPr>
      <w:r>
        <w:rPr>
          <w:noProof/>
        </w:rPr>
        <w:t>Zmiany w kapitale z aktualizacji wyceny w okresie sprawozdawczym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0"/>
        <w:gridCol w:w="2324"/>
        <w:gridCol w:w="2324"/>
      </w:tblGrid>
      <w:tr w:rsidR="0043277E">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43277E">
            <w:pPr>
              <w:pStyle w:val="DMETW17250BIPFVMAFS"/>
              <w:jc w:val="right"/>
              <w:rPr>
                <w:rFonts w:ascii="Verdana" w:eastAsia="Times New Roman" w:hAnsi="Verdana" w:cs="Verdana"/>
                <w:i/>
                <w:noProof/>
                <w:color w:val="000000"/>
                <w:sz w:val="16"/>
              </w:rPr>
            </w:pPr>
            <w:bookmarkStart w:id="108" w:name="DOC_TBL00058_1_1"/>
            <w:bookmarkEnd w:id="108"/>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43277E">
            <w:pPr>
              <w:pStyle w:val="DMETW17250BIPFVMAFS"/>
              <w:jc w:val="right"/>
              <w:rPr>
                <w:rFonts w:ascii="Verdana" w:eastAsia="Times New Roman" w:hAnsi="Verdana" w:cs="Verdana"/>
                <w:i/>
                <w:noProof/>
                <w:color w:val="000000"/>
                <w:sz w:val="16"/>
              </w:rPr>
            </w:pPr>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0F2348">
            <w:pPr>
              <w:pStyle w:val="DMETW17250BIPFVMAFS"/>
              <w:jc w:val="right"/>
              <w:rPr>
                <w:rFonts w:ascii="Verdana" w:eastAsia="Times New Roman" w:hAnsi="Verdana" w:cs="Verdana"/>
                <w:i/>
                <w:noProof/>
                <w:color w:val="000000"/>
                <w:sz w:val="16"/>
              </w:rPr>
            </w:pPr>
            <w:r>
              <w:rPr>
                <w:rFonts w:ascii="Verdana" w:hAnsi="Verdana"/>
                <w:i/>
                <w:noProof/>
                <w:color w:val="000000"/>
                <w:sz w:val="16"/>
              </w:rPr>
              <w:t>w mln EUR</w:t>
            </w:r>
          </w:p>
        </w:tc>
      </w:tr>
      <w:tr w:rsidR="0043277E">
        <w:trPr>
          <w:trHeight w:val="255"/>
        </w:trPr>
        <w:tc>
          <w:tcPr>
            <w:tcW w:w="5110"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43277E">
            <w:pPr>
              <w:pStyle w:val="DMETW17250BIPFVMAFS"/>
              <w:jc w:val="right"/>
              <w:rPr>
                <w:rFonts w:ascii="Verdana" w:eastAsia="Times New Roman" w:hAnsi="Verdana" w:cs="Verdana"/>
                <w:noProof/>
                <w:color w:val="FFFFFF"/>
              </w:rPr>
            </w:pP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noProof/>
                <w:color w:val="FFFFFF"/>
              </w:rPr>
            </w:pPr>
            <w:r>
              <w:rPr>
                <w:rFonts w:ascii="Verdana" w:hAnsi="Verdana"/>
                <w:noProof/>
                <w:color w:val="FFFFFF"/>
              </w:rPr>
              <w:t>31.12.2019</w:t>
            </w: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noProof/>
                <w:color w:val="FFFFFF"/>
              </w:rPr>
            </w:pPr>
            <w:r>
              <w:rPr>
                <w:rFonts w:ascii="Verdana" w:hAnsi="Verdana"/>
                <w:noProof/>
                <w:color w:val="FFFFFF"/>
              </w:rPr>
              <w:t>31.12.2018</w:t>
            </w:r>
          </w:p>
        </w:tc>
      </w:tr>
      <w:tr w:rsidR="0043277E">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FVMAFS"/>
              <w:rPr>
                <w:rFonts w:ascii="Verdana" w:eastAsia="Times New Roman" w:hAnsi="Verdana" w:cs="Verdana"/>
                <w:i/>
                <w:noProof/>
                <w:color w:val="000000"/>
                <w:sz w:val="18"/>
              </w:rPr>
            </w:pPr>
            <w:r>
              <w:rPr>
                <w:rFonts w:ascii="Verdana" w:hAnsi="Verdana"/>
                <w:i/>
                <w:noProof/>
                <w:color w:val="000000"/>
                <w:sz w:val="18"/>
              </w:rPr>
              <w:t xml:space="preserve">Uwzględnione w kapitale z aktualizacji </w:t>
            </w:r>
            <w:r>
              <w:rPr>
                <w:rFonts w:ascii="Verdana" w:hAnsi="Verdana"/>
                <w:i/>
                <w:noProof/>
                <w:color w:val="000000"/>
                <w:sz w:val="18"/>
              </w:rPr>
              <w:t>wyceny</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200</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(70)</w:t>
            </w:r>
          </w:p>
        </w:tc>
      </w:tr>
      <w:tr w:rsidR="0043277E">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FVMAFS"/>
              <w:rPr>
                <w:rFonts w:ascii="Verdana" w:eastAsia="Times New Roman" w:hAnsi="Verdana" w:cs="Verdana"/>
                <w:i/>
                <w:noProof/>
                <w:color w:val="000000"/>
                <w:sz w:val="18"/>
              </w:rPr>
            </w:pPr>
            <w:r>
              <w:rPr>
                <w:rFonts w:ascii="Verdana" w:hAnsi="Verdana"/>
                <w:i/>
                <w:noProof/>
                <w:color w:val="000000"/>
                <w:sz w:val="18"/>
              </w:rPr>
              <w:t>Uwzględnione w informacjach dodatkowych do sprawozdania z finansowych wyników działalności</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(40)</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23</w:t>
            </w:r>
          </w:p>
        </w:tc>
      </w:tr>
      <w:tr w:rsidR="0043277E">
        <w:trPr>
          <w:trHeight w:val="255"/>
        </w:trPr>
        <w:tc>
          <w:tcPr>
            <w:tcW w:w="5110"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43277E" w:rsidRDefault="000F2348">
            <w:pPr>
              <w:pStyle w:val="DMETW17250BIPFVMAFS"/>
              <w:rPr>
                <w:rFonts w:ascii="Verdana" w:eastAsia="Times New Roman" w:hAnsi="Verdana" w:cs="Verdana"/>
                <w:b/>
                <w:noProof/>
                <w:color w:val="000000"/>
                <w:sz w:val="18"/>
              </w:rPr>
            </w:pPr>
            <w:r>
              <w:rPr>
                <w:rFonts w:ascii="Verdana" w:hAnsi="Verdana"/>
                <w:b/>
                <w:noProof/>
                <w:color w:val="000000"/>
                <w:sz w:val="18"/>
              </w:rPr>
              <w:t>Ogółem</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b/>
                <w:noProof/>
                <w:color w:val="000000"/>
                <w:sz w:val="18"/>
              </w:rPr>
            </w:pPr>
            <w:r>
              <w:rPr>
                <w:rFonts w:ascii="Verdana" w:hAnsi="Verdana"/>
                <w:b/>
                <w:noProof/>
                <w:color w:val="000000"/>
                <w:sz w:val="18"/>
              </w:rPr>
              <w:t xml:space="preserve"> 160</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rsidR="0043277E" w:rsidRDefault="000F2348">
            <w:pPr>
              <w:pStyle w:val="DMETW17250BIPFVMAFS"/>
              <w:jc w:val="right"/>
              <w:rPr>
                <w:rFonts w:ascii="Verdana" w:eastAsia="Times New Roman" w:hAnsi="Verdana" w:cs="Verdana"/>
                <w:b/>
                <w:noProof/>
                <w:color w:val="000000"/>
                <w:sz w:val="18"/>
              </w:rPr>
            </w:pPr>
            <w:r>
              <w:rPr>
                <w:rFonts w:ascii="Verdana" w:hAnsi="Verdana"/>
                <w:b/>
                <w:noProof/>
                <w:color w:val="000000"/>
                <w:sz w:val="18"/>
              </w:rPr>
              <w:t xml:space="preserve"> (47)</w:t>
            </w:r>
          </w:p>
        </w:tc>
      </w:tr>
    </w:tbl>
    <w:p w:rsidR="0043277E" w:rsidRDefault="0043277E">
      <w:pPr>
        <w:pStyle w:val="HEADER5"/>
        <w:rPr>
          <w:noProof/>
        </w:rPr>
      </w:pPr>
    </w:p>
    <w:p w:rsidR="0043277E" w:rsidRDefault="000F2348">
      <w:pPr>
        <w:pStyle w:val="HEADER3NOTES"/>
        <w:rPr>
          <w:noProof/>
        </w:rPr>
      </w:pPr>
      <w:r>
        <w:rPr>
          <w:noProof/>
        </w:rPr>
        <w:t>Kapitał rezerwowy Funduszu Gwarancyjnego</w:t>
      </w:r>
    </w:p>
    <w:p w:rsidR="0043277E" w:rsidRDefault="000F2348">
      <w:pPr>
        <w:pStyle w:val="DGTextstand-alone"/>
      </w:pPr>
      <w:r>
        <w:t>Ten kapitał rezerwowy odzwierciedla kwotę docelową w wysokości 9 % pozostających kwot należnych gwarantowanych przez budżet UE w ramach upoważnienia EBI do udzielania pożyczek na rzecz państw trzecich, wymaganą do zatrzymania jako aktywa w Funduszu Gwaranc</w:t>
      </w:r>
      <w:r>
        <w:t xml:space="preserve">yjnym dla działań zewnętrznych (zob. informacja dodatkowa </w:t>
      </w:r>
      <w:r>
        <w:rPr>
          <w:b/>
        </w:rPr>
        <w:t>2.4.1</w:t>
      </w:r>
      <w:r>
        <w:t>).</w:t>
      </w:r>
    </w:p>
    <w:p w:rsidR="0043277E" w:rsidRDefault="000F2348">
      <w:pPr>
        <w:pStyle w:val="HEADER3NOTES"/>
        <w:rPr>
          <w:noProof/>
        </w:rPr>
      </w:pPr>
      <w:r>
        <w:rPr>
          <w:noProof/>
        </w:rPr>
        <w:t>Inne kapitały rezerwowe</w:t>
      </w:r>
    </w:p>
    <w:p w:rsidR="0043277E" w:rsidRDefault="000F2348">
      <w:pPr>
        <w:pStyle w:val="DGTextstand-alone"/>
        <w:spacing w:after="0"/>
      </w:pPr>
      <w:r>
        <w:t>Kwota ta obejmuje przede wszystkim kapitał rezerwowy EWWiS w likwidacji (1 461 mln EUR) na aktywa Funduszu Badawczego Węgla i Stali, który utworzono w związku z likwi</w:t>
      </w:r>
      <w:r>
        <w:t>dacją EWWiS w likwidacji.</w:t>
      </w:r>
    </w:p>
    <w:p w:rsidR="0043277E" w:rsidRDefault="000F2348">
      <w:pPr>
        <w:rPr>
          <w:rFonts w:ascii="Verdana" w:hAnsi="Verdana"/>
          <w:b/>
          <w:noProof/>
          <w:color w:val="016794"/>
          <w:sz w:val="28"/>
          <w:szCs w:val="28"/>
        </w:rPr>
      </w:pPr>
      <w:r>
        <w:rPr>
          <w:noProof/>
        </w:rPr>
        <w:br w:type="page"/>
      </w:r>
    </w:p>
    <w:p w:rsidR="0043277E" w:rsidRDefault="000F2348">
      <w:pPr>
        <w:pStyle w:val="HEADER2NOTES"/>
        <w:rPr>
          <w:noProof/>
        </w:rPr>
      </w:pPr>
      <w:r>
        <w:rPr>
          <w:noProof/>
        </w:rPr>
        <w:lastRenderedPageBreak/>
        <w:t>KWOTY, DO WNIESIENIA KTÓRYCH NALEŻY WEZWAĆ PAŃSTWA CZŁONKOWSKIE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6"/>
        <w:gridCol w:w="3342"/>
      </w:tblGrid>
      <w:tr w:rsidR="0043277E">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43277E">
            <w:pPr>
              <w:pStyle w:val="DMETW17250BIPMEMST1"/>
              <w:jc w:val="right"/>
              <w:rPr>
                <w:rFonts w:ascii="Verdana" w:eastAsia="Times New Roman" w:hAnsi="Verdana" w:cs="Verdana"/>
                <w:i/>
                <w:noProof/>
                <w:color w:val="000000"/>
                <w:sz w:val="16"/>
              </w:rPr>
            </w:pPr>
            <w:bookmarkStart w:id="109" w:name="DOC_TBL00059_1_1"/>
            <w:bookmarkEnd w:id="109"/>
          </w:p>
        </w:tc>
        <w:tc>
          <w:tcPr>
            <w:tcW w:w="3342" w:type="dxa"/>
            <w:tcBorders>
              <w:top w:val="nil"/>
              <w:left w:val="nil"/>
              <w:bottom w:val="nil"/>
              <w:right w:val="nil"/>
            </w:tcBorders>
            <w:shd w:val="solid" w:color="FFFFFF" w:fill="FFFFFF"/>
            <w:tcMar>
              <w:top w:w="0" w:type="dxa"/>
              <w:left w:w="60" w:type="dxa"/>
              <w:bottom w:w="0" w:type="dxa"/>
              <w:right w:w="60" w:type="dxa"/>
            </w:tcMar>
            <w:vAlign w:val="bottom"/>
          </w:tcPr>
          <w:p w:rsidR="0043277E" w:rsidRDefault="000F2348">
            <w:pPr>
              <w:pStyle w:val="DMETW17250BIPMEMST1"/>
              <w:jc w:val="right"/>
              <w:rPr>
                <w:rFonts w:ascii="Verdana" w:eastAsia="Times New Roman" w:hAnsi="Verdana" w:cs="Verdana"/>
                <w:i/>
                <w:noProof/>
                <w:color w:val="000000"/>
                <w:sz w:val="16"/>
              </w:rPr>
            </w:pPr>
            <w:r>
              <w:rPr>
                <w:rFonts w:ascii="Verdana" w:hAnsi="Verdana"/>
                <w:i/>
                <w:noProof/>
                <w:color w:val="000000"/>
                <w:sz w:val="16"/>
              </w:rPr>
              <w:t>w mln EUR</w:t>
            </w:r>
          </w:p>
        </w:tc>
      </w:tr>
      <w:tr w:rsidR="0043277E">
        <w:trPr>
          <w:trHeight w:val="255"/>
        </w:trPr>
        <w:tc>
          <w:tcPr>
            <w:tcW w:w="6416"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43277E">
            <w:pPr>
              <w:pStyle w:val="DMETW17250BIPMEMST1"/>
              <w:jc w:val="right"/>
              <w:rPr>
                <w:rFonts w:ascii="Verdana" w:eastAsia="Times New Roman" w:hAnsi="Verdana" w:cs="Verdana"/>
                <w:noProof/>
                <w:color w:val="FFFFFF"/>
              </w:rPr>
            </w:pPr>
          </w:p>
        </w:tc>
        <w:tc>
          <w:tcPr>
            <w:tcW w:w="3342" w:type="dxa"/>
            <w:tcBorders>
              <w:top w:val="nil"/>
              <w:left w:val="nil"/>
              <w:bottom w:val="nil"/>
              <w:right w:val="nil"/>
            </w:tcBorders>
            <w:shd w:val="solid" w:color="016794" w:fill="FFFFFF"/>
            <w:tcMar>
              <w:top w:w="0" w:type="dxa"/>
              <w:left w:w="60" w:type="dxa"/>
              <w:bottom w:w="0" w:type="dxa"/>
              <w:right w:w="60" w:type="dxa"/>
            </w:tcMar>
            <w:vAlign w:val="center"/>
          </w:tcPr>
          <w:p w:rsidR="0043277E" w:rsidRDefault="0043277E">
            <w:pPr>
              <w:pStyle w:val="DMETW17250BIPMEMST1"/>
              <w:jc w:val="right"/>
              <w:rPr>
                <w:rFonts w:ascii="Verdana" w:eastAsia="Times New Roman" w:hAnsi="Verdana" w:cs="Verdana"/>
                <w:noProof/>
                <w:color w:val="FFFFFF"/>
              </w:rPr>
            </w:pPr>
          </w:p>
        </w:tc>
      </w:tr>
      <w:tr w:rsidR="0043277E">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rPr>
                <w:rFonts w:ascii="Verdana" w:eastAsia="Times New Roman" w:hAnsi="Verdana" w:cs="Verdana"/>
                <w:i/>
                <w:noProof/>
                <w:color w:val="000000"/>
                <w:sz w:val="18"/>
              </w:rPr>
            </w:pPr>
            <w:r>
              <w:rPr>
                <w:rFonts w:ascii="Verdana" w:hAnsi="Verdana"/>
                <w:i/>
                <w:noProof/>
                <w:color w:val="000000"/>
                <w:sz w:val="18"/>
              </w:rPr>
              <w:t>Kwoty, do wniesienia których należy wezwać państwa członkowskie, na 31.12.2018</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jc w:val="right"/>
              <w:rPr>
                <w:rFonts w:ascii="Verdana" w:eastAsia="Times New Roman" w:hAnsi="Verdana" w:cs="Verdana"/>
                <w:i/>
                <w:noProof/>
                <w:color w:val="000000"/>
                <w:sz w:val="18"/>
              </w:rPr>
            </w:pPr>
            <w:r>
              <w:rPr>
                <w:rFonts w:ascii="Verdana" w:hAnsi="Verdana"/>
                <w:i/>
                <w:noProof/>
                <w:color w:val="000000"/>
                <w:sz w:val="18"/>
              </w:rPr>
              <w:t>66 424</w:t>
            </w:r>
          </w:p>
        </w:tc>
      </w:tr>
      <w:tr w:rsidR="0043277E">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rPr>
                <w:rFonts w:ascii="Verdana" w:eastAsia="Times New Roman" w:hAnsi="Verdana" w:cs="Verdana"/>
                <w:i/>
                <w:noProof/>
                <w:color w:val="000000"/>
                <w:sz w:val="18"/>
              </w:rPr>
            </w:pPr>
            <w:r>
              <w:rPr>
                <w:rFonts w:ascii="Verdana" w:hAnsi="Verdana"/>
                <w:i/>
                <w:noProof/>
                <w:color w:val="000000"/>
                <w:sz w:val="18"/>
              </w:rPr>
              <w:t>Zwrot nadwyżki budżetowej państwom członkowskim</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jc w:val="right"/>
              <w:rPr>
                <w:rFonts w:ascii="Verdana" w:eastAsia="Times New Roman" w:hAnsi="Verdana" w:cs="Verdana"/>
                <w:i/>
                <w:noProof/>
                <w:color w:val="000000"/>
                <w:sz w:val="18"/>
              </w:rPr>
            </w:pPr>
            <w:r>
              <w:rPr>
                <w:rFonts w:ascii="Verdana" w:hAnsi="Verdana"/>
                <w:i/>
                <w:noProof/>
                <w:color w:val="000000"/>
                <w:sz w:val="18"/>
              </w:rPr>
              <w:t>1 803</w:t>
            </w:r>
          </w:p>
        </w:tc>
      </w:tr>
      <w:tr w:rsidR="0043277E">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rPr>
                <w:rFonts w:ascii="Verdana" w:eastAsia="Times New Roman" w:hAnsi="Verdana" w:cs="Verdana"/>
                <w:i/>
                <w:noProof/>
                <w:color w:val="000000"/>
                <w:sz w:val="18"/>
              </w:rPr>
            </w:pPr>
            <w:r>
              <w:rPr>
                <w:rFonts w:ascii="Verdana" w:hAnsi="Verdana"/>
                <w:i/>
                <w:noProof/>
                <w:color w:val="000000"/>
                <w:sz w:val="18"/>
              </w:rPr>
              <w:t xml:space="preserve">Zmiany </w:t>
            </w:r>
            <w:r>
              <w:rPr>
                <w:rFonts w:ascii="Verdana" w:hAnsi="Verdana"/>
                <w:i/>
                <w:noProof/>
                <w:color w:val="000000"/>
                <w:sz w:val="18"/>
              </w:rPr>
              <w:t>stanu kapitału rezerwowego Funduszu Gwarancyjnego</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jc w:val="right"/>
              <w:rPr>
                <w:rFonts w:ascii="Verdana" w:eastAsia="Times New Roman" w:hAnsi="Verdana" w:cs="Verdana"/>
                <w:i/>
                <w:noProof/>
                <w:color w:val="000000"/>
                <w:sz w:val="18"/>
              </w:rPr>
            </w:pPr>
            <w:r>
              <w:rPr>
                <w:rFonts w:ascii="Verdana" w:hAnsi="Verdana"/>
                <w:i/>
                <w:noProof/>
                <w:color w:val="000000"/>
                <w:sz w:val="18"/>
              </w:rPr>
              <w:t xml:space="preserve"> 21</w:t>
            </w:r>
          </w:p>
        </w:tc>
      </w:tr>
      <w:tr w:rsidR="0043277E">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rPr>
                <w:rFonts w:ascii="Verdana" w:eastAsia="Times New Roman" w:hAnsi="Verdana" w:cs="Verdana"/>
                <w:i/>
                <w:noProof/>
                <w:color w:val="000000"/>
                <w:sz w:val="18"/>
              </w:rPr>
            </w:pPr>
            <w:r>
              <w:rPr>
                <w:rFonts w:ascii="Verdana" w:hAnsi="Verdana"/>
                <w:i/>
                <w:noProof/>
                <w:color w:val="000000"/>
                <w:sz w:val="18"/>
              </w:rPr>
              <w:t>Aktualizacja wyceny zobowiązań z tytułu świadczeń pracowniczych</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jc w:val="right"/>
              <w:rPr>
                <w:rFonts w:ascii="Verdana" w:eastAsia="Times New Roman" w:hAnsi="Verdana" w:cs="Verdana"/>
                <w:i/>
                <w:noProof/>
                <w:color w:val="000000"/>
                <w:sz w:val="18"/>
              </w:rPr>
            </w:pPr>
            <w:r>
              <w:rPr>
                <w:rFonts w:ascii="Verdana" w:hAnsi="Verdana"/>
                <w:i/>
                <w:noProof/>
                <w:color w:val="000000"/>
                <w:sz w:val="18"/>
              </w:rPr>
              <w:t>14 164</w:t>
            </w:r>
          </w:p>
        </w:tc>
      </w:tr>
      <w:tr w:rsidR="0043277E">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rPr>
                <w:rFonts w:ascii="Verdana" w:eastAsia="Times New Roman" w:hAnsi="Verdana" w:cs="Verdana"/>
                <w:i/>
                <w:noProof/>
                <w:color w:val="000000"/>
                <w:sz w:val="18"/>
              </w:rPr>
            </w:pPr>
            <w:r>
              <w:rPr>
                <w:rFonts w:ascii="Verdana" w:hAnsi="Verdana"/>
                <w:i/>
                <w:noProof/>
                <w:color w:val="000000"/>
                <w:sz w:val="18"/>
              </w:rPr>
              <w:t>Inne zmiany stanu kapitału rezerwowego</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jc w:val="right"/>
              <w:rPr>
                <w:rFonts w:ascii="Verdana" w:eastAsia="Times New Roman" w:hAnsi="Verdana" w:cs="Verdana"/>
                <w:i/>
                <w:noProof/>
                <w:color w:val="000000"/>
                <w:sz w:val="18"/>
              </w:rPr>
            </w:pPr>
            <w:r>
              <w:rPr>
                <w:rFonts w:ascii="Verdana" w:hAnsi="Verdana"/>
                <w:i/>
                <w:noProof/>
                <w:color w:val="000000"/>
                <w:sz w:val="18"/>
              </w:rPr>
              <w:t xml:space="preserve"> (56)</w:t>
            </w:r>
          </w:p>
        </w:tc>
      </w:tr>
      <w:tr w:rsidR="0043277E">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rPr>
                <w:rFonts w:ascii="Verdana" w:eastAsia="Times New Roman" w:hAnsi="Verdana" w:cs="Verdana"/>
                <w:i/>
                <w:noProof/>
                <w:color w:val="000000"/>
                <w:sz w:val="18"/>
              </w:rPr>
            </w:pPr>
            <w:r>
              <w:rPr>
                <w:rFonts w:ascii="Verdana" w:hAnsi="Verdana"/>
                <w:i/>
                <w:noProof/>
                <w:color w:val="000000"/>
                <w:sz w:val="18"/>
              </w:rPr>
              <w:t>Wynik ekonomiczny za dany rok</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rsidR="0043277E" w:rsidRDefault="000F2348">
            <w:pPr>
              <w:pStyle w:val="DMETW17250BIPMEMST1"/>
              <w:jc w:val="right"/>
              <w:rPr>
                <w:rFonts w:ascii="Verdana" w:eastAsia="Times New Roman" w:hAnsi="Verdana" w:cs="Verdana"/>
                <w:i/>
                <w:noProof/>
                <w:color w:val="000000"/>
                <w:sz w:val="18"/>
              </w:rPr>
            </w:pPr>
            <w:r>
              <w:rPr>
                <w:rFonts w:ascii="Verdana" w:hAnsi="Verdana"/>
                <w:i/>
                <w:noProof/>
                <w:color w:val="000000"/>
                <w:sz w:val="18"/>
              </w:rPr>
              <w:t>(4 796)</w:t>
            </w:r>
          </w:p>
        </w:tc>
      </w:tr>
      <w:tr w:rsidR="0043277E">
        <w:trPr>
          <w:trHeight w:val="255"/>
        </w:trPr>
        <w:tc>
          <w:tcPr>
            <w:tcW w:w="6416" w:type="dxa"/>
            <w:tcBorders>
              <w:top w:val="nil"/>
              <w:left w:val="nil"/>
              <w:bottom w:val="nil"/>
              <w:right w:val="nil"/>
            </w:tcBorders>
            <w:shd w:val="solid" w:color="CCE1EA" w:fill="FFFFFF"/>
            <w:tcMar>
              <w:top w:w="0" w:type="dxa"/>
              <w:left w:w="60" w:type="dxa"/>
              <w:bottom w:w="0" w:type="dxa"/>
              <w:right w:w="60" w:type="dxa"/>
            </w:tcMar>
            <w:vAlign w:val="center"/>
          </w:tcPr>
          <w:p w:rsidR="0043277E" w:rsidRDefault="000F2348">
            <w:pPr>
              <w:pStyle w:val="DMETW17250BIPMEMST1"/>
              <w:rPr>
                <w:rFonts w:ascii="Verdana" w:eastAsia="Times New Roman" w:hAnsi="Verdana" w:cs="Verdana"/>
                <w:b/>
                <w:noProof/>
                <w:color w:val="000000"/>
                <w:sz w:val="18"/>
              </w:rPr>
            </w:pPr>
            <w:r>
              <w:rPr>
                <w:rFonts w:ascii="Verdana" w:hAnsi="Verdana"/>
                <w:b/>
                <w:noProof/>
                <w:color w:val="000000"/>
                <w:sz w:val="18"/>
              </w:rPr>
              <w:t xml:space="preserve">Ogółem kwoty, do wniesienia których należy </w:t>
            </w:r>
            <w:r>
              <w:rPr>
                <w:rFonts w:ascii="Verdana" w:hAnsi="Verdana"/>
                <w:b/>
                <w:noProof/>
                <w:color w:val="000000"/>
                <w:sz w:val="18"/>
              </w:rPr>
              <w:t>wezwać państwa członkowskie, na 31.12.2019</w:t>
            </w:r>
          </w:p>
        </w:tc>
        <w:tc>
          <w:tcPr>
            <w:tcW w:w="3342" w:type="dxa"/>
            <w:tcBorders>
              <w:top w:val="nil"/>
              <w:left w:val="nil"/>
              <w:bottom w:val="nil"/>
              <w:right w:val="nil"/>
            </w:tcBorders>
            <w:shd w:val="solid" w:color="CCE1EA" w:fill="FFFFFF"/>
            <w:tcMar>
              <w:top w:w="0" w:type="dxa"/>
              <w:left w:w="60" w:type="dxa"/>
              <w:bottom w:w="0" w:type="dxa"/>
              <w:right w:w="60" w:type="dxa"/>
            </w:tcMar>
            <w:vAlign w:val="center"/>
          </w:tcPr>
          <w:p w:rsidR="0043277E" w:rsidRDefault="000F2348">
            <w:pPr>
              <w:pStyle w:val="DMETW17250BIPMEMST1"/>
              <w:jc w:val="right"/>
              <w:rPr>
                <w:rFonts w:ascii="Verdana" w:eastAsia="Times New Roman" w:hAnsi="Verdana" w:cs="Verdana"/>
                <w:b/>
                <w:noProof/>
                <w:color w:val="000000"/>
                <w:sz w:val="18"/>
              </w:rPr>
            </w:pPr>
            <w:r>
              <w:rPr>
                <w:rFonts w:ascii="Verdana" w:hAnsi="Verdana"/>
                <w:b/>
                <w:noProof/>
                <w:color w:val="000000"/>
                <w:sz w:val="18"/>
              </w:rPr>
              <w:t>77 560</w:t>
            </w:r>
          </w:p>
        </w:tc>
      </w:tr>
    </w:tbl>
    <w:p w:rsidR="0043277E" w:rsidRDefault="0043277E">
      <w:pPr>
        <w:pStyle w:val="DGTextstand-alone"/>
        <w:spacing w:before="0" w:after="0"/>
      </w:pPr>
    </w:p>
    <w:p w:rsidR="0043277E" w:rsidRDefault="000F2348">
      <w:pPr>
        <w:pStyle w:val="DGTextstand-alone"/>
      </w:pPr>
      <w:r>
        <w:t xml:space="preserve">Kwota ta stanowi tę część kosztów poniesionych już przez UE do dnia 31 grudnia, która będzie musiała zostać sfinansowana z przyszłych budżetów. Wiele kosztów ujmowanych jest zgodnie z zasadami </w:t>
      </w:r>
      <w:r>
        <w:t>rachunkowości memoriałowej w roku N, choć mogą one zostać faktycznie poniesione w roku N+1 (lub później) i sfinansowane w związku z tym z budżetu na rok N+1 (lub później). W związku z ujęciem w sprawozdaniu finansowym tych zobowiązań oraz ze względu na fak</w:t>
      </w:r>
      <w:r>
        <w:t>t, że odpowiednie kwoty są finansowane z przyszłych budżetów, na koniec roku zobowiązania znacząco przekraczają poziom aktywów. Najbardziej znaczące kwoty, na które należy zwrócić uwagę, dotyczą działań EFRG oraz zobowiązań z tytułu świadczeń pracowniczych</w:t>
      </w:r>
      <w:r>
        <w:t>.</w:t>
      </w:r>
    </w:p>
    <w:p w:rsidR="0043277E" w:rsidRDefault="000F2348">
      <w:pPr>
        <w:pStyle w:val="DGTextstand-alone"/>
      </w:pPr>
      <w:r>
        <w:t>Należy również zauważyć, że nie ma to wpływu na wynik budżetu – dochody budżetowe powinny zawsze być równe wydatkom budżetowym lub je przewyższać, a każda nadwyżka dochodów zwracana jest państwom członkowskim.</w:t>
      </w:r>
    </w:p>
    <w:p w:rsidR="0043277E" w:rsidRDefault="000F2348">
      <w:pPr>
        <w:pStyle w:val="DGTextstand-alone"/>
        <w:spacing w:before="0" w:after="0"/>
      </w:pPr>
      <w:r>
        <w:t>Aktualizacja wyceny zobowiązań z tytułu świa</w:t>
      </w:r>
      <w:r>
        <w:t>dczeń pracowniczych dotyczy zysków i strat aktuarialnych wynikających z wyceny aktuarialnej tych zobowiązań. Od dnia 1 stycznia 2018 r. zastosowanie ma zmieniona 12. reguła rachunkowości UE (oparta na MSRSP 39) w zakresie świadczeń pracowniczych. Zgodnie z</w:t>
      </w:r>
      <w:r>
        <w:t xml:space="preserve"> tą regułą zyski i straty aktuarialne przedstawia się jako zmianę w aktywach netto, a nie w sprawozdaniu z finansowych wyników działalności.</w:t>
      </w:r>
      <w:bookmarkEnd w:id="106"/>
    </w:p>
    <w:p w:rsidR="0043277E" w:rsidRDefault="0043277E">
      <w:pPr>
        <w:pStyle w:val="DGTextstand-alone"/>
        <w:spacing w:before="0" w:after="0"/>
        <w:sectPr w:rsidR="0043277E">
          <w:headerReference w:type="even" r:id="rId215"/>
          <w:headerReference w:type="default" r:id="rId216"/>
          <w:footerReference w:type="even" r:id="rId217"/>
          <w:footerReference w:type="default" r:id="rId218"/>
          <w:headerReference w:type="first" r:id="rId219"/>
          <w:footerReference w:type="first" r:id="rId220"/>
          <w:pgSz w:w="11906" w:h="16838"/>
          <w:pgMar w:top="1134" w:right="1134" w:bottom="1134" w:left="1134" w:header="709" w:footer="709" w:gutter="0"/>
          <w:cols w:space="708"/>
          <w:docGrid w:linePitch="360"/>
        </w:sectPr>
      </w:pPr>
    </w:p>
    <w:p w:rsidR="0043277E" w:rsidRDefault="000F2348">
      <w:pPr>
        <w:rPr>
          <w:rFonts w:ascii="Verdana" w:hAnsi="Verdana"/>
          <w:b/>
          <w:noProof/>
          <w:color w:val="016794"/>
          <w:sz w:val="32"/>
          <w:szCs w:val="32"/>
        </w:rPr>
      </w:pPr>
      <w:bookmarkStart w:id="110" w:name="_DMBM_17166"/>
      <w:r>
        <w:rPr>
          <w:noProof/>
        </w:rPr>
        <w:br w:type="page"/>
      </w:r>
    </w:p>
    <w:p w:rsidR="0043277E" w:rsidRDefault="000F2348">
      <w:pPr>
        <w:pStyle w:val="HEADER1NOTES"/>
        <w:rPr>
          <w:noProof/>
        </w:rPr>
      </w:pPr>
      <w:bookmarkStart w:id="111" w:name="_Toc49413487"/>
      <w:r>
        <w:rPr>
          <w:noProof/>
        </w:rPr>
        <w:lastRenderedPageBreak/>
        <w:t>INFORMACJE DODATKOWE DO SPRAWOZDANIA Z FINANSOWYCH WYNIKÓW DZIAŁALNOŚCI</w:t>
      </w:r>
      <w:bookmarkEnd w:id="110"/>
      <w:bookmarkEnd w:id="111"/>
    </w:p>
    <w:p w:rsidR="0043277E" w:rsidRDefault="000F2348">
      <w:pPr>
        <w:pStyle w:val="HEADERTABLE"/>
        <w:rPr>
          <w:noProof/>
        </w:rPr>
      </w:pPr>
      <w:bookmarkStart w:id="112" w:name="_DMBM_17192"/>
      <w:r>
        <w:rPr>
          <w:noProof/>
        </w:rPr>
        <w:t>PRZYCHODY</w:t>
      </w:r>
    </w:p>
    <w:p w:rsidR="0043277E" w:rsidRDefault="000F2348">
      <w:pPr>
        <w:pStyle w:val="HEADERTABLE"/>
        <w:spacing w:after="0"/>
        <w:rPr>
          <w:noProof/>
        </w:rPr>
      </w:pPr>
      <w:r>
        <w:rPr>
          <w:noProof/>
        </w:rPr>
        <w:t>PRZYCHODY Z TRANSAKCJI INNYCH NIŻ TRANSAKCJE WYMIANY:</w:t>
      </w:r>
      <w:r>
        <w:rPr>
          <w:noProof/>
        </w:rPr>
        <w:br/>
        <w:t>ZASOBY WŁASNE</w:t>
      </w:r>
    </w:p>
    <w:p w:rsidR="0043277E" w:rsidRDefault="000F2348">
      <w:pPr>
        <w:pStyle w:val="HEADER2NOTES"/>
        <w:spacing w:before="240"/>
        <w:rPr>
          <w:noProof/>
        </w:rPr>
      </w:pPr>
      <w:r>
        <w:rPr>
          <w:noProof/>
        </w:rPr>
        <w:t>ZASOBY WŁASNE OPARTE NA DNB</w:t>
      </w:r>
    </w:p>
    <w:p w:rsidR="0043277E" w:rsidRDefault="000F2348">
      <w:pPr>
        <w:pStyle w:val="DGTextstand-alone"/>
        <w:spacing w:after="0"/>
      </w:pPr>
      <w:r>
        <w:t xml:space="preserve">Przychody z tytułu zasobów własnych stanowią zasadniczą część przychodów </w:t>
      </w:r>
      <w:r>
        <w:t>operacyjnych UE. Zasoby oparte na DNB (dochodzie narodowym brutto) wynoszą 108 820 mln EUR za 2019 r. (w 2018 r.: 105 780 mln EUR) i są najbardziej znaczące spośród trzech kategorii zasobów własnych. DNB każdego państwa członkowskiego obciążane jest jednol</w:t>
      </w:r>
      <w:r>
        <w:t>itą stawką procentową. Zasoby oparte na DNB pozwalają zbilansować przychody i wydatki, tzn. finansują część budżetu, która nie jest pokrywana z innych źródeł dochodu. Wzrost DNB można wytłumaczyć przede wszystkim rozmiarem korekt dokonanych w odniesieniu d</w:t>
      </w:r>
      <w:r>
        <w:t>o minionych okresów (głównie lata 2012–2017). Każdego roku podstawy DNB aktualizuje się o dane rzeczywiste i wysokość wkładów wnoszonych przez państwa członkowskie do budżetu UE oraz przelicza się je zgodnie z najnowszymi danymi dotyczącymi wyników finanso</w:t>
      </w:r>
      <w:r>
        <w:t>wych tych państw. Procedura ta ma kluczowe znaczenie dla zapewnienia państwom członkowskim równych warunków działania, jeżeli chodzi o wysokość ich rocznych wkładów.</w:t>
      </w:r>
    </w:p>
    <w:p w:rsidR="0043277E" w:rsidRDefault="000F2348">
      <w:pPr>
        <w:pStyle w:val="HEADER2NOTES"/>
        <w:rPr>
          <w:noProof/>
        </w:rPr>
      </w:pPr>
      <w:r>
        <w:rPr>
          <w:noProof/>
        </w:rPr>
        <w:t>TRADYCYJNE ZASOBY WŁASNE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763"/>
        <w:gridCol w:w="1763"/>
      </w:tblGrid>
      <w:tr w:rsidR="0043277E">
        <w:trPr>
          <w:trHeight w:val="255"/>
        </w:trPr>
        <w:tc>
          <w:tcPr>
            <w:tcW w:w="62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62BIPTOR"/>
              <w:rPr>
                <w:rFonts w:ascii="Arial" w:eastAsia="Arial" w:hAnsi="Arial" w:cs="Arial"/>
                <w:noProof/>
                <w:color w:val="000000"/>
              </w:rPr>
            </w:pPr>
            <w:bookmarkStart w:id="113" w:name="DOC_TBL00060_1_1"/>
            <w:bookmarkEnd w:id="113"/>
          </w:p>
        </w:tc>
        <w:tc>
          <w:tcPr>
            <w:tcW w:w="176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62BIPTOR"/>
              <w:rPr>
                <w:rFonts w:ascii="Arial" w:eastAsia="Arial" w:hAnsi="Arial" w:cs="Arial"/>
                <w:noProof/>
                <w:color w:val="000000"/>
              </w:rPr>
            </w:pPr>
          </w:p>
        </w:tc>
        <w:tc>
          <w:tcPr>
            <w:tcW w:w="17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62BIPTOR"/>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2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62BIPTOR"/>
              <w:jc w:val="right"/>
              <w:rPr>
                <w:rFonts w:ascii="Verdana" w:eastAsia="Verdana" w:hAnsi="Verdana" w:cs="Verdana"/>
                <w:noProof/>
                <w:color w:val="FFFFFF"/>
                <w:sz w:val="18"/>
              </w:rPr>
            </w:pPr>
          </w:p>
        </w:tc>
        <w:tc>
          <w:tcPr>
            <w:tcW w:w="17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62BIPTOR"/>
              <w:jc w:val="right"/>
              <w:rPr>
                <w:rFonts w:ascii="Verdana" w:eastAsia="Verdana" w:hAnsi="Verdana" w:cs="Verdana"/>
                <w:noProof/>
                <w:color w:val="FFFFFF"/>
              </w:rPr>
            </w:pPr>
            <w:r>
              <w:rPr>
                <w:rFonts w:ascii="Verdana" w:hAnsi="Verdana"/>
                <w:noProof/>
                <w:color w:val="FFFFFF"/>
              </w:rPr>
              <w:t>2019</w:t>
            </w:r>
          </w:p>
        </w:tc>
        <w:tc>
          <w:tcPr>
            <w:tcW w:w="17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62BIPTOR"/>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2BIPTOR"/>
              <w:rPr>
                <w:rFonts w:ascii="Verdana" w:eastAsia="Verdana" w:hAnsi="Verdana" w:cs="Verdana"/>
                <w:i/>
                <w:noProof/>
                <w:color w:val="000000"/>
                <w:sz w:val="18"/>
              </w:rPr>
            </w:pPr>
            <w:r>
              <w:rPr>
                <w:rFonts w:ascii="Verdana" w:hAnsi="Verdana"/>
                <w:i/>
                <w:noProof/>
                <w:color w:val="000000"/>
                <w:sz w:val="18"/>
              </w:rPr>
              <w:t>Cła</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62BIPTOR"/>
              <w:jc w:val="right"/>
              <w:rPr>
                <w:rFonts w:ascii="Verdana" w:eastAsia="Verdana" w:hAnsi="Verdana" w:cs="Verdana"/>
                <w:i/>
                <w:noProof/>
                <w:color w:val="000000"/>
                <w:sz w:val="18"/>
              </w:rPr>
            </w:pPr>
            <w:r>
              <w:rPr>
                <w:rFonts w:ascii="Verdana" w:hAnsi="Verdana"/>
                <w:i/>
                <w:noProof/>
                <w:color w:val="000000"/>
                <w:sz w:val="18"/>
              </w:rPr>
              <w:t>21 235</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62BIPTOR"/>
              <w:jc w:val="right"/>
              <w:rPr>
                <w:rFonts w:ascii="Verdana" w:eastAsia="Verdana" w:hAnsi="Verdana" w:cs="Verdana"/>
                <w:i/>
                <w:noProof/>
                <w:color w:val="000000"/>
                <w:sz w:val="18"/>
              </w:rPr>
            </w:pPr>
            <w:r>
              <w:rPr>
                <w:rFonts w:ascii="Verdana" w:hAnsi="Verdana"/>
                <w:i/>
                <w:noProof/>
                <w:color w:val="000000"/>
                <w:sz w:val="18"/>
              </w:rPr>
              <w:t>22 763</w:t>
            </w:r>
          </w:p>
        </w:tc>
      </w:tr>
      <w:tr w:rsidR="0043277E">
        <w:trPr>
          <w:trHeight w:val="255"/>
        </w:trPr>
        <w:tc>
          <w:tcPr>
            <w:tcW w:w="6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2BIPTOR"/>
              <w:rPr>
                <w:rFonts w:ascii="Verdana" w:eastAsia="Verdana" w:hAnsi="Verdana" w:cs="Verdana"/>
                <w:i/>
                <w:noProof/>
                <w:color w:val="000000"/>
                <w:sz w:val="18"/>
              </w:rPr>
            </w:pPr>
            <w:r>
              <w:rPr>
                <w:rFonts w:ascii="Verdana" w:hAnsi="Verdana"/>
                <w:i/>
                <w:noProof/>
                <w:color w:val="000000"/>
                <w:sz w:val="18"/>
              </w:rPr>
              <w:t>Opłaty wyrównawcze od</w:t>
            </w:r>
            <w:r>
              <w:rPr>
                <w:rFonts w:ascii="Verdana" w:hAnsi="Verdana"/>
                <w:i/>
                <w:noProof/>
                <w:color w:val="000000"/>
                <w:sz w:val="18"/>
              </w:rPr>
              <w:t xml:space="preserve"> cukru</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62BIPTOR"/>
              <w:jc w:val="right"/>
              <w:rPr>
                <w:rFonts w:ascii="Verdana" w:eastAsia="Verdana" w:hAnsi="Verdana" w:cs="Verdana"/>
                <w:i/>
                <w:noProof/>
                <w:color w:val="000000"/>
                <w:sz w:val="18"/>
              </w:rPr>
            </w:pPr>
            <w:r>
              <w:rPr>
                <w:rFonts w:ascii="Verdana" w:hAnsi="Verdana"/>
                <w:i/>
                <w:noProof/>
                <w:color w:val="000000"/>
                <w:sz w:val="18"/>
              </w:rPr>
              <w:t xml:space="preserve"> 0</w:t>
            </w:r>
          </w:p>
        </w:tc>
        <w:tc>
          <w:tcPr>
            <w:tcW w:w="17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62BIPTOR"/>
              <w:jc w:val="right"/>
              <w:rPr>
                <w:rFonts w:ascii="Verdana" w:eastAsia="Verdana" w:hAnsi="Verdana" w:cs="Verdana"/>
                <w:i/>
                <w:noProof/>
                <w:color w:val="000000"/>
                <w:sz w:val="18"/>
              </w:rPr>
            </w:pPr>
            <w:r>
              <w:rPr>
                <w:rFonts w:ascii="Verdana" w:hAnsi="Verdana"/>
                <w:i/>
                <w:noProof/>
                <w:color w:val="000000"/>
                <w:sz w:val="18"/>
              </w:rPr>
              <w:t xml:space="preserve"> 4</w:t>
            </w:r>
          </w:p>
        </w:tc>
      </w:tr>
      <w:tr w:rsidR="0043277E">
        <w:trPr>
          <w:trHeight w:val="255"/>
        </w:trPr>
        <w:tc>
          <w:tcPr>
            <w:tcW w:w="623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62BIPTOR"/>
              <w:rPr>
                <w:rFonts w:ascii="Verdana" w:eastAsia="Verdana" w:hAnsi="Verdana" w:cs="Verdana"/>
                <w:b/>
                <w:noProof/>
                <w:color w:val="000000"/>
                <w:sz w:val="18"/>
              </w:rPr>
            </w:pPr>
            <w:r>
              <w:rPr>
                <w:rFonts w:ascii="Verdana" w:hAnsi="Verdana"/>
                <w:b/>
                <w:noProof/>
                <w:color w:val="000000"/>
                <w:sz w:val="18"/>
              </w:rPr>
              <w:t>Ogółem</w:t>
            </w:r>
          </w:p>
        </w:tc>
        <w:tc>
          <w:tcPr>
            <w:tcW w:w="1763"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562BIPTOR"/>
              <w:jc w:val="right"/>
              <w:rPr>
                <w:rFonts w:ascii="Verdana" w:eastAsia="Verdana" w:hAnsi="Verdana" w:cs="Verdana"/>
                <w:b/>
                <w:noProof/>
                <w:color w:val="000000"/>
                <w:sz w:val="18"/>
              </w:rPr>
            </w:pPr>
            <w:r>
              <w:rPr>
                <w:rFonts w:ascii="Verdana" w:hAnsi="Verdana"/>
                <w:b/>
                <w:noProof/>
                <w:color w:val="000000"/>
                <w:sz w:val="18"/>
              </w:rPr>
              <w:t>21 235</w:t>
            </w:r>
          </w:p>
        </w:tc>
        <w:tc>
          <w:tcPr>
            <w:tcW w:w="1763"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562BIPTOR"/>
              <w:jc w:val="right"/>
              <w:rPr>
                <w:rFonts w:ascii="Verdana" w:eastAsia="Verdana" w:hAnsi="Verdana" w:cs="Verdana"/>
                <w:b/>
                <w:noProof/>
                <w:color w:val="000000"/>
                <w:sz w:val="18"/>
              </w:rPr>
            </w:pPr>
            <w:r>
              <w:rPr>
                <w:rFonts w:ascii="Verdana" w:hAnsi="Verdana"/>
                <w:b/>
                <w:noProof/>
                <w:color w:val="000000"/>
                <w:sz w:val="18"/>
              </w:rPr>
              <w:t>22 767</w:t>
            </w:r>
          </w:p>
        </w:tc>
      </w:tr>
    </w:tbl>
    <w:p w:rsidR="0043277E" w:rsidRDefault="000F2348">
      <w:pPr>
        <w:pStyle w:val="DGTextstand-alone"/>
        <w:spacing w:after="0"/>
      </w:pPr>
      <w:r>
        <w:t>Tradycyjne zasoby własne (TZW) obejmują cła i opłaty wyrównawcze od cukru. Państwa członkowskie zatrzymują — na poczet kosztów poboru — 20 % tradycyjnych zasobów własnych, a powyższe kwoty są przedstawione z uwzględnieniem tego odliczenia. Spadek ceł w duż</w:t>
      </w:r>
      <w:r>
        <w:t xml:space="preserve">ej mierze wiąże się z brakiem przychodów związanych z postępowaniami w sprawie uchybienia zobowiązaniom państwa członkowskiego ujętych w 2018 r. (zob. informacja dodatkowa </w:t>
      </w:r>
      <w:r>
        <w:rPr>
          <w:b/>
        </w:rPr>
        <w:t>2.6.1.1</w:t>
      </w:r>
      <w:r>
        <w:t>).</w:t>
      </w:r>
    </w:p>
    <w:p w:rsidR="0043277E" w:rsidRDefault="000F2348">
      <w:pPr>
        <w:pStyle w:val="HEADER2NOTES"/>
        <w:rPr>
          <w:noProof/>
        </w:rPr>
      </w:pPr>
      <w:r>
        <w:rPr>
          <w:noProof/>
        </w:rPr>
        <w:t>ZASOBY WŁASNE OPARTE NA VAT</w:t>
      </w:r>
    </w:p>
    <w:p w:rsidR="0043277E" w:rsidRDefault="000F2348">
      <w:pPr>
        <w:pStyle w:val="DGTextstand-alone"/>
        <w:spacing w:after="0"/>
      </w:pPr>
      <w:r>
        <w:t>Podatek od wartości dodanej określa się jako drugi rodzaj zasobów własnych Unii, gdyż podatek ten jako pierwszy został w dużej mierze ujednolicony na szczeblu UE. Składka oparta na VAT obliczana jest przy zastosowaniu jednolitej stawki poboru w wysokości 0</w:t>
      </w:r>
      <w:r>
        <w:t>,3 % w odniesieniu do krajowej podstawy VAT, która nie może przekroczyć 50 % dochodu narodowego brutto (DNB) każdego państwa członkowskiego. Na lata 2014–2020 w decyzji Rady 2014/335/UE, Euratom przewidziano obniżoną stawkę poboru (0,15 %) w przypadku Niem</w:t>
      </w:r>
      <w:r>
        <w:t xml:space="preserve">iec, Niderlandów i </w:t>
      </w:r>
      <w:r>
        <w:rPr>
          <w:color w:val="000000" w:themeColor="text1"/>
        </w:rPr>
        <w:t>Szwecji</w:t>
      </w:r>
      <w:r>
        <w:t>.</w:t>
      </w:r>
    </w:p>
    <w:p w:rsidR="0043277E" w:rsidRDefault="000F2348">
      <w:pPr>
        <w:pStyle w:val="HEADERTABLE"/>
        <w:spacing w:before="360" w:after="360"/>
        <w:rPr>
          <w:noProof/>
        </w:rPr>
      </w:pPr>
      <w:r>
        <w:rPr>
          <w:noProof/>
        </w:rPr>
        <w:t>PRZYCHODY Z TRANSAKCJI INNYCH NIŻ TRANSAKCJE WYMIANY: PRZESUNIĘCIA ŚRODKÓW</w:t>
      </w:r>
    </w:p>
    <w:p w:rsidR="0043277E" w:rsidRDefault="000F2348">
      <w:pPr>
        <w:pStyle w:val="HEADER2NOTES"/>
        <w:rPr>
          <w:noProof/>
        </w:rPr>
      </w:pPr>
      <w:r>
        <w:rPr>
          <w:noProof/>
        </w:rPr>
        <w:t>GRZYWNY</w:t>
      </w:r>
    </w:p>
    <w:p w:rsidR="0043277E" w:rsidRDefault="000F2348">
      <w:pPr>
        <w:pStyle w:val="DGTextstand-alone"/>
        <w:spacing w:after="0"/>
      </w:pPr>
      <w:r>
        <w:t>Przychody wynoszące 4 291 mln EUR (w 2018 r.: 6 740 mln EUR) odnoszą się do grzywien nałożonych przez Komisję za naruszenie unijnych reguł konkur</w:t>
      </w:r>
      <w:r>
        <w:t xml:space="preserve">encji oraz grzywien nałożonych przez Komisję na </w:t>
      </w:r>
      <w:r>
        <w:lastRenderedPageBreak/>
        <w:t>państwa członkowskie za naruszenia prawa Unii. Komisja ujmuje przychód z tytułu grzywien po podjęciu decyzji o nałożeniu grzywny i oficjalnym powiadomieniu o takiej decyzji jej adresata. Kwoty te dotyczą głów</w:t>
      </w:r>
      <w:r>
        <w:t>nie grzywien za naruszenie zasad konkurencji (4 091 mln EUR). Najważniejsze sprawy dotyczą naruszeń unijnych przepisów dotyczących ochrony konkurencji, tzn. grzywny nałożonej na Google w związku z dopuszczaniem się nadużyć w obszarze reklam w internecie (1</w:t>
      </w:r>
      <w:r>
        <w:t xml:space="preserve"> 494 mln EUR), grzywien nałożonych na pięć banków w dwóch sprawach dotyczących rynku walutowego związanych z członkostwem w zagranicznych kartelach zajmujących się obrotem walutą na rynku natychmiastowym (spot) (łączna kwota 1 068 mln EUR) oraz grzywny nał</w:t>
      </w:r>
      <w:r>
        <w:t>ożonej na Mastercard za utrudnianie punktom handlowo-usługowym dostępu do transgranicznych usług płatniczych (570 mln EUR).</w:t>
      </w:r>
    </w:p>
    <w:p w:rsidR="0043277E" w:rsidRDefault="000F2348">
      <w:pPr>
        <w:pStyle w:val="HEADER2NOTES"/>
        <w:ind w:left="0" w:firstLine="0"/>
        <w:rPr>
          <w:noProof/>
        </w:rPr>
      </w:pPr>
      <w:r>
        <w:rPr>
          <w:noProof/>
        </w:rPr>
        <w:t>ODZYSKANIE WYDATKÓW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6"/>
        <w:gridCol w:w="1778"/>
        <w:gridCol w:w="2074"/>
      </w:tblGrid>
      <w:tr w:rsidR="0043277E">
        <w:trPr>
          <w:trHeight w:val="255"/>
        </w:trPr>
        <w:tc>
          <w:tcPr>
            <w:tcW w:w="590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52BIPRECOVEXP"/>
              <w:rPr>
                <w:rFonts w:ascii="Arial" w:eastAsia="Arial" w:hAnsi="Arial" w:cs="Arial"/>
                <w:noProof/>
                <w:color w:val="000000"/>
              </w:rPr>
            </w:pPr>
            <w:bookmarkStart w:id="114" w:name="DOC_TBL00061_1_1"/>
            <w:bookmarkEnd w:id="114"/>
          </w:p>
        </w:tc>
        <w:tc>
          <w:tcPr>
            <w:tcW w:w="17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52BIPRECOVEXP"/>
              <w:rPr>
                <w:rFonts w:ascii="Arial" w:eastAsia="Arial" w:hAnsi="Arial" w:cs="Arial"/>
                <w:noProof/>
                <w:color w:val="000000"/>
              </w:rPr>
            </w:pPr>
          </w:p>
        </w:tc>
        <w:tc>
          <w:tcPr>
            <w:tcW w:w="207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52BIPRECOVEXP"/>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90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2BIPRECOVEXP"/>
              <w:jc w:val="right"/>
              <w:rPr>
                <w:rFonts w:ascii="Verdana" w:eastAsia="Verdana" w:hAnsi="Verdana" w:cs="Verdana"/>
                <w:noProof/>
                <w:color w:val="FFFFFF"/>
              </w:rPr>
            </w:pPr>
          </w:p>
        </w:tc>
        <w:tc>
          <w:tcPr>
            <w:tcW w:w="17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2BIPRECOVEXP"/>
              <w:jc w:val="right"/>
              <w:rPr>
                <w:rFonts w:ascii="Verdana" w:eastAsia="Verdana" w:hAnsi="Verdana" w:cs="Verdana"/>
                <w:noProof/>
                <w:color w:val="FFFFFF"/>
              </w:rPr>
            </w:pPr>
            <w:r>
              <w:rPr>
                <w:rFonts w:ascii="Verdana" w:hAnsi="Verdana"/>
                <w:noProof/>
                <w:color w:val="FFFFFF"/>
              </w:rPr>
              <w:t>2019</w:t>
            </w:r>
          </w:p>
        </w:tc>
        <w:tc>
          <w:tcPr>
            <w:tcW w:w="207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2BIPRECOVEXP"/>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rPr>
                <w:rFonts w:ascii="Verdana" w:eastAsia="Verdana" w:hAnsi="Verdana" w:cs="Verdana"/>
                <w:i/>
                <w:noProof/>
                <w:color w:val="000000"/>
                <w:sz w:val="18"/>
              </w:rPr>
            </w:pPr>
            <w:r>
              <w:rPr>
                <w:rFonts w:ascii="Verdana" w:hAnsi="Verdana"/>
                <w:i/>
                <w:noProof/>
                <w:color w:val="000000"/>
                <w:sz w:val="18"/>
              </w:rPr>
              <w:t>Zarządzanie dzielone</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jc w:val="right"/>
              <w:rPr>
                <w:rFonts w:ascii="Verdana" w:eastAsia="Verdana" w:hAnsi="Verdana" w:cs="Verdana"/>
                <w:i/>
                <w:noProof/>
                <w:color w:val="000000"/>
                <w:sz w:val="18"/>
              </w:rPr>
            </w:pPr>
            <w:r>
              <w:rPr>
                <w:rFonts w:ascii="Verdana" w:hAnsi="Verdana"/>
                <w:i/>
                <w:noProof/>
                <w:color w:val="000000"/>
                <w:sz w:val="18"/>
              </w:rPr>
              <w:t>2 547</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jc w:val="right"/>
              <w:rPr>
                <w:rFonts w:ascii="Verdana" w:eastAsia="Verdana" w:hAnsi="Verdana" w:cs="Verdana"/>
                <w:i/>
                <w:noProof/>
                <w:color w:val="000000"/>
                <w:sz w:val="18"/>
              </w:rPr>
            </w:pPr>
            <w:r>
              <w:rPr>
                <w:rFonts w:ascii="Verdana" w:hAnsi="Verdana"/>
                <w:i/>
                <w:noProof/>
                <w:color w:val="000000"/>
                <w:sz w:val="18"/>
              </w:rPr>
              <w:t>2 116</w:t>
            </w:r>
          </w:p>
        </w:tc>
      </w:tr>
      <w:tr w:rsidR="0043277E">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rPr>
                <w:rFonts w:ascii="Verdana" w:eastAsia="Verdana" w:hAnsi="Verdana" w:cs="Verdana"/>
                <w:i/>
                <w:noProof/>
                <w:color w:val="000000"/>
                <w:sz w:val="18"/>
              </w:rPr>
            </w:pPr>
            <w:r>
              <w:rPr>
                <w:rFonts w:ascii="Verdana" w:hAnsi="Verdana"/>
                <w:i/>
                <w:noProof/>
                <w:color w:val="000000"/>
                <w:sz w:val="18"/>
              </w:rPr>
              <w:t>Zarządzanie bezpośrednie</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65</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65</w:t>
            </w:r>
          </w:p>
        </w:tc>
      </w:tr>
      <w:tr w:rsidR="0043277E">
        <w:trPr>
          <w:trHeight w:val="255"/>
        </w:trPr>
        <w:tc>
          <w:tcPr>
            <w:tcW w:w="59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rPr>
                <w:rFonts w:ascii="Verdana" w:eastAsia="Verdana" w:hAnsi="Verdana" w:cs="Verdana"/>
                <w:i/>
                <w:noProof/>
                <w:color w:val="000000"/>
                <w:sz w:val="18"/>
              </w:rPr>
            </w:pPr>
            <w:r>
              <w:rPr>
                <w:rFonts w:ascii="Verdana" w:hAnsi="Verdana"/>
                <w:i/>
                <w:noProof/>
                <w:color w:val="000000"/>
                <w:sz w:val="18"/>
              </w:rPr>
              <w:t xml:space="preserve">Zarządzanie </w:t>
            </w:r>
            <w:r>
              <w:rPr>
                <w:rFonts w:ascii="Verdana" w:hAnsi="Verdana"/>
                <w:i/>
                <w:noProof/>
                <w:color w:val="000000"/>
                <w:sz w:val="18"/>
              </w:rPr>
              <w:t>pośrednie</w:t>
            </w:r>
          </w:p>
        </w:tc>
        <w:tc>
          <w:tcPr>
            <w:tcW w:w="1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16</w:t>
            </w:r>
          </w:p>
        </w:tc>
        <w:tc>
          <w:tcPr>
            <w:tcW w:w="207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34</w:t>
            </w:r>
          </w:p>
        </w:tc>
      </w:tr>
      <w:tr w:rsidR="0043277E">
        <w:trPr>
          <w:trHeight w:val="255"/>
        </w:trPr>
        <w:tc>
          <w:tcPr>
            <w:tcW w:w="590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2BIPRECOVEXP"/>
              <w:rPr>
                <w:rFonts w:ascii="Verdana" w:eastAsia="Verdana" w:hAnsi="Verdana" w:cs="Verdana"/>
                <w:b/>
                <w:noProof/>
                <w:color w:val="000000"/>
                <w:sz w:val="18"/>
              </w:rPr>
            </w:pPr>
            <w:r>
              <w:rPr>
                <w:rFonts w:ascii="Verdana" w:hAnsi="Verdana"/>
                <w:b/>
                <w:noProof/>
                <w:color w:val="000000"/>
                <w:sz w:val="18"/>
              </w:rPr>
              <w:t>Ogółem</w:t>
            </w:r>
          </w:p>
        </w:tc>
        <w:tc>
          <w:tcPr>
            <w:tcW w:w="17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2BIPRECOVEXP"/>
              <w:jc w:val="right"/>
              <w:rPr>
                <w:rFonts w:ascii="Verdana" w:eastAsia="Verdana" w:hAnsi="Verdana" w:cs="Verdana"/>
                <w:b/>
                <w:noProof/>
                <w:color w:val="000000"/>
                <w:sz w:val="18"/>
              </w:rPr>
            </w:pPr>
            <w:r>
              <w:rPr>
                <w:rFonts w:ascii="Verdana" w:hAnsi="Verdana"/>
                <w:b/>
                <w:noProof/>
                <w:color w:val="000000"/>
                <w:sz w:val="18"/>
              </w:rPr>
              <w:t>2 627</w:t>
            </w:r>
          </w:p>
        </w:tc>
        <w:tc>
          <w:tcPr>
            <w:tcW w:w="207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2BIPRECOVEXP"/>
              <w:jc w:val="right"/>
              <w:rPr>
                <w:rFonts w:ascii="Verdana" w:eastAsia="Verdana" w:hAnsi="Verdana" w:cs="Verdana"/>
                <w:b/>
                <w:noProof/>
                <w:color w:val="000000"/>
                <w:sz w:val="18"/>
              </w:rPr>
            </w:pPr>
            <w:r>
              <w:rPr>
                <w:rFonts w:ascii="Verdana" w:hAnsi="Verdana"/>
                <w:b/>
                <w:noProof/>
                <w:color w:val="000000"/>
                <w:sz w:val="18"/>
              </w:rPr>
              <w:t>2 215</w:t>
            </w:r>
          </w:p>
        </w:tc>
      </w:tr>
    </w:tbl>
    <w:p w:rsidR="0043277E" w:rsidRDefault="000F2348">
      <w:pPr>
        <w:pStyle w:val="DGTextstand-alone"/>
      </w:pPr>
      <w:r>
        <w:t xml:space="preserve">Ta pozycja obejmuje wystawione przez Komisję nakazy odzyskania środków, realizowane w drodze wpłaty gotówkowej przez dłużnika lub potrącenia należności od późniejszych płatności zarejestrowanych w systemie </w:t>
      </w:r>
      <w:r>
        <w:t>rachunkowości Komisji, mające na celu odzyskanie środków wcześniej wydatkowanych z budżetu UE. Odzyskanie środków dokonywane jest na podstawie kontroli, audytów lub analizy kwalifikowalności – operacje te służą zatem ochronie budżetu UE przed wydatkami pon</w:t>
      </w:r>
      <w:r>
        <w:t>iesionymi z naruszeniem przepisów prawa.</w:t>
      </w:r>
    </w:p>
    <w:p w:rsidR="0043277E" w:rsidRDefault="000F2348">
      <w:pPr>
        <w:pStyle w:val="DGTextstand-alone"/>
      </w:pPr>
      <w:r>
        <w:t>Pozycja ta obejmuje także nakazy odzyskania środków wystawione przez państwa członkowskie beneficjentom środków EFRG, a także zmiany szacunków dotyczących dochodów naliczonych od końca ubiegłego roku do końca bieżąc</w:t>
      </w:r>
      <w:r>
        <w:t>ego roku.</w:t>
      </w:r>
    </w:p>
    <w:p w:rsidR="0043277E" w:rsidRDefault="000F2348">
      <w:pPr>
        <w:pStyle w:val="Textstand-alone"/>
        <w:spacing w:before="0"/>
      </w:pPr>
      <w:r>
        <w:t xml:space="preserve">Kwoty przedstawione w powyższej tabeli odzwierciedlają przychody uzyskane przez wystawienie nakazów odzyskania środków. Z tego względu dane te nie mogą odzwierciedlać i nie odzwierciedlają w pełni środków zastosowanych w celu ochrony budżetu UE, </w:t>
      </w:r>
      <w:r>
        <w:t>w szczególności w odniesieniu do polityki spójności, w przypadku której istnieją specjalne mechanizmy zapewniające korektę wydatków niekwalifikowalnych i w większości przypadków niewymagające wystawienia nakazu odzyskania środków. Nie uwzględniono w nich k</w:t>
      </w:r>
      <w:r>
        <w:t>wot odzyskanych przez kompensowanie z wydatkami, kwot odzyskanych przez wycofanie płatności oraz odzyskanych płatności zaliczkowych.</w:t>
      </w:r>
    </w:p>
    <w:p w:rsidR="0043277E" w:rsidRDefault="000F2348">
      <w:pPr>
        <w:pStyle w:val="DGTextstand-alone"/>
      </w:pPr>
      <w:r>
        <w:rPr>
          <w:rStyle w:val="DGTextstand-aloneChar"/>
        </w:rPr>
        <w:t>Zdecydowana większość kwoty ogółem</w:t>
      </w:r>
      <w:r>
        <w:t xml:space="preserve"> przypada na kwoty odzyskane w ramach zarządzania dzielonego:</w:t>
      </w:r>
    </w:p>
    <w:p w:rsidR="0043277E" w:rsidRDefault="000F2348">
      <w:pPr>
        <w:pStyle w:val="HEADER5"/>
        <w:rPr>
          <w:noProof/>
        </w:rPr>
      </w:pPr>
      <w:r>
        <w:rPr>
          <w:noProof/>
        </w:rPr>
        <w:t>Rolnictwo: EFRG i rozwój ob</w:t>
      </w:r>
      <w:r>
        <w:rPr>
          <w:noProof/>
        </w:rPr>
        <w:t>szarów wiejskich</w:t>
      </w:r>
    </w:p>
    <w:p w:rsidR="0043277E" w:rsidRDefault="000F2348">
      <w:pPr>
        <w:pStyle w:val="DGTextstand-alone"/>
      </w:pPr>
      <w:r>
        <w:t>W odniesieniu do EFRG oraz EFRROW kwoty ujęte w ramach tej pozycji jako przychód za dany rok to korekty finansowe za ten rok oraz zwroty zgłoszone przez państwa członkowskie i odzyskane w ciągu roku, a także wzrost netto pozostających kwot</w:t>
      </w:r>
      <w:r>
        <w:t xml:space="preserve"> należnych zgłoszonych przez państwa członkowskie do odzyskania na koniec roku w związku z nadużyciami finansowymi i nieprawidłowościami.</w:t>
      </w:r>
    </w:p>
    <w:p w:rsidR="0043277E" w:rsidRDefault="000F2348">
      <w:pPr>
        <w:pStyle w:val="HEADER5"/>
        <w:rPr>
          <w:noProof/>
        </w:rPr>
      </w:pPr>
      <w:r>
        <w:rPr>
          <w:noProof/>
        </w:rPr>
        <w:t>Polityka spójności</w:t>
      </w:r>
    </w:p>
    <w:p w:rsidR="0043277E" w:rsidRDefault="000F2348">
      <w:pPr>
        <w:pStyle w:val="DGTextstand-alone"/>
        <w:spacing w:after="0"/>
      </w:pPr>
      <w:r>
        <w:t>Główne kwoty związane z polityką spójności dotyczą</w:t>
      </w:r>
      <w:r>
        <w:rPr>
          <w:color w:val="000000" w:themeColor="text1"/>
        </w:rPr>
        <w:t xml:space="preserve"> naliczonych dochodów w kwocie 1,4 mld EUR (w 201</w:t>
      </w:r>
      <w:r>
        <w:rPr>
          <w:color w:val="000000" w:themeColor="text1"/>
        </w:rPr>
        <w:t>8 r.: 1,1 mld EUR), którą Komisja spodziewa się odzyskać od państw członkowskich. Odzyskanie będzie wynikiem badania i zatwierdzenia rocznych sprawozdań finansowych przedłożonych przez państwa członkowskie na początku 2020 r. Tę procedurę zatwierdzenia roc</w:t>
      </w:r>
      <w:r>
        <w:rPr>
          <w:color w:val="000000" w:themeColor="text1"/>
        </w:rPr>
        <w:t>znych sprawozdań finansowych państw członkowskich wprowadzono po raz pierwszy w obszarze spójności w odniesieniu do okresu programowania 2014–2020.</w:t>
      </w:r>
    </w:p>
    <w:p w:rsidR="0043277E" w:rsidRDefault="000F2348">
      <w:pPr>
        <w:rPr>
          <w:rFonts w:ascii="Verdana" w:hAnsi="Verdana"/>
          <w:b/>
          <w:noProof/>
          <w:color w:val="016794"/>
          <w:sz w:val="28"/>
          <w:szCs w:val="28"/>
        </w:rPr>
      </w:pPr>
      <w:r>
        <w:rPr>
          <w:noProof/>
        </w:rPr>
        <w:br w:type="page"/>
      </w:r>
    </w:p>
    <w:p w:rsidR="0043277E" w:rsidRDefault="000F2348">
      <w:pPr>
        <w:pStyle w:val="HEADER2NOTES"/>
        <w:rPr>
          <w:noProof/>
        </w:rPr>
      </w:pPr>
      <w:r>
        <w:rPr>
          <w:noProof/>
        </w:rPr>
        <w:lastRenderedPageBreak/>
        <w:t>INNE PRZYCHODY Z TRANSAKCJI INNYCH NIŻ TRANSAKCJE WYMIANY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9"/>
        <w:gridCol w:w="1511"/>
        <w:gridCol w:w="2258"/>
      </w:tblGrid>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1BIPONER"/>
              <w:rPr>
                <w:rFonts w:ascii="Arial" w:eastAsia="Arial" w:hAnsi="Arial" w:cs="Arial"/>
                <w:noProof/>
                <w:color w:val="000000"/>
              </w:rPr>
            </w:pPr>
            <w:bookmarkStart w:id="115" w:name="DOC_TBL00062_1_1"/>
            <w:bookmarkEnd w:id="115"/>
          </w:p>
        </w:tc>
        <w:tc>
          <w:tcPr>
            <w:tcW w:w="151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1BIPONER"/>
              <w:rPr>
                <w:rFonts w:ascii="Arial" w:eastAsia="Arial" w:hAnsi="Arial" w:cs="Arial"/>
                <w:noProof/>
                <w:color w:val="000000"/>
              </w:rPr>
            </w:pPr>
          </w:p>
        </w:tc>
        <w:tc>
          <w:tcPr>
            <w:tcW w:w="225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1BIPONER"/>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98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1BIPONER"/>
              <w:jc w:val="right"/>
              <w:rPr>
                <w:rFonts w:ascii="Verdana" w:eastAsia="Verdana" w:hAnsi="Verdana" w:cs="Verdana"/>
                <w:noProof/>
                <w:color w:val="FFFFFF"/>
              </w:rPr>
            </w:pPr>
          </w:p>
        </w:tc>
        <w:tc>
          <w:tcPr>
            <w:tcW w:w="151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1BIPONER"/>
              <w:jc w:val="right"/>
              <w:rPr>
                <w:rFonts w:ascii="Verdana" w:eastAsia="Verdana" w:hAnsi="Verdana" w:cs="Verdana"/>
                <w:noProof/>
                <w:color w:val="FFFFFF"/>
              </w:rPr>
            </w:pPr>
            <w:r>
              <w:rPr>
                <w:rFonts w:ascii="Verdana" w:hAnsi="Verdana"/>
                <w:noProof/>
                <w:color w:val="FFFFFF"/>
              </w:rPr>
              <w:t>2019</w:t>
            </w:r>
          </w:p>
        </w:tc>
        <w:tc>
          <w:tcPr>
            <w:tcW w:w="225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1BIPONER"/>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Wkłady państw trzecich</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1 485</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1 376</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Podatki i składki płacone przez personel</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1 299</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1 268</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Wkłady państw członkowskich w pomoc zewnętrzną</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331</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594</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Przekazanie aktywów</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60</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85</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Dostosowania rezerw</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41</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100</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Opłaty rolne</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2</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4</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Korekty budżetowe</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(1 719)</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(726)</w:t>
            </w:r>
          </w:p>
        </w:tc>
      </w:tr>
      <w:tr w:rsidR="0043277E">
        <w:trPr>
          <w:trHeight w:val="255"/>
        </w:trPr>
        <w:tc>
          <w:tcPr>
            <w:tcW w:w="59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rPr>
                <w:rFonts w:ascii="Verdana" w:eastAsia="Verdana" w:hAnsi="Verdana" w:cs="Verdana"/>
                <w:i/>
                <w:noProof/>
                <w:color w:val="000000"/>
                <w:sz w:val="18"/>
              </w:rPr>
            </w:pPr>
            <w:r>
              <w:rPr>
                <w:rFonts w:ascii="Verdana" w:hAnsi="Verdana"/>
                <w:i/>
                <w:noProof/>
                <w:color w:val="000000"/>
                <w:sz w:val="18"/>
              </w:rPr>
              <w:t>Inne</w:t>
            </w:r>
          </w:p>
        </w:tc>
        <w:tc>
          <w:tcPr>
            <w:tcW w:w="15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574</w:t>
            </w:r>
          </w:p>
        </w:tc>
        <w:tc>
          <w:tcPr>
            <w:tcW w:w="22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612</w:t>
            </w:r>
          </w:p>
        </w:tc>
      </w:tr>
      <w:tr w:rsidR="0043277E">
        <w:trPr>
          <w:trHeight w:val="255"/>
        </w:trPr>
        <w:tc>
          <w:tcPr>
            <w:tcW w:w="59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1BIPONER"/>
              <w:rPr>
                <w:rFonts w:ascii="Verdana" w:eastAsia="Verdana" w:hAnsi="Verdana" w:cs="Verdana"/>
                <w:b/>
                <w:noProof/>
                <w:color w:val="000000"/>
                <w:sz w:val="18"/>
              </w:rPr>
            </w:pPr>
            <w:r>
              <w:rPr>
                <w:rFonts w:ascii="Verdana" w:hAnsi="Verdana"/>
                <w:b/>
                <w:noProof/>
                <w:color w:val="000000"/>
                <w:sz w:val="18"/>
              </w:rPr>
              <w:t>Ogółem</w:t>
            </w:r>
          </w:p>
        </w:tc>
        <w:tc>
          <w:tcPr>
            <w:tcW w:w="151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1BIPONER"/>
              <w:jc w:val="right"/>
              <w:rPr>
                <w:rFonts w:ascii="Verdana" w:eastAsia="Verdana" w:hAnsi="Verdana" w:cs="Verdana"/>
                <w:b/>
                <w:noProof/>
                <w:color w:val="000000"/>
                <w:sz w:val="18"/>
              </w:rPr>
            </w:pPr>
            <w:r>
              <w:rPr>
                <w:rFonts w:ascii="Verdana" w:hAnsi="Verdana"/>
                <w:b/>
                <w:noProof/>
                <w:color w:val="000000"/>
                <w:sz w:val="18"/>
              </w:rPr>
              <w:t>2 072</w:t>
            </w:r>
          </w:p>
        </w:tc>
        <w:tc>
          <w:tcPr>
            <w:tcW w:w="225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1BIPONER"/>
              <w:jc w:val="right"/>
              <w:rPr>
                <w:rFonts w:ascii="Verdana" w:eastAsia="Verdana" w:hAnsi="Verdana" w:cs="Verdana"/>
                <w:b/>
                <w:noProof/>
                <w:color w:val="000000"/>
                <w:sz w:val="18"/>
              </w:rPr>
            </w:pPr>
            <w:r>
              <w:rPr>
                <w:rFonts w:ascii="Verdana" w:hAnsi="Verdana"/>
                <w:b/>
                <w:noProof/>
                <w:color w:val="000000"/>
                <w:sz w:val="18"/>
              </w:rPr>
              <w:t>3 312</w:t>
            </w:r>
          </w:p>
        </w:tc>
      </w:tr>
    </w:tbl>
    <w:p w:rsidR="0043277E" w:rsidRDefault="000F2348">
      <w:pPr>
        <w:pStyle w:val="DGTextstand-alone"/>
        <w:spacing w:after="0"/>
      </w:pPr>
      <w:r>
        <w:t>Wkłady państw trzecich to wkłady państw EFTA oraz krajów ubiegających się o członkostwo.</w:t>
      </w:r>
    </w:p>
    <w:p w:rsidR="0043277E" w:rsidRDefault="000F2348">
      <w:pPr>
        <w:pStyle w:val="DGTextstand-alone"/>
      </w:pPr>
      <w:r>
        <w:t xml:space="preserve">Przychody z podatków i składek płaconych przez personel wynikają przede wszystkim z odliczeń od wynagrodzeń pracowników. W tej kategorii istotnymi </w:t>
      </w:r>
      <w:r>
        <w:t>kwotami są składki w ramach systemu emerytalno-rentowego i kwoty podatku dochodowego.</w:t>
      </w:r>
    </w:p>
    <w:p w:rsidR="0043277E" w:rsidRDefault="000F2348">
      <w:pPr>
        <w:pStyle w:val="DGTextstand-alone"/>
        <w:spacing w:after="0"/>
      </w:pPr>
      <w:r>
        <w:t>Wkłady państw członkowskich w pomoc zewnętrzną to przede wszystkim kwoty otrzymane na utworzenie Instrumentu Pomocy dla Uchodźców w Turcji.</w:t>
      </w:r>
    </w:p>
    <w:p w:rsidR="0043277E" w:rsidRDefault="000F2348">
      <w:pPr>
        <w:pStyle w:val="DGTextstand-alone"/>
        <w:spacing w:after="0"/>
      </w:pPr>
      <w:r>
        <w:t>Przychody z przekazania aktywó</w:t>
      </w:r>
      <w:r>
        <w:t xml:space="preserve">w dotyczą przede wszystkim przekazania Komisji satelitów w ramach programu Copernicus przez Europejską Agencję Kosmiczną (ESA) (zob. informacja dodatkowa </w:t>
      </w:r>
      <w:r>
        <w:rPr>
          <w:b/>
        </w:rPr>
        <w:t>2.2</w:t>
      </w:r>
      <w:r>
        <w:t xml:space="preserve">). Zgodnie z zasadami rachunkowości UE przekazanie to jest transakcją inną niż transakcja wymiany; </w:t>
      </w:r>
      <w:r>
        <w:t>nastąpi ono powtórnie w przyszłych okresach w odniesieniu do pozostałych satelitów Copernicus, które są obecnie w budowie.</w:t>
      </w:r>
    </w:p>
    <w:p w:rsidR="0043277E" w:rsidRDefault="000F2348">
      <w:pPr>
        <w:pStyle w:val="DGTextstand-alone"/>
        <w:spacing w:after="0"/>
      </w:pPr>
      <w:r>
        <w:t>W wyniku zastosowania korekt budżetowych uzyskano kwotę ujemną, ponieważ pozytywny wpływ związany z uwzględnieniem nadwyżki budżetowe</w:t>
      </w:r>
      <w:r>
        <w:t>j z poprzedniego roku w wysokości 1 803 mln EUR (w 2018 r.: 555 mln EUR) został z nawiązką zrównoważony korektami DNB/VAT w wysokości 3 443 mln EUR (w 2018 r.: 1 292 mln EUR).</w:t>
      </w:r>
    </w:p>
    <w:p w:rsidR="0043277E" w:rsidRDefault="000F2348">
      <w:pPr>
        <w:pStyle w:val="DGTextstand-alone"/>
        <w:spacing w:after="0"/>
      </w:pPr>
      <w:r>
        <w:t>Pozycja „Inne przychody z transakcji innych niż transakcje wymiany” obejmuje wkł</w:t>
      </w:r>
      <w:r>
        <w:t>ad państw członkowskich na rzecz Fusion for Energy, Europejskiego Wspólnego Przedsięwzięcia na rzecz Realizacji Projektu ITER i Rozwoju Energii Termojądrowej, w wysokości 151 mln EUR.</w:t>
      </w:r>
    </w:p>
    <w:p w:rsidR="0043277E" w:rsidRDefault="000F2348">
      <w:pPr>
        <w:pStyle w:val="HEADERTABLE"/>
        <w:spacing w:before="360" w:after="360"/>
        <w:rPr>
          <w:noProof/>
        </w:rPr>
      </w:pPr>
      <w:r>
        <w:rPr>
          <w:noProof/>
        </w:rPr>
        <w:t>PRZYCHODY Z TRANSAKCJI WYMIANY</w:t>
      </w:r>
    </w:p>
    <w:p w:rsidR="0043277E" w:rsidRDefault="000F2348">
      <w:pPr>
        <w:pStyle w:val="HEADER2NOTES"/>
        <w:rPr>
          <w:noProof/>
        </w:rPr>
      </w:pPr>
      <w:r>
        <w:rPr>
          <w:noProof/>
        </w:rPr>
        <w:t>PRZYCHODY FINANSOWE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1257"/>
        <w:gridCol w:w="1358"/>
      </w:tblGrid>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1BIPFINREV"/>
              <w:rPr>
                <w:rFonts w:ascii="Arial" w:eastAsia="Arial" w:hAnsi="Arial" w:cs="Arial"/>
                <w:noProof/>
                <w:color w:val="000000"/>
              </w:rPr>
            </w:pPr>
            <w:bookmarkStart w:id="116" w:name="DOC_TBL00063_1_1"/>
            <w:bookmarkEnd w:id="116"/>
          </w:p>
        </w:tc>
        <w:tc>
          <w:tcPr>
            <w:tcW w:w="125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1BIPFINREV"/>
              <w:rPr>
                <w:rFonts w:ascii="Arial" w:eastAsia="Arial" w:hAnsi="Arial" w:cs="Arial"/>
                <w:noProof/>
                <w:color w:val="000000"/>
              </w:rPr>
            </w:pPr>
          </w:p>
        </w:tc>
        <w:tc>
          <w:tcPr>
            <w:tcW w:w="1358" w:type="dxa"/>
            <w:tcBorders>
              <w:top w:val="nil"/>
              <w:left w:val="nil"/>
              <w:bottom w:val="nil"/>
              <w:right w:val="nil"/>
              <w:tl2br w:val="nil"/>
              <w:tr2bl w:val="nil"/>
            </w:tcBorders>
            <w:shd w:val="solid" w:color="FFFFFF" w:fill="FFFFFF"/>
            <w:tcMar>
              <w:left w:w="60" w:type="dxa"/>
              <w:right w:w="60" w:type="dxa"/>
            </w:tcMar>
            <w:vAlign w:val="bottom"/>
          </w:tcPr>
          <w:p w:rsidR="0043277E" w:rsidRDefault="000F2348">
            <w:pPr>
              <w:pStyle w:val="DMETW17231BIPFINREV"/>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714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1BIPFINREV"/>
              <w:jc w:val="right"/>
              <w:rPr>
                <w:rFonts w:ascii="Verdana" w:eastAsia="Verdana" w:hAnsi="Verdana" w:cs="Verdana"/>
                <w:noProof/>
                <w:color w:val="FFFFFF"/>
              </w:rPr>
            </w:pPr>
          </w:p>
        </w:tc>
        <w:tc>
          <w:tcPr>
            <w:tcW w:w="125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1BIPFINREV"/>
              <w:jc w:val="right"/>
              <w:rPr>
                <w:rFonts w:ascii="Verdana" w:eastAsia="Verdana" w:hAnsi="Verdana" w:cs="Verdana"/>
                <w:noProof/>
                <w:color w:val="FFFFFF"/>
              </w:rPr>
            </w:pPr>
            <w:r>
              <w:rPr>
                <w:rFonts w:ascii="Verdana" w:hAnsi="Verdana"/>
                <w:noProof/>
                <w:color w:val="FFFFFF"/>
              </w:rPr>
              <w:t>2019</w:t>
            </w:r>
          </w:p>
        </w:tc>
        <w:tc>
          <w:tcPr>
            <w:tcW w:w="135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1BIPFINREV"/>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Odsetki od:</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31BIPFINREV"/>
              <w:jc w:val="right"/>
              <w:rPr>
                <w:rFonts w:ascii="Verdana" w:eastAsia="Verdana" w:hAnsi="Verdana" w:cs="Verdana"/>
                <w:i/>
                <w:noProof/>
                <w:color w:val="000000"/>
                <w:sz w:val="18"/>
              </w:rPr>
            </w:pP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31BIPFINREV"/>
              <w:jc w:val="right"/>
              <w:rPr>
                <w:rFonts w:ascii="Verdana" w:eastAsia="Verdana" w:hAnsi="Verdana" w:cs="Verdana"/>
                <w:i/>
                <w:noProof/>
                <w:color w:val="000000"/>
                <w:sz w:val="18"/>
                <w:lang w:bidi="en-GB"/>
              </w:rPr>
            </w:pP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 xml:space="preserve">     opóźnień w płatnościach</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133</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1 458</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 xml:space="preserve">     Pożyczki</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1 180</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1 265</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 xml:space="preserve">     Inne </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70</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68</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Premia za zobowiązanie z tytułu gwarancji finansowych</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193</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121</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Dywidendy</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29</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103</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 xml:space="preserve">Przychody finansowe z tytułu aktywów lub zobowiązań </w:t>
            </w:r>
            <w:r>
              <w:rPr>
                <w:rFonts w:ascii="Verdana" w:hAnsi="Verdana"/>
                <w:i/>
                <w:noProof/>
                <w:color w:val="000000"/>
                <w:sz w:val="18"/>
              </w:rPr>
              <w:t>finansowych wycenianych według wartości godziwej przez nadwyżkę lub deficyt</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125</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29</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Zrealizowany zysk z aktywów finansowych dostępnych do sprzedaży</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82</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23</w:t>
            </w:r>
          </w:p>
        </w:tc>
      </w:tr>
      <w:tr w:rsidR="0043277E">
        <w:trPr>
          <w:trHeight w:val="255"/>
        </w:trPr>
        <w:tc>
          <w:tcPr>
            <w:tcW w:w="714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rPr>
                <w:rFonts w:ascii="Verdana" w:eastAsia="Verdana" w:hAnsi="Verdana" w:cs="Verdana"/>
                <w:i/>
                <w:noProof/>
                <w:color w:val="000000"/>
                <w:sz w:val="18"/>
              </w:rPr>
            </w:pPr>
            <w:r>
              <w:rPr>
                <w:rFonts w:ascii="Verdana" w:hAnsi="Verdana"/>
                <w:i/>
                <w:noProof/>
                <w:color w:val="000000"/>
                <w:sz w:val="18"/>
              </w:rPr>
              <w:t>Inne</w:t>
            </w:r>
          </w:p>
        </w:tc>
        <w:tc>
          <w:tcPr>
            <w:tcW w:w="125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4</w:t>
            </w:r>
          </w:p>
        </w:tc>
        <w:tc>
          <w:tcPr>
            <w:tcW w:w="13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48</w:t>
            </w:r>
          </w:p>
        </w:tc>
      </w:tr>
      <w:tr w:rsidR="0043277E">
        <w:trPr>
          <w:trHeight w:val="255"/>
        </w:trPr>
        <w:tc>
          <w:tcPr>
            <w:tcW w:w="714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1BIPFINREV"/>
              <w:rPr>
                <w:rFonts w:ascii="Verdana" w:eastAsia="Verdana" w:hAnsi="Verdana" w:cs="Verdana"/>
                <w:b/>
                <w:noProof/>
                <w:color w:val="000000"/>
                <w:sz w:val="18"/>
              </w:rPr>
            </w:pPr>
            <w:r>
              <w:rPr>
                <w:rFonts w:ascii="Verdana" w:hAnsi="Verdana"/>
                <w:b/>
                <w:noProof/>
                <w:color w:val="000000"/>
                <w:sz w:val="18"/>
              </w:rPr>
              <w:t>Ogółem</w:t>
            </w:r>
          </w:p>
        </w:tc>
        <w:tc>
          <w:tcPr>
            <w:tcW w:w="125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1BIPFINREV"/>
              <w:jc w:val="right"/>
              <w:rPr>
                <w:rFonts w:ascii="Verdana" w:eastAsia="Verdana" w:hAnsi="Verdana" w:cs="Verdana"/>
                <w:b/>
                <w:noProof/>
                <w:color w:val="000000"/>
                <w:sz w:val="18"/>
              </w:rPr>
            </w:pPr>
            <w:r>
              <w:rPr>
                <w:rFonts w:ascii="Verdana" w:hAnsi="Verdana"/>
                <w:b/>
                <w:noProof/>
                <w:color w:val="000000"/>
                <w:sz w:val="18"/>
              </w:rPr>
              <w:t>1 817</w:t>
            </w:r>
          </w:p>
        </w:tc>
        <w:tc>
          <w:tcPr>
            <w:tcW w:w="135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1BIPFINREV"/>
              <w:jc w:val="right"/>
              <w:rPr>
                <w:rFonts w:ascii="Verdana" w:eastAsia="Verdana" w:hAnsi="Verdana" w:cs="Verdana"/>
                <w:b/>
                <w:noProof/>
                <w:color w:val="000000"/>
                <w:sz w:val="18"/>
              </w:rPr>
            </w:pPr>
            <w:r>
              <w:rPr>
                <w:rFonts w:ascii="Verdana" w:hAnsi="Verdana"/>
                <w:b/>
                <w:noProof/>
                <w:color w:val="000000"/>
                <w:sz w:val="18"/>
              </w:rPr>
              <w:t>3 115</w:t>
            </w:r>
          </w:p>
        </w:tc>
      </w:tr>
    </w:tbl>
    <w:p w:rsidR="0043277E" w:rsidRDefault="000F2348">
      <w:pPr>
        <w:pStyle w:val="Textstand-alone"/>
        <w:spacing w:after="0"/>
      </w:pPr>
      <w:r>
        <w:lastRenderedPageBreak/>
        <w:t>Odsetki za zwłokę za 2018 r. uwzględniały znaczną kwotę początkowych przychodów odsetkowych z tytułu odsetek za zwłokę związaną z postępowaniem w sprawie uchybienia zobowiązaniom państwa członkowskiego prowadzonym przeciwko Zjednoczonemu Królestwu oraz spr</w:t>
      </w:r>
      <w:r>
        <w:t xml:space="preserve">awozdaniami z inspekcji TZW (zob. informacja dodatkowa </w:t>
      </w:r>
      <w:r>
        <w:rPr>
          <w:b/>
        </w:rPr>
        <w:t>2.6.1.1</w:t>
      </w:r>
      <w:r>
        <w:t>). W tym roku zatwierdzono dodatkowe przychody w związku z postępowaniem w sprawie uchybienia zobowiązaniom państwa członkowskiego, a także skorygowano w dół odsetki związane ze sprawozdaniami z</w:t>
      </w:r>
      <w:r>
        <w:t xml:space="preserve"> inspekcji TZW (zob. informacja dodatkowa </w:t>
      </w:r>
      <w:r>
        <w:rPr>
          <w:b/>
        </w:rPr>
        <w:t>2.6.1.1</w:t>
      </w:r>
      <w:r>
        <w:t>).</w:t>
      </w:r>
    </w:p>
    <w:p w:rsidR="0043277E" w:rsidRDefault="000F2348">
      <w:pPr>
        <w:pStyle w:val="Textstand-alone"/>
        <w:spacing w:after="0"/>
      </w:pPr>
      <w:r>
        <w:t xml:space="preserve">Przychody odsetkowe z tytułu pożyczek dotyczą głównie pożyczek udzielonych na pomoc finansową (zob. informacja dodatkowa </w:t>
      </w:r>
      <w:r>
        <w:rPr>
          <w:b/>
        </w:rPr>
        <w:t>2.4.3</w:t>
      </w:r>
      <w:r>
        <w:t>).</w:t>
      </w:r>
    </w:p>
    <w:p w:rsidR="0043277E" w:rsidRDefault="000F2348">
      <w:pPr>
        <w:pStyle w:val="HEADER2NOTES"/>
        <w:ind w:left="0" w:firstLine="0"/>
        <w:rPr>
          <w:noProof/>
        </w:rPr>
      </w:pPr>
      <w:r>
        <w:rPr>
          <w:noProof/>
        </w:rPr>
        <w:t>INNE PRZYCHODY Z TRANSAKCJI WYMIANY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4"/>
        <w:gridCol w:w="1517"/>
        <w:gridCol w:w="1517"/>
      </w:tblGrid>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53BIPOER"/>
              <w:rPr>
                <w:rFonts w:ascii="Arial" w:eastAsia="Arial" w:hAnsi="Arial" w:cs="Arial"/>
                <w:noProof/>
                <w:color w:val="000000"/>
              </w:rPr>
            </w:pPr>
            <w:bookmarkStart w:id="117" w:name="DOC_TBL00064_1_1"/>
            <w:bookmarkEnd w:id="117"/>
          </w:p>
        </w:tc>
        <w:tc>
          <w:tcPr>
            <w:tcW w:w="151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53BIPOER"/>
              <w:rPr>
                <w:rFonts w:ascii="Arial" w:eastAsia="Arial" w:hAnsi="Arial" w:cs="Arial"/>
                <w:noProof/>
                <w:color w:val="000000"/>
              </w:rPr>
            </w:pPr>
          </w:p>
        </w:tc>
        <w:tc>
          <w:tcPr>
            <w:tcW w:w="1517"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53BIPOER"/>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72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3BIPOER"/>
              <w:jc w:val="right"/>
              <w:rPr>
                <w:rFonts w:ascii="Verdana" w:eastAsia="Verdana" w:hAnsi="Verdana" w:cs="Verdana"/>
                <w:noProof/>
                <w:color w:val="FFFFFF"/>
              </w:rPr>
            </w:pPr>
          </w:p>
        </w:tc>
        <w:tc>
          <w:tcPr>
            <w:tcW w:w="151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3BIPOER"/>
              <w:jc w:val="right"/>
              <w:rPr>
                <w:rFonts w:ascii="Verdana" w:eastAsia="Verdana" w:hAnsi="Verdana" w:cs="Verdana"/>
                <w:noProof/>
                <w:color w:val="FFFFFF"/>
              </w:rPr>
            </w:pPr>
            <w:r>
              <w:rPr>
                <w:rFonts w:ascii="Verdana" w:hAnsi="Verdana"/>
                <w:noProof/>
                <w:color w:val="FFFFFF"/>
              </w:rPr>
              <w:t>2019</w:t>
            </w:r>
          </w:p>
        </w:tc>
        <w:tc>
          <w:tcPr>
            <w:tcW w:w="151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3BIPOER"/>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rPr>
                <w:rFonts w:ascii="Verdana" w:eastAsia="Verdana" w:hAnsi="Verdana" w:cs="Verdana"/>
                <w:i/>
                <w:noProof/>
                <w:color w:val="000000"/>
                <w:sz w:val="18"/>
              </w:rPr>
            </w:pPr>
            <w:r>
              <w:rPr>
                <w:rFonts w:ascii="Verdana" w:hAnsi="Verdana"/>
                <w:i/>
                <w:noProof/>
                <w:color w:val="000000"/>
                <w:sz w:val="18"/>
              </w:rPr>
              <w:t xml:space="preserve">Przychody z </w:t>
            </w:r>
            <w:r>
              <w:rPr>
                <w:rFonts w:ascii="Verdana" w:hAnsi="Verdana"/>
                <w:i/>
                <w:noProof/>
                <w:color w:val="000000"/>
                <w:sz w:val="18"/>
              </w:rPr>
              <w:t>opłat z tytułu świadczonych usług (agencje)</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592</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602</w:t>
            </w:r>
          </w:p>
        </w:tc>
      </w:tr>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rPr>
                <w:rFonts w:ascii="Verdana" w:eastAsia="Verdana" w:hAnsi="Verdana" w:cs="Verdana"/>
                <w:i/>
                <w:noProof/>
                <w:color w:val="000000"/>
                <w:sz w:val="18"/>
              </w:rPr>
            </w:pPr>
            <w:r>
              <w:rPr>
                <w:rFonts w:ascii="Verdana" w:hAnsi="Verdana"/>
                <w:i/>
                <w:noProof/>
                <w:color w:val="000000"/>
                <w:sz w:val="18"/>
              </w:rPr>
              <w:t>Dodatnie różnice kursowe</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347</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329</w:t>
            </w:r>
          </w:p>
        </w:tc>
      </w:tr>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rPr>
                <w:rFonts w:ascii="Verdana" w:eastAsia="Verdana" w:hAnsi="Verdana" w:cs="Verdana"/>
                <w:i/>
                <w:noProof/>
                <w:color w:val="000000"/>
                <w:sz w:val="18"/>
              </w:rPr>
            </w:pPr>
            <w:r>
              <w:rPr>
                <w:rFonts w:ascii="Verdana" w:hAnsi="Verdana"/>
                <w:i/>
                <w:noProof/>
                <w:color w:val="000000"/>
                <w:sz w:val="18"/>
              </w:rPr>
              <w:t>Przychody z opłat i premii powiązanych z instrumentami finansowymi</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43</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54</w:t>
            </w:r>
          </w:p>
        </w:tc>
      </w:tr>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rPr>
                <w:rFonts w:ascii="Verdana" w:eastAsia="Verdana" w:hAnsi="Verdana" w:cs="Verdana"/>
                <w:i/>
                <w:noProof/>
                <w:color w:val="000000"/>
                <w:sz w:val="18"/>
              </w:rPr>
            </w:pPr>
            <w:r>
              <w:rPr>
                <w:rFonts w:ascii="Verdana" w:hAnsi="Verdana"/>
                <w:i/>
                <w:noProof/>
                <w:color w:val="000000"/>
                <w:sz w:val="18"/>
              </w:rPr>
              <w:t>Udział w wyniku finansowym netto EFI</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53</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37</w:t>
            </w:r>
          </w:p>
        </w:tc>
      </w:tr>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rPr>
                <w:rFonts w:ascii="Verdana" w:eastAsia="Verdana" w:hAnsi="Verdana" w:cs="Verdana"/>
                <w:i/>
                <w:noProof/>
                <w:color w:val="000000"/>
                <w:sz w:val="18"/>
              </w:rPr>
            </w:pPr>
            <w:r>
              <w:rPr>
                <w:rFonts w:ascii="Verdana" w:hAnsi="Verdana"/>
                <w:i/>
                <w:noProof/>
                <w:color w:val="000000"/>
                <w:sz w:val="18"/>
              </w:rPr>
              <w:t>Sprzedaż towarów</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31</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33</w:t>
            </w:r>
          </w:p>
        </w:tc>
      </w:tr>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rPr>
                <w:rFonts w:ascii="Verdana" w:eastAsia="Verdana" w:hAnsi="Verdana" w:cs="Verdana"/>
                <w:i/>
                <w:noProof/>
                <w:color w:val="000000"/>
                <w:sz w:val="18"/>
              </w:rPr>
            </w:pPr>
            <w:r>
              <w:rPr>
                <w:rFonts w:ascii="Verdana" w:hAnsi="Verdana"/>
                <w:i/>
                <w:noProof/>
                <w:color w:val="000000"/>
                <w:sz w:val="18"/>
              </w:rPr>
              <w:t xml:space="preserve">Przychody </w:t>
            </w:r>
            <w:r>
              <w:rPr>
                <w:rFonts w:ascii="Verdana" w:hAnsi="Verdana"/>
                <w:i/>
                <w:noProof/>
                <w:color w:val="000000"/>
                <w:sz w:val="18"/>
              </w:rPr>
              <w:t>powiązane ze środkami trwałymi</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5</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27</w:t>
            </w:r>
          </w:p>
        </w:tc>
      </w:tr>
      <w:tr w:rsidR="0043277E">
        <w:trPr>
          <w:trHeight w:val="255"/>
        </w:trPr>
        <w:tc>
          <w:tcPr>
            <w:tcW w:w="67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rPr>
                <w:rFonts w:ascii="Verdana" w:eastAsia="Verdana" w:hAnsi="Verdana" w:cs="Verdana"/>
                <w:i/>
                <w:noProof/>
                <w:color w:val="000000"/>
                <w:sz w:val="18"/>
              </w:rPr>
            </w:pPr>
            <w:r>
              <w:rPr>
                <w:rFonts w:ascii="Verdana" w:hAnsi="Verdana"/>
                <w:i/>
                <w:noProof/>
                <w:color w:val="000000"/>
                <w:sz w:val="18"/>
              </w:rPr>
              <w:t>Inne</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227</w:t>
            </w:r>
          </w:p>
        </w:tc>
        <w:tc>
          <w:tcPr>
            <w:tcW w:w="15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3BIPOER"/>
              <w:jc w:val="right"/>
              <w:rPr>
                <w:rFonts w:ascii="Verdana" w:eastAsia="Verdana" w:hAnsi="Verdana" w:cs="Verdana"/>
                <w:i/>
                <w:noProof/>
                <w:color w:val="000000"/>
                <w:sz w:val="18"/>
              </w:rPr>
            </w:pPr>
            <w:r>
              <w:rPr>
                <w:rFonts w:ascii="Verdana" w:hAnsi="Verdana"/>
                <w:i/>
                <w:noProof/>
                <w:color w:val="000000"/>
                <w:sz w:val="18"/>
              </w:rPr>
              <w:t xml:space="preserve"> 297</w:t>
            </w:r>
          </w:p>
        </w:tc>
      </w:tr>
      <w:tr w:rsidR="0043277E">
        <w:trPr>
          <w:trHeight w:val="255"/>
        </w:trPr>
        <w:tc>
          <w:tcPr>
            <w:tcW w:w="672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3BIPOER"/>
              <w:rPr>
                <w:rFonts w:ascii="Verdana" w:eastAsia="Verdana" w:hAnsi="Verdana" w:cs="Verdana"/>
                <w:b/>
                <w:noProof/>
                <w:color w:val="000000"/>
                <w:sz w:val="18"/>
              </w:rPr>
            </w:pPr>
            <w:r>
              <w:rPr>
                <w:rFonts w:ascii="Verdana" w:hAnsi="Verdana"/>
                <w:b/>
                <w:noProof/>
                <w:color w:val="000000"/>
                <w:sz w:val="18"/>
              </w:rPr>
              <w:t>Ogółem</w:t>
            </w:r>
          </w:p>
        </w:tc>
        <w:tc>
          <w:tcPr>
            <w:tcW w:w="151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3BIPOER"/>
              <w:jc w:val="right"/>
              <w:rPr>
                <w:rFonts w:ascii="Verdana" w:eastAsia="Verdana" w:hAnsi="Verdana" w:cs="Verdana"/>
                <w:b/>
                <w:noProof/>
                <w:color w:val="000000"/>
                <w:sz w:val="18"/>
              </w:rPr>
            </w:pPr>
            <w:r>
              <w:rPr>
                <w:rFonts w:ascii="Verdana" w:hAnsi="Verdana"/>
                <w:b/>
                <w:noProof/>
                <w:color w:val="000000"/>
                <w:sz w:val="18"/>
              </w:rPr>
              <w:t>1 298</w:t>
            </w:r>
          </w:p>
        </w:tc>
        <w:tc>
          <w:tcPr>
            <w:tcW w:w="151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3BIPOER"/>
              <w:jc w:val="right"/>
              <w:rPr>
                <w:rFonts w:ascii="Verdana" w:eastAsia="Verdana" w:hAnsi="Verdana" w:cs="Verdana"/>
                <w:b/>
                <w:noProof/>
                <w:color w:val="000000"/>
                <w:sz w:val="18"/>
              </w:rPr>
            </w:pPr>
            <w:r>
              <w:rPr>
                <w:rFonts w:ascii="Verdana" w:hAnsi="Verdana"/>
                <w:b/>
                <w:noProof/>
                <w:color w:val="000000"/>
                <w:sz w:val="18"/>
              </w:rPr>
              <w:t>1 379</w:t>
            </w:r>
          </w:p>
        </w:tc>
      </w:tr>
    </w:tbl>
    <w:p w:rsidR="0043277E" w:rsidRDefault="000F2348">
      <w:pPr>
        <w:pStyle w:val="DGTextstand-alone"/>
        <w:spacing w:after="0"/>
        <w:sectPr w:rsidR="0043277E">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r>
        <w:t xml:space="preserve">Przychody z opłat z tytułu świadczonych usług obejmują głównie </w:t>
      </w:r>
      <w:r>
        <w:t>opłaty za pozwolenie na dopuszczenie do obrotu pobierane przez Europejską Agencję Leków oraz opłaty za znak towarowy pobrane przez Urząd Unii Europejskiej ds. Własności Intelektualnej.</w:t>
      </w:r>
      <w:bookmarkEnd w:id="112"/>
    </w:p>
    <w:p w:rsidR="0043277E" w:rsidRDefault="000F2348">
      <w:pPr>
        <w:pStyle w:val="HEADERTABLE"/>
        <w:spacing w:before="360" w:after="360"/>
        <w:rPr>
          <w:noProof/>
        </w:rPr>
        <w:sectPr w:rsidR="0043277E">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bookmarkStart w:id="118" w:name="_DMBM_17125"/>
      <w:r>
        <w:rPr>
          <w:noProof/>
        </w:rPr>
        <w:t xml:space="preserve">KOSZTY </w:t>
      </w:r>
      <w:bookmarkEnd w:id="118"/>
    </w:p>
    <w:p w:rsidR="0043277E" w:rsidRDefault="000F2348">
      <w:pPr>
        <w:pStyle w:val="HEADER2NOTES"/>
        <w:rPr>
          <w:noProof/>
        </w:rPr>
      </w:pPr>
      <w:bookmarkStart w:id="119" w:name="_DMBM_17174"/>
      <w:r>
        <w:rPr>
          <w:noProof/>
        </w:rPr>
        <w:t>ZARZĄDZANIE DZIELONE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9"/>
        <w:gridCol w:w="1669"/>
        <w:gridCol w:w="1670"/>
      </w:tblGrid>
      <w:tr w:rsidR="0043277E">
        <w:trPr>
          <w:trHeight w:val="255"/>
        </w:trPr>
        <w:tc>
          <w:tcPr>
            <w:tcW w:w="641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488BIPSM"/>
              <w:rPr>
                <w:rFonts w:ascii="Arial" w:eastAsia="Arial" w:hAnsi="Arial" w:cs="Arial"/>
                <w:noProof/>
                <w:color w:val="000000"/>
              </w:rPr>
            </w:pPr>
            <w:bookmarkStart w:id="120" w:name="DOC_TBL00065_1_1"/>
            <w:bookmarkEnd w:id="120"/>
          </w:p>
        </w:tc>
        <w:tc>
          <w:tcPr>
            <w:tcW w:w="166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488BIPSM"/>
              <w:rPr>
                <w:rFonts w:ascii="Arial" w:eastAsia="Arial" w:hAnsi="Arial" w:cs="Arial"/>
                <w:noProof/>
                <w:color w:val="000000"/>
              </w:rPr>
            </w:pPr>
          </w:p>
        </w:tc>
        <w:tc>
          <w:tcPr>
            <w:tcW w:w="167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488BIPSM"/>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4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488BIPSM"/>
              <w:rPr>
                <w:rFonts w:ascii="Verdana" w:eastAsia="Verdana" w:hAnsi="Verdana" w:cs="Verdana"/>
                <w:noProof/>
                <w:color w:val="FFFFFF"/>
                <w:sz w:val="18"/>
              </w:rPr>
            </w:pPr>
            <w:r>
              <w:rPr>
                <w:rFonts w:ascii="Verdana" w:hAnsi="Verdana"/>
                <w:noProof/>
                <w:color w:val="FFFFFF"/>
                <w:sz w:val="18"/>
              </w:rPr>
              <w:t>Wydatkowane przez państwa członkowskie</w:t>
            </w:r>
          </w:p>
        </w:tc>
        <w:tc>
          <w:tcPr>
            <w:tcW w:w="166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488BIPSM"/>
              <w:jc w:val="right"/>
              <w:rPr>
                <w:rFonts w:ascii="Verdana" w:eastAsia="Verdana" w:hAnsi="Verdana" w:cs="Verdana"/>
                <w:noProof/>
                <w:color w:val="FFFFFF"/>
              </w:rPr>
            </w:pPr>
            <w:r>
              <w:rPr>
                <w:rFonts w:ascii="Verdana" w:hAnsi="Verdana"/>
                <w:noProof/>
                <w:color w:val="FFFFFF"/>
              </w:rPr>
              <w:t>2019</w:t>
            </w:r>
          </w:p>
        </w:tc>
        <w:tc>
          <w:tcPr>
            <w:tcW w:w="167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488BIPSM"/>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rPr>
                <w:rFonts w:ascii="Verdana" w:eastAsia="Verdana" w:hAnsi="Verdana" w:cs="Verdana"/>
                <w:i/>
                <w:noProof/>
                <w:color w:val="000000"/>
                <w:sz w:val="18"/>
              </w:rPr>
            </w:pPr>
            <w:r>
              <w:rPr>
                <w:rFonts w:ascii="Verdana" w:hAnsi="Verdana"/>
                <w:i/>
                <w:noProof/>
                <w:color w:val="000000"/>
                <w:sz w:val="18"/>
              </w:rPr>
              <w:t>Europejski Fundusz Rolniczy Gwarancji</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43 951</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43 527</w:t>
            </w:r>
          </w:p>
        </w:tc>
      </w:tr>
      <w:tr w:rsidR="0043277E">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rPr>
                <w:rFonts w:ascii="Verdana" w:eastAsia="Verdana" w:hAnsi="Verdana" w:cs="Verdana"/>
                <w:i/>
                <w:noProof/>
                <w:color w:val="000000"/>
                <w:sz w:val="18"/>
              </w:rPr>
            </w:pPr>
            <w:r>
              <w:rPr>
                <w:rFonts w:ascii="Verdana" w:hAnsi="Verdana"/>
                <w:i/>
                <w:noProof/>
                <w:color w:val="000000"/>
                <w:sz w:val="18"/>
              </w:rPr>
              <w:t>Europejski Fundusz Rolny na rzecz Rozwoju Obszarów Wiejskich</w:t>
            </w:r>
            <w:r>
              <w:rPr>
                <w:rFonts w:ascii="Verdana" w:hAnsi="Verdana"/>
                <w:i/>
                <w:noProof/>
                <w:color w:val="000000"/>
                <w:sz w:val="18"/>
              </w:rPr>
              <w:t xml:space="preserve"> oraz inne instrumenty na rzecz rozwoju obszarów wiejskich</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13 541</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13 149</w:t>
            </w:r>
          </w:p>
        </w:tc>
      </w:tr>
      <w:tr w:rsidR="0043277E">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rPr>
                <w:rFonts w:ascii="Verdana" w:eastAsia="Verdana" w:hAnsi="Verdana" w:cs="Verdana"/>
                <w:i/>
                <w:noProof/>
                <w:color w:val="000000"/>
                <w:sz w:val="18"/>
              </w:rPr>
            </w:pPr>
            <w:r>
              <w:rPr>
                <w:rFonts w:ascii="Verdana" w:hAnsi="Verdana"/>
                <w:i/>
                <w:noProof/>
                <w:color w:val="000000"/>
                <w:sz w:val="18"/>
              </w:rPr>
              <w:t>Europejski Fundusz Rozwoju Regionalnego i Fundusz Spójności</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35 178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30 230</w:t>
            </w:r>
          </w:p>
        </w:tc>
      </w:tr>
      <w:tr w:rsidR="0043277E">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rPr>
                <w:rFonts w:ascii="Verdana" w:eastAsia="Verdana" w:hAnsi="Verdana" w:cs="Verdana"/>
                <w:i/>
                <w:noProof/>
                <w:color w:val="000000"/>
                <w:sz w:val="18"/>
              </w:rPr>
            </w:pPr>
            <w:r>
              <w:rPr>
                <w:rFonts w:ascii="Verdana" w:hAnsi="Verdana"/>
                <w:i/>
                <w:noProof/>
                <w:color w:val="000000"/>
                <w:sz w:val="18"/>
              </w:rPr>
              <w:t>Europejski Fundusz Społeczny</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11 218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11 935</w:t>
            </w:r>
          </w:p>
        </w:tc>
      </w:tr>
      <w:tr w:rsidR="0043277E">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rPr>
                <w:rFonts w:ascii="Verdana" w:eastAsia="Verdana" w:hAnsi="Verdana" w:cs="Verdana"/>
                <w:i/>
                <w:noProof/>
                <w:color w:val="000000"/>
                <w:sz w:val="18"/>
              </w:rPr>
            </w:pPr>
            <w:r>
              <w:rPr>
                <w:rFonts w:ascii="Verdana" w:hAnsi="Verdana"/>
                <w:i/>
                <w:noProof/>
                <w:color w:val="000000"/>
                <w:sz w:val="18"/>
              </w:rPr>
              <w:t>Inne</w:t>
            </w:r>
          </w:p>
        </w:tc>
        <w:tc>
          <w:tcPr>
            <w:tcW w:w="166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2 608</w:t>
            </w:r>
          </w:p>
        </w:tc>
        <w:tc>
          <w:tcPr>
            <w:tcW w:w="167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488BIPSM"/>
              <w:jc w:val="right"/>
              <w:rPr>
                <w:rFonts w:ascii="Verdana" w:eastAsia="Verdana" w:hAnsi="Verdana" w:cs="Verdana"/>
                <w:i/>
                <w:noProof/>
                <w:color w:val="000000"/>
                <w:sz w:val="18"/>
              </w:rPr>
            </w:pPr>
            <w:r>
              <w:rPr>
                <w:rFonts w:ascii="Verdana" w:hAnsi="Verdana"/>
                <w:i/>
                <w:noProof/>
                <w:color w:val="000000"/>
                <w:sz w:val="18"/>
              </w:rPr>
              <w:t>2 826</w:t>
            </w:r>
          </w:p>
        </w:tc>
      </w:tr>
      <w:tr w:rsidR="0043277E">
        <w:trPr>
          <w:trHeight w:val="255"/>
        </w:trPr>
        <w:tc>
          <w:tcPr>
            <w:tcW w:w="641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488BIPSM"/>
              <w:rPr>
                <w:rFonts w:ascii="Verdana" w:eastAsia="Verdana" w:hAnsi="Verdana" w:cs="Verdana"/>
                <w:b/>
                <w:noProof/>
                <w:color w:val="000000"/>
                <w:sz w:val="18"/>
              </w:rPr>
            </w:pPr>
            <w:r>
              <w:rPr>
                <w:rFonts w:ascii="Verdana" w:hAnsi="Verdana"/>
                <w:b/>
                <w:noProof/>
                <w:color w:val="000000"/>
                <w:sz w:val="18"/>
              </w:rPr>
              <w:t>Ogółem</w:t>
            </w:r>
          </w:p>
        </w:tc>
        <w:tc>
          <w:tcPr>
            <w:tcW w:w="1669"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488BIPSM"/>
              <w:jc w:val="right"/>
              <w:rPr>
                <w:rFonts w:ascii="Verdana" w:eastAsia="Verdana" w:hAnsi="Verdana" w:cs="Verdana"/>
                <w:b/>
                <w:noProof/>
                <w:color w:val="000000"/>
                <w:sz w:val="18"/>
              </w:rPr>
            </w:pPr>
            <w:r>
              <w:rPr>
                <w:rFonts w:ascii="Verdana" w:hAnsi="Verdana"/>
                <w:b/>
                <w:noProof/>
                <w:color w:val="000000"/>
                <w:sz w:val="18"/>
              </w:rPr>
              <w:t>106 495</w:t>
            </w:r>
          </w:p>
        </w:tc>
        <w:tc>
          <w:tcPr>
            <w:tcW w:w="1670"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488BIPSM"/>
              <w:jc w:val="right"/>
              <w:rPr>
                <w:rFonts w:ascii="Verdana" w:eastAsia="Verdana" w:hAnsi="Verdana" w:cs="Verdana"/>
                <w:b/>
                <w:noProof/>
                <w:color w:val="000000"/>
                <w:sz w:val="18"/>
              </w:rPr>
            </w:pPr>
            <w:r>
              <w:rPr>
                <w:rFonts w:ascii="Verdana" w:hAnsi="Verdana"/>
                <w:b/>
                <w:noProof/>
                <w:color w:val="000000"/>
                <w:sz w:val="18"/>
              </w:rPr>
              <w:t>101 666</w:t>
            </w:r>
          </w:p>
        </w:tc>
      </w:tr>
    </w:tbl>
    <w:p w:rsidR="0043277E" w:rsidRDefault="000F2348">
      <w:pPr>
        <w:pStyle w:val="DGTextstand-alone"/>
      </w:pPr>
      <w:r>
        <w:t xml:space="preserve">Wzrost dotyczy </w:t>
      </w:r>
      <w:r>
        <w:t>głównie polityki spójności (EFRR, Fundusz Spójności), gdzie niemal wszystkie wydatki są związane z obecnym okresem programowania, a stosowne działania są kontynuowane.</w:t>
      </w:r>
    </w:p>
    <w:p w:rsidR="0043277E" w:rsidRDefault="000F2348">
      <w:pPr>
        <w:pStyle w:val="DGTextstand-alone"/>
        <w:spacing w:after="0"/>
      </w:pPr>
      <w:r>
        <w:t>Pozycja „Inne koszty” obejmuje przede wszystkim: Azyl i migrację (0,6 mld EUR), Europejs</w:t>
      </w:r>
      <w:r>
        <w:t>ki Fundusz Pomocy Najbardziej Potrzebującym (0,5 mld EUR), Bezpieczeństwo wewnętrzne (0,4 mld EUR), Fundusz Solidarności Unii Europejskiej (0,4 mld EUR) oraz Europejski Fundusz Morski i Rybacki (0,7 mld EUR). Spadek w porównaniu z rokiem ubiegłym wiąże się</w:t>
      </w:r>
      <w:r>
        <w:t xml:space="preserve"> przede wszystkim z Funduszem Solidarności Unii Europejskiej.</w:t>
      </w:r>
    </w:p>
    <w:p w:rsidR="0043277E" w:rsidRDefault="000F2348">
      <w:pPr>
        <w:pStyle w:val="HEADER2NOTES"/>
        <w:keepNext/>
        <w:rPr>
          <w:noProof/>
        </w:rPr>
      </w:pPr>
      <w:r>
        <w:rPr>
          <w:noProof/>
        </w:rPr>
        <w:lastRenderedPageBreak/>
        <w:t>ZARZĄDZANIE BEZPOŚREDNIE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2BIPDM"/>
              <w:keepNext/>
              <w:rPr>
                <w:rFonts w:ascii="Arial" w:eastAsia="Arial" w:hAnsi="Arial" w:cs="Arial"/>
                <w:noProof/>
                <w:color w:val="000000"/>
              </w:rPr>
            </w:pPr>
            <w:bookmarkStart w:id="121" w:name="DOC_TBL00066_1_1"/>
            <w:bookmarkEnd w:id="121"/>
          </w:p>
        </w:tc>
        <w:tc>
          <w:tcPr>
            <w:tcW w:w="172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2BIPDM"/>
              <w:keepNext/>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2BIPDM"/>
              <w:keepNex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2BIPDM"/>
              <w:keepNext/>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2BIPDM"/>
              <w:keepNext/>
              <w:jc w:val="right"/>
              <w:rPr>
                <w:rFonts w:ascii="Verdana" w:eastAsia="Verdana" w:hAnsi="Verdana" w:cs="Verdana"/>
                <w:noProof/>
                <w:color w:val="FFFFFF"/>
              </w:rPr>
            </w:pPr>
            <w:r>
              <w:rPr>
                <w:rFonts w:ascii="Verdana" w:hAnsi="Verdana"/>
                <w:noProof/>
                <w:color w:val="FFFFFF"/>
              </w:rPr>
              <w:t>2019</w:t>
            </w: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2BIPDM"/>
              <w:keepNext/>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rPr>
                <w:rFonts w:ascii="Verdana" w:eastAsia="Verdana" w:hAnsi="Verdana" w:cs="Verdana"/>
                <w:i/>
                <w:noProof/>
                <w:color w:val="000000"/>
                <w:sz w:val="18"/>
              </w:rPr>
            </w:pPr>
            <w:r>
              <w:rPr>
                <w:rFonts w:ascii="Verdana" w:hAnsi="Verdana"/>
                <w:i/>
                <w:noProof/>
                <w:color w:val="000000"/>
                <w:sz w:val="18"/>
              </w:rPr>
              <w:t>Wydatkowane przez Komisję</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jc w:val="right"/>
              <w:rPr>
                <w:rFonts w:ascii="Verdana" w:eastAsia="Verdana" w:hAnsi="Verdana" w:cs="Verdana"/>
                <w:i/>
                <w:noProof/>
                <w:color w:val="000000"/>
                <w:sz w:val="18"/>
              </w:rPr>
            </w:pPr>
            <w:r>
              <w:rPr>
                <w:rFonts w:ascii="Verdana" w:hAnsi="Verdana"/>
                <w:i/>
                <w:noProof/>
                <w:color w:val="000000"/>
                <w:sz w:val="18"/>
              </w:rPr>
              <w:t>8 435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jc w:val="right"/>
              <w:rPr>
                <w:rFonts w:ascii="Verdana" w:eastAsia="Verdana" w:hAnsi="Verdana" w:cs="Verdana"/>
                <w:i/>
                <w:noProof/>
                <w:color w:val="000000"/>
                <w:sz w:val="18"/>
              </w:rPr>
            </w:pPr>
            <w:r>
              <w:rPr>
                <w:rFonts w:ascii="Verdana" w:hAnsi="Verdana"/>
                <w:i/>
                <w:noProof/>
                <w:color w:val="000000"/>
                <w:sz w:val="18"/>
              </w:rPr>
              <w:t>8 120</w:t>
            </w:r>
          </w:p>
        </w:tc>
      </w:tr>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rPr>
                <w:rFonts w:ascii="Verdana" w:eastAsia="Verdana" w:hAnsi="Verdana" w:cs="Verdana"/>
                <w:i/>
                <w:noProof/>
                <w:color w:val="000000"/>
                <w:sz w:val="18"/>
              </w:rPr>
            </w:pPr>
            <w:r>
              <w:rPr>
                <w:rFonts w:ascii="Verdana" w:hAnsi="Verdana"/>
                <w:i/>
                <w:noProof/>
                <w:color w:val="000000"/>
                <w:sz w:val="18"/>
              </w:rPr>
              <w:t>Wydatkowane przez agencje wykonawcze</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jc w:val="right"/>
              <w:rPr>
                <w:rFonts w:ascii="Verdana" w:eastAsia="Verdana" w:hAnsi="Verdana" w:cs="Verdana"/>
                <w:i/>
                <w:noProof/>
                <w:color w:val="000000"/>
                <w:sz w:val="18"/>
              </w:rPr>
            </w:pPr>
            <w:r>
              <w:rPr>
                <w:rFonts w:ascii="Verdana" w:hAnsi="Verdana"/>
                <w:i/>
                <w:noProof/>
                <w:color w:val="000000"/>
                <w:sz w:val="18"/>
              </w:rPr>
              <w:t>10 095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jc w:val="right"/>
              <w:rPr>
                <w:rFonts w:ascii="Verdana" w:eastAsia="Verdana" w:hAnsi="Verdana" w:cs="Verdana"/>
                <w:i/>
                <w:noProof/>
                <w:color w:val="000000"/>
                <w:sz w:val="18"/>
              </w:rPr>
            </w:pPr>
            <w:r>
              <w:rPr>
                <w:rFonts w:ascii="Verdana" w:hAnsi="Verdana"/>
                <w:i/>
                <w:noProof/>
                <w:color w:val="000000"/>
                <w:sz w:val="18"/>
              </w:rPr>
              <w:t>8 964</w:t>
            </w:r>
          </w:p>
        </w:tc>
      </w:tr>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rPr>
                <w:rFonts w:ascii="Verdana" w:eastAsia="Verdana" w:hAnsi="Verdana" w:cs="Verdana"/>
                <w:i/>
                <w:noProof/>
                <w:color w:val="000000"/>
                <w:sz w:val="18"/>
              </w:rPr>
            </w:pPr>
            <w:r>
              <w:rPr>
                <w:rFonts w:ascii="Verdana" w:hAnsi="Verdana"/>
                <w:i/>
                <w:noProof/>
                <w:color w:val="000000"/>
                <w:sz w:val="18"/>
              </w:rPr>
              <w:t>Wydatkowane przez fundusze powiernicze</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jc w:val="right"/>
              <w:rPr>
                <w:rFonts w:ascii="Verdana" w:eastAsia="Verdana" w:hAnsi="Verdana" w:cs="Verdana"/>
                <w:i/>
                <w:noProof/>
                <w:color w:val="000000"/>
                <w:sz w:val="18"/>
              </w:rPr>
            </w:pPr>
            <w:r>
              <w:rPr>
                <w:rFonts w:ascii="Verdana" w:hAnsi="Verdana"/>
                <w:i/>
                <w:noProof/>
                <w:color w:val="000000"/>
                <w:sz w:val="18"/>
              </w:rPr>
              <w:t xml:space="preserve"> 412</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DM"/>
              <w:keepNext/>
              <w:jc w:val="right"/>
              <w:rPr>
                <w:rFonts w:ascii="Verdana" w:eastAsia="Verdana" w:hAnsi="Verdana" w:cs="Verdana"/>
                <w:i/>
                <w:noProof/>
                <w:color w:val="000000"/>
                <w:sz w:val="18"/>
              </w:rPr>
            </w:pPr>
            <w:r>
              <w:rPr>
                <w:rFonts w:ascii="Verdana" w:hAnsi="Verdana"/>
                <w:i/>
                <w:noProof/>
                <w:color w:val="000000"/>
                <w:sz w:val="18"/>
              </w:rPr>
              <w:t xml:space="preserve"> 468</w:t>
            </w:r>
          </w:p>
        </w:tc>
      </w:tr>
      <w:tr w:rsidR="0043277E">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2BIPDM"/>
              <w:rPr>
                <w:rFonts w:ascii="Verdana" w:eastAsia="Verdana" w:hAnsi="Verdana" w:cs="Verdana"/>
                <w:b/>
                <w:noProof/>
                <w:color w:val="000000"/>
                <w:sz w:val="18"/>
              </w:rPr>
            </w:pPr>
            <w:r>
              <w:rPr>
                <w:rFonts w:ascii="Verdana" w:hAnsi="Verdana"/>
                <w:b/>
                <w:noProof/>
                <w:color w:val="000000"/>
                <w:sz w:val="18"/>
              </w:rPr>
              <w:t>Ogółem</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2BIPDM"/>
              <w:jc w:val="right"/>
              <w:rPr>
                <w:rFonts w:ascii="Verdana" w:eastAsia="Verdana" w:hAnsi="Verdana" w:cs="Verdana"/>
                <w:b/>
                <w:noProof/>
                <w:color w:val="000000"/>
                <w:sz w:val="18"/>
              </w:rPr>
            </w:pPr>
            <w:r>
              <w:rPr>
                <w:rFonts w:ascii="Verdana" w:hAnsi="Verdana"/>
                <w:b/>
                <w:noProof/>
                <w:color w:val="000000"/>
                <w:sz w:val="18"/>
              </w:rPr>
              <w:t>18 942</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2BIPDM"/>
              <w:jc w:val="right"/>
              <w:rPr>
                <w:rFonts w:ascii="Verdana" w:eastAsia="Verdana" w:hAnsi="Verdana" w:cs="Verdana"/>
                <w:b/>
                <w:noProof/>
                <w:color w:val="000000"/>
                <w:sz w:val="18"/>
              </w:rPr>
            </w:pPr>
            <w:r>
              <w:rPr>
                <w:rFonts w:ascii="Verdana" w:hAnsi="Verdana"/>
                <w:b/>
                <w:noProof/>
                <w:color w:val="000000"/>
                <w:sz w:val="18"/>
              </w:rPr>
              <w:t>17 551</w:t>
            </w:r>
          </w:p>
        </w:tc>
      </w:tr>
    </w:tbl>
    <w:p w:rsidR="0043277E" w:rsidRDefault="000F2348">
      <w:pPr>
        <w:pStyle w:val="DGTextstand-alone"/>
        <w:spacing w:after="0"/>
      </w:pPr>
      <w:r>
        <w:t xml:space="preserve">Kwoty te dotyczą przede wszystkim realizacji polityki badawczej (7,7 mld EUR), części transportowej instrumentu „Łącząc Europę” (3,1 mld EUR), Instrumentu Finansowania Współpracy na rzecz Rozwoju (1,4 mld EUR) i europejskiej polityki </w:t>
      </w:r>
      <w:r>
        <w:t>sąsiedztwa (1,1 mld EUR).</w:t>
      </w:r>
    </w:p>
    <w:p w:rsidR="0043277E" w:rsidRDefault="000F2348">
      <w:pPr>
        <w:pStyle w:val="DGTextstand-alone"/>
        <w:spacing w:after="0"/>
      </w:pPr>
      <w:r>
        <w:t>Wzrost kosztów zarządzania bezpośredniego wydatkowanych przez unijne agencje wykonawcze dotyczy głównie (0,8 mld EUR) Agencji Wykonawczej ds. Innowacyjności i Sieci, przy czym za największą część tych kosztów odpowiada część trans</w:t>
      </w:r>
      <w:r>
        <w:t>portowa instrumentu „Łącząc Europę”. Część instrumentu „Łącząc Europę” dotycząca transportu stanowi instrument finansowania wykorzystywany przy wdrażaniu europejskiej polityki w zakresie infrastruktury transportowej, który ma wspierać budowę nowej lub mode</w:t>
      </w:r>
      <w:r>
        <w:t>rnizację/odbudowę istniejącej infrastruktury transportowej w Europie.</w:t>
      </w:r>
    </w:p>
    <w:p w:rsidR="0043277E" w:rsidRDefault="000F2348">
      <w:pPr>
        <w:pStyle w:val="HEADER2NOTES"/>
        <w:rPr>
          <w:noProof/>
        </w:rPr>
      </w:pPr>
      <w:r>
        <w:rPr>
          <w:noProof/>
        </w:rPr>
        <w:t>ZARZĄDZANIE POŚREDNIE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2BIPIM"/>
              <w:rPr>
                <w:rFonts w:ascii="Arial" w:eastAsia="Arial" w:hAnsi="Arial" w:cs="Arial"/>
                <w:noProof/>
                <w:color w:val="000000"/>
              </w:rPr>
            </w:pPr>
            <w:bookmarkStart w:id="122" w:name="DOC_TBL00067_1_1"/>
            <w:bookmarkEnd w:id="122"/>
          </w:p>
        </w:tc>
        <w:tc>
          <w:tcPr>
            <w:tcW w:w="172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2BIPIM"/>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2BIPIM"/>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2BIPIM"/>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2BIPIM"/>
              <w:jc w:val="right"/>
              <w:rPr>
                <w:rFonts w:ascii="Verdana" w:eastAsia="Verdana" w:hAnsi="Verdana" w:cs="Verdana"/>
                <w:noProof/>
                <w:color w:val="FFFFFF"/>
              </w:rPr>
            </w:pPr>
            <w:r>
              <w:rPr>
                <w:rFonts w:ascii="Verdana" w:hAnsi="Verdana"/>
                <w:noProof/>
                <w:color w:val="FFFFFF"/>
              </w:rPr>
              <w:t>2019</w:t>
            </w:r>
          </w:p>
        </w:tc>
        <w:tc>
          <w:tcPr>
            <w:tcW w:w="17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2BIPIM"/>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rPr>
                <w:rFonts w:ascii="Verdana" w:eastAsia="Verdana" w:hAnsi="Verdana" w:cs="Verdana"/>
                <w:i/>
                <w:noProof/>
                <w:color w:val="000000"/>
                <w:sz w:val="18"/>
              </w:rPr>
            </w:pPr>
            <w:r>
              <w:rPr>
                <w:rFonts w:ascii="Verdana" w:hAnsi="Verdana"/>
                <w:i/>
                <w:noProof/>
                <w:color w:val="000000"/>
                <w:sz w:val="18"/>
              </w:rPr>
              <w:t>Wydatkowane przez inne agencje i organy UE</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3 131</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3 396</w:t>
            </w:r>
          </w:p>
        </w:tc>
      </w:tr>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rPr>
                <w:rFonts w:ascii="Verdana" w:eastAsia="Verdana" w:hAnsi="Verdana" w:cs="Verdana"/>
                <w:i/>
                <w:noProof/>
                <w:color w:val="000000"/>
                <w:sz w:val="18"/>
              </w:rPr>
            </w:pPr>
            <w:r>
              <w:rPr>
                <w:rFonts w:ascii="Verdana" w:hAnsi="Verdana"/>
                <w:i/>
                <w:noProof/>
                <w:color w:val="000000"/>
                <w:sz w:val="18"/>
              </w:rPr>
              <w:t>Wydatkowane przez państwa trzecie</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 xml:space="preserve"> 637</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 xml:space="preserve"> 679</w:t>
            </w:r>
          </w:p>
        </w:tc>
      </w:tr>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rPr>
                <w:rFonts w:ascii="Verdana" w:eastAsia="Verdana" w:hAnsi="Verdana" w:cs="Verdana"/>
                <w:i/>
                <w:noProof/>
                <w:color w:val="000000"/>
                <w:sz w:val="18"/>
              </w:rPr>
            </w:pPr>
            <w:r>
              <w:rPr>
                <w:rFonts w:ascii="Verdana" w:hAnsi="Verdana"/>
                <w:i/>
                <w:noProof/>
                <w:color w:val="000000"/>
                <w:sz w:val="18"/>
              </w:rPr>
              <w:t xml:space="preserve">Wydatkowane przez organizacje </w:t>
            </w:r>
            <w:r>
              <w:rPr>
                <w:rFonts w:ascii="Verdana" w:hAnsi="Verdana"/>
                <w:i/>
                <w:noProof/>
                <w:color w:val="000000"/>
                <w:sz w:val="18"/>
              </w:rPr>
              <w:t>międzynarodowe</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3 448</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3 337</w:t>
            </w:r>
          </w:p>
        </w:tc>
      </w:tr>
      <w:tr w:rsidR="0043277E">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rPr>
                <w:rFonts w:ascii="Verdana" w:eastAsia="Verdana" w:hAnsi="Verdana" w:cs="Verdana"/>
                <w:i/>
                <w:noProof/>
                <w:color w:val="000000"/>
                <w:sz w:val="18"/>
              </w:rPr>
            </w:pPr>
            <w:r>
              <w:rPr>
                <w:rFonts w:ascii="Verdana" w:hAnsi="Verdana"/>
                <w:i/>
                <w:noProof/>
                <w:color w:val="000000"/>
                <w:sz w:val="18"/>
              </w:rPr>
              <w:t>Wydatkowane przez inne podmioty</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2 875</w:t>
            </w:r>
          </w:p>
        </w:tc>
        <w:tc>
          <w:tcPr>
            <w:tcW w:w="17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2BIPIM"/>
              <w:jc w:val="right"/>
              <w:rPr>
                <w:rFonts w:ascii="Verdana" w:eastAsia="Verdana" w:hAnsi="Verdana" w:cs="Verdana"/>
                <w:i/>
                <w:noProof/>
                <w:color w:val="000000"/>
                <w:sz w:val="18"/>
              </w:rPr>
            </w:pPr>
            <w:r>
              <w:rPr>
                <w:rFonts w:ascii="Verdana" w:hAnsi="Verdana"/>
                <w:i/>
                <w:noProof/>
                <w:color w:val="000000"/>
                <w:sz w:val="18"/>
              </w:rPr>
              <w:t>3 569</w:t>
            </w:r>
          </w:p>
        </w:tc>
      </w:tr>
      <w:tr w:rsidR="0043277E">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2BIPIM"/>
              <w:rPr>
                <w:rFonts w:ascii="Verdana" w:eastAsia="Verdana" w:hAnsi="Verdana" w:cs="Verdana"/>
                <w:b/>
                <w:noProof/>
                <w:color w:val="000000"/>
                <w:sz w:val="18"/>
              </w:rPr>
            </w:pPr>
            <w:r>
              <w:rPr>
                <w:rFonts w:ascii="Verdana" w:hAnsi="Verdana"/>
                <w:b/>
                <w:noProof/>
                <w:color w:val="000000"/>
                <w:sz w:val="18"/>
              </w:rPr>
              <w:t>Ogółem</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2BIPIM"/>
              <w:jc w:val="right"/>
              <w:rPr>
                <w:rFonts w:ascii="Verdana" w:eastAsia="Verdana" w:hAnsi="Verdana" w:cs="Verdana"/>
                <w:b/>
                <w:noProof/>
                <w:color w:val="000000"/>
                <w:sz w:val="18"/>
              </w:rPr>
            </w:pPr>
            <w:r>
              <w:rPr>
                <w:rFonts w:ascii="Verdana" w:hAnsi="Verdana"/>
                <w:b/>
                <w:noProof/>
                <w:color w:val="000000"/>
                <w:sz w:val="18"/>
              </w:rPr>
              <w:t>10 091</w:t>
            </w:r>
          </w:p>
        </w:tc>
        <w:tc>
          <w:tcPr>
            <w:tcW w:w="17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2BIPIM"/>
              <w:jc w:val="right"/>
              <w:rPr>
                <w:rFonts w:ascii="Verdana" w:eastAsia="Verdana" w:hAnsi="Verdana" w:cs="Verdana"/>
                <w:b/>
                <w:noProof/>
                <w:color w:val="000000"/>
                <w:sz w:val="18"/>
              </w:rPr>
            </w:pPr>
            <w:r>
              <w:rPr>
                <w:rFonts w:ascii="Verdana" w:hAnsi="Verdana"/>
                <w:b/>
                <w:noProof/>
                <w:color w:val="000000"/>
                <w:sz w:val="18"/>
              </w:rPr>
              <w:t>10 981</w:t>
            </w:r>
          </w:p>
        </w:tc>
      </w:tr>
    </w:tbl>
    <w:p w:rsidR="0043277E" w:rsidRDefault="000F2348">
      <w:pPr>
        <w:pStyle w:val="DGTextstand-alone"/>
      </w:pPr>
      <w:r>
        <w:t xml:space="preserve">Jeżeli chodzi o koszty zarządzania pośredniego, kwota 4,2 mld EUR dotyczy działań zewnętrznych (głównie obszarów </w:t>
      </w:r>
      <w:r>
        <w:br/>
        <w:t xml:space="preserve">pomocy przedakcesyjnej, pomocy humanitarnej, </w:t>
      </w:r>
      <w:r>
        <w:t>współpracy międzynarodowej i polityki sąsiedztwa). Dodatkowa kwota 5,8 mld EUR dotyczy zwiększania konkurencyjności Europy (w obszarach takich jak badania naukowe, systemy nawigacji satelitarnej i kształcenie). Zmniejszenie kwoty wydatków ponoszonych przez</w:t>
      </w:r>
      <w:r>
        <w:t xml:space="preserve"> inne podmioty jest związane głównie z obszarem edukacji (Erasmus).</w:t>
      </w:r>
      <w:bookmarkEnd w:id="119"/>
    </w:p>
    <w:p w:rsidR="0043277E" w:rsidRDefault="0043277E">
      <w:pPr>
        <w:pStyle w:val="DGTextstand-alone"/>
        <w:sectPr w:rsidR="0043277E">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9" w:footer="709" w:gutter="0"/>
          <w:cols w:space="708"/>
          <w:docGrid w:linePitch="360"/>
        </w:sectPr>
      </w:pPr>
    </w:p>
    <w:p w:rsidR="0043277E" w:rsidRDefault="000F2348">
      <w:pPr>
        <w:pStyle w:val="HEADER2NOTES"/>
        <w:rPr>
          <w:noProof/>
        </w:rPr>
      </w:pPr>
      <w:bookmarkStart w:id="123" w:name="_DMBM_17161"/>
      <w:r>
        <w:rPr>
          <w:noProof/>
        </w:rPr>
        <w:t>KOSZTY PERSONELU ORAZ RENT I EMERYTUR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2"/>
        <w:gridCol w:w="1963"/>
        <w:gridCol w:w="1963"/>
      </w:tblGrid>
      <w:tr w:rsidR="0043277E">
        <w:trPr>
          <w:trHeight w:val="255"/>
        </w:trPr>
        <w:tc>
          <w:tcPr>
            <w:tcW w:w="58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54BIPSPC"/>
              <w:rPr>
                <w:rFonts w:ascii="Arial" w:eastAsia="Arial" w:hAnsi="Arial" w:cs="Arial"/>
                <w:noProof/>
                <w:color w:val="000000"/>
              </w:rPr>
            </w:pPr>
            <w:bookmarkStart w:id="124" w:name="DOC_TBL00068_1_1"/>
            <w:bookmarkEnd w:id="124"/>
          </w:p>
        </w:tc>
        <w:tc>
          <w:tcPr>
            <w:tcW w:w="196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54BIPSPC"/>
              <w:rPr>
                <w:rFonts w:ascii="Arial" w:eastAsia="Arial" w:hAnsi="Arial" w:cs="Arial"/>
                <w:noProof/>
                <w:color w:val="000000"/>
              </w:rPr>
            </w:pPr>
          </w:p>
        </w:tc>
        <w:tc>
          <w:tcPr>
            <w:tcW w:w="1963"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54BIPSPC"/>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8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4BIPSPC"/>
              <w:jc w:val="right"/>
              <w:rPr>
                <w:rFonts w:ascii="Verdana" w:eastAsia="Verdana" w:hAnsi="Verdana" w:cs="Verdana"/>
                <w:noProof/>
                <w:color w:val="FFFFFF"/>
              </w:rPr>
            </w:pPr>
          </w:p>
        </w:tc>
        <w:tc>
          <w:tcPr>
            <w:tcW w:w="19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4BIPSPC"/>
              <w:jc w:val="right"/>
              <w:rPr>
                <w:rFonts w:ascii="Verdana" w:eastAsia="Verdana" w:hAnsi="Verdana" w:cs="Verdana"/>
                <w:noProof/>
                <w:color w:val="FFFFFF"/>
              </w:rPr>
            </w:pPr>
            <w:r>
              <w:rPr>
                <w:rFonts w:ascii="Verdana" w:hAnsi="Verdana"/>
                <w:noProof/>
                <w:color w:val="FFFFFF"/>
              </w:rPr>
              <w:t>2019</w:t>
            </w:r>
          </w:p>
        </w:tc>
        <w:tc>
          <w:tcPr>
            <w:tcW w:w="19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4BIPSPC"/>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4BIPSPC"/>
              <w:rPr>
                <w:rFonts w:ascii="Verdana" w:eastAsia="Verdana" w:hAnsi="Verdana" w:cs="Verdana"/>
                <w:i/>
                <w:noProof/>
                <w:color w:val="000000"/>
                <w:sz w:val="18"/>
              </w:rPr>
            </w:pPr>
            <w:r>
              <w:rPr>
                <w:rFonts w:ascii="Verdana" w:hAnsi="Verdana"/>
                <w:i/>
                <w:noProof/>
                <w:color w:val="000000"/>
                <w:sz w:val="18"/>
              </w:rPr>
              <w:t xml:space="preserve">Koszty </w:t>
            </w:r>
            <w:r>
              <w:rPr>
                <w:rFonts w:ascii="Verdana" w:hAnsi="Verdana"/>
                <w:i/>
                <w:noProof/>
                <w:color w:val="000000"/>
                <w:sz w:val="18"/>
              </w:rPr>
              <w:t>personelu</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4BIPSPC"/>
              <w:jc w:val="right"/>
              <w:rPr>
                <w:rFonts w:ascii="Verdana" w:eastAsia="Verdana" w:hAnsi="Verdana" w:cs="Verdana"/>
                <w:i/>
                <w:noProof/>
                <w:color w:val="000000"/>
                <w:sz w:val="18"/>
              </w:rPr>
            </w:pPr>
            <w:r>
              <w:rPr>
                <w:rFonts w:ascii="Verdana" w:hAnsi="Verdana"/>
                <w:i/>
                <w:noProof/>
                <w:color w:val="000000"/>
                <w:sz w:val="18"/>
              </w:rPr>
              <w:t>6 692</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4BIPSPC"/>
              <w:jc w:val="right"/>
              <w:rPr>
                <w:rFonts w:ascii="Verdana" w:eastAsia="Verdana" w:hAnsi="Verdana" w:cs="Verdana"/>
                <w:i/>
                <w:noProof/>
                <w:color w:val="000000"/>
                <w:sz w:val="18"/>
              </w:rPr>
            </w:pPr>
            <w:r>
              <w:rPr>
                <w:rFonts w:ascii="Verdana" w:hAnsi="Verdana"/>
                <w:i/>
                <w:noProof/>
                <w:color w:val="000000"/>
                <w:sz w:val="18"/>
              </w:rPr>
              <w:t>6 454</w:t>
            </w:r>
          </w:p>
        </w:tc>
      </w:tr>
      <w:tr w:rsidR="0043277E">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4BIPSPC"/>
              <w:rPr>
                <w:rFonts w:ascii="Verdana" w:eastAsia="Verdana" w:hAnsi="Verdana" w:cs="Verdana"/>
                <w:i/>
                <w:noProof/>
                <w:color w:val="000000"/>
                <w:sz w:val="18"/>
              </w:rPr>
            </w:pPr>
            <w:r>
              <w:rPr>
                <w:rFonts w:ascii="Verdana" w:hAnsi="Verdana"/>
                <w:i/>
                <w:noProof/>
                <w:color w:val="000000"/>
                <w:sz w:val="18"/>
              </w:rPr>
              <w:t>Koszty rent i emerytur</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4BIPSPC"/>
              <w:jc w:val="right"/>
              <w:rPr>
                <w:rFonts w:ascii="Verdana" w:eastAsia="Verdana" w:hAnsi="Verdana" w:cs="Verdana"/>
                <w:i/>
                <w:noProof/>
                <w:color w:val="000000"/>
                <w:sz w:val="18"/>
              </w:rPr>
            </w:pPr>
            <w:r>
              <w:rPr>
                <w:rFonts w:ascii="Verdana" w:hAnsi="Verdana"/>
                <w:i/>
                <w:noProof/>
                <w:color w:val="000000"/>
                <w:sz w:val="18"/>
              </w:rPr>
              <w:t>4 674</w:t>
            </w:r>
          </w:p>
        </w:tc>
        <w:tc>
          <w:tcPr>
            <w:tcW w:w="1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4BIPSPC"/>
              <w:jc w:val="right"/>
              <w:rPr>
                <w:rFonts w:ascii="Verdana" w:eastAsia="Verdana" w:hAnsi="Verdana" w:cs="Verdana"/>
                <w:i/>
                <w:noProof/>
                <w:color w:val="000000"/>
                <w:sz w:val="18"/>
              </w:rPr>
            </w:pPr>
            <w:r>
              <w:rPr>
                <w:rFonts w:ascii="Verdana" w:hAnsi="Verdana"/>
                <w:i/>
                <w:noProof/>
                <w:color w:val="000000"/>
                <w:sz w:val="18"/>
              </w:rPr>
              <w:t>4 476</w:t>
            </w:r>
          </w:p>
        </w:tc>
      </w:tr>
      <w:tr w:rsidR="0043277E">
        <w:trPr>
          <w:trHeight w:val="255"/>
        </w:trPr>
        <w:tc>
          <w:tcPr>
            <w:tcW w:w="583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4BIPSPC"/>
              <w:rPr>
                <w:rFonts w:ascii="Verdana" w:eastAsia="Verdana" w:hAnsi="Verdana" w:cs="Verdana"/>
                <w:b/>
                <w:noProof/>
                <w:color w:val="000000"/>
                <w:sz w:val="18"/>
              </w:rPr>
            </w:pPr>
            <w:r>
              <w:rPr>
                <w:rFonts w:ascii="Verdana" w:hAnsi="Verdana"/>
                <w:b/>
                <w:noProof/>
                <w:color w:val="000000"/>
                <w:sz w:val="18"/>
              </w:rPr>
              <w:t>Ogółem</w:t>
            </w:r>
          </w:p>
        </w:tc>
        <w:tc>
          <w:tcPr>
            <w:tcW w:w="1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4BIPSPC"/>
              <w:jc w:val="right"/>
              <w:rPr>
                <w:rFonts w:ascii="Verdana" w:eastAsia="Verdana" w:hAnsi="Verdana" w:cs="Verdana"/>
                <w:b/>
                <w:noProof/>
                <w:color w:val="000000"/>
                <w:sz w:val="18"/>
              </w:rPr>
            </w:pPr>
            <w:r>
              <w:rPr>
                <w:rFonts w:ascii="Verdana" w:hAnsi="Verdana"/>
                <w:b/>
                <w:noProof/>
                <w:color w:val="000000"/>
                <w:sz w:val="18"/>
              </w:rPr>
              <w:t>11 366</w:t>
            </w:r>
          </w:p>
        </w:tc>
        <w:tc>
          <w:tcPr>
            <w:tcW w:w="1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4BIPSPC"/>
              <w:jc w:val="right"/>
              <w:rPr>
                <w:rFonts w:ascii="Verdana" w:eastAsia="Verdana" w:hAnsi="Verdana" w:cs="Verdana"/>
                <w:b/>
                <w:noProof/>
                <w:color w:val="000000"/>
                <w:sz w:val="18"/>
              </w:rPr>
            </w:pPr>
            <w:r>
              <w:rPr>
                <w:rFonts w:ascii="Verdana" w:hAnsi="Verdana"/>
                <w:b/>
                <w:noProof/>
                <w:color w:val="000000"/>
                <w:sz w:val="18"/>
              </w:rPr>
              <w:t>10 929</w:t>
            </w:r>
          </w:p>
        </w:tc>
      </w:tr>
    </w:tbl>
    <w:p w:rsidR="0043277E" w:rsidRDefault="000F2348">
      <w:pPr>
        <w:pStyle w:val="DGTextstand-alone"/>
        <w:spacing w:after="0"/>
      </w:pPr>
      <w:r>
        <w:t xml:space="preserve">Koszty rent i emerytur odnoszą się do tych elementów przepływów, które są skutkiem wyceny aktuarialnej zobowiązań z tytułu świadczeń pracowniczych różnych od założeń </w:t>
      </w:r>
      <w:r>
        <w:t>aktuarialnych. W związku z tym nie stanowią one faktycznych rocznych świadczeń emerytalnych i rentowych, które są znacznie niższe.</w:t>
      </w:r>
    </w:p>
    <w:bookmarkEnd w:id="123"/>
    <w:p w:rsidR="0043277E" w:rsidRDefault="0043277E">
      <w:pPr>
        <w:pStyle w:val="DGTextstand-alone"/>
        <w:spacing w:after="0"/>
        <w:sectPr w:rsidR="0043277E">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1134" w:right="1134" w:bottom="1134" w:left="1134" w:header="709" w:footer="709" w:gutter="0"/>
          <w:cols w:space="708"/>
          <w:docGrid w:linePitch="360"/>
        </w:sectPr>
      </w:pPr>
    </w:p>
    <w:p w:rsidR="0043277E" w:rsidRDefault="000F2348">
      <w:pPr>
        <w:pStyle w:val="HEADER2NOTES"/>
        <w:keepNext/>
        <w:rPr>
          <w:noProof/>
        </w:rPr>
      </w:pPr>
      <w:bookmarkStart w:id="125" w:name="_DMBM_17122"/>
      <w:r>
        <w:rPr>
          <w:noProof/>
        </w:rPr>
        <w:lastRenderedPageBreak/>
        <w:t xml:space="preserve">KOSZTY </w:t>
      </w:r>
      <w:r>
        <w:rPr>
          <w:noProof/>
        </w:rPr>
        <w:t>FINANSOWE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1626"/>
        <w:gridCol w:w="1626"/>
      </w:tblGrid>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2BIPFINEXP"/>
              <w:keepNext/>
              <w:rPr>
                <w:rFonts w:ascii="Arial" w:eastAsia="Arial" w:hAnsi="Arial" w:cs="Arial"/>
                <w:noProof/>
                <w:color w:val="000000"/>
              </w:rPr>
            </w:pPr>
            <w:bookmarkStart w:id="126" w:name="DOC_TBL00069_1_1"/>
            <w:bookmarkEnd w:id="126"/>
          </w:p>
        </w:tc>
        <w:tc>
          <w:tcPr>
            <w:tcW w:w="1620"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2BIPFINEXP"/>
              <w:keepNext/>
              <w:rPr>
                <w:rFonts w:ascii="Arial" w:eastAsia="Arial" w:hAnsi="Arial" w:cs="Arial"/>
                <w:noProof/>
                <w:color w:val="000000"/>
              </w:rPr>
            </w:pPr>
          </w:p>
        </w:tc>
        <w:tc>
          <w:tcPr>
            <w:tcW w:w="1620" w:type="dxa"/>
            <w:tcBorders>
              <w:top w:val="nil"/>
              <w:left w:val="nil"/>
              <w:bottom w:val="nil"/>
              <w:right w:val="nil"/>
              <w:tl2br w:val="nil"/>
              <w:tr2bl w:val="nil"/>
            </w:tcBorders>
            <w:shd w:val="solid" w:color="FFFFFF" w:fill="FFFFFF"/>
            <w:tcMar>
              <w:left w:w="60" w:type="dxa"/>
              <w:right w:w="60" w:type="dxa"/>
            </w:tcMar>
            <w:vAlign w:val="bottom"/>
          </w:tcPr>
          <w:p w:rsidR="0043277E" w:rsidRDefault="000F2348">
            <w:pPr>
              <w:pStyle w:val="DMETW17232BIPFINEXP"/>
              <w:keepNex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48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2BIPFINEXP"/>
              <w:keepNext/>
              <w:jc w:val="right"/>
              <w:rPr>
                <w:rFonts w:ascii="Verdana" w:eastAsia="Verdana" w:hAnsi="Verdana" w:cs="Verdana"/>
                <w:noProof/>
                <w:color w:val="FFFFFF"/>
                <w:sz w:val="18"/>
              </w:rPr>
            </w:pPr>
          </w:p>
        </w:tc>
        <w:tc>
          <w:tcPr>
            <w:tcW w:w="16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2BIPFINEXP"/>
              <w:keepNext/>
              <w:jc w:val="right"/>
              <w:rPr>
                <w:rFonts w:ascii="Verdana" w:eastAsia="Verdana" w:hAnsi="Verdana" w:cs="Verdana"/>
                <w:noProof/>
                <w:color w:val="FFFFFF"/>
              </w:rPr>
            </w:pPr>
            <w:r>
              <w:rPr>
                <w:rFonts w:ascii="Verdana" w:hAnsi="Verdana"/>
                <w:noProof/>
                <w:color w:val="FFFFFF"/>
              </w:rPr>
              <w:t>2019</w:t>
            </w:r>
          </w:p>
        </w:tc>
        <w:tc>
          <w:tcPr>
            <w:tcW w:w="16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2BIPFINEXP"/>
              <w:keepNext/>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keepNext/>
              <w:rPr>
                <w:rFonts w:ascii="Verdana" w:eastAsia="Verdana" w:hAnsi="Verdana" w:cs="Verdana"/>
                <w:i/>
                <w:noProof/>
                <w:color w:val="000000"/>
                <w:sz w:val="18"/>
              </w:rPr>
            </w:pPr>
            <w:r>
              <w:rPr>
                <w:rFonts w:ascii="Verdana" w:hAnsi="Verdana"/>
                <w:i/>
                <w:noProof/>
                <w:color w:val="000000"/>
                <w:sz w:val="18"/>
              </w:rPr>
              <w:t>Koszty odsetkowe:</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32BIPFINEXP"/>
              <w:keepNext/>
              <w:jc w:val="right"/>
              <w:rPr>
                <w:rFonts w:ascii="Verdana" w:eastAsia="Verdana" w:hAnsi="Verdana" w:cs="Verdana"/>
                <w:i/>
                <w:noProof/>
                <w:color w:val="000000"/>
                <w:sz w:val="18"/>
              </w:rPr>
            </w:pP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32BIPFINEXP"/>
              <w:keepNext/>
              <w:jc w:val="right"/>
              <w:rPr>
                <w:rFonts w:ascii="Verdana" w:eastAsia="Verdana" w:hAnsi="Verdana" w:cs="Verdana"/>
                <w:i/>
                <w:noProof/>
                <w:color w:val="000000"/>
                <w:sz w:val="18"/>
                <w:lang w:bidi="en-GB"/>
              </w:rPr>
            </w:pP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keepNext/>
              <w:rPr>
                <w:rFonts w:ascii="Verdana" w:eastAsia="Verdana" w:hAnsi="Verdana" w:cs="Verdana"/>
                <w:i/>
                <w:noProof/>
                <w:color w:val="000000"/>
                <w:sz w:val="18"/>
              </w:rPr>
            </w:pPr>
            <w:r>
              <w:rPr>
                <w:rFonts w:ascii="Verdana" w:hAnsi="Verdana"/>
                <w:i/>
                <w:noProof/>
                <w:color w:val="000000"/>
                <w:sz w:val="18"/>
              </w:rPr>
              <w:t xml:space="preserve">     Zaciągnięte pożyczki</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keepNext/>
              <w:jc w:val="right"/>
              <w:rPr>
                <w:rFonts w:ascii="Verdana" w:eastAsia="Verdana" w:hAnsi="Verdana" w:cs="Verdana"/>
                <w:i/>
                <w:noProof/>
                <w:color w:val="000000"/>
                <w:sz w:val="18"/>
              </w:rPr>
            </w:pPr>
            <w:r>
              <w:rPr>
                <w:rFonts w:ascii="Verdana" w:hAnsi="Verdana"/>
                <w:i/>
                <w:noProof/>
                <w:color w:val="000000"/>
                <w:sz w:val="18"/>
              </w:rPr>
              <w:t>1 174</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keepNext/>
              <w:jc w:val="right"/>
              <w:rPr>
                <w:rFonts w:ascii="Verdana" w:eastAsia="Verdana" w:hAnsi="Verdana" w:cs="Verdana"/>
                <w:i/>
                <w:noProof/>
                <w:color w:val="000000"/>
                <w:sz w:val="18"/>
              </w:rPr>
            </w:pPr>
            <w:r>
              <w:rPr>
                <w:rFonts w:ascii="Verdana" w:hAnsi="Verdana"/>
                <w:i/>
                <w:noProof/>
                <w:color w:val="000000"/>
                <w:sz w:val="18"/>
              </w:rPr>
              <w:t>1 260</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keepNext/>
              <w:rPr>
                <w:rFonts w:ascii="Verdana" w:eastAsia="Verdana" w:hAnsi="Verdana" w:cs="Verdana"/>
                <w:i/>
                <w:noProof/>
                <w:color w:val="000000"/>
                <w:sz w:val="18"/>
              </w:rPr>
            </w:pPr>
            <w:r>
              <w:rPr>
                <w:rFonts w:ascii="Verdana" w:hAnsi="Verdana"/>
                <w:i/>
                <w:noProof/>
                <w:color w:val="000000"/>
                <w:sz w:val="18"/>
              </w:rPr>
              <w:t xml:space="preserve">     Inne</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keepNext/>
              <w:jc w:val="right"/>
              <w:rPr>
                <w:rFonts w:ascii="Verdana" w:eastAsia="Verdana" w:hAnsi="Verdana" w:cs="Verdana"/>
                <w:i/>
                <w:noProof/>
                <w:color w:val="000000"/>
                <w:sz w:val="18"/>
              </w:rPr>
            </w:pPr>
            <w:r>
              <w:rPr>
                <w:rFonts w:ascii="Verdana" w:hAnsi="Verdana"/>
                <w:i/>
                <w:noProof/>
                <w:color w:val="000000"/>
                <w:sz w:val="18"/>
              </w:rPr>
              <w:t xml:space="preserve"> 23</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keepNext/>
              <w:jc w:val="right"/>
              <w:rPr>
                <w:rFonts w:ascii="Verdana" w:eastAsia="Verdana" w:hAnsi="Verdana" w:cs="Verdana"/>
                <w:i/>
                <w:noProof/>
                <w:color w:val="000000"/>
                <w:sz w:val="18"/>
              </w:rPr>
            </w:pPr>
            <w:r>
              <w:rPr>
                <w:rFonts w:ascii="Verdana" w:hAnsi="Verdana"/>
                <w:i/>
                <w:noProof/>
                <w:color w:val="000000"/>
                <w:sz w:val="18"/>
              </w:rPr>
              <w:t xml:space="preserve"> 26</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rPr>
                <w:rFonts w:ascii="Verdana" w:eastAsia="Verdana" w:hAnsi="Verdana" w:cs="Verdana"/>
                <w:i/>
                <w:noProof/>
                <w:color w:val="000000"/>
                <w:sz w:val="18"/>
              </w:rPr>
            </w:pPr>
            <w:r>
              <w:rPr>
                <w:rFonts w:ascii="Verdana" w:hAnsi="Verdana"/>
                <w:i/>
                <w:noProof/>
                <w:color w:val="000000"/>
                <w:sz w:val="18"/>
              </w:rPr>
              <w:t>Straty z tytułu utraty wartości pożyczek i należności</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105</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126</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rPr>
                <w:rFonts w:ascii="Verdana" w:eastAsia="Verdana" w:hAnsi="Verdana" w:cs="Verdana"/>
                <w:i/>
                <w:noProof/>
                <w:color w:val="000000"/>
                <w:sz w:val="18"/>
              </w:rPr>
            </w:pPr>
            <w:r>
              <w:rPr>
                <w:rFonts w:ascii="Verdana" w:hAnsi="Verdana"/>
                <w:i/>
                <w:noProof/>
                <w:color w:val="000000"/>
                <w:sz w:val="18"/>
              </w:rPr>
              <w:t xml:space="preserve">Straty z aktywów i zobowiązań finansowych wycenianych według wartości </w:t>
            </w:r>
            <w:r>
              <w:rPr>
                <w:rFonts w:ascii="Verdana" w:hAnsi="Verdana"/>
                <w:i/>
                <w:noProof/>
                <w:color w:val="000000"/>
                <w:sz w:val="18"/>
              </w:rPr>
              <w:t>godziwej przez nadwyżkę lub deficyt</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57</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95</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rPr>
                <w:rFonts w:ascii="Verdana" w:eastAsia="Verdana" w:hAnsi="Verdana" w:cs="Verdana"/>
                <w:i/>
                <w:noProof/>
                <w:color w:val="000000"/>
                <w:sz w:val="18"/>
              </w:rPr>
            </w:pPr>
            <w:r>
              <w:rPr>
                <w:rFonts w:ascii="Verdana" w:hAnsi="Verdana"/>
                <w:i/>
                <w:noProof/>
                <w:color w:val="000000"/>
                <w:sz w:val="18"/>
              </w:rPr>
              <w:t>Leasing finansowy</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70</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73</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rPr>
                <w:rFonts w:ascii="Verdana" w:eastAsia="Verdana" w:hAnsi="Verdana" w:cs="Verdana"/>
                <w:i/>
                <w:noProof/>
                <w:color w:val="000000"/>
                <w:sz w:val="18"/>
              </w:rPr>
            </w:pPr>
            <w:r>
              <w:rPr>
                <w:rFonts w:ascii="Verdana" w:hAnsi="Verdana"/>
                <w:i/>
                <w:noProof/>
                <w:color w:val="000000"/>
                <w:sz w:val="18"/>
              </w:rPr>
              <w:t>Straty z tytułu utraty wartości aktywów finansowych dostępnych do sprzedaży</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19</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25</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rPr>
                <w:rFonts w:ascii="Verdana" w:eastAsia="Verdana" w:hAnsi="Verdana" w:cs="Verdana"/>
                <w:i/>
                <w:noProof/>
                <w:color w:val="000000"/>
                <w:sz w:val="18"/>
              </w:rPr>
            </w:pPr>
            <w:r>
              <w:rPr>
                <w:rFonts w:ascii="Verdana" w:hAnsi="Verdana"/>
                <w:i/>
                <w:noProof/>
                <w:color w:val="000000"/>
                <w:sz w:val="18"/>
              </w:rPr>
              <w:t>Poniesiona strata z aktywów finansowych dostępnych do sprzedaży</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7</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21</w:t>
            </w:r>
          </w:p>
        </w:tc>
      </w:tr>
      <w:tr w:rsidR="0043277E">
        <w:trPr>
          <w:trHeight w:val="255"/>
        </w:trPr>
        <w:tc>
          <w:tcPr>
            <w:tcW w:w="64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rPr>
                <w:rFonts w:ascii="Verdana" w:eastAsia="Verdana" w:hAnsi="Verdana" w:cs="Verdana"/>
                <w:i/>
                <w:noProof/>
                <w:color w:val="000000"/>
                <w:sz w:val="18"/>
              </w:rPr>
            </w:pPr>
            <w:r>
              <w:rPr>
                <w:rFonts w:ascii="Verdana" w:hAnsi="Verdana"/>
                <w:i/>
                <w:noProof/>
                <w:color w:val="000000"/>
                <w:sz w:val="18"/>
              </w:rPr>
              <w:t xml:space="preserve">Inne </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36</w:t>
            </w:r>
          </w:p>
        </w:tc>
        <w:tc>
          <w:tcPr>
            <w:tcW w:w="162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2BIPFINEXP"/>
              <w:jc w:val="right"/>
              <w:rPr>
                <w:rFonts w:ascii="Verdana" w:eastAsia="Verdana" w:hAnsi="Verdana" w:cs="Verdana"/>
                <w:i/>
                <w:noProof/>
                <w:color w:val="000000"/>
                <w:sz w:val="18"/>
              </w:rPr>
            </w:pPr>
            <w:r>
              <w:rPr>
                <w:rFonts w:ascii="Verdana" w:hAnsi="Verdana"/>
                <w:i/>
                <w:noProof/>
                <w:color w:val="000000"/>
                <w:sz w:val="18"/>
              </w:rPr>
              <w:t xml:space="preserve"> 50</w:t>
            </w:r>
          </w:p>
        </w:tc>
      </w:tr>
      <w:tr w:rsidR="0043277E">
        <w:trPr>
          <w:trHeight w:val="255"/>
        </w:trPr>
        <w:tc>
          <w:tcPr>
            <w:tcW w:w="64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2BIPFINEXP"/>
              <w:rPr>
                <w:rFonts w:ascii="Verdana" w:eastAsia="Verdana" w:hAnsi="Verdana" w:cs="Verdana"/>
                <w:b/>
                <w:noProof/>
                <w:color w:val="000000"/>
                <w:sz w:val="18"/>
              </w:rPr>
            </w:pPr>
            <w:r>
              <w:rPr>
                <w:rFonts w:ascii="Verdana" w:hAnsi="Verdana"/>
                <w:b/>
                <w:noProof/>
                <w:color w:val="000000"/>
                <w:sz w:val="18"/>
              </w:rPr>
              <w:t>Ogółem</w:t>
            </w:r>
          </w:p>
        </w:tc>
        <w:tc>
          <w:tcPr>
            <w:tcW w:w="16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2BIPFINEXP"/>
              <w:jc w:val="right"/>
              <w:rPr>
                <w:rFonts w:ascii="Verdana" w:eastAsia="Verdana" w:hAnsi="Verdana" w:cs="Verdana"/>
                <w:b/>
                <w:noProof/>
                <w:color w:val="000000"/>
                <w:sz w:val="18"/>
              </w:rPr>
            </w:pPr>
            <w:r>
              <w:rPr>
                <w:rFonts w:ascii="Verdana" w:hAnsi="Verdana"/>
                <w:b/>
                <w:noProof/>
                <w:color w:val="000000"/>
                <w:sz w:val="18"/>
              </w:rPr>
              <w:t>1 491</w:t>
            </w:r>
          </w:p>
        </w:tc>
        <w:tc>
          <w:tcPr>
            <w:tcW w:w="16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2BIPFINEXP"/>
              <w:jc w:val="right"/>
              <w:rPr>
                <w:rFonts w:ascii="Verdana" w:eastAsia="Verdana" w:hAnsi="Verdana" w:cs="Verdana"/>
                <w:b/>
                <w:noProof/>
                <w:color w:val="000000"/>
                <w:sz w:val="18"/>
              </w:rPr>
            </w:pPr>
            <w:r>
              <w:rPr>
                <w:rFonts w:ascii="Verdana" w:hAnsi="Verdana"/>
                <w:b/>
                <w:noProof/>
                <w:color w:val="000000"/>
                <w:sz w:val="18"/>
              </w:rPr>
              <w:t>1 677</w:t>
            </w:r>
          </w:p>
        </w:tc>
      </w:tr>
    </w:tbl>
    <w:p w:rsidR="0043277E" w:rsidRDefault="000F2348">
      <w:pPr>
        <w:pStyle w:val="DGTextstand-alone"/>
        <w:spacing w:after="0"/>
      </w:pPr>
      <w:r>
        <w:t>Kwota kosztów odsetkowych z tytułu zaciągniętych pożyczek odpowiada głównie dochodom z odsetek od pożyczek udzielonych na pomoc finansową (transakcje typu back-to-back).</w:t>
      </w:r>
    </w:p>
    <w:p w:rsidR="0043277E" w:rsidRDefault="000F2348">
      <w:pPr>
        <w:pStyle w:val="DGTextstand-alone"/>
        <w:spacing w:after="0"/>
        <w:sectPr w:rsidR="0043277E">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1134" w:right="1134" w:bottom="1134" w:left="1134" w:header="709" w:footer="709" w:gutter="0"/>
          <w:cols w:space="708"/>
          <w:docGrid w:linePitch="360"/>
        </w:sectPr>
      </w:pPr>
      <w:r>
        <w:t xml:space="preserve"> </w:t>
      </w:r>
      <w:bookmarkEnd w:id="125"/>
    </w:p>
    <w:p w:rsidR="0043277E" w:rsidRDefault="000F2348">
      <w:pPr>
        <w:rPr>
          <w:rFonts w:ascii="Verdana" w:hAnsi="Verdana"/>
          <w:b/>
          <w:noProof/>
          <w:color w:val="016794"/>
          <w:sz w:val="28"/>
          <w:szCs w:val="28"/>
        </w:rPr>
      </w:pPr>
      <w:bookmarkStart w:id="127" w:name="_DMBM_17155"/>
      <w:r>
        <w:rPr>
          <w:noProof/>
        </w:rPr>
        <w:br w:type="page"/>
      </w:r>
    </w:p>
    <w:p w:rsidR="0043277E" w:rsidRDefault="000F2348">
      <w:pPr>
        <w:pStyle w:val="HEADER2NOTES"/>
        <w:spacing w:before="0"/>
        <w:rPr>
          <w:noProof/>
        </w:rPr>
      </w:pPr>
      <w:r>
        <w:rPr>
          <w:noProof/>
        </w:rPr>
        <w:lastRenderedPageBreak/>
        <w:t>INNE KOSZTY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3BIPOE"/>
              <w:rPr>
                <w:rFonts w:ascii="Arial" w:eastAsia="Arial" w:hAnsi="Arial" w:cs="Arial"/>
                <w:noProof/>
                <w:color w:val="000000"/>
              </w:rPr>
            </w:pPr>
            <w:bookmarkStart w:id="128" w:name="DOC_TBL00070_1_1"/>
            <w:bookmarkEnd w:id="128"/>
          </w:p>
        </w:tc>
        <w:tc>
          <w:tcPr>
            <w:tcW w:w="150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3BIPOE"/>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3BIPO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3BIPOE"/>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3BIPOE"/>
              <w:jc w:val="right"/>
              <w:rPr>
                <w:rFonts w:ascii="Verdana" w:eastAsia="Verdana" w:hAnsi="Verdana" w:cs="Verdana"/>
                <w:noProof/>
                <w:color w:val="FFFFFF"/>
              </w:rPr>
            </w:pPr>
            <w:r>
              <w:rPr>
                <w:rFonts w:ascii="Verdana" w:hAnsi="Verdana"/>
                <w:noProof/>
                <w:color w:val="FFFFFF"/>
              </w:rPr>
              <w:t>2019</w:t>
            </w: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3BIPOE"/>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rPr>
                <w:rFonts w:ascii="Verdana" w:eastAsia="Verdana" w:hAnsi="Verdana" w:cs="Verdana"/>
                <w:i/>
                <w:noProof/>
                <w:color w:val="000000"/>
                <w:sz w:val="18"/>
              </w:rPr>
            </w:pPr>
            <w:r>
              <w:rPr>
                <w:rFonts w:ascii="Verdana" w:hAnsi="Verdana"/>
                <w:i/>
                <w:noProof/>
                <w:color w:val="000000"/>
                <w:sz w:val="18"/>
              </w:rPr>
              <w:t>Koszty administracyjne i informatyczne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2 540</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2 313</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rPr>
                <w:rFonts w:ascii="Verdana" w:eastAsia="Verdana" w:hAnsi="Verdana" w:cs="Verdana"/>
                <w:i/>
                <w:noProof/>
                <w:color w:val="000000"/>
                <w:sz w:val="18"/>
              </w:rPr>
            </w:pPr>
            <w:r>
              <w:rPr>
                <w:rFonts w:ascii="Verdana" w:hAnsi="Verdana"/>
                <w:i/>
                <w:noProof/>
                <w:color w:val="000000"/>
                <w:sz w:val="18"/>
              </w:rPr>
              <w:t>Koszty związane z aktywami trwałymi</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1 630</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1 608</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rPr>
                <w:rFonts w:ascii="Verdana" w:eastAsia="Verdana" w:hAnsi="Verdana" w:cs="Verdana"/>
                <w:i/>
                <w:noProof/>
                <w:color w:val="000000"/>
                <w:sz w:val="18"/>
              </w:rPr>
            </w:pPr>
            <w:r>
              <w:rPr>
                <w:rFonts w:ascii="Verdana" w:hAnsi="Verdana"/>
                <w:i/>
                <w:noProof/>
                <w:color w:val="000000"/>
                <w:sz w:val="18"/>
              </w:rPr>
              <w:t>Dostosowania rezerw</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1 294</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923</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rPr>
                <w:rFonts w:ascii="Verdana" w:eastAsia="Verdana" w:hAnsi="Verdana" w:cs="Verdana"/>
                <w:i/>
                <w:noProof/>
                <w:color w:val="000000"/>
                <w:sz w:val="18"/>
              </w:rPr>
            </w:pPr>
            <w:r>
              <w:rPr>
                <w:rFonts w:ascii="Verdana" w:hAnsi="Verdana"/>
                <w:i/>
                <w:noProof/>
                <w:color w:val="000000"/>
                <w:sz w:val="18"/>
              </w:rPr>
              <w:t>Ujemne różnice kursowe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343</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341</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rPr>
                <w:rFonts w:ascii="Verdana" w:eastAsia="Verdana" w:hAnsi="Verdana" w:cs="Verdana"/>
                <w:i/>
                <w:noProof/>
                <w:color w:val="000000"/>
                <w:sz w:val="18"/>
              </w:rPr>
            </w:pPr>
            <w:r>
              <w:rPr>
                <w:rFonts w:ascii="Verdana" w:hAnsi="Verdana"/>
                <w:i/>
                <w:noProof/>
                <w:color w:val="000000"/>
                <w:sz w:val="18"/>
              </w:rPr>
              <w:t>Koszty leasingu operacyjnego</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442</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424</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rPr>
                <w:rFonts w:ascii="Verdana" w:eastAsia="Verdana" w:hAnsi="Verdana" w:cs="Verdana"/>
                <w:i/>
                <w:noProof/>
                <w:color w:val="000000"/>
                <w:sz w:val="18"/>
              </w:rPr>
            </w:pPr>
            <w:r>
              <w:rPr>
                <w:rFonts w:ascii="Verdana" w:hAnsi="Verdana"/>
                <w:i/>
                <w:noProof/>
                <w:color w:val="000000"/>
                <w:sz w:val="18"/>
              </w:rPr>
              <w:t>Zmniejszenie grzywien przez Trybunał Sprawiedliwości</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91</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1</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rPr>
                <w:rFonts w:ascii="Verdana" w:eastAsia="Verdana" w:hAnsi="Verdana" w:cs="Verdana"/>
                <w:i/>
                <w:noProof/>
                <w:color w:val="000000"/>
                <w:sz w:val="18"/>
              </w:rPr>
            </w:pPr>
            <w:r>
              <w:rPr>
                <w:rFonts w:ascii="Verdana" w:hAnsi="Verdana"/>
                <w:i/>
                <w:noProof/>
                <w:color w:val="000000"/>
                <w:sz w:val="18"/>
              </w:rPr>
              <w:t>Inne</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769</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OE"/>
              <w:jc w:val="right"/>
              <w:rPr>
                <w:rFonts w:ascii="Verdana" w:eastAsia="Verdana" w:hAnsi="Verdana" w:cs="Verdana"/>
                <w:i/>
                <w:noProof/>
                <w:color w:val="000000"/>
                <w:sz w:val="18"/>
              </w:rPr>
            </w:pPr>
            <w:r>
              <w:rPr>
                <w:rFonts w:ascii="Verdana" w:hAnsi="Verdana"/>
                <w:i/>
                <w:noProof/>
                <w:color w:val="000000"/>
                <w:sz w:val="18"/>
              </w:rPr>
              <w:t xml:space="preserve"> 598</w:t>
            </w:r>
          </w:p>
        </w:tc>
      </w:tr>
      <w:tr w:rsidR="0043277E">
        <w:trPr>
          <w:trHeight w:val="255"/>
        </w:trPr>
        <w:tc>
          <w:tcPr>
            <w:tcW w:w="674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3BIPOE"/>
              <w:rPr>
                <w:rFonts w:ascii="Verdana" w:eastAsia="Verdana" w:hAnsi="Verdana" w:cs="Verdana"/>
                <w:b/>
                <w:noProof/>
                <w:color w:val="000000"/>
                <w:sz w:val="18"/>
              </w:rPr>
            </w:pPr>
            <w:r>
              <w:rPr>
                <w:rFonts w:ascii="Verdana" w:hAnsi="Verdana"/>
                <w:b/>
                <w:noProof/>
                <w:color w:val="000000"/>
                <w:sz w:val="18"/>
              </w:rPr>
              <w:t>Ogółem</w:t>
            </w:r>
          </w:p>
        </w:tc>
        <w:tc>
          <w:tcPr>
            <w:tcW w:w="150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3BIPOE"/>
              <w:jc w:val="right"/>
              <w:rPr>
                <w:rFonts w:ascii="Verdana" w:eastAsia="Verdana" w:hAnsi="Verdana" w:cs="Verdana"/>
                <w:b/>
                <w:noProof/>
                <w:color w:val="000000"/>
                <w:sz w:val="18"/>
              </w:rPr>
            </w:pPr>
            <w:r>
              <w:rPr>
                <w:rFonts w:ascii="Verdana" w:hAnsi="Verdana"/>
                <w:b/>
                <w:noProof/>
                <w:color w:val="000000"/>
                <w:sz w:val="18"/>
              </w:rPr>
              <w:t>7 109</w:t>
            </w:r>
          </w:p>
        </w:tc>
        <w:tc>
          <w:tcPr>
            <w:tcW w:w="150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3BIPOE"/>
              <w:jc w:val="right"/>
              <w:rPr>
                <w:rFonts w:ascii="Verdana" w:eastAsia="Verdana" w:hAnsi="Verdana" w:cs="Verdana"/>
                <w:b/>
                <w:noProof/>
                <w:color w:val="000000"/>
                <w:sz w:val="18"/>
              </w:rPr>
            </w:pPr>
            <w:r>
              <w:rPr>
                <w:rFonts w:ascii="Verdana" w:hAnsi="Verdana"/>
                <w:b/>
                <w:noProof/>
                <w:color w:val="000000"/>
                <w:sz w:val="18"/>
              </w:rPr>
              <w:t>6 208</w:t>
            </w:r>
          </w:p>
        </w:tc>
      </w:tr>
    </w:tbl>
    <w:p w:rsidR="0043277E" w:rsidRDefault="000F2348">
      <w:pPr>
        <w:pStyle w:val="DGTextstand-alone"/>
      </w:pPr>
      <w:r>
        <w:t xml:space="preserve">Koszty związane z badaniami i rozwojem zostały ujęte w kosztach administracyjnych i informatycznych; </w:t>
      </w:r>
      <w:r>
        <w:t>przedstawiają się one następująco: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3BIPRD"/>
              <w:rPr>
                <w:rFonts w:ascii="Arial" w:eastAsia="Arial" w:hAnsi="Arial" w:cs="Arial"/>
                <w:noProof/>
                <w:color w:val="000000"/>
              </w:rPr>
            </w:pPr>
            <w:bookmarkStart w:id="129" w:name="DOC_TBL00071_1_1"/>
            <w:bookmarkEnd w:id="129"/>
          </w:p>
        </w:tc>
        <w:tc>
          <w:tcPr>
            <w:tcW w:w="150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3BIPRD"/>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3BIPRD"/>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3BIPRD"/>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3BIPRD"/>
              <w:jc w:val="right"/>
              <w:rPr>
                <w:rFonts w:ascii="Verdana" w:eastAsia="Verdana" w:hAnsi="Verdana" w:cs="Verdana"/>
                <w:noProof/>
                <w:color w:val="FFFFFF"/>
              </w:rPr>
            </w:pPr>
            <w:r>
              <w:rPr>
                <w:rFonts w:ascii="Verdana" w:hAnsi="Verdana"/>
                <w:noProof/>
                <w:color w:val="FFFFFF"/>
              </w:rPr>
              <w:t>2019</w:t>
            </w:r>
          </w:p>
        </w:tc>
        <w:tc>
          <w:tcPr>
            <w:tcW w:w="150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3BIPRD"/>
              <w:jc w:val="right"/>
              <w:rPr>
                <w:rFonts w:ascii="Verdana" w:eastAsia="Verdana" w:hAnsi="Verdana" w:cs="Verdana"/>
                <w:noProof/>
                <w:color w:val="FFFFFF"/>
              </w:rPr>
            </w:pPr>
            <w:r>
              <w:rPr>
                <w:rFonts w:ascii="Verdana" w:hAnsi="Verdana"/>
                <w:noProof/>
                <w:color w:val="FFFFFF"/>
              </w:rPr>
              <w:t>2018</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RD"/>
              <w:rPr>
                <w:rFonts w:ascii="Verdana" w:eastAsia="Verdana" w:hAnsi="Verdana" w:cs="Verdana"/>
                <w:i/>
                <w:noProof/>
                <w:color w:val="000000"/>
                <w:sz w:val="18"/>
              </w:rPr>
            </w:pPr>
            <w:r>
              <w:rPr>
                <w:rFonts w:ascii="Verdana" w:hAnsi="Verdana"/>
                <w:i/>
                <w:noProof/>
                <w:color w:val="000000"/>
                <w:sz w:val="18"/>
              </w:rPr>
              <w:t>Koszty prac badawczych</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RD"/>
              <w:jc w:val="right"/>
              <w:rPr>
                <w:rFonts w:ascii="Verdana" w:eastAsia="Verdana" w:hAnsi="Verdana" w:cs="Verdana"/>
                <w:i/>
                <w:noProof/>
                <w:color w:val="000000"/>
                <w:sz w:val="18"/>
              </w:rPr>
            </w:pPr>
            <w:r>
              <w:rPr>
                <w:rFonts w:ascii="Verdana" w:hAnsi="Verdana"/>
                <w:i/>
                <w:noProof/>
                <w:color w:val="000000"/>
                <w:sz w:val="18"/>
              </w:rPr>
              <w:t xml:space="preserve"> 398</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RD"/>
              <w:jc w:val="right"/>
              <w:rPr>
                <w:rFonts w:ascii="Verdana" w:eastAsia="Verdana" w:hAnsi="Verdana" w:cs="Verdana"/>
                <w:i/>
                <w:noProof/>
                <w:color w:val="000000"/>
                <w:sz w:val="18"/>
              </w:rPr>
            </w:pPr>
            <w:r>
              <w:rPr>
                <w:rFonts w:ascii="Verdana" w:hAnsi="Verdana"/>
                <w:i/>
                <w:noProof/>
                <w:color w:val="000000"/>
                <w:sz w:val="18"/>
              </w:rPr>
              <w:t xml:space="preserve"> 385</w:t>
            </w:r>
          </w:p>
        </w:tc>
      </w:tr>
      <w:tr w:rsidR="0043277E">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RD"/>
              <w:rPr>
                <w:rFonts w:ascii="Verdana" w:eastAsia="Verdana" w:hAnsi="Verdana" w:cs="Verdana"/>
                <w:i/>
                <w:noProof/>
                <w:color w:val="000000"/>
                <w:sz w:val="18"/>
              </w:rPr>
            </w:pPr>
            <w:r>
              <w:rPr>
                <w:rFonts w:ascii="Verdana" w:hAnsi="Verdana"/>
                <w:i/>
                <w:noProof/>
                <w:color w:val="000000"/>
                <w:sz w:val="18"/>
              </w:rPr>
              <w:t>Niekapitalizowane koszty prac rozwojowych</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RD"/>
              <w:jc w:val="right"/>
              <w:rPr>
                <w:rFonts w:ascii="Verdana" w:eastAsia="Verdana" w:hAnsi="Verdana" w:cs="Verdana"/>
                <w:i/>
                <w:noProof/>
                <w:color w:val="000000"/>
                <w:sz w:val="18"/>
              </w:rPr>
            </w:pPr>
            <w:r>
              <w:rPr>
                <w:rFonts w:ascii="Verdana" w:hAnsi="Verdana"/>
                <w:i/>
                <w:noProof/>
                <w:color w:val="000000"/>
                <w:sz w:val="18"/>
              </w:rPr>
              <w:t xml:space="preserve"> 119</w:t>
            </w:r>
          </w:p>
        </w:tc>
        <w:tc>
          <w:tcPr>
            <w:tcW w:w="150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3BIPRD"/>
              <w:jc w:val="right"/>
              <w:rPr>
                <w:rFonts w:ascii="Verdana" w:eastAsia="Verdana" w:hAnsi="Verdana" w:cs="Verdana"/>
                <w:i/>
                <w:noProof/>
                <w:color w:val="000000"/>
                <w:sz w:val="18"/>
              </w:rPr>
            </w:pPr>
            <w:r>
              <w:rPr>
                <w:rFonts w:ascii="Verdana" w:hAnsi="Verdana"/>
                <w:i/>
                <w:noProof/>
                <w:color w:val="000000"/>
                <w:sz w:val="18"/>
              </w:rPr>
              <w:t xml:space="preserve"> 106</w:t>
            </w:r>
          </w:p>
        </w:tc>
      </w:tr>
      <w:tr w:rsidR="0043277E">
        <w:trPr>
          <w:trHeight w:val="255"/>
        </w:trPr>
        <w:tc>
          <w:tcPr>
            <w:tcW w:w="67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3BIPRD"/>
              <w:rPr>
                <w:rFonts w:ascii="Verdana" w:eastAsia="Verdana" w:hAnsi="Verdana" w:cs="Verdana"/>
                <w:b/>
                <w:noProof/>
                <w:color w:val="000000"/>
                <w:sz w:val="18"/>
              </w:rPr>
            </w:pPr>
            <w:r>
              <w:rPr>
                <w:rFonts w:ascii="Verdana" w:hAnsi="Verdana"/>
                <w:b/>
                <w:noProof/>
                <w:color w:val="000000"/>
                <w:sz w:val="18"/>
              </w:rPr>
              <w:t>Ogółem</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3BIPRD"/>
              <w:jc w:val="right"/>
              <w:rPr>
                <w:rFonts w:ascii="Verdana" w:eastAsia="Verdana" w:hAnsi="Verdana" w:cs="Verdana"/>
                <w:b/>
                <w:noProof/>
                <w:color w:val="000000"/>
                <w:sz w:val="18"/>
              </w:rPr>
            </w:pPr>
            <w:r>
              <w:rPr>
                <w:rFonts w:ascii="Verdana" w:hAnsi="Verdana"/>
                <w:b/>
                <w:noProof/>
                <w:color w:val="000000"/>
                <w:sz w:val="18"/>
              </w:rPr>
              <w:t xml:space="preserve"> 517</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3BIPRD"/>
              <w:jc w:val="right"/>
              <w:rPr>
                <w:rFonts w:ascii="Verdana" w:eastAsia="Verdana" w:hAnsi="Verdana" w:cs="Verdana"/>
                <w:b/>
                <w:noProof/>
                <w:color w:val="000000"/>
                <w:sz w:val="18"/>
              </w:rPr>
            </w:pPr>
            <w:r>
              <w:rPr>
                <w:rFonts w:ascii="Verdana" w:hAnsi="Verdana"/>
                <w:b/>
                <w:noProof/>
                <w:color w:val="000000"/>
                <w:sz w:val="18"/>
              </w:rPr>
              <w:t xml:space="preserve"> 491</w:t>
            </w:r>
          </w:p>
        </w:tc>
      </w:tr>
    </w:tbl>
    <w:p w:rsidR="0043277E" w:rsidRDefault="000F2348">
      <w:pPr>
        <w:pStyle w:val="DGTextstand-alone"/>
        <w:spacing w:before="0" w:after="0"/>
        <w:sectPr w:rsidR="0043277E">
          <w:headerReference w:type="even" r:id="rId251"/>
          <w:headerReference w:type="default" r:id="rId252"/>
          <w:footerReference w:type="even" r:id="rId253"/>
          <w:footerReference w:type="default" r:id="rId254"/>
          <w:headerReference w:type="first" r:id="rId255"/>
          <w:footerReference w:type="first" r:id="rId256"/>
          <w:type w:val="continuous"/>
          <w:pgSz w:w="11906" w:h="16838"/>
          <w:pgMar w:top="1134" w:right="1134" w:bottom="1134" w:left="1134" w:header="709" w:footer="709" w:gutter="0"/>
          <w:cols w:space="708"/>
          <w:docGrid w:linePitch="360"/>
        </w:sectPr>
      </w:pPr>
      <w:r>
        <w:t xml:space="preserve"> </w:t>
      </w:r>
      <w:bookmarkEnd w:id="127"/>
    </w:p>
    <w:p w:rsidR="0043277E" w:rsidRDefault="000F2348">
      <w:pPr>
        <w:pStyle w:val="HEADER2NOTES"/>
        <w:rPr>
          <w:noProof/>
        </w:rPr>
      </w:pPr>
      <w:bookmarkStart w:id="130" w:name="_DMBM_17171"/>
      <w:r>
        <w:rPr>
          <w:noProof/>
        </w:rPr>
        <w:lastRenderedPageBreak/>
        <w:t>SPRAWOZDAWCZOŚĆ DOTYCZĄCA SEGMENTÓW DZIAŁALNOŚCI WEDŁUG DZIAŁÓW WIELOLETNICH RAM FINANSOWYCH (WRF)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2"/>
        <w:gridCol w:w="1670"/>
        <w:gridCol w:w="1427"/>
        <w:gridCol w:w="1468"/>
        <w:gridCol w:w="1077"/>
        <w:gridCol w:w="1304"/>
        <w:gridCol w:w="1670"/>
        <w:gridCol w:w="1102"/>
      </w:tblGrid>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4BIPSEGREP"/>
              <w:rPr>
                <w:rFonts w:ascii="Arial" w:eastAsia="Arial" w:hAnsi="Arial" w:cs="Arial"/>
                <w:noProof/>
                <w:color w:val="000000"/>
              </w:rPr>
            </w:pPr>
            <w:bookmarkStart w:id="131" w:name="DOC_TBL00072_1_1"/>
            <w:bookmarkEnd w:id="131"/>
          </w:p>
        </w:tc>
        <w:tc>
          <w:tcPr>
            <w:tcW w:w="163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4BIPSEGREP"/>
              <w:rPr>
                <w:rFonts w:ascii="Arial" w:eastAsia="Arial" w:hAnsi="Arial" w:cs="Arial"/>
                <w:noProof/>
                <w:color w:val="000000"/>
              </w:rPr>
            </w:pPr>
          </w:p>
        </w:tc>
        <w:tc>
          <w:tcPr>
            <w:tcW w:w="139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4BIPSEGREP"/>
              <w:rPr>
                <w:rFonts w:ascii="Arial" w:eastAsia="Arial" w:hAnsi="Arial" w:cs="Arial"/>
                <w:noProof/>
                <w:color w:val="000000"/>
              </w:rPr>
            </w:pPr>
          </w:p>
        </w:tc>
        <w:tc>
          <w:tcPr>
            <w:tcW w:w="143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4BIPSEGREP"/>
              <w:rPr>
                <w:rFonts w:ascii="Arial" w:eastAsia="Arial" w:hAnsi="Arial" w:cs="Arial"/>
                <w:noProof/>
                <w:color w:val="000000"/>
              </w:rPr>
            </w:pPr>
          </w:p>
        </w:tc>
        <w:tc>
          <w:tcPr>
            <w:tcW w:w="105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4BIPSEGREP"/>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4BIPSEGREP"/>
              <w:rPr>
                <w:rFonts w:ascii="Arial" w:eastAsia="Arial" w:hAnsi="Arial" w:cs="Arial"/>
                <w:noProof/>
                <w:color w:val="000000"/>
              </w:rPr>
            </w:pPr>
          </w:p>
        </w:tc>
        <w:tc>
          <w:tcPr>
            <w:tcW w:w="163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4BIPSEGREP"/>
              <w:rPr>
                <w:rFonts w:ascii="Arial" w:eastAsia="Arial" w:hAnsi="Arial" w:cs="Arial"/>
                <w:noProof/>
                <w:color w:val="000000"/>
              </w:rPr>
            </w:pPr>
          </w:p>
        </w:tc>
        <w:tc>
          <w:tcPr>
            <w:tcW w:w="108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87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4BIPSEGREP"/>
              <w:jc w:val="right"/>
              <w:rPr>
                <w:rFonts w:ascii="Verdana" w:eastAsia="Verdana" w:hAnsi="Verdana" w:cs="Verdana"/>
                <w:noProof/>
                <w:color w:val="FFFFFF"/>
                <w:sz w:val="16"/>
              </w:rPr>
            </w:pPr>
          </w:p>
        </w:tc>
        <w:tc>
          <w:tcPr>
            <w:tcW w:w="1637"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4BIPSEGREP"/>
              <w:jc w:val="right"/>
              <w:rPr>
                <w:rFonts w:ascii="Verdana" w:eastAsia="Verdana" w:hAnsi="Verdana" w:cs="Verdana"/>
                <w:noProof/>
                <w:color w:val="FFFFFF"/>
                <w:sz w:val="16"/>
              </w:rPr>
            </w:pPr>
            <w:r>
              <w:rPr>
                <w:rFonts w:ascii="Verdana" w:hAnsi="Verdana"/>
                <w:noProof/>
                <w:color w:val="FFFFFF"/>
                <w:sz w:val="16"/>
              </w:rPr>
              <w:t>Inteligentny wzrost gospodarczy sprzyjający włączeniu społecznemu</w:t>
            </w:r>
          </w:p>
        </w:tc>
        <w:tc>
          <w:tcPr>
            <w:tcW w:w="1398"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4BIPSEGREP"/>
              <w:jc w:val="right"/>
              <w:rPr>
                <w:rFonts w:ascii="Verdana" w:eastAsia="Verdana" w:hAnsi="Verdana" w:cs="Verdana"/>
                <w:noProof/>
                <w:color w:val="FFFFFF"/>
                <w:sz w:val="16"/>
              </w:rPr>
            </w:pPr>
            <w:r>
              <w:rPr>
                <w:rFonts w:ascii="Verdana" w:hAnsi="Verdana"/>
                <w:noProof/>
                <w:color w:val="FFFFFF"/>
                <w:sz w:val="16"/>
              </w:rPr>
              <w:t>Trwały wzrost</w:t>
            </w:r>
          </w:p>
        </w:tc>
        <w:tc>
          <w:tcPr>
            <w:tcW w:w="1439"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4BIPSEGREP"/>
              <w:jc w:val="right"/>
              <w:rPr>
                <w:rFonts w:ascii="Verdana" w:eastAsia="Verdana" w:hAnsi="Verdana" w:cs="Verdana"/>
                <w:noProof/>
                <w:color w:val="FFFFFF"/>
                <w:sz w:val="16"/>
              </w:rPr>
            </w:pPr>
            <w:r>
              <w:rPr>
                <w:rFonts w:ascii="Verdana" w:hAnsi="Verdana"/>
                <w:noProof/>
                <w:color w:val="FFFFFF"/>
                <w:sz w:val="16"/>
              </w:rPr>
              <w:t>Bezpieczeństwo i obywatelstwo</w:t>
            </w:r>
          </w:p>
        </w:tc>
        <w:tc>
          <w:tcPr>
            <w:tcW w:w="1055"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4BIPSEGREP"/>
              <w:jc w:val="right"/>
              <w:rPr>
                <w:rFonts w:ascii="Verdana" w:eastAsia="Verdana" w:hAnsi="Verdana" w:cs="Verdana"/>
                <w:noProof/>
                <w:color w:val="FFFFFF"/>
                <w:sz w:val="16"/>
              </w:rPr>
            </w:pPr>
            <w:r>
              <w:rPr>
                <w:rFonts w:ascii="Verdana" w:hAnsi="Verdana"/>
                <w:noProof/>
                <w:color w:val="FFFFFF"/>
                <w:sz w:val="16"/>
              </w:rPr>
              <w:t>Globalny wymiar Europy</w:t>
            </w:r>
          </w:p>
        </w:tc>
        <w:tc>
          <w:tcPr>
            <w:tcW w:w="1278"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4BIPSEGREP"/>
              <w:jc w:val="right"/>
              <w:rPr>
                <w:rFonts w:ascii="Verdana" w:eastAsia="Verdana" w:hAnsi="Verdana" w:cs="Verdana"/>
                <w:noProof/>
                <w:color w:val="FFFFFF"/>
                <w:sz w:val="16"/>
              </w:rPr>
            </w:pPr>
            <w:r>
              <w:rPr>
                <w:rFonts w:ascii="Verdana" w:hAnsi="Verdana"/>
                <w:noProof/>
                <w:color w:val="FFFFFF"/>
                <w:sz w:val="16"/>
              </w:rPr>
              <w:t>Administracja</w:t>
            </w:r>
          </w:p>
        </w:tc>
        <w:tc>
          <w:tcPr>
            <w:tcW w:w="1637"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4BIPSEGREP"/>
              <w:jc w:val="right"/>
              <w:rPr>
                <w:rFonts w:ascii="Verdana" w:eastAsia="Verdana" w:hAnsi="Verdana" w:cs="Verdana"/>
                <w:noProof/>
                <w:color w:val="FFFFFF"/>
                <w:sz w:val="16"/>
              </w:rPr>
            </w:pPr>
            <w:r>
              <w:rPr>
                <w:rFonts w:ascii="Verdana" w:hAnsi="Verdana"/>
                <w:noProof/>
                <w:color w:val="FFFFFF"/>
                <w:sz w:val="16"/>
              </w:rPr>
              <w:t>Nieprzydzielone do działów WRF*</w:t>
            </w:r>
          </w:p>
        </w:tc>
        <w:tc>
          <w:tcPr>
            <w:tcW w:w="108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4BIPSEGREP"/>
              <w:jc w:val="right"/>
              <w:rPr>
                <w:rFonts w:ascii="Verdana" w:eastAsia="Verdana" w:hAnsi="Verdana" w:cs="Verdana"/>
                <w:noProof/>
                <w:color w:val="FFFFFF"/>
                <w:sz w:val="16"/>
              </w:rPr>
            </w:pPr>
            <w:r>
              <w:rPr>
                <w:rFonts w:ascii="Verdana" w:hAnsi="Verdana"/>
                <w:noProof/>
                <w:color w:val="FFFFFF"/>
                <w:sz w:val="16"/>
              </w:rPr>
              <w:t>Ogółem</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Zasoby własne oparte na DNB</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108 820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108 820</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Tradycyjne zasoby własne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21 235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21 235</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VAT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18 128</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18 128</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Grzywny</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4 291</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4 291</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 xml:space="preserve">Odzyskanie </w:t>
            </w:r>
            <w:r>
              <w:rPr>
                <w:rFonts w:ascii="Verdana" w:hAnsi="Verdana"/>
                <w:i/>
                <w:noProof/>
                <w:color w:val="000000"/>
                <w:sz w:val="16"/>
              </w:rPr>
              <w:t>wydatków</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1 520</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1 076</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22</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2 627</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Inne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1 202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29</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43</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214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5 176</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(4 592)</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2 072</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b/>
                <w:noProof/>
                <w:color w:val="000000"/>
                <w:sz w:val="16"/>
              </w:rPr>
            </w:pPr>
            <w:r>
              <w:rPr>
                <w:rFonts w:ascii="Verdana" w:hAnsi="Verdana"/>
                <w:b/>
                <w:noProof/>
                <w:color w:val="000000"/>
                <w:sz w:val="16"/>
              </w:rPr>
              <w:t>Przychody z transakcji innych niż transakcje wymiany</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2 722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1 104</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54</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235</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5 176</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147 882</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157 174</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Przychody finansowe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423</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11</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1 383</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1 817</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Inne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155</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(12)</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283</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864</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1 298</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b/>
                <w:noProof/>
                <w:color w:val="000000"/>
                <w:sz w:val="16"/>
              </w:rPr>
            </w:pPr>
            <w:r>
              <w:rPr>
                <w:rFonts w:ascii="Verdana" w:hAnsi="Verdana"/>
                <w:b/>
                <w:noProof/>
                <w:color w:val="000000"/>
                <w:sz w:val="16"/>
              </w:rPr>
              <w:t>Przychody z transakcji wymiany</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578</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(11)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283</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2 247</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3 116</w:t>
            </w:r>
          </w:p>
        </w:tc>
      </w:tr>
      <w:tr w:rsidR="0043277E">
        <w:trPr>
          <w:trHeight w:val="255"/>
        </w:trPr>
        <w:tc>
          <w:tcPr>
            <w:tcW w:w="48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b/>
                <w:noProof/>
                <w:color w:val="000000"/>
                <w:sz w:val="16"/>
              </w:rPr>
            </w:pPr>
            <w:r>
              <w:rPr>
                <w:rFonts w:ascii="Verdana" w:hAnsi="Verdana"/>
                <w:b/>
                <w:noProof/>
                <w:color w:val="000000"/>
                <w:sz w:val="16"/>
              </w:rPr>
              <w:t>Przychody ogółem</w:t>
            </w:r>
          </w:p>
        </w:tc>
        <w:tc>
          <w:tcPr>
            <w:tcW w:w="16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3 300</w:t>
            </w:r>
          </w:p>
        </w:tc>
        <w:tc>
          <w:tcPr>
            <w:tcW w:w="13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1 093</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49</w:t>
            </w:r>
          </w:p>
        </w:tc>
        <w:tc>
          <w:tcPr>
            <w:tcW w:w="10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260</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5 459</w:t>
            </w:r>
          </w:p>
        </w:tc>
        <w:tc>
          <w:tcPr>
            <w:tcW w:w="163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150 129</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160 289</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Koszty wydatkowane przez państwa członkowskie: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4BIPSEGREP"/>
              <w:jc w:val="right"/>
              <w:rPr>
                <w:rFonts w:ascii="Verdana" w:eastAsia="Verdana" w:hAnsi="Verdana" w:cs="Verdana"/>
                <w:i/>
                <w:noProof/>
                <w:color w:val="000000"/>
                <w:sz w:val="16"/>
              </w:rPr>
            </w:pP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4BIPSEGREP"/>
              <w:jc w:val="right"/>
              <w:rPr>
                <w:rFonts w:ascii="Verdana" w:eastAsia="Verdana" w:hAnsi="Verdana" w:cs="Verdana"/>
                <w:i/>
                <w:noProof/>
                <w:color w:val="000000"/>
                <w:sz w:val="16"/>
              </w:rPr>
            </w:pP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4BIPSEGREP"/>
              <w:jc w:val="right"/>
              <w:rPr>
                <w:rFonts w:ascii="Verdana" w:eastAsia="Verdana" w:hAnsi="Verdana" w:cs="Verdana"/>
                <w:i/>
                <w:noProof/>
                <w:color w:val="000000"/>
                <w:sz w:val="16"/>
              </w:rPr>
            </w:pP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4BIPSEGREP"/>
              <w:jc w:val="right"/>
              <w:rPr>
                <w:rFonts w:ascii="Verdana" w:eastAsia="Verdana" w:hAnsi="Verdana" w:cs="Verdana"/>
                <w:i/>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4BIPSEGREP"/>
              <w:jc w:val="right"/>
              <w:rPr>
                <w:rFonts w:ascii="Verdana" w:eastAsia="Verdana" w:hAnsi="Verdana" w:cs="Verdana"/>
                <w:i/>
                <w:noProof/>
                <w:color w:val="000000"/>
                <w:sz w:val="16"/>
              </w:rPr>
            </w:pP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4BIPSEGREP"/>
              <w:jc w:val="right"/>
              <w:rPr>
                <w:rFonts w:ascii="Verdana" w:eastAsia="Verdana" w:hAnsi="Verdana" w:cs="Verdana"/>
                <w:i/>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4BIPSEGREP"/>
              <w:jc w:val="right"/>
              <w:rPr>
                <w:rFonts w:ascii="Verdana" w:eastAsia="Verdana" w:hAnsi="Verdana" w:cs="Verdana"/>
                <w:i/>
                <w:noProof/>
                <w:color w:val="000000"/>
                <w:sz w:val="16"/>
                <w:lang w:bidi="en-GB"/>
              </w:rPr>
            </w:pP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 xml:space="preserve">     EFRG</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(43 951)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(43 951)</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 xml:space="preserve">     EFRROW oraz inne instrumenty na rzecz rozwoju obszarów wiejskich</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(13 541)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(13 541)</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 xml:space="preserve">     EFRR i FS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(35 178)</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(35 178)</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 xml:space="preserve">     EFS</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(11 218)</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(11 218)</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 xml:space="preserve">     Inne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(512)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(668)</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(1 382)</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(2 608)</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Wydatkowane przez KE,</w:t>
            </w:r>
            <w:r>
              <w:rPr>
                <w:rFonts w:ascii="Verdana" w:hAnsi="Verdana"/>
                <w:i/>
                <w:noProof/>
                <w:color w:val="000000"/>
                <w:sz w:val="16"/>
              </w:rPr>
              <w:t xml:space="preserve"> agencje wykonawcze i fundusze powiernicze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(12 763)</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(676)</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(1 060)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(4 446)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(19)</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23</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(18 942)</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Wydatkowane przez inne agencje i organy UE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(2 799)</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(62)</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(927)</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(32)</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689</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(3 131)</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Wydatkowane przez państwa trzecie i organizacje międzynarodowe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(526)</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(242)</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(3 314)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(4 085)</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Wydatkowane przez inne podmioty</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(2 037)</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(839)</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(2 875)</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Koszty personelu oraz rent i emerytur</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(1 637)</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(350)</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(444)</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(604)</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(7 222)</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(1 110)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(11 366)</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Koszty finansowe</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(113)</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(56)</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(9)</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(104)</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(1 209)</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(1 </w:t>
            </w:r>
            <w:r>
              <w:rPr>
                <w:rFonts w:ascii="Verdana" w:hAnsi="Verdana"/>
                <w:i/>
                <w:noProof/>
                <w:color w:val="000000"/>
                <w:sz w:val="16"/>
              </w:rPr>
              <w:t>491)</w:t>
            </w:r>
          </w:p>
        </w:tc>
      </w:tr>
      <w:tr w:rsidR="0043277E">
        <w:trPr>
          <w:trHeight w:val="255"/>
        </w:trPr>
        <w:tc>
          <w:tcPr>
            <w:tcW w:w="48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i/>
                <w:noProof/>
                <w:color w:val="000000"/>
                <w:sz w:val="16"/>
              </w:rPr>
            </w:pPr>
            <w:r>
              <w:rPr>
                <w:rFonts w:ascii="Verdana" w:hAnsi="Verdana"/>
                <w:i/>
                <w:noProof/>
                <w:color w:val="000000"/>
                <w:sz w:val="16"/>
              </w:rPr>
              <w:t>Inne koszty</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(2 287)</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(493)</w:t>
            </w:r>
          </w:p>
        </w:tc>
        <w:tc>
          <w:tcPr>
            <w:tcW w:w="143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(137)</w:t>
            </w:r>
          </w:p>
        </w:tc>
        <w:tc>
          <w:tcPr>
            <w:tcW w:w="10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(136)</w:t>
            </w:r>
          </w:p>
        </w:tc>
        <w:tc>
          <w:tcPr>
            <w:tcW w:w="12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(3 640)</w:t>
            </w:r>
          </w:p>
        </w:tc>
        <w:tc>
          <w:tcPr>
            <w:tcW w:w="16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(415)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i/>
                <w:noProof/>
                <w:color w:val="000000"/>
                <w:sz w:val="16"/>
              </w:rPr>
            </w:pPr>
            <w:r>
              <w:rPr>
                <w:rFonts w:ascii="Verdana" w:hAnsi="Verdana"/>
                <w:i/>
                <w:noProof/>
                <w:color w:val="000000"/>
                <w:sz w:val="16"/>
              </w:rPr>
              <w:t>(7 109)</w:t>
            </w:r>
          </w:p>
        </w:tc>
      </w:tr>
      <w:tr w:rsidR="0043277E">
        <w:trPr>
          <w:trHeight w:val="255"/>
        </w:trPr>
        <w:tc>
          <w:tcPr>
            <w:tcW w:w="4872"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rPr>
                <w:rFonts w:ascii="Verdana" w:eastAsia="Verdana" w:hAnsi="Verdana" w:cs="Verdana"/>
                <w:b/>
                <w:noProof/>
                <w:color w:val="000000"/>
                <w:sz w:val="16"/>
              </w:rPr>
            </w:pPr>
            <w:r>
              <w:rPr>
                <w:rFonts w:ascii="Verdana" w:hAnsi="Verdana"/>
                <w:b/>
                <w:noProof/>
                <w:color w:val="000000"/>
                <w:sz w:val="16"/>
              </w:rPr>
              <w:lastRenderedPageBreak/>
              <w:t>Koszty ogółem</w:t>
            </w:r>
          </w:p>
        </w:tc>
        <w:tc>
          <w:tcPr>
            <w:tcW w:w="1637"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(69 070)</w:t>
            </w:r>
          </w:p>
        </w:tc>
        <w:tc>
          <w:tcPr>
            <w:tcW w:w="139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(59 800)</w:t>
            </w:r>
          </w:p>
        </w:tc>
        <w:tc>
          <w:tcPr>
            <w:tcW w:w="1439"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(4 194)</w:t>
            </w:r>
          </w:p>
        </w:tc>
        <w:tc>
          <w:tcPr>
            <w:tcW w:w="1055"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(9 427)</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(10 985)</w:t>
            </w:r>
          </w:p>
        </w:tc>
        <w:tc>
          <w:tcPr>
            <w:tcW w:w="1637"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(2 018)</w:t>
            </w:r>
          </w:p>
        </w:tc>
        <w:tc>
          <w:tcPr>
            <w:tcW w:w="1080" w:type="dxa"/>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(155 493)</w:t>
            </w:r>
          </w:p>
        </w:tc>
      </w:tr>
      <w:tr w:rsidR="0043277E">
        <w:trPr>
          <w:trHeight w:val="255"/>
        </w:trPr>
        <w:tc>
          <w:tcPr>
            <w:tcW w:w="48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rPr>
                <w:rFonts w:ascii="Verdana" w:eastAsia="Verdana" w:hAnsi="Verdana" w:cs="Verdana"/>
                <w:b/>
                <w:noProof/>
                <w:color w:val="000000"/>
                <w:sz w:val="16"/>
              </w:rPr>
            </w:pPr>
            <w:r>
              <w:rPr>
                <w:rFonts w:ascii="Verdana" w:hAnsi="Verdana"/>
                <w:b/>
                <w:noProof/>
                <w:color w:val="000000"/>
                <w:sz w:val="16"/>
              </w:rPr>
              <w:t>Wynik ekonomiczny za dany rok</w:t>
            </w:r>
          </w:p>
        </w:tc>
        <w:tc>
          <w:tcPr>
            <w:tcW w:w="16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(65 770)</w:t>
            </w:r>
          </w:p>
        </w:tc>
        <w:tc>
          <w:tcPr>
            <w:tcW w:w="139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(58 707)</w:t>
            </w:r>
          </w:p>
        </w:tc>
        <w:tc>
          <w:tcPr>
            <w:tcW w:w="143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(4 145)</w:t>
            </w:r>
          </w:p>
        </w:tc>
        <w:tc>
          <w:tcPr>
            <w:tcW w:w="10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(9 167)</w:t>
            </w:r>
          </w:p>
        </w:tc>
        <w:tc>
          <w:tcPr>
            <w:tcW w:w="12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(5 526)</w:t>
            </w:r>
          </w:p>
        </w:tc>
        <w:tc>
          <w:tcPr>
            <w:tcW w:w="16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148 111</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24BIPSEGREP"/>
              <w:jc w:val="right"/>
              <w:rPr>
                <w:rFonts w:ascii="Verdana" w:eastAsia="Verdana" w:hAnsi="Verdana" w:cs="Verdana"/>
                <w:b/>
                <w:noProof/>
                <w:color w:val="000000"/>
                <w:sz w:val="16"/>
              </w:rPr>
            </w:pPr>
            <w:r>
              <w:rPr>
                <w:rFonts w:ascii="Verdana" w:hAnsi="Verdana"/>
                <w:b/>
                <w:noProof/>
                <w:color w:val="000000"/>
                <w:sz w:val="16"/>
              </w:rPr>
              <w:t>4 796</w:t>
            </w:r>
          </w:p>
        </w:tc>
      </w:tr>
    </w:tbl>
    <w:p w:rsidR="0043277E" w:rsidRDefault="000F2348">
      <w:pPr>
        <w:pStyle w:val="Textstand-alone"/>
        <w:tabs>
          <w:tab w:val="left" w:pos="284"/>
        </w:tabs>
        <w:spacing w:before="60"/>
        <w:ind w:left="284" w:hanging="284"/>
        <w:rPr>
          <w:i/>
          <w:sz w:val="14"/>
        </w:rPr>
      </w:pPr>
      <w:r>
        <w:rPr>
          <w:i/>
          <w:sz w:val="14"/>
        </w:rPr>
        <w:t>*</w:t>
      </w:r>
      <w:r>
        <w:rPr>
          <w:i/>
          <w:sz w:val="14"/>
        </w:rPr>
        <w:tab/>
        <w:t xml:space="preserve">Pozycja </w:t>
      </w:r>
      <w:r>
        <w:rPr>
          <w:i/>
          <w:sz w:val="14"/>
        </w:rPr>
        <w:t>„Nieprzydzielone do działów WRF” obejmuje wykonanie budżetu jednostek objętych konsolidacją i wyłączenia konsolidacyjne, operacje pozabudżetowe i programy, w odniesieniu do których kwoty są indywidualnie nieistotne.</w:t>
      </w:r>
    </w:p>
    <w:p w:rsidR="0043277E" w:rsidRDefault="000F2348">
      <w:pPr>
        <w:pStyle w:val="DGTextstand-alone"/>
      </w:pPr>
      <w:r>
        <w:t xml:space="preserve">Prezentacja przychodów i kosztów według </w:t>
      </w:r>
      <w:r>
        <w:t>działów wieloletnich ram finansowych opiera się na szacunkach, ponieważ nie wszystkie zobowiązania są powiązane z działami WRF.</w:t>
      </w:r>
    </w:p>
    <w:bookmarkEnd w:id="130"/>
    <w:p w:rsidR="0043277E" w:rsidRDefault="0043277E">
      <w:pPr>
        <w:pStyle w:val="DGTextstand-alone"/>
        <w:sectPr w:rsidR="0043277E">
          <w:headerReference w:type="even" r:id="rId257"/>
          <w:headerReference w:type="default" r:id="rId258"/>
          <w:footerReference w:type="even" r:id="rId259"/>
          <w:footerReference w:type="default" r:id="rId260"/>
          <w:headerReference w:type="first" r:id="rId261"/>
          <w:footerReference w:type="first" r:id="rId262"/>
          <w:pgSz w:w="16838" w:h="11906" w:orient="landscape"/>
          <w:pgMar w:top="1134" w:right="1134" w:bottom="1134" w:left="1134" w:header="708" w:footer="708" w:gutter="0"/>
          <w:cols w:space="708"/>
          <w:docGrid w:linePitch="360"/>
        </w:sectPr>
      </w:pPr>
    </w:p>
    <w:p w:rsidR="0043277E" w:rsidRDefault="000F2348">
      <w:pPr>
        <w:pStyle w:val="HEADER1NOTES"/>
        <w:rPr>
          <w:noProof/>
        </w:rPr>
      </w:pPr>
      <w:bookmarkStart w:id="132" w:name="_Toc49413488"/>
      <w:bookmarkStart w:id="133" w:name="_DMBM_17151"/>
      <w:r>
        <w:rPr>
          <w:noProof/>
        </w:rPr>
        <w:lastRenderedPageBreak/>
        <w:t xml:space="preserve">ZOBOWIĄZANIA I </w:t>
      </w:r>
      <w:r>
        <w:rPr>
          <w:noProof/>
        </w:rPr>
        <w:t>AKTYWA WARUNKOWE</w:t>
      </w:r>
      <w:bookmarkEnd w:id="132"/>
    </w:p>
    <w:p w:rsidR="0043277E" w:rsidRDefault="000F2348">
      <w:pPr>
        <w:pStyle w:val="HEADER2NOTES"/>
        <w:rPr>
          <w:noProof/>
        </w:rPr>
      </w:pPr>
      <w:r>
        <w:rPr>
          <w:noProof/>
        </w:rPr>
        <w:t>ZOBOWIĄZANIA WARUNKOWE</w:t>
      </w:r>
    </w:p>
    <w:p w:rsidR="0043277E" w:rsidRDefault="000F2348">
      <w:pPr>
        <w:pStyle w:val="DGTextstand-alone"/>
        <w:spacing w:after="0"/>
      </w:pPr>
      <w:r>
        <w:t xml:space="preserve">Zobowiązania warunkowe to ewentualne przyszłe zobowiązania płatnicze Unii Europejskiej, które mogą wynikać z poprzednich wydarzeń lub prawnie wiążących zobowiązań, ale które będą zależeć od przyszłych wydarzeń nie w </w:t>
      </w:r>
      <w:r>
        <w:t xml:space="preserve">pełni zależnych od UE. Dotyczą głównie udzielonych gwarancji finansowych (na pożyczki i programy pomocy finansowej) i ryzyka prawnego. Wszystkie zobowiązania warunkowe, z wyjątkiem tych dotyczących grzywien i gwarancji objętych funduszami (zob. informacja </w:t>
      </w:r>
      <w:r>
        <w:t xml:space="preserve">dodatkowa </w:t>
      </w:r>
      <w:r>
        <w:rPr>
          <w:b/>
        </w:rPr>
        <w:t>2.4.1</w:t>
      </w:r>
      <w:r>
        <w:t>), gdyby stały się wymagalne, byłyby w kolejnych latach finansowane z budżetu UE (i tym samym z budżetów państw członkowskich UE).</w:t>
      </w:r>
    </w:p>
    <w:p w:rsidR="0043277E" w:rsidRDefault="000F2348">
      <w:pPr>
        <w:pStyle w:val="HEADER3NOTES"/>
        <w:rPr>
          <w:noProof/>
        </w:rPr>
      </w:pPr>
      <w:r>
        <w:rPr>
          <w:noProof/>
        </w:rPr>
        <w:t>Gwarancje budżetowe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1145"/>
        <w:gridCol w:w="1144"/>
        <w:gridCol w:w="1144"/>
        <w:gridCol w:w="1144"/>
        <w:gridCol w:w="1144"/>
        <w:gridCol w:w="1145"/>
      </w:tblGrid>
      <w:tr w:rsidR="0043277E">
        <w:trPr>
          <w:trHeight w:val="255"/>
        </w:trPr>
        <w:tc>
          <w:tcPr>
            <w:tcW w:w="340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9BIPGUAR"/>
              <w:rPr>
                <w:rFonts w:ascii="Arial" w:eastAsia="Arial" w:hAnsi="Arial" w:cs="Arial"/>
                <w:noProof/>
                <w:color w:val="000000"/>
              </w:rPr>
            </w:pPr>
            <w:bookmarkStart w:id="134" w:name="DOC_TBL00073_1_1"/>
            <w:bookmarkEnd w:id="134"/>
          </w:p>
        </w:tc>
        <w:tc>
          <w:tcPr>
            <w:tcW w:w="133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9BIPGUAR"/>
              <w:rPr>
                <w:rFonts w:ascii="Arial" w:eastAsia="Arial" w:hAnsi="Arial" w:cs="Arial"/>
                <w:noProof/>
                <w:color w:val="000000"/>
              </w:rPr>
            </w:pPr>
          </w:p>
        </w:tc>
        <w:tc>
          <w:tcPr>
            <w:tcW w:w="133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9BIPGUAR"/>
              <w:rPr>
                <w:rFonts w:ascii="Arial" w:eastAsia="Arial" w:hAnsi="Arial" w:cs="Arial"/>
                <w:noProof/>
                <w:color w:val="000000"/>
              </w:rPr>
            </w:pPr>
          </w:p>
        </w:tc>
        <w:tc>
          <w:tcPr>
            <w:tcW w:w="1332"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9BIPGUAR"/>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40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59BIPGUAR"/>
              <w:jc w:val="center"/>
              <w:rPr>
                <w:rFonts w:ascii="Verdana" w:eastAsia="Verdana" w:hAnsi="Verdana" w:cs="Verdana"/>
                <w:noProof/>
                <w:color w:val="FFFFFF"/>
              </w:rPr>
            </w:pPr>
          </w:p>
        </w:tc>
        <w:tc>
          <w:tcPr>
            <w:tcW w:w="1331"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center"/>
              <w:rPr>
                <w:rFonts w:ascii="Verdana" w:eastAsia="Verdana" w:hAnsi="Verdana" w:cs="Verdana"/>
                <w:noProof/>
                <w:color w:val="FFFFFF"/>
              </w:rPr>
            </w:pPr>
            <w:r>
              <w:rPr>
                <w:rFonts w:ascii="Verdana" w:hAnsi="Verdana"/>
                <w:noProof/>
                <w:color w:val="FFFFFF"/>
              </w:rPr>
              <w:t>31.12.2019</w:t>
            </w:r>
          </w:p>
        </w:tc>
        <w:tc>
          <w:tcPr>
            <w:tcW w:w="1331"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center"/>
              <w:rPr>
                <w:rFonts w:ascii="Verdana" w:eastAsia="Verdana" w:hAnsi="Verdana" w:cs="Verdana"/>
                <w:noProof/>
                <w:color w:val="FFFFFF"/>
              </w:rPr>
            </w:pPr>
            <w:r>
              <w:rPr>
                <w:rFonts w:ascii="Verdana" w:hAnsi="Verdana"/>
                <w:noProof/>
                <w:color w:val="FFFFFF"/>
              </w:rPr>
              <w:t>31.12.2018</w:t>
            </w:r>
          </w:p>
        </w:tc>
      </w:tr>
      <w:tr w:rsidR="0043277E">
        <w:trPr>
          <w:trHeight w:val="255"/>
        </w:trPr>
        <w:tc>
          <w:tcPr>
            <w:tcW w:w="340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59BIPGUAR"/>
              <w:jc w:val="center"/>
              <w:rPr>
                <w:rFonts w:ascii="Verdana" w:eastAsia="Verdana" w:hAnsi="Verdana" w:cs="Verdana"/>
                <w:noProof/>
                <w:color w:val="FFFFFF"/>
              </w:rPr>
            </w:pP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right"/>
              <w:rPr>
                <w:rFonts w:ascii="Verdana" w:eastAsia="Verdana" w:hAnsi="Verdana" w:cs="Verdana"/>
                <w:noProof/>
                <w:color w:val="FFFFFF"/>
                <w:sz w:val="18"/>
              </w:rPr>
            </w:pPr>
            <w:r>
              <w:rPr>
                <w:rFonts w:ascii="Verdana" w:hAnsi="Verdana"/>
                <w:noProof/>
                <w:color w:val="FFFFFF"/>
                <w:sz w:val="18"/>
              </w:rPr>
              <w:t>Pułap</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right"/>
              <w:rPr>
                <w:rFonts w:ascii="Verdana" w:eastAsia="Verdana" w:hAnsi="Verdana" w:cs="Verdana"/>
                <w:noProof/>
                <w:color w:val="FFFFFF"/>
                <w:sz w:val="18"/>
              </w:rPr>
            </w:pPr>
            <w:r>
              <w:rPr>
                <w:rFonts w:ascii="Verdana" w:hAnsi="Verdana"/>
                <w:noProof/>
                <w:color w:val="FFFFFF"/>
                <w:sz w:val="18"/>
              </w:rPr>
              <w:t>Podpisano</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right"/>
              <w:rPr>
                <w:rFonts w:ascii="Verdana" w:eastAsia="Verdana" w:hAnsi="Verdana" w:cs="Verdana"/>
                <w:noProof/>
                <w:color w:val="FFFFFF"/>
                <w:sz w:val="18"/>
              </w:rPr>
            </w:pPr>
            <w:r>
              <w:rPr>
                <w:rFonts w:ascii="Verdana" w:hAnsi="Verdana"/>
                <w:noProof/>
                <w:color w:val="FFFFFF"/>
                <w:sz w:val="18"/>
              </w:rPr>
              <w:t>Kwoty wypłacone</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right"/>
              <w:rPr>
                <w:rFonts w:ascii="Verdana" w:eastAsia="Verdana" w:hAnsi="Verdana" w:cs="Verdana"/>
                <w:noProof/>
                <w:color w:val="FFFFFF"/>
                <w:sz w:val="18"/>
              </w:rPr>
            </w:pPr>
            <w:r>
              <w:rPr>
                <w:rFonts w:ascii="Verdana" w:hAnsi="Verdana"/>
                <w:noProof/>
                <w:color w:val="FFFFFF"/>
                <w:sz w:val="18"/>
              </w:rPr>
              <w:t>Pułap</w:t>
            </w:r>
          </w:p>
        </w:tc>
        <w:tc>
          <w:tcPr>
            <w:tcW w:w="13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right"/>
              <w:rPr>
                <w:rFonts w:ascii="Verdana" w:eastAsia="Verdana" w:hAnsi="Verdana" w:cs="Verdana"/>
                <w:noProof/>
                <w:color w:val="FFFFFF"/>
                <w:sz w:val="18"/>
              </w:rPr>
            </w:pPr>
            <w:r>
              <w:rPr>
                <w:rFonts w:ascii="Verdana" w:hAnsi="Verdana"/>
                <w:noProof/>
                <w:color w:val="FFFFFF"/>
                <w:sz w:val="18"/>
              </w:rPr>
              <w:t>Podpisano</w:t>
            </w:r>
          </w:p>
        </w:tc>
        <w:tc>
          <w:tcPr>
            <w:tcW w:w="133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9BIPGUAR"/>
              <w:jc w:val="right"/>
              <w:rPr>
                <w:rFonts w:ascii="Verdana" w:eastAsia="Verdana" w:hAnsi="Verdana" w:cs="Verdana"/>
                <w:noProof/>
                <w:color w:val="FFFFFF"/>
                <w:sz w:val="18"/>
              </w:rPr>
            </w:pPr>
            <w:r>
              <w:rPr>
                <w:rFonts w:ascii="Verdana" w:hAnsi="Verdana"/>
                <w:noProof/>
                <w:color w:val="FFFFFF"/>
                <w:sz w:val="18"/>
              </w:rPr>
              <w:t>Kwoty wypłacone</w:t>
            </w:r>
          </w:p>
        </w:tc>
      </w:tr>
      <w:tr w:rsidR="0043277E">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rPr>
                <w:rFonts w:ascii="Verdana" w:eastAsia="Verdana" w:hAnsi="Verdana" w:cs="Verdana"/>
                <w:i/>
                <w:noProof/>
                <w:color w:val="000000"/>
                <w:sz w:val="18"/>
              </w:rPr>
            </w:pPr>
            <w:r>
              <w:rPr>
                <w:rFonts w:ascii="Verdana" w:hAnsi="Verdana"/>
                <w:i/>
                <w:noProof/>
                <w:color w:val="000000"/>
                <w:sz w:val="18"/>
              </w:rPr>
              <w:t>Gwarancje udzielone w ramach upoważnienia EBI do udzielania pożyczek na rzecz państw trzecich</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37 929</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31 521</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20 014</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40 417</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30 889</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20 510</w:t>
            </w:r>
          </w:p>
        </w:tc>
      </w:tr>
      <w:tr w:rsidR="0043277E">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rPr>
                <w:rFonts w:ascii="Verdana" w:eastAsia="Verdana" w:hAnsi="Verdana" w:cs="Verdana"/>
                <w:i/>
                <w:noProof/>
                <w:color w:val="000000"/>
                <w:sz w:val="18"/>
              </w:rPr>
            </w:pPr>
            <w:r>
              <w:rPr>
                <w:rFonts w:ascii="Verdana" w:hAnsi="Verdana"/>
                <w:i/>
                <w:noProof/>
                <w:color w:val="000000"/>
                <w:sz w:val="18"/>
              </w:rPr>
              <w:t>Gwarancja EFIS</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25 797</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21 889</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17 634</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25 898</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19 842</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15 764</w:t>
            </w:r>
          </w:p>
        </w:tc>
      </w:tr>
      <w:tr w:rsidR="0043277E">
        <w:trPr>
          <w:trHeight w:val="255"/>
        </w:trPr>
        <w:tc>
          <w:tcPr>
            <w:tcW w:w="34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rPr>
                <w:rFonts w:ascii="Verdana" w:eastAsia="Verdana" w:hAnsi="Verdana" w:cs="Verdana"/>
                <w:i/>
                <w:noProof/>
                <w:color w:val="000000"/>
                <w:sz w:val="18"/>
              </w:rPr>
            </w:pPr>
            <w:r>
              <w:rPr>
                <w:rFonts w:ascii="Verdana" w:hAnsi="Verdana"/>
                <w:i/>
                <w:noProof/>
                <w:color w:val="000000"/>
                <w:sz w:val="18"/>
              </w:rPr>
              <w:t>Gwarancja EFZR</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 xml:space="preserve"> 50</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9BIPGUAR"/>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340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9BIPGUAR"/>
              <w:rPr>
                <w:rFonts w:ascii="Verdana" w:eastAsia="Verdana" w:hAnsi="Verdana" w:cs="Verdana"/>
                <w:b/>
                <w:noProof/>
                <w:color w:val="000000"/>
                <w:sz w:val="18"/>
              </w:rPr>
            </w:pPr>
            <w:r>
              <w:rPr>
                <w:rFonts w:ascii="Verdana" w:hAnsi="Verdana"/>
                <w:b/>
                <w:noProof/>
                <w:color w:val="000000"/>
                <w:sz w:val="18"/>
              </w:rPr>
              <w:t>Ogółem</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9BIPGUAR"/>
              <w:jc w:val="right"/>
              <w:rPr>
                <w:rFonts w:ascii="Verdana" w:eastAsia="Verdana" w:hAnsi="Verdana" w:cs="Verdana"/>
                <w:b/>
                <w:noProof/>
                <w:color w:val="000000"/>
                <w:sz w:val="18"/>
              </w:rPr>
            </w:pPr>
            <w:r>
              <w:rPr>
                <w:rFonts w:ascii="Verdana" w:hAnsi="Verdana"/>
                <w:b/>
                <w:noProof/>
                <w:color w:val="000000"/>
                <w:sz w:val="18"/>
              </w:rPr>
              <w:t>63 775</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9BIPGUAR"/>
              <w:jc w:val="right"/>
              <w:rPr>
                <w:rFonts w:ascii="Verdana" w:eastAsia="Verdana" w:hAnsi="Verdana" w:cs="Verdana"/>
                <w:b/>
                <w:noProof/>
                <w:color w:val="000000"/>
                <w:sz w:val="18"/>
              </w:rPr>
            </w:pPr>
            <w:r>
              <w:rPr>
                <w:rFonts w:ascii="Verdana" w:hAnsi="Verdana"/>
                <w:b/>
                <w:noProof/>
                <w:color w:val="000000"/>
                <w:sz w:val="18"/>
              </w:rPr>
              <w:t>53 410</w:t>
            </w:r>
          </w:p>
        </w:tc>
        <w:tc>
          <w:tcPr>
            <w:tcW w:w="1331"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43277E" w:rsidRDefault="000F2348">
            <w:pPr>
              <w:pStyle w:val="DMETW16559BIPGUAR"/>
              <w:jc w:val="right"/>
              <w:rPr>
                <w:rFonts w:ascii="Verdana" w:eastAsia="Verdana" w:hAnsi="Verdana" w:cs="Verdana"/>
                <w:b/>
                <w:noProof/>
                <w:color w:val="000000"/>
                <w:sz w:val="18"/>
              </w:rPr>
            </w:pPr>
            <w:r>
              <w:rPr>
                <w:rFonts w:ascii="Verdana" w:hAnsi="Verdana"/>
                <w:b/>
                <w:noProof/>
                <w:color w:val="000000"/>
                <w:sz w:val="18"/>
              </w:rPr>
              <w:t>37 648</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9BIPGUAR"/>
              <w:jc w:val="right"/>
              <w:rPr>
                <w:rFonts w:ascii="Verdana" w:eastAsia="Verdana" w:hAnsi="Verdana" w:cs="Verdana"/>
                <w:b/>
                <w:noProof/>
                <w:color w:val="000000"/>
                <w:sz w:val="18"/>
              </w:rPr>
            </w:pPr>
            <w:r>
              <w:rPr>
                <w:rFonts w:ascii="Verdana" w:hAnsi="Verdana"/>
                <w:b/>
                <w:noProof/>
                <w:color w:val="000000"/>
                <w:sz w:val="18"/>
              </w:rPr>
              <w:t>66 315</w:t>
            </w:r>
          </w:p>
        </w:tc>
        <w:tc>
          <w:tcPr>
            <w:tcW w:w="133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9BIPGUAR"/>
              <w:jc w:val="right"/>
              <w:rPr>
                <w:rFonts w:ascii="Verdana" w:eastAsia="Verdana" w:hAnsi="Verdana" w:cs="Verdana"/>
                <w:b/>
                <w:noProof/>
                <w:color w:val="000000"/>
                <w:sz w:val="18"/>
              </w:rPr>
            </w:pPr>
            <w:r>
              <w:rPr>
                <w:rFonts w:ascii="Verdana" w:hAnsi="Verdana"/>
                <w:b/>
                <w:noProof/>
                <w:color w:val="000000"/>
                <w:sz w:val="18"/>
              </w:rPr>
              <w:t>50 731</w:t>
            </w:r>
          </w:p>
        </w:tc>
        <w:tc>
          <w:tcPr>
            <w:tcW w:w="133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9BIPGUAR"/>
              <w:jc w:val="right"/>
              <w:rPr>
                <w:rFonts w:ascii="Verdana" w:eastAsia="Verdana" w:hAnsi="Verdana" w:cs="Verdana"/>
                <w:b/>
                <w:noProof/>
                <w:color w:val="000000"/>
                <w:sz w:val="18"/>
              </w:rPr>
            </w:pPr>
            <w:r>
              <w:rPr>
                <w:rFonts w:ascii="Verdana" w:hAnsi="Verdana"/>
                <w:b/>
                <w:noProof/>
                <w:color w:val="000000"/>
                <w:sz w:val="18"/>
              </w:rPr>
              <w:t>36 273</w:t>
            </w:r>
          </w:p>
        </w:tc>
      </w:tr>
    </w:tbl>
    <w:p w:rsidR="0043277E" w:rsidRDefault="000F2348">
      <w:pPr>
        <w:pStyle w:val="DGTextstand-alone"/>
      </w:pPr>
      <w:r>
        <w:t xml:space="preserve">Powyższa tabela przedstawia zakres ekspozycji budżetu UE na ewentualne przyszłe płatności związane z gwarancjami udzielonymi grupie EBI lub innym instytucjom finansowym. Wypłacone kwoty odpowiadają kwotom już wypłaconym </w:t>
      </w:r>
      <w:r>
        <w:t>beneficjentom końcowym, zaś kwoty podpisane obejmują te wypłacone kwoty oraz już podpisane umowy z beneficjentami lub pośrednikami finansowymi, na podstawie których jeszcze nie dokonano wypłat (15 762 mln EUR). Pułap oznacza całkowitą gwarancję, że UE, w r</w:t>
      </w:r>
      <w:r>
        <w:t>amach swojego budżetu, a tym samym jej państwa członkowskie zobowiązały się do pokrycia kwot, ponieważ w celu ujawnienia maksymalnego poziomu ryzyka, na jaki narażona była UE na dzień 31 grudnia 2019 r., należy uwzględnić również operacje zatwierdzone do p</w:t>
      </w:r>
      <w:r>
        <w:t>odpisania, ale jeszcze niepodpisane (10 365 mln EUR). Kwoty wykazuje się po potrąceniu rezerw finansowych lub zobowiązań finansowych ujętych dla tych programów.</w:t>
      </w:r>
    </w:p>
    <w:p w:rsidR="0043277E" w:rsidRDefault="000F2348">
      <w:pPr>
        <w:pStyle w:val="HEADER5"/>
        <w:rPr>
          <w:noProof/>
        </w:rPr>
      </w:pPr>
      <w:r>
        <w:rPr>
          <w:noProof/>
        </w:rPr>
        <w:t>Gwarancje udzielone w ramach upoważnienia EBI do udzielania pożyczek na rzecz państw trzecich</w:t>
      </w:r>
    </w:p>
    <w:p w:rsidR="0043277E" w:rsidRDefault="000F2348">
      <w:pPr>
        <w:pStyle w:val="DGTextstand-alone"/>
      </w:pPr>
      <w:r>
        <w:t>G</w:t>
      </w:r>
      <w:r>
        <w:t>warancje z budżetu UE obejmują pożyczki, na które EBI podpisał umowy i których bank ten udzielił z własnych zasobów państwom trzecim. Na dzień 31 grudnia 2019 r. kwota pożyczek niespłaconych i zabezpieczonych gwarancją UE wyniosła 20 014 mln EUR (w 2018 r.</w:t>
      </w:r>
      <w:r>
        <w:t>: 20 510 mln EUR). Gwarancje budżetowe UE obejmują kwoty:</w:t>
      </w:r>
    </w:p>
    <w:p w:rsidR="0043277E" w:rsidRDefault="000F2348">
      <w:pPr>
        <w:pStyle w:val="DGTextstand-alone"/>
        <w:numPr>
          <w:ilvl w:val="0"/>
          <w:numId w:val="29"/>
        </w:numPr>
      </w:pPr>
      <w:r>
        <w:t xml:space="preserve">19 074 mln EUR (w 2018 r.: 19 360 mln EUR) w ramach Funduszu Gwarancyjnego dla działań zewnętrznych (zob. informacja dodatkowa </w:t>
      </w:r>
      <w:r>
        <w:rPr>
          <w:b/>
        </w:rPr>
        <w:t>2.4.1</w:t>
      </w:r>
      <w:r>
        <w:t>) oraz</w:t>
      </w:r>
    </w:p>
    <w:p w:rsidR="0043277E" w:rsidRDefault="000F2348">
      <w:pPr>
        <w:pStyle w:val="DGTextstand-alone"/>
        <w:numPr>
          <w:ilvl w:val="0"/>
          <w:numId w:val="29"/>
        </w:numPr>
      </w:pPr>
      <w:r>
        <w:t>940 mln EUR (w 2018 r.: 1 150 mln EUR) bezpośrednio na poży</w:t>
      </w:r>
      <w:r>
        <w:t>czki udzielane państwom członkowskim przed przystąpieniem.</w:t>
      </w:r>
    </w:p>
    <w:p w:rsidR="0043277E" w:rsidRDefault="000F2348">
      <w:pPr>
        <w:pStyle w:val="DGTextstand-alone"/>
      </w:pPr>
      <w:r>
        <w:t>Oprócz kwoty 20 014 mln EUR, która została wykazana powyżej jako wypłacona, gwarancją UE objęta jest kwota 161 mln EUR niespłaconych pożyczek na rzecz Syrii, w odniesieniu do której to kwoty ustano</w:t>
      </w:r>
      <w:r>
        <w:t>wiono rezerwy, a także kwota 20 mln EUR ujęta jako zobowiązanie z tytułu gwarancji finansowej objętej upoważnieniem EBI do udzielania pożyczek sektorowi prywatnemu w ramach Inicjatywy EBI na rzecz budowania odporności (zob. poniżej).</w:t>
      </w:r>
    </w:p>
    <w:p w:rsidR="0043277E" w:rsidRDefault="000F2348">
      <w:pPr>
        <w:pStyle w:val="DGTextstand-alone"/>
      </w:pPr>
      <w:r>
        <w:t>Gwarancja UE udzielona</w:t>
      </w:r>
      <w:r>
        <w:t xml:space="preserve"> w ramach upoważnienia EBI do udzielania pożyczek na rzecz państw trzecich związana z pożyczkami udzielonymi przez EBI jest ograniczona do 65 % sald należności z tytułu umów podpisanych po 2007 r. (upoważnienia na lata 2007–2013 i 2014–2020). W przypadku u</w:t>
      </w:r>
      <w:r>
        <w:t xml:space="preserve">mów podpisanych przed 2007 r. gwarancja UE ograniczona jest do określonego procentowego pułapu zatwierdzonej wysokości linii kredytowej; w większości przypadku wynosi ona 65 %, ale może także </w:t>
      </w:r>
      <w:r>
        <w:lastRenderedPageBreak/>
        <w:t>wynosić 70 %, 75 % lub 100 %. W przypadku gdy pułap ten nie zost</w:t>
      </w:r>
      <w:r>
        <w:t>aje osiągnięty, gwarancja unijna obejmuje pełną kwotę.</w:t>
      </w:r>
    </w:p>
    <w:p w:rsidR="0043277E" w:rsidRDefault="000F2348">
      <w:pPr>
        <w:pStyle w:val="DGTextstand-alone"/>
      </w:pPr>
      <w:r>
        <w:t>Zgodnie z decyzją (UE) 2018/412 na potrzeby nowego upoważnienia do udzielania pożyczek sektorowi prywatnemu ustanowionego z myślą o projektach służących budowaniu długoterminowej odporności gospodarcze</w:t>
      </w:r>
      <w:r>
        <w:t>j uchodźców, migrantów oraz społeczności przyjmujących i tranzytowych ramach Inicjatywy EBI na rzecz budowania odporności planuje się przeznaczyć do 2,3 mld EUR. W 2019 r. EBI wypłacił pierwsze kwoty w związku z operacjami dotyczącymi upoważnienia do udzie</w:t>
      </w:r>
      <w:r>
        <w:t xml:space="preserve">lania pożyczek sektorowi prywatnemu w ramach Inicjatywy EBI na rzecz budowania odporności. Budżet Unii otrzymuje wynagrodzenie z tytułu ryzyka podejmowanego w związku z gwarancjami udzielanymi na realizację operacji objętych finansowaniem EBI w kontekście </w:t>
      </w:r>
      <w:r>
        <w:t>upoważnienia do udzielania pożyczek sektorowi prywatnemu w ramach Inicjatywy EBI na rzecz budowania odporności, dlatego też gwarancję objętą upoważnieniem do udzielania pożyczek sektorowi prywatnemu w ramach Inicjatywy EBI na rzecz budowania odporności ujm</w:t>
      </w:r>
      <w:r>
        <w:t xml:space="preserve">uje się jako zobowiązanie z tytułu gwarancji finansowej (zob. informacja dodatkowa </w:t>
      </w:r>
      <w:r>
        <w:rPr>
          <w:b/>
        </w:rPr>
        <w:t>2.11.3</w:t>
      </w:r>
      <w:r>
        <w:t>).</w:t>
      </w:r>
    </w:p>
    <w:p w:rsidR="0043277E" w:rsidRDefault="000F2348">
      <w:pPr>
        <w:pStyle w:val="DGTextstand-alone"/>
      </w:pPr>
      <w:r>
        <w:t xml:space="preserve">Wypłat z tytułu gwarancji UE dokonuje Fundusz Gwarancyjny dla działań zewnętrznych – zob. informacja dodatkowa </w:t>
      </w:r>
      <w:r>
        <w:rPr>
          <w:b/>
        </w:rPr>
        <w:t>2.4.1</w:t>
      </w:r>
      <w:r>
        <w:t>. W 2019 r. z Funduszu Gwarancyjnego dla działań</w:t>
      </w:r>
      <w:r>
        <w:t xml:space="preserve"> zewnętrznych w ramach uruchomionych gwarancji wypłacono 55 mln EUR (w 2018 r.: 56 mln EUR).</w:t>
      </w:r>
    </w:p>
    <w:p w:rsidR="0043277E" w:rsidRDefault="000F2348">
      <w:pPr>
        <w:pStyle w:val="HEADER5"/>
        <w:keepNext/>
        <w:rPr>
          <w:noProof/>
        </w:rPr>
      </w:pPr>
      <w:r>
        <w:rPr>
          <w:noProof/>
        </w:rPr>
        <w:t>Gwarancja w ramach Europejskiego Funduszu na rzecz Inwestycji Strategicznych (EFIS)</w:t>
      </w:r>
    </w:p>
    <w:p w:rsidR="0043277E" w:rsidRDefault="000F2348">
      <w:pPr>
        <w:pStyle w:val="DGTextstand-alone"/>
      </w:pPr>
      <w:r>
        <w:t>EFIS to inicjatywa mająca na celu zwiększenie zdolności do ponoszenia ryzyka gr</w:t>
      </w:r>
      <w:r>
        <w:t>upy EBI, umożliwiająca EBI zwiększenie swoich inwestycji w UE. Celem EFIS jest wspieranie dodatkowych inwestycji w UE oraz dostępu małych przedsiębiorstw do finansowania. W ramach budżetu UE udzielona zostaje gwarancja w kwocie do 26 mld EUR („unijna gwara</w:t>
      </w:r>
      <w:r>
        <w:t>ncja EFIS”) na podstawie umowy między UE i EBI, zwanej dalej „umową w sprawie EFIS”, aby ochronić EBI przed potencjalnymi stratami, jakie może ponieść w związku ze swoimi operacjami finansowania i operacjami inwestycyjnymi.</w:t>
      </w:r>
    </w:p>
    <w:p w:rsidR="0043277E" w:rsidRDefault="000F2348">
      <w:pPr>
        <w:pStyle w:val="DGTextstand-alone"/>
      </w:pPr>
      <w:r>
        <w:t>Operacje EFIS prowadzone są w ra</w:t>
      </w:r>
      <w:r>
        <w:t>mach dwóch segmentów: obszaru infrastruktury i innowacji (IIW), wdrażanego przez EBI (unijna gwarancja EFIS w wysokości 19,5 mld EUR), oraz segmentu MŚP (SMEW), wdrażanego przez EFI (unijna gwarancja EFIS w wysokości 6,5 mld EUR). Oba segmenty obejmują por</w:t>
      </w:r>
      <w:r>
        <w:t>tfel dłużny oraz portfel kapitałowy. EFI działa na podstawie umowy z EBI w oparciu o gwarancję EBI, która z kolei jest objęta kontrgwarancją w ramach umowy w sprawie EFIS (unijna gwarancja EFIS).</w:t>
      </w:r>
    </w:p>
    <w:p w:rsidR="0043277E" w:rsidRDefault="000F2348">
      <w:pPr>
        <w:pStyle w:val="DGTextstand-alone"/>
      </w:pPr>
      <w:r>
        <w:t>UE i EBI odgrywają w EFIS odrębne role. EFIS utworzono w ram</w:t>
      </w:r>
      <w:r>
        <w:t>ach EBI, który finansuje jego operacje (instrumenty dłużne i inwestycje kapitałowe) oraz pożycza w tym celu niezbędne środki na rynkach kapitałowych. Grupa EBI podejmuje decyzje inwestycyjne niezależnie i zarządza operacjami zgodnie ze swoimi zasadami i pr</w:t>
      </w:r>
      <w:r>
        <w:t>ocedurami. UE udziela gwarancji w odniesieniu do tych operacji i pokrywa straty ponoszone przez EBI do pułapu określonego w gwarancji.</w:t>
      </w:r>
    </w:p>
    <w:p w:rsidR="0043277E" w:rsidRDefault="000F2348">
      <w:pPr>
        <w:pStyle w:val="DGTextstand-alone"/>
      </w:pPr>
      <w:r>
        <w:t xml:space="preserve">Aby zagwarantować, że inwestycje w ramach EFIS będą ukierunkowane na konkretny cel, jakim jest usunięcie niedoskonałości </w:t>
      </w:r>
      <w:r>
        <w:t>rynku, oraz że inwestycje te kwalifikują się do ochrony zapewnianej przez gwarancję UE, utworzono specjalną strukturę na potrzeby zarządzania, obejmującą komitet inwestycyjny złożony z niezależnych ekspertów, którzy analizują każdy projekt zaproponowany pr</w:t>
      </w:r>
      <w:r>
        <w:t>zez EBI w ramach obszaru infrastruktury i innowacji pod względem kwalifikowalności do ochrony gwarancyjnej UE, oraz radę kierowniczą EFIS, która zapewnia nadzór nad realizacją programu.</w:t>
      </w:r>
    </w:p>
    <w:p w:rsidR="0043277E" w:rsidRDefault="000F2348">
      <w:pPr>
        <w:pStyle w:val="DGTextstand-alone"/>
      </w:pPr>
      <w:r>
        <w:t>Jako że kryteria kontroli oraz wymogi unijnych reguł rachunkowości (or</w:t>
      </w:r>
      <w:r>
        <w:t>az MSRSP) w zakresie rachunkowości w odniesieniu do konsolidacji nie są spełnione, w skonsolidowanym rocznym sprawozdaniu finansowym UE nie uwzględniono powiązanych gwarantowanych aktywów.</w:t>
      </w:r>
    </w:p>
    <w:p w:rsidR="0043277E" w:rsidRDefault="000F2348">
      <w:pPr>
        <w:pStyle w:val="DGTextstand-alone"/>
      </w:pPr>
      <w:r>
        <w:t xml:space="preserve">Gwarancja UE udzielona grupie EBI w ramach EFIS została ujęta jako </w:t>
      </w:r>
      <w:r>
        <w:t xml:space="preserve">zobowiązanie z tytułu gwarancji finansowej w odniesieniu do portfela dłużnego IIW (zob. informacja dodatkowa </w:t>
      </w:r>
      <w:r>
        <w:rPr>
          <w:b/>
        </w:rPr>
        <w:t>2.11.3</w:t>
      </w:r>
      <w:r>
        <w:t>), jako rezerwa finansowa w odniesieniu do portfela dłużnego segmentu MŚP (SMEW), oraz jako instrument pochodny (aktywa lub zobowiązanie fina</w:t>
      </w:r>
      <w:r>
        <w:t xml:space="preserve">nsowe wyceniane według wartości godziwej przez nadwyżkę lub deficyt) w odniesieniu do obu portfeli kapitałowych (zob. informacja dodatkowa </w:t>
      </w:r>
      <w:r>
        <w:rPr>
          <w:b/>
        </w:rPr>
        <w:t>2.4.2</w:t>
      </w:r>
      <w:r>
        <w:t>). Ponadto w niniejszej informacji dodatkowej ujawniono zobowiązanie warunkowe związane z udzieloną gwarancją EF</w:t>
      </w:r>
      <w:r>
        <w:t>IS. Zobowiązanie warunkowe EFIS obejmuje działania w ramach programów COSME, „Horyzont 2020”, programów dotyczących sektora kultury i sektora kreatywnego objętych LGF oraz programów EaSI w części objętej unijną gwarancją EFIS w ramach portfela dłużnego seg</w:t>
      </w:r>
      <w:r>
        <w:t xml:space="preserve">mentu MŚP (SMEW); zobowiązanie to wykazuje się po potrąceniu rezerw finansowych w wysokości 74 mln EUR ujętych w tym portfelu, zgodnie z danymi przedstawionymi w pozycji „Rezerwy finansowe” w informacji dodatkowej </w:t>
      </w:r>
      <w:r>
        <w:rPr>
          <w:b/>
        </w:rPr>
        <w:t>2.10</w:t>
      </w:r>
      <w:r>
        <w:t>.</w:t>
      </w:r>
    </w:p>
    <w:p w:rsidR="0043277E" w:rsidRDefault="000F2348">
      <w:pPr>
        <w:pStyle w:val="DGTextstand-alone"/>
      </w:pPr>
      <w:r>
        <w:lastRenderedPageBreak/>
        <w:t>Wypłat z tytułu gwarancji UE nieobję</w:t>
      </w:r>
      <w:r>
        <w:t xml:space="preserve">tych przychodami UE zaliczanymi na poczet rachunku rozliczeniowego EFIS prowadzonego w EBI dokonuje Fundusz Gwarancyjny EFIS – zob. informacja dodatkowa </w:t>
      </w:r>
      <w:r>
        <w:rPr>
          <w:b/>
        </w:rPr>
        <w:t>2.4.1</w:t>
      </w:r>
      <w:r>
        <w:t>. W 2019 r. z Funduszu Gwarancyjnego EFIS w ramach uruchomionych gwarancji nie wypłacono żadnych k</w:t>
      </w:r>
      <w:r>
        <w:t>wot (w 2018 r.: 61 mln EUR).</w:t>
      </w:r>
    </w:p>
    <w:p w:rsidR="0043277E" w:rsidRDefault="000F2348">
      <w:pPr>
        <w:pStyle w:val="HEADER5"/>
        <w:keepNext/>
        <w:rPr>
          <w:noProof/>
        </w:rPr>
      </w:pPr>
      <w:r>
        <w:rPr>
          <w:noProof/>
        </w:rPr>
        <w:t>Europejski Fundusz na rzecz Zrównoważonego Rozwoju (EFZR)</w:t>
      </w:r>
    </w:p>
    <w:p w:rsidR="0043277E" w:rsidRDefault="000F2348">
      <w:pPr>
        <w:pStyle w:val="HEADER3NOTES"/>
        <w:numPr>
          <w:ilvl w:val="0"/>
          <w:numId w:val="0"/>
        </w:numPr>
        <w:jc w:val="both"/>
        <w:rPr>
          <w:rFonts w:eastAsia="Calibri"/>
          <w:noProof/>
          <w:color w:val="auto"/>
          <w:sz w:val="18"/>
          <w:szCs w:val="18"/>
        </w:rPr>
      </w:pPr>
      <w:r>
        <w:rPr>
          <w:noProof/>
          <w:color w:val="auto"/>
          <w:sz w:val="18"/>
          <w:szCs w:val="18"/>
        </w:rPr>
        <w:t>Europejski Fundusz na rzecz Zrównoważonego Rozwoju ustanowiony na mocy rozporządzenia w sprawie EFZR to inicjatywa mająca na celu wspieranie inwestycji w Afryce i inwest</w:t>
      </w:r>
      <w:r>
        <w:rPr>
          <w:noProof/>
          <w:color w:val="auto"/>
          <w:sz w:val="18"/>
          <w:szCs w:val="18"/>
        </w:rPr>
        <w:t>ycji w ramach europejskiej polityki sąsiedztwa, aby przyczynić się do zapewnienia zrównoważonego rozwoju i odnieść się do konkretnych społeczno-ekonomicznych przyczyn migracji. Zgodnie z rozporządzeniem w sprawie EFZR UE powinna udostępnić partnerom wykona</w:t>
      </w:r>
      <w:r>
        <w:rPr>
          <w:noProof/>
          <w:color w:val="auto"/>
          <w:sz w:val="18"/>
          <w:szCs w:val="18"/>
        </w:rPr>
        <w:t>wczym gwarancje opiewające na kwotę 1,5 mld EUR (dodatkowo zwiększane wkładami zewnętrznymi) na realizację inwestycji i operacji finansowych, aby zmniejszyć poziom ich ryzyka inwestycyjnego. Gwarancja EFZR jest realizowana przy wsparciu funduszu gwarancyjn</w:t>
      </w:r>
      <w:r>
        <w:rPr>
          <w:noProof/>
          <w:color w:val="auto"/>
          <w:sz w:val="18"/>
          <w:szCs w:val="18"/>
        </w:rPr>
        <w:t xml:space="preserve">ego EFZR (zob. informacja dodatkowa </w:t>
      </w:r>
      <w:r>
        <w:rPr>
          <w:b/>
          <w:noProof/>
          <w:color w:val="auto"/>
          <w:sz w:val="18"/>
          <w:szCs w:val="18"/>
        </w:rPr>
        <w:t>2.4.1</w:t>
      </w:r>
      <w:r>
        <w:rPr>
          <w:noProof/>
          <w:color w:val="auto"/>
          <w:sz w:val="18"/>
          <w:szCs w:val="18"/>
        </w:rPr>
        <w:t xml:space="preserve">). Na dzień 31 grudnia 2019 r. obowiązywała jedna umowa gwarancyjna EFZR, mianowicie „Ramy na rzecz zwiększenia skali inwestycji w energię ze źródeł odnawialnych”, ale partner wykonawczy – EBOR – nie podpisał </w:t>
      </w:r>
      <w:r>
        <w:rPr>
          <w:noProof/>
          <w:color w:val="auto"/>
          <w:sz w:val="18"/>
          <w:szCs w:val="18"/>
        </w:rPr>
        <w:t>żadnych umów dotyczących podstawowych operacji finansowych.</w:t>
      </w:r>
    </w:p>
    <w:p w:rsidR="0043277E" w:rsidRDefault="000F2348">
      <w:pPr>
        <w:rPr>
          <w:rFonts w:ascii="Verdana" w:hAnsi="Verdana"/>
          <w:noProof/>
          <w:color w:val="016794"/>
          <w:sz w:val="20"/>
          <w:szCs w:val="20"/>
        </w:rPr>
      </w:pPr>
      <w:r>
        <w:rPr>
          <w:noProof/>
        </w:rPr>
        <w:br w:type="page"/>
      </w:r>
    </w:p>
    <w:p w:rsidR="0043277E" w:rsidRDefault="000F2348">
      <w:pPr>
        <w:pStyle w:val="HEADER3NOTES"/>
        <w:rPr>
          <w:noProof/>
        </w:rPr>
      </w:pPr>
      <w:r>
        <w:rPr>
          <w:noProof/>
        </w:rPr>
        <w:lastRenderedPageBreak/>
        <w:t>Gwarancje związane z pomocą finansową (operacje zaciągania i udzielania pożyczek)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310"/>
        <w:gridCol w:w="1312"/>
        <w:gridCol w:w="1310"/>
        <w:gridCol w:w="1312"/>
        <w:gridCol w:w="1310"/>
        <w:gridCol w:w="1312"/>
      </w:tblGrid>
      <w:tr w:rsidR="0043277E">
        <w:trPr>
          <w:trHeight w:val="255"/>
        </w:trPr>
        <w:tc>
          <w:tcPr>
            <w:tcW w:w="170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GUARFA"/>
              <w:rPr>
                <w:rFonts w:ascii="Arial" w:eastAsia="Arial" w:hAnsi="Arial" w:cs="Arial"/>
                <w:noProof/>
                <w:color w:val="000000"/>
              </w:rPr>
            </w:pPr>
            <w:bookmarkStart w:id="135" w:name="DOC_TBL00074_1_1"/>
            <w:bookmarkEnd w:id="135"/>
          </w:p>
        </w:tc>
        <w:tc>
          <w:tcPr>
            <w:tcW w:w="11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GUARFA"/>
              <w:rPr>
                <w:rFonts w:ascii="Arial" w:eastAsia="Arial" w:hAnsi="Arial" w:cs="Arial"/>
                <w:noProof/>
                <w:color w:val="000000"/>
              </w:rPr>
            </w:pPr>
          </w:p>
        </w:tc>
        <w:tc>
          <w:tcPr>
            <w:tcW w:w="11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GUARFA"/>
              <w:rPr>
                <w:rFonts w:ascii="Arial" w:eastAsia="Arial" w:hAnsi="Arial" w:cs="Arial"/>
                <w:noProof/>
                <w:color w:val="000000"/>
              </w:rPr>
            </w:pPr>
          </w:p>
        </w:tc>
        <w:tc>
          <w:tcPr>
            <w:tcW w:w="11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GUARFA"/>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GUARF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170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58BIPGUARFA"/>
              <w:rPr>
                <w:rFonts w:ascii="Verdana" w:eastAsia="Verdana" w:hAnsi="Verdana" w:cs="Verdana"/>
                <w:noProof/>
                <w:color w:val="FFFFFF"/>
              </w:rPr>
            </w:pPr>
          </w:p>
        </w:tc>
        <w:tc>
          <w:tcPr>
            <w:tcW w:w="1178"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center"/>
              <w:rPr>
                <w:rFonts w:ascii="Verdana" w:eastAsia="Verdana" w:hAnsi="Verdana" w:cs="Verdana"/>
                <w:noProof/>
                <w:color w:val="FFFFFF"/>
              </w:rPr>
            </w:pPr>
            <w:r>
              <w:rPr>
                <w:rFonts w:ascii="Verdana" w:hAnsi="Verdana"/>
                <w:noProof/>
                <w:color w:val="FFFFFF"/>
              </w:rPr>
              <w:t>31.12.2019</w:t>
            </w:r>
          </w:p>
        </w:tc>
        <w:tc>
          <w:tcPr>
            <w:tcW w:w="1179"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center"/>
              <w:rPr>
                <w:rFonts w:ascii="Verdana" w:eastAsia="Verdana" w:hAnsi="Verdana" w:cs="Verdana"/>
                <w:noProof/>
                <w:color w:val="FFFFFF"/>
              </w:rPr>
            </w:pPr>
            <w:r>
              <w:rPr>
                <w:rFonts w:ascii="Verdana" w:hAnsi="Verdana"/>
                <w:noProof/>
                <w:color w:val="FFFFFF"/>
              </w:rPr>
              <w:t>31.12.2018</w:t>
            </w:r>
          </w:p>
        </w:tc>
      </w:tr>
      <w:tr w:rsidR="0043277E">
        <w:trPr>
          <w:trHeight w:val="255"/>
        </w:trPr>
        <w:tc>
          <w:tcPr>
            <w:tcW w:w="170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58BIPGUARFA"/>
              <w:rPr>
                <w:rFonts w:ascii="Verdana" w:eastAsia="Verdana" w:hAnsi="Verdana" w:cs="Verdana"/>
                <w:noProof/>
                <w:color w:val="FFFFFF"/>
              </w:rPr>
            </w:pP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right"/>
              <w:rPr>
                <w:rFonts w:ascii="Verdana" w:eastAsia="Verdana" w:hAnsi="Verdana" w:cs="Verdana"/>
                <w:noProof/>
                <w:color w:val="FFFFFF"/>
              </w:rPr>
            </w:pPr>
            <w:r>
              <w:rPr>
                <w:rFonts w:ascii="Verdana" w:hAnsi="Verdana"/>
                <w:noProof/>
                <w:color w:val="FFFFFF"/>
              </w:rPr>
              <w:t>Wykorzystane</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right"/>
              <w:rPr>
                <w:rFonts w:ascii="Verdana" w:eastAsia="Verdana" w:hAnsi="Verdana" w:cs="Verdana"/>
                <w:noProof/>
                <w:color w:val="FFFFFF"/>
              </w:rPr>
            </w:pPr>
            <w:r>
              <w:rPr>
                <w:rFonts w:ascii="Verdana" w:hAnsi="Verdana"/>
                <w:noProof/>
                <w:color w:val="FFFFFF"/>
              </w:rPr>
              <w:t>Niewykorzystane</w:t>
            </w: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right"/>
              <w:rPr>
                <w:rFonts w:ascii="Verdana" w:eastAsia="Verdana" w:hAnsi="Verdana" w:cs="Verdana"/>
                <w:noProof/>
                <w:color w:val="FFFFFF"/>
              </w:rPr>
            </w:pPr>
            <w:r>
              <w:rPr>
                <w:rFonts w:ascii="Verdana" w:hAnsi="Verdana"/>
                <w:noProof/>
                <w:color w:val="FFFFFF"/>
              </w:rPr>
              <w:t>Ogółem</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right"/>
              <w:rPr>
                <w:rFonts w:ascii="Verdana" w:eastAsia="Verdana" w:hAnsi="Verdana" w:cs="Verdana"/>
                <w:noProof/>
                <w:color w:val="FFFFFF"/>
              </w:rPr>
            </w:pPr>
            <w:r>
              <w:rPr>
                <w:rFonts w:ascii="Verdana" w:hAnsi="Verdana"/>
                <w:noProof/>
                <w:color w:val="FFFFFF"/>
              </w:rPr>
              <w:t>Wykorzystane</w:t>
            </w:r>
          </w:p>
        </w:tc>
        <w:tc>
          <w:tcPr>
            <w:tcW w:w="11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right"/>
              <w:rPr>
                <w:rFonts w:ascii="Verdana" w:eastAsia="Verdana" w:hAnsi="Verdana" w:cs="Verdana"/>
                <w:noProof/>
                <w:color w:val="FFFFFF"/>
              </w:rPr>
            </w:pPr>
            <w:r>
              <w:rPr>
                <w:rFonts w:ascii="Verdana" w:hAnsi="Verdana"/>
                <w:noProof/>
                <w:color w:val="FFFFFF"/>
              </w:rPr>
              <w:t>Niewykorzystane</w:t>
            </w:r>
          </w:p>
        </w:tc>
        <w:tc>
          <w:tcPr>
            <w:tcW w:w="117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GUARFA"/>
              <w:jc w:val="right"/>
              <w:rPr>
                <w:rFonts w:ascii="Verdana" w:eastAsia="Verdana" w:hAnsi="Verdana" w:cs="Verdana"/>
                <w:noProof/>
                <w:color w:val="FFFFFF"/>
              </w:rPr>
            </w:pPr>
            <w:r>
              <w:rPr>
                <w:rFonts w:ascii="Verdana" w:hAnsi="Verdana"/>
                <w:noProof/>
                <w:color w:val="FFFFFF"/>
              </w:rPr>
              <w:t>Ogółem</w:t>
            </w:r>
          </w:p>
        </w:tc>
      </w:tr>
      <w:tr w:rsidR="0043277E">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rPr>
                <w:rFonts w:ascii="Verdana" w:eastAsia="Verdana" w:hAnsi="Verdana" w:cs="Verdana"/>
                <w:i/>
                <w:noProof/>
                <w:color w:val="000000"/>
                <w:sz w:val="18"/>
              </w:rPr>
            </w:pPr>
            <w:r>
              <w:rPr>
                <w:rFonts w:ascii="Verdana" w:hAnsi="Verdana"/>
                <w:i/>
                <w:noProof/>
                <w:color w:val="000000"/>
                <w:sz w:val="18"/>
              </w:rPr>
              <w:t>EFSM</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47 394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47 394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47 400</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47 400</w:t>
            </w:r>
          </w:p>
        </w:tc>
      </w:tr>
      <w:tr w:rsidR="0043277E">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rPr>
                <w:rFonts w:ascii="Verdana" w:eastAsia="Verdana" w:hAnsi="Verdana" w:cs="Verdana"/>
                <w:i/>
                <w:noProof/>
                <w:color w:val="000000"/>
                <w:sz w:val="18"/>
              </w:rPr>
            </w:pPr>
            <w:r>
              <w:rPr>
                <w:rFonts w:ascii="Verdana" w:hAnsi="Verdana"/>
                <w:i/>
                <w:noProof/>
                <w:color w:val="000000"/>
                <w:sz w:val="18"/>
              </w:rPr>
              <w:t>Wsparcie bilansu płatniczego</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1 734</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1 734</w:t>
            </w:r>
          </w:p>
        </w:tc>
      </w:tr>
      <w:tr w:rsidR="0043277E">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rPr>
                <w:rFonts w:ascii="Verdana" w:eastAsia="Verdana" w:hAnsi="Verdana" w:cs="Verdana"/>
                <w:i/>
                <w:noProof/>
                <w:color w:val="000000"/>
                <w:sz w:val="18"/>
              </w:rPr>
            </w:pPr>
            <w:r>
              <w:rPr>
                <w:rFonts w:ascii="Verdana" w:hAnsi="Verdana"/>
                <w:i/>
                <w:noProof/>
                <w:color w:val="000000"/>
                <w:sz w:val="18"/>
              </w:rPr>
              <w:t>Pomoc makrofinansowa</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4 754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560</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5 314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4 388</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980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5 368</w:t>
            </w:r>
          </w:p>
        </w:tc>
      </w:tr>
      <w:tr w:rsidR="0043277E">
        <w:trPr>
          <w:trHeight w:val="255"/>
        </w:trPr>
        <w:tc>
          <w:tcPr>
            <w:tcW w:w="17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rPr>
                <w:rFonts w:ascii="Verdana" w:eastAsia="Verdana" w:hAnsi="Verdana" w:cs="Verdana"/>
                <w:i/>
                <w:noProof/>
                <w:color w:val="000000"/>
                <w:sz w:val="18"/>
              </w:rPr>
            </w:pPr>
            <w:r>
              <w:rPr>
                <w:rFonts w:ascii="Verdana" w:hAnsi="Verdana"/>
                <w:i/>
                <w:noProof/>
                <w:color w:val="000000"/>
                <w:sz w:val="18"/>
              </w:rPr>
              <w:t>Euratom</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200</w:t>
            </w:r>
          </w:p>
        </w:tc>
        <w:tc>
          <w:tcPr>
            <w:tcW w:w="1178" w:type="dxa"/>
            <w:tcBorders>
              <w:top w:val="nil"/>
              <w:left w:val="nil"/>
              <w:bottom w:val="nil"/>
              <w:right w:val="single" w:sz="4" w:space="0" w:color="016794"/>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414</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254</w:t>
            </w:r>
          </w:p>
        </w:tc>
        <w:tc>
          <w:tcPr>
            <w:tcW w:w="11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200</w:t>
            </w:r>
          </w:p>
        </w:tc>
        <w:tc>
          <w:tcPr>
            <w:tcW w:w="11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454</w:t>
            </w:r>
          </w:p>
        </w:tc>
      </w:tr>
      <w:tr w:rsidR="0043277E">
        <w:trPr>
          <w:trHeight w:val="255"/>
        </w:trPr>
        <w:tc>
          <w:tcPr>
            <w:tcW w:w="170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8BIPGUARFA"/>
              <w:rPr>
                <w:rFonts w:ascii="Verdana" w:eastAsia="Verdana" w:hAnsi="Verdana" w:cs="Verdana"/>
                <w:b/>
                <w:noProof/>
                <w:color w:val="000000"/>
                <w:sz w:val="18"/>
              </w:rPr>
            </w:pPr>
            <w:r>
              <w:rPr>
                <w:rFonts w:ascii="Verdana" w:hAnsi="Verdana"/>
                <w:b/>
                <w:noProof/>
                <w:color w:val="000000"/>
                <w:sz w:val="18"/>
              </w:rPr>
              <w:t>Ogółem</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8BIPGUARFA"/>
              <w:jc w:val="right"/>
              <w:rPr>
                <w:rFonts w:ascii="Verdana" w:eastAsia="Verdana" w:hAnsi="Verdana" w:cs="Verdana"/>
                <w:b/>
                <w:noProof/>
                <w:color w:val="000000"/>
                <w:sz w:val="18"/>
              </w:rPr>
            </w:pPr>
            <w:r>
              <w:rPr>
                <w:rFonts w:ascii="Verdana" w:hAnsi="Verdana"/>
                <w:b/>
                <w:noProof/>
                <w:color w:val="000000"/>
                <w:sz w:val="18"/>
              </w:rPr>
              <w:t>52 564</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8BIPGUARFA"/>
              <w:jc w:val="right"/>
              <w:rPr>
                <w:rFonts w:ascii="Verdana" w:eastAsia="Verdana" w:hAnsi="Verdana" w:cs="Verdana"/>
                <w:b/>
                <w:noProof/>
                <w:color w:val="000000"/>
                <w:sz w:val="18"/>
              </w:rPr>
            </w:pPr>
            <w:r>
              <w:rPr>
                <w:rFonts w:ascii="Verdana" w:hAnsi="Verdana"/>
                <w:b/>
                <w:noProof/>
                <w:color w:val="000000"/>
                <w:sz w:val="18"/>
              </w:rPr>
              <w:t xml:space="preserve"> 760</w:t>
            </w:r>
          </w:p>
        </w:tc>
        <w:tc>
          <w:tcPr>
            <w:tcW w:w="1178" w:type="dxa"/>
            <w:tcBorders>
              <w:top w:val="nil"/>
              <w:left w:val="nil"/>
              <w:bottom w:val="nil"/>
              <w:right w:val="single" w:sz="4" w:space="0" w:color="016794"/>
              <w:tl2br w:val="nil"/>
              <w:tr2bl w:val="nil"/>
            </w:tcBorders>
            <w:shd w:val="solid" w:color="CCE1EA" w:fill="FFFFFF"/>
            <w:tcMar>
              <w:left w:w="60" w:type="dxa"/>
              <w:right w:w="60" w:type="dxa"/>
            </w:tcMar>
            <w:vAlign w:val="center"/>
          </w:tcPr>
          <w:p w:rsidR="0043277E" w:rsidRDefault="000F2348">
            <w:pPr>
              <w:pStyle w:val="DMETW16558BIPGUARFA"/>
              <w:jc w:val="right"/>
              <w:rPr>
                <w:rFonts w:ascii="Verdana" w:eastAsia="Verdana" w:hAnsi="Verdana" w:cs="Verdana"/>
                <w:b/>
                <w:noProof/>
                <w:color w:val="000000"/>
                <w:sz w:val="18"/>
              </w:rPr>
            </w:pPr>
            <w:r>
              <w:rPr>
                <w:rFonts w:ascii="Verdana" w:hAnsi="Verdana"/>
                <w:b/>
                <w:noProof/>
                <w:color w:val="000000"/>
                <w:sz w:val="18"/>
              </w:rPr>
              <w:t>53 324</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8BIPGUARFA"/>
              <w:jc w:val="right"/>
              <w:rPr>
                <w:rFonts w:ascii="Verdana" w:eastAsia="Verdana" w:hAnsi="Verdana" w:cs="Verdana"/>
                <w:b/>
                <w:noProof/>
                <w:color w:val="000000"/>
                <w:sz w:val="18"/>
              </w:rPr>
            </w:pPr>
            <w:r>
              <w:rPr>
                <w:rFonts w:ascii="Verdana" w:hAnsi="Verdana"/>
                <w:b/>
                <w:noProof/>
                <w:color w:val="000000"/>
                <w:sz w:val="18"/>
              </w:rPr>
              <w:t>53 775</w:t>
            </w:r>
          </w:p>
        </w:tc>
        <w:tc>
          <w:tcPr>
            <w:tcW w:w="11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8BIPGUARFA"/>
              <w:jc w:val="right"/>
              <w:rPr>
                <w:rFonts w:ascii="Verdana" w:eastAsia="Verdana" w:hAnsi="Verdana" w:cs="Verdana"/>
                <w:b/>
                <w:noProof/>
                <w:color w:val="000000"/>
                <w:sz w:val="18"/>
              </w:rPr>
            </w:pPr>
            <w:r>
              <w:rPr>
                <w:rFonts w:ascii="Verdana" w:hAnsi="Verdana"/>
                <w:b/>
                <w:noProof/>
                <w:color w:val="000000"/>
                <w:sz w:val="18"/>
              </w:rPr>
              <w:t>1 180</w:t>
            </w:r>
          </w:p>
        </w:tc>
        <w:tc>
          <w:tcPr>
            <w:tcW w:w="117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8BIPGUARFA"/>
              <w:jc w:val="right"/>
              <w:rPr>
                <w:rFonts w:ascii="Verdana" w:eastAsia="Verdana" w:hAnsi="Verdana" w:cs="Verdana"/>
                <w:b/>
                <w:noProof/>
                <w:color w:val="000000"/>
                <w:sz w:val="18"/>
              </w:rPr>
            </w:pPr>
            <w:r>
              <w:rPr>
                <w:rFonts w:ascii="Verdana" w:hAnsi="Verdana"/>
                <w:b/>
                <w:noProof/>
                <w:color w:val="000000"/>
                <w:sz w:val="18"/>
              </w:rPr>
              <w:t>54 955</w:t>
            </w:r>
          </w:p>
        </w:tc>
      </w:tr>
    </w:tbl>
    <w:p w:rsidR="0043277E" w:rsidRDefault="000F2348">
      <w:pPr>
        <w:pStyle w:val="DGTextstand-alone"/>
      </w:pPr>
      <w:r>
        <w:t>Gwarancje budżetowe UE obejmują pożyczki zaciągnięte przez Komisję w celu sfinansowania pożyczek udzielanych państwom członkowskim i państwom spoza UE w ramach transakcji zabezpieczających. Wspomniane zaciągnięte pożyczki ujęto już jako zobowiązania w bila</w:t>
      </w:r>
      <w:r>
        <w:t xml:space="preserve">nsie UE – zob. informacja dodatkowa </w:t>
      </w:r>
      <w:r>
        <w:rPr>
          <w:b/>
        </w:rPr>
        <w:t>2.11.1</w:t>
      </w:r>
      <w:r>
        <w:t>. W przypadku niewykonania zobowiązań z tytułu pożyczek wzajemnych udzielonych z zaciągniętych pożyczek pełne koszty zaległych kwot zostałyby jednak pokryte z budżetu UE zgodnie z art. 14 rozporządzenia Rady 2014/6</w:t>
      </w:r>
      <w:r>
        <w:t>09:</w:t>
      </w:r>
    </w:p>
    <w:p w:rsidR="0043277E" w:rsidRDefault="000F2348">
      <w:pPr>
        <w:pStyle w:val="DGTextstand-alone"/>
        <w:numPr>
          <w:ilvl w:val="0"/>
          <w:numId w:val="30"/>
        </w:numPr>
      </w:pPr>
      <w:r>
        <w:t>zaciągnięte pożyczki związane z pożyczkami wypłaconymi w ramach EFSM są gwarantowane wyłącznie przez budżet UE;</w:t>
      </w:r>
    </w:p>
    <w:p w:rsidR="0043277E" w:rsidRDefault="000F2348">
      <w:pPr>
        <w:pStyle w:val="DGTextstand-alone"/>
        <w:numPr>
          <w:ilvl w:val="0"/>
          <w:numId w:val="30"/>
        </w:numPr>
      </w:pPr>
      <w:r>
        <w:t>zaciągnięte pożyczki związane z pożyczkami wypłaconymi w ramach bilansu płatniczego są gwarantowane wyłącznie przez budżet UE;</w:t>
      </w:r>
    </w:p>
    <w:p w:rsidR="0043277E" w:rsidRDefault="000F2348">
      <w:pPr>
        <w:pStyle w:val="DGTextstand-alone"/>
        <w:numPr>
          <w:ilvl w:val="0"/>
          <w:numId w:val="30"/>
        </w:numPr>
      </w:pPr>
      <w:r>
        <w:t>pożyczki na p</w:t>
      </w:r>
      <w:r>
        <w:t xml:space="preserve">omoc makrofinansową są przede wszystkim objęte gwarancją z Funduszu Gwarancyjnego dla działań zewnętrznych (zob. informacja dodatkowa </w:t>
      </w:r>
      <w:r>
        <w:rPr>
          <w:b/>
        </w:rPr>
        <w:t>2.4.1</w:t>
      </w:r>
      <w:r>
        <w:t xml:space="preserve">), a następnie z budżetu UE; oraz </w:t>
      </w:r>
    </w:p>
    <w:p w:rsidR="0043277E" w:rsidRDefault="000F2348">
      <w:pPr>
        <w:pStyle w:val="DGTextstand-alone"/>
        <w:numPr>
          <w:ilvl w:val="0"/>
          <w:numId w:val="30"/>
        </w:numPr>
      </w:pPr>
      <w:r>
        <w:t xml:space="preserve">gwarancje od osób trzecich stanowią pierwsze zabezpieczenie całych kwot </w:t>
      </w:r>
      <w:r>
        <w:t>niespłaconych pożyczek Euratomu. Fundusz Gwarancyjny pokryłby kwoty zewnętrznych operacji udzielania pożyczek, gdyby gwaranci będącymi osobami trzecimi nie przyznawali gwarancji na te kwoty.</w:t>
      </w:r>
    </w:p>
    <w:p w:rsidR="0043277E" w:rsidRDefault="000F2348">
      <w:pPr>
        <w:pStyle w:val="HEADER3NOTES"/>
        <w:rPr>
          <w:noProof/>
        </w:rPr>
      </w:pPr>
      <w:r>
        <w:rPr>
          <w:noProof/>
        </w:rPr>
        <w:t>Gwarancje udzielone na instrumenty finansowe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1"/>
        <w:gridCol w:w="2089"/>
        <w:gridCol w:w="2178"/>
      </w:tblGrid>
      <w:tr w:rsidR="0043277E">
        <w:trPr>
          <w:trHeight w:val="255"/>
        </w:trPr>
        <w:tc>
          <w:tcPr>
            <w:tcW w:w="370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INSGUA"/>
              <w:rPr>
                <w:rFonts w:ascii="Arial" w:eastAsia="Arial" w:hAnsi="Arial" w:cs="Arial"/>
                <w:noProof/>
                <w:color w:val="000000"/>
              </w:rPr>
            </w:pPr>
            <w:bookmarkStart w:id="136" w:name="DOC_TBL00075_1_1"/>
            <w:bookmarkEnd w:id="136"/>
          </w:p>
        </w:tc>
        <w:tc>
          <w:tcPr>
            <w:tcW w:w="141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58BIPINSGUA"/>
              <w:rPr>
                <w:rFonts w:ascii="Arial" w:eastAsia="Arial" w:hAnsi="Arial" w:cs="Arial"/>
                <w:noProof/>
                <w:color w:val="000000"/>
              </w:rPr>
            </w:pPr>
          </w:p>
        </w:tc>
        <w:tc>
          <w:tcPr>
            <w:tcW w:w="147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705"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58BIPINSGUA"/>
              <w:rPr>
                <w:rFonts w:ascii="Verdana" w:eastAsia="Verdana" w:hAnsi="Verdana" w:cs="Verdana"/>
                <w:noProof/>
                <w:color w:val="FFFFFF"/>
              </w:rPr>
            </w:pPr>
          </w:p>
        </w:tc>
        <w:tc>
          <w:tcPr>
            <w:tcW w:w="141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INSGUA"/>
              <w:jc w:val="right"/>
              <w:rPr>
                <w:rFonts w:ascii="Verdana" w:eastAsia="Verdana" w:hAnsi="Verdana" w:cs="Verdana"/>
                <w:noProof/>
                <w:color w:val="FFFFFF"/>
              </w:rPr>
            </w:pPr>
            <w:r>
              <w:rPr>
                <w:rFonts w:ascii="Verdana" w:hAnsi="Verdana"/>
                <w:noProof/>
                <w:color w:val="FFFFFF"/>
              </w:rPr>
              <w:t>31.</w:t>
            </w:r>
            <w:r>
              <w:rPr>
                <w:rFonts w:ascii="Verdana" w:hAnsi="Verdana"/>
                <w:noProof/>
                <w:color w:val="FFFFFF"/>
              </w:rPr>
              <w:t>12.2019</w:t>
            </w:r>
          </w:p>
        </w:tc>
        <w:tc>
          <w:tcPr>
            <w:tcW w:w="147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58BIPINSGUA"/>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INSGUA"/>
              <w:rPr>
                <w:rFonts w:ascii="Verdana" w:eastAsia="Verdana" w:hAnsi="Verdana" w:cs="Verdana"/>
                <w:i/>
                <w:noProof/>
                <w:color w:val="000000"/>
                <w:sz w:val="18"/>
              </w:rPr>
            </w:pPr>
            <w:r>
              <w:rPr>
                <w:rFonts w:ascii="Verdana" w:hAnsi="Verdana"/>
                <w:i/>
                <w:noProof/>
                <w:color w:val="000000"/>
                <w:sz w:val="18"/>
              </w:rPr>
              <w:t>„Horyzont 2020”</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1 584</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1 467</w:t>
            </w:r>
          </w:p>
        </w:tc>
      </w:tr>
      <w:tr w:rsidR="0043277E">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INSGUA"/>
              <w:rPr>
                <w:rFonts w:ascii="Verdana" w:eastAsia="Verdana" w:hAnsi="Verdana" w:cs="Verdana"/>
                <w:i/>
                <w:noProof/>
                <w:color w:val="000000"/>
                <w:sz w:val="18"/>
              </w:rPr>
            </w:pPr>
            <w:r>
              <w:rPr>
                <w:rFonts w:ascii="Verdana" w:hAnsi="Verdana"/>
                <w:i/>
                <w:noProof/>
                <w:color w:val="000000"/>
                <w:sz w:val="18"/>
              </w:rPr>
              <w:t>Program finansowania zgodnie z systemem podziału ryzyka</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110</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642</w:t>
            </w:r>
          </w:p>
        </w:tc>
      </w:tr>
      <w:tr w:rsidR="0043277E">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INSGUA"/>
              <w:rPr>
                <w:rFonts w:ascii="Verdana" w:eastAsia="Verdana" w:hAnsi="Verdana" w:cs="Verdana"/>
                <w:i/>
                <w:noProof/>
                <w:color w:val="000000"/>
                <w:sz w:val="18"/>
              </w:rPr>
            </w:pPr>
            <w:r>
              <w:rPr>
                <w:rFonts w:ascii="Verdana" w:hAnsi="Verdana"/>
                <w:i/>
                <w:noProof/>
                <w:color w:val="000000"/>
                <w:sz w:val="18"/>
              </w:rPr>
              <w:t>Instrument „Łącząc Europę”</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684</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579</w:t>
            </w:r>
          </w:p>
        </w:tc>
      </w:tr>
      <w:tr w:rsidR="0043277E">
        <w:trPr>
          <w:trHeight w:val="255"/>
        </w:trPr>
        <w:tc>
          <w:tcPr>
            <w:tcW w:w="37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58BIPINSGUA"/>
              <w:rPr>
                <w:rFonts w:ascii="Verdana" w:eastAsia="Verdana" w:hAnsi="Verdana" w:cs="Verdana"/>
                <w:i/>
                <w:noProof/>
                <w:color w:val="000000"/>
                <w:sz w:val="18"/>
              </w:rPr>
            </w:pPr>
            <w:r>
              <w:rPr>
                <w:rFonts w:ascii="Verdana" w:hAnsi="Verdana"/>
                <w:i/>
                <w:noProof/>
                <w:color w:val="000000"/>
                <w:sz w:val="18"/>
              </w:rPr>
              <w:t>Inne</w:t>
            </w:r>
          </w:p>
        </w:tc>
        <w:tc>
          <w:tcPr>
            <w:tcW w:w="141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38</w:t>
            </w:r>
          </w:p>
        </w:tc>
        <w:tc>
          <w:tcPr>
            <w:tcW w:w="147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29</w:t>
            </w:r>
          </w:p>
        </w:tc>
      </w:tr>
      <w:tr w:rsidR="0043277E">
        <w:trPr>
          <w:trHeight w:val="255"/>
        </w:trPr>
        <w:tc>
          <w:tcPr>
            <w:tcW w:w="370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58BIPINSGUA"/>
              <w:rPr>
                <w:rFonts w:ascii="Verdana" w:eastAsia="Verdana" w:hAnsi="Verdana" w:cs="Verdana"/>
                <w:b/>
                <w:noProof/>
                <w:color w:val="000000"/>
                <w:sz w:val="18"/>
              </w:rPr>
            </w:pPr>
            <w:r>
              <w:rPr>
                <w:rFonts w:ascii="Verdana" w:hAnsi="Verdana"/>
                <w:b/>
                <w:noProof/>
                <w:color w:val="000000"/>
                <w:sz w:val="18"/>
              </w:rPr>
              <w:t>Ogółem</w:t>
            </w:r>
          </w:p>
        </w:tc>
        <w:tc>
          <w:tcPr>
            <w:tcW w:w="1410"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558BIPINSGUA"/>
              <w:jc w:val="right"/>
              <w:rPr>
                <w:rFonts w:ascii="Verdana" w:eastAsia="Verdana" w:hAnsi="Verdana" w:cs="Verdana"/>
                <w:b/>
                <w:noProof/>
                <w:color w:val="000000"/>
                <w:sz w:val="18"/>
              </w:rPr>
            </w:pPr>
            <w:r>
              <w:rPr>
                <w:rFonts w:ascii="Verdana" w:hAnsi="Verdana"/>
                <w:b/>
                <w:noProof/>
                <w:color w:val="000000"/>
                <w:sz w:val="18"/>
              </w:rPr>
              <w:t>2 416</w:t>
            </w:r>
          </w:p>
        </w:tc>
        <w:tc>
          <w:tcPr>
            <w:tcW w:w="1470" w:type="dxa"/>
            <w:tcBorders>
              <w:top w:val="nil"/>
              <w:left w:val="nil"/>
              <w:bottom w:val="nil"/>
              <w:right w:val="nil"/>
              <w:tl2br w:val="nil"/>
              <w:tr2bl w:val="nil"/>
            </w:tcBorders>
            <w:shd w:val="solid" w:color="CCE1EA" w:fill="FFFFFF"/>
            <w:tcMar>
              <w:left w:w="60" w:type="dxa"/>
              <w:right w:w="60" w:type="dxa"/>
            </w:tcMar>
            <w:vAlign w:val="bottom"/>
          </w:tcPr>
          <w:p w:rsidR="0043277E" w:rsidRDefault="000F2348">
            <w:pPr>
              <w:pStyle w:val="DMETW16558BIPINSGUA"/>
              <w:jc w:val="right"/>
              <w:rPr>
                <w:rFonts w:ascii="Verdana" w:eastAsia="Verdana" w:hAnsi="Verdana" w:cs="Verdana"/>
                <w:b/>
                <w:noProof/>
                <w:color w:val="000000"/>
                <w:sz w:val="18"/>
              </w:rPr>
            </w:pPr>
            <w:r>
              <w:rPr>
                <w:rFonts w:ascii="Verdana" w:hAnsi="Verdana"/>
                <w:b/>
                <w:noProof/>
                <w:color w:val="000000"/>
                <w:sz w:val="18"/>
              </w:rPr>
              <w:t>2 717</w:t>
            </w:r>
          </w:p>
        </w:tc>
      </w:tr>
    </w:tbl>
    <w:p w:rsidR="0043277E" w:rsidRDefault="000F2348">
      <w:pPr>
        <w:pStyle w:val="DGTextstand-alone"/>
      </w:pPr>
      <w:r>
        <w:t>Jak wspomniano w art. 210 ust. 1 rozporządzenia finansowego, wydatki budżetowe związane z instrumentem finansowym i zakres odpowiedzialności finansowej UE w żadnym wypadku nie przekraczają kwoty zaciągniętego na nie zobowiązania budżetowego, co wyklucza zo</w:t>
      </w:r>
      <w:r>
        <w:t>bowiązania warunkowe dla budżetu. W praktyce oznacza to, że zobowiązania te posiadają w bilansie odpowiednik po stronie aktywów lub są pokrywane z zaległych zobowiązań budżetowych, które nie zostały ujęte jeszcze jako koszty. Powyższe zobowiązania warunkow</w:t>
      </w:r>
      <w:r>
        <w:t xml:space="preserve">e są wykazywane po potrąceniu rezerwy finansowej na te instrumenty i zobowiązań finansowych ujętych dla tych instrumentów – zob. informacje dodatkowe </w:t>
      </w:r>
      <w:r>
        <w:rPr>
          <w:b/>
        </w:rPr>
        <w:t>2.10</w:t>
      </w:r>
      <w:r>
        <w:t xml:space="preserve"> i </w:t>
      </w:r>
      <w:r>
        <w:rPr>
          <w:b/>
        </w:rPr>
        <w:t>2.11.2</w:t>
      </w:r>
      <w:r>
        <w:t>.</w:t>
      </w:r>
    </w:p>
    <w:p w:rsidR="0043277E" w:rsidRDefault="000F2348">
      <w:pPr>
        <w:pStyle w:val="HEADER3NOTES"/>
        <w:keepNext/>
        <w:rPr>
          <w:noProof/>
        </w:rPr>
      </w:pPr>
      <w:r>
        <w:rPr>
          <w:noProof/>
        </w:rPr>
        <w:lastRenderedPageBreak/>
        <w:t>Sprawy sądowe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6"/>
        <w:gridCol w:w="1686"/>
        <w:gridCol w:w="1686"/>
      </w:tblGrid>
      <w:tr w:rsidR="0043277E">
        <w:trPr>
          <w:trHeight w:val="255"/>
        </w:trPr>
        <w:tc>
          <w:tcPr>
            <w:tcW w:w="638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6BIPCL"/>
              <w:keepNext/>
              <w:rPr>
                <w:rFonts w:ascii="Arial" w:eastAsia="Arial" w:hAnsi="Arial" w:cs="Arial"/>
                <w:noProof/>
                <w:color w:val="000000"/>
              </w:rPr>
            </w:pPr>
            <w:bookmarkStart w:id="137" w:name="DOC_TBL00076_1_1"/>
            <w:bookmarkEnd w:id="137"/>
          </w:p>
        </w:tc>
        <w:tc>
          <w:tcPr>
            <w:tcW w:w="168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6BIPCL"/>
              <w:keepNext/>
              <w:rPr>
                <w:rFonts w:ascii="Arial" w:eastAsia="Arial" w:hAnsi="Arial" w:cs="Arial"/>
                <w:noProof/>
                <w:color w:val="000000"/>
              </w:rPr>
            </w:pPr>
          </w:p>
        </w:tc>
        <w:tc>
          <w:tcPr>
            <w:tcW w:w="168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36BIPCL"/>
              <w:keepNex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638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6BIPCL"/>
              <w:keepNext/>
              <w:jc w:val="right"/>
              <w:rPr>
                <w:rFonts w:ascii="Verdana" w:eastAsia="Verdana" w:hAnsi="Verdana" w:cs="Verdana"/>
                <w:noProof/>
                <w:color w:val="FFFFFF"/>
              </w:rPr>
            </w:pPr>
          </w:p>
        </w:tc>
        <w:tc>
          <w:tcPr>
            <w:tcW w:w="168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6BIPCL"/>
              <w:keepNext/>
              <w:jc w:val="right"/>
              <w:rPr>
                <w:rFonts w:ascii="Verdana" w:eastAsia="Verdana" w:hAnsi="Verdana" w:cs="Verdana"/>
                <w:noProof/>
                <w:color w:val="FFFFFF"/>
              </w:rPr>
            </w:pPr>
            <w:r>
              <w:rPr>
                <w:rFonts w:ascii="Verdana" w:hAnsi="Verdana"/>
                <w:noProof/>
                <w:color w:val="FFFFFF"/>
              </w:rPr>
              <w:t>31.12.2019</w:t>
            </w:r>
          </w:p>
        </w:tc>
        <w:tc>
          <w:tcPr>
            <w:tcW w:w="168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6BIPCL"/>
              <w:keepNext/>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keepNext/>
              <w:rPr>
                <w:rFonts w:ascii="Verdana" w:eastAsia="Verdana" w:hAnsi="Verdana" w:cs="Verdana"/>
                <w:i/>
                <w:noProof/>
                <w:color w:val="000000"/>
                <w:sz w:val="18"/>
              </w:rPr>
            </w:pPr>
            <w:r>
              <w:rPr>
                <w:rFonts w:ascii="Verdana" w:hAnsi="Verdana"/>
                <w:i/>
                <w:noProof/>
                <w:color w:val="000000"/>
                <w:sz w:val="18"/>
              </w:rPr>
              <w:t>Grzywny</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keepNext/>
              <w:jc w:val="right"/>
              <w:rPr>
                <w:rFonts w:ascii="Verdana" w:eastAsia="Verdana" w:hAnsi="Verdana" w:cs="Verdana"/>
                <w:i/>
                <w:noProof/>
                <w:color w:val="000000"/>
                <w:sz w:val="18"/>
              </w:rPr>
            </w:pPr>
            <w:r>
              <w:rPr>
                <w:rFonts w:ascii="Verdana" w:hAnsi="Verdana"/>
                <w:i/>
                <w:noProof/>
                <w:color w:val="000000"/>
                <w:sz w:val="18"/>
              </w:rPr>
              <w:t>3 128</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keepNext/>
              <w:jc w:val="right"/>
              <w:rPr>
                <w:rFonts w:ascii="Verdana" w:eastAsia="Verdana" w:hAnsi="Verdana" w:cs="Verdana"/>
                <w:i/>
                <w:noProof/>
                <w:color w:val="000000"/>
                <w:sz w:val="18"/>
              </w:rPr>
            </w:pPr>
            <w:r>
              <w:rPr>
                <w:rFonts w:ascii="Verdana" w:hAnsi="Verdana"/>
                <w:i/>
                <w:noProof/>
                <w:color w:val="000000"/>
                <w:sz w:val="18"/>
              </w:rPr>
              <w:t>3 187</w:t>
            </w:r>
          </w:p>
        </w:tc>
      </w:tr>
      <w:tr w:rsidR="0043277E">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rPr>
                <w:rFonts w:ascii="Verdana" w:eastAsia="Verdana" w:hAnsi="Verdana" w:cs="Verdana"/>
                <w:i/>
                <w:noProof/>
                <w:color w:val="000000"/>
                <w:sz w:val="18"/>
              </w:rPr>
            </w:pPr>
            <w:r>
              <w:rPr>
                <w:rFonts w:ascii="Verdana" w:hAnsi="Verdana"/>
                <w:i/>
                <w:noProof/>
                <w:color w:val="000000"/>
                <w:sz w:val="18"/>
              </w:rPr>
              <w:t>Rolnictwo</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jc w:val="right"/>
              <w:rPr>
                <w:rFonts w:ascii="Verdana" w:eastAsia="Verdana" w:hAnsi="Verdana" w:cs="Verdana"/>
                <w:i/>
                <w:noProof/>
                <w:color w:val="000000"/>
                <w:sz w:val="18"/>
              </w:rPr>
            </w:pPr>
            <w:r>
              <w:rPr>
                <w:rFonts w:ascii="Verdana" w:hAnsi="Verdana"/>
                <w:i/>
                <w:noProof/>
                <w:color w:val="000000"/>
                <w:sz w:val="18"/>
              </w:rPr>
              <w:t xml:space="preserve"> 199</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jc w:val="right"/>
              <w:rPr>
                <w:rFonts w:ascii="Verdana" w:eastAsia="Verdana" w:hAnsi="Verdana" w:cs="Verdana"/>
                <w:i/>
                <w:noProof/>
                <w:color w:val="000000"/>
                <w:sz w:val="18"/>
              </w:rPr>
            </w:pPr>
            <w:r>
              <w:rPr>
                <w:rFonts w:ascii="Verdana" w:hAnsi="Verdana"/>
                <w:i/>
                <w:noProof/>
                <w:color w:val="000000"/>
                <w:sz w:val="18"/>
              </w:rPr>
              <w:t xml:space="preserve"> 653</w:t>
            </w:r>
          </w:p>
        </w:tc>
      </w:tr>
      <w:tr w:rsidR="0043277E">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rPr>
                <w:rFonts w:ascii="Verdana" w:eastAsia="Verdana" w:hAnsi="Verdana" w:cs="Verdana"/>
                <w:i/>
                <w:noProof/>
                <w:color w:val="000000"/>
                <w:sz w:val="18"/>
              </w:rPr>
            </w:pPr>
            <w:r>
              <w:rPr>
                <w:rFonts w:ascii="Verdana" w:hAnsi="Verdana"/>
                <w:i/>
                <w:noProof/>
                <w:color w:val="000000"/>
                <w:sz w:val="18"/>
              </w:rPr>
              <w:t>Spójność</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jc w:val="right"/>
              <w:rPr>
                <w:rFonts w:ascii="Verdana" w:eastAsia="Verdana" w:hAnsi="Verdana" w:cs="Verdana"/>
                <w:i/>
                <w:noProof/>
                <w:color w:val="000000"/>
                <w:sz w:val="18"/>
              </w:rPr>
            </w:pPr>
            <w:r>
              <w:rPr>
                <w:rFonts w:ascii="Verdana" w:hAnsi="Verdana"/>
                <w:i/>
                <w:noProof/>
                <w:color w:val="000000"/>
                <w:sz w:val="18"/>
              </w:rPr>
              <w:t xml:space="preserve"> 341</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jc w:val="right"/>
              <w:rPr>
                <w:rFonts w:ascii="Verdana" w:eastAsia="Verdana" w:hAnsi="Verdana" w:cs="Verdana"/>
                <w:i/>
                <w:noProof/>
                <w:color w:val="000000"/>
                <w:sz w:val="18"/>
              </w:rPr>
            </w:pPr>
            <w:r>
              <w:rPr>
                <w:rFonts w:ascii="Verdana" w:hAnsi="Verdana"/>
                <w:i/>
                <w:noProof/>
                <w:color w:val="000000"/>
                <w:sz w:val="18"/>
              </w:rPr>
              <w:t xml:space="preserve"> 26</w:t>
            </w:r>
          </w:p>
        </w:tc>
      </w:tr>
      <w:tr w:rsidR="0043277E">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rPr>
                <w:rFonts w:ascii="Verdana" w:eastAsia="Verdana" w:hAnsi="Verdana" w:cs="Verdana"/>
                <w:i/>
                <w:noProof/>
                <w:color w:val="000000"/>
                <w:sz w:val="18"/>
              </w:rPr>
            </w:pPr>
            <w:r>
              <w:rPr>
                <w:rFonts w:ascii="Verdana" w:hAnsi="Verdana"/>
                <w:i/>
                <w:noProof/>
                <w:color w:val="000000"/>
                <w:sz w:val="18"/>
              </w:rPr>
              <w:t>Inne</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jc w:val="right"/>
              <w:rPr>
                <w:rFonts w:ascii="Verdana" w:eastAsia="Verdana" w:hAnsi="Verdana" w:cs="Verdana"/>
                <w:i/>
                <w:noProof/>
                <w:color w:val="000000"/>
                <w:sz w:val="18"/>
              </w:rPr>
            </w:pPr>
            <w:r>
              <w:rPr>
                <w:rFonts w:ascii="Verdana" w:hAnsi="Verdana"/>
                <w:i/>
                <w:noProof/>
                <w:color w:val="000000"/>
                <w:sz w:val="18"/>
              </w:rPr>
              <w:t>2 137</w:t>
            </w:r>
          </w:p>
        </w:tc>
        <w:tc>
          <w:tcPr>
            <w:tcW w:w="16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6BIPCL"/>
              <w:jc w:val="right"/>
              <w:rPr>
                <w:rFonts w:ascii="Verdana" w:eastAsia="Verdana" w:hAnsi="Verdana" w:cs="Verdana"/>
                <w:i/>
                <w:noProof/>
                <w:color w:val="000000"/>
                <w:sz w:val="18"/>
              </w:rPr>
            </w:pPr>
            <w:r>
              <w:rPr>
                <w:rFonts w:ascii="Verdana" w:hAnsi="Verdana"/>
                <w:i/>
                <w:noProof/>
                <w:color w:val="000000"/>
                <w:sz w:val="18"/>
              </w:rPr>
              <w:t>1 867</w:t>
            </w:r>
          </w:p>
        </w:tc>
      </w:tr>
      <w:tr w:rsidR="0043277E">
        <w:trPr>
          <w:trHeight w:val="255"/>
        </w:trPr>
        <w:tc>
          <w:tcPr>
            <w:tcW w:w="638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6BIPCL"/>
              <w:rPr>
                <w:rFonts w:ascii="Verdana" w:eastAsia="Verdana" w:hAnsi="Verdana" w:cs="Verdana"/>
                <w:b/>
                <w:noProof/>
                <w:color w:val="000000"/>
                <w:sz w:val="18"/>
              </w:rPr>
            </w:pPr>
            <w:r>
              <w:rPr>
                <w:rFonts w:ascii="Verdana" w:hAnsi="Verdana"/>
                <w:b/>
                <w:noProof/>
                <w:color w:val="000000"/>
                <w:sz w:val="18"/>
              </w:rPr>
              <w:t>Ogółem</w:t>
            </w:r>
          </w:p>
        </w:tc>
        <w:tc>
          <w:tcPr>
            <w:tcW w:w="168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6BIPCL"/>
              <w:jc w:val="right"/>
              <w:rPr>
                <w:rFonts w:ascii="Verdana" w:eastAsia="Verdana" w:hAnsi="Verdana" w:cs="Verdana"/>
                <w:b/>
                <w:noProof/>
                <w:color w:val="000000"/>
                <w:sz w:val="18"/>
              </w:rPr>
            </w:pPr>
            <w:r>
              <w:rPr>
                <w:rFonts w:ascii="Verdana" w:hAnsi="Verdana"/>
                <w:b/>
                <w:noProof/>
                <w:color w:val="000000"/>
                <w:sz w:val="18"/>
              </w:rPr>
              <w:t>5 805</w:t>
            </w:r>
          </w:p>
        </w:tc>
        <w:tc>
          <w:tcPr>
            <w:tcW w:w="168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6BIPCL"/>
              <w:jc w:val="right"/>
              <w:rPr>
                <w:rFonts w:ascii="Verdana" w:eastAsia="Verdana" w:hAnsi="Verdana" w:cs="Verdana"/>
                <w:b/>
                <w:noProof/>
                <w:color w:val="000000"/>
                <w:sz w:val="18"/>
              </w:rPr>
            </w:pPr>
            <w:r>
              <w:rPr>
                <w:rFonts w:ascii="Verdana" w:hAnsi="Verdana"/>
                <w:b/>
                <w:noProof/>
                <w:color w:val="000000"/>
                <w:sz w:val="18"/>
              </w:rPr>
              <w:t>5 732</w:t>
            </w:r>
          </w:p>
        </w:tc>
      </w:tr>
    </w:tbl>
    <w:p w:rsidR="0043277E" w:rsidRDefault="0043277E">
      <w:pPr>
        <w:pStyle w:val="Heading9pNormalLeft"/>
        <w:rPr>
          <w:noProof/>
          <w:lang w:bidi="en-GB"/>
        </w:rPr>
      </w:pPr>
    </w:p>
    <w:p w:rsidR="0043277E" w:rsidRDefault="000F2348">
      <w:pPr>
        <w:rPr>
          <w:rFonts w:ascii="Verdana" w:hAnsi="Verdana"/>
          <w:noProof/>
          <w:color w:val="016794"/>
          <w:sz w:val="18"/>
          <w:szCs w:val="18"/>
        </w:rPr>
      </w:pPr>
      <w:r>
        <w:rPr>
          <w:noProof/>
        </w:rPr>
        <w:br w:type="page"/>
      </w:r>
    </w:p>
    <w:p w:rsidR="0043277E" w:rsidRDefault="000F2348">
      <w:pPr>
        <w:pStyle w:val="HEADER5"/>
        <w:rPr>
          <w:noProof/>
        </w:rPr>
      </w:pPr>
      <w:r>
        <w:rPr>
          <w:noProof/>
        </w:rPr>
        <w:lastRenderedPageBreak/>
        <w:t>Grzywny</w:t>
      </w:r>
    </w:p>
    <w:p w:rsidR="0043277E" w:rsidRDefault="000F2348">
      <w:pPr>
        <w:pStyle w:val="DGTextstand-alone"/>
      </w:pPr>
      <w:r>
        <w:t xml:space="preserve">Kwoty te dotyczą głównie grzywien, które Komisja nałożyła za naruszenie reguł konkurencji i które zostały wstępnie uiszczone przez ukarane przedsiębiorstwa, przy czym złożono odwołanie </w:t>
      </w:r>
      <w:r>
        <w:t>lub nie wiadomo, czy zostanie ono złożone. Zobowiązanie warunkowe zostanie utrzymane, dopóki nie uprawomocni się orzeczenie Trybunału Sprawiedliwości w danej sprawie lub dopóki nie upłynie okres odwołania. Uzyskane odsetki od płatności tymczasowych ujęto w</w:t>
      </w:r>
      <w:r>
        <w:t xml:space="preserve"> wyniku ekonomicznym za dany rok oraz jako zobowiązania warunkowe, tak aby uwzględnić brak pewności co do tytułu prawnego Komisji do tych kwot.</w:t>
      </w:r>
    </w:p>
    <w:p w:rsidR="0043277E" w:rsidRDefault="000F2348">
      <w:pPr>
        <w:pStyle w:val="DGTextstand-alone"/>
      </w:pPr>
      <w:r>
        <w:t xml:space="preserve">Jeżeli UE przegra którąkolwiek z tych spraw dotyczących nałożonych grzywien, tymczasowo otrzymane kwoty zostaną </w:t>
      </w:r>
      <w:r>
        <w:t>zwrócone przedsiębiorstwom, co nie wpłynie na budżet. Kwota grzywien jest uznawana za dochód budżetowy, dopiero gdy grzywny mają charakter ostateczny (art. 107 rozporządzenia finansowego).</w:t>
      </w:r>
    </w:p>
    <w:p w:rsidR="0043277E" w:rsidRDefault="000F2348">
      <w:pPr>
        <w:pStyle w:val="DGTextstand-alone"/>
        <w:spacing w:after="120"/>
        <w:rPr>
          <w:color w:val="016794"/>
          <w:szCs w:val="20"/>
        </w:rPr>
      </w:pPr>
      <w:r>
        <w:rPr>
          <w:color w:val="016794"/>
          <w:szCs w:val="20"/>
        </w:rPr>
        <w:t>Rolnictwo</w:t>
      </w:r>
    </w:p>
    <w:p w:rsidR="0043277E" w:rsidRDefault="000F2348">
      <w:pPr>
        <w:pStyle w:val="DGTextstand-alone"/>
      </w:pPr>
      <w:r>
        <w:t>Są to uzależnione od wyroku Trybunału Sprawiedliwości zob</w:t>
      </w:r>
      <w:r>
        <w:t>owiązania warunkowe wobec państw członkowskich związane z decyzjami dotyczącymi zgodności odnośnie do EFRG i rozwoju obszarów wiejskich. Ustalenie ostatecznej kwoty zobowiązania oraz roku, w którym kwota wynikająca z pomyślnego zaskarżenia decyzji przed Tr</w:t>
      </w:r>
      <w:r>
        <w:t>ybunałem Sprawiedliwości zostanie zapisana w budżecie, zależeć będzie od czasu trwania postępowania przed Trybunałem.</w:t>
      </w:r>
    </w:p>
    <w:p w:rsidR="0043277E" w:rsidRDefault="000F2348">
      <w:pPr>
        <w:pStyle w:val="DGTextstand-alone"/>
        <w:spacing w:after="120"/>
        <w:rPr>
          <w:color w:val="016794"/>
          <w:szCs w:val="20"/>
        </w:rPr>
      </w:pPr>
      <w:r>
        <w:rPr>
          <w:color w:val="016794"/>
          <w:szCs w:val="20"/>
        </w:rPr>
        <w:t>Spójność</w:t>
      </w:r>
    </w:p>
    <w:p w:rsidR="0043277E" w:rsidRDefault="000F2348">
      <w:pPr>
        <w:pStyle w:val="DGTextstand-alone"/>
      </w:pPr>
      <w:r>
        <w:t xml:space="preserve">Są to zobowiązania warunkowe wobec państw członkowskich w związku z działaniami w ramach polityki spójności, ujęte w oczekiwaniu </w:t>
      </w:r>
      <w:r>
        <w:t>na wyznaczenie daty rozprawy lub wyrok Trybunału Sprawiedliwości. Wzrost jest związany z dwiema sprawami dotyczącymi wydatków kwalifikowalnych i rachunków państw członkowskich.</w:t>
      </w:r>
    </w:p>
    <w:p w:rsidR="0043277E" w:rsidRDefault="000F2348">
      <w:pPr>
        <w:pStyle w:val="DGTextstand-alone"/>
        <w:spacing w:after="120"/>
        <w:rPr>
          <w:color w:val="016794"/>
          <w:szCs w:val="20"/>
        </w:rPr>
      </w:pPr>
      <w:r>
        <w:rPr>
          <w:color w:val="016794"/>
          <w:szCs w:val="20"/>
        </w:rPr>
        <w:t>Inne sprawy sądowe</w:t>
      </w:r>
    </w:p>
    <w:p w:rsidR="0043277E" w:rsidRDefault="000F2348">
      <w:pPr>
        <w:pStyle w:val="DGTextstand-alone"/>
        <w:spacing w:after="0"/>
      </w:pPr>
      <w:r>
        <w:t>Pozycja ta odnosi się do powództw o odszkodowanie obecnie wn</w:t>
      </w:r>
      <w:r>
        <w:t>iesionych przeciwko UE, innych sporów prawnych oraz szacunkowych kosztów postępowania przed sądem. Należy zauważyć, że w przypadku powództwa o odszkodowanie na mocy art. 340 TFUE strona skarżąca musi udowodnić, że instytucja dopuściła się wystarczająco pow</w:t>
      </w:r>
      <w:r>
        <w:t xml:space="preserve">ażnego naruszenia przepisu prawa przyznającego uprawnienia osobom fizycznym, oraz wykazać faktyczne szkody poniesione przez stronę skarżącą, jak również istnienie związku przyczynowo-skutkowego między bezprawnym działaniem a szkodą. </w:t>
      </w:r>
      <w:r>
        <w:rPr>
          <w:bdr w:val="none" w:sz="0" w:space="0" w:color="auto" w:frame="1"/>
        </w:rPr>
        <w:t>Kwota za 2019 r. (podob</w:t>
      </w:r>
      <w:r>
        <w:rPr>
          <w:bdr w:val="none" w:sz="0" w:space="0" w:color="auto" w:frame="1"/>
        </w:rPr>
        <w:t>nie jak w 2018 r.) dotyczy przede wszystkim roszczenia o odszkodowanie wniesionego przeciwko Komisji w związku z decyzją zakazującą łączenia, w której – z uwagi na brak wiarygodnych szacunków – wykazana kwota odnosi się do kwoty roszczenia. Wzrost odnotowa</w:t>
      </w:r>
      <w:r>
        <w:rPr>
          <w:bdr w:val="none" w:sz="0" w:space="0" w:color="auto" w:frame="1"/>
        </w:rPr>
        <w:t>ny w 2019 r. jest związany z roszczeniami o odszkodowanie dotyczącymi rozporządzenia delegowanego Komisji unieważnionego przez Sąd.</w:t>
      </w:r>
    </w:p>
    <w:p w:rsidR="0043277E" w:rsidRDefault="000F2348">
      <w:pPr>
        <w:pStyle w:val="DGTextstand-alone"/>
        <w:spacing w:before="0" w:after="0"/>
      </w:pPr>
      <w:r>
        <w:t xml:space="preserve"> </w:t>
      </w:r>
    </w:p>
    <w:p w:rsidR="0043277E" w:rsidRDefault="000F2348">
      <w:pPr>
        <w:pStyle w:val="HEADER2NOTES"/>
        <w:rPr>
          <w:noProof/>
        </w:rPr>
      </w:pPr>
      <w:r>
        <w:rPr>
          <w:noProof/>
        </w:rPr>
        <w:t>AKTYWA WARUNKOWE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0"/>
        <w:gridCol w:w="1989"/>
        <w:gridCol w:w="1989"/>
      </w:tblGrid>
      <w:tr w:rsidR="0043277E">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6BIPCA"/>
              <w:rPr>
                <w:rFonts w:ascii="Arial" w:eastAsia="Arial" w:hAnsi="Arial" w:cs="Arial"/>
                <w:noProof/>
                <w:color w:val="000000"/>
              </w:rPr>
            </w:pPr>
            <w:bookmarkStart w:id="138" w:name="DOC_TBL00077_1_1"/>
            <w:bookmarkEnd w:id="138"/>
          </w:p>
        </w:tc>
        <w:tc>
          <w:tcPr>
            <w:tcW w:w="1989"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6BIPCA"/>
              <w:rPr>
                <w:rFonts w:ascii="Arial" w:eastAsia="Arial" w:hAnsi="Arial" w:cs="Arial"/>
                <w:noProof/>
                <w:color w:val="000000"/>
              </w:rPr>
            </w:pPr>
          </w:p>
        </w:tc>
        <w:tc>
          <w:tcPr>
            <w:tcW w:w="1989" w:type="dxa"/>
            <w:tcBorders>
              <w:top w:val="nil"/>
              <w:left w:val="nil"/>
              <w:bottom w:val="nil"/>
              <w:right w:val="nil"/>
              <w:tl2br w:val="nil"/>
              <w:tr2bl w:val="nil"/>
            </w:tcBorders>
            <w:shd w:val="solid" w:color="FFFFFF" w:fill="FFFFFF"/>
            <w:tcMar>
              <w:left w:w="60" w:type="dxa"/>
              <w:right w:w="60" w:type="dxa"/>
            </w:tcMar>
            <w:vAlign w:val="bottom"/>
          </w:tcPr>
          <w:p w:rsidR="0043277E" w:rsidRDefault="000F2348">
            <w:pPr>
              <w:pStyle w:val="DMETW17236BIPC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hRule="exact" w:val="255"/>
        </w:trPr>
        <w:tc>
          <w:tcPr>
            <w:tcW w:w="578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6BIPCA"/>
              <w:jc w:val="right"/>
              <w:rPr>
                <w:rFonts w:ascii="Verdana" w:eastAsia="Verdana" w:hAnsi="Verdana" w:cs="Verdana"/>
                <w:noProof/>
                <w:color w:val="FFFFFF"/>
              </w:rPr>
            </w:pPr>
          </w:p>
        </w:tc>
        <w:tc>
          <w:tcPr>
            <w:tcW w:w="198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6BIPCA"/>
              <w:jc w:val="right"/>
              <w:rPr>
                <w:rFonts w:ascii="Verdana" w:eastAsia="Verdana" w:hAnsi="Verdana" w:cs="Verdana"/>
                <w:noProof/>
                <w:color w:val="FFFFFF"/>
              </w:rPr>
            </w:pPr>
            <w:r>
              <w:rPr>
                <w:rFonts w:ascii="Verdana" w:hAnsi="Verdana"/>
                <w:noProof/>
                <w:color w:val="FFFFFF"/>
              </w:rPr>
              <w:t>31.12.2019</w:t>
            </w:r>
          </w:p>
        </w:tc>
        <w:tc>
          <w:tcPr>
            <w:tcW w:w="198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6BIPCA"/>
              <w:jc w:val="right"/>
              <w:rPr>
                <w:rFonts w:ascii="Verdana" w:eastAsia="Verdana" w:hAnsi="Verdana" w:cs="Verdana"/>
                <w:noProof/>
                <w:color w:val="FFFFFF"/>
              </w:rPr>
            </w:pPr>
            <w:r>
              <w:rPr>
                <w:rFonts w:ascii="Verdana" w:hAnsi="Verdana"/>
                <w:noProof/>
                <w:color w:val="FFFFFF"/>
              </w:rPr>
              <w:t>31.12.2018</w:t>
            </w:r>
          </w:p>
        </w:tc>
      </w:tr>
      <w:tr w:rsidR="0043277E">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rPr>
                <w:rFonts w:ascii="Verdana" w:eastAsia="Verdana" w:hAnsi="Verdana" w:cs="Verdana"/>
                <w:i/>
                <w:noProof/>
                <w:color w:val="000000"/>
                <w:sz w:val="18"/>
              </w:rPr>
            </w:pPr>
            <w:r>
              <w:rPr>
                <w:rFonts w:ascii="Verdana" w:hAnsi="Verdana"/>
                <w:i/>
                <w:noProof/>
                <w:color w:val="000000"/>
                <w:sz w:val="18"/>
              </w:rPr>
              <w:t>Gwarancje otrzymane:</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36BIPC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36BIPCA"/>
              <w:jc w:val="right"/>
              <w:rPr>
                <w:rFonts w:ascii="Verdana" w:eastAsia="Verdana" w:hAnsi="Verdana" w:cs="Verdana"/>
                <w:i/>
                <w:noProof/>
                <w:color w:val="000000"/>
                <w:sz w:val="18"/>
                <w:lang w:bidi="en-GB"/>
              </w:rPr>
            </w:pPr>
          </w:p>
        </w:tc>
      </w:tr>
      <w:tr w:rsidR="0043277E">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rPr>
                <w:rFonts w:ascii="Verdana" w:eastAsia="Verdana" w:hAnsi="Verdana" w:cs="Verdana"/>
                <w:i/>
                <w:noProof/>
                <w:color w:val="000000"/>
                <w:sz w:val="18"/>
              </w:rPr>
            </w:pPr>
            <w:r>
              <w:rPr>
                <w:rFonts w:ascii="Verdana" w:hAnsi="Verdana"/>
                <w:i/>
                <w:noProof/>
                <w:color w:val="000000"/>
                <w:sz w:val="18"/>
              </w:rPr>
              <w:t xml:space="preserve">     Gwarancje wykonania</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jc w:val="right"/>
              <w:rPr>
                <w:rFonts w:ascii="Verdana" w:eastAsia="Verdana" w:hAnsi="Verdana" w:cs="Verdana"/>
                <w:i/>
                <w:noProof/>
                <w:color w:val="000000"/>
                <w:sz w:val="18"/>
              </w:rPr>
            </w:pPr>
            <w:r>
              <w:rPr>
                <w:rFonts w:ascii="Verdana" w:hAnsi="Verdana"/>
                <w:i/>
                <w:noProof/>
                <w:color w:val="000000"/>
                <w:sz w:val="18"/>
              </w:rPr>
              <w:t xml:space="preserve"> 349</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jc w:val="right"/>
              <w:rPr>
                <w:rFonts w:ascii="Verdana" w:eastAsia="Verdana" w:hAnsi="Verdana" w:cs="Verdana"/>
                <w:i/>
                <w:noProof/>
                <w:color w:val="000000"/>
                <w:sz w:val="18"/>
              </w:rPr>
            </w:pPr>
            <w:r>
              <w:rPr>
                <w:rFonts w:ascii="Verdana" w:hAnsi="Verdana"/>
                <w:i/>
                <w:noProof/>
                <w:color w:val="000000"/>
                <w:sz w:val="18"/>
              </w:rPr>
              <w:t xml:space="preserve"> 321</w:t>
            </w:r>
          </w:p>
        </w:tc>
      </w:tr>
      <w:tr w:rsidR="0043277E">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rPr>
                <w:rFonts w:ascii="Verdana" w:eastAsia="Verdana" w:hAnsi="Verdana" w:cs="Verdana"/>
                <w:i/>
                <w:noProof/>
                <w:color w:val="000000"/>
                <w:sz w:val="18"/>
              </w:rPr>
            </w:pPr>
            <w:r>
              <w:rPr>
                <w:rFonts w:ascii="Verdana" w:hAnsi="Verdana"/>
                <w:i/>
                <w:noProof/>
                <w:color w:val="000000"/>
                <w:sz w:val="18"/>
              </w:rPr>
              <w:t xml:space="preserve">     Inne gwarancje</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jc w:val="right"/>
              <w:rPr>
                <w:rFonts w:ascii="Verdana" w:eastAsia="Verdana" w:hAnsi="Verdana" w:cs="Verdana"/>
                <w:i/>
                <w:noProof/>
                <w:color w:val="000000"/>
                <w:sz w:val="18"/>
              </w:rPr>
            </w:pPr>
            <w:r>
              <w:rPr>
                <w:rFonts w:ascii="Verdana" w:hAnsi="Verdana"/>
                <w:i/>
                <w:noProof/>
                <w:color w:val="000000"/>
                <w:sz w:val="18"/>
              </w:rPr>
              <w:t xml:space="preserve"> 16</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jc w:val="right"/>
              <w:rPr>
                <w:rFonts w:ascii="Verdana" w:eastAsia="Verdana" w:hAnsi="Verdana" w:cs="Verdana"/>
                <w:i/>
                <w:noProof/>
                <w:color w:val="000000"/>
                <w:sz w:val="18"/>
              </w:rPr>
            </w:pPr>
            <w:r>
              <w:rPr>
                <w:rFonts w:ascii="Verdana" w:hAnsi="Verdana"/>
                <w:i/>
                <w:noProof/>
                <w:color w:val="000000"/>
                <w:sz w:val="18"/>
              </w:rPr>
              <w:t xml:space="preserve"> 19</w:t>
            </w:r>
          </w:p>
        </w:tc>
      </w:tr>
      <w:tr w:rsidR="0043277E">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rPr>
                <w:rFonts w:ascii="Verdana" w:eastAsia="Verdana" w:hAnsi="Verdana" w:cs="Verdana"/>
                <w:i/>
                <w:noProof/>
                <w:color w:val="000000"/>
                <w:sz w:val="18"/>
              </w:rPr>
            </w:pPr>
            <w:r>
              <w:rPr>
                <w:rFonts w:ascii="Verdana" w:hAnsi="Verdana"/>
                <w:i/>
                <w:noProof/>
                <w:color w:val="000000"/>
                <w:sz w:val="18"/>
              </w:rPr>
              <w:t>Inne aktywa warunkowe</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jc w:val="right"/>
              <w:rPr>
                <w:rFonts w:ascii="Verdana" w:eastAsia="Verdana" w:hAnsi="Verdana" w:cs="Verdana"/>
                <w:i/>
                <w:noProof/>
                <w:color w:val="000000"/>
                <w:sz w:val="18"/>
              </w:rPr>
            </w:pPr>
            <w:r>
              <w:rPr>
                <w:rFonts w:ascii="Verdana" w:hAnsi="Verdana"/>
                <w:i/>
                <w:noProof/>
                <w:color w:val="000000"/>
                <w:sz w:val="18"/>
              </w:rPr>
              <w:t xml:space="preserve"> 65</w:t>
            </w:r>
          </w:p>
        </w:tc>
        <w:tc>
          <w:tcPr>
            <w:tcW w:w="198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6BIPCA"/>
              <w:jc w:val="right"/>
              <w:rPr>
                <w:rFonts w:ascii="Verdana" w:eastAsia="Verdana" w:hAnsi="Verdana" w:cs="Verdana"/>
                <w:i/>
                <w:noProof/>
                <w:color w:val="000000"/>
                <w:sz w:val="18"/>
              </w:rPr>
            </w:pPr>
            <w:r>
              <w:rPr>
                <w:rFonts w:ascii="Verdana" w:hAnsi="Verdana"/>
                <w:i/>
                <w:noProof/>
                <w:color w:val="000000"/>
                <w:sz w:val="18"/>
              </w:rPr>
              <w:t xml:space="preserve"> 25</w:t>
            </w:r>
          </w:p>
        </w:tc>
      </w:tr>
      <w:tr w:rsidR="0043277E">
        <w:trPr>
          <w:trHeight w:hRule="exact" w:val="255"/>
        </w:trPr>
        <w:tc>
          <w:tcPr>
            <w:tcW w:w="57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6BIPCA"/>
              <w:rPr>
                <w:rFonts w:ascii="Verdana" w:eastAsia="Verdana" w:hAnsi="Verdana" w:cs="Verdana"/>
                <w:b/>
                <w:noProof/>
                <w:color w:val="000000"/>
                <w:sz w:val="18"/>
              </w:rPr>
            </w:pPr>
            <w:r>
              <w:rPr>
                <w:rFonts w:ascii="Verdana" w:hAnsi="Verdana"/>
                <w:b/>
                <w:noProof/>
                <w:color w:val="000000"/>
                <w:sz w:val="18"/>
              </w:rPr>
              <w:t>Ogółem</w:t>
            </w:r>
          </w:p>
        </w:tc>
        <w:tc>
          <w:tcPr>
            <w:tcW w:w="19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6BIPCA"/>
              <w:jc w:val="right"/>
              <w:rPr>
                <w:rFonts w:ascii="Verdana" w:eastAsia="Verdana" w:hAnsi="Verdana" w:cs="Verdana"/>
                <w:b/>
                <w:noProof/>
                <w:color w:val="000000"/>
                <w:sz w:val="18"/>
              </w:rPr>
            </w:pPr>
            <w:r>
              <w:rPr>
                <w:rFonts w:ascii="Verdana" w:hAnsi="Verdana"/>
                <w:b/>
                <w:noProof/>
                <w:color w:val="000000"/>
                <w:sz w:val="18"/>
              </w:rPr>
              <w:t xml:space="preserve"> 430</w:t>
            </w:r>
          </w:p>
        </w:tc>
        <w:tc>
          <w:tcPr>
            <w:tcW w:w="19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6BIPCA"/>
              <w:jc w:val="right"/>
              <w:rPr>
                <w:rFonts w:ascii="Verdana" w:eastAsia="Verdana" w:hAnsi="Verdana" w:cs="Verdana"/>
                <w:b/>
                <w:noProof/>
                <w:color w:val="000000"/>
                <w:sz w:val="18"/>
              </w:rPr>
            </w:pPr>
            <w:r>
              <w:rPr>
                <w:rFonts w:ascii="Verdana" w:hAnsi="Verdana"/>
                <w:b/>
                <w:noProof/>
                <w:color w:val="000000"/>
                <w:sz w:val="18"/>
              </w:rPr>
              <w:t xml:space="preserve"> 366</w:t>
            </w:r>
          </w:p>
        </w:tc>
      </w:tr>
    </w:tbl>
    <w:p w:rsidR="0043277E" w:rsidRDefault="000F2348">
      <w:pPr>
        <w:pStyle w:val="DGTextstand-alone"/>
        <w:spacing w:after="0"/>
      </w:pPr>
      <w:r>
        <w:t>Gwarancji wykonania wymaga się, aby zagwarantować wywiązanie się przez beneficjentów finansowania UE ze zobowiązań przewidzianych w umowach zawartych z UE.</w:t>
      </w:r>
      <w:bookmarkEnd w:id="133"/>
    </w:p>
    <w:p w:rsidR="0043277E" w:rsidRDefault="0043277E">
      <w:pPr>
        <w:pStyle w:val="DGTextstand-alone"/>
        <w:spacing w:after="0"/>
      </w:pPr>
    </w:p>
    <w:p w:rsidR="0043277E" w:rsidRDefault="0043277E">
      <w:pPr>
        <w:pStyle w:val="DGTextstand-alone"/>
        <w:spacing w:after="0"/>
        <w:sectPr w:rsidR="0043277E">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9" w:footer="709" w:gutter="0"/>
          <w:cols w:space="708"/>
          <w:docGrid w:linePitch="360"/>
        </w:sectPr>
      </w:pPr>
    </w:p>
    <w:p w:rsidR="0043277E" w:rsidRDefault="000F2348">
      <w:pPr>
        <w:rPr>
          <w:rFonts w:ascii="Verdana" w:hAnsi="Verdana"/>
          <w:b/>
          <w:noProof/>
          <w:color w:val="016794"/>
          <w:sz w:val="32"/>
          <w:szCs w:val="32"/>
        </w:rPr>
      </w:pPr>
      <w:bookmarkStart w:id="139" w:name="_DMBM_17106"/>
      <w:r>
        <w:rPr>
          <w:noProof/>
        </w:rPr>
        <w:br w:type="page"/>
      </w:r>
    </w:p>
    <w:p w:rsidR="0043277E" w:rsidRDefault="000F2348">
      <w:pPr>
        <w:pStyle w:val="HEADER1NOTES"/>
        <w:spacing w:before="360" w:after="360"/>
        <w:rPr>
          <w:noProof/>
        </w:rPr>
      </w:pPr>
      <w:bookmarkStart w:id="140" w:name="_Toc49413489"/>
      <w:r>
        <w:rPr>
          <w:noProof/>
        </w:rPr>
        <w:lastRenderedPageBreak/>
        <w:t>ZOBOWIĄZANIA BUDŻETOWE I PRAWNE</w:t>
      </w:r>
      <w:bookmarkEnd w:id="140"/>
    </w:p>
    <w:p w:rsidR="0043277E" w:rsidRDefault="000F2348">
      <w:pPr>
        <w:pStyle w:val="DGTextstand-alone"/>
      </w:pPr>
      <w:r>
        <w:t xml:space="preserve">Niniejsza informacja dodatkowa zawiera informacje na temat procedury budżetowej i przyszłych potrzeb finansowych, a nie na </w:t>
      </w:r>
      <w:r>
        <w:t>temat zobowiązań istniejących na dzień 31 grudnia 2019 r.</w:t>
      </w:r>
    </w:p>
    <w:p w:rsidR="0043277E" w:rsidRDefault="000F2348">
      <w:pPr>
        <w:pStyle w:val="DGTextstand-alone"/>
      </w:pPr>
      <w:r>
        <w:t xml:space="preserve">W wieloletnich ramach finansowych (WRF) zatwierdzonych przez państwa członkowskie zdefiniowano programy i określono pułapy dla działów w budżecie dotyczące środków na zobowiązania oraz łączną kwotę </w:t>
      </w:r>
      <w:r>
        <w:t>środków na płatności, w ramach których UE może przyjąć zobowiązania budżetowe i prawne i ostatecznie może dokonać płatności za okres 7 lat – zob. tabela 1.1 w informacjach dodatkowych do sprawozdań z wykonania budżetu.</w:t>
      </w:r>
    </w:p>
    <w:p w:rsidR="0043277E" w:rsidRDefault="000F2348">
      <w:pPr>
        <w:pStyle w:val="DGTextstand-alone"/>
      </w:pPr>
      <w:r>
        <w:t>Pułapy WRF zostały przyjęte przez Rad</w:t>
      </w:r>
      <w:r>
        <w:t>ę (państwa członkowskie) za zgodą Parlamentu Europejskiego, zaś art. 16 rozporządzenia nr 1306/2013 w sprawie finansowania wspólnej polityki rolnej zawiera bezpośrednie powiązanie między rocznym pułapem wydatków EFRG a rozporządzeniem w sprawie WRF. Parlam</w:t>
      </w:r>
      <w:r>
        <w:t>ent Europejski i Rada przyjęły również odpowiednie akty podstawowe dotyczące wydatków EFRG, w których określono wydatki na państwo członkowskie na cały okres 2014–2020.</w:t>
      </w:r>
    </w:p>
    <w:p w:rsidR="0043277E" w:rsidRDefault="000F2348">
      <w:pPr>
        <w:pStyle w:val="DGTextstand-alone"/>
      </w:pPr>
      <w:r>
        <w:t>Zobowiązania prawne odpowiadają programom, projektom, porozumieniom lub podpisanym umow</w:t>
      </w:r>
      <w:r>
        <w:t>om i są tym samym prawnie wiążące dla UE. Zobowiązanie prawne jest czynnością, poprzez którą urzędnik zatwierdzający zaciąga lub stwierdza zobowiązanie (ciążące na UE), którego skutkiem jest obciążenie finansowe (art. 2 pkt 37) rozporządzenia finansowego).</w:t>
      </w:r>
    </w:p>
    <w:p w:rsidR="0043277E" w:rsidRDefault="000F2348">
      <w:pPr>
        <w:pStyle w:val="DGTextstand-alone"/>
      </w:pPr>
      <w:r>
        <w:t>Zobowiązanie budżetowe jest co do zasady zaciągane przed zobowiązaniem prawnym, jednak w przypadku niektórych wieloletnich programów/projektów jest odwrotnie – odpowiednie zobowiązania budżetowe są zaciągane w rocznych ratach, przez kilka lat, o ile przew</w:t>
      </w:r>
      <w:r>
        <w:t>iduje to akt podstawowy. Na przykład w odniesieniu do spójności art. 76 rozporządzenia w sprawie wspólnych przepisów (rozporządzenie (UE) nr 1303/2013) stanowi, że decyzja Komisji w sprawie przyjęcia programu stanowi zobowiązanie prawne w rozumieniu rozpor</w:t>
      </w:r>
      <w:r>
        <w:t>ządzenia finansowego oraz że zobowiązania budżetowe Unii w odniesieniu do każdego programu są podejmowane w ratach rocznych dla każdego funduszu w okresie od dnia 1 stycznia 2014 r. do dnia 31 grudnia 2020 r. Inne podstawy prawne mogą zawierać podobne prze</w:t>
      </w:r>
      <w:r>
        <w:t xml:space="preserve">pisy. Z tego powodu mogą wystąpić kwoty, które UE prawnie zobowiązała się zapłacić, ale zobowiązanie budżetowe nie zostało jeszcze zaciągnięte – zob. informacje dodatkowe </w:t>
      </w:r>
      <w:r>
        <w:rPr>
          <w:b/>
        </w:rPr>
        <w:t>5.2</w:t>
      </w:r>
      <w:r>
        <w:t xml:space="preserve"> i </w:t>
      </w:r>
      <w:r>
        <w:rPr>
          <w:b/>
        </w:rPr>
        <w:t>5.3</w:t>
      </w:r>
      <w:r>
        <w:t xml:space="preserve"> poniżej.</w:t>
      </w:r>
    </w:p>
    <w:p w:rsidR="0043277E" w:rsidRDefault="000F2348">
      <w:pPr>
        <w:pStyle w:val="DGTextstand-alone"/>
      </w:pPr>
      <w:r>
        <w:t>Jeżeli zobowiązanie budżetowe zostało podjęte, ale kolejne płatnoś</w:t>
      </w:r>
      <w:r>
        <w:t>ci nie zostały jeszcze wykonane, kwota zobowiązań pozostających do spłaty określana jest mianem „RAL” (z fr. „Reste à Liquider”). Może dotyczyć to podpisanych programów lub projektów, często wieloletnich, w odniesieniu do których płatności będą dokonane do</w:t>
      </w:r>
      <w:r>
        <w:t>piero w późniejszych latach. Stanowią one zobowiązania płatnicze na przyszłe lata. Ponieważ sprawozdania finansowe przygotowuje się na zasadzie memoriału, natomiast sprawozdania z wykonania budżetu przygotowuje się na zasadzie kasowej, część ogólnych zobow</w:t>
      </w:r>
      <w:r>
        <w:t xml:space="preserve">iązań pozostających do spłaty (RAL) została już dodana do kategorii kosztów i uznana za zobowiązanie w bilansie (zob. informacje dodatkowe </w:t>
      </w:r>
      <w:r>
        <w:rPr>
          <w:b/>
        </w:rPr>
        <w:t>2.12</w:t>
      </w:r>
      <w:r>
        <w:t xml:space="preserve"> i </w:t>
      </w:r>
      <w:r>
        <w:rPr>
          <w:b/>
        </w:rPr>
        <w:t>2.13</w:t>
      </w:r>
      <w:r>
        <w:t>). Koszty te oblicza się na podstawie zestawień poniesionych wydatków/otrzymanych faktur lub szacunkowej r</w:t>
      </w:r>
      <w:r>
        <w:t xml:space="preserve">ealizacji programu lub projektu w przypadku, gdy do dnia sprawozdawczego UE nie otrzymała jeszcze żadnych zestawień – zob. informacja dodatkowa </w:t>
      </w:r>
      <w:r>
        <w:rPr>
          <w:b/>
        </w:rPr>
        <w:t>5.1</w:t>
      </w:r>
      <w:r>
        <w:t xml:space="preserve"> poniżej. Po dokonaniu płatności związanych z zobowiązaniami pozostającymi do spłaty (RAL) zobowiązanie wykaz</w:t>
      </w:r>
      <w:r>
        <w:t>ane w bilansie zostaje usunięte z ksiąg. Część RAL, których nie dodano jeszcze do kategorii kosztów, nie została ujęta jako zobowiązania, ale zamiast tego wykazano ją poniżej.</w:t>
      </w:r>
    </w:p>
    <w:p w:rsidR="0043277E" w:rsidRDefault="000F2348">
      <w:pPr>
        <w:pStyle w:val="DGTextstand-alone"/>
      </w:pPr>
      <w:r>
        <w:t>Poniższe ujawnienia przedstawiają zatem kwoty na dzień 31 grudnia 2019 r., które</w:t>
      </w:r>
      <w:r>
        <w:t xml:space="preserve"> UE zobowiązała się zapłacić w ramach wykonywania warunków umów i które mają zostać sfinansowane z przyszłych budżetów 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6"/>
        <w:gridCol w:w="1397"/>
        <w:gridCol w:w="1397"/>
        <w:gridCol w:w="1398"/>
      </w:tblGrid>
      <w:tr w:rsidR="0043277E">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37BIPOBULEG"/>
              <w:rPr>
                <w:rFonts w:ascii="Verdana" w:eastAsia="Verdana" w:hAnsi="Verdana" w:cs="Verdana"/>
                <w:i/>
                <w:noProof/>
                <w:color w:val="FFFFFF"/>
                <w:sz w:val="16"/>
              </w:rPr>
            </w:pPr>
            <w:bookmarkStart w:id="141" w:name="DOC_TBL00078_1_1"/>
            <w:bookmarkEnd w:id="141"/>
          </w:p>
        </w:tc>
        <w:tc>
          <w:tcPr>
            <w:tcW w:w="139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7BIPOBULEG"/>
              <w:rPr>
                <w:rFonts w:ascii="Arial" w:eastAsia="Arial" w:hAnsi="Arial" w:cs="Arial"/>
                <w:noProof/>
                <w:color w:val="000000"/>
              </w:rPr>
            </w:pPr>
          </w:p>
        </w:tc>
        <w:tc>
          <w:tcPr>
            <w:tcW w:w="139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7BIPOBULEG"/>
              <w:rPr>
                <w:rFonts w:ascii="Arial" w:eastAsia="Arial" w:hAnsi="Arial" w:cs="Arial"/>
                <w:noProof/>
                <w:color w:val="000000"/>
              </w:rPr>
            </w:pPr>
          </w:p>
        </w:tc>
        <w:tc>
          <w:tcPr>
            <w:tcW w:w="139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37BIPOBULEG"/>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56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7BIPOBULEG"/>
              <w:rPr>
                <w:rFonts w:ascii="Verdana" w:eastAsia="Verdana" w:hAnsi="Verdana" w:cs="Verdana"/>
                <w:noProof/>
                <w:color w:val="FFFFFF"/>
              </w:rPr>
            </w:pPr>
          </w:p>
        </w:tc>
        <w:tc>
          <w:tcPr>
            <w:tcW w:w="139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7BIPOBULEG"/>
              <w:jc w:val="center"/>
              <w:rPr>
                <w:rFonts w:ascii="Verdana" w:eastAsia="Verdana" w:hAnsi="Verdana" w:cs="Verdana"/>
                <w:noProof/>
                <w:color w:val="FFFFFF"/>
              </w:rPr>
            </w:pPr>
            <w:r>
              <w:rPr>
                <w:rFonts w:ascii="Verdana" w:hAnsi="Verdana"/>
                <w:noProof/>
                <w:color w:val="FFFFFF"/>
              </w:rPr>
              <w:t>Informacja dodatkowa</w:t>
            </w:r>
          </w:p>
        </w:tc>
        <w:tc>
          <w:tcPr>
            <w:tcW w:w="139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7BIPOBULEG"/>
              <w:jc w:val="right"/>
              <w:rPr>
                <w:rFonts w:ascii="Verdana" w:eastAsia="Verdana" w:hAnsi="Verdana" w:cs="Verdana"/>
                <w:noProof/>
                <w:color w:val="FFFFFF"/>
              </w:rPr>
            </w:pPr>
            <w:r>
              <w:rPr>
                <w:rFonts w:ascii="Verdana" w:hAnsi="Verdana"/>
                <w:noProof/>
                <w:color w:val="FFFFFF"/>
              </w:rPr>
              <w:t>31.12.2019</w:t>
            </w:r>
          </w:p>
        </w:tc>
        <w:tc>
          <w:tcPr>
            <w:tcW w:w="139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7BIPOBULEG"/>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rPr>
                <w:rFonts w:ascii="Verdana" w:eastAsia="Verdana" w:hAnsi="Verdana" w:cs="Verdana"/>
                <w:i/>
                <w:noProof/>
                <w:color w:val="000000"/>
                <w:sz w:val="18"/>
              </w:rPr>
            </w:pPr>
            <w:r>
              <w:rPr>
                <w:rFonts w:ascii="Verdana" w:hAnsi="Verdana"/>
                <w:i/>
                <w:noProof/>
                <w:color w:val="000000"/>
                <w:sz w:val="18"/>
              </w:rPr>
              <w:t>Zobowiązania budżetowe pozostające do spłaty nieujęte jeszcze jako koszty</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center"/>
              <w:rPr>
                <w:rFonts w:ascii="Verdana" w:eastAsia="Verdana" w:hAnsi="Verdana" w:cs="Verdana"/>
                <w:i/>
                <w:noProof/>
                <w:color w:val="000000"/>
                <w:sz w:val="18"/>
              </w:rPr>
            </w:pPr>
            <w:r>
              <w:rPr>
                <w:rFonts w:ascii="Verdana" w:hAnsi="Verdana"/>
                <w:i/>
                <w:noProof/>
                <w:color w:val="000000"/>
                <w:sz w:val="18"/>
              </w:rPr>
              <w:t>5.1</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right"/>
              <w:rPr>
                <w:rFonts w:ascii="Verdana" w:eastAsia="Verdana" w:hAnsi="Verdana" w:cs="Verdana"/>
                <w:i/>
                <w:noProof/>
                <w:color w:val="000000"/>
                <w:sz w:val="18"/>
              </w:rPr>
            </w:pPr>
            <w:r>
              <w:rPr>
                <w:rFonts w:ascii="Verdana" w:hAnsi="Verdana"/>
                <w:i/>
                <w:noProof/>
                <w:color w:val="000000"/>
                <w:sz w:val="18"/>
              </w:rPr>
              <w:t>249 686</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right"/>
              <w:rPr>
                <w:rFonts w:ascii="Verdana" w:eastAsia="Verdana" w:hAnsi="Verdana" w:cs="Verdana"/>
                <w:i/>
                <w:noProof/>
                <w:color w:val="000000"/>
                <w:sz w:val="18"/>
              </w:rPr>
            </w:pPr>
            <w:r>
              <w:rPr>
                <w:rFonts w:ascii="Verdana" w:hAnsi="Verdana"/>
                <w:i/>
                <w:noProof/>
                <w:color w:val="000000"/>
                <w:sz w:val="18"/>
              </w:rPr>
              <w:t>235 836</w:t>
            </w:r>
          </w:p>
        </w:tc>
      </w:tr>
      <w:tr w:rsidR="0043277E">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rPr>
                <w:rFonts w:ascii="Verdana" w:eastAsia="Verdana" w:hAnsi="Verdana" w:cs="Verdana"/>
                <w:i/>
                <w:noProof/>
                <w:color w:val="000000"/>
                <w:sz w:val="18"/>
              </w:rPr>
            </w:pPr>
            <w:r>
              <w:rPr>
                <w:rFonts w:ascii="Verdana" w:hAnsi="Verdana"/>
                <w:i/>
                <w:noProof/>
                <w:color w:val="000000"/>
                <w:sz w:val="18"/>
              </w:rPr>
              <w:t>Zobowiązania prawne w zakresie zarządzania dzielonego w ramach bieżących WRF oczekujące na wdrożenie</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center"/>
              <w:rPr>
                <w:rFonts w:ascii="Verdana" w:eastAsia="Verdana" w:hAnsi="Verdana" w:cs="Verdana"/>
                <w:i/>
                <w:noProof/>
                <w:color w:val="000000"/>
                <w:sz w:val="18"/>
              </w:rPr>
            </w:pPr>
            <w:r>
              <w:rPr>
                <w:rFonts w:ascii="Verdana" w:hAnsi="Verdana"/>
                <w:i/>
                <w:noProof/>
                <w:color w:val="000000"/>
                <w:sz w:val="18"/>
              </w:rPr>
              <w:t>5.2</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right"/>
              <w:rPr>
                <w:rFonts w:ascii="Verdana" w:eastAsia="Verdana" w:hAnsi="Verdana" w:cs="Verdana"/>
                <w:i/>
                <w:noProof/>
                <w:color w:val="000000"/>
                <w:sz w:val="18"/>
              </w:rPr>
            </w:pPr>
            <w:r>
              <w:rPr>
                <w:rFonts w:ascii="Verdana" w:hAnsi="Verdana"/>
                <w:i/>
                <w:noProof/>
                <w:color w:val="000000"/>
                <w:sz w:val="18"/>
              </w:rPr>
              <w:t>72 832</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right"/>
              <w:rPr>
                <w:rFonts w:ascii="Verdana" w:eastAsia="Verdana" w:hAnsi="Verdana" w:cs="Verdana"/>
                <w:i/>
                <w:noProof/>
                <w:color w:val="000000"/>
                <w:sz w:val="18"/>
              </w:rPr>
            </w:pPr>
            <w:r>
              <w:rPr>
                <w:rFonts w:ascii="Verdana" w:hAnsi="Verdana"/>
                <w:i/>
                <w:noProof/>
                <w:color w:val="000000"/>
                <w:sz w:val="18"/>
              </w:rPr>
              <w:t>143 883</w:t>
            </w:r>
          </w:p>
        </w:tc>
      </w:tr>
      <w:tr w:rsidR="0043277E">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rPr>
                <w:rFonts w:ascii="Verdana" w:eastAsia="Verdana" w:hAnsi="Verdana" w:cs="Verdana"/>
                <w:i/>
                <w:noProof/>
                <w:color w:val="000000"/>
                <w:sz w:val="18"/>
              </w:rPr>
            </w:pPr>
            <w:r>
              <w:rPr>
                <w:rFonts w:ascii="Verdana" w:hAnsi="Verdana"/>
                <w:i/>
                <w:noProof/>
                <w:color w:val="000000"/>
                <w:sz w:val="18"/>
              </w:rPr>
              <w:t>Istotne zobowiązania prawne w innych dziedzinach</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center"/>
              <w:rPr>
                <w:rFonts w:ascii="Verdana" w:eastAsia="Verdana" w:hAnsi="Verdana" w:cs="Verdana"/>
                <w:i/>
                <w:noProof/>
                <w:color w:val="000000"/>
                <w:sz w:val="18"/>
              </w:rPr>
            </w:pPr>
            <w:r>
              <w:rPr>
                <w:rFonts w:ascii="Verdana" w:hAnsi="Verdana"/>
                <w:i/>
                <w:noProof/>
                <w:color w:val="000000"/>
                <w:sz w:val="18"/>
              </w:rPr>
              <w:t>5.3</w:t>
            </w:r>
          </w:p>
        </w:tc>
        <w:tc>
          <w:tcPr>
            <w:tcW w:w="13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right"/>
              <w:rPr>
                <w:rFonts w:ascii="Verdana" w:eastAsia="Verdana" w:hAnsi="Verdana" w:cs="Verdana"/>
                <w:i/>
                <w:noProof/>
                <w:color w:val="000000"/>
                <w:sz w:val="18"/>
              </w:rPr>
            </w:pPr>
            <w:r>
              <w:rPr>
                <w:rFonts w:ascii="Verdana" w:hAnsi="Verdana"/>
                <w:i/>
                <w:noProof/>
                <w:color w:val="000000"/>
                <w:sz w:val="18"/>
              </w:rPr>
              <w:t>13 941</w:t>
            </w:r>
          </w:p>
        </w:tc>
        <w:tc>
          <w:tcPr>
            <w:tcW w:w="13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BULEG"/>
              <w:jc w:val="right"/>
              <w:rPr>
                <w:rFonts w:ascii="Verdana" w:eastAsia="Verdana" w:hAnsi="Verdana" w:cs="Verdana"/>
                <w:i/>
                <w:noProof/>
                <w:color w:val="000000"/>
                <w:sz w:val="18"/>
              </w:rPr>
            </w:pPr>
            <w:r>
              <w:rPr>
                <w:rFonts w:ascii="Verdana" w:hAnsi="Verdana"/>
                <w:i/>
                <w:noProof/>
                <w:color w:val="000000"/>
                <w:sz w:val="18"/>
              </w:rPr>
              <w:t>18 126</w:t>
            </w:r>
          </w:p>
        </w:tc>
      </w:tr>
      <w:tr w:rsidR="0043277E">
        <w:trPr>
          <w:trHeight w:val="255"/>
        </w:trPr>
        <w:tc>
          <w:tcPr>
            <w:tcW w:w="556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7BIPOBULEG"/>
              <w:rPr>
                <w:rFonts w:ascii="Verdana" w:eastAsia="Verdana" w:hAnsi="Verdana" w:cs="Verdana"/>
                <w:b/>
                <w:noProof/>
                <w:color w:val="000000"/>
                <w:sz w:val="18"/>
              </w:rPr>
            </w:pPr>
            <w:r>
              <w:rPr>
                <w:rFonts w:ascii="Verdana" w:hAnsi="Verdana"/>
                <w:b/>
                <w:noProof/>
                <w:color w:val="000000"/>
                <w:sz w:val="18"/>
              </w:rPr>
              <w:t>Ogółem</w:t>
            </w:r>
          </w:p>
        </w:tc>
        <w:tc>
          <w:tcPr>
            <w:tcW w:w="139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37BIPOBULEG"/>
              <w:jc w:val="center"/>
              <w:rPr>
                <w:rFonts w:ascii="Verdana" w:eastAsia="Verdana" w:hAnsi="Verdana" w:cs="Verdana"/>
                <w:noProof/>
                <w:color w:val="000000"/>
                <w:sz w:val="18"/>
              </w:rPr>
            </w:pPr>
          </w:p>
        </w:tc>
        <w:tc>
          <w:tcPr>
            <w:tcW w:w="139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7BIPOBULEG"/>
              <w:jc w:val="right"/>
              <w:rPr>
                <w:rFonts w:ascii="Verdana" w:eastAsia="Verdana" w:hAnsi="Verdana" w:cs="Verdana"/>
                <w:b/>
                <w:noProof/>
                <w:color w:val="000000"/>
                <w:sz w:val="18"/>
              </w:rPr>
            </w:pPr>
            <w:r>
              <w:rPr>
                <w:rFonts w:ascii="Verdana" w:hAnsi="Verdana"/>
                <w:b/>
                <w:noProof/>
                <w:color w:val="000000"/>
                <w:sz w:val="18"/>
              </w:rPr>
              <w:t>336 459</w:t>
            </w:r>
          </w:p>
        </w:tc>
        <w:tc>
          <w:tcPr>
            <w:tcW w:w="139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7BIPOBULEG"/>
              <w:jc w:val="right"/>
              <w:rPr>
                <w:rFonts w:ascii="Verdana" w:eastAsia="Verdana" w:hAnsi="Verdana" w:cs="Verdana"/>
                <w:b/>
                <w:noProof/>
                <w:color w:val="000000"/>
                <w:sz w:val="18"/>
              </w:rPr>
            </w:pPr>
            <w:r>
              <w:rPr>
                <w:rFonts w:ascii="Verdana" w:hAnsi="Verdana"/>
                <w:b/>
                <w:noProof/>
                <w:color w:val="000000"/>
                <w:sz w:val="18"/>
              </w:rPr>
              <w:t>397 845</w:t>
            </w:r>
          </w:p>
        </w:tc>
      </w:tr>
    </w:tbl>
    <w:p w:rsidR="0043277E" w:rsidRDefault="0043277E">
      <w:pPr>
        <w:rPr>
          <w:rFonts w:ascii="Verdana" w:hAnsi="Verdana"/>
          <w:b/>
          <w:noProof/>
          <w:color w:val="016794"/>
          <w:sz w:val="28"/>
          <w:szCs w:val="28"/>
        </w:rPr>
      </w:pPr>
    </w:p>
    <w:p w:rsidR="0043277E" w:rsidRDefault="000F2348">
      <w:pPr>
        <w:rPr>
          <w:rFonts w:ascii="Verdana" w:hAnsi="Verdana"/>
          <w:b/>
          <w:noProof/>
          <w:color w:val="016794"/>
          <w:sz w:val="28"/>
          <w:szCs w:val="28"/>
        </w:rPr>
      </w:pPr>
      <w:r>
        <w:rPr>
          <w:noProof/>
        </w:rPr>
        <w:br w:type="page"/>
      </w:r>
    </w:p>
    <w:p w:rsidR="0043277E" w:rsidRDefault="000F2348">
      <w:pPr>
        <w:pStyle w:val="HEADER2NOTES"/>
        <w:rPr>
          <w:noProof/>
        </w:rPr>
      </w:pPr>
      <w:r>
        <w:rPr>
          <w:noProof/>
        </w:rPr>
        <w:lastRenderedPageBreak/>
        <w:t xml:space="preserve">ZOBOWIĄZANIA </w:t>
      </w:r>
      <w:r>
        <w:rPr>
          <w:noProof/>
        </w:rPr>
        <w:t>BUDŻETOWE POZOSTAJĄCE DO SPŁATY NIEUJĘTE JESZCZE JAKO KOSZTY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5"/>
        <w:gridCol w:w="1608"/>
        <w:gridCol w:w="1645"/>
      </w:tblGrid>
      <w:tr w:rsidR="0043277E">
        <w:trPr>
          <w:cantSplit/>
          <w:trHeight w:val="255"/>
        </w:trPr>
        <w:tc>
          <w:tcPr>
            <w:tcW w:w="650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7BIPOCNYE"/>
              <w:rPr>
                <w:rFonts w:ascii="Arial" w:eastAsia="Arial" w:hAnsi="Arial" w:cs="Arial"/>
                <w:noProof/>
                <w:color w:val="000000"/>
              </w:rPr>
            </w:pPr>
            <w:bookmarkStart w:id="142" w:name="DOC_TBL00079_1_1"/>
            <w:bookmarkEnd w:id="142"/>
          </w:p>
        </w:tc>
        <w:tc>
          <w:tcPr>
            <w:tcW w:w="160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7BIPOCNYE"/>
              <w:rPr>
                <w:rFonts w:ascii="Arial" w:eastAsia="Arial" w:hAnsi="Arial" w:cs="Arial"/>
                <w:noProof/>
                <w:color w:val="000000"/>
              </w:rPr>
            </w:pPr>
          </w:p>
        </w:tc>
        <w:tc>
          <w:tcPr>
            <w:tcW w:w="1645"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37BIPOCNY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cantSplit/>
          <w:trHeight w:val="255"/>
        </w:trPr>
        <w:tc>
          <w:tcPr>
            <w:tcW w:w="6505"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7BIPOCNYE"/>
              <w:jc w:val="right"/>
              <w:rPr>
                <w:rFonts w:ascii="Verdana" w:eastAsia="Verdana" w:hAnsi="Verdana" w:cs="Verdana"/>
                <w:noProof/>
                <w:color w:val="FFFFFF"/>
              </w:rPr>
            </w:pPr>
          </w:p>
        </w:tc>
        <w:tc>
          <w:tcPr>
            <w:tcW w:w="160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7BIPOCNYE"/>
              <w:jc w:val="right"/>
              <w:rPr>
                <w:rFonts w:ascii="Verdana" w:eastAsia="Verdana" w:hAnsi="Verdana" w:cs="Verdana"/>
                <w:noProof/>
                <w:color w:val="FFFFFF"/>
              </w:rPr>
            </w:pPr>
            <w:r>
              <w:rPr>
                <w:rFonts w:ascii="Verdana" w:hAnsi="Verdana"/>
                <w:noProof/>
                <w:color w:val="FFFFFF"/>
              </w:rPr>
              <w:t>31.12.2019</w:t>
            </w:r>
          </w:p>
        </w:tc>
        <w:tc>
          <w:tcPr>
            <w:tcW w:w="164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7BIPOCNYE"/>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65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CNYE"/>
              <w:rPr>
                <w:rFonts w:ascii="Verdana" w:eastAsia="Verdana" w:hAnsi="Verdana" w:cs="Verdana"/>
                <w:i/>
                <w:noProof/>
                <w:color w:val="000000"/>
                <w:sz w:val="18"/>
              </w:rPr>
            </w:pPr>
            <w:r>
              <w:rPr>
                <w:rFonts w:ascii="Verdana" w:hAnsi="Verdana"/>
                <w:i/>
                <w:noProof/>
                <w:color w:val="000000"/>
                <w:sz w:val="18"/>
              </w:rPr>
              <w:t>Zobowiązania budżetowe pozostające do spłaty nieujęte jeszcze jako koszty</w:t>
            </w:r>
          </w:p>
        </w:tc>
        <w:tc>
          <w:tcPr>
            <w:tcW w:w="16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CNYE"/>
              <w:jc w:val="right"/>
              <w:rPr>
                <w:rFonts w:ascii="Verdana" w:eastAsia="Verdana" w:hAnsi="Verdana" w:cs="Verdana"/>
                <w:i/>
                <w:noProof/>
                <w:color w:val="000000"/>
                <w:sz w:val="18"/>
              </w:rPr>
            </w:pPr>
            <w:r>
              <w:rPr>
                <w:rFonts w:ascii="Verdana" w:hAnsi="Verdana"/>
                <w:i/>
                <w:noProof/>
                <w:color w:val="000000"/>
                <w:sz w:val="18"/>
              </w:rPr>
              <w:t>249 686</w:t>
            </w:r>
          </w:p>
        </w:tc>
        <w:tc>
          <w:tcPr>
            <w:tcW w:w="16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OCNYE"/>
              <w:jc w:val="right"/>
              <w:rPr>
                <w:rFonts w:ascii="Verdana" w:eastAsia="Verdana" w:hAnsi="Verdana" w:cs="Verdana"/>
                <w:i/>
                <w:noProof/>
                <w:color w:val="000000"/>
                <w:sz w:val="18"/>
              </w:rPr>
            </w:pPr>
            <w:r>
              <w:rPr>
                <w:rFonts w:ascii="Verdana" w:hAnsi="Verdana"/>
                <w:i/>
                <w:noProof/>
                <w:color w:val="000000"/>
                <w:sz w:val="18"/>
              </w:rPr>
              <w:t>235 836</w:t>
            </w:r>
          </w:p>
        </w:tc>
      </w:tr>
    </w:tbl>
    <w:p w:rsidR="0043277E" w:rsidRDefault="000F2348">
      <w:pPr>
        <w:pStyle w:val="DGTextstand-alone"/>
      </w:pPr>
      <w:r>
        <w:t>Powyższa kwota stanowi budżetowe zobowiązania pozostające do spłaty</w:t>
      </w:r>
      <w:r>
        <w:t xml:space="preserve"> (RAL) w wysokości 297 693 mln EUR (zob. tabela 4.4 w informacjach dodatkowych do sprawozdań z wykonania budżetu), pomniejszone o powiązane kwoty, które w bilansie ujęto jako zobowiązania, zaś w sprawozdaniu z finansowych wyników działalności jako koszty. </w:t>
      </w:r>
      <w:r>
        <w:t>Zobowiązania budżetowe pozostające do spłaty (RAL) to kwota otwartych zobowiązań, w przypadku których nie dokonano jeszcze płatności lub umorzenia. Jak wyjaśniono powyżej, jest to normalna konsekwencja istnienia programów wieloletnich.</w:t>
      </w:r>
    </w:p>
    <w:p w:rsidR="0043277E" w:rsidRDefault="000F2348">
      <w:pPr>
        <w:pStyle w:val="DGTextstand-alone"/>
      </w:pPr>
      <w:r>
        <w:t xml:space="preserve">Należy zauważyć, że </w:t>
      </w:r>
      <w:r>
        <w:t xml:space="preserve">zaległe płatności zaliczkowe na dzień 31 grudnia 2019 r. wyniosły 51 mld EUR (zob. informacja dodatkowa </w:t>
      </w:r>
      <w:r>
        <w:rPr>
          <w:b/>
        </w:rPr>
        <w:t>2.5</w:t>
      </w:r>
      <w:r>
        <w:t>). Stanowią one zobowiązania budżetowe, które zostały zapłacone, prowadząc tym samym do zmniejszenia zobowiązań pozostających do spłaty (RAL), ale ty</w:t>
      </w:r>
      <w:r>
        <w:t>lko w sytuacji, gdy wypłacone kwoty są nadal uważane za należące do UE – a nie do beneficjenta – do czasu wypełnienia stosownych zobowiązań umownych. Są więc takie jak RAL wykazywane powyżej, jednak nie są jeszcze ujmowane jako koszty.</w:t>
      </w:r>
    </w:p>
    <w:p w:rsidR="0043277E" w:rsidRDefault="000F2348">
      <w:pPr>
        <w:pStyle w:val="HEADER2NOTES"/>
        <w:rPr>
          <w:noProof/>
        </w:rPr>
      </w:pPr>
      <w:r>
        <w:rPr>
          <w:noProof/>
        </w:rPr>
        <w:t xml:space="preserve">ZOBOWIĄZANIA PRAWNE </w:t>
      </w:r>
      <w:r>
        <w:rPr>
          <w:noProof/>
        </w:rPr>
        <w:t>W ZAKRESIE ZARZĄDZANIA DZIELONEGO W RAMACH BIEŻĄCYCH WRF OCZEKUJĄCE NA WDROŻENIE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1800"/>
        <w:gridCol w:w="2180"/>
        <w:gridCol w:w="1660"/>
        <w:gridCol w:w="1658"/>
      </w:tblGrid>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61BIPSTRUCAC"/>
              <w:rPr>
                <w:rFonts w:ascii="Arial" w:eastAsia="Arial" w:hAnsi="Arial" w:cs="Arial"/>
                <w:noProof/>
                <w:color w:val="000000"/>
              </w:rPr>
            </w:pPr>
            <w:bookmarkStart w:id="143" w:name="DOC_TBL00080_1_1"/>
            <w:bookmarkEnd w:id="143"/>
          </w:p>
        </w:tc>
        <w:tc>
          <w:tcPr>
            <w:tcW w:w="18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61BIPSTRUCAC"/>
              <w:rPr>
                <w:rFonts w:ascii="Arial" w:eastAsia="Arial" w:hAnsi="Arial" w:cs="Arial"/>
                <w:noProof/>
                <w:color w:val="000000"/>
              </w:rPr>
            </w:pPr>
          </w:p>
        </w:tc>
        <w:tc>
          <w:tcPr>
            <w:tcW w:w="21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61BIPSTRUCAC"/>
              <w:rPr>
                <w:rFonts w:ascii="Arial" w:eastAsia="Arial" w:hAnsi="Arial" w:cs="Arial"/>
                <w:noProof/>
                <w:color w:val="000000"/>
              </w:rPr>
            </w:pPr>
          </w:p>
        </w:tc>
        <w:tc>
          <w:tcPr>
            <w:tcW w:w="16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61BIPSTRUCAC"/>
              <w:rPr>
                <w:rFonts w:ascii="Arial" w:eastAsia="Arial" w:hAnsi="Arial" w:cs="Arial"/>
                <w:noProof/>
                <w:color w:val="000000"/>
              </w:rPr>
            </w:pPr>
          </w:p>
        </w:tc>
        <w:tc>
          <w:tcPr>
            <w:tcW w:w="165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61BIPSTRUCAC"/>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46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61BIPSTRUCAC"/>
              <w:rPr>
                <w:rFonts w:ascii="Verdana" w:eastAsia="Verdana" w:hAnsi="Verdana" w:cs="Verdana"/>
                <w:noProof/>
                <w:color w:val="FFFFFF"/>
                <w:sz w:val="18"/>
              </w:rPr>
            </w:pPr>
            <w:r>
              <w:rPr>
                <w:rFonts w:ascii="Verdana" w:hAnsi="Verdana"/>
                <w:noProof/>
                <w:color w:val="FFFFFF"/>
                <w:sz w:val="18"/>
              </w:rPr>
              <w:t>Fundusze</w:t>
            </w:r>
          </w:p>
        </w:tc>
        <w:tc>
          <w:tcPr>
            <w:tcW w:w="180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61BIPSTRUCAC"/>
              <w:jc w:val="right"/>
              <w:rPr>
                <w:rFonts w:ascii="Verdana" w:eastAsia="Verdana" w:hAnsi="Verdana" w:cs="Verdana"/>
                <w:noProof/>
                <w:color w:val="FFFFFF"/>
                <w:sz w:val="18"/>
              </w:rPr>
            </w:pPr>
            <w:r>
              <w:rPr>
                <w:rFonts w:ascii="Verdana" w:hAnsi="Verdana"/>
                <w:noProof/>
                <w:color w:val="FFFFFF"/>
                <w:sz w:val="18"/>
              </w:rPr>
              <w:t>Ramy finansowe na lata 2014–2020 (A)</w:t>
            </w:r>
          </w:p>
        </w:tc>
        <w:tc>
          <w:tcPr>
            <w:tcW w:w="21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61BIPSTRUCAC"/>
              <w:jc w:val="right"/>
              <w:rPr>
                <w:rFonts w:ascii="Verdana" w:eastAsia="Verdana" w:hAnsi="Verdana" w:cs="Verdana"/>
                <w:noProof/>
                <w:color w:val="FFFFFF"/>
                <w:sz w:val="18"/>
              </w:rPr>
            </w:pPr>
            <w:r>
              <w:rPr>
                <w:rFonts w:ascii="Verdana" w:hAnsi="Verdana"/>
                <w:noProof/>
                <w:color w:val="FFFFFF"/>
                <w:sz w:val="18"/>
              </w:rPr>
              <w:t>Zobowiązania prawne zgodnie z najnowszą decyzją Komisji (B)</w:t>
            </w:r>
          </w:p>
        </w:tc>
        <w:tc>
          <w:tcPr>
            <w:tcW w:w="166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61BIPSTRUCAC"/>
              <w:jc w:val="right"/>
              <w:rPr>
                <w:rFonts w:ascii="Verdana" w:eastAsia="Verdana" w:hAnsi="Verdana" w:cs="Verdana"/>
                <w:noProof/>
                <w:color w:val="FFFFFF"/>
                <w:sz w:val="18"/>
              </w:rPr>
            </w:pPr>
            <w:r>
              <w:rPr>
                <w:rFonts w:ascii="Verdana" w:hAnsi="Verdana"/>
                <w:noProof/>
                <w:color w:val="FFFFFF"/>
                <w:sz w:val="18"/>
              </w:rPr>
              <w:t>Zobowiązania budżetowe, w tym umorzenia (C)</w:t>
            </w:r>
          </w:p>
        </w:tc>
        <w:tc>
          <w:tcPr>
            <w:tcW w:w="165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61BIPSTRUCAC"/>
              <w:jc w:val="right"/>
              <w:rPr>
                <w:rFonts w:ascii="Verdana" w:eastAsia="Verdana" w:hAnsi="Verdana" w:cs="Verdana"/>
                <w:noProof/>
                <w:color w:val="FFFFFF"/>
                <w:sz w:val="18"/>
              </w:rPr>
            </w:pPr>
            <w:r>
              <w:rPr>
                <w:rFonts w:ascii="Verdana" w:hAnsi="Verdana"/>
                <w:noProof/>
                <w:color w:val="FFFFFF"/>
                <w:sz w:val="18"/>
              </w:rPr>
              <w:t>Zobowiązania prawne oczekujące na wdrożenie (B–C)</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Europejski Fundusz Rozwoju Regionalnego i Fundusz Spójności</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262 585</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262 407</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220 447</w:t>
            </w:r>
          </w:p>
        </w:tc>
        <w:tc>
          <w:tcPr>
            <w:tcW w:w="16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41 960</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Europejski Fundusz Społeczny</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92 912</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92 751</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78 841</w:t>
            </w:r>
          </w:p>
        </w:tc>
        <w:tc>
          <w:tcPr>
            <w:tcW w:w="16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13 910</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Europejski Instrument Sąsiedztwa i Partnerstwa</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Europejski Fundusz Pomocy Najbardziej Potrzebującym</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3 814</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3 813</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3 235</w:t>
            </w:r>
          </w:p>
        </w:tc>
        <w:tc>
          <w:tcPr>
            <w:tcW w:w="16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578</w:t>
            </w:r>
          </w:p>
        </w:tc>
      </w:tr>
      <w:tr w:rsidR="0043277E">
        <w:trPr>
          <w:trHeight w:val="255"/>
        </w:trPr>
        <w:tc>
          <w:tcPr>
            <w:tcW w:w="2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b/>
                <w:noProof/>
                <w:color w:val="000000"/>
                <w:sz w:val="18"/>
              </w:rPr>
            </w:pPr>
            <w:r>
              <w:rPr>
                <w:rFonts w:ascii="Verdana" w:hAnsi="Verdana"/>
                <w:b/>
                <w:noProof/>
                <w:color w:val="000000"/>
                <w:sz w:val="18"/>
              </w:rPr>
              <w:t>DZIAŁ 1B: FUNDUSZE W RAMACH POLITYKI SPÓJNOŚCI</w:t>
            </w:r>
          </w:p>
        </w:tc>
        <w:tc>
          <w:tcPr>
            <w:tcW w:w="18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359 310</w:t>
            </w:r>
          </w:p>
        </w:tc>
        <w:tc>
          <w:tcPr>
            <w:tcW w:w="21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358 971</w:t>
            </w:r>
          </w:p>
        </w:tc>
        <w:tc>
          <w:tcPr>
            <w:tcW w:w="1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302 524</w:t>
            </w:r>
          </w:p>
        </w:tc>
        <w:tc>
          <w:tcPr>
            <w:tcW w:w="1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56 448</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 xml:space="preserve">Europejski Fundusz Rolny na rzecz Rozwoju Obszarów Wiejskich </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100 079</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100 079</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85 404</w:t>
            </w:r>
          </w:p>
        </w:tc>
        <w:tc>
          <w:tcPr>
            <w:tcW w:w="16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14 675</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Europejski Fundusz Morski i Rybacki</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5 749</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5 687</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4 828</w:t>
            </w:r>
          </w:p>
        </w:tc>
        <w:tc>
          <w:tcPr>
            <w:tcW w:w="1658"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859</w:t>
            </w:r>
          </w:p>
        </w:tc>
      </w:tr>
      <w:tr w:rsidR="0043277E">
        <w:trPr>
          <w:trHeight w:val="255"/>
        </w:trPr>
        <w:tc>
          <w:tcPr>
            <w:tcW w:w="2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b/>
                <w:noProof/>
                <w:color w:val="000000"/>
                <w:sz w:val="18"/>
              </w:rPr>
            </w:pPr>
            <w:r>
              <w:rPr>
                <w:rFonts w:ascii="Verdana" w:hAnsi="Verdana"/>
                <w:b/>
                <w:noProof/>
                <w:color w:val="000000"/>
                <w:sz w:val="18"/>
              </w:rPr>
              <w:t>DZIAŁ 2: ZASOBY NATURALNE</w:t>
            </w:r>
          </w:p>
        </w:tc>
        <w:tc>
          <w:tcPr>
            <w:tcW w:w="18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105 829</w:t>
            </w:r>
          </w:p>
        </w:tc>
        <w:tc>
          <w:tcPr>
            <w:tcW w:w="21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105 766</w:t>
            </w:r>
          </w:p>
        </w:tc>
        <w:tc>
          <w:tcPr>
            <w:tcW w:w="1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90 232</w:t>
            </w:r>
          </w:p>
        </w:tc>
        <w:tc>
          <w:tcPr>
            <w:tcW w:w="1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15 534</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Fundusz Azylu, Migracji i Integracji</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4 575</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4 482</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4 032</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450</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i/>
                <w:noProof/>
                <w:color w:val="000000"/>
                <w:sz w:val="18"/>
              </w:rPr>
            </w:pPr>
            <w:r>
              <w:rPr>
                <w:rFonts w:ascii="Verdana" w:hAnsi="Verdana"/>
                <w:i/>
                <w:noProof/>
                <w:color w:val="000000"/>
                <w:sz w:val="18"/>
              </w:rPr>
              <w:t>Fundusz Bezpieczeństwa Wewnętrznego</w:t>
            </w:r>
          </w:p>
        </w:tc>
        <w:tc>
          <w:tcPr>
            <w:tcW w:w="180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3 159</w:t>
            </w:r>
          </w:p>
        </w:tc>
        <w:tc>
          <w:tcPr>
            <w:tcW w:w="218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3 095</w:t>
            </w:r>
          </w:p>
        </w:tc>
        <w:tc>
          <w:tcPr>
            <w:tcW w:w="1660"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2 695</w:t>
            </w:r>
          </w:p>
        </w:tc>
        <w:tc>
          <w:tcPr>
            <w:tcW w:w="16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401</w:t>
            </w:r>
          </w:p>
        </w:tc>
      </w:tr>
      <w:tr w:rsidR="0043277E">
        <w:trPr>
          <w:trHeight w:val="255"/>
        </w:trPr>
        <w:tc>
          <w:tcPr>
            <w:tcW w:w="2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rPr>
                <w:rFonts w:ascii="Verdana" w:eastAsia="Verdana" w:hAnsi="Verdana" w:cs="Verdana"/>
                <w:b/>
                <w:noProof/>
                <w:color w:val="000000"/>
                <w:sz w:val="18"/>
              </w:rPr>
            </w:pPr>
            <w:r>
              <w:rPr>
                <w:rFonts w:ascii="Verdana" w:hAnsi="Verdana"/>
                <w:b/>
                <w:noProof/>
                <w:color w:val="000000"/>
                <w:sz w:val="18"/>
              </w:rPr>
              <w:t xml:space="preserve">DZIAŁ 3: </w:t>
            </w:r>
            <w:r>
              <w:rPr>
                <w:rFonts w:ascii="Verdana" w:hAnsi="Verdana"/>
                <w:b/>
                <w:noProof/>
                <w:color w:val="000000"/>
                <w:sz w:val="18"/>
              </w:rPr>
              <w:t>BEZPIECZEŃSTWO I OBYWATELSTWO</w:t>
            </w:r>
          </w:p>
        </w:tc>
        <w:tc>
          <w:tcPr>
            <w:tcW w:w="18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7 733</w:t>
            </w:r>
          </w:p>
        </w:tc>
        <w:tc>
          <w:tcPr>
            <w:tcW w:w="21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7 577</w:t>
            </w:r>
          </w:p>
        </w:tc>
        <w:tc>
          <w:tcPr>
            <w:tcW w:w="1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6 727</w:t>
            </w:r>
          </w:p>
        </w:tc>
        <w:tc>
          <w:tcPr>
            <w:tcW w:w="1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 xml:space="preserve"> 851</w:t>
            </w:r>
          </w:p>
        </w:tc>
      </w:tr>
      <w:tr w:rsidR="0043277E">
        <w:trPr>
          <w:trHeight w:val="255"/>
        </w:trPr>
        <w:tc>
          <w:tcPr>
            <w:tcW w:w="24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6561BIPSTRUCAC"/>
              <w:rPr>
                <w:rFonts w:ascii="Arial" w:eastAsia="Arial" w:hAnsi="Arial" w:cs="Arial"/>
                <w:noProof/>
                <w:color w:val="000000"/>
              </w:rPr>
            </w:pPr>
          </w:p>
        </w:tc>
        <w:tc>
          <w:tcPr>
            <w:tcW w:w="18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6561BIPSTRUCAC"/>
              <w:rPr>
                <w:rFonts w:ascii="Arial" w:eastAsia="Arial" w:hAnsi="Arial" w:cs="Arial"/>
                <w:noProof/>
                <w:color w:val="000000"/>
              </w:rPr>
            </w:pPr>
          </w:p>
        </w:tc>
        <w:tc>
          <w:tcPr>
            <w:tcW w:w="21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6561BIPSTRUCAC"/>
              <w:rPr>
                <w:rFonts w:ascii="Arial" w:eastAsia="Arial" w:hAnsi="Arial" w:cs="Arial"/>
                <w:noProof/>
                <w:color w:val="000000"/>
              </w:rPr>
            </w:pPr>
          </w:p>
        </w:tc>
        <w:tc>
          <w:tcPr>
            <w:tcW w:w="16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6561BIPSTRUCAC"/>
              <w:rPr>
                <w:rFonts w:ascii="Arial" w:eastAsia="Arial" w:hAnsi="Arial" w:cs="Arial"/>
                <w:noProof/>
                <w:color w:val="000000"/>
              </w:rPr>
            </w:pPr>
          </w:p>
        </w:tc>
        <w:tc>
          <w:tcPr>
            <w:tcW w:w="165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6561BIPSTRUCAC"/>
              <w:rPr>
                <w:rFonts w:ascii="Arial" w:eastAsia="Arial" w:hAnsi="Arial" w:cs="Arial"/>
                <w:noProof/>
                <w:color w:val="000000"/>
                <w:lang w:bidi="en-GB"/>
              </w:rPr>
            </w:pPr>
          </w:p>
        </w:tc>
      </w:tr>
      <w:tr w:rsidR="0043277E">
        <w:trPr>
          <w:trHeight w:val="255"/>
        </w:trPr>
        <w:tc>
          <w:tcPr>
            <w:tcW w:w="24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61BIPSTRUCAC"/>
              <w:rPr>
                <w:rFonts w:ascii="Verdana" w:eastAsia="Verdana" w:hAnsi="Verdana" w:cs="Verdana"/>
                <w:b/>
                <w:noProof/>
                <w:color w:val="000000"/>
                <w:sz w:val="18"/>
              </w:rPr>
            </w:pPr>
            <w:r>
              <w:rPr>
                <w:rFonts w:ascii="Verdana" w:hAnsi="Verdana"/>
                <w:b/>
                <w:noProof/>
                <w:color w:val="000000"/>
                <w:sz w:val="18"/>
              </w:rPr>
              <w:t>Ogółem</w:t>
            </w:r>
          </w:p>
        </w:tc>
        <w:tc>
          <w:tcPr>
            <w:tcW w:w="18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472 872</w:t>
            </w:r>
          </w:p>
        </w:tc>
        <w:tc>
          <w:tcPr>
            <w:tcW w:w="21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472 315</w:t>
            </w:r>
          </w:p>
        </w:tc>
        <w:tc>
          <w:tcPr>
            <w:tcW w:w="16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399 483</w:t>
            </w:r>
          </w:p>
        </w:tc>
        <w:tc>
          <w:tcPr>
            <w:tcW w:w="165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6561BIPSTRUCAC"/>
              <w:jc w:val="right"/>
              <w:rPr>
                <w:rFonts w:ascii="Verdana" w:eastAsia="Verdana" w:hAnsi="Verdana" w:cs="Verdana"/>
                <w:b/>
                <w:noProof/>
                <w:color w:val="000000"/>
                <w:sz w:val="18"/>
              </w:rPr>
            </w:pPr>
            <w:r>
              <w:rPr>
                <w:rFonts w:ascii="Verdana" w:hAnsi="Verdana"/>
                <w:b/>
                <w:noProof/>
                <w:color w:val="000000"/>
                <w:sz w:val="18"/>
              </w:rPr>
              <w:t>72 832</w:t>
            </w:r>
          </w:p>
        </w:tc>
      </w:tr>
    </w:tbl>
    <w:p w:rsidR="0043277E" w:rsidRDefault="000F2348">
      <w:pPr>
        <w:pStyle w:val="DGTextstand-alone"/>
      </w:pPr>
      <w:r>
        <w:lastRenderedPageBreak/>
        <w:t xml:space="preserve">Są to zobowiązania prawne, które UE zobowiązała się zapłacić przy przyjmowaniu programów operacyjnych związanych z zarządzaniem dzielonym. Decyzja Komisji w </w:t>
      </w:r>
      <w:r>
        <w:t>sprawie przyjęcia programu operacyjnego stanowi decyzję w sprawie finansowania w rozumieniu art. 110 rozporządzenia finansowego, a po jej notyfikacji zainteresowanemu państwu członkowskiemu – zobowiązanie prawne w rozumieniu tego rozporządzenia.</w:t>
      </w:r>
    </w:p>
    <w:p w:rsidR="0043277E" w:rsidRDefault="000F2348">
      <w:pPr>
        <w:pStyle w:val="DGTextstand-alone"/>
      </w:pPr>
      <w:r>
        <w:t>Art. 76 ro</w:t>
      </w:r>
      <w:r>
        <w:t>zporządzenia w sprawie wspólnych przepisów dotyczący europejskich funduszy strukturalnych i inwestycyjnych stanowi, że:</w:t>
      </w:r>
    </w:p>
    <w:p w:rsidR="0043277E" w:rsidRDefault="000F2348">
      <w:pPr>
        <w:pStyle w:val="DGTextstand-alone"/>
        <w:rPr>
          <w:i/>
        </w:rPr>
      </w:pPr>
      <w:r>
        <w:rPr>
          <w:i/>
        </w:rPr>
        <w:t>„Zobowiązania budżetowe Unii w odniesieniu do każdego programu są podejmowane w ratach rocznych dla każdego funduszu w okresie od dnia 1</w:t>
      </w:r>
      <w:r>
        <w:rPr>
          <w:i/>
        </w:rPr>
        <w:t xml:space="preserve"> stycznia 2014 r. do dnia 31 grudnia 2020 r. Zobowiązania budżetowe związane z rezerwą wykonania w każdym programie są podejmowane oddzielnie od zobowiązań dla pozostałej alokacji dla programu”.</w:t>
      </w:r>
    </w:p>
    <w:p w:rsidR="0043277E" w:rsidRDefault="000F2348">
      <w:pPr>
        <w:pStyle w:val="DGTextstand-alone"/>
      </w:pPr>
      <w:r>
        <w:t>W powyższej tabeli przedstawiono przegląd zobowiązań prawnych</w:t>
      </w:r>
      <w:r>
        <w:t xml:space="preserve"> i budżetowych związanych z pozycjami 1B, 2 i 3 WRF na lata 2014–2020. W pierwszej kolejności w tabeli ujęto łączne kwoty WRF uchwalone na dany okres (kolumna A). W kolumnie B przedstawiono zobowiązania prawne zaciągnięte przez UE na koniec roku, z których</w:t>
      </w:r>
      <w:r>
        <w:t xml:space="preserve"> część nie została jeszcze objęta zobowiązaniami budżetowymi. W kolumnie C zawarto zobowiązania budżetowe już zaciągnięte w celu pokrycia wspomnianych powyżej zobowiązań prawnych. Różnica między wartościami przedstawionymi w tych dwóch kolumnach odpowiada </w:t>
      </w:r>
      <w:r>
        <w:t>pozostającym kwotom należności, z których UE zaciągnie zobowiązania budżetowe, a następnie dokona wypłaty po dniu 31 grudnia 2019 r. Z uwagi na zbliżające się zakończenie okresu obowiązywania WRF różnica między zobowiązaniami prawnymi a zobowiązaniami budż</w:t>
      </w:r>
      <w:r>
        <w:t>etowymi istotnie się zmniejsza (72,8 mld EUR w porównaniu z 143,8 mld EUR w 2018 r.).</w:t>
      </w:r>
    </w:p>
    <w:p w:rsidR="0043277E" w:rsidRDefault="000F2348">
      <w:pPr>
        <w:pStyle w:val="HEADER2NOTES"/>
        <w:rPr>
          <w:noProof/>
        </w:rPr>
      </w:pPr>
      <w:r>
        <w:rPr>
          <w:noProof/>
        </w:rPr>
        <w:t>ISTOTNE ZOBOWIĄZANIA PRAWNE W INNYCH DZIEDZINACH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3"/>
        <w:gridCol w:w="2357"/>
        <w:gridCol w:w="2358"/>
      </w:tblGrid>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7BIPLEGCOM"/>
              <w:rPr>
                <w:rFonts w:ascii="Arial" w:eastAsia="Arial" w:hAnsi="Arial" w:cs="Arial"/>
                <w:noProof/>
                <w:color w:val="000000"/>
              </w:rPr>
            </w:pPr>
            <w:bookmarkStart w:id="144" w:name="DOC_TBL00081_1_1"/>
            <w:bookmarkEnd w:id="144"/>
          </w:p>
        </w:tc>
        <w:tc>
          <w:tcPr>
            <w:tcW w:w="235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37BIPLEGCOM"/>
              <w:rPr>
                <w:rFonts w:ascii="Arial" w:eastAsia="Arial" w:hAnsi="Arial" w:cs="Arial"/>
                <w:noProof/>
                <w:color w:val="000000"/>
              </w:rPr>
            </w:pPr>
          </w:p>
        </w:tc>
        <w:tc>
          <w:tcPr>
            <w:tcW w:w="235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37BIPLEGCOM"/>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504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7BIPLEGCOM"/>
              <w:jc w:val="right"/>
              <w:rPr>
                <w:rFonts w:ascii="Verdana" w:eastAsia="Verdana" w:hAnsi="Verdana" w:cs="Verdana"/>
                <w:noProof/>
                <w:color w:val="FFFFFF"/>
              </w:rPr>
            </w:pPr>
          </w:p>
        </w:tc>
        <w:tc>
          <w:tcPr>
            <w:tcW w:w="235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7BIPLEGCOM"/>
              <w:jc w:val="right"/>
              <w:rPr>
                <w:rFonts w:ascii="Verdana" w:eastAsia="Verdana" w:hAnsi="Verdana" w:cs="Verdana"/>
                <w:noProof/>
                <w:color w:val="FFFFFF"/>
              </w:rPr>
            </w:pPr>
            <w:r>
              <w:rPr>
                <w:rFonts w:ascii="Verdana" w:hAnsi="Verdana"/>
                <w:noProof/>
                <w:color w:val="FFFFFF"/>
              </w:rPr>
              <w:t>31.12.2019</w:t>
            </w:r>
          </w:p>
        </w:tc>
        <w:tc>
          <w:tcPr>
            <w:tcW w:w="235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7BIPLEGCOM"/>
              <w:jc w:val="right"/>
              <w:rPr>
                <w:rFonts w:ascii="Verdana" w:eastAsia="Verdana" w:hAnsi="Verdana" w:cs="Verdana"/>
                <w:noProof/>
                <w:color w:val="FFFFFF"/>
              </w:rPr>
            </w:pPr>
            <w:r>
              <w:rPr>
                <w:rFonts w:ascii="Verdana" w:hAnsi="Verdana"/>
                <w:noProof/>
                <w:color w:val="FFFFFF"/>
              </w:rPr>
              <w:t>31.12.2018</w:t>
            </w:r>
          </w:p>
        </w:tc>
      </w:tr>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rPr>
                <w:rFonts w:ascii="Verdana" w:eastAsia="Verdana" w:hAnsi="Verdana" w:cs="Verdana"/>
                <w:i/>
                <w:noProof/>
                <w:color w:val="000000"/>
                <w:sz w:val="18"/>
              </w:rPr>
            </w:pPr>
            <w:r>
              <w:rPr>
                <w:rFonts w:ascii="Verdana" w:hAnsi="Verdana"/>
                <w:i/>
                <w:noProof/>
                <w:color w:val="000000"/>
                <w:sz w:val="18"/>
              </w:rPr>
              <w:t>Instrument „Łącząc Europę”</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7 680</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11 554</w:t>
            </w:r>
          </w:p>
        </w:tc>
      </w:tr>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rPr>
                <w:rFonts w:ascii="Verdana" w:eastAsia="Verdana" w:hAnsi="Verdana" w:cs="Verdana"/>
                <w:i/>
                <w:noProof/>
                <w:color w:val="000000"/>
                <w:sz w:val="18"/>
              </w:rPr>
            </w:pPr>
            <w:r>
              <w:rPr>
                <w:rFonts w:ascii="Verdana" w:hAnsi="Verdana"/>
                <w:i/>
                <w:noProof/>
                <w:color w:val="000000"/>
                <w:sz w:val="18"/>
              </w:rPr>
              <w:t>ITER</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1 676</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1 489</w:t>
            </w:r>
          </w:p>
        </w:tc>
      </w:tr>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rPr>
                <w:rFonts w:ascii="Verdana" w:eastAsia="Verdana" w:hAnsi="Verdana" w:cs="Verdana"/>
                <w:i/>
                <w:noProof/>
                <w:color w:val="000000"/>
                <w:sz w:val="18"/>
              </w:rPr>
            </w:pPr>
            <w:r>
              <w:rPr>
                <w:rFonts w:ascii="Verdana" w:hAnsi="Verdana"/>
                <w:i/>
                <w:noProof/>
                <w:color w:val="000000"/>
                <w:sz w:val="18"/>
              </w:rPr>
              <w:t>Program Copernicus</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601</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1</w:t>
            </w:r>
            <w:r>
              <w:rPr>
                <w:rFonts w:ascii="Verdana" w:hAnsi="Verdana"/>
                <w:i/>
                <w:noProof/>
                <w:color w:val="000000"/>
                <w:sz w:val="18"/>
              </w:rPr>
              <w:t xml:space="preserve"> 267</w:t>
            </w:r>
          </w:p>
        </w:tc>
      </w:tr>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rPr>
                <w:rFonts w:ascii="Verdana" w:eastAsia="Verdana" w:hAnsi="Verdana" w:cs="Verdana"/>
                <w:i/>
                <w:noProof/>
                <w:color w:val="000000"/>
                <w:sz w:val="18"/>
              </w:rPr>
            </w:pPr>
            <w:r>
              <w:rPr>
                <w:rFonts w:ascii="Verdana" w:hAnsi="Verdana"/>
                <w:i/>
                <w:noProof/>
                <w:color w:val="000000"/>
                <w:sz w:val="18"/>
              </w:rPr>
              <w:t xml:space="preserve">Galileo </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438</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493</w:t>
            </w:r>
          </w:p>
        </w:tc>
      </w:tr>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rPr>
                <w:rFonts w:ascii="Verdana" w:eastAsia="Verdana" w:hAnsi="Verdana" w:cs="Verdana"/>
                <w:i/>
                <w:noProof/>
                <w:color w:val="000000"/>
                <w:sz w:val="18"/>
              </w:rPr>
            </w:pPr>
            <w:r>
              <w:rPr>
                <w:rFonts w:ascii="Verdana" w:hAnsi="Verdana"/>
                <w:i/>
                <w:noProof/>
                <w:color w:val="000000"/>
                <w:sz w:val="18"/>
              </w:rPr>
              <w:t>Umowy w sprawie połowów</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223</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46</w:t>
            </w:r>
          </w:p>
        </w:tc>
      </w:tr>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rPr>
                <w:rFonts w:ascii="Verdana" w:eastAsia="Verdana" w:hAnsi="Verdana" w:cs="Verdana"/>
                <w:i/>
                <w:noProof/>
                <w:color w:val="000000"/>
                <w:sz w:val="18"/>
              </w:rPr>
            </w:pPr>
            <w:r>
              <w:rPr>
                <w:rFonts w:ascii="Verdana" w:hAnsi="Verdana"/>
                <w:i/>
                <w:noProof/>
                <w:color w:val="000000"/>
                <w:sz w:val="18"/>
              </w:rPr>
              <w:t>Zobowiązania — leasing operacyjny</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2 535</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2 352</w:t>
            </w:r>
          </w:p>
        </w:tc>
      </w:tr>
      <w:tr w:rsidR="0043277E">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rPr>
                <w:rFonts w:ascii="Verdana" w:eastAsia="Verdana" w:hAnsi="Verdana" w:cs="Verdana"/>
                <w:i/>
                <w:noProof/>
                <w:color w:val="000000"/>
                <w:sz w:val="18"/>
              </w:rPr>
            </w:pPr>
            <w:r>
              <w:rPr>
                <w:rFonts w:ascii="Verdana" w:hAnsi="Verdana"/>
                <w:i/>
                <w:noProof/>
                <w:color w:val="000000"/>
                <w:sz w:val="18"/>
              </w:rPr>
              <w:t>Inne zobowiązania umowne</w:t>
            </w:r>
          </w:p>
        </w:tc>
        <w:tc>
          <w:tcPr>
            <w:tcW w:w="23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788</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924</w:t>
            </w:r>
          </w:p>
        </w:tc>
      </w:tr>
      <w:tr w:rsidR="0043277E">
        <w:trPr>
          <w:trHeight w:val="255"/>
        </w:trPr>
        <w:tc>
          <w:tcPr>
            <w:tcW w:w="504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7BIPLEGCOM"/>
              <w:rPr>
                <w:rFonts w:ascii="Verdana" w:eastAsia="Verdana" w:hAnsi="Verdana" w:cs="Verdana"/>
                <w:b/>
                <w:noProof/>
                <w:color w:val="000000"/>
                <w:sz w:val="18"/>
              </w:rPr>
            </w:pPr>
            <w:r>
              <w:rPr>
                <w:rFonts w:ascii="Verdana" w:hAnsi="Verdana"/>
                <w:b/>
                <w:noProof/>
                <w:color w:val="000000"/>
                <w:sz w:val="18"/>
              </w:rPr>
              <w:t>Ogółem</w:t>
            </w:r>
          </w:p>
        </w:tc>
        <w:tc>
          <w:tcPr>
            <w:tcW w:w="235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7BIPLEGCOM"/>
              <w:jc w:val="right"/>
              <w:rPr>
                <w:rFonts w:ascii="Verdana" w:eastAsia="Verdana" w:hAnsi="Verdana" w:cs="Verdana"/>
                <w:b/>
                <w:noProof/>
                <w:color w:val="000000"/>
                <w:sz w:val="18"/>
              </w:rPr>
            </w:pPr>
            <w:r>
              <w:rPr>
                <w:rFonts w:ascii="Verdana" w:hAnsi="Verdana"/>
                <w:b/>
                <w:noProof/>
                <w:color w:val="000000"/>
                <w:sz w:val="18"/>
              </w:rPr>
              <w:t>13 941</w:t>
            </w:r>
          </w:p>
        </w:tc>
        <w:tc>
          <w:tcPr>
            <w:tcW w:w="235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37BIPLEGCOM"/>
              <w:jc w:val="right"/>
              <w:rPr>
                <w:rFonts w:ascii="Verdana" w:eastAsia="Verdana" w:hAnsi="Verdana" w:cs="Verdana"/>
                <w:b/>
                <w:noProof/>
                <w:color w:val="000000"/>
                <w:sz w:val="18"/>
              </w:rPr>
            </w:pPr>
            <w:r>
              <w:rPr>
                <w:rFonts w:ascii="Verdana" w:hAnsi="Verdana"/>
                <w:b/>
                <w:noProof/>
                <w:color w:val="000000"/>
                <w:sz w:val="18"/>
              </w:rPr>
              <w:t>18 126</w:t>
            </w:r>
          </w:p>
        </w:tc>
      </w:tr>
    </w:tbl>
    <w:p w:rsidR="0043277E" w:rsidRDefault="000F2348">
      <w:pPr>
        <w:pStyle w:val="DGTextstand-alone"/>
      </w:pPr>
      <w:r>
        <w:t xml:space="preserve">Kwoty te odzwierciedlają długoterminowe zobowiązania prawne, które nie mają jeszcze </w:t>
      </w:r>
      <w:r>
        <w:t>pokrycia w środkach na zobowiązania w budżecie na koniec roku. Z tytułu tych wiążących zobowiązań będą zaciągane zobowiązania budżetowe w ratach rocznych w przyszłych latach oraz będą dokonywane wypłaty środków.</w:t>
      </w:r>
    </w:p>
    <w:p w:rsidR="0043277E" w:rsidRDefault="000F2348">
      <w:pPr>
        <w:pStyle w:val="DGTextstand-alone"/>
      </w:pPr>
      <w:r>
        <w:t xml:space="preserve">Niektóre ważne programy (zob. poniżej) mogą </w:t>
      </w:r>
      <w:r>
        <w:t>być realizowane w rocznych ratach zgodnie z art. 112 ust. 2 rozporządzenia finansowego. Pozwala to UE na podejmowanie prawnych zobowiązań (podpisywanie umów o udzielenie dotacji, umów o delegowaniu zadań oraz umów w sprawie zamówienia publicznego) przekrac</w:t>
      </w:r>
      <w:r>
        <w:t>zających dostępne środki na zobowiązania w danym roku. Z tego powodu znaczna kwota całkowitej alokacji na bieżące WRF mogła zostać już zaangażowana. Dotyczy to w szczególności programów opisanych poniżej:</w:t>
      </w:r>
    </w:p>
    <w:p w:rsidR="0043277E" w:rsidRDefault="000F2348">
      <w:pPr>
        <w:pStyle w:val="HEADER5"/>
        <w:rPr>
          <w:noProof/>
        </w:rPr>
      </w:pPr>
      <w:r>
        <w:rPr>
          <w:noProof/>
        </w:rPr>
        <w:t>Instrument „Łącząc Europę”</w:t>
      </w:r>
    </w:p>
    <w:p w:rsidR="0043277E" w:rsidRDefault="000F2348">
      <w:pPr>
        <w:pStyle w:val="DGTextstand-alone"/>
      </w:pPr>
      <w:r>
        <w:t>Instrument „Łącząc Europ</w:t>
      </w:r>
      <w:r>
        <w:t xml:space="preserve">ę” zapewnia pomoc finansową dla sieci transeuropejskich w formie wsparcia dla projektów będących przedmiotem wspólnego zainteresowania w sektorach transportu oraz infrastruktury telekomunikacyjnej i energetycznej. Zobowiązania prawne dotyczące instrumentu </w:t>
      </w:r>
      <w:r>
        <w:t>„Łącząc Europę” obejmują okres wdrażania trwający od 2014 r. do 2023 r. w przypadku transportu i do 31.12.2024 r. w przypadku energii. Podstawą prawną tych zobowiązań jest rozporządzenie Parlamentu Europejskiego i Rady (UE) nr 1316/2013 z dnia 11 grudnia 2</w:t>
      </w:r>
      <w:r>
        <w:t xml:space="preserve">013 r. ustanawiające instrument „Łącząc Europę”, zmieniające rozporządzenie (UE) nr 913/2010 oraz uchylające rozporządzenia (WE) nr 680/2007 i (WE) </w:t>
      </w:r>
      <w:r>
        <w:lastRenderedPageBreak/>
        <w:t>nr 67/2010 (Tekst mający znaczenie dla EOG) (Dz.U. L 348 z 20.12.2013), którego art. 19 przewiduje wykorzyst</w:t>
      </w:r>
      <w:r>
        <w:t>anie rocznych rat.</w:t>
      </w:r>
    </w:p>
    <w:p w:rsidR="0043277E" w:rsidRDefault="000F2348">
      <w:pPr>
        <w:pStyle w:val="HEADER5"/>
        <w:rPr>
          <w:noProof/>
        </w:rPr>
      </w:pPr>
      <w:r>
        <w:rPr>
          <w:noProof/>
        </w:rPr>
        <w:t>Program Copernicus</w:t>
      </w:r>
    </w:p>
    <w:p w:rsidR="0043277E" w:rsidRDefault="000F2348">
      <w:pPr>
        <w:pStyle w:val="DGTextstand-alone"/>
      </w:pPr>
      <w:r>
        <w:t xml:space="preserve">Program Copernicus to unijny program obserwacji i monitorowania Ziemi – zob. również informacja dodatkowa </w:t>
      </w:r>
      <w:r>
        <w:rPr>
          <w:b/>
        </w:rPr>
        <w:t>2.2</w:t>
      </w:r>
      <w:r>
        <w:t xml:space="preserve">. Wymienione zobowiązania są zaciągane na okres do 2020 r. W oparciu o rozporządzenie Parlamentu </w:t>
      </w:r>
      <w:r>
        <w:t>Europejskiego i Rady (UE) nr 377/2014 z dnia 3 kwietnia 2014 r. (Dz.U. L 122/44 z 24.4.2014) Komisja podpisała umowy o przyznanie wkładu z Europejską Agencją Kosmiczną (ESA), EUMETSAT-em, ośrodkiem Mercator i Europejskim Centrum Prognoz Średnioterminowych.</w:t>
      </w:r>
      <w:r>
        <w:t xml:space="preserve"> Na podstawie art. 8 rozporządzenia nr 377/2014 zezwala się na korzystanie z rocznych rat.</w:t>
      </w:r>
    </w:p>
    <w:p w:rsidR="0043277E" w:rsidRDefault="000F2348">
      <w:pPr>
        <w:pStyle w:val="HEADER5"/>
        <w:rPr>
          <w:noProof/>
        </w:rPr>
      </w:pPr>
      <w:r>
        <w:rPr>
          <w:noProof/>
        </w:rPr>
        <w:t>ITER – międzynarodowy eksperymentalny reaktor termojądrowy</w:t>
      </w:r>
    </w:p>
    <w:p w:rsidR="0043277E" w:rsidRDefault="000F2348">
      <w:pPr>
        <w:pStyle w:val="DGTextstand-alone"/>
      </w:pPr>
      <w:r>
        <w:t xml:space="preserve">Zobowiązania te mają pokrywać przyszłe potrzeby w zakresie finansowania obiektów ITER do 2021 r. Wkład UE </w:t>
      </w:r>
      <w:r>
        <w:t>(Euratom) na rzecz organizacji ITER, obejmujący także wkłady państw członkowskich i Szwajcarii, przekazywany jest za pośrednictwem wspólnego przedsięwzięcia „Fusion for Energy”. Zobowiązania te są podejmowane w oparciu o decyzję Rady 2013/791/Euratom z dni</w:t>
      </w:r>
      <w:r>
        <w:t>a 13 grudnia 2013 r. zmieniającą decyzję 2007/198/Euratom powołującą Europejskie Wspólne Przedsięwzięcie na rzecz Realizacji Projektu ITER i Rozwoju Energii Termojądrowej, która uprawnia do korzystania z rocznych rat. ITER utworzono w celu zarządzania obie</w:t>
      </w:r>
      <w:r>
        <w:t>ktami ITER i zachęcania do wykorzystywania obiektów ITER, podejmowania działań w celu pozyskania społecznego zrozumienia i akceptacji dla energii termojądrowej oraz wszelkich innych działań niezbędnych do osiągnięcia wyznaczonych celów. Organizacja ITER ob</w:t>
      </w:r>
      <w:r>
        <w:t>ejmuje UE, Chiny, Indie, Rosję, Koreę Południową, Japonię i Stany Zjednoczone.</w:t>
      </w:r>
    </w:p>
    <w:p w:rsidR="0043277E" w:rsidRDefault="000F2348">
      <w:pPr>
        <w:pStyle w:val="HEADER5"/>
        <w:rPr>
          <w:noProof/>
        </w:rPr>
      </w:pPr>
      <w:r>
        <w:rPr>
          <w:noProof/>
        </w:rPr>
        <w:t>Galileo</w:t>
      </w:r>
    </w:p>
    <w:p w:rsidR="0043277E" w:rsidRDefault="000F2348">
      <w:pPr>
        <w:pStyle w:val="DGTextstand-alone"/>
      </w:pPr>
      <w:r>
        <w:t>Są to kwoty, które zobowiązano się przekazać na program Galileo, którego celem jest opracowanie europejskiego globalnego systemu nawigacji satelitarnej – zob. także info</w:t>
      </w:r>
      <w:r>
        <w:t xml:space="preserve">rmacja dodatkowa </w:t>
      </w:r>
      <w:r>
        <w:rPr>
          <w:b/>
        </w:rPr>
        <w:t>2.2</w:t>
      </w:r>
      <w:r>
        <w:t>. Wymienione zobowiązania są zaciągane na okres do 2020 r. W oparciu o rozporządzenie Parlamentu Europejskiego i Rady (UE) nr 1285/2013 z dnia 11 grudnia 2013 r. (Dz.U. L 347/1 z 20.12.2013) Komisja podpisała umowę o przyznaniu wkładu z</w:t>
      </w:r>
      <w:r>
        <w:t xml:space="preserve"> ESA. Na podstawie art. 9 rozporządzenia (UE) nr 1285/2013 zezwala się na korzystanie z rocznych rat.</w:t>
      </w:r>
    </w:p>
    <w:p w:rsidR="0043277E" w:rsidRDefault="000F2348">
      <w:pPr>
        <w:pStyle w:val="HEADER5"/>
        <w:rPr>
          <w:noProof/>
        </w:rPr>
      </w:pPr>
      <w:r>
        <w:rPr>
          <w:noProof/>
        </w:rPr>
        <w:t>Umowy w sprawie połowów</w:t>
      </w:r>
    </w:p>
    <w:p w:rsidR="0043277E" w:rsidRDefault="000F2348">
      <w:pPr>
        <w:pStyle w:val="DGTextstand-alone"/>
      </w:pPr>
      <w:r>
        <w:t>Są to zobowiązania zaciągnięte wobec państw trzecich w związku z działaniami realizowanymi na mocy międzynarodowych umów w sprawie</w:t>
      </w:r>
      <w:r>
        <w:t xml:space="preserve"> połowów do 2025 r. Zobowiązania zaciągnięto w oparciu o decyzje Rady dotyczące poszczególnych państw trzecich (np. Umowa o partnerstwie w sprawie zrównoważonych połowów między Unią Europejską a Królestwem Marokańskim, protokołu wykonawczego do niej oraz w</w:t>
      </w:r>
      <w:r>
        <w:t>ymiany listów towarzyszącej umowie; Dz.U. L 77 z 20.3.2019) i uznawane za konkretne traktaty międzynarodowe, z którymi wiążą się wieloletnie prawa i obowiązki.</w:t>
      </w:r>
    </w:p>
    <w:p w:rsidR="0043277E" w:rsidRDefault="000F2348">
      <w:pPr>
        <w:pStyle w:val="HEADER5"/>
        <w:rPr>
          <w:noProof/>
        </w:rPr>
      </w:pPr>
      <w:r>
        <w:rPr>
          <w:noProof/>
        </w:rPr>
        <w:t>Zobowiązania — leasing operacyjny</w:t>
      </w:r>
    </w:p>
    <w:p w:rsidR="0043277E" w:rsidRDefault="000F2348">
      <w:pPr>
        <w:pStyle w:val="DGTextstand-alone"/>
      </w:pPr>
      <w:r>
        <w:t>Minimalne kwoty, które zobowiązano się zapłacić zgodnie z umow</w:t>
      </w:r>
      <w:r>
        <w:t>ami zasadniczymi w pozostałym okresie obowiązywania tych umów leasingu, przedstawiają się następująco: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1641"/>
        <w:gridCol w:w="1642"/>
        <w:gridCol w:w="1642"/>
        <w:gridCol w:w="1642"/>
      </w:tblGrid>
      <w:tr w:rsidR="0043277E">
        <w:trPr>
          <w:trHeight w:val="255"/>
        </w:trPr>
        <w:tc>
          <w:tcPr>
            <w:tcW w:w="3191"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3BIPPPERE"/>
              <w:rPr>
                <w:rFonts w:ascii="Arial" w:eastAsia="Arial" w:hAnsi="Arial" w:cs="Arial"/>
                <w:noProof/>
                <w:color w:val="000000"/>
              </w:rPr>
            </w:pPr>
            <w:bookmarkStart w:id="145" w:name="DOC_TBL00082_1_1"/>
            <w:bookmarkEnd w:id="145"/>
          </w:p>
        </w:tc>
        <w:tc>
          <w:tcPr>
            <w:tcW w:w="1641"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33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rsidR="0043277E" w:rsidRDefault="000F2348">
            <w:pPr>
              <w:pStyle w:val="DMETW17233BIPPPER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191"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3BIPPPERE"/>
              <w:jc w:val="center"/>
              <w:rPr>
                <w:rFonts w:ascii="Verdana" w:eastAsia="Verdana" w:hAnsi="Verdana" w:cs="Verdana"/>
                <w:noProof/>
                <w:color w:val="FFFFFF"/>
              </w:rPr>
            </w:pPr>
          </w:p>
        </w:tc>
        <w:tc>
          <w:tcPr>
            <w:tcW w:w="1641"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33BIPPPERE"/>
              <w:jc w:val="center"/>
              <w:rPr>
                <w:rFonts w:ascii="Verdana" w:eastAsia="Verdana" w:hAnsi="Verdana" w:cs="Verdana"/>
                <w:noProof/>
                <w:color w:val="FFFFFF"/>
              </w:rPr>
            </w:pPr>
            <w:r>
              <w:rPr>
                <w:rFonts w:ascii="Verdana" w:hAnsi="Verdana"/>
                <w:noProof/>
                <w:color w:val="FFFFFF"/>
              </w:rPr>
              <w:t>Minimalne opłaty leasingowe</w:t>
            </w:r>
          </w:p>
        </w:tc>
      </w:tr>
      <w:tr w:rsidR="0043277E">
        <w:trPr>
          <w:trHeight w:val="255"/>
        </w:trPr>
        <w:tc>
          <w:tcPr>
            <w:tcW w:w="3345"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33BIPPPERE"/>
              <w:jc w:val="center"/>
              <w:rPr>
                <w:rFonts w:ascii="Verdana" w:eastAsia="Verdana" w:hAnsi="Verdana" w:cs="Verdana"/>
                <w:noProof/>
                <w:color w:val="FFFFFF"/>
              </w:rPr>
            </w:pPr>
          </w:p>
        </w:tc>
        <w:tc>
          <w:tcPr>
            <w:tcW w:w="1641"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33BIPPPERE"/>
              <w:jc w:val="right"/>
              <w:rPr>
                <w:rFonts w:ascii="Verdana" w:eastAsia="Verdana" w:hAnsi="Verdana" w:cs="Verdana"/>
                <w:noProof/>
                <w:color w:val="FFFFFF"/>
              </w:rPr>
            </w:pPr>
            <w:r>
              <w:rPr>
                <w:rFonts w:ascii="Verdana" w:hAnsi="Verdana"/>
                <w:noProof/>
                <w:color w:val="FFFFFF"/>
              </w:rPr>
              <w:t>&lt; 1 rok</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33BIPPPERE"/>
              <w:jc w:val="right"/>
              <w:rPr>
                <w:rFonts w:ascii="Verdana" w:eastAsia="Verdana" w:hAnsi="Verdana" w:cs="Verdana"/>
                <w:noProof/>
                <w:color w:val="FFFFFF"/>
              </w:rPr>
            </w:pPr>
            <w:r>
              <w:rPr>
                <w:rFonts w:ascii="Verdana" w:hAnsi="Verdana"/>
                <w:noProof/>
                <w:color w:val="FFFFFF"/>
              </w:rPr>
              <w:t>1–5 lat</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33BIPPPERE"/>
              <w:jc w:val="right"/>
              <w:rPr>
                <w:rFonts w:ascii="Verdana" w:eastAsia="Verdana" w:hAnsi="Verdana" w:cs="Verdana"/>
                <w:noProof/>
                <w:color w:val="FFFFFF"/>
              </w:rPr>
            </w:pPr>
            <w:r>
              <w:rPr>
                <w:rFonts w:ascii="Verdana" w:hAnsi="Verdana"/>
                <w:noProof/>
                <w:color w:val="FFFFFF"/>
              </w:rPr>
              <w:t>&gt; 5 lat</w:t>
            </w:r>
          </w:p>
        </w:tc>
        <w:tc>
          <w:tcPr>
            <w:tcW w:w="164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33BIPPPERE"/>
              <w:jc w:val="right"/>
              <w:rPr>
                <w:rFonts w:ascii="Verdana" w:eastAsia="Verdana" w:hAnsi="Verdana" w:cs="Verdana"/>
                <w:noProof/>
                <w:color w:val="FFFFFF"/>
              </w:rPr>
            </w:pPr>
            <w:r>
              <w:rPr>
                <w:rFonts w:ascii="Verdana" w:hAnsi="Verdana"/>
                <w:noProof/>
                <w:color w:val="FFFFFF"/>
              </w:rPr>
              <w:t>Ogółem</w:t>
            </w:r>
          </w:p>
        </w:tc>
      </w:tr>
      <w:tr w:rsidR="0043277E">
        <w:trPr>
          <w:trHeight w:val="255"/>
        </w:trPr>
        <w:tc>
          <w:tcPr>
            <w:tcW w:w="3191"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rPr>
                <w:rFonts w:ascii="Verdana" w:eastAsia="Verdana" w:hAnsi="Verdana" w:cs="Verdana"/>
                <w:i/>
                <w:noProof/>
                <w:color w:val="000000"/>
                <w:sz w:val="18"/>
              </w:rPr>
            </w:pPr>
            <w:r>
              <w:rPr>
                <w:rFonts w:ascii="Verdana" w:hAnsi="Verdana"/>
                <w:i/>
                <w:noProof/>
                <w:color w:val="000000"/>
                <w:sz w:val="18"/>
              </w:rPr>
              <w:t>Budynki</w:t>
            </w:r>
          </w:p>
        </w:tc>
        <w:tc>
          <w:tcPr>
            <w:tcW w:w="1641"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429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981</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1 079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2 490</w:t>
            </w:r>
          </w:p>
        </w:tc>
      </w:tr>
      <w:tr w:rsidR="0043277E">
        <w:trPr>
          <w:trHeight w:val="255"/>
        </w:trPr>
        <w:tc>
          <w:tcPr>
            <w:tcW w:w="3191"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rPr>
                <w:rFonts w:ascii="Verdana" w:eastAsia="Verdana" w:hAnsi="Verdana" w:cs="Verdana"/>
                <w:i/>
                <w:noProof/>
                <w:color w:val="000000"/>
                <w:sz w:val="18"/>
              </w:rPr>
            </w:pPr>
            <w:r>
              <w:rPr>
                <w:rFonts w:ascii="Verdana" w:hAnsi="Verdana"/>
                <w:i/>
                <w:noProof/>
                <w:color w:val="000000"/>
                <w:sz w:val="18"/>
              </w:rPr>
              <w:t>Sprzęt informatyczny i inne wyposażenie</w:t>
            </w:r>
          </w:p>
        </w:tc>
        <w:tc>
          <w:tcPr>
            <w:tcW w:w="1641"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10</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26</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9</w:t>
            </w:r>
          </w:p>
        </w:tc>
        <w:tc>
          <w:tcPr>
            <w:tcW w:w="1642"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45</w:t>
            </w:r>
          </w:p>
        </w:tc>
      </w:tr>
      <w:tr w:rsidR="0043277E">
        <w:trPr>
          <w:trHeight w:val="255"/>
        </w:trPr>
        <w:tc>
          <w:tcPr>
            <w:tcW w:w="319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233BIPPPERE"/>
              <w:rPr>
                <w:rFonts w:ascii="Verdana" w:eastAsia="Verdana" w:hAnsi="Verdana" w:cs="Verdana"/>
                <w:b/>
                <w:noProof/>
                <w:color w:val="000000"/>
                <w:sz w:val="18"/>
              </w:rPr>
            </w:pPr>
            <w:r>
              <w:rPr>
                <w:rFonts w:ascii="Verdana" w:hAnsi="Verdana"/>
                <w:b/>
                <w:noProof/>
                <w:color w:val="000000"/>
                <w:sz w:val="18"/>
              </w:rPr>
              <w:t>Ogółem</w:t>
            </w:r>
          </w:p>
        </w:tc>
        <w:tc>
          <w:tcPr>
            <w:tcW w:w="164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b/>
                <w:noProof/>
                <w:color w:val="000000"/>
                <w:sz w:val="18"/>
              </w:rPr>
            </w:pPr>
            <w:r>
              <w:rPr>
                <w:rFonts w:ascii="Verdana" w:hAnsi="Verdana"/>
                <w:b/>
                <w:noProof/>
                <w:color w:val="000000"/>
                <w:sz w:val="18"/>
              </w:rPr>
              <w:t xml:space="preserve"> 439</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b/>
                <w:noProof/>
                <w:color w:val="000000"/>
                <w:sz w:val="18"/>
              </w:rPr>
            </w:pPr>
            <w:r>
              <w:rPr>
                <w:rFonts w:ascii="Verdana" w:hAnsi="Verdana"/>
                <w:b/>
                <w:noProof/>
                <w:color w:val="000000"/>
                <w:sz w:val="18"/>
              </w:rPr>
              <w:t>1 008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b/>
                <w:noProof/>
                <w:color w:val="000000"/>
                <w:sz w:val="18"/>
              </w:rPr>
            </w:pPr>
            <w:r>
              <w:rPr>
                <w:rFonts w:ascii="Verdana" w:hAnsi="Verdana"/>
                <w:b/>
                <w:noProof/>
                <w:color w:val="000000"/>
                <w:sz w:val="18"/>
              </w:rPr>
              <w:t>1 088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233BIPPPERE"/>
              <w:jc w:val="right"/>
              <w:rPr>
                <w:rFonts w:ascii="Verdana" w:eastAsia="Verdana" w:hAnsi="Verdana" w:cs="Verdana"/>
                <w:b/>
                <w:noProof/>
                <w:color w:val="000000"/>
                <w:sz w:val="18"/>
              </w:rPr>
            </w:pPr>
            <w:r>
              <w:rPr>
                <w:rFonts w:ascii="Verdana" w:hAnsi="Verdana"/>
                <w:b/>
                <w:noProof/>
                <w:color w:val="000000"/>
                <w:sz w:val="18"/>
              </w:rPr>
              <w:t>2 535</w:t>
            </w:r>
          </w:p>
        </w:tc>
      </w:tr>
    </w:tbl>
    <w:p w:rsidR="0043277E" w:rsidRDefault="0043277E">
      <w:pPr>
        <w:pStyle w:val="Heading7pNormalCentered"/>
        <w:rPr>
          <w:lang w:bidi="en-GB"/>
        </w:rPr>
      </w:pPr>
    </w:p>
    <w:p w:rsidR="0043277E" w:rsidRDefault="000F2348">
      <w:pPr>
        <w:pStyle w:val="DGTextstand-alone"/>
      </w:pPr>
      <w:r>
        <w:t xml:space="preserve">W marcu 2019 r., w związku z notyfikowaniem przez Zjednoczone Królestwo zamiaru wystąpienia z Unii Europejskiej oraz rozporządzeniem Parlamentu Europejskiego i Rady (UE) 2018/1718 z dnia 14 listopada 2018 r. </w:t>
      </w:r>
      <w:r>
        <w:t>zmieniającym rozporządzenie (WE) nr 726/2004, siedziba Europejskiej Agencji Leków (EMA) została przeniesiona z Londynu do Amsterdamu. W dniu 2 lipca 2019 r. Agencja zawarła umowę z właścicielem nieruchomości pełniącej funkcję jej siedziby i od tego czasu p</w:t>
      </w:r>
      <w:r>
        <w:t>odnajmowała pomieszczenia podnajemcy na warunkach zgodnych z warunkami określonymi w umowie najmu, uwzględniając termin podnajmu obowiązujący do wygaśnięcia zawartej przez EMA umowy najmu w czerwcu 2039 r.</w:t>
      </w:r>
    </w:p>
    <w:p w:rsidR="0043277E" w:rsidRDefault="000F2348">
      <w:pPr>
        <w:pStyle w:val="DGTextstand-alone"/>
      </w:pPr>
      <w:r>
        <w:lastRenderedPageBreak/>
        <w:t>Wartości przedstawione w powyższej tabeli obejmują</w:t>
      </w:r>
      <w:r>
        <w:t xml:space="preserve"> kwotę 418 mln EUR, która nadal pozostaje do uiszczenia na podstawie tej umowy najmu. Oczekuje się, że podnajemca otrzyma płatności w takiej samej kwocie zgodnie z warunkami nieodwołanego podnajmu.</w:t>
      </w:r>
    </w:p>
    <w:p w:rsidR="0043277E" w:rsidRDefault="000F2348">
      <w:pPr>
        <w:pStyle w:val="HEADER5"/>
        <w:rPr>
          <w:noProof/>
        </w:rPr>
      </w:pPr>
      <w:r>
        <w:rPr>
          <w:noProof/>
        </w:rPr>
        <w:t>Inne zobowiązania umowne</w:t>
      </w:r>
    </w:p>
    <w:p w:rsidR="0043277E" w:rsidRDefault="000F2348">
      <w:pPr>
        <w:pStyle w:val="DGTextstand-alone"/>
      </w:pPr>
      <w:r>
        <w:t>Kwoty ujęte w tej pozycji odpowia</w:t>
      </w:r>
      <w:r>
        <w:t>dają kwotom zobowiązań, które mają zostać spłacone w okresie obowiązywania umów. Najbardziej znacząca kwota odnosi się do umowy dotyczącej nieruchomości (JMO2) Komisji w Luksemburgu (381 mln EUR).</w:t>
      </w:r>
      <w:bookmarkEnd w:id="139"/>
    </w:p>
    <w:p w:rsidR="0043277E" w:rsidRDefault="0043277E">
      <w:pPr>
        <w:pStyle w:val="DGTextstand-alone"/>
        <w:sectPr w:rsidR="0043277E">
          <w:headerReference w:type="even" r:id="rId269"/>
          <w:headerReference w:type="default" r:id="rId270"/>
          <w:footerReference w:type="even" r:id="rId271"/>
          <w:footerReference w:type="default" r:id="rId272"/>
          <w:headerReference w:type="first" r:id="rId273"/>
          <w:footerReference w:type="first" r:id="rId274"/>
          <w:type w:val="continuous"/>
          <w:pgSz w:w="11906" w:h="16838"/>
          <w:pgMar w:top="1134" w:right="1134" w:bottom="1134" w:left="1134" w:header="709" w:footer="709" w:gutter="0"/>
          <w:cols w:space="708"/>
          <w:docGrid w:linePitch="360"/>
        </w:sectPr>
      </w:pPr>
    </w:p>
    <w:p w:rsidR="0043277E" w:rsidRDefault="000F2348">
      <w:pPr>
        <w:pStyle w:val="HEADER1NOTES"/>
        <w:rPr>
          <w:noProof/>
        </w:rPr>
      </w:pPr>
      <w:bookmarkStart w:id="146" w:name="_Toc49413490"/>
      <w:bookmarkStart w:id="147" w:name="_DMBM_17172"/>
      <w:r>
        <w:rPr>
          <w:noProof/>
        </w:rPr>
        <w:lastRenderedPageBreak/>
        <w:t>ZARZĄDZANIE RYZYKIEM FINANSOWYM</w:t>
      </w:r>
      <w:bookmarkEnd w:id="146"/>
    </w:p>
    <w:p w:rsidR="0043277E" w:rsidRDefault="000F2348">
      <w:pPr>
        <w:pStyle w:val="DGTextstand-alone"/>
      </w:pPr>
      <w:r>
        <w:t>Poniższe informacje odnoszące się do zarządzania ryzykiem finansowym UE dotyczą:</w:t>
      </w:r>
    </w:p>
    <w:p w:rsidR="0043277E" w:rsidRDefault="000F2348">
      <w:pPr>
        <w:pStyle w:val="DGTextstand-alone"/>
        <w:numPr>
          <w:ilvl w:val="0"/>
          <w:numId w:val="31"/>
        </w:numPr>
      </w:pPr>
      <w:r>
        <w:t xml:space="preserve">operacji zaciągania i udzielania pożyczek na pomoc finansową przeprowadzanych przez </w:t>
      </w:r>
      <w:r>
        <w:t>Komisję za pośrednictwem europejskiego mechanizmu stabilizacji finansowej, wsparcia bilansu płatniczego, pomocy makrofinansowej oraz działań Euroatomu;</w:t>
      </w:r>
    </w:p>
    <w:p w:rsidR="0043277E" w:rsidRDefault="000F2348">
      <w:pPr>
        <w:pStyle w:val="DGTextstand-alone"/>
        <w:numPr>
          <w:ilvl w:val="0"/>
          <w:numId w:val="31"/>
        </w:numPr>
      </w:pPr>
      <w:r>
        <w:t>operacji finansowych przeprowadzonych przez Komisję w celu wykonania budżetu UE, w tym pobierania grzywi</w:t>
      </w:r>
      <w:r>
        <w:t>en;</w:t>
      </w:r>
    </w:p>
    <w:p w:rsidR="0043277E" w:rsidRDefault="000F2348">
      <w:pPr>
        <w:pStyle w:val="DGTextstand-alone"/>
        <w:numPr>
          <w:ilvl w:val="0"/>
          <w:numId w:val="31"/>
        </w:numPr>
      </w:pPr>
      <w:r>
        <w:t>aktywów przechowywanych w funduszach na potrzeby gwarancji budżetowych: Funduszu Gwarancyjnym dla działań zewnętrznych, Funduszu Gwarancyjnym EFIS i funduszu gwarancyjnym EFZR; oraz</w:t>
      </w:r>
    </w:p>
    <w:p w:rsidR="0043277E" w:rsidRDefault="000F2348">
      <w:pPr>
        <w:pStyle w:val="DGTextstand-alone"/>
        <w:numPr>
          <w:ilvl w:val="0"/>
          <w:numId w:val="31"/>
        </w:numPr>
      </w:pPr>
      <w:r>
        <w:t>instrumentów finansowych finansowanych z budżetu UE.</w:t>
      </w:r>
    </w:p>
    <w:p w:rsidR="0043277E" w:rsidRDefault="000F2348">
      <w:pPr>
        <w:pStyle w:val="HEADER2NOTES"/>
        <w:rPr>
          <w:noProof/>
        </w:rPr>
      </w:pPr>
      <w:r>
        <w:rPr>
          <w:noProof/>
        </w:rPr>
        <w:t>RODZAJE RYZYKA</w:t>
      </w:r>
    </w:p>
    <w:p w:rsidR="0043277E" w:rsidRDefault="000F2348">
      <w:pPr>
        <w:pStyle w:val="DGTextstand-alone"/>
      </w:pPr>
      <w:r>
        <w:rPr>
          <w:b/>
        </w:rPr>
        <w:t>Ry</w:t>
      </w:r>
      <w:r>
        <w:rPr>
          <w:b/>
        </w:rPr>
        <w:t>zyko rynkowe</w:t>
      </w:r>
      <w:r>
        <w:t xml:space="preserve"> polega na tym, że wartość godziwa instrumentu finansowego lub przyszłe przepływy pieniężne z nim związane będą ulegać wahaniom ze względu na zmiany cen rynkowych. Ryzyko rynkowe niesie ze sobą nie tylko potencjał strat, ale i potencjał zysków.</w:t>
      </w:r>
      <w:r>
        <w:t xml:space="preserve"> Obejmuje ono </w:t>
      </w:r>
      <w:r>
        <w:rPr>
          <w:i/>
        </w:rPr>
        <w:t>ryzyko walutowe, ryzyko stopy procentowej oraz inne ryzyko cenowe</w:t>
      </w:r>
      <w:r>
        <w:t xml:space="preserve"> (UE nie jest narażona na znaczące inne ryzyko cenowe).</w:t>
      </w:r>
    </w:p>
    <w:p w:rsidR="0043277E" w:rsidRDefault="000F2348">
      <w:pPr>
        <w:pStyle w:val="DGTextstand-alone"/>
        <w:numPr>
          <w:ilvl w:val="0"/>
          <w:numId w:val="32"/>
        </w:numPr>
      </w:pPr>
      <w:r>
        <w:rPr>
          <w:i/>
        </w:rPr>
        <w:t>Ryzyko walutowe</w:t>
      </w:r>
      <w:r>
        <w:t xml:space="preserve"> polega na tym, że wartość operacji UE lub jej inwestycji jest uzależniona od zmian kursów walutowych. Ryz</w:t>
      </w:r>
      <w:r>
        <w:t>yko to wynika ze zmiany ceny jednej waluty w stosunku do drugiej.</w:t>
      </w:r>
    </w:p>
    <w:p w:rsidR="0043277E" w:rsidRDefault="000F2348">
      <w:pPr>
        <w:pStyle w:val="DGTextstand-alone"/>
        <w:numPr>
          <w:ilvl w:val="0"/>
          <w:numId w:val="32"/>
        </w:numPr>
      </w:pPr>
      <w:r>
        <w:rPr>
          <w:i/>
        </w:rPr>
        <w:t>Ryzyko stopy procentowej</w:t>
      </w:r>
      <w:r>
        <w:t xml:space="preserve"> polega na możliwości spadku wartości papierów wartościowych, w szczególności obligacji, na skutek wzrostu stóp procentowych. Z reguły wyższe stopy procentowe prowadz</w:t>
      </w:r>
      <w:r>
        <w:t>ą do niższych cen obligacji o stałym oprocentowaniu i odwrotnie.</w:t>
      </w:r>
    </w:p>
    <w:p w:rsidR="0043277E" w:rsidRDefault="000F2348">
      <w:pPr>
        <w:pStyle w:val="DGTextstand-alone"/>
      </w:pPr>
      <w:r>
        <w:rPr>
          <w:b/>
        </w:rPr>
        <w:t>Ryzyko kredytowe</w:t>
      </w:r>
      <w:r>
        <w:t xml:space="preserve"> to ryzyko straty spowodowanej niespłaceniem przez dłużnika/pożyczkobiorcę pożyczki lub innej linii kredytowej (kwoty głównej lub odsetek, bądź obu) lub niewywiązaniem się w i</w:t>
      </w:r>
      <w:r>
        <w:t>nny sposób z obowiązków umownych. Zdarzenia związane z niewykonaniem zobowiązania obejmują opóźnienia w dokonywaniu spłat, restrukturyzację spłat pożyczkobiorcy i upadłość.</w:t>
      </w:r>
    </w:p>
    <w:p w:rsidR="0043277E" w:rsidRDefault="000F2348">
      <w:pPr>
        <w:pStyle w:val="DGTextstand-alone"/>
      </w:pPr>
      <w:r>
        <w:rPr>
          <w:b/>
        </w:rPr>
        <w:t>Ryzyko płynności</w:t>
      </w:r>
      <w:r>
        <w:t xml:space="preserve"> to ryzyko wynikające z trudności w sprzedaży składnika aktywów; np</w:t>
      </w:r>
      <w:r>
        <w:t>. ryzyko, że danego papieru wartościowego lub składnika aktywów nie będzie można sprzedać na rynku na tyle szybko, aby uniknąć straty lub wywiązać się ze zobowiązania.</w:t>
      </w:r>
    </w:p>
    <w:p w:rsidR="0043277E" w:rsidRDefault="000F2348">
      <w:pPr>
        <w:pStyle w:val="HEADER2NOTES"/>
        <w:rPr>
          <w:noProof/>
        </w:rPr>
      </w:pPr>
      <w:r>
        <w:rPr>
          <w:noProof/>
        </w:rPr>
        <w:t xml:space="preserve">POLITYKA ZARZĄDZANIA RYZYKIEM </w:t>
      </w:r>
    </w:p>
    <w:p w:rsidR="0043277E" w:rsidRDefault="000F2348">
      <w:pPr>
        <w:pStyle w:val="DGTextstand-alone"/>
      </w:pPr>
      <w:r>
        <w:t>Wykonanie budżetu UE w coraz większym stopniu wiąże się z</w:t>
      </w:r>
      <w:r>
        <w:t xml:space="preserve"> wykorzystaniem instrumentów finansowych programów operacyjnych. Więcej informacji na ten temat znajduje się w informacji dodatkowej </w:t>
      </w:r>
      <w:r>
        <w:rPr>
          <w:b/>
        </w:rPr>
        <w:t>2.4.1</w:t>
      </w:r>
      <w:r>
        <w:t>.</w:t>
      </w:r>
    </w:p>
    <w:p w:rsidR="0043277E" w:rsidRDefault="000F2348">
      <w:pPr>
        <w:pStyle w:val="DGTextstand-alone"/>
      </w:pPr>
      <w:r>
        <w:t>Cechą wspólną większości instrumentów finansowych jest to, że ich wykonanie zostało powierzone albo grupie EBI (w ty</w:t>
      </w:r>
      <w:r>
        <w:t xml:space="preserve">m EFI), albo innym instytucjom finansowym w oparciu o umowę między Komisją a instytucją finansową. W umowach podpisanych z tymi instytucjami finansowymi określono surowe warunki oraz obowiązki, jakim podlegają pośrednicy, aby zapewnić właściwe zarządzanie </w:t>
      </w:r>
      <w:r>
        <w:t>środkami UE i sprawozdawczość w tym zakresie. Po zadeklarowaniu wkładu finansowego do jednego z instrumentów środki przekazywane są na rachunek bankowy otwarty przez instytucję finansową, ale prowadzony w imieniu Komisji (tj. rachunek powierniczy). W zależ</w:t>
      </w:r>
      <w:r>
        <w:t xml:space="preserve">ności od rodzaju instrumentu instytucja finansowa może wykorzystać te środki na rachunku powierniczym do udzielania pożyczek, emisji instrumentów dłużnych, inwestowania w instrumenty kapitałowe lub uruchomienia gwarancji. Wpływy z instrumentów finansowych </w:t>
      </w:r>
      <w:r>
        <w:t>muszą co do zasady zostać zwrócone do budżetu UE.</w:t>
      </w:r>
    </w:p>
    <w:p w:rsidR="0043277E" w:rsidRDefault="000F2348">
      <w:pPr>
        <w:pStyle w:val="DGTextstand-alone"/>
      </w:pPr>
      <w:r>
        <w:t>Ryzyko w przypadku tych instrumentów finansowych jest ograniczone do pułapu określonego w odnośnych umowach, a konkretnie do kwoty przewidzianej w budżecie na dany instrument. Ponieważ Komisja ponosi często</w:t>
      </w:r>
      <w:r>
        <w:t xml:space="preserve"> pierwszą stratę, a instrumenty są przeznaczone na finansowanie beneficjentów o </w:t>
      </w:r>
      <w:r>
        <w:lastRenderedPageBreak/>
        <w:t>wyższym poziomie ryzyka (którzy mają trudności z uzyskaniem finansowania od pożyczkodawców komercyjnych), prawdopodobne jest zatem, że budżet UE poniesie pewne straty.</w:t>
      </w:r>
    </w:p>
    <w:p w:rsidR="0043277E" w:rsidRDefault="000F2348">
      <w:pPr>
        <w:pStyle w:val="HEADER5"/>
        <w:rPr>
          <w:noProof/>
        </w:rPr>
      </w:pPr>
      <w:r>
        <w:rPr>
          <w:noProof/>
        </w:rPr>
        <w:t>Wycena i</w:t>
      </w:r>
      <w:r>
        <w:rPr>
          <w:noProof/>
        </w:rPr>
        <w:t>nstrumentów finansowych</w:t>
      </w:r>
    </w:p>
    <w:p w:rsidR="0043277E" w:rsidRDefault="000F2348">
      <w:pPr>
        <w:pStyle w:val="DGTextstand-alone"/>
      </w:pPr>
      <w:r>
        <w:t>Podane poniżej klasy aktywów finansowych i zobowiązań finansowych nie są wyceniane według wartości godziwej: środki pieniężne i ich ekwiwalenty, udzielone pożyczki, należności z tytułu transakcji wymiany i należności z tytułu transa</w:t>
      </w:r>
      <w:r>
        <w:t>kcji innych niż transakcje wymiany, zaciągnięte pożyczki i inne zobowiązania finansowe wycenione po zamortyzowanym koszcie. Wartość bilansową tych aktywów i zobowiązań finansowych uznaje się za zbliżoną do ich wartości godziwej.</w:t>
      </w:r>
    </w:p>
    <w:p w:rsidR="0043277E" w:rsidRDefault="000F2348">
      <w:pPr>
        <w:pStyle w:val="HEADER5"/>
        <w:rPr>
          <w:noProof/>
        </w:rPr>
      </w:pPr>
      <w:r>
        <w:rPr>
          <w:noProof/>
        </w:rPr>
        <w:t>Operacje zaciągania i udzie</w:t>
      </w:r>
      <w:r>
        <w:rPr>
          <w:noProof/>
        </w:rPr>
        <w:t>lania pożyczek na pomoc finansową</w:t>
      </w:r>
    </w:p>
    <w:p w:rsidR="0043277E" w:rsidRDefault="000F2348">
      <w:pPr>
        <w:pStyle w:val="DGTextstand-alone"/>
      </w:pPr>
      <w:r>
        <w:t>UE dokonuje operacji zaciągania i udzielania pożyczek zgodnie z odpowiednimi rozporządzeniami Rady, decyzjami Rady i Parlamentu Europejskiego oraz – w stosownych przypadkach – z wewnętrznymi wytycznymi. Odpowiednie jednost</w:t>
      </w:r>
      <w:r>
        <w:t>ki operacyjne korzystają z opracowanych przez nie zbiorów procedur dotyczących poszczególnych dziedzin, takich jak zaciąganie i udzielanie pożyczek. Operacje udzielania pożyczek finansowane są za pomocą zaciąganych pożyczek wzajemnych, które nie powodują p</w:t>
      </w:r>
      <w:r>
        <w:t>owstawania otwartych pozycji stopy procentowej czy otwartych pozycji walutowych.</w:t>
      </w:r>
    </w:p>
    <w:p w:rsidR="0043277E" w:rsidRDefault="000F2348">
      <w:pPr>
        <w:pStyle w:val="HEADER5"/>
        <w:rPr>
          <w:noProof/>
        </w:rPr>
      </w:pPr>
      <w:r>
        <w:rPr>
          <w:noProof/>
        </w:rPr>
        <w:t>Zasoby finansowe</w:t>
      </w:r>
    </w:p>
    <w:p w:rsidR="0043277E" w:rsidRDefault="000F2348">
      <w:pPr>
        <w:pStyle w:val="DGTextstand-alone"/>
      </w:pPr>
      <w:r>
        <w:t xml:space="preserve">Reguły i zasady dotyczące zarządzania operacjami finansowymi Komisji określono w rozporządzeniu Rady nr 609/2014 (zmienionym rozporządzeniem Rady 2016/804) i </w:t>
      </w:r>
      <w:r>
        <w:t>w rozporządzeniu finansowym.</w:t>
      </w:r>
    </w:p>
    <w:p w:rsidR="0043277E" w:rsidRDefault="000F2348">
      <w:pPr>
        <w:pStyle w:val="DGTextstand-alone"/>
      </w:pPr>
      <w:r>
        <w:t>Na podstawie wspomnianych rozporządzeń obowiązują następujące główne zasady:</w:t>
      </w:r>
    </w:p>
    <w:p w:rsidR="0043277E" w:rsidRDefault="000F2348">
      <w:pPr>
        <w:pStyle w:val="DGTextstand-alone"/>
        <w:numPr>
          <w:ilvl w:val="0"/>
          <w:numId w:val="33"/>
        </w:numPr>
      </w:pPr>
      <w:r>
        <w:t>Państwa członkowskie wpłacają środki na poczet zasobów własnych na rachunki otwarte w tym celu w imieniu Komisji przez administrację finansową lub kra</w:t>
      </w:r>
      <w:r>
        <w:t>jowy bank centralny. Komisja może obciążać wspomniane rachunki jedynie w celu zaspokojenia potrzeb w zakresie środków pieniężnych.</w:t>
      </w:r>
    </w:p>
    <w:p w:rsidR="0043277E" w:rsidRDefault="000F2348">
      <w:pPr>
        <w:pStyle w:val="DGTextstand-alone"/>
        <w:numPr>
          <w:ilvl w:val="0"/>
          <w:numId w:val="33"/>
        </w:numPr>
      </w:pPr>
      <w:r>
        <w:t xml:space="preserve">Państwa członkowskie wpłacają środki na poczet zasobów własnych w swojej walucie krajowej, natomiast płatności Komisji są </w:t>
      </w:r>
      <w:r>
        <w:t>denominowane głównie w EUR.</w:t>
      </w:r>
    </w:p>
    <w:p w:rsidR="0043277E" w:rsidRDefault="000F2348">
      <w:pPr>
        <w:pStyle w:val="DGTextstand-alone"/>
        <w:numPr>
          <w:ilvl w:val="0"/>
          <w:numId w:val="33"/>
        </w:numPr>
      </w:pPr>
      <w:r>
        <w:t>Nie można przekraczać stanu rachunków bankowych otwartych w imieniu Komisji. Ograniczenie to nie ma zastosowania do rachunków Komisji prowadzonych na potrzeby zasobów własnych w przypadku niewykonania zobowiązań z tytułu pożycze</w:t>
      </w:r>
      <w:r>
        <w:t>k zaciągniętych lub gwarantowanych na mocy rozporządzeń i decyzji Rady UE oraz – na pewnych warunkach – w przypadku gdy zapotrzebowanie na zasoby pieniężne przekracza kwotę środków pieniężnych na rachunkach.</w:t>
      </w:r>
    </w:p>
    <w:p w:rsidR="0043277E" w:rsidRDefault="000F2348">
      <w:pPr>
        <w:pStyle w:val="DGTextstand-alone"/>
        <w:numPr>
          <w:ilvl w:val="0"/>
          <w:numId w:val="33"/>
        </w:numPr>
      </w:pPr>
      <w:r>
        <w:t>Środki pieniężne na rachunkach bankowych prowadz</w:t>
      </w:r>
      <w:r>
        <w:t>onych w walutach innych niż euro są wykorzystywane do płatności w tych samych walutach lub okresowo przeliczane na euro.</w:t>
      </w:r>
    </w:p>
    <w:p w:rsidR="0043277E" w:rsidRDefault="000F2348">
      <w:pPr>
        <w:pStyle w:val="DGTextstand-alone"/>
      </w:pPr>
      <w:r>
        <w:t>Oprócz rachunków prowadzonych na potrzeby zasobów własnych Komisja otwiera inne rachunki w bankach centralnych i bankach komercyjnych w</w:t>
      </w:r>
      <w:r>
        <w:t xml:space="preserve"> celu dokonywania płatności i otrzymywania wpływów innych niż z tytułu składek państw członkowskich do budżetu.</w:t>
      </w:r>
    </w:p>
    <w:p w:rsidR="0043277E" w:rsidRDefault="000F2348">
      <w:pPr>
        <w:pStyle w:val="DGTextstand-alone"/>
      </w:pPr>
      <w:r>
        <w:t>Operacje skarbcowe i płatnicze są w dużej mierze zautomatyzowane i opierają się na nowoczesnych systemach informatycznych. Aby zagwarantować bez</w:t>
      </w:r>
      <w:r>
        <w:t>pieczeństwo systemu oraz zapewnić rozdział obowiązków zgodnie z przepisami rozporządzenia finansowego, standardami kontroli wewnętrznej Komisji i zasadami audytu, stosuje się określone procedury.</w:t>
      </w:r>
    </w:p>
    <w:p w:rsidR="0043277E" w:rsidRDefault="000F2348">
      <w:pPr>
        <w:pStyle w:val="DGTextstand-alone"/>
      </w:pPr>
      <w:r>
        <w:t>Zarządzanie operacjami skarbcowymi i płatniczymi Komisji reg</w:t>
      </w:r>
      <w:r>
        <w:t>ulują zawarte na piśmie wytyczne i procedury, które mają na celu ograniczenie ryzyka operacyjnego i finansowego oraz zapewnienie odpowiedniego poziomu kontroli. Wspomniane wytyczne i procedury odnoszą się do różnych obszarów działań (np.: wykonywanie płatn</w:t>
      </w:r>
      <w:r>
        <w:t>ości i zarządzanie środkami pieniężnymi, prognozy przepływów pieniężnych, ciągłość działania itd.), a ich przestrzeganie jest regularnie sprawdzane.</w:t>
      </w:r>
    </w:p>
    <w:p w:rsidR="0043277E" w:rsidRDefault="000F2348">
      <w:pPr>
        <w:pStyle w:val="DGTextstand-alone"/>
        <w:rPr>
          <w:color w:val="016794"/>
        </w:rPr>
      </w:pPr>
      <w:r>
        <w:br w:type="page"/>
      </w:r>
    </w:p>
    <w:p w:rsidR="0043277E" w:rsidRDefault="000F2348">
      <w:pPr>
        <w:pStyle w:val="HEADER5"/>
        <w:rPr>
          <w:noProof/>
        </w:rPr>
      </w:pPr>
      <w:r>
        <w:rPr>
          <w:noProof/>
        </w:rPr>
        <w:lastRenderedPageBreak/>
        <w:t>Grzywny</w:t>
      </w:r>
    </w:p>
    <w:p w:rsidR="0043277E" w:rsidRDefault="000F2348">
      <w:pPr>
        <w:pStyle w:val="Textstand-alone"/>
        <w:rPr>
          <w:i/>
        </w:rPr>
      </w:pPr>
      <w:r>
        <w:rPr>
          <w:i/>
        </w:rPr>
        <w:t>Tymczasowo zainkasowane grzywny: depozyty</w:t>
      </w:r>
    </w:p>
    <w:p w:rsidR="0043277E" w:rsidRDefault="000F2348">
      <w:pPr>
        <w:pStyle w:val="DGTextstand-alone"/>
      </w:pPr>
      <w:r>
        <w:t>Kwoty otrzymane przed 2010 r. pozostają na rachunkach b</w:t>
      </w:r>
      <w:r>
        <w:t>ankowych w bankach specjalnie wybranych do zdeponowania tymczasowo zainkasowanych grzywien. Wyboru banków dokonuje się zgodnie z procedurami przetargowymi określonymi w rozporządzeniu finansowym. Umieszczenie środków w określonych bankach wynika z wewnętrz</w:t>
      </w:r>
      <w:r>
        <w:t>nej polityki zarządzania ryzykiem, w której określone są wymogi dotyczące ratingu kredytowego oraz kwota środków, jaką można umieścić w stosunku do kapitału własnego kontrahenta. Określane jest i oceniane ryzyko finansowe i operacyjne, a ponadto regularnie</w:t>
      </w:r>
      <w:r>
        <w:t xml:space="preserve"> sprawdzane jest przestrzeganie wewnętrznych zasad i procedur.</w:t>
      </w:r>
    </w:p>
    <w:p w:rsidR="0043277E" w:rsidRDefault="000F2348">
      <w:pPr>
        <w:pStyle w:val="Textstand-alone"/>
        <w:rPr>
          <w:i/>
        </w:rPr>
      </w:pPr>
      <w:r>
        <w:rPr>
          <w:i/>
        </w:rPr>
        <w:t>Tymczasowo zainkasowane grzywny: portfel BUFI</w:t>
      </w:r>
    </w:p>
    <w:p w:rsidR="0043277E" w:rsidRDefault="000F2348">
      <w:pPr>
        <w:pStyle w:val="DGTextstand-alone"/>
      </w:pPr>
      <w:r>
        <w:t>Grzywny nałożone i tymczasowo zainkasowane od 2010 r. są inwestowane w specjalnie w tym celu utworzone portfel – BUFI. Portfel ten ma przede wszyst</w:t>
      </w:r>
      <w:r>
        <w:t>kim na celu zmniejszenie zagrożeń związanych z rynkami finansowymi i równe traktowanie wszystkich podmiotów poprzez stosowanie gwarantowanego zwrotu obliczonego na tej samej podstawie w odniesieniu do kwoty nominalnej grzywien. Gwarantowany zwrot mający za</w:t>
      </w:r>
      <w:r>
        <w:t>stosowanie do podmiotów, na które nałożono grzywnę przed wejściem nowego rozporządzenia finansowego w życie w sierpniu 2018 r., przyjmuje jednak wartość zerową. Zarządzaniem aktywami w przypadku tymczasowo zainkasowanych grzywien zajmuje się Komisja, która</w:t>
      </w:r>
      <w:r>
        <w:t xml:space="preserve"> działa zgodnie z wewnętrznymi wytycznymi dotyczących zarządzania aktywami. Odpowiednie jednostki operacyjne korzystają z opracowanych przez nie podręczników dotyczących procedur w zakresie poszczególnych dziedzin, takich jak zarządzanie zasobami finansowy</w:t>
      </w:r>
      <w:r>
        <w:t>mi. Regularnie określane jest i oceniane ryzyko finansowe i operacyjne, a ponadto weryfikowane jest przestrzeganie wewnętrznych zasad i procedur.</w:t>
      </w:r>
    </w:p>
    <w:p w:rsidR="0043277E" w:rsidRDefault="000F2348">
      <w:pPr>
        <w:pStyle w:val="DGTextstand-alone"/>
        <w:spacing w:after="120"/>
      </w:pPr>
      <w:r>
        <w:t>Celem działalności związanej z zarządzaniem aktywami jest zainwestowanie grzywien tymczasowo wpłaconych na rac</w:t>
      </w:r>
      <w:r>
        <w:t>hunek Komisji, w taki sposób, aby:</w:t>
      </w:r>
    </w:p>
    <w:p w:rsidR="0043277E" w:rsidRDefault="000F2348">
      <w:pPr>
        <w:pStyle w:val="DGTextstand-alone"/>
        <w:numPr>
          <w:ilvl w:val="0"/>
          <w:numId w:val="34"/>
        </w:numPr>
        <w:spacing w:before="120" w:after="120"/>
      </w:pPr>
      <w:r>
        <w:t>zapewnić łatwą dostępność środków w razie potrzeby,</w:t>
      </w:r>
    </w:p>
    <w:p w:rsidR="0043277E" w:rsidRDefault="000F2348">
      <w:pPr>
        <w:pStyle w:val="DGTextstand-alone"/>
        <w:numPr>
          <w:ilvl w:val="0"/>
          <w:numId w:val="34"/>
        </w:numPr>
        <w:spacing w:before="120"/>
      </w:pPr>
      <w:r>
        <w:t>starając się przy tym w zwykłych okolicznościach uzyskać zwrot z inwestycji, który przeciętnie odpowiada referencyjnej stopie zwrotu z funduszu BUFI po odliczeniu ponies</w:t>
      </w:r>
      <w:r>
        <w:t>ionych kosztów, przy jednoczesnym zachowaniu kwoty nominalnej grzywien nałożonych przez Komisję przed wejściem w życie nowego rozporządzenia finansowego w sierpniu 2018 r.</w:t>
      </w:r>
    </w:p>
    <w:p w:rsidR="0043277E" w:rsidRDefault="000F2348">
      <w:pPr>
        <w:pStyle w:val="DGTextstand-alone"/>
      </w:pPr>
      <w:r>
        <w:t xml:space="preserve">Inwestycje są zasadniczo ograniczone do następujących kategorii: depozyty terminowe </w:t>
      </w:r>
      <w:r>
        <w:t>w bankach centralnych państw członkowskich, agencjach obsługujących dług państwowy w strefie euro, należących w całości do skarbu państwa lub objętych gwarancjami państwa bankach lub instytucjach ponadnarodowych, a także obligacje, weksle i certyfikaty dep</w:t>
      </w:r>
      <w:r>
        <w:t>ozytowe wystawiane przez państwa albo instytucje ponadnarodowe.</w:t>
      </w:r>
    </w:p>
    <w:p w:rsidR="0043277E" w:rsidRDefault="000F2348">
      <w:pPr>
        <w:pStyle w:val="Textstand-alone"/>
        <w:rPr>
          <w:i/>
        </w:rPr>
      </w:pPr>
      <w:r>
        <w:rPr>
          <w:i/>
        </w:rPr>
        <w:t>Gwarancje finansowe</w:t>
      </w:r>
    </w:p>
    <w:p w:rsidR="0043277E" w:rsidRDefault="000F2348">
      <w:pPr>
        <w:pStyle w:val="DGTextstand-alone"/>
      </w:pPr>
      <w:r>
        <w:t>W posiadaniu Komisji znajdują się gwarancje o znacznej wartości wystawione przez instytucje finansowe w związku z grzywnami nakładanymi przez Komisję na przedsiębiorców nar</w:t>
      </w:r>
      <w:r>
        <w:t xml:space="preserve">uszających unijne reguły konkurencji (zob. informacja dodatkowa </w:t>
      </w:r>
      <w:r>
        <w:rPr>
          <w:b/>
        </w:rPr>
        <w:t>2.6.1.2</w:t>
      </w:r>
      <w:r>
        <w:t>). Przedstawienie gwarancji przez ukarane przedsiębiorstwo stanowi alternatywę dla dokonania tymczasowej zapłaty. Gwarancjami zarządza się zgodnie z wewnętrzną polityką zarządzania ryzy</w:t>
      </w:r>
      <w:r>
        <w:t>kiem. Określane jest i oceniane ryzyko finansowe i operacyjne, a ponadto regularnie sprawdzane jest przestrzeganie wewnętrznych zasad i procedur.</w:t>
      </w:r>
    </w:p>
    <w:p w:rsidR="0043277E" w:rsidRDefault="000F2348">
      <w:pPr>
        <w:pStyle w:val="HEADER5"/>
        <w:rPr>
          <w:b/>
          <w:noProof/>
        </w:rPr>
      </w:pPr>
      <w:r>
        <w:rPr>
          <w:noProof/>
        </w:rPr>
        <w:t>Fundusz Gwarancyjny dla działań zewnętrznych</w:t>
      </w:r>
    </w:p>
    <w:p w:rsidR="0043277E" w:rsidRDefault="000F2348">
      <w:pPr>
        <w:pStyle w:val="DGTextstand-alone"/>
      </w:pPr>
      <w:r>
        <w:t>Zasady zarządzania aktywami Funduszu Gwarancyjnego określono w po</w:t>
      </w:r>
      <w:r>
        <w:t>rozumieniu między Komisją a EBI z dnia 25 listopada 1994 r. oraz późniejszych zmianach do tego porozumienia. Fundusz Gwarancyjny jest obsługiwany wyłącznie w euro. Inwestycji dokonuje się tylko w tej walucie, aby uniknąć wszelkiego ryzyka walutowego. Zarzą</w:t>
      </w:r>
      <w:r>
        <w:t>dzanie aktywami opiera się na tradycyjnych zasadach ostrożności, stosowanych w przypadku działalności finansowej. Przy zarządzaniu funduszem konieczne jest zwracanie szczególnej uwagi na ograniczanie ryzyka i dbałość o to, aby zbywanie i przenoszenie aktyw</w:t>
      </w:r>
      <w:r>
        <w:t>ów, którymi zarządza fundusz, następowało bez większych opóźnień, przy uwzględnieniu stosownych zobowiązań.</w:t>
      </w:r>
    </w:p>
    <w:p w:rsidR="0043277E" w:rsidRDefault="000F2348">
      <w:pPr>
        <w:pStyle w:val="HEADER5"/>
        <w:rPr>
          <w:noProof/>
        </w:rPr>
      </w:pPr>
      <w:r>
        <w:rPr>
          <w:noProof/>
        </w:rPr>
        <w:t>Fundusz Gwarancyjny EFIS</w:t>
      </w:r>
    </w:p>
    <w:p w:rsidR="0043277E" w:rsidRDefault="000F2348">
      <w:pPr>
        <w:pStyle w:val="DGTextstand-alone"/>
      </w:pPr>
      <w:r>
        <w:t>Fundusz Gwarancyjny EFIS został ustanowiony rozporządzeniem w sprawie EFIS – zob. informacja dodatkowa</w:t>
      </w:r>
      <w:r>
        <w:rPr>
          <w:b/>
        </w:rPr>
        <w:t xml:space="preserve"> 2.4.1</w:t>
      </w:r>
      <w:r>
        <w:t>. Zasady zarząd</w:t>
      </w:r>
      <w:r>
        <w:t xml:space="preserve">zania aktywami funduszu określono w decyzji Komisji C(2016) 165 z dnia 21 stycznia 2016 r. Funduszem zarządza Komisja, która jest upoważniona do inwestowania środków </w:t>
      </w:r>
      <w:r>
        <w:lastRenderedPageBreak/>
        <w:t>Funduszu Gwarancyjnego EFIS na rynkach finansowych zgodnie z zasadą należytego zarządzania</w:t>
      </w:r>
      <w:r>
        <w:t xml:space="preserve"> finansami i właściwymi normami ostrożnościowymi. Zarządzając aktywami, należy zapewniać wystarczającą płynność na wypadek uruchomienia gwarancji i jednocześnie zmierzać do maksymalizacji stopy zwrotu z aktywów oraz dążyć do poziomu ryzyka zapewniającego u</w:t>
      </w:r>
      <w:r>
        <w:t>trzymanie wysokiego stopnia bezpieczeństwa i stabilności.</w:t>
      </w:r>
    </w:p>
    <w:p w:rsidR="0043277E" w:rsidRDefault="000F2348">
      <w:pPr>
        <w:pStyle w:val="HEADER5"/>
        <w:rPr>
          <w:noProof/>
        </w:rPr>
      </w:pPr>
      <w:r>
        <w:rPr>
          <w:noProof/>
        </w:rPr>
        <w:t>Fundusz gwarancyjny EFZR</w:t>
      </w:r>
    </w:p>
    <w:p w:rsidR="0043277E" w:rsidRDefault="000F2348">
      <w:pPr>
        <w:pStyle w:val="DGTextstand-alone"/>
      </w:pPr>
      <w:r>
        <w:t xml:space="preserve">Fundusz gwarancyjny EFZR ustanowiono rozporządzeniem w sprawie EFZR – zob. informacja dodatkowa </w:t>
      </w:r>
      <w:r>
        <w:rPr>
          <w:b/>
        </w:rPr>
        <w:t>2.4.1</w:t>
      </w:r>
      <w:r>
        <w:t>. Komisja zarządza aktywami funduszu gwarancyjnego EFZR zgodnie z wytycz</w:t>
      </w:r>
      <w:r>
        <w:t>nymi wewnętrznymi i wytycznymi dotyczącymi zarządzania aktywami określonymi w załączniku 1 do decyzji Komisji C(2017) 7693 z dnia 22 listopada 2017 r. Komisja jest upoważniona do inwestowania środków funduszu gwarancyjnego EFZR na rynkach finansowych zgodn</w:t>
      </w:r>
      <w:r>
        <w:t>ie z zasadą należytego zarządzania finansami i właściwymi normami ostrożnościowymi. Aktywami zarządza się w taki sposób, aby zapewniać wystarczającą płynność na wypadek uruchomienia gwarancji i jednocześnie zmierzać do maksymalizacji stopy zwrotu z aktywów</w:t>
      </w:r>
      <w:r>
        <w:t xml:space="preserve"> oraz dążyć do poziomu ryzyka zapewniającego utrzymanie wysokiego stopnia bezpieczeństwa i stabilności.</w:t>
      </w:r>
    </w:p>
    <w:p w:rsidR="0043277E" w:rsidRDefault="000F2348">
      <w:pPr>
        <w:pStyle w:val="HEADER2NOTES"/>
        <w:rPr>
          <w:noProof/>
        </w:rPr>
      </w:pPr>
      <w:r>
        <w:rPr>
          <w:noProof/>
        </w:rPr>
        <w:t>RYZYKO WALUTOWE</w:t>
      </w:r>
    </w:p>
    <w:p w:rsidR="0043277E" w:rsidRDefault="000F2348">
      <w:pPr>
        <w:pStyle w:val="HEADER5"/>
        <w:rPr>
          <w:noProof/>
        </w:rPr>
      </w:pPr>
      <w:r>
        <w:rPr>
          <w:noProof/>
        </w:rPr>
        <w:t>Ekspozycja UE na ryzyko walutowe związane z instrumentami finansowymi – pozycja netto na koniec roku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11"/>
        <w:gridCol w:w="880"/>
        <w:gridCol w:w="815"/>
        <w:gridCol w:w="880"/>
        <w:gridCol w:w="1027"/>
        <w:gridCol w:w="880"/>
        <w:gridCol w:w="1076"/>
      </w:tblGrid>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CY"/>
              <w:rPr>
                <w:rFonts w:ascii="Arial" w:eastAsia="Arial" w:hAnsi="Arial" w:cs="Arial"/>
                <w:noProof/>
                <w:color w:val="000000"/>
              </w:rPr>
            </w:pPr>
            <w:bookmarkStart w:id="148" w:name="DOC_TBL00083_1_1"/>
            <w:bookmarkEnd w:id="148"/>
          </w:p>
        </w:tc>
        <w:tc>
          <w:tcPr>
            <w:tcW w:w="101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5BIPCRCY"/>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CRCY"/>
              <w:jc w:val="right"/>
              <w:rPr>
                <w:rFonts w:ascii="Verdana" w:eastAsia="Verdana" w:hAnsi="Verdana" w:cs="Verdana"/>
                <w:noProof/>
                <w:color w:val="FFFFFF"/>
              </w:rPr>
            </w:pPr>
          </w:p>
        </w:tc>
        <w:tc>
          <w:tcPr>
            <w:tcW w:w="1011" w:type="dxa"/>
            <w:gridSpan w:val="7"/>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center"/>
              <w:rPr>
                <w:rFonts w:ascii="Verdana" w:eastAsia="Verdana" w:hAnsi="Verdana" w:cs="Verdana"/>
                <w:noProof/>
                <w:color w:val="FFFFFF"/>
              </w:rPr>
            </w:pPr>
            <w:r>
              <w:rPr>
                <w:rFonts w:ascii="Verdana" w:hAnsi="Verdana"/>
                <w:noProof/>
                <w:color w:val="FFFFFF"/>
              </w:rPr>
              <w:t>31.12.2019</w:t>
            </w:r>
          </w:p>
        </w:tc>
      </w:tr>
      <w:tr w:rsidR="0043277E">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CRCY"/>
              <w:jc w:val="right"/>
              <w:rPr>
                <w:rFonts w:ascii="Verdana" w:eastAsia="Verdana" w:hAnsi="Verdana" w:cs="Verdana"/>
                <w:noProof/>
                <w:color w:val="FFFFFF"/>
              </w:rPr>
            </w:pPr>
          </w:p>
        </w:tc>
        <w:tc>
          <w:tcPr>
            <w:tcW w:w="101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right"/>
              <w:rPr>
                <w:rFonts w:ascii="Verdana" w:eastAsia="Verdana" w:hAnsi="Verdana" w:cs="Verdana"/>
                <w:noProof/>
                <w:color w:val="FFFFFF"/>
              </w:rPr>
            </w:pPr>
            <w:r>
              <w:rPr>
                <w:rFonts w:ascii="Verdana" w:hAnsi="Verdana"/>
                <w:noProof/>
                <w:color w:val="FFFFFF"/>
              </w:rPr>
              <w:t>USD</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right"/>
              <w:rPr>
                <w:rFonts w:ascii="Verdana" w:eastAsia="Verdana" w:hAnsi="Verdana" w:cs="Verdana"/>
                <w:noProof/>
                <w:color w:val="FFFFFF"/>
              </w:rPr>
            </w:pPr>
            <w:r>
              <w:rPr>
                <w:rFonts w:ascii="Verdana" w:hAnsi="Verdana"/>
                <w:noProof/>
                <w:color w:val="FFFFFF"/>
              </w:rPr>
              <w:t>GBP</w:t>
            </w:r>
          </w:p>
        </w:tc>
        <w:tc>
          <w:tcPr>
            <w:tcW w:w="81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right"/>
              <w:rPr>
                <w:rFonts w:ascii="Verdana" w:eastAsia="Verdana" w:hAnsi="Verdana" w:cs="Verdana"/>
                <w:noProof/>
                <w:color w:val="FFFFFF"/>
              </w:rPr>
            </w:pPr>
            <w:r>
              <w:rPr>
                <w:rFonts w:ascii="Verdana" w:hAnsi="Verdana"/>
                <w:noProof/>
                <w:color w:val="FFFFFF"/>
              </w:rPr>
              <w:t>Inne</w:t>
            </w:r>
          </w:p>
        </w:tc>
        <w:tc>
          <w:tcPr>
            <w:tcW w:w="107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CY"/>
              <w:jc w:val="right"/>
              <w:rPr>
                <w:rFonts w:ascii="Verdana" w:eastAsia="Verdana" w:hAnsi="Verdana" w:cs="Verdana"/>
                <w:noProof/>
                <w:color w:val="FFFFFF"/>
              </w:rPr>
            </w:pPr>
            <w:r>
              <w:rPr>
                <w:rFonts w:ascii="Verdana" w:hAnsi="Verdana"/>
                <w:noProof/>
                <w:color w:val="FFFFFF"/>
              </w:rPr>
              <w:t>Ogółem</w:t>
            </w: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b/>
                <w:noProof/>
                <w:color w:val="000000"/>
                <w:sz w:val="18"/>
              </w:rPr>
            </w:pPr>
            <w:r>
              <w:rPr>
                <w:rFonts w:ascii="Verdana" w:hAnsi="Verdana"/>
                <w:b/>
                <w:noProof/>
                <w:color w:val="000000"/>
                <w:sz w:val="18"/>
              </w:rPr>
              <w:t>Aktywa finansowe</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lang w:bidi="en-GB"/>
              </w:rPr>
            </w:pP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i/>
                <w:noProof/>
                <w:color w:val="000000"/>
                <w:sz w:val="18"/>
              </w:rPr>
            </w:pPr>
            <w:r>
              <w:rPr>
                <w:rFonts w:ascii="Verdana" w:hAnsi="Verdana"/>
                <w:i/>
                <w:noProof/>
                <w:color w:val="000000"/>
                <w:sz w:val="18"/>
              </w:rPr>
              <w:t>Aktywa finansowe dostępne do sprzedaży</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577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62</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9</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17 723</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21</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18 407</w:t>
            </w: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i/>
                <w:noProof/>
                <w:color w:val="000000"/>
                <w:sz w:val="18"/>
              </w:rPr>
            </w:pPr>
            <w:r>
              <w:rPr>
                <w:rFonts w:ascii="Verdana" w:hAnsi="Verdana"/>
                <w:i/>
                <w:noProof/>
                <w:color w:val="000000"/>
                <w:sz w:val="18"/>
              </w:rPr>
              <w:t>Aktywa finansowe wyceniane według wartości godziwej przez nadwyżkę lub deficyt</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(393)</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529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137</w:t>
            </w: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i/>
                <w:noProof/>
                <w:color w:val="000000"/>
                <w:sz w:val="18"/>
              </w:rPr>
            </w:pPr>
            <w:r>
              <w:rPr>
                <w:rFonts w:ascii="Verdana" w:hAnsi="Verdana"/>
                <w:i/>
                <w:noProof/>
                <w:color w:val="000000"/>
                <w:sz w:val="18"/>
              </w:rPr>
              <w:t>Pożyczki*</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17</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32</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7</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121</w:t>
            </w: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i/>
                <w:noProof/>
                <w:color w:val="000000"/>
                <w:sz w:val="18"/>
              </w:rPr>
            </w:pPr>
            <w:r>
              <w:rPr>
                <w:rFonts w:ascii="Verdana" w:hAnsi="Verdana"/>
                <w:i/>
                <w:noProof/>
                <w:color w:val="000000"/>
                <w:sz w:val="18"/>
              </w:rPr>
              <w:t>Należności</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804</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62</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93</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22 751</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233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23 974</w:t>
            </w: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i/>
                <w:noProof/>
                <w:color w:val="000000"/>
                <w:sz w:val="18"/>
              </w:rPr>
            </w:pPr>
            <w:r>
              <w:rPr>
                <w:rFonts w:ascii="Verdana" w:hAnsi="Verdana"/>
                <w:i/>
                <w:noProof/>
                <w:color w:val="000000"/>
                <w:sz w:val="18"/>
              </w:rPr>
              <w:t>Środki pieniężne i ich ekwiwalenty</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100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311</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319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432</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16 910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1 673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19 745</w:t>
            </w:r>
          </w:p>
        </w:tc>
      </w:tr>
      <w:tr w:rsidR="0043277E">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332</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1 209</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533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57 979</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1 934</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62 384</w:t>
            </w: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b/>
                <w:noProof/>
                <w:color w:val="000000"/>
                <w:sz w:val="18"/>
              </w:rPr>
            </w:pPr>
            <w:r>
              <w:rPr>
                <w:rFonts w:ascii="Verdana" w:hAnsi="Verdana"/>
                <w:b/>
                <w:noProof/>
                <w:color w:val="000000"/>
                <w:sz w:val="18"/>
              </w:rPr>
              <w:t>Zobowiązania finansowe</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CY"/>
              <w:rPr>
                <w:rFonts w:ascii="Arial" w:eastAsia="Arial" w:hAnsi="Arial" w:cs="Arial"/>
                <w:noProof/>
                <w:color w:val="000000"/>
                <w:lang w:bidi="en-GB"/>
              </w:rPr>
            </w:pP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i/>
                <w:noProof/>
                <w:color w:val="000000"/>
                <w:sz w:val="18"/>
              </w:rPr>
            </w:pPr>
            <w:r>
              <w:rPr>
                <w:rFonts w:ascii="Verdana" w:hAnsi="Verdana"/>
                <w:i/>
                <w:noProof/>
                <w:color w:val="000000"/>
                <w:sz w:val="18"/>
              </w:rPr>
              <w:t xml:space="preserve">Zobowiązania finansowe wyceniane według </w:t>
            </w:r>
            <w:r>
              <w:rPr>
                <w:rFonts w:ascii="Verdana" w:hAnsi="Verdana"/>
                <w:i/>
                <w:noProof/>
                <w:color w:val="000000"/>
                <w:sz w:val="18"/>
              </w:rPr>
              <w:t>wartości godziwej przez nadwyżkę lub deficyt</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(12)</w:t>
            </w:r>
          </w:p>
        </w:tc>
      </w:tr>
      <w:tr w:rsidR="0043277E">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i/>
                <w:noProof/>
                <w:color w:val="000000"/>
                <w:sz w:val="18"/>
              </w:rPr>
            </w:pPr>
            <w:r>
              <w:rPr>
                <w:rFonts w:ascii="Verdana" w:hAnsi="Verdana"/>
                <w:i/>
                <w:noProof/>
                <w:color w:val="000000"/>
                <w:sz w:val="18"/>
              </w:rPr>
              <w:t>Zobowiązania</w:t>
            </w:r>
          </w:p>
        </w:tc>
        <w:tc>
          <w:tcPr>
            <w:tcW w:w="10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81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(27 200)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(33)</w:t>
            </w:r>
          </w:p>
        </w:tc>
        <w:tc>
          <w:tcPr>
            <w:tcW w:w="10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i/>
                <w:noProof/>
                <w:color w:val="000000"/>
                <w:sz w:val="18"/>
              </w:rPr>
            </w:pPr>
            <w:r>
              <w:rPr>
                <w:rFonts w:ascii="Verdana" w:hAnsi="Verdana"/>
                <w:i/>
                <w:noProof/>
                <w:color w:val="000000"/>
                <w:sz w:val="18"/>
              </w:rPr>
              <w:t>(27 241)</w:t>
            </w:r>
          </w:p>
        </w:tc>
      </w:tr>
      <w:tr w:rsidR="0043277E">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(1)</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(1)</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(27 211)</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(35)</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(27 254)</w:t>
            </w:r>
          </w:p>
        </w:tc>
      </w:tr>
      <w:tr w:rsidR="0043277E">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rPr>
                <w:rFonts w:ascii="Verdana" w:eastAsia="Verdana" w:hAnsi="Verdana" w:cs="Verdana"/>
                <w:b/>
                <w:noProof/>
                <w:color w:val="000000"/>
                <w:sz w:val="18"/>
              </w:rPr>
            </w:pPr>
            <w:r>
              <w:rPr>
                <w:rFonts w:ascii="Verdana" w:hAnsi="Verdana"/>
                <w:b/>
                <w:noProof/>
                <w:color w:val="000000"/>
                <w:sz w:val="18"/>
              </w:rPr>
              <w:t>Ogółem</w:t>
            </w: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326</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1 208</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532</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30 768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1 898</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CY"/>
              <w:jc w:val="right"/>
              <w:rPr>
                <w:rFonts w:ascii="Verdana" w:eastAsia="Verdana" w:hAnsi="Verdana" w:cs="Verdana"/>
                <w:b/>
                <w:noProof/>
                <w:color w:val="000000"/>
                <w:sz w:val="18"/>
              </w:rPr>
            </w:pPr>
            <w:r>
              <w:rPr>
                <w:rFonts w:ascii="Verdana" w:hAnsi="Verdana"/>
                <w:b/>
                <w:noProof/>
                <w:color w:val="000000"/>
                <w:sz w:val="18"/>
              </w:rPr>
              <w:t>35 130</w:t>
            </w:r>
          </w:p>
        </w:tc>
      </w:tr>
    </w:tbl>
    <w:p w:rsidR="0043277E" w:rsidRDefault="000F2348">
      <w:pPr>
        <w:pStyle w:val="Textstand-alone"/>
        <w:spacing w:before="60" w:after="0"/>
        <w:rPr>
          <w:i/>
          <w:sz w:val="14"/>
        </w:rPr>
      </w:pPr>
      <w:r>
        <w:rPr>
          <w:i/>
          <w:sz w:val="14"/>
        </w:rPr>
        <w:t xml:space="preserve">* Z wyłączeniem pożyczek </w:t>
      </w:r>
      <w:r>
        <w:rPr>
          <w:i/>
          <w:sz w:val="14"/>
        </w:rPr>
        <w:t>wzajemnych na pomoc finansową.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009"/>
        <w:gridCol w:w="879"/>
        <w:gridCol w:w="817"/>
        <w:gridCol w:w="880"/>
        <w:gridCol w:w="1027"/>
        <w:gridCol w:w="880"/>
        <w:gridCol w:w="1078"/>
      </w:tblGrid>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PY"/>
              <w:rPr>
                <w:rFonts w:ascii="Arial" w:eastAsia="Arial" w:hAnsi="Arial" w:cs="Arial"/>
                <w:noProof/>
                <w:color w:val="000000"/>
              </w:rPr>
            </w:pPr>
            <w:bookmarkStart w:id="149" w:name="DOC_TBL00084_1_1"/>
            <w:bookmarkEnd w:id="149"/>
          </w:p>
        </w:tc>
        <w:tc>
          <w:tcPr>
            <w:tcW w:w="100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5BIPCRPY"/>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CRPY"/>
              <w:jc w:val="right"/>
              <w:rPr>
                <w:rFonts w:ascii="Verdana" w:eastAsia="Verdana" w:hAnsi="Verdana" w:cs="Verdana"/>
                <w:noProof/>
                <w:color w:val="FFFFFF"/>
              </w:rPr>
            </w:pPr>
          </w:p>
        </w:tc>
        <w:tc>
          <w:tcPr>
            <w:tcW w:w="1009" w:type="dxa"/>
            <w:gridSpan w:val="7"/>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center"/>
              <w:rPr>
                <w:rFonts w:ascii="Verdana" w:eastAsia="Verdana" w:hAnsi="Verdana" w:cs="Verdana"/>
                <w:noProof/>
                <w:color w:val="FFFFFF"/>
              </w:rPr>
            </w:pPr>
            <w:r>
              <w:rPr>
                <w:rFonts w:ascii="Verdana" w:hAnsi="Verdana"/>
                <w:noProof/>
                <w:color w:val="FFFFFF"/>
              </w:rPr>
              <w:t>31.12.2018</w:t>
            </w:r>
          </w:p>
        </w:tc>
      </w:tr>
      <w:tr w:rsidR="0043277E">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CRPY"/>
              <w:jc w:val="right"/>
              <w:rPr>
                <w:rFonts w:ascii="Verdana" w:eastAsia="Verdana" w:hAnsi="Verdana" w:cs="Verdana"/>
                <w:noProof/>
                <w:color w:val="FFFFFF"/>
              </w:rPr>
            </w:pPr>
          </w:p>
        </w:tc>
        <w:tc>
          <w:tcPr>
            <w:tcW w:w="100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right"/>
              <w:rPr>
                <w:rFonts w:ascii="Verdana" w:eastAsia="Verdana" w:hAnsi="Verdana" w:cs="Verdana"/>
                <w:noProof/>
                <w:color w:val="FFFFFF"/>
              </w:rPr>
            </w:pPr>
            <w:r>
              <w:rPr>
                <w:rFonts w:ascii="Verdana" w:hAnsi="Verdana"/>
                <w:noProof/>
                <w:color w:val="FFFFFF"/>
              </w:rPr>
              <w:t>USD</w:t>
            </w:r>
          </w:p>
        </w:tc>
        <w:tc>
          <w:tcPr>
            <w:tcW w:w="87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right"/>
              <w:rPr>
                <w:rFonts w:ascii="Verdana" w:eastAsia="Verdana" w:hAnsi="Verdana" w:cs="Verdana"/>
                <w:noProof/>
                <w:color w:val="FFFFFF"/>
              </w:rPr>
            </w:pPr>
            <w:r>
              <w:rPr>
                <w:rFonts w:ascii="Verdana" w:hAnsi="Verdana"/>
                <w:noProof/>
                <w:color w:val="FFFFFF"/>
              </w:rPr>
              <w:t>GBP</w:t>
            </w:r>
          </w:p>
        </w:tc>
        <w:tc>
          <w:tcPr>
            <w:tcW w:w="81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right"/>
              <w:rPr>
                <w:rFonts w:ascii="Verdana" w:eastAsia="Verdana" w:hAnsi="Verdana" w:cs="Verdana"/>
                <w:noProof/>
                <w:color w:val="FFFFFF"/>
              </w:rPr>
            </w:pPr>
            <w:r>
              <w:rPr>
                <w:rFonts w:ascii="Verdana" w:hAnsi="Verdana"/>
                <w:noProof/>
                <w:color w:val="FFFFFF"/>
              </w:rPr>
              <w:t>Inne</w:t>
            </w:r>
          </w:p>
        </w:tc>
        <w:tc>
          <w:tcPr>
            <w:tcW w:w="10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CRPY"/>
              <w:jc w:val="right"/>
              <w:rPr>
                <w:rFonts w:ascii="Verdana" w:eastAsia="Verdana" w:hAnsi="Verdana" w:cs="Verdana"/>
                <w:noProof/>
                <w:color w:val="FFFFFF"/>
              </w:rPr>
            </w:pPr>
            <w:r>
              <w:rPr>
                <w:rFonts w:ascii="Verdana" w:hAnsi="Verdana"/>
                <w:noProof/>
                <w:color w:val="FFFFFF"/>
              </w:rPr>
              <w:t>Ogółem</w:t>
            </w: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b/>
                <w:noProof/>
                <w:color w:val="000000"/>
                <w:sz w:val="18"/>
              </w:rPr>
            </w:pPr>
            <w:r>
              <w:rPr>
                <w:rFonts w:ascii="Verdana" w:hAnsi="Verdana"/>
                <w:b/>
                <w:noProof/>
                <w:color w:val="000000"/>
                <w:sz w:val="18"/>
              </w:rPr>
              <w:t>Aktywa finansowe</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lang w:bidi="en-GB"/>
              </w:rPr>
            </w:pP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i/>
                <w:noProof/>
                <w:color w:val="000000"/>
                <w:sz w:val="18"/>
              </w:rPr>
            </w:pPr>
            <w:r>
              <w:rPr>
                <w:rFonts w:ascii="Verdana" w:hAnsi="Verdana"/>
                <w:i/>
                <w:noProof/>
                <w:color w:val="000000"/>
                <w:sz w:val="18"/>
              </w:rPr>
              <w:t>Aktywa finansowe dostępne do sprzedaży</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619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57</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7</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14 725</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15 443</w:t>
            </w: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i/>
                <w:noProof/>
                <w:color w:val="000000"/>
                <w:sz w:val="18"/>
              </w:rPr>
            </w:pPr>
            <w:r>
              <w:rPr>
                <w:rFonts w:ascii="Verdana" w:hAnsi="Verdana"/>
                <w:i/>
                <w:noProof/>
                <w:color w:val="000000"/>
                <w:sz w:val="18"/>
              </w:rPr>
              <w:t xml:space="preserve">Aktywa finansowe wyceniane według wartości godziwej przez </w:t>
            </w:r>
            <w:r>
              <w:rPr>
                <w:rFonts w:ascii="Verdana" w:hAnsi="Verdana"/>
                <w:i/>
                <w:noProof/>
                <w:color w:val="000000"/>
                <w:sz w:val="18"/>
              </w:rPr>
              <w:t>nadwyżkę lub deficyt</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(475)</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491</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16</w:t>
            </w: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i/>
                <w:noProof/>
                <w:color w:val="000000"/>
                <w:sz w:val="18"/>
              </w:rPr>
            </w:pPr>
            <w:r>
              <w:rPr>
                <w:rFonts w:ascii="Verdana" w:hAnsi="Verdana"/>
                <w:i/>
                <w:noProof/>
                <w:color w:val="000000"/>
                <w:sz w:val="18"/>
              </w:rPr>
              <w:t>Pożyczki*</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56</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67</w:t>
            </w: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i/>
                <w:noProof/>
                <w:color w:val="000000"/>
                <w:sz w:val="18"/>
              </w:rPr>
            </w:pPr>
            <w:r>
              <w:rPr>
                <w:rFonts w:ascii="Verdana" w:hAnsi="Verdana"/>
                <w:i/>
                <w:noProof/>
                <w:color w:val="000000"/>
                <w:sz w:val="18"/>
              </w:rPr>
              <w:t>Należności</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4 109</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99</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109</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20 026</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303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24 664</w:t>
            </w: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i/>
                <w:noProof/>
                <w:color w:val="000000"/>
                <w:sz w:val="18"/>
              </w:rPr>
            </w:pPr>
            <w:r>
              <w:rPr>
                <w:rFonts w:ascii="Verdana" w:hAnsi="Verdana"/>
                <w:i/>
                <w:noProof/>
                <w:color w:val="000000"/>
                <w:sz w:val="18"/>
              </w:rPr>
              <w:t>Środki pieniężne i ich ekwiwalenty</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49</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1 524</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290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406</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14 338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1 505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18 113</w:t>
            </w:r>
          </w:p>
        </w:tc>
      </w:tr>
      <w:tr w:rsidR="0043277E">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218</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5 690</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407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523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49 635</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1 830</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58 303</w:t>
            </w: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b/>
                <w:noProof/>
                <w:color w:val="000000"/>
                <w:sz w:val="18"/>
              </w:rPr>
            </w:pPr>
            <w:r>
              <w:rPr>
                <w:rFonts w:ascii="Verdana" w:hAnsi="Verdana"/>
                <w:b/>
                <w:noProof/>
                <w:color w:val="000000"/>
                <w:sz w:val="18"/>
              </w:rPr>
              <w:t>Zobowiązania finansowe</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5BIPCRPY"/>
              <w:rPr>
                <w:rFonts w:ascii="Arial" w:eastAsia="Arial" w:hAnsi="Arial" w:cs="Arial"/>
                <w:noProof/>
                <w:color w:val="000000"/>
                <w:lang w:bidi="en-GB"/>
              </w:rPr>
            </w:pP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i/>
                <w:noProof/>
                <w:color w:val="000000"/>
                <w:sz w:val="18"/>
              </w:rPr>
            </w:pPr>
            <w:r>
              <w:rPr>
                <w:rFonts w:ascii="Verdana" w:hAnsi="Verdana"/>
                <w:i/>
                <w:noProof/>
                <w:color w:val="000000"/>
                <w:sz w:val="18"/>
              </w:rPr>
              <w:lastRenderedPageBreak/>
              <w:t>Zobowiązania finansowe wyceniane według wartości godziwej przez nadwyżkę lub deficyt</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(22)</w:t>
            </w:r>
          </w:p>
        </w:tc>
      </w:tr>
      <w:tr w:rsidR="0043277E">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i/>
                <w:noProof/>
                <w:color w:val="000000"/>
                <w:sz w:val="18"/>
              </w:rPr>
            </w:pPr>
            <w:r>
              <w:rPr>
                <w:rFonts w:ascii="Verdana" w:hAnsi="Verdana"/>
                <w:i/>
                <w:noProof/>
                <w:color w:val="000000"/>
                <w:sz w:val="18"/>
              </w:rPr>
              <w:t>Zobowiązania</w:t>
            </w:r>
          </w:p>
        </w:tc>
        <w:tc>
          <w:tcPr>
            <w:tcW w:w="10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w:t>
            </w:r>
          </w:p>
        </w:tc>
        <w:tc>
          <w:tcPr>
            <w:tcW w:w="87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w:t>
            </w:r>
          </w:p>
        </w:tc>
        <w:tc>
          <w:tcPr>
            <w:tcW w:w="8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10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(32 218)</w:t>
            </w:r>
          </w:p>
        </w:tc>
        <w:tc>
          <w:tcPr>
            <w:tcW w:w="8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i/>
                <w:noProof/>
                <w:color w:val="000000"/>
                <w:sz w:val="18"/>
              </w:rPr>
            </w:pPr>
            <w:r>
              <w:rPr>
                <w:rFonts w:ascii="Verdana" w:hAnsi="Verdana"/>
                <w:i/>
                <w:noProof/>
                <w:color w:val="000000"/>
                <w:sz w:val="18"/>
              </w:rPr>
              <w:t>(32 227)</w:t>
            </w:r>
          </w:p>
        </w:tc>
      </w:tr>
      <w:tr w:rsidR="0043277E">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(1)</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(0)</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(32 238)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(7)</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(32 249)</w:t>
            </w:r>
          </w:p>
        </w:tc>
      </w:tr>
      <w:tr w:rsidR="0043277E">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rPr>
                <w:rFonts w:ascii="Verdana" w:eastAsia="Verdana" w:hAnsi="Verdana" w:cs="Verdana"/>
                <w:b/>
                <w:noProof/>
                <w:color w:val="000000"/>
                <w:sz w:val="18"/>
              </w:rPr>
            </w:pPr>
            <w:r>
              <w:rPr>
                <w:rFonts w:ascii="Verdana" w:hAnsi="Verdana"/>
                <w:b/>
                <w:noProof/>
                <w:color w:val="000000"/>
                <w:sz w:val="18"/>
              </w:rPr>
              <w:t>Ogółem</w:t>
            </w: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216</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5 689</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407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523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17 397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1 824</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5BIPCRPY"/>
              <w:jc w:val="right"/>
              <w:rPr>
                <w:rFonts w:ascii="Verdana" w:eastAsia="Verdana" w:hAnsi="Verdana" w:cs="Verdana"/>
                <w:b/>
                <w:noProof/>
                <w:color w:val="000000"/>
                <w:sz w:val="18"/>
              </w:rPr>
            </w:pPr>
            <w:r>
              <w:rPr>
                <w:rFonts w:ascii="Verdana" w:hAnsi="Verdana"/>
                <w:b/>
                <w:noProof/>
                <w:color w:val="000000"/>
                <w:sz w:val="18"/>
              </w:rPr>
              <w:t>26 055</w:t>
            </w:r>
          </w:p>
        </w:tc>
      </w:tr>
    </w:tbl>
    <w:p w:rsidR="0043277E" w:rsidRDefault="000F2348">
      <w:pPr>
        <w:pStyle w:val="DGTextstand-alone"/>
        <w:spacing w:before="0"/>
      </w:pPr>
      <w:r>
        <w:rPr>
          <w:i/>
          <w:sz w:val="14"/>
        </w:rPr>
        <w:t>* Z wyłączeniem pożyczek wzajemnych na pomoc finansową.</w:t>
      </w:r>
    </w:p>
    <w:p w:rsidR="0043277E" w:rsidRDefault="000F2348">
      <w:pPr>
        <w:rPr>
          <w:rFonts w:ascii="Verdana" w:eastAsia="Calibri" w:hAnsi="Verdana"/>
          <w:noProof/>
          <w:sz w:val="18"/>
          <w:szCs w:val="18"/>
        </w:rPr>
      </w:pPr>
      <w:r>
        <w:rPr>
          <w:noProof/>
        </w:rPr>
        <w:br w:type="page"/>
      </w:r>
    </w:p>
    <w:p w:rsidR="0043277E" w:rsidRDefault="000F2348">
      <w:pPr>
        <w:pStyle w:val="DGTextstand-alone"/>
      </w:pPr>
      <w:r>
        <w:lastRenderedPageBreak/>
        <w:t>Umocnienie się euro wobec innych walut o 10 % miałoby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rsidR="0043277E">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S"/>
              <w:rPr>
                <w:rFonts w:ascii="Arial" w:eastAsia="Arial" w:hAnsi="Arial" w:cs="Arial"/>
                <w:noProof/>
                <w:color w:val="000000"/>
              </w:rPr>
            </w:pPr>
            <w:bookmarkStart w:id="150" w:name="DOC_TBL00085_1_1"/>
            <w:bookmarkEnd w:id="150"/>
          </w:p>
        </w:tc>
        <w:tc>
          <w:tcPr>
            <w:tcW w:w="129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5BIPSD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SDS"/>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S"/>
              <w:jc w:val="center"/>
              <w:rPr>
                <w:rFonts w:ascii="Verdana" w:eastAsia="Verdana" w:hAnsi="Verdana" w:cs="Verdana"/>
                <w:noProof/>
                <w:color w:val="FFFFFF"/>
              </w:rPr>
            </w:pPr>
            <w:r>
              <w:rPr>
                <w:rFonts w:ascii="Verdana" w:hAnsi="Verdana"/>
                <w:noProof/>
                <w:color w:val="FFFFFF"/>
              </w:rPr>
              <w:t>Wynik ekonomiczny</w:t>
            </w:r>
          </w:p>
        </w:tc>
      </w:tr>
      <w:tr w:rsidR="0043277E">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SDS"/>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S"/>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S"/>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S"/>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S"/>
              <w:jc w:val="right"/>
              <w:rPr>
                <w:rFonts w:ascii="Verdana" w:eastAsia="Verdana" w:hAnsi="Verdana" w:cs="Verdana"/>
                <w:noProof/>
                <w:color w:val="FFFFFF"/>
              </w:rPr>
            </w:pPr>
            <w:r>
              <w:rPr>
                <w:rFonts w:ascii="Verdana" w:hAnsi="Verdana"/>
                <w:noProof/>
                <w:color w:val="FFFFFF"/>
              </w:rPr>
              <w:t>SEK</w:t>
            </w:r>
          </w:p>
        </w:tc>
      </w:tr>
      <w:tr w:rsidR="0043277E">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rPr>
                <w:rFonts w:ascii="Verdana" w:eastAsia="Verdana" w:hAnsi="Verdana" w:cs="Verdana"/>
                <w:i/>
                <w:noProof/>
                <w:color w:val="000000"/>
                <w:sz w:val="18"/>
              </w:rPr>
            </w:pPr>
            <w:r>
              <w:rPr>
                <w:rFonts w:ascii="Verdana" w:hAnsi="Verdana"/>
                <w:i/>
                <w:noProof/>
                <w:color w:val="000000"/>
                <w:sz w:val="18"/>
              </w:rPr>
              <w:t>2019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(14)</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(104)</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(35)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(48)</w:t>
            </w:r>
          </w:p>
        </w:tc>
      </w:tr>
      <w:tr w:rsidR="0043277E">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rPr>
                <w:rFonts w:ascii="Verdana" w:eastAsia="Verdana" w:hAnsi="Verdana" w:cs="Verdana"/>
                <w:i/>
                <w:noProof/>
                <w:color w:val="000000"/>
                <w:sz w:val="18"/>
              </w:rPr>
            </w:pPr>
            <w:r>
              <w:rPr>
                <w:rFonts w:ascii="Verdana" w:hAnsi="Verdana"/>
                <w:i/>
                <w:noProof/>
                <w:color w:val="000000"/>
                <w:sz w:val="18"/>
              </w:rPr>
              <w:t>2018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(512)</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(35)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S"/>
              <w:jc w:val="right"/>
              <w:rPr>
                <w:rFonts w:ascii="Verdana" w:eastAsia="Verdana" w:hAnsi="Verdana" w:cs="Verdana"/>
                <w:i/>
                <w:noProof/>
                <w:color w:val="000000"/>
                <w:sz w:val="18"/>
              </w:rPr>
            </w:pPr>
            <w:r>
              <w:rPr>
                <w:rFonts w:ascii="Verdana" w:hAnsi="Verdana"/>
                <w:i/>
                <w:noProof/>
                <w:color w:val="000000"/>
                <w:sz w:val="18"/>
              </w:rPr>
              <w:t xml:space="preserve"> (47)</w:t>
            </w:r>
          </w:p>
        </w:tc>
      </w:tr>
    </w:tbl>
    <w:p w:rsidR="0043277E" w:rsidRDefault="0043277E">
      <w:pPr>
        <w:pStyle w:val="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rsidR="0043277E">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S"/>
              <w:rPr>
                <w:rFonts w:ascii="Arial" w:eastAsia="Arial" w:hAnsi="Arial" w:cs="Arial"/>
                <w:noProof/>
                <w:color w:val="000000"/>
              </w:rPr>
            </w:pPr>
            <w:bookmarkStart w:id="151" w:name="DOC_TBL00086_1_1"/>
            <w:bookmarkEnd w:id="151"/>
          </w:p>
        </w:tc>
        <w:tc>
          <w:tcPr>
            <w:tcW w:w="139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S"/>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S"/>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S"/>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5BIPNA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NAS"/>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S"/>
              <w:jc w:val="center"/>
              <w:rPr>
                <w:rFonts w:ascii="Verdana" w:eastAsia="Verdana" w:hAnsi="Verdana" w:cs="Verdana"/>
                <w:noProof/>
                <w:color w:val="FFFFFF"/>
              </w:rPr>
            </w:pPr>
            <w:r>
              <w:rPr>
                <w:rFonts w:ascii="Verdana" w:hAnsi="Verdana"/>
                <w:noProof/>
                <w:color w:val="FFFFFF"/>
              </w:rPr>
              <w:t>Aktywa netto</w:t>
            </w:r>
          </w:p>
        </w:tc>
      </w:tr>
      <w:tr w:rsidR="0043277E">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NAS"/>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S"/>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S"/>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S"/>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S"/>
              <w:jc w:val="right"/>
              <w:rPr>
                <w:rFonts w:ascii="Verdana" w:eastAsia="Verdana" w:hAnsi="Verdana" w:cs="Verdana"/>
                <w:noProof/>
                <w:color w:val="FFFFFF"/>
              </w:rPr>
            </w:pPr>
            <w:r>
              <w:rPr>
                <w:rFonts w:ascii="Verdana" w:hAnsi="Verdana"/>
                <w:noProof/>
                <w:color w:val="FFFFFF"/>
              </w:rPr>
              <w:t>SEK</w:t>
            </w:r>
          </w:p>
        </w:tc>
      </w:tr>
      <w:tr w:rsidR="0043277E">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rPr>
                <w:rFonts w:ascii="Verdana" w:eastAsia="Verdana" w:hAnsi="Verdana" w:cs="Verdana"/>
                <w:i/>
                <w:noProof/>
                <w:color w:val="000000"/>
                <w:sz w:val="18"/>
              </w:rPr>
            </w:pPr>
            <w:r>
              <w:rPr>
                <w:rFonts w:ascii="Verdana" w:hAnsi="Verdana"/>
                <w:i/>
                <w:noProof/>
                <w:color w:val="000000"/>
                <w:sz w:val="18"/>
              </w:rPr>
              <w:t>2019</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(17)</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(6)</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w:t>
            </w:r>
          </w:p>
        </w:tc>
      </w:tr>
      <w:tr w:rsidR="0043277E">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rPr>
                <w:rFonts w:ascii="Verdana" w:eastAsia="Verdana" w:hAnsi="Verdana" w:cs="Verdana"/>
                <w:i/>
                <w:noProof/>
                <w:color w:val="000000"/>
                <w:sz w:val="18"/>
              </w:rPr>
            </w:pPr>
            <w:r>
              <w:rPr>
                <w:rFonts w:ascii="Verdana" w:hAnsi="Verdana"/>
                <w:i/>
                <w:noProof/>
                <w:color w:val="000000"/>
                <w:sz w:val="18"/>
              </w:rPr>
              <w:t>2018</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(13)</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(5)</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w:t>
            </w:r>
          </w:p>
        </w:tc>
      </w:tr>
    </w:tbl>
    <w:p w:rsidR="0043277E" w:rsidRDefault="0043277E">
      <w:pPr>
        <w:pStyle w:val="Textstand-alone"/>
      </w:pPr>
    </w:p>
    <w:p w:rsidR="0043277E" w:rsidRDefault="000F2348">
      <w:pPr>
        <w:pStyle w:val="Textstand-alone"/>
      </w:pPr>
      <w:r>
        <w:t>Osłabienie się euro wobec tych samych walut o 10 % miałoby następujące skutki: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rsidR="0043277E">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W"/>
              <w:rPr>
                <w:rFonts w:ascii="Arial" w:eastAsia="Arial" w:hAnsi="Arial" w:cs="Arial"/>
                <w:noProof/>
                <w:color w:val="000000"/>
              </w:rPr>
            </w:pPr>
            <w:bookmarkStart w:id="152" w:name="DOC_TBL00087_1_1"/>
            <w:bookmarkEnd w:id="152"/>
          </w:p>
        </w:tc>
        <w:tc>
          <w:tcPr>
            <w:tcW w:w="129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5BIPSDW"/>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SDW"/>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W"/>
              <w:jc w:val="center"/>
              <w:rPr>
                <w:rFonts w:ascii="Verdana" w:eastAsia="Verdana" w:hAnsi="Verdana" w:cs="Verdana"/>
                <w:noProof/>
                <w:color w:val="FFFFFF"/>
              </w:rPr>
            </w:pPr>
            <w:r>
              <w:rPr>
                <w:rFonts w:ascii="Verdana" w:hAnsi="Verdana"/>
                <w:noProof/>
                <w:color w:val="FFFFFF"/>
              </w:rPr>
              <w:t>Wynik ekonomiczny</w:t>
            </w:r>
          </w:p>
        </w:tc>
      </w:tr>
      <w:tr w:rsidR="0043277E">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SDW"/>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W"/>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W"/>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W"/>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SDW"/>
              <w:jc w:val="right"/>
              <w:rPr>
                <w:rFonts w:ascii="Verdana" w:eastAsia="Verdana" w:hAnsi="Verdana" w:cs="Verdana"/>
                <w:noProof/>
                <w:color w:val="FFFFFF"/>
              </w:rPr>
            </w:pPr>
            <w:r>
              <w:rPr>
                <w:rFonts w:ascii="Verdana" w:hAnsi="Verdana"/>
                <w:noProof/>
                <w:color w:val="FFFFFF"/>
              </w:rPr>
              <w:t>SEK</w:t>
            </w:r>
          </w:p>
        </w:tc>
      </w:tr>
      <w:tr w:rsidR="0043277E">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rPr>
                <w:rFonts w:ascii="Verdana" w:eastAsia="Verdana" w:hAnsi="Verdana" w:cs="Verdana"/>
                <w:i/>
                <w:noProof/>
                <w:color w:val="000000"/>
                <w:sz w:val="18"/>
              </w:rPr>
            </w:pPr>
            <w:r>
              <w:rPr>
                <w:rFonts w:ascii="Verdana" w:hAnsi="Verdana"/>
                <w:i/>
                <w:noProof/>
                <w:color w:val="000000"/>
                <w:sz w:val="18"/>
              </w:rPr>
              <w:t>2019</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17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127</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42</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58</w:t>
            </w:r>
          </w:p>
        </w:tc>
      </w:tr>
      <w:tr w:rsidR="0043277E">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rPr>
                <w:rFonts w:ascii="Verdana" w:eastAsia="Verdana" w:hAnsi="Verdana" w:cs="Verdana"/>
                <w:i/>
                <w:noProof/>
                <w:color w:val="000000"/>
                <w:sz w:val="18"/>
              </w:rPr>
            </w:pPr>
            <w:r>
              <w:rPr>
                <w:rFonts w:ascii="Verdana" w:hAnsi="Verdana"/>
                <w:i/>
                <w:noProof/>
                <w:color w:val="000000"/>
                <w:sz w:val="18"/>
              </w:rPr>
              <w:t>2018</w:t>
            </w:r>
          </w:p>
        </w:tc>
        <w:tc>
          <w:tcPr>
            <w:tcW w:w="12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9</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625</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43</w:t>
            </w:r>
          </w:p>
        </w:tc>
        <w:tc>
          <w:tcPr>
            <w:tcW w:w="12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SDW"/>
              <w:jc w:val="right"/>
              <w:rPr>
                <w:rFonts w:ascii="Verdana" w:eastAsia="Verdana" w:hAnsi="Verdana" w:cs="Verdana"/>
                <w:i/>
                <w:noProof/>
                <w:color w:val="000000"/>
                <w:sz w:val="18"/>
              </w:rPr>
            </w:pPr>
            <w:r>
              <w:rPr>
                <w:rFonts w:ascii="Verdana" w:hAnsi="Verdana"/>
                <w:i/>
                <w:noProof/>
                <w:color w:val="000000"/>
                <w:sz w:val="18"/>
              </w:rPr>
              <w:t xml:space="preserve"> 57</w:t>
            </w:r>
          </w:p>
        </w:tc>
      </w:tr>
    </w:tbl>
    <w:p w:rsidR="0043277E" w:rsidRDefault="0043277E">
      <w:pPr>
        <w:pStyle w:val="HEADER5"/>
        <w:spacing w:before="24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rsidR="0043277E">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W"/>
              <w:rPr>
                <w:rFonts w:ascii="Arial" w:eastAsia="Arial" w:hAnsi="Arial" w:cs="Arial"/>
                <w:noProof/>
                <w:color w:val="000000"/>
              </w:rPr>
            </w:pPr>
            <w:bookmarkStart w:id="153" w:name="DOC_TBL00088_1_1"/>
            <w:bookmarkEnd w:id="153"/>
          </w:p>
        </w:tc>
        <w:tc>
          <w:tcPr>
            <w:tcW w:w="139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W"/>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W"/>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5BIPNAW"/>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5BIPNAW"/>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NAW"/>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W"/>
              <w:jc w:val="center"/>
              <w:rPr>
                <w:rFonts w:ascii="Verdana" w:eastAsia="Verdana" w:hAnsi="Verdana" w:cs="Verdana"/>
                <w:noProof/>
                <w:color w:val="FFFFFF"/>
              </w:rPr>
            </w:pPr>
            <w:r>
              <w:rPr>
                <w:rFonts w:ascii="Verdana" w:hAnsi="Verdana"/>
                <w:noProof/>
                <w:color w:val="FFFFFF"/>
              </w:rPr>
              <w:t>Aktywa netto</w:t>
            </w:r>
          </w:p>
        </w:tc>
      </w:tr>
      <w:tr w:rsidR="0043277E">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5BIPNAW"/>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W"/>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W"/>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W"/>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5BIPNAW"/>
              <w:jc w:val="right"/>
              <w:rPr>
                <w:rFonts w:ascii="Verdana" w:eastAsia="Verdana" w:hAnsi="Verdana" w:cs="Verdana"/>
                <w:noProof/>
                <w:color w:val="FFFFFF"/>
              </w:rPr>
            </w:pPr>
            <w:r>
              <w:rPr>
                <w:rFonts w:ascii="Verdana" w:hAnsi="Verdana"/>
                <w:noProof/>
                <w:color w:val="FFFFFF"/>
              </w:rPr>
              <w:t>SEK</w:t>
            </w:r>
          </w:p>
        </w:tc>
      </w:tr>
      <w:tr w:rsidR="0043277E">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rPr>
                <w:rFonts w:ascii="Verdana" w:eastAsia="Verdana" w:hAnsi="Verdana" w:cs="Verdana"/>
                <w:i/>
                <w:noProof/>
                <w:color w:val="000000"/>
                <w:sz w:val="18"/>
              </w:rPr>
            </w:pPr>
            <w:r>
              <w:rPr>
                <w:rFonts w:ascii="Verdana" w:hAnsi="Verdana"/>
                <w:i/>
                <w:noProof/>
                <w:color w:val="000000"/>
                <w:sz w:val="18"/>
              </w:rPr>
              <w:t>2019</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20</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7</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w:t>
            </w:r>
          </w:p>
        </w:tc>
      </w:tr>
      <w:tr w:rsidR="0043277E">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rPr>
                <w:rFonts w:ascii="Verdana" w:eastAsia="Verdana" w:hAnsi="Verdana" w:cs="Verdana"/>
                <w:i/>
                <w:noProof/>
                <w:color w:val="000000"/>
                <w:sz w:val="18"/>
              </w:rPr>
            </w:pPr>
            <w:r>
              <w:rPr>
                <w:rFonts w:ascii="Verdana" w:hAnsi="Verdana"/>
                <w:i/>
                <w:noProof/>
                <w:color w:val="000000"/>
                <w:sz w:val="18"/>
              </w:rPr>
              <w:t>2018</w:t>
            </w:r>
          </w:p>
        </w:tc>
        <w:tc>
          <w:tcPr>
            <w:tcW w:w="1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16</w:t>
            </w:r>
          </w:p>
        </w:tc>
        <w:tc>
          <w:tcPr>
            <w:tcW w:w="135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6</w:t>
            </w:r>
          </w:p>
        </w:tc>
        <w:tc>
          <w:tcPr>
            <w:tcW w:w="12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w:t>
            </w:r>
          </w:p>
        </w:tc>
      </w:tr>
    </w:tbl>
    <w:p w:rsidR="0043277E" w:rsidRDefault="0043277E">
      <w:pPr>
        <w:pStyle w:val="HEADER5"/>
        <w:spacing w:before="240"/>
        <w:rPr>
          <w:noProof/>
        </w:rPr>
      </w:pPr>
    </w:p>
    <w:p w:rsidR="0043277E" w:rsidRDefault="000F2348">
      <w:pPr>
        <w:pStyle w:val="HEADER5"/>
        <w:spacing w:before="240"/>
        <w:rPr>
          <w:b/>
          <w:noProof/>
        </w:rPr>
      </w:pPr>
      <w:r>
        <w:rPr>
          <w:noProof/>
        </w:rPr>
        <w:t>Operacje zaciągania i udzielania pożyczek na pomoc finansową</w:t>
      </w:r>
    </w:p>
    <w:p w:rsidR="0043277E" w:rsidRDefault="000F2348">
      <w:pPr>
        <w:pStyle w:val="Textstand-alone"/>
      </w:pPr>
      <w:r>
        <w:t xml:space="preserve">Ponieważ większość aktywów i zobowiązań finansowych </w:t>
      </w:r>
      <w:r>
        <w:t>jest obecnie zdenominowana wyłącznie w euro, UE nie jest narażona na ryzyko walutowe.</w:t>
      </w:r>
    </w:p>
    <w:p w:rsidR="0043277E" w:rsidRDefault="000F2348">
      <w:pPr>
        <w:pStyle w:val="HEADER5"/>
        <w:rPr>
          <w:b/>
          <w:noProof/>
        </w:rPr>
      </w:pPr>
      <w:r>
        <w:rPr>
          <w:noProof/>
        </w:rPr>
        <w:t>Zasoby finansowe</w:t>
      </w:r>
    </w:p>
    <w:p w:rsidR="0043277E" w:rsidRDefault="000F2348">
      <w:pPr>
        <w:pStyle w:val="Textstand-alone"/>
      </w:pPr>
      <w:r>
        <w:t xml:space="preserve">Środki na poczet zasobów własnych wpłacane przez państwa członkowskie w walutach innych niż euro są przechowywane na rachunkach przeznaczonych na </w:t>
      </w:r>
      <w:r>
        <w:t xml:space="preserve">potrzeby zasobów własnych zgodnie z rozporządzeniem Rady nr 609/2014 (zmienionym rozporządzeniem Rady 2016/804). Są one przeliczane na euro, w przypadku gdy są potrzebne do wykonania płatności. Procedury stosowane do zarządzania tymi środkami są określone </w:t>
      </w:r>
      <w:r>
        <w:t>w wyżej wymienionym rozporządzeniu. W ograniczonej liczbie przypadków środki te są bezpośrednio wykorzystywane do wykonania płatności w danych walutach.</w:t>
      </w:r>
    </w:p>
    <w:p w:rsidR="0043277E" w:rsidRDefault="000F2348">
      <w:pPr>
        <w:pStyle w:val="Textstand-alone"/>
      </w:pPr>
      <w:r>
        <w:t>Komisja posiada w bankach komercyjnych rachunki prowadzone w walutach państw UE innych niż euro, a takż</w:t>
      </w:r>
      <w:r>
        <w:t>e w USD i CHF w celu wykonywania płatności w tych walutach. Środki na tych rachunkach są uzupełniane w zależności od kwoty płatności, jakie mają zostać wykonane, w wyniku czego salda tych rachunków nie są narażone na ryzyko walutowe.</w:t>
      </w:r>
    </w:p>
    <w:p w:rsidR="0043277E" w:rsidRDefault="000F2348">
      <w:pPr>
        <w:pStyle w:val="Textstand-alone"/>
      </w:pPr>
      <w:r>
        <w:t>Wpływy różne (wpływy i</w:t>
      </w:r>
      <w:r>
        <w:t>nne niż wpływy na poczet zasobów własnych) otrzymywane w walutach innych niż euro są przelewane na rachunki Komisji prowadzone w tej samej walucie, jeżeli są one niezbędne do wykonania płatności, albo przeliczane na euro i przekazywane na rachunki prowadzo</w:t>
      </w:r>
      <w:r>
        <w:t>ne w euro. Środki na rachunkach zaliczkowych prowadzonych w walutach innych niż euro są uzupełniane w zależności od szacowanej kwoty lokalnych płatności krótkoterminowych, które mają być wykonane w tej samej walucie. Salda na tych rachunkach nie mogą przek</w:t>
      </w:r>
      <w:r>
        <w:t>raczać odnośnych pułapów.</w:t>
      </w:r>
    </w:p>
    <w:p w:rsidR="0043277E" w:rsidRDefault="000F2348">
      <w:pPr>
        <w:rPr>
          <w:rFonts w:ascii="Verdana" w:hAnsi="Verdana"/>
          <w:noProof/>
          <w:color w:val="016794"/>
          <w:sz w:val="18"/>
          <w:szCs w:val="18"/>
        </w:rPr>
      </w:pPr>
      <w:r>
        <w:rPr>
          <w:noProof/>
        </w:rPr>
        <w:lastRenderedPageBreak/>
        <w:br w:type="page"/>
      </w:r>
    </w:p>
    <w:p w:rsidR="0043277E" w:rsidRDefault="000F2348">
      <w:pPr>
        <w:pStyle w:val="HEADER5"/>
        <w:rPr>
          <w:b/>
          <w:noProof/>
        </w:rPr>
      </w:pPr>
      <w:r>
        <w:rPr>
          <w:noProof/>
        </w:rPr>
        <w:lastRenderedPageBreak/>
        <w:t>Grzywny</w:t>
      </w:r>
    </w:p>
    <w:p w:rsidR="0043277E" w:rsidRDefault="000F2348">
      <w:pPr>
        <w:pStyle w:val="Textstand-alone"/>
      </w:pPr>
      <w:r>
        <w:t>Wszystkie grzywny nakłada się, uiszcza lub tymczasowo ujmuje w euro, a zatem nie stwarzają one jakiegokolwiek ryzyka walutowego.</w:t>
      </w:r>
    </w:p>
    <w:p w:rsidR="0043277E" w:rsidRDefault="000F2348">
      <w:pPr>
        <w:pStyle w:val="HEADER5"/>
        <w:rPr>
          <w:b/>
          <w:noProof/>
        </w:rPr>
      </w:pPr>
      <w:r>
        <w:rPr>
          <w:noProof/>
        </w:rPr>
        <w:t>Fundusz Gwarancyjny dla działań zewnętrznych</w:t>
      </w:r>
    </w:p>
    <w:p w:rsidR="0043277E" w:rsidRDefault="000F2348">
      <w:pPr>
        <w:pStyle w:val="Textstand-alone"/>
      </w:pPr>
      <w:r>
        <w:t>Aktywa finansowe funduszu są denominowane w eu</w:t>
      </w:r>
      <w:r>
        <w:t xml:space="preserve">ro, ryzyko walutowe zatem nie występuje. Pożyczki będące przedmiotem subrogacji UE w wyniku uruchomienia funduszu w związku z zaleganiem z płatnością przez pożyczkobiorcę realizowane są w oryginalnej walucie i tym samym narażają UE na ryzyko walutowe. Nie </w:t>
      </w:r>
      <w:r>
        <w:t>prowadzi się działalności służącej zrównoważeniu wahań kursu obcej waluty (działalności zabezpieczającej) ze względu na niepewność co do terminu spłaty pożyczki.</w:t>
      </w:r>
    </w:p>
    <w:p w:rsidR="0043277E" w:rsidRDefault="000F2348">
      <w:pPr>
        <w:pStyle w:val="HEADER5"/>
        <w:rPr>
          <w:b/>
          <w:noProof/>
        </w:rPr>
      </w:pPr>
      <w:r>
        <w:rPr>
          <w:noProof/>
        </w:rPr>
        <w:t>Fundusz Gwarancyjny EFIS</w:t>
      </w:r>
    </w:p>
    <w:p w:rsidR="0043277E" w:rsidRDefault="000F2348">
      <w:pPr>
        <w:pStyle w:val="Textstand-alone"/>
      </w:pPr>
      <w:r>
        <w:t>Fundusz Gwarancyjny EFIS działa obecnie w dwóch walutach – EUR i USD.</w:t>
      </w:r>
      <w:r>
        <w:t xml:space="preserve"> Ryzyko walutowe jest zarządzane poprzez zawieranie kontraktów na instrumenty pochodne (walutowe kontrakty typu forward), które zabezpieczają wartość rynkową portfela inwestycji w USD. Maksymalną niezabezpieczoną ekspozycję na ryzyko kursowe walutowe ustal</w:t>
      </w:r>
      <w:r>
        <w:t>ono na 1 % całkowitej wartości portfela w ramach wartości odniesienia i rocznych przydziałów strategicznych. W związku z tym zmiany dotyczące podwyższenia lub obniżenia wartości rynkowej inwestycji w USD powyżej lub poniżej 1 % spowodowałyby przywrócenie r</w:t>
      </w:r>
      <w:r>
        <w:t>ównowagi handlowej (nowy kontrakt terminowy typu forward o tym samym lub przeciwnym kierunku), odpowiednio dostosowując lub odwracając pozycję zabezpieczaną. Ponowne dostosowanie zabezpieczenia może być również spowodowane zmianami kursu wymiany EUR/USD.</w:t>
      </w:r>
    </w:p>
    <w:p w:rsidR="0043277E" w:rsidRDefault="000F2348">
      <w:pPr>
        <w:pStyle w:val="Textstand-alone"/>
      </w:pPr>
      <w:r>
        <w:t>P</w:t>
      </w:r>
      <w:r>
        <w:t>ożyczki będące przedmiotem subrogacji UE w wyniku uruchomienia funduszu w związku z zaleganiem z płatnością przez pożyczkobiorcę realizowane są w oryginalnej walucie i tym samym narażają UE na ryzyko walutowe. W przypadku pożyczek będących przedmiotem subr</w:t>
      </w:r>
      <w:r>
        <w:t>ogacji nie prowadzi się działalności służącej zrównoważeniu wahań kursu obcej waluty (działalności zabezpieczającej) ze względu na niepewność co do terminu spłaty pożyczki.</w:t>
      </w:r>
    </w:p>
    <w:p w:rsidR="0043277E" w:rsidRDefault="000F2348">
      <w:pPr>
        <w:pStyle w:val="HEADER5"/>
        <w:rPr>
          <w:b/>
          <w:noProof/>
        </w:rPr>
      </w:pPr>
      <w:r>
        <w:rPr>
          <w:noProof/>
        </w:rPr>
        <w:t>Fundusz gwarancyjny EFZR</w:t>
      </w:r>
    </w:p>
    <w:p w:rsidR="0043277E" w:rsidRDefault="000F2348">
      <w:pPr>
        <w:pStyle w:val="Textstand-alone"/>
      </w:pPr>
      <w:r>
        <w:t>Fundusz gwarancyjny EFZR obecnie obejmuje wyłącznie aktywa</w:t>
      </w:r>
      <w:r>
        <w:t xml:space="preserve"> wyrażone w EUR, ale w wytycznych dotyczących zarządzania aktywami dla funduszu gwarancyjnego EFZR przewidziano możliwość inwestycji w określone aktywa denominowane w innych walutach niż EUR.</w:t>
      </w:r>
    </w:p>
    <w:p w:rsidR="0043277E" w:rsidRDefault="000F2348">
      <w:pPr>
        <w:pStyle w:val="HEADER2NOTES"/>
        <w:rPr>
          <w:noProof/>
        </w:rPr>
      </w:pPr>
      <w:r>
        <w:rPr>
          <w:noProof/>
        </w:rPr>
        <w:t>RYZYKO STOPY PROCENTOWEJ</w:t>
      </w:r>
    </w:p>
    <w:p w:rsidR="0043277E" w:rsidRDefault="000F2348">
      <w:pPr>
        <w:pStyle w:val="DGTextstand-alone"/>
      </w:pPr>
      <w:r>
        <w:t>Poniższa tabela ilustruje wrażliwość na</w:t>
      </w:r>
      <w:r>
        <w:t xml:space="preserve"> zmiany stopy procentowej aktywów finansowych dostępnych do sprzedaży przy założeniu, że możliwa jest zmiana poziomu stóp procentowych o +/- 100 punktów bazowych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9"/>
        <w:gridCol w:w="2905"/>
        <w:gridCol w:w="2764"/>
      </w:tblGrid>
      <w:tr w:rsidR="0043277E">
        <w:trPr>
          <w:trHeight w:val="255"/>
        </w:trPr>
        <w:tc>
          <w:tcPr>
            <w:tcW w:w="408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6BIPIRR"/>
              <w:rPr>
                <w:rFonts w:ascii="Arial" w:eastAsia="Arial" w:hAnsi="Arial" w:cs="Arial"/>
                <w:noProof/>
                <w:color w:val="000000"/>
              </w:rPr>
            </w:pPr>
            <w:bookmarkStart w:id="154" w:name="DOC_TBL00089_1_1"/>
            <w:bookmarkEnd w:id="154"/>
          </w:p>
        </w:tc>
        <w:tc>
          <w:tcPr>
            <w:tcW w:w="290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6BIPIRR"/>
              <w:rPr>
                <w:rFonts w:ascii="Arial" w:eastAsia="Arial" w:hAnsi="Arial" w:cs="Arial"/>
                <w:noProof/>
                <w:color w:val="000000"/>
              </w:rPr>
            </w:pPr>
          </w:p>
        </w:tc>
        <w:tc>
          <w:tcPr>
            <w:tcW w:w="2764"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6BIPIRR"/>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408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6BIPIRR"/>
              <w:jc w:val="right"/>
              <w:rPr>
                <w:rFonts w:ascii="Verdana" w:eastAsia="Verdana" w:hAnsi="Verdana" w:cs="Verdana"/>
                <w:noProof/>
                <w:color w:val="FFFFFF"/>
              </w:rPr>
            </w:pPr>
          </w:p>
        </w:tc>
        <w:tc>
          <w:tcPr>
            <w:tcW w:w="290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6BIPIRR"/>
              <w:jc w:val="right"/>
              <w:rPr>
                <w:rFonts w:ascii="Verdana" w:eastAsia="Verdana" w:hAnsi="Verdana" w:cs="Verdana"/>
                <w:noProof/>
                <w:color w:val="FFFFFF"/>
              </w:rPr>
            </w:pPr>
            <w:r>
              <w:rPr>
                <w:rFonts w:ascii="Verdana" w:hAnsi="Verdana"/>
                <w:noProof/>
                <w:color w:val="FFFFFF"/>
              </w:rPr>
              <w:t>Wzrost (+) / spadek (–) w punktach bazowych</w:t>
            </w:r>
          </w:p>
        </w:tc>
        <w:tc>
          <w:tcPr>
            <w:tcW w:w="276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6BIPIRR"/>
              <w:jc w:val="right"/>
              <w:rPr>
                <w:rFonts w:ascii="Verdana" w:eastAsia="Verdana" w:hAnsi="Verdana" w:cs="Verdana"/>
                <w:noProof/>
                <w:color w:val="FFFFFF"/>
              </w:rPr>
            </w:pPr>
            <w:r>
              <w:rPr>
                <w:rFonts w:ascii="Verdana" w:hAnsi="Verdana"/>
                <w:noProof/>
                <w:color w:val="FFFFFF"/>
              </w:rPr>
              <w:t>Wpływ na aktywa netto</w:t>
            </w:r>
          </w:p>
        </w:tc>
      </w:tr>
      <w:tr w:rsidR="0043277E">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rPr>
                <w:rFonts w:ascii="Verdana" w:eastAsia="Verdana" w:hAnsi="Verdana" w:cs="Verdana"/>
                <w:i/>
                <w:noProof/>
                <w:color w:val="000000"/>
                <w:sz w:val="18"/>
              </w:rPr>
            </w:pPr>
            <w:r>
              <w:rPr>
                <w:rFonts w:ascii="Verdana" w:hAnsi="Verdana"/>
                <w:i/>
                <w:noProof/>
                <w:color w:val="000000"/>
                <w:sz w:val="18"/>
              </w:rPr>
              <w:t xml:space="preserve">2019: </w:t>
            </w:r>
            <w:r>
              <w:rPr>
                <w:rFonts w:ascii="Verdana" w:hAnsi="Verdana"/>
                <w:i/>
                <w:noProof/>
                <w:color w:val="000000"/>
                <w:sz w:val="18"/>
              </w:rPr>
              <w:t>Aktywa finansowe dostępne do sprzedaży</w:t>
            </w:r>
          </w:p>
        </w:tc>
        <w:tc>
          <w:tcPr>
            <w:tcW w:w="29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 xml:space="preserve"> (447)</w:t>
            </w:r>
          </w:p>
        </w:tc>
      </w:tr>
      <w:tr w:rsidR="0043277E">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6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 xml:space="preserve"> 483</w:t>
            </w:r>
          </w:p>
        </w:tc>
      </w:tr>
      <w:tr w:rsidR="0043277E">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rPr>
                <w:rFonts w:ascii="Verdana" w:eastAsia="Verdana" w:hAnsi="Verdana" w:cs="Verdana"/>
                <w:i/>
                <w:noProof/>
                <w:color w:val="000000"/>
                <w:sz w:val="18"/>
              </w:rPr>
            </w:pPr>
            <w:r>
              <w:rPr>
                <w:rFonts w:ascii="Verdana" w:hAnsi="Verdana"/>
                <w:i/>
                <w:noProof/>
                <w:color w:val="000000"/>
                <w:sz w:val="18"/>
              </w:rPr>
              <w:t>2018: Aktywa finansowe dostępne do sprzedaży</w:t>
            </w:r>
          </w:p>
        </w:tc>
        <w:tc>
          <w:tcPr>
            <w:tcW w:w="29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 xml:space="preserve"> (348)</w:t>
            </w:r>
          </w:p>
        </w:tc>
      </w:tr>
      <w:tr w:rsidR="0043277E">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6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6BIPIRR"/>
              <w:jc w:val="right"/>
              <w:rPr>
                <w:rFonts w:ascii="Verdana" w:eastAsia="Verdana" w:hAnsi="Verdana" w:cs="Verdana"/>
                <w:i/>
                <w:noProof/>
                <w:color w:val="000000"/>
                <w:sz w:val="18"/>
              </w:rPr>
            </w:pPr>
            <w:r>
              <w:rPr>
                <w:rFonts w:ascii="Verdana" w:hAnsi="Verdana"/>
                <w:i/>
                <w:noProof/>
                <w:color w:val="000000"/>
                <w:sz w:val="18"/>
              </w:rPr>
              <w:t xml:space="preserve"> 374</w:t>
            </w:r>
          </w:p>
        </w:tc>
      </w:tr>
    </w:tbl>
    <w:p w:rsidR="0043277E" w:rsidRDefault="000F2348">
      <w:pPr>
        <w:pStyle w:val="HEADER5"/>
        <w:spacing w:before="240"/>
        <w:rPr>
          <w:noProof/>
        </w:rPr>
      </w:pPr>
      <w:r>
        <w:rPr>
          <w:noProof/>
        </w:rPr>
        <w:t>Operacje zaciągania i udzielania pożyczek na pomoc finansową</w:t>
      </w:r>
    </w:p>
    <w:p w:rsidR="0043277E" w:rsidRDefault="000F2348">
      <w:pPr>
        <w:pStyle w:val="DGTextstand-alone"/>
      </w:pPr>
      <w:r>
        <w:t>Ze względu na charakter działalności UE w zakresie zaciągania</w:t>
      </w:r>
      <w:r>
        <w:t xml:space="preserve"> i udzielania pożyczek znaczna część jej aktywów i zobowiązań jest oprocentowana. Nie istnieje jednak żadne ryzyko stopy procentowej, gdyż zaciągnięte pożyczki są niwelowane przez odpowiadające im pożyczki udzielane na analogicznych warunkach (pożyczki wza</w:t>
      </w:r>
      <w:r>
        <w:t>jemne).</w:t>
      </w:r>
    </w:p>
    <w:p w:rsidR="0043277E" w:rsidRDefault="000F2348">
      <w:pPr>
        <w:pStyle w:val="HEADER5"/>
        <w:rPr>
          <w:noProof/>
        </w:rPr>
      </w:pPr>
      <w:r>
        <w:rPr>
          <w:noProof/>
        </w:rPr>
        <w:t>Zasoby finansowe</w:t>
      </w:r>
    </w:p>
    <w:p w:rsidR="0043277E" w:rsidRDefault="000F2348">
      <w:pPr>
        <w:pStyle w:val="DGTextstand-alone"/>
      </w:pPr>
      <w:r>
        <w:t xml:space="preserve">Komisja nie zaciąga pożyczek pieniężnych, w związku z czym nie jest narażona na ryzyko stopy procentowej. Od sald na poszczególnych rachunkach bankowych naliczane są jednak odsetki. Komisja </w:t>
      </w:r>
      <w:r>
        <w:lastRenderedPageBreak/>
        <w:t>wprowadziła w związku z tym środki zapewn</w:t>
      </w:r>
      <w:r>
        <w:t>iające, aby dochody z tytułu odsetek od środków zdeponowanych na jej rachunkach bankowych stale odzwierciedlały rynkowe stopy procentowe, a także ich ewentualne wahania.</w:t>
      </w:r>
    </w:p>
    <w:p w:rsidR="0043277E" w:rsidRDefault="000F2348">
      <w:pPr>
        <w:pStyle w:val="DGTextstand-alone"/>
      </w:pPr>
      <w:r>
        <w:t>Rachunki otwarte przez administracje finansowe państw członkowskich na potrzeby wpływó</w:t>
      </w:r>
      <w:r>
        <w:t>w na poczet zasobów własnych nie generują odsetek i są prowadzone nieodpłatnie. Rachunki prowadzone przez krajowe banki centralne (rachunki na potrzeby zasobów własnych i inne rachunki) mogą generować odsetki według oficjalnych stawek stosowanych przez każ</w:t>
      </w:r>
      <w:r>
        <w:t>dą z instytucji. Ze względu na to, że odsetki generowane na niektórych z tych rachunków obecnie mogą mieć wartość ujemną, stosowane są odpowiednie procedury zarządzania środkami pieniężnymi w celu zminimalizowania salda na tych rachunkach. Rachunki prowadz</w:t>
      </w:r>
      <w:r>
        <w:t>one na potrzeby zasobów własnych są chronione przed wszelkimi ujemnymi odsetkami zgodnie z rozporządzeniem Rady nr 609/2014 zmienionym rozporządzeniem Rady 2016/804.</w:t>
      </w:r>
    </w:p>
    <w:p w:rsidR="0043277E" w:rsidRDefault="000F2348">
      <w:pPr>
        <w:pStyle w:val="DGTextstand-alone"/>
      </w:pPr>
      <w:r>
        <w:t>Salda jednodniowych depozytów składanych na rachunkach w bankach komercyjnych generują cod</w:t>
      </w:r>
      <w:r>
        <w:t>ziennie dochody z tytułu odsetek. Opiera się to na zmiennym oprocentowaniu rynkowym, do którego stosuje się marżę umowną (dodatnią lub ujemną). Minimalny poziom stopy procentowej stosowanej przez banki komercyjne jest z reguły zerowy w przypadku bilansów o</w:t>
      </w:r>
      <w:r>
        <w:t>peracyjnych do określonego pułapu.</w:t>
      </w:r>
    </w:p>
    <w:p w:rsidR="0043277E" w:rsidRDefault="000F2348">
      <w:pPr>
        <w:pStyle w:val="DGTextstand-alone"/>
      </w:pPr>
      <w:r>
        <w:t>Wrażliwość danego portfela instrumentów rynku pieniężnego i obligacji na zmiany stóp procentowych wzrasta wraz z czasem trwania tego portfela. Komisja zarządza czasem trwania głównych portfeli aktywów w opisany poniżej sp</w:t>
      </w:r>
      <w:r>
        <w:t>osób.</w:t>
      </w:r>
    </w:p>
    <w:p w:rsidR="0043277E" w:rsidRDefault="000F2348">
      <w:pPr>
        <w:pStyle w:val="HEADER5"/>
        <w:rPr>
          <w:noProof/>
        </w:rPr>
      </w:pPr>
      <w:r>
        <w:rPr>
          <w:noProof/>
        </w:rPr>
        <w:t>Grzywny</w:t>
      </w:r>
    </w:p>
    <w:p w:rsidR="0043277E" w:rsidRDefault="000F2348">
      <w:pPr>
        <w:pStyle w:val="DGTextstand-alone"/>
      </w:pPr>
      <w:r>
        <w:t xml:space="preserve">Tymczasowo zainkasowane grzywny inwestuje się w portfel instrumentów rynku pieniężnego i obligacje długoterminowe o średnim czasie trwania portfela wynoszącym 2,57 roku. </w:t>
      </w:r>
    </w:p>
    <w:p w:rsidR="0043277E" w:rsidRDefault="000F2348">
      <w:pPr>
        <w:pStyle w:val="HEADER5"/>
        <w:rPr>
          <w:noProof/>
        </w:rPr>
      </w:pPr>
      <w:r>
        <w:rPr>
          <w:noProof/>
        </w:rPr>
        <w:t>Fundusz Gwarancyjny dla działań zewnętrznych</w:t>
      </w:r>
    </w:p>
    <w:p w:rsidR="0043277E" w:rsidRDefault="000F2348">
      <w:pPr>
        <w:pStyle w:val="DGTextstand-alone"/>
      </w:pPr>
      <w:r>
        <w:t xml:space="preserve">Środki z Funduszu Gwarancyjnego inwestuje się w portfel instrumentów rynku pieniężnego i obligacje długoterminowe, przy czym łączny średni czas trwania portfela wynosi 2,99 roku. </w:t>
      </w:r>
    </w:p>
    <w:p w:rsidR="0043277E" w:rsidRDefault="000F2348">
      <w:pPr>
        <w:pStyle w:val="HEADER5"/>
        <w:rPr>
          <w:noProof/>
        </w:rPr>
      </w:pPr>
      <w:r>
        <w:rPr>
          <w:noProof/>
        </w:rPr>
        <w:t>Fundusz Gwarancyjny EFIS</w:t>
      </w:r>
    </w:p>
    <w:p w:rsidR="0043277E" w:rsidRDefault="000F2348">
      <w:pPr>
        <w:pStyle w:val="DGTextstand-alone"/>
      </w:pPr>
      <w:r>
        <w:t xml:space="preserve">Środki z Funduszu Gwarancyjnego EFIS inwestuje się </w:t>
      </w:r>
      <w:r>
        <w:t>w portfel instrumentów rynku pieniężnego i obligacje długoterminowe, przy czym łączny średni czas trwania portfela wynosi 3,07 roku.</w:t>
      </w:r>
    </w:p>
    <w:p w:rsidR="0043277E" w:rsidRDefault="000F2348">
      <w:pPr>
        <w:pStyle w:val="HEADER5"/>
        <w:rPr>
          <w:noProof/>
        </w:rPr>
      </w:pPr>
      <w:r>
        <w:rPr>
          <w:noProof/>
        </w:rPr>
        <w:t>Fundusz gwarancyjny EFZR</w:t>
      </w:r>
    </w:p>
    <w:p w:rsidR="0043277E" w:rsidRDefault="000F2348">
      <w:pPr>
        <w:pStyle w:val="DGTextstand-alone"/>
      </w:pPr>
      <w:r>
        <w:t>Środki z funduszu gwarancyjnego EFZR inwestuje się w portfel instrumentów rynku pieniężnego i obli</w:t>
      </w:r>
      <w:r>
        <w:t>gacje długoterminowe, przy czym łączny średni czas trwania portfela wynosi 2,51 roku.</w:t>
      </w:r>
    </w:p>
    <w:p w:rsidR="0043277E" w:rsidRDefault="000F2348">
      <w:pPr>
        <w:pStyle w:val="HEADER2NOTES"/>
        <w:rPr>
          <w:noProof/>
        </w:rPr>
      </w:pPr>
      <w:r>
        <w:rPr>
          <w:noProof/>
        </w:rPr>
        <w:t>RYZYKO KREDYTOWE</w:t>
      </w:r>
    </w:p>
    <w:p w:rsidR="0043277E" w:rsidRDefault="000F2348">
      <w:pPr>
        <w:pStyle w:val="DGTextstand-alone"/>
      </w:pPr>
      <w:r>
        <w:t xml:space="preserve">Kwotami, które odzwierciedlają ekspozycję UE na ryzyko kredytowe na koniec okresu sprawozdawczego, są wartości bilansowe instrumentów finansowych ujęte w informacji dodatkowej </w:t>
      </w:r>
      <w:r>
        <w:rPr>
          <w:b/>
        </w:rPr>
        <w:t>2</w:t>
      </w:r>
      <w:r>
        <w:t>.</w:t>
      </w:r>
    </w:p>
    <w:p w:rsidR="0043277E" w:rsidRDefault="000F2348">
      <w:pPr>
        <w:pStyle w:val="HEADER5"/>
        <w:keepNext/>
        <w:rPr>
          <w:noProof/>
        </w:rPr>
      </w:pPr>
      <w:r>
        <w:rPr>
          <w:noProof/>
        </w:rPr>
        <w:lastRenderedPageBreak/>
        <w:t>Analiza wiekowa aktywów finansowych, które nie utraciły wartości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8"/>
        <w:gridCol w:w="1376"/>
        <w:gridCol w:w="1376"/>
        <w:gridCol w:w="1376"/>
        <w:gridCol w:w="1376"/>
        <w:gridCol w:w="1376"/>
      </w:tblGrid>
      <w:tr w:rsidR="0043277E">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CDTR"/>
              <w:keepNext/>
              <w:rPr>
                <w:rFonts w:ascii="Arial" w:eastAsia="Arial" w:hAnsi="Arial" w:cs="Arial"/>
                <w:noProof/>
                <w:color w:val="000000"/>
              </w:rPr>
            </w:pPr>
            <w:bookmarkStart w:id="155" w:name="DOC_TBL00090_1_1"/>
            <w:bookmarkEnd w:id="155"/>
          </w:p>
        </w:tc>
        <w:tc>
          <w:tcPr>
            <w:tcW w:w="137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CDTR"/>
              <w:keepNext/>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CDTR"/>
              <w:keepNext/>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CDTR"/>
              <w:keepNext/>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CDTR"/>
              <w:keepNext/>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7BIPCDTR"/>
              <w:keepNext/>
              <w:jc w:val="right"/>
              <w:rPr>
                <w:rFonts w:ascii="Verdana" w:eastAsia="Verdana" w:hAnsi="Verdana" w:cs="Verdana"/>
                <w:i/>
                <w:noProof/>
                <w:color w:val="000000"/>
                <w:sz w:val="16"/>
              </w:rPr>
            </w:pPr>
            <w:r>
              <w:rPr>
                <w:rFonts w:ascii="Verdana" w:hAnsi="Verdana"/>
                <w:i/>
                <w:noProof/>
                <w:color w:val="000000"/>
                <w:sz w:val="16"/>
              </w:rPr>
              <w:t>w mln E</w:t>
            </w:r>
            <w:r>
              <w:rPr>
                <w:rFonts w:ascii="Verdana" w:hAnsi="Verdana"/>
                <w:i/>
                <w:noProof/>
                <w:color w:val="000000"/>
                <w:sz w:val="16"/>
              </w:rPr>
              <w:t>UR</w:t>
            </w:r>
          </w:p>
        </w:tc>
      </w:tr>
      <w:tr w:rsidR="0043277E">
        <w:trPr>
          <w:cantSplit/>
          <w:trHeight w:val="255"/>
        </w:trPr>
        <w:tc>
          <w:tcPr>
            <w:tcW w:w="2878"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7BIPCDTR"/>
              <w:keepNext/>
              <w:jc w:val="center"/>
              <w:rPr>
                <w:rFonts w:ascii="Verdana" w:eastAsia="Verdana" w:hAnsi="Verdana" w:cs="Verdana"/>
                <w:noProof/>
                <w:color w:val="FFFFFF"/>
              </w:rPr>
            </w:pPr>
          </w:p>
        </w:tc>
        <w:tc>
          <w:tcPr>
            <w:tcW w:w="1376" w:type="dxa"/>
            <w:vMerge w:val="restart"/>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CDTR"/>
              <w:keepNext/>
              <w:jc w:val="right"/>
              <w:rPr>
                <w:rFonts w:ascii="Verdana" w:eastAsia="Verdana" w:hAnsi="Verdana" w:cs="Verdana"/>
                <w:noProof/>
                <w:color w:val="FFFFFF"/>
              </w:rPr>
            </w:pPr>
            <w:r>
              <w:rPr>
                <w:rFonts w:ascii="Verdana" w:hAnsi="Verdana"/>
                <w:noProof/>
                <w:color w:val="FFFFFF"/>
              </w:rPr>
              <w:t>Ogółem</w:t>
            </w:r>
          </w:p>
        </w:tc>
        <w:tc>
          <w:tcPr>
            <w:tcW w:w="1376" w:type="dxa"/>
            <w:vMerge w:val="restart"/>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CDTR"/>
              <w:keepNext/>
              <w:jc w:val="right"/>
              <w:rPr>
                <w:rFonts w:ascii="Verdana" w:eastAsia="Verdana" w:hAnsi="Verdana" w:cs="Verdana"/>
                <w:noProof/>
                <w:color w:val="FFFFFF"/>
              </w:rPr>
            </w:pPr>
            <w:r>
              <w:rPr>
                <w:rFonts w:ascii="Verdana" w:hAnsi="Verdana"/>
                <w:noProof/>
                <w:color w:val="FFFFFF"/>
              </w:rPr>
              <w:t>Inne niż przeterminowane i objęte utratą wartości</w:t>
            </w:r>
          </w:p>
        </w:tc>
        <w:tc>
          <w:tcPr>
            <w:tcW w:w="1376"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7BIPCDTR"/>
              <w:keepNext/>
              <w:jc w:val="center"/>
              <w:rPr>
                <w:rFonts w:ascii="Verdana" w:eastAsia="Verdana" w:hAnsi="Verdana" w:cs="Verdana"/>
                <w:noProof/>
                <w:color w:val="FFFFFF"/>
              </w:rPr>
            </w:pPr>
            <w:r>
              <w:rPr>
                <w:rFonts w:ascii="Verdana" w:hAnsi="Verdana"/>
                <w:noProof/>
                <w:color w:val="FFFFFF"/>
              </w:rPr>
              <w:t>Przeterminowane, ale bez utraty wartości</w:t>
            </w:r>
          </w:p>
        </w:tc>
      </w:tr>
      <w:tr w:rsidR="0043277E">
        <w:trPr>
          <w:cantSplit/>
          <w:trHeight w:val="834"/>
        </w:trPr>
        <w:tc>
          <w:tcPr>
            <w:tcW w:w="4545"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7BIPCDTR"/>
              <w:keepNext/>
              <w:jc w:val="center"/>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rsidR="0043277E" w:rsidRDefault="0043277E">
            <w:pPr>
              <w:pStyle w:val="DMETW17227BIPCDTR"/>
              <w:keepNext/>
              <w:jc w:val="right"/>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rsidR="0043277E" w:rsidRDefault="0043277E">
            <w:pPr>
              <w:pStyle w:val="DMETW17227BIPCDTR"/>
              <w:keepNext/>
              <w:jc w:val="right"/>
              <w:rPr>
                <w:rFonts w:ascii="Verdana" w:eastAsia="Verdana" w:hAnsi="Verdana" w:cs="Verdana"/>
                <w:noProof/>
                <w:color w:val="FFFFFF"/>
              </w:rPr>
            </w:pP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27BIPCDTR"/>
              <w:keepNext/>
              <w:jc w:val="right"/>
              <w:rPr>
                <w:rFonts w:ascii="Verdana" w:eastAsia="Verdana" w:hAnsi="Verdana" w:cs="Verdana"/>
                <w:noProof/>
                <w:color w:val="FFFFFF"/>
              </w:rPr>
            </w:pPr>
            <w:r>
              <w:rPr>
                <w:rFonts w:ascii="Verdana" w:hAnsi="Verdana"/>
                <w:noProof/>
                <w:color w:val="FFFFFF"/>
              </w:rPr>
              <w:t>&lt; 1 rok</w:t>
            </w: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27BIPCDTR"/>
              <w:keepNext/>
              <w:jc w:val="right"/>
              <w:rPr>
                <w:rFonts w:ascii="Verdana" w:eastAsia="Verdana" w:hAnsi="Verdana" w:cs="Verdana"/>
                <w:noProof/>
                <w:color w:val="FFFFFF"/>
              </w:rPr>
            </w:pPr>
            <w:r>
              <w:rPr>
                <w:rFonts w:ascii="Verdana" w:hAnsi="Verdana"/>
                <w:noProof/>
                <w:color w:val="FFFFFF"/>
              </w:rPr>
              <w:t>1–5 lat</w:t>
            </w:r>
          </w:p>
        </w:tc>
        <w:tc>
          <w:tcPr>
            <w:tcW w:w="137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27BIPCDTR"/>
              <w:keepNext/>
              <w:jc w:val="right"/>
              <w:rPr>
                <w:rFonts w:ascii="Verdana" w:eastAsia="Verdana" w:hAnsi="Verdana" w:cs="Verdana"/>
                <w:noProof/>
                <w:color w:val="FFFFFF"/>
              </w:rPr>
            </w:pPr>
            <w:r>
              <w:rPr>
                <w:rFonts w:ascii="Verdana" w:hAnsi="Verdana"/>
                <w:noProof/>
                <w:color w:val="FFFFFF"/>
              </w:rPr>
              <w:t>&gt; 5 lat</w:t>
            </w:r>
          </w:p>
        </w:tc>
      </w:tr>
      <w:tr w:rsidR="0043277E">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rPr>
                <w:rFonts w:ascii="Verdana" w:eastAsia="Verdana" w:hAnsi="Verdana" w:cs="Verdana"/>
                <w:i/>
                <w:noProof/>
                <w:color w:val="000000"/>
                <w:sz w:val="18"/>
              </w:rPr>
            </w:pPr>
            <w:r>
              <w:rPr>
                <w:rFonts w:ascii="Verdana" w:hAnsi="Verdana"/>
                <w:i/>
                <w:noProof/>
                <w:color w:val="000000"/>
                <w:sz w:val="18"/>
              </w:rPr>
              <w:t>Pożyczki</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52 684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52 683</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 xml:space="preserve"> 1</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w:t>
            </w:r>
          </w:p>
        </w:tc>
      </w:tr>
      <w:tr w:rsidR="0043277E">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rPr>
                <w:rFonts w:ascii="Verdana" w:eastAsia="Verdana" w:hAnsi="Verdana" w:cs="Verdana"/>
                <w:i/>
                <w:noProof/>
                <w:color w:val="000000"/>
                <w:sz w:val="18"/>
              </w:rPr>
            </w:pPr>
            <w:r>
              <w:rPr>
                <w:rFonts w:ascii="Verdana" w:hAnsi="Verdana"/>
                <w:i/>
                <w:noProof/>
                <w:color w:val="000000"/>
                <w:sz w:val="18"/>
              </w:rPr>
              <w:t>Należności</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23 974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9 410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2 726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11 543</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 xml:space="preserve"> 295</w:t>
            </w:r>
          </w:p>
        </w:tc>
      </w:tr>
      <w:tr w:rsidR="0043277E">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rPr>
                <w:rFonts w:ascii="Verdana" w:eastAsia="Verdana" w:hAnsi="Verdana" w:cs="Verdana"/>
                <w:i/>
                <w:noProof/>
                <w:color w:val="000000"/>
                <w:sz w:val="18"/>
              </w:rPr>
            </w:pPr>
            <w:r>
              <w:rPr>
                <w:rFonts w:ascii="Verdana" w:hAnsi="Verdana"/>
                <w:i/>
                <w:noProof/>
                <w:color w:val="000000"/>
                <w:sz w:val="18"/>
              </w:rPr>
              <w:t xml:space="preserve">Aktywa finansowe wyceniane według wartości </w:t>
            </w:r>
            <w:r>
              <w:rPr>
                <w:rFonts w:ascii="Verdana" w:hAnsi="Verdana"/>
                <w:i/>
                <w:noProof/>
                <w:color w:val="000000"/>
                <w:sz w:val="18"/>
              </w:rPr>
              <w:t>godziwej przez nadwyżkę lub deficyt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 xml:space="preserve"> 137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 xml:space="preserve"> 137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i/>
                <w:noProof/>
                <w:color w:val="000000"/>
                <w:sz w:val="18"/>
              </w:rPr>
            </w:pPr>
            <w:r>
              <w:rPr>
                <w:rFonts w:ascii="Verdana" w:hAnsi="Verdana"/>
                <w:i/>
                <w:noProof/>
                <w:color w:val="000000"/>
                <w:sz w:val="18"/>
              </w:rPr>
              <w:t>–</w:t>
            </w:r>
          </w:p>
        </w:tc>
      </w:tr>
      <w:tr w:rsidR="0043277E">
        <w:trPr>
          <w:cantSplit/>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keepNext/>
              <w:rPr>
                <w:rFonts w:ascii="Verdana" w:eastAsia="Verdana" w:hAnsi="Verdana" w:cs="Verdana"/>
                <w:b/>
                <w:noProof/>
                <w:color w:val="000000"/>
                <w:sz w:val="18"/>
              </w:rPr>
            </w:pPr>
            <w:r>
              <w:rPr>
                <w:rFonts w:ascii="Verdana" w:hAnsi="Verdana"/>
                <w:b/>
                <w:noProof/>
                <w:color w:val="000000"/>
                <w:sz w:val="18"/>
              </w:rPr>
              <w:t>Ogółem na 31.12.2019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b/>
                <w:noProof/>
                <w:color w:val="000000"/>
                <w:sz w:val="18"/>
              </w:rPr>
            </w:pPr>
            <w:r>
              <w:rPr>
                <w:rFonts w:ascii="Verdana" w:hAnsi="Verdana"/>
                <w:b/>
                <w:noProof/>
                <w:color w:val="000000"/>
                <w:sz w:val="18"/>
              </w:rPr>
              <w:t>76 795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b/>
                <w:noProof/>
                <w:color w:val="000000"/>
                <w:sz w:val="18"/>
              </w:rPr>
            </w:pPr>
            <w:r>
              <w:rPr>
                <w:rFonts w:ascii="Verdana" w:hAnsi="Verdana"/>
                <w:b/>
                <w:noProof/>
                <w:color w:val="000000"/>
                <w:sz w:val="18"/>
              </w:rPr>
              <w:t>62 231</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b/>
                <w:noProof/>
                <w:color w:val="000000"/>
                <w:sz w:val="18"/>
              </w:rPr>
            </w:pPr>
            <w:r>
              <w:rPr>
                <w:rFonts w:ascii="Verdana" w:hAnsi="Verdana"/>
                <w:b/>
                <w:noProof/>
                <w:color w:val="000000"/>
                <w:sz w:val="18"/>
              </w:rPr>
              <w:t>2 727</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b/>
                <w:noProof/>
                <w:color w:val="000000"/>
                <w:sz w:val="18"/>
              </w:rPr>
            </w:pPr>
            <w:r>
              <w:rPr>
                <w:rFonts w:ascii="Verdana" w:hAnsi="Verdana"/>
                <w:b/>
                <w:noProof/>
                <w:color w:val="000000"/>
                <w:sz w:val="18"/>
              </w:rPr>
              <w:t>11 543</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keepNext/>
              <w:jc w:val="right"/>
              <w:rPr>
                <w:rFonts w:ascii="Verdana" w:eastAsia="Verdana" w:hAnsi="Verdana" w:cs="Verdana"/>
                <w:b/>
                <w:noProof/>
                <w:color w:val="000000"/>
                <w:sz w:val="18"/>
              </w:rPr>
            </w:pPr>
            <w:r>
              <w:rPr>
                <w:rFonts w:ascii="Verdana" w:hAnsi="Verdana"/>
                <w:b/>
                <w:noProof/>
                <w:color w:val="000000"/>
                <w:sz w:val="18"/>
              </w:rPr>
              <w:t xml:space="preserve"> 295</w:t>
            </w:r>
          </w:p>
        </w:tc>
      </w:tr>
      <w:tr w:rsidR="0043277E">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rPr>
                <w:rFonts w:ascii="Verdana" w:eastAsia="Verdana" w:hAnsi="Verdana" w:cs="Verdana"/>
                <w:i/>
                <w:noProof/>
                <w:color w:val="000000"/>
                <w:sz w:val="18"/>
              </w:rPr>
            </w:pPr>
            <w:r>
              <w:rPr>
                <w:rFonts w:ascii="Verdana" w:hAnsi="Verdana"/>
                <w:i/>
                <w:noProof/>
                <w:color w:val="000000"/>
                <w:sz w:val="18"/>
              </w:rPr>
              <w:t>Pożyczki</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53 939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53 939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0</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rsidR="0043277E">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rPr>
                <w:rFonts w:ascii="Verdana" w:eastAsia="Verdana" w:hAnsi="Verdana" w:cs="Verdana"/>
                <w:i/>
                <w:noProof/>
                <w:color w:val="000000"/>
                <w:sz w:val="18"/>
              </w:rPr>
            </w:pPr>
            <w:r>
              <w:rPr>
                <w:rFonts w:ascii="Verdana" w:hAnsi="Verdana"/>
                <w:i/>
                <w:noProof/>
                <w:color w:val="000000"/>
                <w:sz w:val="18"/>
              </w:rPr>
              <w:t>Należności</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24 664</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14 737</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6 585</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3 209</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134</w:t>
            </w:r>
          </w:p>
        </w:tc>
      </w:tr>
      <w:tr w:rsidR="0043277E">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rPr>
                <w:rFonts w:ascii="Verdana" w:eastAsia="Verdana" w:hAnsi="Verdana" w:cs="Verdana"/>
                <w:i/>
                <w:noProof/>
                <w:color w:val="000000"/>
                <w:sz w:val="18"/>
              </w:rPr>
            </w:pPr>
            <w:r>
              <w:rPr>
                <w:rFonts w:ascii="Verdana" w:hAnsi="Verdana"/>
                <w:i/>
                <w:noProof/>
                <w:color w:val="000000"/>
                <w:sz w:val="18"/>
              </w:rPr>
              <w:t xml:space="preserve">Aktywa finansowe wyceniane według wartości godziwej przez nadwyżkę lub </w:t>
            </w:r>
            <w:r>
              <w:rPr>
                <w:rFonts w:ascii="Verdana" w:hAnsi="Verdana"/>
                <w:i/>
                <w:noProof/>
                <w:color w:val="000000"/>
                <w:sz w:val="18"/>
              </w:rPr>
              <w:t>deficyt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rsidR="0043277E">
        <w:trPr>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rPr>
                <w:rFonts w:ascii="Verdana" w:eastAsia="Verdana" w:hAnsi="Verdana" w:cs="Verdana"/>
                <w:b/>
                <w:noProof/>
                <w:color w:val="000000"/>
                <w:sz w:val="18"/>
              </w:rPr>
            </w:pPr>
            <w:r>
              <w:rPr>
                <w:rFonts w:ascii="Verdana" w:hAnsi="Verdana"/>
                <w:b/>
                <w:noProof/>
                <w:color w:val="000000"/>
                <w:sz w:val="18"/>
              </w:rPr>
              <w:t>Ogółem na 31.12.2018</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b/>
                <w:noProof/>
                <w:color w:val="000000"/>
                <w:sz w:val="18"/>
              </w:rPr>
            </w:pPr>
            <w:r>
              <w:rPr>
                <w:rFonts w:ascii="Verdana" w:hAnsi="Verdana"/>
                <w:b/>
                <w:noProof/>
                <w:color w:val="000000"/>
                <w:sz w:val="18"/>
              </w:rPr>
              <w:t>78 620</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b/>
                <w:noProof/>
                <w:color w:val="000000"/>
                <w:sz w:val="18"/>
              </w:rPr>
            </w:pPr>
            <w:r>
              <w:rPr>
                <w:rFonts w:ascii="Verdana" w:hAnsi="Verdana"/>
                <w:b/>
                <w:noProof/>
                <w:color w:val="000000"/>
                <w:sz w:val="18"/>
              </w:rPr>
              <w:t>68 692</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b/>
                <w:noProof/>
                <w:color w:val="000000"/>
                <w:sz w:val="18"/>
              </w:rPr>
            </w:pPr>
            <w:r>
              <w:rPr>
                <w:rFonts w:ascii="Verdana" w:hAnsi="Verdana"/>
                <w:b/>
                <w:noProof/>
                <w:color w:val="000000"/>
                <w:sz w:val="18"/>
              </w:rPr>
              <w:t>6 585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b/>
                <w:noProof/>
                <w:color w:val="000000"/>
                <w:sz w:val="18"/>
              </w:rPr>
            </w:pPr>
            <w:r>
              <w:rPr>
                <w:rFonts w:ascii="Verdana" w:hAnsi="Verdana"/>
                <w:b/>
                <w:noProof/>
                <w:color w:val="000000"/>
                <w:sz w:val="18"/>
              </w:rPr>
              <w:t>3 209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CDTR"/>
              <w:jc w:val="right"/>
              <w:rPr>
                <w:rFonts w:ascii="Verdana" w:eastAsia="Verdana" w:hAnsi="Verdana" w:cs="Verdana"/>
                <w:b/>
                <w:noProof/>
                <w:color w:val="000000"/>
                <w:sz w:val="18"/>
              </w:rPr>
            </w:pPr>
            <w:r>
              <w:rPr>
                <w:rFonts w:ascii="Verdana" w:hAnsi="Verdana"/>
                <w:b/>
                <w:noProof/>
                <w:color w:val="000000"/>
                <w:sz w:val="18"/>
              </w:rPr>
              <w:t xml:space="preserve"> 134</w:t>
            </w:r>
          </w:p>
        </w:tc>
      </w:tr>
    </w:tbl>
    <w:p w:rsidR="0043277E" w:rsidRDefault="0043277E">
      <w:pPr>
        <w:pStyle w:val="HEADER5"/>
        <w:rPr>
          <w:rFonts w:eastAsia="Calibri"/>
          <w:noProof/>
          <w:color w:val="auto"/>
        </w:rPr>
      </w:pPr>
    </w:p>
    <w:p w:rsidR="0043277E" w:rsidRDefault="000F2348">
      <w:pPr>
        <w:pStyle w:val="DGTextstand-alone"/>
      </w:pPr>
      <w:r>
        <w:t xml:space="preserve">Należności i kwoty należne przeterminowane przez mniej niż 1 rok obejmują kwoty należne dotyczące grzywien za naruszenie zasad konkurencji w wysokości 1 799 mln EUR. Należności i </w:t>
      </w:r>
      <w:r>
        <w:t>kwoty należne przeterminowane przez okres od 1 roku do 5 lat obejmują kwoty należne dotyczące grzywien za naruszenie zasad konkurencji w wysokości 9 212 mln EUR, natomiast należności i kwoty należne przeterminowane o więcej niż 5 lat obejmują kwoty należne</w:t>
      </w:r>
      <w:r>
        <w:t xml:space="preserve"> dotyczące grzywien za naruszenie zasad konkurencji w wysokości 257 mln EUR. Wcześniej przedstawione kwoty są w dużej mierze objęte gwarancjami bankowymi, dzięki czemu Komisja jest w niewielkim stopniu narażona na ryzyko kredytowe. Przedstawienie gwarancji</w:t>
      </w:r>
      <w:r>
        <w:t xml:space="preserve"> przez ukarane przedsiębiorstwo stanowi alternatywę dla dokonania tymczasowej zapłaty. Ponadto należności i kwoty należne przeterminowane o mniej niż 1 rok oraz należności i kwoty należne przeterminowane o okres od 1 roku do 5 lat obejmują, odpowiednio, na</w:t>
      </w:r>
      <w:r>
        <w:t>leżności w wysokości 0,8 mld EUR i kwoty należne w wysokości 2,1 mld EUR dotyczące postępowania w sprawie uchybienia zobowiązaniom państwa członkowskiego, o którym mowa w informacji dodatkowej</w:t>
      </w:r>
      <w:r>
        <w:rPr>
          <w:b/>
        </w:rPr>
        <w:t xml:space="preserve"> 2.6.1.1</w:t>
      </w:r>
      <w:r>
        <w:t>.</w:t>
      </w:r>
    </w:p>
    <w:p w:rsidR="0043277E" w:rsidRDefault="000F2348">
      <w:pPr>
        <w:pStyle w:val="HEADER5"/>
        <w:rPr>
          <w:noProof/>
        </w:rPr>
      </w:pPr>
      <w:r>
        <w:rPr>
          <w:noProof/>
        </w:rPr>
        <w:t>Jakość kredytowa aktywów finansowych, które nie są ani</w:t>
      </w:r>
      <w:r>
        <w:rPr>
          <w:noProof/>
        </w:rPr>
        <w:t xml:space="preserve"> zaległe, ani objęte utratą wartości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1332"/>
        <w:gridCol w:w="1200"/>
        <w:gridCol w:w="1123"/>
        <w:gridCol w:w="1277"/>
        <w:gridCol w:w="1200"/>
        <w:gridCol w:w="1298"/>
      </w:tblGrid>
      <w:tr w:rsidR="0043277E">
        <w:trPr>
          <w:trHeight w:val="255"/>
        </w:trPr>
        <w:tc>
          <w:tcPr>
            <w:tcW w:w="2328"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CY"/>
              <w:rPr>
                <w:rFonts w:ascii="Arial" w:eastAsia="Arial" w:hAnsi="Arial" w:cs="Arial"/>
                <w:noProof/>
                <w:color w:val="000000"/>
              </w:rPr>
            </w:pPr>
            <w:bookmarkStart w:id="156" w:name="DOC_TBL00091_1_1"/>
            <w:bookmarkEnd w:id="156"/>
          </w:p>
        </w:tc>
        <w:tc>
          <w:tcPr>
            <w:tcW w:w="1332"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CY"/>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CY"/>
              <w:rPr>
                <w:rFonts w:ascii="Arial" w:eastAsia="Arial" w:hAnsi="Arial" w:cs="Arial"/>
                <w:noProof/>
                <w:color w:val="000000"/>
              </w:rPr>
            </w:pPr>
          </w:p>
        </w:tc>
        <w:tc>
          <w:tcPr>
            <w:tcW w:w="1123"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CY"/>
              <w:rPr>
                <w:rFonts w:ascii="Arial" w:eastAsia="Arial" w:hAnsi="Arial" w:cs="Arial"/>
                <w:noProof/>
                <w:color w:val="000000"/>
              </w:rPr>
            </w:pPr>
          </w:p>
        </w:tc>
        <w:tc>
          <w:tcPr>
            <w:tcW w:w="1277"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CY"/>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CY"/>
              <w:rPr>
                <w:rFonts w:ascii="Arial" w:eastAsia="Arial" w:hAnsi="Arial" w:cs="Arial"/>
                <w:noProof/>
                <w:color w:val="000000"/>
              </w:rPr>
            </w:pPr>
          </w:p>
        </w:tc>
        <w:tc>
          <w:tcPr>
            <w:tcW w:w="129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7BIPFARCCY"/>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328"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7BIPFARCCY"/>
              <w:jc w:val="center"/>
              <w:rPr>
                <w:rFonts w:ascii="Verdana" w:eastAsia="Verdana" w:hAnsi="Verdana" w:cs="Verdana"/>
                <w:noProof/>
                <w:color w:val="FFFFFF"/>
                <w:sz w:val="19"/>
                <w:szCs w:val="19"/>
              </w:rPr>
            </w:pPr>
          </w:p>
        </w:tc>
        <w:tc>
          <w:tcPr>
            <w:tcW w:w="7430" w:type="dxa"/>
            <w:gridSpan w:val="6"/>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7BIPFARCCY"/>
              <w:jc w:val="center"/>
              <w:rPr>
                <w:rFonts w:ascii="Verdana" w:eastAsia="Verdana" w:hAnsi="Verdana" w:cs="Verdana"/>
                <w:noProof/>
                <w:color w:val="FFFFFF"/>
                <w:sz w:val="19"/>
                <w:szCs w:val="19"/>
              </w:rPr>
            </w:pPr>
            <w:r>
              <w:rPr>
                <w:rFonts w:ascii="Verdana" w:hAnsi="Verdana"/>
                <w:noProof/>
                <w:color w:val="FFFFFF"/>
                <w:sz w:val="19"/>
                <w:szCs w:val="19"/>
              </w:rPr>
              <w:t>31.12.2019</w:t>
            </w:r>
          </w:p>
        </w:tc>
      </w:tr>
      <w:tr w:rsidR="0043277E">
        <w:trPr>
          <w:trHeight w:val="255"/>
        </w:trPr>
        <w:tc>
          <w:tcPr>
            <w:tcW w:w="2328"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7BIPFARCCY"/>
              <w:jc w:val="center"/>
              <w:rPr>
                <w:rFonts w:ascii="Verdana" w:eastAsia="Verdana" w:hAnsi="Verdana" w:cs="Verdana"/>
                <w:noProof/>
                <w:color w:val="FFFFFF"/>
                <w:sz w:val="19"/>
                <w:szCs w:val="19"/>
              </w:rPr>
            </w:pPr>
          </w:p>
        </w:tc>
        <w:tc>
          <w:tcPr>
            <w:tcW w:w="1332"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CY"/>
              <w:jc w:val="right"/>
              <w:rPr>
                <w:rFonts w:ascii="Verdana" w:eastAsia="Verdana" w:hAnsi="Verdana" w:cs="Verdana"/>
                <w:noProof/>
                <w:color w:val="FFFFFF"/>
                <w:sz w:val="19"/>
                <w:szCs w:val="19"/>
              </w:rPr>
            </w:pPr>
            <w:r>
              <w:rPr>
                <w:rFonts w:ascii="Verdana" w:hAnsi="Verdana"/>
                <w:noProof/>
                <w:color w:val="FFFFFF"/>
                <w:sz w:val="19"/>
                <w:szCs w:val="19"/>
              </w:rPr>
              <w:t>Dostępne do sprzedaży*</w:t>
            </w:r>
          </w:p>
        </w:tc>
        <w:tc>
          <w:tcPr>
            <w:tcW w:w="120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CY"/>
              <w:jc w:val="right"/>
              <w:rPr>
                <w:rFonts w:ascii="Verdana" w:eastAsia="Verdana" w:hAnsi="Verdana" w:cs="Verdana"/>
                <w:noProof/>
                <w:color w:val="FFFFFF"/>
                <w:sz w:val="19"/>
                <w:szCs w:val="19"/>
              </w:rPr>
            </w:pPr>
            <w:r>
              <w:rPr>
                <w:rFonts w:ascii="Verdana" w:hAnsi="Verdana"/>
                <w:noProof/>
                <w:color w:val="FFFFFF"/>
                <w:sz w:val="19"/>
                <w:szCs w:val="19"/>
              </w:rPr>
              <w:t>Aktywa finansowe wyceniane według wartości godziwej przez nadwyżkę lub deficyt**</w:t>
            </w:r>
          </w:p>
        </w:tc>
        <w:tc>
          <w:tcPr>
            <w:tcW w:w="1123"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CY"/>
              <w:jc w:val="right"/>
              <w:rPr>
                <w:rFonts w:ascii="Verdana" w:eastAsia="Verdana" w:hAnsi="Verdana" w:cs="Verdana"/>
                <w:noProof/>
                <w:color w:val="FFFFFF"/>
                <w:sz w:val="19"/>
                <w:szCs w:val="19"/>
              </w:rPr>
            </w:pPr>
            <w:r>
              <w:rPr>
                <w:rFonts w:ascii="Verdana" w:hAnsi="Verdana"/>
                <w:noProof/>
                <w:color w:val="FFFFFF"/>
                <w:sz w:val="19"/>
                <w:szCs w:val="19"/>
              </w:rPr>
              <w:t>Pożyczki</w:t>
            </w:r>
          </w:p>
        </w:tc>
        <w:tc>
          <w:tcPr>
            <w:tcW w:w="1277"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CY"/>
              <w:jc w:val="right"/>
              <w:rPr>
                <w:rFonts w:ascii="Verdana" w:eastAsia="Verdana" w:hAnsi="Verdana" w:cs="Verdana"/>
                <w:noProof/>
                <w:color w:val="FFFFFF"/>
                <w:sz w:val="19"/>
                <w:szCs w:val="19"/>
              </w:rPr>
            </w:pPr>
            <w:r>
              <w:rPr>
                <w:rFonts w:ascii="Verdana" w:hAnsi="Verdana"/>
                <w:noProof/>
                <w:color w:val="FFFFFF"/>
                <w:sz w:val="19"/>
                <w:szCs w:val="19"/>
              </w:rPr>
              <w:t>Należności</w:t>
            </w:r>
          </w:p>
        </w:tc>
        <w:tc>
          <w:tcPr>
            <w:tcW w:w="120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CY"/>
              <w:jc w:val="right"/>
              <w:rPr>
                <w:rFonts w:ascii="Verdana" w:eastAsia="Verdana" w:hAnsi="Verdana" w:cs="Verdana"/>
                <w:noProof/>
                <w:color w:val="FFFFFF"/>
                <w:sz w:val="19"/>
                <w:szCs w:val="19"/>
              </w:rPr>
            </w:pPr>
            <w:r>
              <w:rPr>
                <w:rFonts w:ascii="Verdana" w:hAnsi="Verdana"/>
                <w:noProof/>
                <w:color w:val="FFFFFF"/>
                <w:sz w:val="19"/>
                <w:szCs w:val="19"/>
              </w:rPr>
              <w:t>Środki pieniężne</w:t>
            </w:r>
          </w:p>
        </w:tc>
        <w:tc>
          <w:tcPr>
            <w:tcW w:w="1298"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CY"/>
              <w:jc w:val="right"/>
              <w:rPr>
                <w:rFonts w:ascii="Verdana" w:eastAsia="Verdana" w:hAnsi="Verdana" w:cs="Verdana"/>
                <w:noProof/>
                <w:color w:val="FFFFFF"/>
                <w:sz w:val="19"/>
                <w:szCs w:val="19"/>
              </w:rPr>
            </w:pPr>
            <w:r>
              <w:rPr>
                <w:rFonts w:ascii="Verdana" w:hAnsi="Verdana"/>
                <w:noProof/>
                <w:color w:val="FFFFFF"/>
                <w:sz w:val="19"/>
                <w:szCs w:val="19"/>
              </w:rPr>
              <w:t>Ogółem</w:t>
            </w:r>
          </w:p>
        </w:tc>
      </w:tr>
      <w:tr w:rsidR="0043277E">
        <w:trPr>
          <w:trHeight w:val="255"/>
        </w:trPr>
        <w:tc>
          <w:tcPr>
            <w:tcW w:w="3660" w:type="dxa"/>
            <w:gridSpan w:val="2"/>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b/>
                <w:noProof/>
                <w:color w:val="000000"/>
                <w:sz w:val="17"/>
                <w:szCs w:val="17"/>
              </w:rPr>
            </w:pPr>
            <w:r>
              <w:rPr>
                <w:rFonts w:ascii="Verdana" w:hAnsi="Verdana"/>
                <w:b/>
                <w:noProof/>
                <w:color w:val="000000"/>
                <w:sz w:val="17"/>
                <w:szCs w:val="17"/>
              </w:rPr>
              <w:t xml:space="preserve">Kontrahenci z zewnętrznym ratingiem </w:t>
            </w:r>
            <w:r>
              <w:rPr>
                <w:rFonts w:ascii="Verdana" w:hAnsi="Verdana"/>
                <w:b/>
                <w:noProof/>
                <w:color w:val="000000"/>
                <w:sz w:val="17"/>
                <w:szCs w:val="17"/>
              </w:rPr>
              <w:t>kredytowym</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lang w:bidi="en-GB"/>
              </w:rPr>
            </w:pPr>
          </w:p>
        </w:tc>
      </w:tr>
      <w:tr w:rsidR="0043277E">
        <w:trPr>
          <w:trHeight w:val="255"/>
        </w:trPr>
        <w:tc>
          <w:tcPr>
            <w:tcW w:w="23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i/>
                <w:noProof/>
                <w:color w:val="000000"/>
                <w:sz w:val="17"/>
                <w:szCs w:val="17"/>
              </w:rPr>
            </w:pPr>
            <w:r>
              <w:rPr>
                <w:rFonts w:ascii="Verdana" w:hAnsi="Verdana"/>
                <w:i/>
                <w:noProof/>
                <w:color w:val="000000"/>
                <w:sz w:val="17"/>
                <w:szCs w:val="17"/>
              </w:rPr>
              <w:t>Rating prime i wysoki</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8 848</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137</w:t>
            </w: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32</w:t>
            </w: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3 632</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15 452</w:t>
            </w: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28 101</w:t>
            </w:r>
          </w:p>
        </w:tc>
      </w:tr>
      <w:tr w:rsidR="0043277E">
        <w:trPr>
          <w:trHeight w:val="255"/>
        </w:trPr>
        <w:tc>
          <w:tcPr>
            <w:tcW w:w="23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i/>
                <w:noProof/>
                <w:color w:val="000000"/>
                <w:sz w:val="17"/>
                <w:szCs w:val="17"/>
              </w:rPr>
            </w:pPr>
            <w:r>
              <w:rPr>
                <w:rFonts w:ascii="Verdana" w:hAnsi="Verdana"/>
                <w:i/>
                <w:noProof/>
                <w:color w:val="000000"/>
                <w:sz w:val="17"/>
                <w:szCs w:val="17"/>
              </w:rPr>
              <w:t>Rating średnio-wysoki</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3 588</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23 013</w:t>
            </w: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1 444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3 688</w:t>
            </w: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31 734</w:t>
            </w:r>
          </w:p>
        </w:tc>
      </w:tr>
      <w:tr w:rsidR="0043277E">
        <w:trPr>
          <w:trHeight w:val="255"/>
        </w:trPr>
        <w:tc>
          <w:tcPr>
            <w:tcW w:w="23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i/>
                <w:noProof/>
                <w:color w:val="000000"/>
                <w:sz w:val="17"/>
                <w:szCs w:val="17"/>
              </w:rPr>
            </w:pPr>
            <w:r>
              <w:rPr>
                <w:rFonts w:ascii="Verdana" w:hAnsi="Verdana"/>
                <w:i/>
                <w:noProof/>
                <w:color w:val="000000"/>
                <w:sz w:val="17"/>
                <w:szCs w:val="17"/>
              </w:rPr>
              <w:t>Rating średnio-niski</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2 298</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24 711</w:t>
            </w: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1 867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322</w:t>
            </w: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29 198</w:t>
            </w:r>
          </w:p>
        </w:tc>
      </w:tr>
      <w:tr w:rsidR="0043277E">
        <w:trPr>
          <w:trHeight w:val="95"/>
        </w:trPr>
        <w:tc>
          <w:tcPr>
            <w:tcW w:w="23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i/>
                <w:noProof/>
                <w:color w:val="000000"/>
                <w:sz w:val="17"/>
                <w:szCs w:val="17"/>
              </w:rPr>
            </w:pPr>
            <w:r>
              <w:rPr>
                <w:rFonts w:ascii="Verdana" w:hAnsi="Verdana"/>
                <w:i/>
                <w:noProof/>
                <w:color w:val="000000"/>
                <w:sz w:val="17"/>
                <w:szCs w:val="17"/>
              </w:rPr>
              <w:t>Rating nieinwestycyjny</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264</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4 855</w:t>
            </w: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478</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262</w:t>
            </w: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5 858</w:t>
            </w:r>
          </w:p>
        </w:tc>
      </w:tr>
      <w:tr w:rsidR="0043277E">
        <w:trPr>
          <w:trHeight w:val="176"/>
        </w:trPr>
        <w:tc>
          <w:tcPr>
            <w:tcW w:w="23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3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14 998</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 xml:space="preserve"> 137</w:t>
            </w:r>
          </w:p>
        </w:tc>
        <w:tc>
          <w:tcPr>
            <w:tcW w:w="112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 xml:space="preserve">52 </w:t>
            </w:r>
            <w:r>
              <w:rPr>
                <w:rFonts w:ascii="Verdana" w:hAnsi="Verdana"/>
                <w:b/>
                <w:noProof/>
                <w:color w:val="000000"/>
                <w:sz w:val="17"/>
                <w:szCs w:val="17"/>
              </w:rPr>
              <w:t>610</w:t>
            </w:r>
          </w:p>
        </w:tc>
        <w:tc>
          <w:tcPr>
            <w:tcW w:w="12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7 422</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19 724</w:t>
            </w:r>
          </w:p>
        </w:tc>
        <w:tc>
          <w:tcPr>
            <w:tcW w:w="12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94 891</w:t>
            </w:r>
          </w:p>
        </w:tc>
      </w:tr>
      <w:tr w:rsidR="0043277E">
        <w:trPr>
          <w:trHeight w:val="255"/>
        </w:trPr>
        <w:tc>
          <w:tcPr>
            <w:tcW w:w="3660"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b/>
                <w:noProof/>
                <w:color w:val="000000"/>
                <w:sz w:val="17"/>
                <w:szCs w:val="17"/>
              </w:rPr>
            </w:pPr>
            <w:r>
              <w:rPr>
                <w:rFonts w:ascii="Verdana" w:hAnsi="Verdana"/>
                <w:b/>
                <w:noProof/>
                <w:color w:val="000000"/>
                <w:sz w:val="17"/>
                <w:szCs w:val="17"/>
              </w:rPr>
              <w:t>Kontrahenci bez zewnętrznego ratingu kredytowego</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lang w:bidi="en-GB"/>
              </w:rPr>
            </w:pPr>
          </w:p>
        </w:tc>
      </w:tr>
      <w:tr w:rsidR="0043277E">
        <w:trPr>
          <w:trHeight w:val="255"/>
        </w:trPr>
        <w:tc>
          <w:tcPr>
            <w:tcW w:w="23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i/>
                <w:noProof/>
                <w:color w:val="000000"/>
                <w:sz w:val="17"/>
                <w:szCs w:val="17"/>
              </w:rPr>
            </w:pPr>
            <w:r>
              <w:rPr>
                <w:rFonts w:ascii="Verdana" w:hAnsi="Verdana"/>
                <w:i/>
                <w:noProof/>
                <w:color w:val="000000"/>
                <w:sz w:val="17"/>
                <w:szCs w:val="17"/>
              </w:rPr>
              <w:t>Grupa 1</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73</w:t>
            </w: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1 987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21</w:t>
            </w: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2 082</w:t>
            </w:r>
          </w:p>
        </w:tc>
      </w:tr>
      <w:tr w:rsidR="0043277E">
        <w:trPr>
          <w:trHeight w:val="95"/>
        </w:trPr>
        <w:tc>
          <w:tcPr>
            <w:tcW w:w="23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i/>
                <w:noProof/>
                <w:color w:val="000000"/>
                <w:sz w:val="17"/>
                <w:szCs w:val="17"/>
              </w:rPr>
            </w:pPr>
            <w:r>
              <w:rPr>
                <w:rFonts w:ascii="Verdana" w:hAnsi="Verdana"/>
                <w:i/>
                <w:noProof/>
                <w:color w:val="000000"/>
                <w:sz w:val="17"/>
                <w:szCs w:val="17"/>
              </w:rPr>
              <w:t>Grupa 2</w:t>
            </w:r>
          </w:p>
        </w:tc>
        <w:tc>
          <w:tcPr>
            <w:tcW w:w="13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1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27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2</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w:t>
            </w:r>
          </w:p>
        </w:tc>
        <w:tc>
          <w:tcPr>
            <w:tcW w:w="12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i/>
                <w:noProof/>
                <w:color w:val="000000"/>
                <w:sz w:val="17"/>
                <w:szCs w:val="17"/>
              </w:rPr>
            </w:pPr>
            <w:r>
              <w:rPr>
                <w:rFonts w:ascii="Verdana" w:hAnsi="Verdana"/>
                <w:i/>
                <w:noProof/>
                <w:color w:val="000000"/>
                <w:sz w:val="17"/>
                <w:szCs w:val="17"/>
              </w:rPr>
              <w:t xml:space="preserve"> 2</w:t>
            </w:r>
          </w:p>
        </w:tc>
      </w:tr>
      <w:tr w:rsidR="0043277E">
        <w:trPr>
          <w:trHeight w:val="255"/>
        </w:trPr>
        <w:tc>
          <w:tcPr>
            <w:tcW w:w="23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7BIPFARCCY"/>
              <w:jc w:val="right"/>
              <w:rPr>
                <w:rFonts w:ascii="Verdana" w:eastAsia="Verdana" w:hAnsi="Verdana" w:cs="Verdana"/>
                <w:b/>
                <w:noProof/>
                <w:color w:val="000000"/>
                <w:sz w:val="17"/>
                <w:szCs w:val="17"/>
              </w:rPr>
            </w:pPr>
          </w:p>
        </w:tc>
        <w:tc>
          <w:tcPr>
            <w:tcW w:w="13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w:t>
            </w:r>
          </w:p>
        </w:tc>
        <w:tc>
          <w:tcPr>
            <w:tcW w:w="112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 xml:space="preserve"> 73</w:t>
            </w:r>
          </w:p>
        </w:tc>
        <w:tc>
          <w:tcPr>
            <w:tcW w:w="12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1 989</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 xml:space="preserve"> 21</w:t>
            </w:r>
          </w:p>
        </w:tc>
        <w:tc>
          <w:tcPr>
            <w:tcW w:w="12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2 083</w:t>
            </w:r>
          </w:p>
        </w:tc>
      </w:tr>
      <w:tr w:rsidR="0043277E">
        <w:trPr>
          <w:trHeight w:val="255"/>
        </w:trPr>
        <w:tc>
          <w:tcPr>
            <w:tcW w:w="23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rPr>
                <w:rFonts w:ascii="Verdana" w:eastAsia="Verdana" w:hAnsi="Verdana" w:cs="Verdana"/>
                <w:b/>
                <w:noProof/>
                <w:color w:val="000000"/>
                <w:sz w:val="17"/>
                <w:szCs w:val="17"/>
              </w:rPr>
            </w:pPr>
            <w:r>
              <w:rPr>
                <w:rFonts w:ascii="Verdana" w:hAnsi="Verdana"/>
                <w:b/>
                <w:noProof/>
                <w:color w:val="000000"/>
                <w:sz w:val="17"/>
                <w:szCs w:val="17"/>
              </w:rPr>
              <w:t>Ogółem</w:t>
            </w:r>
          </w:p>
        </w:tc>
        <w:tc>
          <w:tcPr>
            <w:tcW w:w="13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14 998</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 xml:space="preserve"> 137</w:t>
            </w:r>
          </w:p>
        </w:tc>
        <w:tc>
          <w:tcPr>
            <w:tcW w:w="112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52 683</w:t>
            </w:r>
          </w:p>
        </w:tc>
        <w:tc>
          <w:tcPr>
            <w:tcW w:w="12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9 410</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19 745</w:t>
            </w:r>
          </w:p>
        </w:tc>
        <w:tc>
          <w:tcPr>
            <w:tcW w:w="12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CY"/>
              <w:jc w:val="right"/>
              <w:rPr>
                <w:rFonts w:ascii="Verdana" w:eastAsia="Verdana" w:hAnsi="Verdana" w:cs="Verdana"/>
                <w:b/>
                <w:noProof/>
                <w:color w:val="000000"/>
                <w:sz w:val="17"/>
                <w:szCs w:val="17"/>
              </w:rPr>
            </w:pPr>
            <w:r>
              <w:rPr>
                <w:rFonts w:ascii="Verdana" w:hAnsi="Verdana"/>
                <w:b/>
                <w:noProof/>
                <w:color w:val="000000"/>
                <w:sz w:val="17"/>
                <w:szCs w:val="17"/>
              </w:rPr>
              <w:t>96 974</w:t>
            </w:r>
          </w:p>
        </w:tc>
      </w:tr>
    </w:tbl>
    <w:p w:rsidR="0043277E" w:rsidRDefault="0043277E">
      <w:pPr>
        <w:pStyle w:val="DG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1524"/>
        <w:gridCol w:w="1716"/>
        <w:gridCol w:w="960"/>
        <w:gridCol w:w="1440"/>
        <w:gridCol w:w="1080"/>
        <w:gridCol w:w="938"/>
      </w:tblGrid>
      <w:tr w:rsidR="0043277E">
        <w:trPr>
          <w:trHeight w:val="255"/>
        </w:trPr>
        <w:tc>
          <w:tcPr>
            <w:tcW w:w="210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PY"/>
              <w:keepNext/>
              <w:rPr>
                <w:rFonts w:ascii="Arial" w:eastAsia="Arial" w:hAnsi="Arial" w:cs="Arial"/>
                <w:noProof/>
                <w:color w:val="000000"/>
              </w:rPr>
            </w:pPr>
            <w:bookmarkStart w:id="157" w:name="DOC_TBL00092_1_1"/>
            <w:bookmarkEnd w:id="157"/>
          </w:p>
        </w:tc>
        <w:tc>
          <w:tcPr>
            <w:tcW w:w="1524"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PY"/>
              <w:keepNext/>
              <w:rPr>
                <w:rFonts w:ascii="Arial" w:eastAsia="Arial" w:hAnsi="Arial" w:cs="Arial"/>
                <w:noProof/>
                <w:color w:val="00000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PY"/>
              <w:keepNext/>
              <w:rPr>
                <w:rFonts w:ascii="Arial" w:eastAsia="Arial" w:hAnsi="Arial" w:cs="Arial"/>
                <w:noProof/>
                <w:color w:val="000000"/>
              </w:rPr>
            </w:pPr>
          </w:p>
        </w:tc>
        <w:tc>
          <w:tcPr>
            <w:tcW w:w="96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PY"/>
              <w:keepNext/>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PY"/>
              <w:keepNext/>
              <w:rPr>
                <w:rFonts w:ascii="Arial" w:eastAsia="Arial" w:hAnsi="Arial" w:cs="Arial"/>
                <w:noProof/>
                <w:color w:val="000000"/>
              </w:rPr>
            </w:pPr>
          </w:p>
        </w:tc>
        <w:tc>
          <w:tcPr>
            <w:tcW w:w="10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7BIPFARCPY"/>
              <w:keepNext/>
              <w:rPr>
                <w:rFonts w:ascii="Arial" w:eastAsia="Arial" w:hAnsi="Arial" w:cs="Arial"/>
                <w:noProof/>
                <w:color w:val="000000"/>
              </w:rPr>
            </w:pPr>
          </w:p>
        </w:tc>
        <w:tc>
          <w:tcPr>
            <w:tcW w:w="938"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7BIPFARCPY"/>
              <w:keepNex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2100"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7BIPFARCPY"/>
              <w:keepNext/>
              <w:jc w:val="center"/>
              <w:rPr>
                <w:rFonts w:ascii="Verdana" w:eastAsia="Verdana" w:hAnsi="Verdana" w:cs="Verdana"/>
                <w:noProof/>
                <w:color w:val="FFFFFF"/>
              </w:rPr>
            </w:pPr>
          </w:p>
        </w:tc>
        <w:tc>
          <w:tcPr>
            <w:tcW w:w="7658" w:type="dxa"/>
            <w:gridSpan w:val="6"/>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7BIPFARCPY"/>
              <w:keepNext/>
              <w:jc w:val="center"/>
              <w:rPr>
                <w:rFonts w:ascii="Verdana" w:eastAsia="Verdana" w:hAnsi="Verdana" w:cs="Verdana"/>
                <w:noProof/>
                <w:color w:val="FFFFFF"/>
                <w:sz w:val="18"/>
                <w:szCs w:val="18"/>
              </w:rPr>
            </w:pPr>
            <w:r>
              <w:rPr>
                <w:rFonts w:ascii="Verdana" w:hAnsi="Verdana"/>
                <w:noProof/>
                <w:color w:val="FFFFFF"/>
                <w:sz w:val="18"/>
                <w:szCs w:val="18"/>
              </w:rPr>
              <w:t>31.12.2018</w:t>
            </w:r>
          </w:p>
        </w:tc>
      </w:tr>
      <w:tr w:rsidR="0043277E">
        <w:trPr>
          <w:trHeight w:val="255"/>
        </w:trPr>
        <w:tc>
          <w:tcPr>
            <w:tcW w:w="210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7BIPFARCPY"/>
              <w:keepNext/>
              <w:jc w:val="center"/>
              <w:rPr>
                <w:rFonts w:ascii="Verdana" w:eastAsia="Verdana" w:hAnsi="Verdana" w:cs="Verdana"/>
                <w:noProof/>
                <w:color w:val="FFFFFF"/>
              </w:rPr>
            </w:pPr>
          </w:p>
        </w:tc>
        <w:tc>
          <w:tcPr>
            <w:tcW w:w="1524"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PY"/>
              <w:keepNext/>
              <w:jc w:val="right"/>
              <w:rPr>
                <w:rFonts w:ascii="Verdana" w:eastAsia="Verdana" w:hAnsi="Verdana" w:cs="Verdana"/>
                <w:noProof/>
                <w:color w:val="FFFFFF"/>
                <w:sz w:val="18"/>
                <w:szCs w:val="18"/>
              </w:rPr>
            </w:pPr>
            <w:r>
              <w:rPr>
                <w:rFonts w:ascii="Verdana" w:hAnsi="Verdana"/>
                <w:noProof/>
                <w:color w:val="FFFFFF"/>
                <w:sz w:val="18"/>
                <w:szCs w:val="18"/>
              </w:rPr>
              <w:t xml:space="preserve">Dostępne do </w:t>
            </w:r>
            <w:r>
              <w:rPr>
                <w:rFonts w:ascii="Verdana" w:hAnsi="Verdana"/>
                <w:noProof/>
                <w:color w:val="FFFFFF"/>
                <w:sz w:val="18"/>
                <w:szCs w:val="18"/>
              </w:rPr>
              <w:t>sprzedaży*</w:t>
            </w:r>
          </w:p>
        </w:tc>
        <w:tc>
          <w:tcPr>
            <w:tcW w:w="1716"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PY"/>
              <w:keepNext/>
              <w:jc w:val="right"/>
              <w:rPr>
                <w:rFonts w:ascii="Verdana" w:eastAsia="Verdana" w:hAnsi="Verdana" w:cs="Verdana"/>
                <w:noProof/>
                <w:color w:val="FFFFFF"/>
                <w:sz w:val="18"/>
                <w:szCs w:val="18"/>
              </w:rPr>
            </w:pPr>
            <w:r>
              <w:rPr>
                <w:rFonts w:ascii="Verdana" w:hAnsi="Verdana"/>
                <w:noProof/>
                <w:color w:val="FFFFFF"/>
                <w:sz w:val="18"/>
                <w:szCs w:val="18"/>
              </w:rPr>
              <w:t>Aktywa finansowe wyceniane według wartości godziwej przez nadwyżkę lub deficyt**</w:t>
            </w:r>
          </w:p>
        </w:tc>
        <w:tc>
          <w:tcPr>
            <w:tcW w:w="96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PY"/>
              <w:keepNext/>
              <w:jc w:val="right"/>
              <w:rPr>
                <w:rFonts w:ascii="Verdana" w:eastAsia="Verdana" w:hAnsi="Verdana" w:cs="Verdana"/>
                <w:noProof/>
                <w:color w:val="FFFFFF"/>
                <w:sz w:val="18"/>
                <w:szCs w:val="18"/>
              </w:rPr>
            </w:pPr>
            <w:r>
              <w:rPr>
                <w:rFonts w:ascii="Verdana" w:hAnsi="Verdana"/>
                <w:noProof/>
                <w:color w:val="FFFFFF"/>
                <w:sz w:val="18"/>
                <w:szCs w:val="18"/>
              </w:rPr>
              <w:t>Pożyczki</w:t>
            </w:r>
          </w:p>
        </w:tc>
        <w:tc>
          <w:tcPr>
            <w:tcW w:w="144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PY"/>
              <w:keepNext/>
              <w:jc w:val="right"/>
              <w:rPr>
                <w:rFonts w:ascii="Verdana" w:eastAsia="Verdana" w:hAnsi="Verdana" w:cs="Verdana"/>
                <w:noProof/>
                <w:color w:val="FFFFFF"/>
                <w:sz w:val="18"/>
                <w:szCs w:val="18"/>
              </w:rPr>
            </w:pPr>
            <w:r>
              <w:rPr>
                <w:rFonts w:ascii="Verdana" w:hAnsi="Verdana"/>
                <w:noProof/>
                <w:color w:val="FFFFFF"/>
                <w:sz w:val="18"/>
                <w:szCs w:val="18"/>
              </w:rPr>
              <w:t>Należności</w:t>
            </w:r>
          </w:p>
        </w:tc>
        <w:tc>
          <w:tcPr>
            <w:tcW w:w="1080"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PY"/>
              <w:keepNext/>
              <w:jc w:val="right"/>
              <w:rPr>
                <w:rFonts w:ascii="Verdana" w:eastAsia="Verdana" w:hAnsi="Verdana" w:cs="Verdana"/>
                <w:noProof/>
                <w:color w:val="FFFFFF"/>
                <w:sz w:val="18"/>
                <w:szCs w:val="18"/>
              </w:rPr>
            </w:pPr>
            <w:r>
              <w:rPr>
                <w:rFonts w:ascii="Verdana" w:hAnsi="Verdana"/>
                <w:noProof/>
                <w:color w:val="FFFFFF"/>
                <w:sz w:val="18"/>
                <w:szCs w:val="18"/>
              </w:rPr>
              <w:t>Środki pieniężne</w:t>
            </w:r>
          </w:p>
        </w:tc>
        <w:tc>
          <w:tcPr>
            <w:tcW w:w="938" w:type="dxa"/>
            <w:tcBorders>
              <w:top w:val="nil"/>
              <w:left w:val="nil"/>
              <w:bottom w:val="nil"/>
              <w:right w:val="nil"/>
              <w:tl2br w:val="nil"/>
              <w:tr2bl w:val="nil"/>
            </w:tcBorders>
            <w:shd w:val="solid" w:color="016794" w:fill="FFFFFF"/>
            <w:tcMar>
              <w:left w:w="60" w:type="dxa"/>
              <w:right w:w="60" w:type="dxa"/>
            </w:tcMar>
          </w:tcPr>
          <w:p w:rsidR="0043277E" w:rsidRDefault="000F2348">
            <w:pPr>
              <w:pStyle w:val="DMETW17227BIPFARCPY"/>
              <w:keepNext/>
              <w:jc w:val="right"/>
              <w:rPr>
                <w:rFonts w:ascii="Verdana" w:eastAsia="Verdana" w:hAnsi="Verdana" w:cs="Verdana"/>
                <w:noProof/>
                <w:color w:val="FFFFFF"/>
                <w:sz w:val="18"/>
                <w:szCs w:val="18"/>
              </w:rPr>
            </w:pPr>
            <w:r>
              <w:rPr>
                <w:rFonts w:ascii="Verdana" w:hAnsi="Verdana"/>
                <w:noProof/>
                <w:color w:val="FFFFFF"/>
                <w:sz w:val="18"/>
                <w:szCs w:val="18"/>
              </w:rPr>
              <w:t>Ogółem</w:t>
            </w:r>
          </w:p>
        </w:tc>
      </w:tr>
      <w:tr w:rsidR="0043277E">
        <w:trPr>
          <w:trHeight w:val="255"/>
        </w:trPr>
        <w:tc>
          <w:tcPr>
            <w:tcW w:w="3624" w:type="dxa"/>
            <w:gridSpan w:val="2"/>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b/>
                <w:noProof/>
                <w:color w:val="000000"/>
                <w:sz w:val="18"/>
              </w:rPr>
            </w:pPr>
            <w:r>
              <w:rPr>
                <w:rFonts w:ascii="Verdana" w:hAnsi="Verdana"/>
                <w:b/>
                <w:noProof/>
                <w:color w:val="000000"/>
                <w:sz w:val="18"/>
              </w:rPr>
              <w:t>Kontrahenci z zewnętrznym ratingiem kredytowym</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lang w:bidi="en-GB"/>
              </w:rPr>
            </w:pPr>
          </w:p>
        </w:tc>
      </w:tr>
      <w:tr w:rsidR="0043277E">
        <w:trPr>
          <w:trHeight w:val="255"/>
        </w:trPr>
        <w:tc>
          <w:tcPr>
            <w:tcW w:w="21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i/>
                <w:noProof/>
                <w:color w:val="000000"/>
                <w:sz w:val="18"/>
              </w:rPr>
            </w:pPr>
            <w:r>
              <w:rPr>
                <w:rFonts w:ascii="Verdana" w:hAnsi="Verdana"/>
                <w:i/>
                <w:noProof/>
                <w:color w:val="000000"/>
                <w:sz w:val="18"/>
              </w:rPr>
              <w:t>Rating prime i wysoki</w:t>
            </w:r>
          </w:p>
        </w:tc>
        <w:tc>
          <w:tcPr>
            <w:tcW w:w="1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9 019</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16</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98</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9 064</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14 950</w:t>
            </w: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33 146</w:t>
            </w:r>
          </w:p>
        </w:tc>
      </w:tr>
      <w:tr w:rsidR="0043277E">
        <w:trPr>
          <w:trHeight w:val="255"/>
        </w:trPr>
        <w:tc>
          <w:tcPr>
            <w:tcW w:w="21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i/>
                <w:noProof/>
                <w:color w:val="000000"/>
                <w:sz w:val="18"/>
              </w:rPr>
            </w:pPr>
            <w:r>
              <w:rPr>
                <w:rFonts w:ascii="Verdana" w:hAnsi="Verdana"/>
                <w:i/>
                <w:noProof/>
                <w:color w:val="000000"/>
                <w:sz w:val="18"/>
              </w:rPr>
              <w:t xml:space="preserve">Rating </w:t>
            </w:r>
            <w:r>
              <w:rPr>
                <w:rFonts w:ascii="Verdana" w:hAnsi="Verdana"/>
                <w:i/>
                <w:noProof/>
                <w:color w:val="000000"/>
                <w:sz w:val="18"/>
              </w:rPr>
              <w:t>średnio-wysoki</w:t>
            </w:r>
          </w:p>
        </w:tc>
        <w:tc>
          <w:tcPr>
            <w:tcW w:w="1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3 209</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23 513</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755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2 740</w:t>
            </w: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30 217</w:t>
            </w:r>
          </w:p>
        </w:tc>
      </w:tr>
      <w:tr w:rsidR="0043277E">
        <w:trPr>
          <w:trHeight w:val="255"/>
        </w:trPr>
        <w:tc>
          <w:tcPr>
            <w:tcW w:w="21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i/>
                <w:noProof/>
                <w:color w:val="000000"/>
                <w:sz w:val="18"/>
              </w:rPr>
            </w:pPr>
            <w:r>
              <w:rPr>
                <w:rFonts w:ascii="Verdana" w:hAnsi="Verdana"/>
                <w:i/>
                <w:noProof/>
                <w:color w:val="000000"/>
                <w:sz w:val="18"/>
              </w:rPr>
              <w:t>Rating średnio-niski</w:t>
            </w:r>
          </w:p>
        </w:tc>
        <w:tc>
          <w:tcPr>
            <w:tcW w:w="1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1 765</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25 775</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1 456</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181</w:t>
            </w: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29 177</w:t>
            </w:r>
          </w:p>
        </w:tc>
      </w:tr>
      <w:tr w:rsidR="0043277E">
        <w:trPr>
          <w:trHeight w:val="255"/>
        </w:trPr>
        <w:tc>
          <w:tcPr>
            <w:tcW w:w="21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i/>
                <w:noProof/>
                <w:color w:val="000000"/>
                <w:sz w:val="18"/>
              </w:rPr>
            </w:pPr>
            <w:r>
              <w:rPr>
                <w:rFonts w:ascii="Verdana" w:hAnsi="Verdana"/>
                <w:i/>
                <w:noProof/>
                <w:color w:val="000000"/>
                <w:sz w:val="18"/>
              </w:rPr>
              <w:t>Rating nieinwestycyjny</w:t>
            </w:r>
          </w:p>
        </w:tc>
        <w:tc>
          <w:tcPr>
            <w:tcW w:w="1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4 488</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200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221</w:t>
            </w: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4 909</w:t>
            </w:r>
          </w:p>
        </w:tc>
      </w:tr>
      <w:tr w:rsidR="0043277E">
        <w:trPr>
          <w:trHeight w:val="255"/>
        </w:trPr>
        <w:tc>
          <w:tcPr>
            <w:tcW w:w="2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15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13 993</w:t>
            </w: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 xml:space="preserve"> 16</w:t>
            </w:r>
          </w:p>
        </w:tc>
        <w:tc>
          <w:tcPr>
            <w:tcW w:w="9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53 874</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11 475</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18 092</w:t>
            </w:r>
          </w:p>
        </w:tc>
        <w:tc>
          <w:tcPr>
            <w:tcW w:w="93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97 449</w:t>
            </w:r>
          </w:p>
        </w:tc>
      </w:tr>
      <w:tr w:rsidR="0043277E">
        <w:trPr>
          <w:trHeight w:val="255"/>
        </w:trPr>
        <w:tc>
          <w:tcPr>
            <w:tcW w:w="3624"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b/>
                <w:noProof/>
                <w:color w:val="000000"/>
                <w:sz w:val="18"/>
              </w:rPr>
            </w:pPr>
            <w:r>
              <w:rPr>
                <w:rFonts w:ascii="Verdana" w:hAnsi="Verdana"/>
                <w:b/>
                <w:noProof/>
                <w:color w:val="000000"/>
                <w:sz w:val="18"/>
              </w:rPr>
              <w:t>Kontrahenci bez zewnętrznego ratingu kredytowego</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lang w:bidi="en-GB"/>
              </w:rPr>
            </w:pPr>
          </w:p>
        </w:tc>
      </w:tr>
      <w:tr w:rsidR="0043277E">
        <w:trPr>
          <w:trHeight w:val="255"/>
        </w:trPr>
        <w:tc>
          <w:tcPr>
            <w:tcW w:w="21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i/>
                <w:noProof/>
                <w:color w:val="000000"/>
                <w:sz w:val="18"/>
              </w:rPr>
            </w:pPr>
            <w:r>
              <w:rPr>
                <w:rFonts w:ascii="Verdana" w:hAnsi="Verdana"/>
                <w:i/>
                <w:noProof/>
                <w:color w:val="000000"/>
                <w:sz w:val="18"/>
              </w:rPr>
              <w:t xml:space="preserve">Grupa </w:t>
            </w:r>
            <w:r>
              <w:rPr>
                <w:rFonts w:ascii="Verdana" w:hAnsi="Verdana"/>
                <w:i/>
                <w:noProof/>
                <w:color w:val="000000"/>
                <w:sz w:val="18"/>
              </w:rPr>
              <w:t>1</w:t>
            </w:r>
          </w:p>
        </w:tc>
        <w:tc>
          <w:tcPr>
            <w:tcW w:w="1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64</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3 262</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21</w:t>
            </w: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3 347</w:t>
            </w:r>
          </w:p>
        </w:tc>
      </w:tr>
      <w:tr w:rsidR="0043277E">
        <w:trPr>
          <w:trHeight w:val="255"/>
        </w:trPr>
        <w:tc>
          <w:tcPr>
            <w:tcW w:w="21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i/>
                <w:noProof/>
                <w:color w:val="000000"/>
                <w:sz w:val="18"/>
              </w:rPr>
            </w:pPr>
            <w:r>
              <w:rPr>
                <w:rFonts w:ascii="Verdana" w:hAnsi="Verdana"/>
                <w:i/>
                <w:noProof/>
                <w:color w:val="000000"/>
                <w:sz w:val="18"/>
              </w:rPr>
              <w:t>Grupa 2</w:t>
            </w:r>
          </w:p>
        </w:tc>
        <w:tc>
          <w:tcPr>
            <w:tcW w:w="1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171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2</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w:t>
            </w:r>
          </w:p>
        </w:tc>
        <w:tc>
          <w:tcPr>
            <w:tcW w:w="9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i/>
                <w:noProof/>
                <w:color w:val="000000"/>
                <w:sz w:val="18"/>
              </w:rPr>
            </w:pPr>
            <w:r>
              <w:rPr>
                <w:rFonts w:ascii="Verdana" w:hAnsi="Verdana"/>
                <w:i/>
                <w:noProof/>
                <w:color w:val="000000"/>
                <w:sz w:val="18"/>
              </w:rPr>
              <w:t xml:space="preserve"> 2</w:t>
            </w:r>
          </w:p>
        </w:tc>
      </w:tr>
      <w:tr w:rsidR="0043277E">
        <w:trPr>
          <w:trHeight w:val="255"/>
        </w:trPr>
        <w:tc>
          <w:tcPr>
            <w:tcW w:w="2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43277E">
            <w:pPr>
              <w:pStyle w:val="DMETW17227BIPFARCPY"/>
              <w:keepNext/>
              <w:jc w:val="right"/>
              <w:rPr>
                <w:rFonts w:ascii="Verdana" w:eastAsia="Verdana" w:hAnsi="Verdana" w:cs="Verdana"/>
                <w:b/>
                <w:noProof/>
                <w:color w:val="000000"/>
                <w:sz w:val="18"/>
              </w:rPr>
            </w:pPr>
          </w:p>
        </w:tc>
        <w:tc>
          <w:tcPr>
            <w:tcW w:w="15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w:t>
            </w: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w:t>
            </w:r>
          </w:p>
        </w:tc>
        <w:tc>
          <w:tcPr>
            <w:tcW w:w="9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 xml:space="preserve"> 66</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3 262</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 xml:space="preserve"> 21</w:t>
            </w:r>
          </w:p>
        </w:tc>
        <w:tc>
          <w:tcPr>
            <w:tcW w:w="93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3 349</w:t>
            </w:r>
          </w:p>
        </w:tc>
      </w:tr>
      <w:tr w:rsidR="0043277E">
        <w:trPr>
          <w:trHeight w:val="255"/>
        </w:trPr>
        <w:tc>
          <w:tcPr>
            <w:tcW w:w="2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rPr>
                <w:rFonts w:ascii="Verdana" w:eastAsia="Verdana" w:hAnsi="Verdana" w:cs="Verdana"/>
                <w:b/>
                <w:noProof/>
                <w:color w:val="000000"/>
                <w:sz w:val="18"/>
              </w:rPr>
            </w:pPr>
            <w:r>
              <w:rPr>
                <w:rFonts w:ascii="Verdana" w:hAnsi="Verdana"/>
                <w:b/>
                <w:noProof/>
                <w:color w:val="000000"/>
                <w:sz w:val="18"/>
              </w:rPr>
              <w:t>Ogółem</w:t>
            </w:r>
          </w:p>
        </w:tc>
        <w:tc>
          <w:tcPr>
            <w:tcW w:w="15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13 993</w:t>
            </w: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 xml:space="preserve"> 16</w:t>
            </w:r>
          </w:p>
        </w:tc>
        <w:tc>
          <w:tcPr>
            <w:tcW w:w="9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53 939</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14 737</w:t>
            </w:r>
          </w:p>
        </w:tc>
        <w:tc>
          <w:tcPr>
            <w:tcW w:w="10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18 113</w:t>
            </w:r>
          </w:p>
        </w:tc>
        <w:tc>
          <w:tcPr>
            <w:tcW w:w="93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7BIPFARCPY"/>
              <w:keepNext/>
              <w:jc w:val="right"/>
              <w:rPr>
                <w:rFonts w:ascii="Verdana" w:eastAsia="Verdana" w:hAnsi="Verdana" w:cs="Verdana"/>
                <w:b/>
                <w:noProof/>
                <w:color w:val="000000"/>
                <w:sz w:val="18"/>
              </w:rPr>
            </w:pPr>
            <w:r>
              <w:rPr>
                <w:rFonts w:ascii="Verdana" w:hAnsi="Verdana"/>
                <w:b/>
                <w:noProof/>
                <w:color w:val="000000"/>
                <w:sz w:val="18"/>
              </w:rPr>
              <w:t>100 797</w:t>
            </w:r>
          </w:p>
        </w:tc>
      </w:tr>
    </w:tbl>
    <w:p w:rsidR="0043277E" w:rsidRDefault="000F2348">
      <w:pPr>
        <w:pStyle w:val="Textstand-alone"/>
        <w:keepNext/>
        <w:tabs>
          <w:tab w:val="left" w:pos="284"/>
        </w:tabs>
        <w:spacing w:before="60" w:after="0"/>
        <w:rPr>
          <w:i/>
          <w:sz w:val="14"/>
        </w:rPr>
      </w:pPr>
      <w:r>
        <w:rPr>
          <w:i/>
          <w:sz w:val="14"/>
        </w:rPr>
        <w:t xml:space="preserve">* </w:t>
      </w:r>
      <w:r>
        <w:rPr>
          <w:i/>
          <w:sz w:val="14"/>
        </w:rPr>
        <w:tab/>
        <w:t>Aktywa finansowe dostępne do sprzedaży (z wyłączeniem inwestycji w fundusze rynku pieniężnego i instrumenty kapitałowe).</w:t>
      </w:r>
    </w:p>
    <w:p w:rsidR="0043277E" w:rsidRDefault="000F2348">
      <w:pPr>
        <w:pStyle w:val="Textstand-alone"/>
        <w:keepNext/>
        <w:tabs>
          <w:tab w:val="left" w:pos="284"/>
        </w:tabs>
        <w:spacing w:before="0" w:after="0"/>
        <w:rPr>
          <w:i/>
          <w:sz w:val="14"/>
        </w:rPr>
      </w:pPr>
      <w:r>
        <w:rPr>
          <w:i/>
          <w:sz w:val="14"/>
        </w:rPr>
        <w:t>**</w:t>
      </w:r>
      <w:r>
        <w:rPr>
          <w:i/>
          <w:sz w:val="14"/>
        </w:rPr>
        <w:tab/>
      </w:r>
      <w:r>
        <w:rPr>
          <w:i/>
          <w:sz w:val="14"/>
        </w:rPr>
        <w:t>Aktywa finansowe wyceniane według wartości godziwej przez nadwyżkę lub deficyt.</w:t>
      </w:r>
    </w:p>
    <w:p w:rsidR="0043277E" w:rsidRDefault="000F2348">
      <w:pPr>
        <w:pStyle w:val="DGTextstand-alone"/>
        <w:keepNext/>
      </w:pPr>
      <w:r>
        <w:t>W powyższej tabeli nie uwzględniono aktywów finansowych dostępnych do sprzedaży w formie instrumentów kapitałowych bez zewnętrznego ratingu kredytowego. Cztery wymienione kateg</w:t>
      </w:r>
      <w:r>
        <w:t>orie ryzyka są zasadniczo oparte na kategoriach ratingów zewnętrznych agencji ratingowych i odpowiadają następującym ratingom:</w:t>
      </w:r>
    </w:p>
    <w:p w:rsidR="0043277E" w:rsidRDefault="000F2348">
      <w:pPr>
        <w:pStyle w:val="DGTextstand-alone"/>
        <w:numPr>
          <w:ilvl w:val="0"/>
          <w:numId w:val="35"/>
        </w:numPr>
      </w:pPr>
      <w:r>
        <w:t>Rating prime i wysoki: Moody’s: P-1, Aaa – Aa3; S&amp;P: A-1+, A-1, AAA – AA -; Fitch: F1+, F1, AAA – AA- i równoważne</w:t>
      </w:r>
    </w:p>
    <w:p w:rsidR="0043277E" w:rsidRDefault="000F2348">
      <w:pPr>
        <w:pStyle w:val="DGTextstand-alone"/>
        <w:numPr>
          <w:ilvl w:val="0"/>
          <w:numId w:val="35"/>
        </w:numPr>
      </w:pPr>
      <w:r>
        <w:t xml:space="preserve">Rating </w:t>
      </w:r>
      <w:r>
        <w:t>średnio-wysoki: Moody's: P-2, A1 – A3; S&amp;P: A-2, A+ - A-; Fitch: F2, A+ - A- i równoważne</w:t>
      </w:r>
    </w:p>
    <w:p w:rsidR="0043277E" w:rsidRDefault="000F2348">
      <w:pPr>
        <w:pStyle w:val="DGTextstand-alone"/>
        <w:numPr>
          <w:ilvl w:val="0"/>
          <w:numId w:val="35"/>
        </w:numPr>
      </w:pPr>
      <w:r>
        <w:t>Rating średnio-niski: Moody's: P-3, Baa1 – Baa3, S&amp;P A-3, BBB+ - BBB-; Fitch: F-3, BBBB+ - BBB- i równoważne</w:t>
      </w:r>
    </w:p>
    <w:p w:rsidR="0043277E" w:rsidRDefault="000F2348">
      <w:pPr>
        <w:pStyle w:val="DGTextstand-alone"/>
        <w:numPr>
          <w:ilvl w:val="0"/>
          <w:numId w:val="35"/>
        </w:numPr>
      </w:pPr>
      <w:r>
        <w:t>Rating nieinwestycyjny: Moody’s: not prime, Ba1 – C; S&amp;P:</w:t>
      </w:r>
      <w:r>
        <w:t xml:space="preserve"> B, C, BB+ - D; Fitch: B, C, BB+ - D i równoważne</w:t>
      </w:r>
    </w:p>
    <w:p w:rsidR="0043277E" w:rsidRDefault="000F2348">
      <w:pPr>
        <w:pStyle w:val="DGTextstand-alone"/>
      </w:pPr>
      <w:r>
        <w:t>UE wykorzystuje wymienione kategorie ratingu agencji zewnętrznych jako punkt odniesienia dla instrumentów finansowych i banków komercyjnych, ale może – po dokonaniu własnej analizy indywidualnych przypadków</w:t>
      </w:r>
      <w:r>
        <w:t xml:space="preserve"> – przechowywać środki finansowe w jednej z powyższych kategorii ryzyka, nawet jeżeli co najmniej jedna z wyżej wymienionych agencji ratingowych obniżyła rating odnośnego kontrahenta. Jeżeli chodzi o kontrahentów nieobjętych ratingiem, grupa 1 odnosi się d</w:t>
      </w:r>
      <w:r>
        <w:t>o dłużników bez odnotowanego niewykonania zobowiązania, a grupa 2 odnosi się do dłużników, którzy znaleźli się w sytuacji niewykonania zobowiązania.</w:t>
      </w:r>
    </w:p>
    <w:p w:rsidR="0043277E" w:rsidRDefault="000F2348">
      <w:pPr>
        <w:pStyle w:val="DGTextstand-alone"/>
      </w:pPr>
      <w:r>
        <w:t>Kwoty wykazane powyżej w ramach pożyczek zakwalifikowanych do ratingu nieinwestycyjnego odnoszą się głównie</w:t>
      </w:r>
      <w:r>
        <w:t xml:space="preserve"> do pożyczek w ramach wsparcia finansowego wypłaconych przez Komisję krajom partnerskim znajdującym się w trudnej sytuacji finansowej. Kwoty wykazane w ramach należności i kwot należnych odnoszą się do kwot należnych od niektórych państw członkowskich na m</w:t>
      </w:r>
      <w:r>
        <w:t>ocy przepisów dotyczących zasobów własnych lub innej podstawy prawnej. Kwota środków pieniężnych odnosi się głównie do zasobów własnych przechowywanych na rachunkach bankowych otwartych przez administracje finansowe lub przez banki centralne niektórych pań</w:t>
      </w:r>
      <w:r>
        <w:t xml:space="preserve">stw członkowskich w celu wpłacania składek na poczet zasobów </w:t>
      </w:r>
      <w:r>
        <w:lastRenderedPageBreak/>
        <w:t>własnych, zgodnie z przepisami wyżej wymienionego rozporządzenia. Komisja może dokonywać obciążeń na tych rachunkach wyłącznie w celu pokrycia potrzeb gotówkowych do celów wykonania budżetu.</w:t>
      </w:r>
    </w:p>
    <w:p w:rsidR="0043277E" w:rsidRDefault="000F2348">
      <w:pPr>
        <w:pStyle w:val="HEADER5"/>
        <w:rPr>
          <w:noProof/>
        </w:rPr>
      </w:pPr>
      <w:r>
        <w:rPr>
          <w:noProof/>
        </w:rPr>
        <w:t>Oper</w:t>
      </w:r>
      <w:r>
        <w:rPr>
          <w:noProof/>
        </w:rPr>
        <w:t>acje zaciągania i udzielania pożyczek na pomoc finansową</w:t>
      </w:r>
    </w:p>
    <w:p w:rsidR="0043277E" w:rsidRDefault="000F2348">
      <w:pPr>
        <w:pStyle w:val="DGTextstand-alone"/>
      </w:pPr>
      <w:r>
        <w:t>Ekspozycją na ryzyko kredytowe zarządza się przede wszystkim poprzez uzyskanie gwarancji państwowych (w przypadku Euratomu), następnie za pośrednictwem Funduszu Gwarancyjnego dla działań zewnętrznych</w:t>
      </w:r>
      <w:r>
        <w:t xml:space="preserve"> (pomoc makrofinansowa i Euratom), potem przez możliwość pobrania niezbędnych środków finansowych z rachunków Komisji prowadzonych na potrzeby zasobów własnych w państwach członkowskich i wreszcie poprzez budżet UE.</w:t>
      </w:r>
    </w:p>
    <w:p w:rsidR="0043277E" w:rsidRDefault="000F2348">
      <w:pPr>
        <w:pStyle w:val="DGTextstand-alone"/>
      </w:pPr>
      <w:r>
        <w:t>W przepisach dotyczących zasobów własnyc</w:t>
      </w:r>
      <w:r>
        <w:t>h pułap płatności na poczet zasobów własnych określono na poziomie 1,20 % DNB państw członkowskich i w ciągu 2019 r. na pokrycie środków na płatności faktycznie wykorzystano 0,88 %. Oznacza to, że na dzień 31 grudnia 2019 r. na pokrycie tych gwarancji dost</w:t>
      </w:r>
      <w:r>
        <w:t>ępny był margines w wysokości 0,32 %. W tym celu UE ma prawo zwrócić się do państw członkowskich, aby zapewnić przestrzeganie zobowiązań prawnych UE wobec jej pożyczkodawców.</w:t>
      </w:r>
    </w:p>
    <w:p w:rsidR="0043277E" w:rsidRDefault="000F2348">
      <w:pPr>
        <w:pStyle w:val="HEADER5"/>
        <w:rPr>
          <w:noProof/>
        </w:rPr>
      </w:pPr>
      <w:r>
        <w:rPr>
          <w:noProof/>
        </w:rPr>
        <w:t>Zasoby finansowe</w:t>
      </w:r>
    </w:p>
    <w:p w:rsidR="0043277E" w:rsidRDefault="000F2348">
      <w:pPr>
        <w:pStyle w:val="DGTextstand-alone"/>
      </w:pPr>
      <w:r>
        <w:t>Większa część zasobów finansowych Komisji, zgodnie z rozporządze</w:t>
      </w:r>
      <w:r>
        <w:t>niem Rady nr 609/2014 (zmienionym rozporządzeniem Rady 2016/804) w sprawie zasobów własnych, jest przechowywana na rachunkach otwartych przez państwa członkowskie w celu wpłacania swoich składek (na poczet zasobów własnych). Wszystkie tego rodzaju rachunki</w:t>
      </w:r>
      <w:r>
        <w:t xml:space="preserve"> to rachunki otwarte przez administracje finansowe państw członkowskich lub rachunki prowadzone w krajowych bankach centralnych. Instytucje te niosą ze sobą najmniejsze ryzyko kredytowe (lub ryzyko kontrahenta) dla Komisji, gdyż ekspozycja pozostaje po str</w:t>
      </w:r>
      <w:r>
        <w:t>onie państwa członkowskiego. Jeśli chodzi o część zasobów finansowych Komisji przechowywaną w bankach komercyjnych, na potrzeby dokonywania płatności uzupełnia się środki na tych rachunkach dopiero wtedy, kiedy jest to niezbędne. Zarządzanie tym procesem o</w:t>
      </w:r>
      <w:r>
        <w:t>dbywa się automatycznie za pośrednictwem systemu zarządzania środkami pieniężnymi. Na każdym rachunku utrzymywany jest minimalny stan środków pieniężnych, dostosowany do średniej kwoty dokonywanych z niego dziennych płatności. W rezultacie łączne kwoty utr</w:t>
      </w:r>
      <w:r>
        <w:t>zymywane przez noc na tych rachunkach pozostają stale na niskich poziomach (ogółem średnio mniej niż 70 mln EUR rozłożonych na ok. 20 rachunkach), dzięki czemu zapewnia się ograniczenie ekspozycji Komisji na ryzyko. Kwoty te należy postrzegać w odniesieniu</w:t>
      </w:r>
      <w:r>
        <w:t xml:space="preserve"> do sald środków finansowych ogółem, które wahały się w 2019 r. w przedziale od 6 mld EUR do 40 mld EUR, przy ogólnej kwocie płatności dokonanych w 2019 r. z rachunków Komisji, która przekroczyła 158 mld EUR.</w:t>
      </w:r>
    </w:p>
    <w:p w:rsidR="0043277E" w:rsidRDefault="000F2348">
      <w:pPr>
        <w:pStyle w:val="DGTextstand-alone"/>
      </w:pPr>
      <w:r>
        <w:t>Dodatkowo przy wyborze banków komercyjnych zast</w:t>
      </w:r>
      <w:r>
        <w:t>osowanie mają szczegółowe wytyczne w celu dalszego zminimalizowania ryzyka kontrahenta, na które narażona jest Komisja.</w:t>
      </w:r>
    </w:p>
    <w:p w:rsidR="0043277E" w:rsidRDefault="000F2348">
      <w:pPr>
        <w:pStyle w:val="DGTextstand-alone"/>
        <w:numPr>
          <w:ilvl w:val="0"/>
          <w:numId w:val="36"/>
        </w:numPr>
      </w:pPr>
      <w:r>
        <w:t>Wszystkie banki komercyjne są wybierane w drodze zaproszenia do składania ofert. Aby zostać dopuszczonym do udziału w procedurach przeta</w:t>
      </w:r>
      <w:r>
        <w:t>rgowych, wymagane jest posiadanie minimalnego krótkoterminowego ratingu kredytowego na poziomie P-1 przyznanego przez agencję ratingową Moody's lub na poziomie równoważnym. W szczególnych i należycie uzasadnionych okolicznościach można dopuścić niższy pozi</w:t>
      </w:r>
      <w:r>
        <w:t>om ratingu.</w:t>
      </w:r>
    </w:p>
    <w:p w:rsidR="0043277E" w:rsidRDefault="000F2348">
      <w:pPr>
        <w:pStyle w:val="DGTextstand-alone"/>
        <w:numPr>
          <w:ilvl w:val="0"/>
          <w:numId w:val="36"/>
        </w:numPr>
      </w:pPr>
      <w:r>
        <w:t xml:space="preserve">Ratingi kredytowe banków komercyjnych, w których Komisja posiada rachunki, są monitorowane codziennie. </w:t>
      </w:r>
    </w:p>
    <w:p w:rsidR="0043277E" w:rsidRDefault="000F2348">
      <w:pPr>
        <w:pStyle w:val="DGTextstand-alone"/>
        <w:numPr>
          <w:ilvl w:val="0"/>
          <w:numId w:val="36"/>
        </w:numPr>
      </w:pPr>
      <w:r>
        <w:t>W delegaturach poza UE rachunki zaliczkowe są prowadzone w lokalnych bankach wybranych w drodze uproszczonej procedury przetargowej. Wymagan</w:t>
      </w:r>
      <w:r>
        <w:t>y poziom ratingu uzależniony jest od uwarunkowań lokalnych i może znacząco różnić się w poszczególnych państwach. Aby zmniejszyć ekspozycję na ryzyko, salda na tych rachunkach utrzymywane są na jak najniższym poziomie (przy uwzględnieniu potrzeb operacyjny</w:t>
      </w:r>
      <w:r>
        <w:t>ch), przechowywane na nich środki są regularnie uzupełniane, a obowiązujące pułapy są co roku poddawane przeglądowi.</w:t>
      </w:r>
    </w:p>
    <w:p w:rsidR="0043277E" w:rsidRDefault="000F2348">
      <w:pPr>
        <w:rPr>
          <w:rFonts w:ascii="Verdana" w:hAnsi="Verdana"/>
          <w:noProof/>
          <w:color w:val="016794"/>
          <w:sz w:val="18"/>
          <w:szCs w:val="18"/>
        </w:rPr>
      </w:pPr>
      <w:r>
        <w:rPr>
          <w:noProof/>
        </w:rPr>
        <w:br w:type="page"/>
      </w:r>
    </w:p>
    <w:p w:rsidR="0043277E" w:rsidRDefault="000F2348">
      <w:pPr>
        <w:pStyle w:val="HEADER5"/>
        <w:rPr>
          <w:noProof/>
        </w:rPr>
      </w:pPr>
      <w:r>
        <w:rPr>
          <w:noProof/>
        </w:rPr>
        <w:lastRenderedPageBreak/>
        <w:t>Grzywny</w:t>
      </w:r>
    </w:p>
    <w:p w:rsidR="0043277E" w:rsidRDefault="000F2348">
      <w:pPr>
        <w:pStyle w:val="Textstand-alone"/>
        <w:rPr>
          <w:i/>
        </w:rPr>
      </w:pPr>
      <w:r>
        <w:rPr>
          <w:i/>
        </w:rPr>
        <w:t>Tymczasowo zainkasowane grzywny: depozyty</w:t>
      </w:r>
    </w:p>
    <w:p w:rsidR="0043277E" w:rsidRDefault="000F2348">
      <w:pPr>
        <w:pStyle w:val="DGTextstand-alone"/>
      </w:pPr>
      <w:r>
        <w:t>Banki, w których zdeponowane są środki z tytułu grzywien tymczasowo zainkasowanych prze</w:t>
      </w:r>
      <w:r>
        <w:t>d 2010 r., wybiera się w procedurze przetargowej zgodnie z polityką zarządzania ryzykiem, w której określone są wymogi dotyczące ratingu kredytowego oraz kwota środków, które można zdeponować w stosunku do kapitału własnego kontrahenta.</w:t>
      </w:r>
    </w:p>
    <w:p w:rsidR="0043277E" w:rsidRDefault="000F2348">
      <w:pPr>
        <w:pStyle w:val="DGTextstand-alone"/>
      </w:pPr>
      <w:r>
        <w:t xml:space="preserve">W przypadku banków </w:t>
      </w:r>
      <w:r>
        <w:t xml:space="preserve">komercyjnych, które wybiera się specjalnie w celu zdeponowania w nich tymczasowo zainkasowanych grzywien, wymagany jest co do zasady minimalny długoterminowy rating na poziomie A (S&amp;P lub równoważny) przyznany przez dwie agencje ratingowe. W przypadku gdy </w:t>
      </w:r>
      <w:r>
        <w:t xml:space="preserve">rating tych banków zostaje obniżony, stosuje się specjalne środki. Ponadto kwota zdeponowana w każdym banku jest ograniczona do określonej części procentowej jego środków własnych, która różni się w zależności od ratingu każdej instytucji. Przy obliczaniu </w:t>
      </w:r>
      <w:r>
        <w:t>takiego pułapu uwzględnia się także kwotę nierozliczonych gwarancji udzielonych Komisji przez tę instytucję. Zgodność złożonych depozytów z obowiązującymi wymogami wynikającymi z prowadzonej polityki podlega regularnej kontroli.</w:t>
      </w:r>
    </w:p>
    <w:p w:rsidR="0043277E" w:rsidRDefault="000F2348">
      <w:pPr>
        <w:pStyle w:val="Textstand-alone"/>
        <w:rPr>
          <w:i/>
        </w:rPr>
      </w:pPr>
      <w:r>
        <w:rPr>
          <w:i/>
        </w:rPr>
        <w:t>Tymczasowo zainkasowane grz</w:t>
      </w:r>
      <w:r>
        <w:rPr>
          <w:i/>
        </w:rPr>
        <w:t>ywny: portfel BUFI</w:t>
      </w:r>
    </w:p>
    <w:p w:rsidR="0043277E" w:rsidRDefault="000F2348">
      <w:pPr>
        <w:pStyle w:val="DGTextstand-alone"/>
      </w:pPr>
      <w:r>
        <w:t>W przypadku inwestycji związanych z długiem państwowym realizowanych z tymczasowo zainkasowanych grzywien nakładanych od 2010 r. Komisja jest narażona na ryzyko kredytowe. Największa koncentracja ekspozycji przypada na Hiszpanię, poniewa</w:t>
      </w:r>
      <w:r>
        <w:t>ż odsetek inwestycji w tym kraju wynosi 20 % portfela. Pięć państw o największej ekspozycji (Hiszpania, Włochy, Niemcy, Francja i Belgia) stanowi łącznie 52 % portfela inwestycyjnego. Średni ważony rating kredytowy portfela to A (rating S&amp;P lub równoważny)</w:t>
      </w:r>
      <w:r>
        <w:t>.</w:t>
      </w:r>
    </w:p>
    <w:p w:rsidR="0043277E" w:rsidRDefault="000F2348">
      <w:pPr>
        <w:pStyle w:val="Textstand-alone"/>
        <w:rPr>
          <w:i/>
        </w:rPr>
      </w:pPr>
      <w:r>
        <w:rPr>
          <w:i/>
        </w:rPr>
        <w:t>Gwarancje finansowe</w:t>
      </w:r>
    </w:p>
    <w:p w:rsidR="0043277E" w:rsidRDefault="000F2348">
      <w:pPr>
        <w:pStyle w:val="DGTextstand-alone"/>
      </w:pPr>
      <w:r>
        <w:t>Polityka zarządzania ryzykiem stosowana w odniesieniu do przyjmowania takich gwarancji zapewnia Komisji wysoką jakość kredytową. Polityka ta obejmuje określanie maksymalnego zaangażowania kredytowego wobec danego podmiotu sektora fina</w:t>
      </w:r>
      <w:r>
        <w:t>nsowego w oparciu o jego rating kredytowy i poziom jego kapitału ujęty w jego sprawozdaniach finansowych prowadzonych zgodnie z MSSF. Zgodność nierozliczonych gwarancji z obowiązującymi wymogami wynikającymi z prowadzonej polityki podlega regularnej kontro</w:t>
      </w:r>
      <w:r>
        <w:t>li.</w:t>
      </w:r>
    </w:p>
    <w:p w:rsidR="0043277E" w:rsidRDefault="000F2348">
      <w:pPr>
        <w:pStyle w:val="HEADER5"/>
        <w:rPr>
          <w:noProof/>
        </w:rPr>
      </w:pPr>
      <w:r>
        <w:rPr>
          <w:noProof/>
        </w:rPr>
        <w:t>Fundusz Gwarancyjny dla działań zewnętrznych</w:t>
      </w:r>
    </w:p>
    <w:p w:rsidR="0043277E" w:rsidRDefault="000F2348">
      <w:pPr>
        <w:pStyle w:val="DGTextstand-alone"/>
      </w:pPr>
      <w:r>
        <w:t>W wytycznych dotyczących zarządzania aktywami lub w strategii inwestycyjnej ustanowiono określone progi i ograniczenia, aby zmniejszyć ekspozycję portfela na ryzyko kredytowe. Takie progi i ograniczenia obej</w:t>
      </w:r>
      <w:r>
        <w:t>mują kryteria kwalifikowalności, bezwzględne limity kredytowe w ujęciu nominalnym w zależności od kategorii emitenta, względne limity koncentracji w zależności od kategorii emitenta oraz limity koncentracji dla poszczególnych emisji. Wszystkie inwestycje p</w:t>
      </w:r>
      <w:r>
        <w:t>osiadają rating na poziomie co najmniej inwestycyjnym.</w:t>
      </w:r>
    </w:p>
    <w:p w:rsidR="0043277E" w:rsidRDefault="000F2348">
      <w:pPr>
        <w:pStyle w:val="HEADER5"/>
        <w:rPr>
          <w:noProof/>
        </w:rPr>
      </w:pPr>
      <w:r>
        <w:rPr>
          <w:noProof/>
        </w:rPr>
        <w:t>Fundusz Gwarancyjny EFIS</w:t>
      </w:r>
    </w:p>
    <w:p w:rsidR="0043277E" w:rsidRDefault="000F2348">
      <w:pPr>
        <w:pStyle w:val="DGTextstand-alone"/>
      </w:pPr>
      <w:r>
        <w:t xml:space="preserve">W wytycznych dotyczących zarządzania aktywami oraz w strategiach dotyczących ryzyka i strategiach inwestycyjnych wyznaczono określone progi i ograniczenia, aby zmniejszyć </w:t>
      </w:r>
      <w:r>
        <w:t>ekspozycję portfela, który ogranicza się do ratingu na poziomie inwestycyjnym, na ryzyko kredytowe – wspomniane progi i ograniczenia nie dotyczą jednak ekspozycji państw członkowskich UE. Średni ważony rating kredytowy portfela to BBB+ (rating S&amp;P lub równ</w:t>
      </w:r>
      <w:r>
        <w:t>oważny).</w:t>
      </w:r>
    </w:p>
    <w:p w:rsidR="0043277E" w:rsidRDefault="000F2348">
      <w:pPr>
        <w:pStyle w:val="DGTextstand-alone"/>
      </w:pPr>
      <w:r>
        <w:t>Ponieważ według stanu na dzień 31 grudnia 2019 r. Banque de France jest wyłącznym kontrahentem dla wszystkich pozostających do spłaty kontraktów walutowych typu forward, do tego dnia nie wprowadzono żadnych elementów powodujących poprawę kredytowa</w:t>
      </w:r>
      <w:r>
        <w:t>nia, takich jak zabezpieczenia, umowy o kompensowaniu zobowiązań lub gwarancje. W przypadku walutowych instrumentów pochodnych posiadających dodatnią wartość godziwą na koniec okresu sprawozdawczego maksymalna ekspozycja na ryzyko kredytowe odpowiada warto</w:t>
      </w:r>
      <w:r>
        <w:t>ści aktywów netto bilansu.</w:t>
      </w:r>
    </w:p>
    <w:p w:rsidR="0043277E" w:rsidRDefault="000F2348">
      <w:pPr>
        <w:pStyle w:val="HEADER5"/>
        <w:rPr>
          <w:noProof/>
        </w:rPr>
      </w:pPr>
      <w:r>
        <w:rPr>
          <w:noProof/>
        </w:rPr>
        <w:t>Fundusz gwarancyjny EFZR</w:t>
      </w:r>
    </w:p>
    <w:p w:rsidR="0043277E" w:rsidRDefault="000F2348">
      <w:pPr>
        <w:pStyle w:val="DGTextstand-alone"/>
        <w:spacing w:after="0"/>
      </w:pPr>
      <w:r>
        <w:t>W wytycznych dotyczących zarządzania aktywami oraz w strategiach dotyczących ryzyka i strategiach inwestycyjnych wyznaczono określone progi i ograniczenia, aby zmniejszyć ekspozycję portfela, który ograni</w:t>
      </w:r>
      <w:r>
        <w:t xml:space="preserve">cza się do ratingu na poziomie inwestycyjnym, na ryzyko kredytowe – wspomniane progi i </w:t>
      </w:r>
      <w:r>
        <w:lastRenderedPageBreak/>
        <w:t>ograniczenia nie dotyczą jednak ekspozycji państw członkowskich UE. Średni ważony rating kredytowy portfela to BBB+ (rating S&amp;P lub równoważny).</w:t>
      </w:r>
    </w:p>
    <w:p w:rsidR="0043277E" w:rsidRDefault="000F2348">
      <w:pPr>
        <w:pStyle w:val="DGTextstand-alone"/>
        <w:spacing w:before="0" w:after="0"/>
      </w:pPr>
      <w:r>
        <w:t xml:space="preserve"> </w:t>
      </w:r>
    </w:p>
    <w:p w:rsidR="0043277E" w:rsidRDefault="000F2348">
      <w:pPr>
        <w:rPr>
          <w:rFonts w:ascii="Verdana" w:hAnsi="Verdana"/>
          <w:b/>
          <w:noProof/>
          <w:color w:val="016794"/>
          <w:sz w:val="28"/>
          <w:szCs w:val="28"/>
        </w:rPr>
      </w:pPr>
      <w:r>
        <w:rPr>
          <w:noProof/>
        </w:rPr>
        <w:br w:type="page"/>
      </w:r>
    </w:p>
    <w:p w:rsidR="0043277E" w:rsidRDefault="000F2348">
      <w:pPr>
        <w:pStyle w:val="HEADER2NOTES"/>
        <w:rPr>
          <w:noProof/>
        </w:rPr>
      </w:pPr>
      <w:r>
        <w:rPr>
          <w:noProof/>
        </w:rPr>
        <w:lastRenderedPageBreak/>
        <w:t>RYZYKO PŁYNNOŚCI</w:t>
      </w:r>
    </w:p>
    <w:p w:rsidR="0043277E" w:rsidRDefault="000F2348">
      <w:pPr>
        <w:pStyle w:val="HEADER5"/>
        <w:rPr>
          <w:noProof/>
        </w:rPr>
      </w:pPr>
      <w:r>
        <w:rPr>
          <w:noProof/>
        </w:rPr>
        <w:t>Ana</w:t>
      </w:r>
      <w:r>
        <w:rPr>
          <w:noProof/>
        </w:rPr>
        <w:t>liza zobowiązań finansowych stosownie do okresu pozostałego do umownego terminu wymagalności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589"/>
        <w:gridCol w:w="1590"/>
        <w:gridCol w:w="1590"/>
        <w:gridCol w:w="1590"/>
      </w:tblGrid>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8BIPLR"/>
              <w:rPr>
                <w:rFonts w:ascii="Arial" w:eastAsia="Arial" w:hAnsi="Arial" w:cs="Arial"/>
                <w:noProof/>
                <w:color w:val="000000"/>
              </w:rPr>
            </w:pPr>
            <w:bookmarkStart w:id="158" w:name="DOC_TBL00093_1_1"/>
            <w:bookmarkEnd w:id="158"/>
          </w:p>
        </w:tc>
        <w:tc>
          <w:tcPr>
            <w:tcW w:w="1589"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7228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7228BIPLR"/>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hRule="exact" w:val="255"/>
        </w:trPr>
        <w:tc>
          <w:tcPr>
            <w:tcW w:w="339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28BIPLR"/>
              <w:jc w:val="right"/>
              <w:rPr>
                <w:rFonts w:ascii="Verdana" w:eastAsia="Verdana" w:hAnsi="Verdana" w:cs="Verdana"/>
                <w:noProof/>
                <w:color w:val="FFFFFF"/>
              </w:rPr>
            </w:pPr>
          </w:p>
        </w:tc>
        <w:tc>
          <w:tcPr>
            <w:tcW w:w="158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8BIPLR"/>
              <w:jc w:val="right"/>
              <w:rPr>
                <w:rFonts w:ascii="Verdana" w:eastAsia="Verdana" w:hAnsi="Verdana" w:cs="Verdana"/>
                <w:noProof/>
                <w:color w:val="FFFFFF"/>
              </w:rPr>
            </w:pPr>
            <w:r>
              <w:rPr>
                <w:rFonts w:ascii="Verdana" w:hAnsi="Verdana"/>
                <w:noProof/>
                <w:color w:val="FFFFFF"/>
              </w:rPr>
              <w:t>&lt; 1 rok</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8BIPLR"/>
              <w:jc w:val="right"/>
              <w:rPr>
                <w:rFonts w:ascii="Verdana" w:eastAsia="Verdana" w:hAnsi="Verdana" w:cs="Verdana"/>
                <w:noProof/>
                <w:color w:val="FFFFFF"/>
              </w:rPr>
            </w:pPr>
            <w:r>
              <w:rPr>
                <w:rFonts w:ascii="Verdana" w:hAnsi="Verdana"/>
                <w:noProof/>
                <w:color w:val="FFFFFF"/>
              </w:rPr>
              <w:t>1–5 lat</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8BIPLR"/>
              <w:jc w:val="right"/>
              <w:rPr>
                <w:rFonts w:ascii="Verdana" w:eastAsia="Verdana" w:hAnsi="Verdana" w:cs="Verdana"/>
                <w:noProof/>
                <w:color w:val="FFFFFF"/>
              </w:rPr>
            </w:pPr>
            <w:r>
              <w:rPr>
                <w:rFonts w:ascii="Verdana" w:hAnsi="Verdana"/>
                <w:noProof/>
                <w:color w:val="FFFFFF"/>
              </w:rPr>
              <w:t>&gt; 5 lat</w:t>
            </w:r>
          </w:p>
        </w:tc>
        <w:tc>
          <w:tcPr>
            <w:tcW w:w="159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28BIPLR"/>
              <w:jc w:val="right"/>
              <w:rPr>
                <w:rFonts w:ascii="Verdana" w:eastAsia="Verdana" w:hAnsi="Verdana" w:cs="Verdana"/>
                <w:noProof/>
                <w:color w:val="FFFFFF"/>
              </w:rPr>
            </w:pPr>
            <w:r>
              <w:rPr>
                <w:rFonts w:ascii="Verdana" w:hAnsi="Verdana"/>
                <w:noProof/>
                <w:color w:val="FFFFFF"/>
              </w:rPr>
              <w:t>Ogółem</w:t>
            </w:r>
          </w:p>
        </w:tc>
      </w:tr>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i/>
                <w:noProof/>
                <w:color w:val="000000"/>
                <w:sz w:val="18"/>
              </w:rPr>
            </w:pPr>
            <w:r>
              <w:rPr>
                <w:rFonts w:ascii="Verdana" w:hAnsi="Verdana"/>
                <w:i/>
                <w:noProof/>
                <w:color w:val="000000"/>
                <w:sz w:val="18"/>
              </w:rPr>
              <w:t>Zaciągnięte pożyczki</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(1 273)</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(19 312)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(31 978)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(52 564)</w:t>
            </w:r>
          </w:p>
        </w:tc>
      </w:tr>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i/>
                <w:noProof/>
                <w:color w:val="000000"/>
                <w:sz w:val="18"/>
              </w:rPr>
            </w:pPr>
            <w:r>
              <w:rPr>
                <w:rFonts w:ascii="Verdana" w:hAnsi="Verdana"/>
                <w:i/>
                <w:noProof/>
                <w:color w:val="000000"/>
                <w:sz w:val="18"/>
              </w:rPr>
              <w:t>Zobowiązania</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(27 241)</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(27 241)</w:t>
            </w:r>
          </w:p>
        </w:tc>
      </w:tr>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i/>
                <w:noProof/>
                <w:color w:val="000000"/>
                <w:sz w:val="18"/>
              </w:rPr>
            </w:pPr>
            <w:r>
              <w:rPr>
                <w:rFonts w:ascii="Verdana" w:hAnsi="Verdana"/>
                <w:i/>
                <w:noProof/>
                <w:color w:val="000000"/>
                <w:sz w:val="18"/>
              </w:rPr>
              <w:t xml:space="preserve">Zobowiązania z tytułu </w:t>
            </w:r>
            <w:r>
              <w:rPr>
                <w:rFonts w:ascii="Verdana" w:hAnsi="Verdana"/>
                <w:i/>
                <w:noProof/>
                <w:color w:val="000000"/>
                <w:sz w:val="18"/>
              </w:rPr>
              <w:t>gwarancji finansowych</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 xml:space="preserve"> (20)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 xml:space="preserve"> (20)</w:t>
            </w:r>
          </w:p>
        </w:tc>
      </w:tr>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i/>
                <w:noProof/>
                <w:color w:val="000000"/>
                <w:sz w:val="18"/>
              </w:rPr>
            </w:pPr>
            <w:r>
              <w:rPr>
                <w:rFonts w:ascii="Verdana" w:hAnsi="Verdana"/>
                <w:i/>
                <w:noProof/>
                <w:color w:val="000000"/>
                <w:sz w:val="18"/>
              </w:rPr>
              <w:t>Inne</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 xml:space="preserve"> (149)</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 xml:space="preserve"> (640)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(1 132)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(1 921)</w:t>
            </w:r>
          </w:p>
        </w:tc>
      </w:tr>
      <w:tr w:rsidR="0043277E">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b/>
                <w:noProof/>
                <w:color w:val="000000"/>
                <w:sz w:val="18"/>
              </w:rPr>
            </w:pPr>
            <w:r>
              <w:rPr>
                <w:rFonts w:ascii="Verdana" w:hAnsi="Verdana"/>
                <w:b/>
                <w:noProof/>
                <w:color w:val="000000"/>
                <w:sz w:val="18"/>
              </w:rPr>
              <w:t>Ogółem na 31.12.2019</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(28 684)</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(19 952)</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(33 110)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(81 746)</w:t>
            </w:r>
          </w:p>
        </w:tc>
      </w:tr>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i/>
                <w:noProof/>
                <w:color w:val="000000"/>
                <w:sz w:val="18"/>
              </w:rPr>
            </w:pPr>
            <w:r>
              <w:rPr>
                <w:rFonts w:ascii="Verdana" w:hAnsi="Verdana"/>
                <w:i/>
                <w:noProof/>
                <w:color w:val="000000"/>
                <w:sz w:val="18"/>
              </w:rPr>
              <w:t>Zaciągnięte pożyczki</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(2 350)</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(17 363)</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(34 158)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(53 872)</w:t>
            </w:r>
          </w:p>
        </w:tc>
      </w:tr>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i/>
                <w:noProof/>
                <w:color w:val="000000"/>
                <w:sz w:val="18"/>
              </w:rPr>
            </w:pPr>
            <w:r>
              <w:rPr>
                <w:rFonts w:ascii="Verdana" w:hAnsi="Verdana"/>
                <w:i/>
                <w:noProof/>
                <w:color w:val="000000"/>
                <w:sz w:val="18"/>
              </w:rPr>
              <w:t>Zobowiązania</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(32 227)</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8BIPLR"/>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28BIPLR"/>
              <w:jc w:val="right"/>
              <w:rPr>
                <w:rFonts w:ascii="Verdana" w:eastAsia="Verdana" w:hAnsi="Verdana" w:cs="Verdana"/>
                <w:i/>
                <w:noProof/>
                <w:color w:val="000000"/>
                <w:sz w:val="18"/>
              </w:rPr>
            </w:pP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(32 227)</w:t>
            </w:r>
          </w:p>
        </w:tc>
      </w:tr>
      <w:tr w:rsidR="0043277E">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i/>
                <w:noProof/>
                <w:color w:val="000000"/>
                <w:sz w:val="18"/>
              </w:rPr>
            </w:pPr>
            <w:r>
              <w:rPr>
                <w:rFonts w:ascii="Verdana" w:hAnsi="Verdana"/>
                <w:i/>
                <w:noProof/>
                <w:color w:val="000000"/>
                <w:sz w:val="18"/>
              </w:rPr>
              <w:t>Inne</w:t>
            </w:r>
          </w:p>
        </w:tc>
        <w:tc>
          <w:tcPr>
            <w:tcW w:w="15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 xml:space="preserve"> (252)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 xml:space="preserve"> (648)</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(1 112)</w:t>
            </w:r>
          </w:p>
        </w:tc>
        <w:tc>
          <w:tcPr>
            <w:tcW w:w="15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i/>
                <w:noProof/>
                <w:color w:val="000000"/>
                <w:sz w:val="18"/>
              </w:rPr>
            </w:pPr>
            <w:r>
              <w:rPr>
                <w:rFonts w:ascii="Verdana" w:hAnsi="Verdana"/>
                <w:i/>
                <w:noProof/>
                <w:color w:val="000000"/>
                <w:sz w:val="18"/>
              </w:rPr>
              <w:t xml:space="preserve">(2 </w:t>
            </w:r>
            <w:r>
              <w:rPr>
                <w:rFonts w:ascii="Verdana" w:hAnsi="Verdana"/>
                <w:i/>
                <w:noProof/>
                <w:color w:val="000000"/>
                <w:sz w:val="18"/>
              </w:rPr>
              <w:t>012)</w:t>
            </w:r>
          </w:p>
        </w:tc>
      </w:tr>
      <w:tr w:rsidR="0043277E">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rPr>
                <w:rFonts w:ascii="Verdana" w:eastAsia="Verdana" w:hAnsi="Verdana" w:cs="Verdana"/>
                <w:b/>
                <w:noProof/>
                <w:color w:val="000000"/>
                <w:sz w:val="18"/>
              </w:rPr>
            </w:pPr>
            <w:r>
              <w:rPr>
                <w:rFonts w:ascii="Verdana" w:hAnsi="Verdana"/>
                <w:b/>
                <w:noProof/>
                <w:color w:val="000000"/>
                <w:sz w:val="18"/>
              </w:rPr>
              <w:t>Ogółem na 31.12.2018</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(34 829)</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(18 011)</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(35 270)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7228BIPLR"/>
              <w:jc w:val="right"/>
              <w:rPr>
                <w:rFonts w:ascii="Verdana" w:eastAsia="Verdana" w:hAnsi="Verdana" w:cs="Verdana"/>
                <w:b/>
                <w:noProof/>
                <w:color w:val="000000"/>
                <w:sz w:val="18"/>
              </w:rPr>
            </w:pPr>
            <w:r>
              <w:rPr>
                <w:rFonts w:ascii="Verdana" w:hAnsi="Verdana"/>
                <w:b/>
                <w:noProof/>
                <w:color w:val="000000"/>
                <w:sz w:val="18"/>
              </w:rPr>
              <w:t>(88 110)</w:t>
            </w:r>
          </w:p>
        </w:tc>
      </w:tr>
    </w:tbl>
    <w:p w:rsidR="0043277E" w:rsidRDefault="000F2348">
      <w:pPr>
        <w:pStyle w:val="HEADER5"/>
        <w:spacing w:before="240"/>
        <w:rPr>
          <w:noProof/>
        </w:rPr>
      </w:pPr>
      <w:r>
        <w:rPr>
          <w:noProof/>
        </w:rPr>
        <w:t xml:space="preserve">Instrumenty finansowe wyceniane według wartości godziwej przez nadwyżkę lub deficyt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5"/>
        <w:gridCol w:w="1480"/>
        <w:gridCol w:w="1481"/>
        <w:gridCol w:w="1481"/>
        <w:gridCol w:w="1481"/>
      </w:tblGrid>
      <w:tr w:rsidR="0043277E">
        <w:trPr>
          <w:trHeight w:val="255"/>
        </w:trPr>
        <w:tc>
          <w:tcPr>
            <w:tcW w:w="3835"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39BIPFLA"/>
              <w:rPr>
                <w:rFonts w:ascii="Arial" w:eastAsia="Arial" w:hAnsi="Arial" w:cs="Arial"/>
                <w:noProof/>
                <w:color w:val="000000"/>
              </w:rPr>
            </w:pPr>
            <w:bookmarkStart w:id="159" w:name="DOC_TBL00094_1_1"/>
            <w:bookmarkEnd w:id="159"/>
          </w:p>
        </w:tc>
        <w:tc>
          <w:tcPr>
            <w:tcW w:w="1480"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43277E" w:rsidRDefault="0043277E">
            <w:pPr>
              <w:pStyle w:val="DMETW16539BIPFLA"/>
              <w:rPr>
                <w:rFonts w:ascii="Arial" w:eastAsia="Arial" w:hAnsi="Arial" w:cs="Arial"/>
                <w:noProof/>
                <w:color w:val="000000"/>
              </w:rPr>
            </w:pPr>
          </w:p>
        </w:tc>
        <w:tc>
          <w:tcPr>
            <w:tcW w:w="1481" w:type="dxa"/>
            <w:tcBorders>
              <w:top w:val="nil"/>
              <w:left w:val="nil"/>
              <w:bottom w:val="nil"/>
              <w:right w:val="nil"/>
              <w:tl2br w:val="nil"/>
              <w:tr2bl w:val="nil"/>
            </w:tcBorders>
            <w:shd w:val="clear" w:color="auto" w:fill="auto"/>
            <w:tcMar>
              <w:left w:w="60" w:type="dxa"/>
              <w:right w:w="60" w:type="dxa"/>
            </w:tcMar>
            <w:vAlign w:val="bottom"/>
          </w:tcPr>
          <w:p w:rsidR="0043277E" w:rsidRDefault="000F2348">
            <w:pPr>
              <w:pStyle w:val="DMETW16539BIPFLA"/>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55"/>
        </w:trPr>
        <w:tc>
          <w:tcPr>
            <w:tcW w:w="3835"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6539BIPFLA"/>
              <w:jc w:val="right"/>
              <w:rPr>
                <w:rFonts w:ascii="Verdana" w:eastAsia="Verdana" w:hAnsi="Verdana" w:cs="Verdana"/>
                <w:noProof/>
                <w:color w:val="FFFFFF"/>
              </w:rPr>
            </w:pPr>
          </w:p>
        </w:tc>
        <w:tc>
          <w:tcPr>
            <w:tcW w:w="14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39BIPFLA"/>
              <w:jc w:val="right"/>
              <w:rPr>
                <w:rFonts w:ascii="Verdana" w:eastAsia="Verdana" w:hAnsi="Verdana" w:cs="Verdana"/>
                <w:noProof/>
                <w:color w:val="FFFFFF"/>
              </w:rPr>
            </w:pPr>
            <w:r>
              <w:rPr>
                <w:rFonts w:ascii="Verdana" w:hAnsi="Verdana"/>
                <w:noProof/>
                <w:color w:val="FFFFFF"/>
              </w:rPr>
              <w:t>&lt; 1 rok</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39BIPFLA"/>
              <w:jc w:val="right"/>
              <w:rPr>
                <w:rFonts w:ascii="Verdana" w:eastAsia="Verdana" w:hAnsi="Verdana" w:cs="Verdana"/>
                <w:noProof/>
                <w:color w:val="FFFFFF"/>
              </w:rPr>
            </w:pPr>
            <w:r>
              <w:rPr>
                <w:rFonts w:ascii="Verdana" w:hAnsi="Verdana"/>
                <w:noProof/>
                <w:color w:val="FFFFFF"/>
              </w:rPr>
              <w:t>1–5 lat</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39BIPFLA"/>
              <w:jc w:val="right"/>
              <w:rPr>
                <w:rFonts w:ascii="Verdana" w:eastAsia="Verdana" w:hAnsi="Verdana" w:cs="Verdana"/>
                <w:noProof/>
                <w:color w:val="FFFFFF"/>
              </w:rPr>
            </w:pPr>
            <w:r>
              <w:rPr>
                <w:rFonts w:ascii="Verdana" w:hAnsi="Verdana"/>
                <w:noProof/>
                <w:color w:val="FFFFFF"/>
              </w:rPr>
              <w:t>&gt; 5 lat</w:t>
            </w:r>
          </w:p>
        </w:tc>
        <w:tc>
          <w:tcPr>
            <w:tcW w:w="148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6539BIPFLA"/>
              <w:jc w:val="right"/>
              <w:rPr>
                <w:rFonts w:ascii="Verdana" w:eastAsia="Verdana" w:hAnsi="Verdana" w:cs="Verdana"/>
                <w:noProof/>
                <w:color w:val="FFFFFF"/>
              </w:rPr>
            </w:pPr>
            <w:r>
              <w:rPr>
                <w:rFonts w:ascii="Verdana" w:hAnsi="Verdana"/>
                <w:noProof/>
                <w:color w:val="FFFFFF"/>
              </w:rPr>
              <w:t>Ogółem</w:t>
            </w:r>
          </w:p>
        </w:tc>
      </w:tr>
      <w:tr w:rsidR="0043277E">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rPr>
                <w:rFonts w:ascii="Verdana" w:eastAsia="Verdana" w:hAnsi="Verdana" w:cs="Verdana"/>
                <w:i/>
                <w:noProof/>
                <w:color w:val="000000"/>
                <w:sz w:val="18"/>
              </w:rPr>
            </w:pPr>
            <w:r>
              <w:rPr>
                <w:rFonts w:ascii="Verdana" w:hAnsi="Verdana"/>
                <w:i/>
                <w:noProof/>
                <w:color w:val="000000"/>
                <w:sz w:val="18"/>
              </w:rPr>
              <w:t>Płatności dokonywane w ramach instrumentu pochodnego</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(2)</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(406)</w:t>
            </w:r>
          </w:p>
        </w:tc>
      </w:tr>
      <w:tr w:rsidR="0043277E">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rPr>
                <w:rFonts w:ascii="Verdana" w:eastAsia="Verdana" w:hAnsi="Verdana" w:cs="Verdana"/>
                <w:i/>
                <w:noProof/>
                <w:color w:val="000000"/>
                <w:sz w:val="18"/>
              </w:rPr>
            </w:pPr>
            <w:r>
              <w:rPr>
                <w:rFonts w:ascii="Verdana" w:hAnsi="Verdana"/>
                <w:i/>
                <w:noProof/>
                <w:color w:val="000000"/>
                <w:sz w:val="18"/>
              </w:rPr>
              <w:t>Płatności otrzymywane w ramach instrumentu pochodnego</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395</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395</w:t>
            </w:r>
          </w:p>
        </w:tc>
      </w:tr>
      <w:tr w:rsidR="0043277E">
        <w:trPr>
          <w:trHeight w:val="255"/>
        </w:trPr>
        <w:tc>
          <w:tcPr>
            <w:tcW w:w="3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rPr>
                <w:rFonts w:ascii="Verdana" w:eastAsia="Verdana" w:hAnsi="Verdana" w:cs="Verdana"/>
                <w:b/>
                <w:noProof/>
                <w:color w:val="000000"/>
                <w:sz w:val="18"/>
              </w:rPr>
            </w:pPr>
            <w:r>
              <w:rPr>
                <w:rFonts w:ascii="Verdana" w:hAnsi="Verdana"/>
                <w:b/>
                <w:noProof/>
                <w:color w:val="000000"/>
                <w:sz w:val="18"/>
              </w:rPr>
              <w:t>Przepływy pieniężne netto na 31.12.2019</w:t>
            </w:r>
          </w:p>
        </w:tc>
        <w:tc>
          <w:tcPr>
            <w:tcW w:w="14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(7)</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(10)</w:t>
            </w:r>
          </w:p>
        </w:tc>
      </w:tr>
      <w:tr w:rsidR="0043277E">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rPr>
                <w:rFonts w:ascii="Verdana" w:eastAsia="Verdana" w:hAnsi="Verdana" w:cs="Verdana"/>
                <w:i/>
                <w:noProof/>
                <w:color w:val="000000"/>
                <w:sz w:val="18"/>
              </w:rPr>
            </w:pPr>
            <w:r>
              <w:rPr>
                <w:rFonts w:ascii="Verdana" w:hAnsi="Verdana"/>
                <w:i/>
                <w:noProof/>
                <w:color w:val="000000"/>
                <w:sz w:val="18"/>
              </w:rPr>
              <w:t>Płatności dokonywane w ramach instrumentu pochodnego</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(490)</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(2)</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(6)</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(498)</w:t>
            </w:r>
          </w:p>
        </w:tc>
      </w:tr>
      <w:tr w:rsidR="0043277E">
        <w:trPr>
          <w:trHeight w:val="255"/>
        </w:trPr>
        <w:tc>
          <w:tcPr>
            <w:tcW w:w="3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rPr>
                <w:rFonts w:ascii="Verdana" w:eastAsia="Verdana" w:hAnsi="Verdana" w:cs="Verdana"/>
                <w:i/>
                <w:noProof/>
                <w:color w:val="000000"/>
                <w:sz w:val="18"/>
              </w:rPr>
            </w:pPr>
            <w:r>
              <w:rPr>
                <w:rFonts w:ascii="Verdana" w:hAnsi="Verdana"/>
                <w:i/>
                <w:noProof/>
                <w:color w:val="000000"/>
                <w:sz w:val="18"/>
              </w:rPr>
              <w:t xml:space="preserve">Płatności otrzymywane w </w:t>
            </w:r>
            <w:r>
              <w:rPr>
                <w:rFonts w:ascii="Verdana" w:hAnsi="Verdana"/>
                <w:i/>
                <w:noProof/>
                <w:color w:val="000000"/>
                <w:sz w:val="18"/>
              </w:rPr>
              <w:t>ramach instrumentu pochodnego</w:t>
            </w:r>
          </w:p>
        </w:tc>
        <w:tc>
          <w:tcPr>
            <w:tcW w:w="14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477</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477</w:t>
            </w:r>
          </w:p>
        </w:tc>
      </w:tr>
      <w:tr w:rsidR="0043277E">
        <w:trPr>
          <w:trHeight w:val="255"/>
        </w:trPr>
        <w:tc>
          <w:tcPr>
            <w:tcW w:w="3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rPr>
                <w:rFonts w:ascii="Verdana" w:eastAsia="Verdana" w:hAnsi="Verdana" w:cs="Verdana"/>
                <w:b/>
                <w:noProof/>
                <w:color w:val="000000"/>
                <w:sz w:val="18"/>
              </w:rPr>
            </w:pPr>
            <w:r>
              <w:rPr>
                <w:rFonts w:ascii="Verdana" w:hAnsi="Verdana"/>
                <w:b/>
                <w:noProof/>
                <w:color w:val="000000"/>
                <w:sz w:val="18"/>
              </w:rPr>
              <w:t>Przepływy pieniężne netto na 31.12.2018</w:t>
            </w:r>
          </w:p>
        </w:tc>
        <w:tc>
          <w:tcPr>
            <w:tcW w:w="14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(14)</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(6)</w:t>
            </w:r>
          </w:p>
        </w:tc>
        <w:tc>
          <w:tcPr>
            <w:tcW w:w="14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rsidR="0043277E" w:rsidRDefault="000F2348">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(21)</w:t>
            </w:r>
          </w:p>
        </w:tc>
      </w:tr>
    </w:tbl>
    <w:p w:rsidR="0043277E" w:rsidRDefault="000F2348">
      <w:pPr>
        <w:pStyle w:val="HEADER5"/>
        <w:spacing w:before="240"/>
        <w:rPr>
          <w:noProof/>
        </w:rPr>
      </w:pPr>
      <w:r>
        <w:rPr>
          <w:noProof/>
        </w:rPr>
        <w:t>Operacje zaciągania i udzielania pożyczek na pomoc finansową</w:t>
      </w:r>
    </w:p>
    <w:p w:rsidR="0043277E" w:rsidRDefault="000F2348">
      <w:pPr>
        <w:pStyle w:val="DGTextstand-alone"/>
      </w:pPr>
      <w:r>
        <w:t xml:space="preserve">Ryzyko utraty płynności wynikające z zaciągniętych pożyczek zasadniczo niwelują </w:t>
      </w:r>
      <w:r>
        <w:t>odpowiadające im pożyczki udzielane na analogicznych warunkach (pożyczki wzajemne). W przypadku pomocy makrofinansowej i Euratomu Fundusz Gwarancyjny dla działań zewnętrznych służy za rezerwę płynności (lub zabezpieczenie) na wypadek niewykonania zobowiąza</w:t>
      </w:r>
      <w:r>
        <w:t>nia lub zwłoki w płatności ze strony pożyczkobiorców. W przypadku bilansu płatniczego rozporządzeniem Rady nr 431/2009 ustanowiono procedurę, która zapewnia wystarczająco dużo czasu na uruchomienie środków poprzez rachunki Komisji prowadzone na potrzeby za</w:t>
      </w:r>
      <w:r>
        <w:t>sobów własnych w państwach członkowskich. W przypadku EFSM rozporządzeniem Rady 407/2010 ustanowiono podobną procedurę.</w:t>
      </w:r>
    </w:p>
    <w:p w:rsidR="0043277E" w:rsidRDefault="000F2348">
      <w:pPr>
        <w:pStyle w:val="DGTextstand-alone"/>
        <w:rPr>
          <w:rFonts w:eastAsia="Times New Roman"/>
          <w:color w:val="016794"/>
        </w:rPr>
      </w:pPr>
      <w:r>
        <w:rPr>
          <w:color w:val="016794"/>
        </w:rPr>
        <w:t>Zasoby finansowe</w:t>
      </w:r>
    </w:p>
    <w:p w:rsidR="0043277E" w:rsidRDefault="000F2348">
      <w:pPr>
        <w:pStyle w:val="DGTextstand-alone"/>
      </w:pPr>
      <w:r>
        <w:t>Zasady budżetu UE gwarantują, że ogólne zasoby środków pieniężnych na dany rok są zawsze wystarczające do wykonania wsz</w:t>
      </w:r>
      <w:r>
        <w:t>ystkich płatności. Kwota składek państw członkowskich ogółem wraz z różnymi przychodami równa się bowiem kwocie środków na płatności na dany rok budżetowy. Składki państw członkowskich wpływają jednak w ciągu roku w postaci dwunastu miesięcznych rat w opar</w:t>
      </w:r>
      <w:r>
        <w:t>ciu o przyjęty budżet, a tymczasem płatności dostosowuje się do potrzeb operacyjnych. Ponadto zgodnie z rozporządzeniem Rady 609/2014 (w sprawie metod i procedury udostępniania zasobów własnych, zmienionym rozporządzeniem Rady nr 804/2016) składki państw c</w:t>
      </w:r>
      <w:r>
        <w:t>złonkowskich związane z budżetami korygującymi zatwierdzonymi w danym miesiącu (N) stają się dostępne dopiero pierwszego dnia roboczego w miesiącu N+1 (jeżeli zostały zatwierdzone przed 16. dniem danego miesiąca) albo pierwszego dnia roboczego w miesiącu N</w:t>
      </w:r>
      <w:r>
        <w:t>+2 (jeżeli zostały zatwierdzone w 16. dniu danego miesiąca lub później), natomiast związane z nimi środki na płatności dostępne są natychmiast.</w:t>
      </w:r>
    </w:p>
    <w:p w:rsidR="0043277E" w:rsidRDefault="000F2348">
      <w:pPr>
        <w:pStyle w:val="DGTextstand-alone"/>
      </w:pPr>
      <w:r>
        <w:t>Obowiązujące procedury dotyczące regularnych prognoz w zakresie środków pieniężnych mają zagwarantować, że zasob</w:t>
      </w:r>
      <w:r>
        <w:t>y finansowe będą zawsze wystarczające na zrealizowanie płatności, jakie mają zostać wykonane w danym miesiącu, a w razie potrzeby można wezwać państwa członkowskie do przekazania środków na poczet zasobów własnych lub środków dodatkowych z wyprzedzeniem do</w:t>
      </w:r>
      <w:r>
        <w:t xml:space="preserve"> wysokości określonego pułapu i pod pewnymi warunkami. Potrzeby operacyjne i ogólne ograniczenia budżetowe w ostatnich latach sprawiły, że konieczne stało się uważniejsze monitorowanie tempa </w:t>
      </w:r>
      <w:r>
        <w:lastRenderedPageBreak/>
        <w:t>dokonywania płatności w ciągu roku. Oprócz tego, w kontekście bie</w:t>
      </w:r>
      <w:r>
        <w:t>żących operacji finansowych Komisji, automatyczne narzędzia zarządzania środkami pieniężnymi gwarantują odpowiednią płynność na wszystkich rachunkach bankowych Komisji na co dzień.</w:t>
      </w:r>
    </w:p>
    <w:p w:rsidR="0043277E" w:rsidRDefault="000F2348">
      <w:pPr>
        <w:pStyle w:val="DGTextstand-alone"/>
        <w:rPr>
          <w:rFonts w:eastAsia="Times New Roman"/>
          <w:color w:val="016794"/>
        </w:rPr>
      </w:pPr>
      <w:r>
        <w:rPr>
          <w:color w:val="016794"/>
        </w:rPr>
        <w:t>Grzywny</w:t>
      </w:r>
    </w:p>
    <w:p w:rsidR="0043277E" w:rsidRDefault="000F2348">
      <w:pPr>
        <w:pStyle w:val="DGTextstand-alone"/>
      </w:pPr>
      <w:r>
        <w:t>Zarządzanie funduszem BUFI, w ramach którego inwestuje się wstępnie</w:t>
      </w:r>
      <w:r>
        <w:t xml:space="preserve"> uiszczone grzywny, opiera się na zasadzie, że aktywa mają mieć wystarczający stopień płynności i mobilizacyjności w stosunku do odpowiednich zobowiązań. W skład portfela wchodzą głównie wysoce płynne papiery wartościowe, które mogą zostać sprzedane w celu</w:t>
      </w:r>
      <w:r>
        <w:t xml:space="preserve"> pokrycia krótkoterminowych wypływów środków pieniężnych. Ponadto udział środków pieniężnych, ekwiwalentów środków pieniężnych i papierów wartościowych, które staną się wymagalne w terminie 1 roku, wynosi 24 %.</w:t>
      </w:r>
    </w:p>
    <w:p w:rsidR="0043277E" w:rsidRDefault="000F2348">
      <w:pPr>
        <w:pStyle w:val="DGTextstand-alone"/>
        <w:rPr>
          <w:rFonts w:eastAsia="Times New Roman"/>
          <w:color w:val="016794"/>
        </w:rPr>
      </w:pPr>
      <w:r>
        <w:rPr>
          <w:color w:val="016794"/>
        </w:rPr>
        <w:t>Fundusz Gwarancyjny dla działań zewnętrznych</w:t>
      </w:r>
    </w:p>
    <w:p w:rsidR="0043277E" w:rsidRDefault="000F2348">
      <w:pPr>
        <w:pStyle w:val="DGTextstand-alone"/>
      </w:pPr>
      <w:r>
        <w:t>Zarządzanie funduszem opiera się na zasadzie, że aktywa mają mieć wystarczający stopień płynności i mobilizacyjności w stosunku do odpowiednich zobowiązań. Kwota aktywów pieniężnych dostępnych w ramach funduszu jest zatem wystarczająca do pokrycia krótkote</w:t>
      </w:r>
      <w:r>
        <w:t>rminowych wypływów środków pieniężnych. Ponadto udział środków pieniężnych, ekwiwalentów środków pieniężnych i papierów wartościowych, które staną się wymagalne w terminie 1 roku, wynosi 11 %.</w:t>
      </w:r>
    </w:p>
    <w:p w:rsidR="0043277E" w:rsidRDefault="000F2348">
      <w:pPr>
        <w:pStyle w:val="DGTextstand-alone"/>
        <w:rPr>
          <w:rFonts w:eastAsia="Times New Roman"/>
          <w:color w:val="016794"/>
        </w:rPr>
      </w:pPr>
      <w:r>
        <w:rPr>
          <w:color w:val="016794"/>
        </w:rPr>
        <w:t>Fundusz Gwarancyjny EFIS</w:t>
      </w:r>
    </w:p>
    <w:p w:rsidR="0043277E" w:rsidRDefault="000F2348">
      <w:pPr>
        <w:pStyle w:val="DGTextstand-alone"/>
      </w:pPr>
      <w:r>
        <w:t xml:space="preserve">Zarządzanie Funduszem Gwarancyjnym </w:t>
      </w:r>
      <w:r>
        <w:t>EFIS opiera się na zasadzie, że aktywa mają mieć wystarczający stopień płynności i mobilizacyjności w stosunku do odpowiednich zobowiązań. W skład portfela wchodzą aktywa płynne, które w razie potrzeby mogą zostać sprzedane w celu pokrycia krótkoterminowyc</w:t>
      </w:r>
      <w:r>
        <w:t>h wypływów środków pieniężnych. Ponadto udział środków pieniężnych, ekwiwalentów środków pieniężnych i papierów wartościowych, które staną się wymagalne w terminie 1 roku, wynosi 23 %.</w:t>
      </w:r>
    </w:p>
    <w:p w:rsidR="0043277E" w:rsidRDefault="000F2348">
      <w:pPr>
        <w:pStyle w:val="DGTextstand-alone"/>
      </w:pPr>
      <w:r>
        <w:t xml:space="preserve">Kontrakty na instrumenty pochodne rozlicza się brutto na podstawie ich </w:t>
      </w:r>
      <w:r>
        <w:t>umownego terminu zapadalności. Zobowiązania pokrywa się, sprzedając aktywa zdenominowane w USD lub przeprowadzając transakcje typu swap, w ramach których może dojść do wypływów środków pieniężnych z uwagi na wystąpienie różnic kursowych.</w:t>
      </w:r>
    </w:p>
    <w:p w:rsidR="0043277E" w:rsidRDefault="000F2348">
      <w:pPr>
        <w:pStyle w:val="DGTextstand-alone"/>
      </w:pPr>
      <w:r>
        <w:t>Jeżeli chodzi o wy</w:t>
      </w:r>
      <w:r>
        <w:t xml:space="preserve">mogi dotyczące zabezpieczenia/wymogi depozytowe, środki w zakresie zarządzania płynnością nie są konieczne, ponieważ obecny kontrahent hedgingowy zgodził się współpracować z Komisją bez ustanawiania jakichkolwiek wymogów dotyczących zabezpieczenia/wymogów </w:t>
      </w:r>
      <w:r>
        <w:t>związanych z wezwaniem do uzupełnienia depozytu.</w:t>
      </w:r>
    </w:p>
    <w:p w:rsidR="0043277E" w:rsidRDefault="000F2348">
      <w:pPr>
        <w:pStyle w:val="DGTextstand-alone"/>
        <w:rPr>
          <w:rFonts w:eastAsia="Times New Roman"/>
          <w:color w:val="016794"/>
        </w:rPr>
      </w:pPr>
      <w:r>
        <w:rPr>
          <w:color w:val="016794"/>
        </w:rPr>
        <w:t>Fundusz gwarancyjny EFZR</w:t>
      </w:r>
    </w:p>
    <w:p w:rsidR="0043277E" w:rsidRDefault="000F2348">
      <w:pPr>
        <w:pStyle w:val="DGTextstand-alone"/>
      </w:pPr>
      <w:r>
        <w:t>Zarządzanie funduszem gwarancyjnym EFZR opiera się na zasadzie, że aktywa mają mieć wystarczający stopień płynności i mobilizacyjności w stosunku do odpowiednich zobowiązań.</w:t>
      </w:r>
    </w:p>
    <w:p w:rsidR="0043277E" w:rsidRDefault="000F2348">
      <w:pPr>
        <w:pStyle w:val="DGTextstand-alone"/>
      </w:pPr>
      <w:r>
        <w:t xml:space="preserve">W skład </w:t>
      </w:r>
      <w:r>
        <w:t>portfela wchodzą aktywa płynne, które w razie potrzeby mogą zostać sprzedane w celu pokrycia krótkoterminowych wypływów środków pieniężnych. Ponadto udział środków pieniężnych, ekwiwalentów środków pieniężnych i papierów wartościowych, które staną się wyma</w:t>
      </w:r>
      <w:r>
        <w:t>galne w terminie 1 roku, wynosi 42 %.</w:t>
      </w:r>
    </w:p>
    <w:p w:rsidR="0043277E" w:rsidRDefault="000F2348">
      <w:pPr>
        <w:pStyle w:val="DGTextstand-alone"/>
        <w:rPr>
          <w:rFonts w:eastAsia="Times New Roman"/>
          <w:color w:val="016794"/>
        </w:rPr>
      </w:pPr>
      <w:r>
        <w:rPr>
          <w:color w:val="016794"/>
        </w:rPr>
        <w:t>Inne instrumenty finansowe – pochodne zobowiązania finansowe</w:t>
      </w:r>
    </w:p>
    <w:p w:rsidR="0043277E" w:rsidRDefault="000F2348">
      <w:pPr>
        <w:pStyle w:val="DGTextstand-alone"/>
      </w:pPr>
      <w:r>
        <w:t>W 2017 r. UE zawarła kontrakt na instrumenty pochodne (opcję walutową) obejmujący dewaluację kursu wymiany walut w związku z pożyczkami udzielonymi przez ins</w:t>
      </w:r>
      <w:r>
        <w:t xml:space="preserve">tytucje finansowe w ramach programu „Partnerstwo Wschodnie – instrument finansowy MŚP” (zob. informacja dodatkowa </w:t>
      </w:r>
      <w:r>
        <w:rPr>
          <w:b/>
        </w:rPr>
        <w:t>2.11.2</w:t>
      </w:r>
      <w:r>
        <w:t>). Ponadto gwarancja UE w odniesieniu do portfeli kapitałowych posiadanych przez grupę EBI doprowadziła do zaciągnięcia zobowiązania fin</w:t>
      </w:r>
      <w:r>
        <w:t>ansowego na pokrycie zmian lub utraty wartości bazowych inwestycji. Jeżeli chodzi o inne instrumenty finansowe finansowane z budżetu UE, kwota, za którą UE ponosi odpowiedzialność w ramach tych instrumentów, nie może przekraczać kwoty zobowiązania, co ogra</w:t>
      </w:r>
      <w:r>
        <w:t>nicza ryzyko płynności.</w:t>
      </w:r>
    </w:p>
    <w:bookmarkEnd w:id="147"/>
    <w:p w:rsidR="0043277E" w:rsidRDefault="0043277E">
      <w:pPr>
        <w:pStyle w:val="DGTextstand-alone"/>
      </w:pPr>
    </w:p>
    <w:p w:rsidR="0043277E" w:rsidRDefault="0043277E">
      <w:pPr>
        <w:pStyle w:val="DGTextstand-alone"/>
        <w:sectPr w:rsidR="0043277E">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rsidR="0043277E" w:rsidRDefault="000F2348">
      <w:pPr>
        <w:pStyle w:val="HEADER1NOTES"/>
        <w:rPr>
          <w:noProof/>
        </w:rPr>
      </w:pPr>
      <w:bookmarkStart w:id="160" w:name="_Toc49413491"/>
      <w:bookmarkStart w:id="161" w:name="_DMBM_17163"/>
      <w:r>
        <w:rPr>
          <w:noProof/>
        </w:rPr>
        <w:lastRenderedPageBreak/>
        <w:t>UJAWNIENIE INFORMACJI NA TEMAT PODMIOTÓW POWIĄZANYCH</w:t>
      </w:r>
      <w:bookmarkEnd w:id="160"/>
    </w:p>
    <w:p w:rsidR="0043277E" w:rsidRDefault="000F2348">
      <w:pPr>
        <w:pStyle w:val="HEADER2NOTES"/>
        <w:rPr>
          <w:noProof/>
        </w:rPr>
      </w:pPr>
      <w:r>
        <w:rPr>
          <w:noProof/>
        </w:rPr>
        <w:t>PODMIOTY POWIĄZANE</w:t>
      </w:r>
    </w:p>
    <w:p w:rsidR="0043277E" w:rsidRDefault="000F2348">
      <w:pPr>
        <w:pStyle w:val="DGTextstand-alone"/>
      </w:pPr>
      <w:r>
        <w:t>Do podmiotów powiązanych UE zalicza się jed</w:t>
      </w:r>
      <w:r>
        <w:t>nostki UE objęte konsolidacją, jednostki stowarzyszone i przedstawicieli kadry kierowniczej najwyższego szczebla tych jednostek. Transakcje między tymi jednostkami stanowią część normalnych operacji UE i jako takie – zgodnie z regułami rachunkowości UE – n</w:t>
      </w:r>
      <w:r>
        <w:t>ie są objęte szczególnymi obowiązkami informacyjnymi.</w:t>
      </w:r>
    </w:p>
    <w:p w:rsidR="0043277E" w:rsidRDefault="000F2348">
      <w:pPr>
        <w:pStyle w:val="HEADER2NOTES"/>
        <w:rPr>
          <w:noProof/>
        </w:rPr>
      </w:pPr>
      <w:r>
        <w:rPr>
          <w:noProof/>
        </w:rPr>
        <w:t>ŚWIADCZENIA PRZYSŁUGUJĄCE KADRZE KIEROWNICZEJ NAJWYŻSZEGO SZCZEBLA</w:t>
      </w:r>
    </w:p>
    <w:p w:rsidR="0043277E" w:rsidRDefault="000F2348">
      <w:pPr>
        <w:pStyle w:val="DGTextstand-alone"/>
      </w:pPr>
      <w:r>
        <w:t xml:space="preserve">Do celów prezentacji informacji na temat transakcji podmiotów powiązanych dotyczących kadry kierowniczej najwyższego szczebla UE osoby </w:t>
      </w:r>
      <w:r>
        <w:t>te pogrupowano w pięć kategorii:</w:t>
      </w:r>
    </w:p>
    <w:p w:rsidR="0043277E" w:rsidRDefault="000F2348">
      <w:pPr>
        <w:pStyle w:val="Textstand-alone"/>
      </w:pPr>
      <w:r>
        <w:rPr>
          <w:color w:val="016794"/>
        </w:rPr>
        <w:t>Kategoria 1:</w:t>
      </w:r>
      <w:r>
        <w:t xml:space="preserve"> </w:t>
      </w:r>
      <w:r>
        <w:rPr>
          <w:rStyle w:val="DGTextstand-aloneChar"/>
        </w:rPr>
        <w:t>przewodniczący Rady Europejskiej, przewodniczący Komisji i prezes Trybunału Sprawiedliwości Unii Europejskiej</w:t>
      </w:r>
    </w:p>
    <w:p w:rsidR="0043277E" w:rsidRDefault="000F2348">
      <w:pPr>
        <w:pStyle w:val="Textstand-alone"/>
      </w:pPr>
      <w:r>
        <w:rPr>
          <w:color w:val="016794"/>
        </w:rPr>
        <w:t>Kategoria 2:</w:t>
      </w:r>
      <w:r>
        <w:rPr>
          <w:rStyle w:val="DGTextstand-aloneChar"/>
        </w:rPr>
        <w:t xml:space="preserve"> wiceprzewodniczący Komisji i wysoki przedstawiciel Unii Europejskiej ds. wspólnej polityki zagranicznej i bezpieczeństwa oraz pozostali wiceprzewodniczący Komisji</w:t>
      </w:r>
    </w:p>
    <w:p w:rsidR="0043277E" w:rsidRDefault="000F2348">
      <w:pPr>
        <w:pStyle w:val="Textstand-alone"/>
      </w:pPr>
      <w:r>
        <w:rPr>
          <w:color w:val="016794"/>
        </w:rPr>
        <w:t>Kategoria 3:</w:t>
      </w:r>
      <w:r>
        <w:t xml:space="preserve"> </w:t>
      </w:r>
      <w:r>
        <w:rPr>
          <w:rStyle w:val="DGTextstand-aloneChar"/>
        </w:rPr>
        <w:t>sekretarz generalny Rady, członkowie Komisji, sędziowie i rzecznicy generalni T</w:t>
      </w:r>
      <w:r>
        <w:rPr>
          <w:rStyle w:val="DGTextstand-aloneChar"/>
        </w:rPr>
        <w:t>rybunału Sprawiedliwości Unii Europejskiej, prezes i członkowie Sądu, europejski rzecznik praw obywatelskich i europejski inspektor ochrony danych</w:t>
      </w:r>
    </w:p>
    <w:p w:rsidR="0043277E" w:rsidRDefault="000F2348">
      <w:pPr>
        <w:pStyle w:val="DGTextstand-alone"/>
      </w:pPr>
      <w:r>
        <w:rPr>
          <w:color w:val="016794"/>
        </w:rPr>
        <w:t>Kategoria 4:</w:t>
      </w:r>
      <w:r>
        <w:t xml:space="preserve"> prezes i członkowie Trybunału Obrachunkowego</w:t>
      </w:r>
    </w:p>
    <w:p w:rsidR="0043277E" w:rsidRDefault="000F2348">
      <w:pPr>
        <w:pStyle w:val="DGTextstand-alone"/>
      </w:pPr>
      <w:r>
        <w:rPr>
          <w:color w:val="016794"/>
        </w:rPr>
        <w:t>Kategoria 5:</w:t>
      </w:r>
      <w:r>
        <w:t xml:space="preserve"> urzędnicy instytucji i agencji o najwy</w:t>
      </w:r>
      <w:r>
        <w:t>ższym zaszeregowaniu</w:t>
      </w:r>
    </w:p>
    <w:p w:rsidR="0043277E" w:rsidRDefault="000F2348">
      <w:pPr>
        <w:pStyle w:val="DGTextstand-alone"/>
      </w:pPr>
      <w:r>
        <w:t>Informacje o przysługujących im uprawnieniach przedstawiono poniżej – pozostałe informacje dostępne są także w opublikowanym na portalu Europa regulaminie pracowniczym, który stanowi oficjalny dokument opisujący prawa i obowiązki wszys</w:t>
      </w:r>
      <w:r>
        <w:t>tkich urzędników UE. Przedstawiciele kadry kierowniczej najwyższego szczebla nie otrzymali od UE żadnych pożyczek o preferencyjnym oprocentowaniu.</w:t>
      </w: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43277E">
      <w:pPr>
        <w:pStyle w:val="DGTextstand-alone"/>
      </w:pPr>
    </w:p>
    <w:p w:rsidR="0043277E" w:rsidRDefault="000F2348">
      <w:pPr>
        <w:pStyle w:val="HEADERTABLE"/>
        <w:rPr>
          <w:noProof/>
        </w:rPr>
      </w:pPr>
      <w:r>
        <w:rPr>
          <w:noProof/>
        </w:rPr>
        <w:t xml:space="preserve">ŚWIADCZENIA FINANSOWE PRZYSŁUGUJĄCE KADRZE KIEROWNICZEJ NAJWYŻSZEGO SZCZEBLA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3"/>
        <w:gridCol w:w="1337"/>
        <w:gridCol w:w="1337"/>
        <w:gridCol w:w="1337"/>
        <w:gridCol w:w="1337"/>
        <w:gridCol w:w="1337"/>
      </w:tblGrid>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rPr>
            </w:pPr>
            <w:bookmarkStart w:id="162" w:name="DOC_TBL00095_1_1"/>
            <w:bookmarkEnd w:id="162"/>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EUR</w:t>
            </w:r>
          </w:p>
        </w:tc>
      </w:tr>
      <w:tr w:rsidR="0043277E">
        <w:trPr>
          <w:trHeight w:val="255"/>
        </w:trPr>
        <w:tc>
          <w:tcPr>
            <w:tcW w:w="307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8BIPKM"/>
              <w:rPr>
                <w:rFonts w:ascii="Verdana" w:eastAsia="Verdana" w:hAnsi="Verdana" w:cs="Verdana"/>
                <w:b/>
                <w:noProof/>
                <w:color w:val="FFFFFF"/>
                <w:sz w:val="16"/>
              </w:rPr>
            </w:pPr>
            <w:r>
              <w:rPr>
                <w:rFonts w:ascii="Verdana" w:hAnsi="Verdana"/>
                <w:b/>
                <w:noProof/>
                <w:color w:val="FFFFFF"/>
                <w:sz w:val="16"/>
              </w:rPr>
              <w:t>Świadczenie (na pracownika)</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8BIPKM"/>
              <w:jc w:val="right"/>
              <w:rPr>
                <w:rFonts w:ascii="Verdana" w:eastAsia="Verdana" w:hAnsi="Verdana" w:cs="Verdana"/>
                <w:b/>
                <w:noProof/>
                <w:color w:val="FFFFFF"/>
                <w:sz w:val="16"/>
              </w:rPr>
            </w:pPr>
            <w:r>
              <w:rPr>
                <w:rFonts w:ascii="Verdana" w:hAnsi="Verdana"/>
                <w:b/>
                <w:noProof/>
                <w:color w:val="FFFFFF"/>
                <w:sz w:val="16"/>
              </w:rPr>
              <w:t>Kategoria 1</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8BIPKM"/>
              <w:jc w:val="right"/>
              <w:rPr>
                <w:rFonts w:ascii="Verdana" w:eastAsia="Verdana" w:hAnsi="Verdana" w:cs="Verdana"/>
                <w:b/>
                <w:noProof/>
                <w:color w:val="FFFFFF"/>
                <w:sz w:val="16"/>
              </w:rPr>
            </w:pPr>
            <w:r>
              <w:rPr>
                <w:rFonts w:ascii="Verdana" w:hAnsi="Verdana"/>
                <w:b/>
                <w:noProof/>
                <w:color w:val="FFFFFF"/>
                <w:sz w:val="16"/>
              </w:rPr>
              <w:t>Kategoria 2</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8BIPKM"/>
              <w:jc w:val="right"/>
              <w:rPr>
                <w:rFonts w:ascii="Verdana" w:eastAsia="Verdana" w:hAnsi="Verdana" w:cs="Verdana"/>
                <w:b/>
                <w:noProof/>
                <w:color w:val="FFFFFF"/>
                <w:sz w:val="16"/>
              </w:rPr>
            </w:pPr>
            <w:r>
              <w:rPr>
                <w:rFonts w:ascii="Verdana" w:hAnsi="Verdana"/>
                <w:b/>
                <w:noProof/>
                <w:color w:val="FFFFFF"/>
                <w:sz w:val="16"/>
              </w:rPr>
              <w:t>Kategoria 3</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8BIPKM"/>
              <w:jc w:val="right"/>
              <w:rPr>
                <w:rFonts w:ascii="Verdana" w:eastAsia="Verdana" w:hAnsi="Verdana" w:cs="Verdana"/>
                <w:b/>
                <w:noProof/>
                <w:color w:val="FFFFFF"/>
                <w:sz w:val="16"/>
              </w:rPr>
            </w:pPr>
            <w:r>
              <w:rPr>
                <w:rFonts w:ascii="Verdana" w:hAnsi="Verdana"/>
                <w:b/>
                <w:noProof/>
                <w:color w:val="FFFFFF"/>
                <w:sz w:val="16"/>
              </w:rPr>
              <w:t>Kategoria 4</w:t>
            </w:r>
          </w:p>
        </w:tc>
        <w:tc>
          <w:tcPr>
            <w:tcW w:w="133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8BIPKM"/>
              <w:jc w:val="right"/>
              <w:rPr>
                <w:rFonts w:ascii="Verdana" w:eastAsia="Verdana" w:hAnsi="Verdana" w:cs="Verdana"/>
                <w:b/>
                <w:noProof/>
                <w:color w:val="FFFFFF"/>
                <w:sz w:val="16"/>
              </w:rPr>
            </w:pPr>
            <w:r>
              <w:rPr>
                <w:rFonts w:ascii="Verdana" w:hAnsi="Verdana"/>
                <w:b/>
                <w:noProof/>
                <w:color w:val="FFFFFF"/>
                <w:sz w:val="16"/>
              </w:rPr>
              <w:t>Kategoria 5</w:t>
            </w:r>
          </w:p>
        </w:tc>
      </w:tr>
      <w:tr w:rsidR="0043277E">
        <w:trPr>
          <w:trHeight w:val="255"/>
        </w:trPr>
        <w:tc>
          <w:tcPr>
            <w:tcW w:w="3073" w:type="dxa"/>
            <w:vMerge w:val="restart"/>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Wynagrodzenie podstawowe (miesięcznie)</w:t>
            </w:r>
          </w:p>
        </w:tc>
        <w:tc>
          <w:tcPr>
            <w:tcW w:w="1337" w:type="dxa"/>
            <w:vMerge w:val="restart"/>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28 461,39</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25 780,25 -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20 624,20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22 274,14 -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13 113,98 -</w:t>
            </w:r>
          </w:p>
        </w:tc>
      </w:tr>
      <w:tr w:rsidR="0043277E">
        <w:trPr>
          <w:trHeight w:val="255"/>
        </w:trPr>
        <w:tc>
          <w:tcPr>
            <w:tcW w:w="4920" w:type="dxa"/>
            <w:vMerge/>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rPr>
                <w:rFonts w:ascii="Verdana" w:eastAsia="Verdana" w:hAnsi="Verdana" w:cs="Verdana"/>
                <w:b/>
                <w:noProof/>
                <w:color w:val="000000"/>
                <w:sz w:val="16"/>
              </w:rPr>
            </w:pPr>
          </w:p>
        </w:tc>
        <w:tc>
          <w:tcPr>
            <w:tcW w:w="1335" w:type="dxa"/>
            <w:vMerge/>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26 811,47</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23 202,23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23 717,84</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20 624,20</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 xml:space="preserve">Dodatek mieszkaniowy/zagraniczny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0-4 %-16 %</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Dodatki rodzinne: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na gospodarstwo domowe (% wynagrodzenia)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na dziecko pozostające na utrzymaniu</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przedszkolny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edukacyjny lub</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edukacyjny – gdy dziecko uczy się w szkole innej niż zapewniana przez zakład pracy rodzica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Dodatek dla sędziów-przewodniczących</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651,20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Dodatek reprezentacyjny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1 542,36</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991,26</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xml:space="preserve"> 651,20</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Roczne koszty podróży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Przelewy do państw członkowskich:</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dodatek edukacyjny*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tak</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tak</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tak</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tak</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tak</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 wynagrodzenia*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5 %</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 wynagrodzenia bez zastosowania współczynnika korygującego</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25 %</w:t>
            </w: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Koszty reprezentacyjne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Objęcie stanowiska: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vMerge w:val="restart"/>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Koszty zagospodarowania</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56 922,77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51 560,49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41 248,39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44 548,28</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r>
      <w:tr w:rsidR="0043277E">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8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- 53 622,93</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- 46 404,45</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- 47 435,67</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Koszty podróży rodziny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Koszty przeprowadzki</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Opuszczenie stanowiska: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vMerge w:val="restart"/>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Koszty ponownego zagospodarowania</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28 461,39</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25 780,25 -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20 624,20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22 274,14 -</w:t>
            </w:r>
          </w:p>
        </w:tc>
        <w:tc>
          <w:tcPr>
            <w:tcW w:w="1337" w:type="dxa"/>
            <w:vMerge w:val="restart"/>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r>
      <w:tr w:rsidR="0043277E">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8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26 811,47</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23 202,23</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23 717,84</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Koszty podróży rodziny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Koszty przeprowadzki</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zwracane</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Przeniesienie (% wynagrodzenia)**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Ubezpieczenie</w:t>
            </w:r>
            <w:r>
              <w:rPr>
                <w:rFonts w:ascii="Verdana" w:hAnsi="Verdana"/>
                <w:noProof/>
                <w:color w:val="000000"/>
                <w:sz w:val="16"/>
              </w:rPr>
              <w:t xml:space="preserve"> zdrowotne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pokryte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pokryte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pokryte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pokryte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pokryte</w:t>
            </w: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Świadczenia emerytalno-rentowe (% wynagrodzenia, przed opodatkowaniem)</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70 %</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maks. 70 %</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rPr>
                <w:rFonts w:ascii="Arial" w:eastAsia="Arial" w:hAnsi="Arial" w:cs="Arial"/>
                <w:i/>
                <w:noProof/>
                <w:color w:val="000000"/>
                <w:sz w:val="16"/>
              </w:rPr>
            </w:pPr>
          </w:p>
        </w:tc>
        <w:tc>
          <w:tcPr>
            <w:tcW w:w="1337" w:type="dxa"/>
            <w:tcBorders>
              <w:top w:val="nil"/>
              <w:left w:val="nil"/>
              <w:bottom w:val="nil"/>
              <w:right w:val="nil"/>
              <w:tl2br w:val="nil"/>
              <w:tr2bl w:val="nil"/>
            </w:tcBorders>
            <w:shd w:val="solid" w:color="FFFFFF" w:fill="FFFFFF"/>
            <w:tcMar>
              <w:left w:w="60" w:type="dxa"/>
              <w:right w:w="60" w:type="dxa"/>
            </w:tcMar>
            <w:vAlign w:val="bottom"/>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Odliczenia:</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rPr>
            </w:pP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08BIPKM"/>
              <w:jc w:val="right"/>
              <w:rPr>
                <w:rFonts w:ascii="Verdana" w:eastAsia="Verdana" w:hAnsi="Verdana" w:cs="Verdana"/>
                <w:i/>
                <w:noProof/>
                <w:color w:val="000000"/>
                <w:sz w:val="16"/>
                <w:lang w:bidi="en-GB"/>
              </w:rPr>
            </w:pP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Podatek od wynagrodzenia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8 % -</w:t>
            </w:r>
            <w:r>
              <w:rPr>
                <w:rFonts w:ascii="Verdana" w:hAnsi="Verdana"/>
                <w:i/>
                <w:noProof/>
                <w:color w:val="000000"/>
                <w:sz w:val="16"/>
              </w:rPr>
              <w:t xml:space="preserve">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Ubezpieczenie zdrowotne(% wynagrodzenia)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1,7 %</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t>Specjalny podatek od wynagrodzenia</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6-7 %</w:t>
            </w:r>
          </w:p>
        </w:tc>
      </w:tr>
      <w:tr w:rsidR="0043277E">
        <w:trPr>
          <w:trHeight w:val="255"/>
        </w:trPr>
        <w:tc>
          <w:tcPr>
            <w:tcW w:w="3073"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rPr>
                <w:rFonts w:ascii="Verdana" w:eastAsia="Verdana" w:hAnsi="Verdana" w:cs="Verdana"/>
                <w:noProof/>
                <w:color w:val="000000"/>
                <w:sz w:val="16"/>
              </w:rPr>
            </w:pPr>
            <w:r>
              <w:rPr>
                <w:rFonts w:ascii="Verdana" w:hAnsi="Verdana"/>
                <w:noProof/>
                <w:color w:val="000000"/>
                <w:sz w:val="16"/>
              </w:rPr>
              <w:lastRenderedPageBreak/>
              <w:t>Odliczenie emerytalne</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nie dotyczy</w:t>
            </w:r>
          </w:p>
        </w:tc>
        <w:tc>
          <w:tcPr>
            <w:tcW w:w="133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8BIPKM"/>
              <w:jc w:val="right"/>
              <w:rPr>
                <w:rFonts w:ascii="Verdana" w:eastAsia="Verdana" w:hAnsi="Verdana" w:cs="Verdana"/>
                <w:i/>
                <w:noProof/>
                <w:color w:val="000000"/>
                <w:sz w:val="16"/>
              </w:rPr>
            </w:pPr>
            <w:r>
              <w:rPr>
                <w:rFonts w:ascii="Verdana" w:hAnsi="Verdana"/>
                <w:i/>
                <w:noProof/>
                <w:color w:val="000000"/>
                <w:sz w:val="16"/>
              </w:rPr>
              <w:t>9,7 %</w:t>
            </w:r>
          </w:p>
        </w:tc>
      </w:tr>
      <w:tr w:rsidR="0043277E">
        <w:trPr>
          <w:trHeight w:val="255"/>
        </w:trPr>
        <w:tc>
          <w:tcPr>
            <w:tcW w:w="30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rPr>
                <w:rFonts w:ascii="Verdana" w:eastAsia="Verdana" w:hAnsi="Verdana" w:cs="Verdana"/>
                <w:b/>
                <w:noProof/>
                <w:color w:val="000000"/>
                <w:sz w:val="16"/>
              </w:rPr>
            </w:pPr>
            <w:r>
              <w:rPr>
                <w:rFonts w:ascii="Verdana" w:hAnsi="Verdana"/>
                <w:b/>
                <w:noProof/>
                <w:color w:val="000000"/>
                <w:sz w:val="16"/>
              </w:rPr>
              <w:t xml:space="preserve">Liczba osób na </w:t>
            </w:r>
            <w:r>
              <w:rPr>
                <w:rFonts w:ascii="Verdana" w:hAnsi="Verdana"/>
                <w:b/>
                <w:noProof/>
                <w:color w:val="000000"/>
                <w:sz w:val="16"/>
              </w:rPr>
              <w:t>koniec roku</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b/>
                <w:noProof/>
                <w:color w:val="000000"/>
                <w:sz w:val="16"/>
              </w:rPr>
            </w:pPr>
            <w:r>
              <w:rPr>
                <w:rFonts w:ascii="Verdana" w:hAnsi="Verdana"/>
                <w:b/>
                <w:noProof/>
                <w:color w:val="000000"/>
                <w:sz w:val="16"/>
              </w:rPr>
              <w:t>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b/>
                <w:noProof/>
                <w:color w:val="000000"/>
                <w:sz w:val="16"/>
              </w:rPr>
            </w:pPr>
            <w:r>
              <w:rPr>
                <w:rFonts w:ascii="Verdana" w:hAnsi="Verdana"/>
                <w:b/>
                <w:noProof/>
                <w:color w:val="000000"/>
                <w:sz w:val="16"/>
              </w:rPr>
              <w:t>8</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b/>
                <w:noProof/>
                <w:color w:val="000000"/>
                <w:sz w:val="16"/>
              </w:rPr>
            </w:pPr>
            <w:r>
              <w:rPr>
                <w:rFonts w:ascii="Verdana" w:hAnsi="Verdana"/>
                <w:b/>
                <w:noProof/>
                <w:color w:val="000000"/>
                <w:sz w:val="16"/>
              </w:rPr>
              <w:t>93</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b/>
                <w:noProof/>
                <w:color w:val="000000"/>
                <w:sz w:val="16"/>
              </w:rPr>
            </w:pPr>
            <w:r>
              <w:rPr>
                <w:rFonts w:ascii="Verdana" w:hAnsi="Verdana"/>
                <w:b/>
                <w:noProof/>
                <w:color w:val="000000"/>
                <w:sz w:val="16"/>
              </w:rPr>
              <w:t>28</w:t>
            </w:r>
          </w:p>
        </w:tc>
        <w:tc>
          <w:tcPr>
            <w:tcW w:w="13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8BIPKM"/>
              <w:jc w:val="right"/>
              <w:rPr>
                <w:rFonts w:ascii="Verdana" w:eastAsia="Verdana" w:hAnsi="Verdana" w:cs="Verdana"/>
                <w:b/>
                <w:noProof/>
                <w:color w:val="000000"/>
                <w:sz w:val="16"/>
              </w:rPr>
            </w:pPr>
            <w:r>
              <w:rPr>
                <w:rFonts w:ascii="Verdana" w:hAnsi="Verdana"/>
                <w:b/>
                <w:noProof/>
                <w:color w:val="000000"/>
                <w:sz w:val="16"/>
              </w:rPr>
              <w:t>112</w:t>
            </w:r>
          </w:p>
        </w:tc>
      </w:tr>
    </w:tbl>
    <w:p w:rsidR="0043277E" w:rsidRDefault="000F2348">
      <w:pPr>
        <w:pStyle w:val="Textstand-alone"/>
        <w:spacing w:before="60" w:after="0"/>
        <w:rPr>
          <w:i/>
          <w:sz w:val="14"/>
        </w:rPr>
      </w:pPr>
      <w:r>
        <w:rPr>
          <w:i/>
          <w:sz w:val="14"/>
        </w:rPr>
        <w:t>* Przy zastosowaniu współczynnika korygującego.</w:t>
      </w:r>
    </w:p>
    <w:p w:rsidR="0043277E" w:rsidRDefault="000F2348">
      <w:pPr>
        <w:pStyle w:val="Textstand-alone"/>
        <w:spacing w:before="60" w:after="0"/>
        <w:rPr>
          <w:i/>
          <w:sz w:val="14"/>
        </w:rPr>
      </w:pPr>
      <w:r>
        <w:rPr>
          <w:i/>
          <w:sz w:val="14"/>
        </w:rPr>
        <w:t>** Wypłacane przez pierwsze 3 lata po opuszczeniu stanowiska.</w:t>
      </w:r>
    </w:p>
    <w:p w:rsidR="0043277E" w:rsidRDefault="000F2348">
      <w:pPr>
        <w:pStyle w:val="DGTextstand-alone"/>
        <w:sectPr w:rsidR="0043277E">
          <w:headerReference w:type="even" r:id="rId281"/>
          <w:headerReference w:type="default" r:id="rId282"/>
          <w:footerReference w:type="even" r:id="rId283"/>
          <w:footerReference w:type="default" r:id="rId284"/>
          <w:headerReference w:type="first" r:id="rId285"/>
          <w:footerReference w:type="first" r:id="rId286"/>
          <w:pgSz w:w="11906" w:h="16838"/>
          <w:pgMar w:top="1134" w:right="1134" w:bottom="1134" w:left="1134" w:header="709" w:footer="709" w:gutter="0"/>
          <w:cols w:space="708"/>
          <w:docGrid w:linePitch="360"/>
        </w:sectPr>
      </w:pPr>
      <w:r>
        <w:t xml:space="preserve"> </w:t>
      </w:r>
      <w:bookmarkEnd w:id="161"/>
    </w:p>
    <w:p w:rsidR="0043277E" w:rsidRDefault="000F2348">
      <w:pPr>
        <w:pStyle w:val="HEADER1NOTES"/>
        <w:rPr>
          <w:rFonts w:eastAsia="Calibri"/>
          <w:noProof/>
        </w:rPr>
      </w:pPr>
      <w:bookmarkStart w:id="163" w:name="_Toc49413492"/>
      <w:bookmarkStart w:id="164" w:name="_DMBM_17194"/>
      <w:r>
        <w:rPr>
          <w:noProof/>
        </w:rPr>
        <w:lastRenderedPageBreak/>
        <w:t>ZDARZENIA NASTĘPUJĄCE PO DNIU BILANSOWYM</w:t>
      </w:r>
      <w:bookmarkEnd w:id="163"/>
    </w:p>
    <w:p w:rsidR="0043277E" w:rsidRDefault="000F2348">
      <w:pPr>
        <w:pStyle w:val="DGTextstand-alone"/>
      </w:pPr>
      <w:r>
        <w:t>Roczne sprawozdanie finansowe i powiązane informacje dodatkowe opracowano, wykorzystując najnowsze dostępne informacje, co znalazło swoje odzwierciedlenie powyżej. Na dzień podpisania niniejszego sprawozdania finans</w:t>
      </w:r>
      <w:r>
        <w:t>owego borykano się z dwoma kluczowymi problemami opisanymi poniżej, mianowicie z wystąpieniem Zjednoczonego Królestwa z Unii Europejskiej oraz z reakcją UE na pandemię COVID-19. Księgowy Komisji nie wiedział ani nie został powiadomiony o żadnych innych ist</w:t>
      </w:r>
      <w:r>
        <w:t>otnych zdarzeniach, które wymagałyby zamieszczenia odrębnych informacji w tej sekcji.</w:t>
      </w:r>
    </w:p>
    <w:p w:rsidR="0043277E" w:rsidRDefault="000F2348">
      <w:pPr>
        <w:pStyle w:val="DGTextstand-alone"/>
        <w:rPr>
          <w:b/>
        </w:rPr>
      </w:pPr>
      <w:r>
        <w:rPr>
          <w:b/>
        </w:rPr>
        <w:t>Choroba koronawirusowa z 2019 r. (COVID-19)</w:t>
      </w:r>
    </w:p>
    <w:p w:rsidR="0043277E" w:rsidRDefault="000F2348">
      <w:pPr>
        <w:pStyle w:val="DGTextstand-alone"/>
      </w:pPr>
      <w:r>
        <w:t>Pandemia COVID-19 wywarła ogromny wpływ na sytuację na świecie w pierwszej połowie 2020 r. Ponieważ pandemia COVID-19 stanowi zdarzenie niewymagające dokonania korekt, wprowadzanie jakichkolwiek korekt w zgłoszonych danych liczbowych nie jest konieczne. Je</w:t>
      </w:r>
      <w:r>
        <w:t>żeli chodzi o kolejne okresy sprawozdawcze, wdrożenie inicjatyw w zakresie natychmiastowego reagowania zaproponowanych przez Komisję (uwzględniając reaktywowanie instrumentu wsparcia w sytuacjach nadzwyczajnych i dodatkowe wzmocnienie Unijnego Mechanizmu O</w:t>
      </w:r>
      <w:r>
        <w:t xml:space="preserve">chrony Ludności (UCPM/rescEU), inicjatywę inwestycyjną w odpowiedzi na koronawirusa (CRII i CRII+) oraz wsparcie służące złagodzeniu ryzyka zapewniane w ramach europejskiego instrumentu tymczasowego wsparcia w celu zmniejszenia ryzyka bezrobocia w związku </w:t>
      </w:r>
      <w:r>
        <w:t xml:space="preserve">z sytuacją nadzwyczajną (SURE) w następstwie pandemii COVID-19) wywrze wpływ na uznawanie, pomiar lub przeklasyfikowanie niektórych aktywów i zobowiązań w sprawozdaniach finansowych: </w:t>
      </w:r>
    </w:p>
    <w:p w:rsidR="0043277E" w:rsidRDefault="000F2348">
      <w:pPr>
        <w:pStyle w:val="DGTextstand-alone"/>
        <w:numPr>
          <w:ilvl w:val="0"/>
          <w:numId w:val="37"/>
        </w:numPr>
      </w:pPr>
      <w:r>
        <w:t>uruchomienie instrumentu wsparcia w sytuacjach nadzwyczajnych i dodatkow</w:t>
      </w:r>
      <w:r>
        <w:t>e wzmocnienie Unijnego Mechanizmu Ochrony Ludności (UCPM/rescEU):</w:t>
      </w:r>
    </w:p>
    <w:p w:rsidR="0043277E" w:rsidRDefault="000F2348">
      <w:pPr>
        <w:pStyle w:val="DGTextstand-alone"/>
        <w:ind w:left="720"/>
      </w:pPr>
      <w:r>
        <w:t>Biorąc pod uwagę powagę kryzysu wywołanego pandemią COVID-19, a także skalę i charakter potrzeb wymagających wsparcia z budżetu UE, Unia zdecydowała się reaktywować instrument wsparcia w syt</w:t>
      </w:r>
      <w:r>
        <w:t>uacjach nadzwyczajnych. Instrument ten, który utworzono pierwotnie w marcu 2016 r., aby poradzić sobie z sytuacją nadzwyczajną, do jakiej doszło w następstwie masowego napływu uchodźców do Grecji (zob. rozporządzenie Rady (UE) 2016/369 z dnia 15 marca 2016</w:t>
      </w:r>
      <w:r>
        <w:t> r.), został reaktywowany na okres 3 lat (2020–22) w celu sfinansowania wydatków koniecznych do stawienia czoła pandemii COVID</w:t>
      </w:r>
      <w:r>
        <w:rPr>
          <w:rFonts w:ascii="Cambria Math" w:hAnsi="Cambria Math"/>
        </w:rPr>
        <w:t>‐</w:t>
      </w:r>
      <w:r>
        <w:t>19 w okresie od dnia 1 lutego 2020 r. do dnia 31 stycznia 2022 r. (zob. rozporządzenie Rady (UE) 2020/521 z dnia 14 kwietnia 2020</w:t>
      </w:r>
      <w:r>
        <w:t> r.). Aby wesprzeć realizację tego celu, budżet na 2020 r. został zmieniony w taki sposób, by obejmował 2,7 mld EUR w środkach na zobowiązania i 1,4 mld EUR w środkach na płatności (zob. ostateczne przyjęcie (UE, Euratom) 2020/537 budżetu korygującego nr 2</w:t>
      </w:r>
      <w:r>
        <w:t xml:space="preserve"> Unii Europejskiej na rok budżetowy 2020 z dnia 17 kwietnia 2020 r.). Powyższa reaktywacja pozwoli Unii na wprowadzenie środków mających na celu zapobieganie poważnym konsekwencjom w jednym państwie członkowskim lub większej ich liczbie i łagodzenie takich</w:t>
      </w:r>
      <w:r>
        <w:t xml:space="preserve"> konsekwencji oraz na skoordynowane reagowanie na potrzeby związane z klęską wywołaną chorobą COVID-19 poprzez uzupełnienie wszelkiego wsparcia przekazanego w ramach innych instrumentów UE. Komisja zarządza wdrażaniem tego instrumentu na poziomie centralny</w:t>
      </w:r>
      <w:r>
        <w:t>m – koncentruje się on głównie na udzielaniu bezpośrednich zamówień i dotacji, przy czym w niektórych przypadkach przewiduje się podejmowanie działań za pośrednictwem partnerów takich jak organizacje międzynarodowe.</w:t>
      </w:r>
    </w:p>
    <w:p w:rsidR="0043277E" w:rsidRDefault="000F2348">
      <w:pPr>
        <w:pStyle w:val="DGTextstand-alone"/>
        <w:ind w:left="720"/>
      </w:pPr>
      <w:r>
        <w:t>Unijny Mechanizm Ochrony Ludności/rescEU</w:t>
      </w:r>
      <w:r>
        <w:t xml:space="preserve">, który pełni funkcję środka uzupełniającego wobec instrumentu wsparcia w sytuacjach nadzwyczajnych, został wzmocniony, aby zapewnić możliwość rozszerzenia działań związanych z gromadzeniem zapasów i koordynowaniem procesu dystrybucji kluczowych zasobów w </w:t>
      </w:r>
      <w:r>
        <w:t>Europie (zob. decyzja wykonawcza Komisji (UE) 2019/570, zmieniona decyzją wykonawczą Komisji (UE) 2020/414 z dnia 19 marca 2020 r. i decyzją wykonawczą Komisji (UE) 2020/452 z dnia 26 marca 2020 r.). W tym celu budżet na 2020 r. został zmieniony, aby uwzgl</w:t>
      </w:r>
      <w:r>
        <w:t>ędnić dodatkowe 0,3 mld EUR w środkach na zobowiązania i 0,2 mld EUR w środkach na płatności. Wzmocnienie Unijnego Mechanizmu Ochrony Ludności/rescEU zapewni państwom członkowskim wsparcie przy dokonywaniu zakupów części potrzebnego wyposażenia (w tym sprz</w:t>
      </w:r>
      <w:r>
        <w:t>ętu terapeutycznego i medycznego, środków ochrony indywidualnej, zapasów laboratoryjnych), zwiększając tym samym liczbę oraz uzupełniając i poszerzając zakres pozycji priorytetowych kupowanych za pośrednictwem zamówień wspólnych w ramach umowy dotyczącej w</w:t>
      </w:r>
      <w:r>
        <w:t>spólnego udzielania zamówień; to skoordynowane podejście zapewni państwom członkowskim silną pozycję negocjacyjną w rozmowach z przedstawicielami odpowiednich branż dotyczących dostępności i ceny produktów medycznych. Dotacje bezpośrednia z rescEU zapewnią</w:t>
      </w:r>
      <w:r>
        <w:t xml:space="preserve"> 100 % finansowania z budżetu UE, co obejmuje pełne finansowanie rozwoju tych zdolności i pełne finansowanie dystrybucji sprzętu. Zakupiony sprzęt będzie się znajdował w jednym państwie </w:t>
      </w:r>
      <w:r>
        <w:lastRenderedPageBreak/>
        <w:t>członkowskim lub w kilku państwach członkowskich, a proces decyzyjny b</w:t>
      </w:r>
      <w:r>
        <w:t>ędzie zorganizowany na szczeblu UE, co zapewni możliwość realizowania dostaw awaryjnych niezależnie od zapasów krajowych. Sprzęt będzie dostępny dla wszystkich państw członkowskich i będzie wykorzystywany w przypadku niewystarczającej dostępności na szczeb</w:t>
      </w:r>
      <w:r>
        <w:t>lu krajowym.</w:t>
      </w:r>
    </w:p>
    <w:p w:rsidR="0043277E" w:rsidRDefault="000F2348">
      <w:pPr>
        <w:pStyle w:val="DGTextstand-alone"/>
        <w:numPr>
          <w:ilvl w:val="0"/>
          <w:numId w:val="38"/>
        </w:numPr>
      </w:pPr>
      <w:r>
        <w:t xml:space="preserve">inicjatywa inwestycyjna w odpowiedzi na koronawirusa (CRII i CRII+): </w:t>
      </w:r>
    </w:p>
    <w:p w:rsidR="0043277E" w:rsidRDefault="000F2348">
      <w:pPr>
        <w:pStyle w:val="DGTextstand-alone"/>
        <w:ind w:left="720"/>
      </w:pPr>
      <w:r>
        <w:t>W ramach inicjatywy CRII wdrożonej rozporządzeniem Parlamentu Europejskiego i Rady (UE) 2020/460 z dnia 30 marca 2020 r. wprowadzono szczególne środki w celu uruchomienia in</w:t>
      </w:r>
      <w:r>
        <w:t>westycji w systemach ochrony zdrowia państw członkowskich oraz w innych sektorach ich gospodarek w odpowiedzi na epidemię COVID-19 poprzez zapewnienie natychmiastowej płynności służącej przyspieszeniu realizacji europejskich inwestycji publicznych opiewają</w:t>
      </w:r>
      <w:r>
        <w:t>cych na kwotę do 37 mld EUR, wprowadzenie elastyczności w zakresie stosowania unijnych przepisów dotyczących wydatkowania środków oraz rozszerzenie zakresu Funduszu Solidarności Unii Europejskiej. W ramach inicjatywy CRII+ wdrożonej rozporządzeniem Parlame</w:t>
      </w:r>
      <w:r>
        <w:t xml:space="preserve">ntu Europejskiego i Rady (UE) 2020/558 z dnia 23 kwietnia 2020 r. wprowadzono dalsze środki zapewniające wyjątkową elastyczność na potrzeby wykorzystania europejskich funduszy strukturalnych i inwestycyjnych. W bilansie za 2019 r. uwzględniono 6,8 mld EUR </w:t>
      </w:r>
      <w:r>
        <w:t>w postaci zaliczkowania krótkoterminowego, ponieważ kwoty te miały pierwotnie zostać odzyskane w 2020 r. W rezultacie wdrożenia inicjatywy CRII kwoty te pozostaną jednak do dyspozycji państw członkowskich, aby mogły zostać wykorzystane do przyspieszenia in</w:t>
      </w:r>
      <w:r>
        <w:t xml:space="preserve">westycji w związku z pandemią COVID-19. Ponieważ w ramach inicjatywy CRII przewidziano rozliczenie lub odzyskanie płatności zaliczkowych w momencie zamknięcia, a okresy kwalifikowalności mogą zakończyć się w 2022 r., wspomniana kwota 6,8 mld EUR w postaci </w:t>
      </w:r>
      <w:r>
        <w:t xml:space="preserve">zaliczkowania krótkoterminowego prawdopodobnie zostanie w całości przeklasyfikowana zgodnie z regułami rachunkowości i zostanie ujęta w sprawozdaniu finansowym za 2020 r. jako aktywa trwałe. </w:t>
      </w:r>
    </w:p>
    <w:p w:rsidR="0043277E" w:rsidRDefault="000F2348">
      <w:pPr>
        <w:pStyle w:val="DGTextstand-alone"/>
        <w:numPr>
          <w:ilvl w:val="0"/>
          <w:numId w:val="37"/>
        </w:numPr>
      </w:pPr>
      <w:r>
        <w:t xml:space="preserve">europejski instrument tymczasowego wsparcia w celu zmniejszenia </w:t>
      </w:r>
      <w:r>
        <w:t>ryzyka bezrobocia w związku z sytuacją nadzwyczajną (SURE), jaka wystąpiła w następstwie pandemii COVID-19:</w:t>
      </w:r>
    </w:p>
    <w:p w:rsidR="0043277E" w:rsidRDefault="000F2348">
      <w:pPr>
        <w:pStyle w:val="DGTextstand-alone"/>
        <w:ind w:left="720"/>
      </w:pPr>
      <w:r>
        <w:t>W ramach pakietu wsparcia w sytuacjach nadzwyczajnych służącego poradzeniu sobie ze skutkami gospodarczymi kryzysu związanego z COVID-19 UE przyjęła</w:t>
      </w:r>
      <w:r>
        <w:t xml:space="preserve"> w dniu 19 maja 2020 r. rozporządzenie Rady (UE) 2020/672 ustanawiające instrument SURE, aby pomóc pracownikom utrzymać ich miejsca pracy w trakcie kryzysu. SURE to tymczasowy program, w ramach którego państwa członkowskie mogą otrzymać wsparcie finansowe </w:t>
      </w:r>
      <w:r>
        <w:t>(w formie pożyczek udzielanych na korzystnych warunkach) w kwocie do 100 mld EUR. Instrument ten zapewnia państwom członkowskim możliwość zwrócenia się do UE o wsparcie finansowe na pokrycie kosztów nagłego i znacznego wzrostu krajowych wydatków publicznyc</w:t>
      </w:r>
      <w:r>
        <w:t>h, począwszy od dnia 1 lutego 2020 r.; wsparcia tego udziela się w związku z mechanizmami krajowymi na rzecz zmniejszonego wymiaru czasu pracy i podobnymi środkami, w tym środkami dla osób samozatrudnionych, a także niektórymi środkami ochrony zdrowia stos</w:t>
      </w:r>
      <w:r>
        <w:t>owanymi w szczególności w miejscu pracy w odpowiedzi na kryzys. Aby zapewnić UE możliwość udzielania pomocy finansowej w ramach SURE, Komisja jest upoważniona do zaciągania pożyczek w imieniu Unii na rynkach kapitałowych lub od instytucji finansowych – mak</w:t>
      </w:r>
      <w:r>
        <w:t>symalna kwota tych pożyczek wynosi 100 mld EUR. Pożyczki zaciągane w ramach SURE będą miały pokrycie w budżecie UE i gwarancjach udzielanych przez państwa członkowskie zgodnie z ich udziałem w DNB UE. Łączna kwota gwarancji wyniesie 25 mld EUR, a instrumen</w:t>
      </w:r>
      <w:r>
        <w:t>t zostanie uruchomiony dopiero po udzieleniu wszystkich gwarancji. Okres obowiązywania instrumentu jest ograniczony do dnia 31 grudnia 2022 r.</w:t>
      </w:r>
    </w:p>
    <w:p w:rsidR="0043277E" w:rsidRDefault="000F2348">
      <w:pPr>
        <w:pStyle w:val="DGTextstand-alone"/>
        <w:numPr>
          <w:ilvl w:val="0"/>
          <w:numId w:val="37"/>
        </w:numPr>
      </w:pPr>
      <w:r>
        <w:t>Next Generation EU:</w:t>
      </w:r>
    </w:p>
    <w:p w:rsidR="0043277E" w:rsidRDefault="000F2348">
      <w:pPr>
        <w:pStyle w:val="DGTextstand-alone"/>
        <w:ind w:left="720"/>
      </w:pPr>
      <w:r>
        <w:t>Ponadto w dniu 27 maja 2020 r. przewodnicząca Ursula von der Leyen przedstawiła nową propozyc</w:t>
      </w:r>
      <w:r>
        <w:t>ję długoterminowego budżetu UE (wieloletnie ramy finansowe) na lata 2021–2027 oraz programy sektorowe wspierane w ramach „Next Generation EU”</w:t>
      </w:r>
      <w:r>
        <w:rPr>
          <w:rStyle w:val="FootnoteReference"/>
        </w:rPr>
        <w:footnoteReference w:id="13"/>
      </w:r>
      <w:r>
        <w:t>, tymczasowego, nadzwyczajnego narzędzia służącego odbudowie, które ma ułatwić naprawienie bezpośrednich szkód gos</w:t>
      </w:r>
      <w:r>
        <w:t>podarczych i społecznych wyrządzonych pandemią koronawirusa, zainicjować proces odbudowy i położyć podwaliny pod lepszą przyszłość dla kolejnego pokolenia. Wniosek ten jest obecnie przedmiotem dyskusji z udziałem państw członkowskich i Parlamentu Europejsk</w:t>
      </w:r>
      <w:r>
        <w:t>iego. Jeżeli doszłoby do zawarcia porozumienia w kwestii tego wniosku, wiele programów budżetu UE otrzymałoby dopłaty uzupełniające w postaci środków pozyskanych dzięki pożyczkom zaciągniętym przez UE. Biorąc pod uwagę wielkość proponowanych kwot, wywarłob</w:t>
      </w:r>
      <w:r>
        <w:t xml:space="preserve">y to istotny wpływ na zawartość przyszłych bilansów UE; konkretny wpływ można będzie jednak ocenić </w:t>
      </w:r>
      <w:r>
        <w:lastRenderedPageBreak/>
        <w:t>dopiero po zatwierdzeniu wniosku przez władzę budżetową i przystąpieniu do wdrażania narzędzia.</w:t>
      </w:r>
    </w:p>
    <w:p w:rsidR="0043277E" w:rsidRDefault="000F2348">
      <w:pPr>
        <w:pStyle w:val="DGTextstand-alone"/>
        <w:rPr>
          <w:b/>
        </w:rPr>
      </w:pPr>
      <w:r>
        <w:rPr>
          <w:b/>
        </w:rPr>
        <w:t>Wystąpienie Zjednoczonego Królestwa z Unii Europejskiej</w:t>
      </w:r>
    </w:p>
    <w:p w:rsidR="0043277E" w:rsidRDefault="000F2348">
      <w:pPr>
        <w:pStyle w:val="DGTextstand-alone"/>
      </w:pPr>
      <w:r>
        <w:t>W dni</w:t>
      </w:r>
      <w:r>
        <w:t>u 1 lutego 2020 r. Zjednoczone Królestwo przestało być państwem członkowskim Unii Europejskiej. Po zawarciu Umowy o wystąpieniu Zjednoczonego Królestwa Wielkiej Brytanii i Irlandii Północnej z Unii Europejskiej i Europejskiej Wspólnoty Energii Atomowej („u</w:t>
      </w:r>
      <w:r>
        <w:t xml:space="preserve">mowa o wystąpieniu”) między obiema stronami Zjednoczone Królestwo zobowiązało się spłacić wszystkie swoje zobowiązania w ramach obecnych WRF i w ramach poprzednich perspektyw finansowych wynikające z członkostwa w Unii. </w:t>
      </w:r>
    </w:p>
    <w:p w:rsidR="0043277E" w:rsidRDefault="000F2348">
      <w:pPr>
        <w:pStyle w:val="DGTextstand-alone"/>
      </w:pPr>
      <w:r>
        <w:t>W dniu podpisania niniejszego spraw</w:t>
      </w:r>
      <w:r>
        <w:t>ozdania i w oparciu o postanowienia zawartej i już obowiązującej umowy o wystąpieniu nie stwierdzono żadnych skutków finansowych, jakie należałoby zgłosić w niniejszym sprawozdaniu.</w:t>
      </w:r>
    </w:p>
    <w:p w:rsidR="0043277E" w:rsidRDefault="0043277E">
      <w:pPr>
        <w:pStyle w:val="DGTextstand-alone"/>
      </w:pPr>
    </w:p>
    <w:p w:rsidR="0043277E" w:rsidRDefault="0043277E">
      <w:pPr>
        <w:pStyle w:val="DGTextstand-alone"/>
      </w:pPr>
    </w:p>
    <w:p w:rsidR="0043277E" w:rsidRDefault="000F2348">
      <w:pPr>
        <w:pStyle w:val="DGTextstand-alone"/>
        <w:sectPr w:rsidR="0043277E">
          <w:headerReference w:type="even" r:id="rId287"/>
          <w:headerReference w:type="default" r:id="rId288"/>
          <w:footerReference w:type="even" r:id="rId289"/>
          <w:footerReference w:type="default" r:id="rId290"/>
          <w:headerReference w:type="first" r:id="rId291"/>
          <w:footerReference w:type="first" r:id="rId292"/>
          <w:pgSz w:w="11906" w:h="16838"/>
          <w:pgMar w:top="1134" w:right="1134" w:bottom="1134" w:left="1134" w:header="709" w:footer="709" w:gutter="0"/>
          <w:cols w:space="708"/>
          <w:docGrid w:linePitch="360"/>
        </w:sectPr>
      </w:pPr>
      <w:r>
        <w:t xml:space="preserve"> </w:t>
      </w:r>
      <w:bookmarkEnd w:id="164"/>
    </w:p>
    <w:p w:rsidR="0043277E" w:rsidRDefault="000F2348">
      <w:pPr>
        <w:pStyle w:val="HEADER1NOTES"/>
        <w:rPr>
          <w:rFonts w:eastAsia="Calibri"/>
          <w:noProof/>
        </w:rPr>
      </w:pPr>
      <w:bookmarkStart w:id="165" w:name="_Toc49413493"/>
      <w:bookmarkStart w:id="166" w:name="_DMBM_17118"/>
      <w:r>
        <w:rPr>
          <w:noProof/>
        </w:rPr>
        <w:lastRenderedPageBreak/>
        <w:t>ZAKRES KONSOLIDACJI</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9"/>
        <w:gridCol w:w="4879"/>
      </w:tblGrid>
      <w:tr w:rsidR="0043277E">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9BIPCE"/>
              <w:rPr>
                <w:rFonts w:ascii="Verdana" w:eastAsia="Verdana" w:hAnsi="Verdana" w:cs="Verdana"/>
                <w:b/>
                <w:noProof/>
                <w:color w:val="FFFFFF"/>
                <w:sz w:val="19"/>
                <w:szCs w:val="19"/>
              </w:rPr>
            </w:pPr>
            <w:bookmarkStart w:id="167" w:name="DOC_TBL00096_1_1"/>
            <w:bookmarkEnd w:id="167"/>
            <w:r>
              <w:rPr>
                <w:rFonts w:ascii="Verdana" w:hAnsi="Verdana"/>
                <w:b/>
                <w:noProof/>
                <w:color w:val="FFFFFF"/>
                <w:sz w:val="19"/>
                <w:szCs w:val="19"/>
              </w:rPr>
              <w:t>A. JEDNOSTKI KONTROLOWANE (52)</w:t>
            </w:r>
          </w:p>
        </w:tc>
      </w:tr>
      <w:tr w:rsidR="0043277E">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9BIPCE"/>
              <w:rPr>
                <w:rFonts w:ascii="Verdana" w:eastAsia="Verdana" w:hAnsi="Verdana" w:cs="Verdana"/>
                <w:b/>
                <w:noProof/>
                <w:color w:val="000000"/>
                <w:sz w:val="17"/>
                <w:szCs w:val="17"/>
              </w:rPr>
            </w:pPr>
            <w:r>
              <w:rPr>
                <w:rFonts w:ascii="Verdana" w:hAnsi="Verdana"/>
                <w:b/>
                <w:noProof/>
                <w:color w:val="000000"/>
                <w:sz w:val="17"/>
                <w:szCs w:val="17"/>
              </w:rPr>
              <w:t>1. Instytucje i organy konsultacyjne (11)</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Parlament Europejski</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Inspektor Ochrony Danych</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Rada Europejska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 xml:space="preserve">Europejski Komitet </w:t>
            </w:r>
            <w:r>
              <w:rPr>
                <w:rFonts w:ascii="Verdana" w:hAnsi="Verdana"/>
                <w:i/>
                <w:noProof/>
                <w:color w:val="000000"/>
                <w:sz w:val="17"/>
                <w:szCs w:val="17"/>
              </w:rPr>
              <w:t>Ekonomiczno-Społeczny</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Komisja Europejska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Rzecznik Praw Obywatelskich</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Trybunał Obrachunkowy</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Komitet Regionów</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Trybunał Sprawiedliwości Unii Europejskiej</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Rada Unii Europejskiej</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Służba Działań Zewnętrznych</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i/>
                <w:noProof/>
                <w:color w:val="000000"/>
                <w:sz w:val="17"/>
                <w:szCs w:val="17"/>
                <w:lang w:bidi="en-GB"/>
              </w:rPr>
            </w:pP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noProof/>
                <w:color w:val="000000"/>
                <w:sz w:val="17"/>
                <w:szCs w:val="17"/>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noProof/>
                <w:color w:val="000000"/>
                <w:sz w:val="17"/>
                <w:szCs w:val="17"/>
                <w:lang w:bidi="en-GB"/>
              </w:rPr>
            </w:pPr>
          </w:p>
        </w:tc>
      </w:tr>
      <w:tr w:rsidR="0043277E">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9BIPCE"/>
              <w:rPr>
                <w:rFonts w:ascii="Verdana" w:eastAsia="Verdana" w:hAnsi="Verdana" w:cs="Verdana"/>
                <w:b/>
                <w:noProof/>
                <w:color w:val="000000"/>
                <w:sz w:val="17"/>
                <w:szCs w:val="17"/>
              </w:rPr>
            </w:pPr>
            <w:r>
              <w:rPr>
                <w:rFonts w:ascii="Verdana" w:hAnsi="Verdana"/>
                <w:b/>
                <w:noProof/>
                <w:color w:val="000000"/>
                <w:sz w:val="17"/>
                <w:szCs w:val="17"/>
              </w:rPr>
              <w:t xml:space="preserve">2. Agencje </w:t>
            </w:r>
            <w:r>
              <w:rPr>
                <w:rFonts w:ascii="Verdana" w:hAnsi="Verdana"/>
                <w:b/>
                <w:noProof/>
                <w:color w:val="000000"/>
                <w:sz w:val="17"/>
                <w:szCs w:val="17"/>
              </w:rPr>
              <w:t>UE (39)</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b/>
                <w:i/>
                <w:noProof/>
                <w:color w:val="000000"/>
                <w:sz w:val="17"/>
                <w:szCs w:val="17"/>
              </w:rPr>
            </w:pPr>
            <w:r>
              <w:rPr>
                <w:rFonts w:ascii="Verdana" w:hAnsi="Verdana"/>
                <w:b/>
                <w:i/>
                <w:noProof/>
                <w:color w:val="000000"/>
                <w:sz w:val="17"/>
                <w:szCs w:val="17"/>
              </w:rPr>
              <w:t>2.1. Agencje wykonawcze (6)</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noProof/>
                <w:color w:val="000000"/>
                <w:sz w:val="17"/>
                <w:szCs w:val="17"/>
                <w:lang w:bidi="en-GB"/>
              </w:rPr>
            </w:pP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Wykonawcza ds. Edukacji, Kultury i Sektora Audiowizualnego (EACEA)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Wykonawcza ds. Małych i Średnich Przedsiębiorstw (EASME)</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Wykonawcza ds. Konsumentów, Zdrowia, Rolnictwa i Żywności (CHAFEA)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Wykonawcza Europejskiej Rady ds. Badań Naukowych (ERCEA)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Wykonawcza ds. Badań Naukowych (REA)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Wykonawcza ds. Innowacyjności i Sieci (INEA)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noProof/>
                <w:color w:val="000000"/>
                <w:sz w:val="17"/>
                <w:szCs w:val="17"/>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i/>
                <w:noProof/>
                <w:color w:val="000000"/>
                <w:sz w:val="17"/>
                <w:szCs w:val="17"/>
                <w:lang w:bidi="en-GB"/>
              </w:rPr>
            </w:pP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b/>
                <w:i/>
                <w:noProof/>
                <w:color w:val="000000"/>
                <w:sz w:val="17"/>
                <w:szCs w:val="17"/>
              </w:rPr>
            </w:pPr>
            <w:r>
              <w:rPr>
                <w:rFonts w:ascii="Verdana" w:hAnsi="Verdana"/>
                <w:b/>
                <w:i/>
                <w:noProof/>
                <w:color w:val="000000"/>
                <w:sz w:val="17"/>
                <w:szCs w:val="17"/>
              </w:rPr>
              <w:t>2.2. Agencje zdecentralizowane (33)</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i/>
                <w:noProof/>
                <w:color w:val="000000"/>
                <w:sz w:val="17"/>
                <w:szCs w:val="17"/>
                <w:lang w:bidi="en-GB"/>
              </w:rPr>
            </w:pP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Agencja Bezpieczeństwa Morskiego (EMSA)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Urząd ds. Bezpieczeństwa Żywności (EFSA)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Agencja Leków (EMA)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Kolejowa Unii Europejskiej (ERA)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Agencja Chemikaliów (ECHA)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Wspólnotowy Urząd Ochrony Odmian Roślin (CPVO)</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 xml:space="preserve">Europejski Instytut ds. Równości Kobiet i </w:t>
            </w:r>
            <w:r>
              <w:rPr>
                <w:rFonts w:ascii="Verdana" w:hAnsi="Verdana"/>
                <w:i/>
                <w:noProof/>
                <w:color w:val="000000"/>
                <w:sz w:val="17"/>
                <w:szCs w:val="17"/>
              </w:rPr>
              <w:t>Mężczyzn (EIGE)</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Agencja Kontroli Rybołówstwa (EFCA)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Agencja Środowiska (EEA)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Urząd Unii Europejskiej ds. Własności Intelektualnej (EUIPO)</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Urząd Nadzoru Bankowego (EUNB)</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 xml:space="preserve">Agencja Unii Europejskiej ds. Bezpieczeństwa </w:t>
            </w:r>
            <w:r>
              <w:rPr>
                <w:rFonts w:ascii="Verdana" w:hAnsi="Verdana"/>
                <w:i/>
                <w:noProof/>
                <w:color w:val="000000"/>
                <w:sz w:val="17"/>
                <w:szCs w:val="17"/>
              </w:rPr>
              <w:t>Lotniczego (EASA)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Urząd Wsparcia w dziedzinie Azylu (EASO)</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Urząd Nadzoru Giełd i Papierów Wartościowych (ESMA)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Agencja Straży Granicznej i Przybrzeżnej (Frontex)</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Fundacja Kształcenia (ETF)</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Unii Europej</w:t>
            </w:r>
            <w:r>
              <w:rPr>
                <w:rFonts w:ascii="Verdana" w:hAnsi="Verdana"/>
                <w:i/>
                <w:noProof/>
                <w:color w:val="000000"/>
                <w:sz w:val="17"/>
                <w:szCs w:val="17"/>
              </w:rPr>
              <w:t>skiej ds. Szkolenia w Dziedzinie Ścigania (CEPOL)</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Fundacja na rzecz Poprawy Warunków Życia i Pracy (Eurofound)</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Europejskiego GNSS (GSA)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Europejskie Centrum Monitorowania Narkotyków i Narkomanii (EMCDDA)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 xml:space="preserve">Agencja Unii Europejskiej ds. </w:t>
            </w:r>
            <w:r>
              <w:rPr>
                <w:rFonts w:ascii="Verdana" w:hAnsi="Verdana"/>
                <w:i/>
                <w:noProof/>
                <w:color w:val="000000"/>
                <w:sz w:val="17"/>
                <w:szCs w:val="17"/>
              </w:rPr>
              <w:t>Współpracy Wymiarów Sprawiedliwości w Sprawach Karnych (Eurojust)</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Unii Europejskiej ds. Współpracy Organów Ścigania (Europol)</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Agencja Bezpieczeństwa i Zdrowia w Pracy (EU-OSHA)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Praw Podstawowych Unii Europejskiej (FRA)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w:t>
            </w:r>
            <w:r>
              <w:rPr>
                <w:rFonts w:ascii="Verdana" w:hAnsi="Verdana"/>
                <w:i/>
                <w:noProof/>
                <w:color w:val="000000"/>
                <w:sz w:val="17"/>
                <w:szCs w:val="17"/>
              </w:rPr>
              <w:t>kie Centrum ds. Zapobiegania i Kontroli Chorób (ECDC)</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Urząd Nadzoru Ubezpieczeń i Pracowniczych Programów Emerytalnych (EIOPA)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Europejskie Centrum Rozwoju Kształcenia Zawodowego (CEDEFOP)</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Centrum Tłumaczeń dla Organów Unii Europejskiej</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w:t>
            </w:r>
            <w:r>
              <w:rPr>
                <w:rFonts w:ascii="Verdana" w:hAnsi="Verdana"/>
                <w:i/>
                <w:noProof/>
                <w:color w:val="000000"/>
                <w:sz w:val="17"/>
                <w:szCs w:val="17"/>
              </w:rPr>
              <w:t xml:space="preserve"> Unii Europejskiej ds. Współpracy Organów Regulacji Energetyki (ACER)</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Fusion for Energy (Europejskie Wspólne Przedsięwzięcie na rzecz Realizacji Projektu ITER i Rozwoju Energii Termojądrowej)</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 xml:space="preserve">Agencja Wsparcia Organu Europejskich Regulatorów Łączności </w:t>
            </w:r>
            <w:r>
              <w:rPr>
                <w:rFonts w:ascii="Verdana" w:hAnsi="Verdana"/>
                <w:i/>
                <w:noProof/>
                <w:color w:val="000000"/>
                <w:sz w:val="17"/>
                <w:szCs w:val="17"/>
              </w:rPr>
              <w:t>Elektronicznej (Urząd BEREC)</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Unii Europejskiej ds. Zarządzania Operacyjnego Wielkoskalowymi Systemami Informatycznymi w Przestrzeni Wolności, Bezpieczeństwa i Sprawiedliwości (eu-LISA)</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Agencja Unii Europejskiej ds. Cyberbezpieczeństwa (ENISA)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i/>
                <w:noProof/>
                <w:color w:val="000000"/>
                <w:sz w:val="17"/>
                <w:szCs w:val="17"/>
                <w:lang w:bidi="en-GB"/>
              </w:rPr>
            </w:pP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i/>
                <w:noProof/>
                <w:color w:val="000000"/>
                <w:sz w:val="17"/>
                <w:szCs w:val="17"/>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i/>
                <w:noProof/>
                <w:color w:val="000000"/>
                <w:sz w:val="17"/>
                <w:szCs w:val="17"/>
                <w:lang w:bidi="en-GB"/>
              </w:rPr>
            </w:pPr>
          </w:p>
        </w:tc>
      </w:tr>
      <w:tr w:rsidR="0043277E">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09BIPCE"/>
              <w:rPr>
                <w:rFonts w:ascii="Verdana" w:eastAsia="Verdana" w:hAnsi="Verdana" w:cs="Verdana"/>
                <w:b/>
                <w:noProof/>
                <w:color w:val="000000"/>
                <w:sz w:val="17"/>
                <w:szCs w:val="17"/>
              </w:rPr>
            </w:pPr>
            <w:r>
              <w:rPr>
                <w:rFonts w:ascii="Verdana" w:hAnsi="Verdana"/>
                <w:b/>
                <w:noProof/>
                <w:color w:val="000000"/>
                <w:sz w:val="17"/>
                <w:szCs w:val="17"/>
              </w:rPr>
              <w:t>3. Inne jednostki kontrolowane (2)</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Europejska Wspólnota Węgla i Stali w likwidacji (EWWiS w likwidacji)</w:t>
            </w:r>
          </w:p>
        </w:tc>
        <w:tc>
          <w:tcPr>
            <w:tcW w:w="4879" w:type="dxa"/>
            <w:tcBorders>
              <w:top w:val="nil"/>
              <w:left w:val="nil"/>
              <w:bottom w:val="nil"/>
              <w:right w:val="nil"/>
              <w:tl2br w:val="nil"/>
              <w:tr2bl w:val="nil"/>
            </w:tcBorders>
            <w:shd w:val="solid" w:color="FFFFFF" w:fill="FFFFFF"/>
            <w:tcMar>
              <w:left w:w="60" w:type="dxa"/>
              <w:right w:w="60" w:type="dxa"/>
            </w:tcMa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Instytut Innowacji i Technologii (EIT)</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noProof/>
                <w:color w:val="000000"/>
                <w:sz w:val="17"/>
                <w:szCs w:val="17"/>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b/>
                <w:noProof/>
                <w:color w:val="000000"/>
                <w:sz w:val="17"/>
                <w:szCs w:val="17"/>
                <w:lang w:bidi="en-GB"/>
              </w:rPr>
            </w:pPr>
          </w:p>
        </w:tc>
      </w:tr>
      <w:tr w:rsidR="0043277E">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09BIPCE"/>
              <w:rPr>
                <w:rFonts w:ascii="Verdana" w:eastAsia="Verdana" w:hAnsi="Verdana" w:cs="Verdana"/>
                <w:b/>
                <w:noProof/>
                <w:color w:val="FFFFFF"/>
                <w:sz w:val="19"/>
                <w:szCs w:val="19"/>
              </w:rPr>
            </w:pPr>
            <w:r>
              <w:rPr>
                <w:rFonts w:ascii="Verdana" w:hAnsi="Verdana"/>
                <w:b/>
                <w:noProof/>
                <w:color w:val="FFFFFF"/>
                <w:sz w:val="19"/>
                <w:szCs w:val="19"/>
              </w:rPr>
              <w:t>B. JEDNOSTKI STOWARZYSZONE (1)</w:t>
            </w:r>
          </w:p>
        </w:tc>
      </w:tr>
      <w:tr w:rsidR="0043277E">
        <w:trPr>
          <w:trHeight w:val="255"/>
        </w:trPr>
        <w:tc>
          <w:tcPr>
            <w:tcW w:w="4879" w:type="dxa"/>
            <w:tcBorders>
              <w:top w:val="nil"/>
              <w:left w:val="nil"/>
              <w:bottom w:val="nil"/>
              <w:right w:val="nil"/>
              <w:tl2br w:val="nil"/>
              <w:tr2bl w:val="nil"/>
            </w:tcBorders>
            <w:shd w:val="solid" w:color="FFFFFF" w:fill="FFFFFF"/>
            <w:tcMar>
              <w:left w:w="60" w:type="dxa"/>
              <w:right w:w="60" w:type="dxa"/>
            </w:tcMar>
          </w:tcPr>
          <w:p w:rsidR="0043277E" w:rsidRDefault="000F2348">
            <w:pPr>
              <w:pStyle w:val="DMETW17209BIPCE"/>
              <w:rPr>
                <w:rFonts w:ascii="Verdana" w:eastAsia="Verdana" w:hAnsi="Verdana" w:cs="Verdana"/>
                <w:i/>
                <w:noProof/>
                <w:color w:val="000000"/>
                <w:sz w:val="17"/>
                <w:szCs w:val="17"/>
              </w:rPr>
            </w:pPr>
            <w:r>
              <w:rPr>
                <w:rFonts w:ascii="Verdana" w:hAnsi="Verdana"/>
                <w:i/>
                <w:noProof/>
                <w:color w:val="000000"/>
                <w:sz w:val="17"/>
                <w:szCs w:val="17"/>
              </w:rPr>
              <w:t>Europejski Fundusz Inwestycyjny (EFI)</w:t>
            </w:r>
          </w:p>
        </w:tc>
        <w:tc>
          <w:tcPr>
            <w:tcW w:w="4879"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209BIPCE"/>
              <w:rPr>
                <w:rFonts w:ascii="Verdana" w:eastAsia="Verdana" w:hAnsi="Verdana" w:cs="Verdana"/>
                <w:noProof/>
                <w:color w:val="000000"/>
                <w:sz w:val="18"/>
              </w:rPr>
            </w:pPr>
          </w:p>
        </w:tc>
      </w:tr>
    </w:tbl>
    <w:p w:rsidR="0043277E" w:rsidRDefault="0043277E">
      <w:pPr>
        <w:pStyle w:val="HEADER1NOTES"/>
        <w:numPr>
          <w:ilvl w:val="0"/>
          <w:numId w:val="0"/>
        </w:numPr>
        <w:ind w:left="907" w:hanging="907"/>
        <w:rPr>
          <w:noProof/>
        </w:rPr>
      </w:pPr>
    </w:p>
    <w:p w:rsidR="0043277E" w:rsidRDefault="000F2348">
      <w:pPr>
        <w:pStyle w:val="DGTextstand-alone"/>
      </w:pPr>
      <w:r>
        <w:lastRenderedPageBreak/>
        <w:br w:type="page"/>
      </w:r>
    </w:p>
    <w:p w:rsidR="0043277E" w:rsidRDefault="000F2348">
      <w:pPr>
        <w:pStyle w:val="HEADER5"/>
        <w:rPr>
          <w:noProof/>
        </w:rPr>
      </w:pPr>
      <w:r>
        <w:rPr>
          <w:noProof/>
        </w:rPr>
        <w:lastRenderedPageBreak/>
        <w:t>MNIEJSZE JEDNOSTKI</w:t>
      </w:r>
    </w:p>
    <w:p w:rsidR="0043277E" w:rsidRDefault="000F2348">
      <w:pPr>
        <w:pStyle w:val="DGTextstand-alone"/>
      </w:pPr>
      <w:r>
        <w:t>Wymienione poniżej jednostki nie zostały włączone do skonsolidowanego sprawozdania finansowego UE za 2019 r. przy wykorzystaniu metody praw własności z uwagi na fakt, że uznano je za nieistotne:</w:t>
      </w:r>
    </w:p>
    <w:p w:rsidR="0043277E" w:rsidRDefault="000F2348">
      <w:pPr>
        <w:pStyle w:val="HEADER5"/>
        <w:rPr>
          <w:noProof/>
        </w:rPr>
      </w:pPr>
      <w:r>
        <w:rPr>
          <w:noProof/>
        </w:rPr>
        <w:t>Wspólne Przedsięwzięcie na rzecz Bioprzemysłu (BBI)</w:t>
      </w:r>
    </w:p>
    <w:p w:rsidR="0043277E" w:rsidRDefault="000F2348">
      <w:pPr>
        <w:pStyle w:val="DGTextstand-alone"/>
      </w:pPr>
      <w:r>
        <w:t>BBI to pa</w:t>
      </w:r>
      <w:r>
        <w:t>rtnerstwo publiczno-prywatne (PPP) zawiązane między UE a Konsorcjum na rzecz Bioprzemysłu. Cele BBI obejmują wnoszenie wkładu w przechodzenie na bardziej zasobooszczędną i zrównoważoną gospodarkę niskoemisyjną i przyczynianie się do wzrostu gospodarczego i</w:t>
      </w:r>
      <w:r>
        <w:t xml:space="preserve"> zatrudnienia poprzez rozwijanie zrównoważonych i konkurencyjnych sektorów bioprzemysłu w Europie.</w:t>
      </w:r>
    </w:p>
    <w:p w:rsidR="0043277E" w:rsidRDefault="000F2348">
      <w:pPr>
        <w:pStyle w:val="HEADER5"/>
        <w:rPr>
          <w:noProof/>
        </w:rPr>
      </w:pPr>
      <w:r>
        <w:rPr>
          <w:noProof/>
        </w:rPr>
        <w:t>Wspólne Przedsiębiorstwo „Czyste niebo”</w:t>
      </w:r>
    </w:p>
    <w:p w:rsidR="0043277E" w:rsidRDefault="000F2348">
      <w:pPr>
        <w:pStyle w:val="DGTextstand-alone"/>
      </w:pPr>
      <w:r>
        <w:t>Wspólne Przedsiębiorstwo „Czyste niebo” to największy europejski program badawczy, którego celem jest opracowywanie i</w:t>
      </w:r>
      <w:r>
        <w:t xml:space="preserve">nnowacyjnych, nowoczesnych technologii służących ograniczaniu poziomu emisji CO2, emisji gazów oraz emisji hałasu przez statki powietrzne. Finansowane w ramach programu „Horyzont 2020” Wspólne Przedsiębiorstwo „Czyste niebo” przyczynia się do zacieśniania </w:t>
      </w:r>
      <w:r>
        <w:t>współpracy między europejskimi przedsiębiorstwami lotniczymi, umacnia globalne przywództwo Europy w dziedzinie lotnictwa oraz zwiększa jej konkurencyjność.</w:t>
      </w:r>
    </w:p>
    <w:p w:rsidR="0043277E" w:rsidRDefault="000F2348">
      <w:pPr>
        <w:pStyle w:val="HEADER5"/>
        <w:rPr>
          <w:noProof/>
        </w:rPr>
      </w:pPr>
      <w:r>
        <w:rPr>
          <w:noProof/>
        </w:rPr>
        <w:t>Wspólne Przedsiębiorstwo na rzecz Realizacji Wspólnej Inicjatywy Technologicznej w zakresie Leków In</w:t>
      </w:r>
      <w:r>
        <w:rPr>
          <w:noProof/>
        </w:rPr>
        <w:t>nowacyjnych (IMI)</w:t>
      </w:r>
    </w:p>
    <w:p w:rsidR="0043277E" w:rsidRDefault="000F2348">
      <w:pPr>
        <w:pStyle w:val="DGTextstand-alone"/>
      </w:pPr>
      <w:r>
        <w:t>Wspólne Przedsiębiorstwo IMI, będące partnerstwem zawiązanym między Unią Europejską a europejskim przemysłem farmaceutycznym, to największe na świecie partnerstwo publiczno-prywatne działające w dziedzinie nauk biologicznych, które dąży d</w:t>
      </w:r>
      <w:r>
        <w:t>o poprawy stanu zdrowia poprzez przyspieszenie procesu opracowywania leków innowacyjnych i zapewnienie pacjentom możliwości uzyskania dostępu do tych leków, w szczególności na obszarach, na których występują niezaspokojone potrzeby medyczne lub społeczne.</w:t>
      </w:r>
    </w:p>
    <w:p w:rsidR="0043277E" w:rsidRDefault="000F2348">
      <w:pPr>
        <w:pStyle w:val="HEADER5"/>
        <w:rPr>
          <w:noProof/>
        </w:rPr>
      </w:pPr>
      <w:r>
        <w:rPr>
          <w:noProof/>
        </w:rPr>
        <w:t>Wspólne przedsięwzięcie „Podzespoły i układy elektroniczne w służbie wiodącej pozycji Europy” (ECSEL)</w:t>
      </w:r>
    </w:p>
    <w:p w:rsidR="0043277E" w:rsidRDefault="000F2348">
      <w:pPr>
        <w:pStyle w:val="DGTextstand-alone"/>
      </w:pPr>
      <w:r>
        <w:t>Wspólne przedsięwzięcie ECSEL, będące partnerstwem publiczno-prywatnym działającym w obszarze podzespołów i układów elektronicznych, finansuje prace badaw</w:t>
      </w:r>
      <w:r>
        <w:t xml:space="preserve">cze i rozwojowe oraz innowacyjne projekty w celu wykorzystania światowej klasy wiedzy fachowej w dziedzinie podzespołów i układów elektronicznych, wnosząc tym samym wkład w rozwój silnego przemysłu podzespołów i układów elektronicznych w Unii Europejskiej </w:t>
      </w:r>
      <w:r>
        <w:t>zdolnego konkurować z innymi podmiotami na szczeblu globalnym.</w:t>
      </w:r>
    </w:p>
    <w:p w:rsidR="0043277E" w:rsidRDefault="000F2348">
      <w:pPr>
        <w:pStyle w:val="HEADER5"/>
        <w:rPr>
          <w:noProof/>
        </w:rPr>
      </w:pPr>
      <w:r>
        <w:rPr>
          <w:noProof/>
        </w:rPr>
        <w:t>Wspólne Przedsiębiorstwo na rzecz Technologii Ogniw Paliwowych i Technologii Wodorowych (FCH)</w:t>
      </w:r>
    </w:p>
    <w:p w:rsidR="0043277E" w:rsidRDefault="000F2348">
      <w:pPr>
        <w:pStyle w:val="DGTextstand-alone"/>
      </w:pPr>
      <w:r>
        <w:t>Wspólne Przedsiębiorstwo FCH to PPP wspierające działalność badawczą, działalność związaną z rozwoj</w:t>
      </w:r>
      <w:r>
        <w:t>em technologicznym i działalność demonstracyjną w obszarze technologii związanych z ogniwami paliwowymi i energią wodorową w Europie. Jego celem jest przyspieszenie tempa wprowadzania tych technologii na rynek i wykorzystanie ich potencjału jako instrument</w:t>
      </w:r>
      <w:r>
        <w:t>u przyczyniającego się do zapewnienia niskoemisyjnego systemu energetycznego.</w:t>
      </w:r>
    </w:p>
    <w:p w:rsidR="0043277E" w:rsidRDefault="000F2348">
      <w:pPr>
        <w:pStyle w:val="HEADER5"/>
        <w:rPr>
          <w:noProof/>
        </w:rPr>
      </w:pPr>
      <w:r>
        <w:rPr>
          <w:noProof/>
        </w:rPr>
        <w:t>Wspólne Przedsięwzięcie SESAR</w:t>
      </w:r>
    </w:p>
    <w:p w:rsidR="0043277E" w:rsidRDefault="000F2348">
      <w:pPr>
        <w:pStyle w:val="DGTextstand-alone"/>
      </w:pPr>
      <w:r>
        <w:t>SESAR to PPP odpowiedzialne za modernizację europejskiego systemu zarządzania ruchem lotniczym poprzez koordynowanie i koncentrowanie wszystkich pod</w:t>
      </w:r>
      <w:r>
        <w:t>ejmowanych na szczeblu UE działań w zakresie badań naukowych i innowacji istotnych z punktu widzenia zarządzania ruchem lotniczym.</w:t>
      </w:r>
    </w:p>
    <w:p w:rsidR="0043277E" w:rsidRDefault="000F2348">
      <w:pPr>
        <w:pStyle w:val="HEADER5"/>
        <w:rPr>
          <w:noProof/>
        </w:rPr>
      </w:pPr>
      <w:r>
        <w:rPr>
          <w:noProof/>
        </w:rPr>
        <w:t>Wspólne Przedsięwzięcie Shift2Rail (Shift2Rail)</w:t>
      </w:r>
    </w:p>
    <w:p w:rsidR="0043277E" w:rsidRDefault="000F2348">
      <w:pPr>
        <w:pStyle w:val="DGTextstand-alone"/>
      </w:pPr>
      <w:r>
        <w:t xml:space="preserve">Shift2Rail to pierwsza europejska wspólna inicjatywa technologiczna w </w:t>
      </w:r>
      <w:r>
        <w:t>obszarze kolei, której celem jest dążenie do skoncentrowania działań w obszarze badań naukowych i innowacji oraz rozwiązań rynkowych w taki sposób, aby przyspieszyć tempo przekształcania nowych i zaawansowanych technologii w innowacyjne produkty kolejowe. </w:t>
      </w:r>
    </w:p>
    <w:p w:rsidR="0043277E" w:rsidRDefault="000F2348">
      <w:pPr>
        <w:pStyle w:val="DGTextstand-alone"/>
      </w:pPr>
      <w:r>
        <w:t>Roczne sprawozdania finansowe powyższych podmiotów są dostępne na ich stronach internetowych.</w:t>
      </w:r>
    </w:p>
    <w:bookmarkEnd w:id="166"/>
    <w:p w:rsidR="0043277E" w:rsidRDefault="0043277E">
      <w:pPr>
        <w:pStyle w:val="DGTextstand-alone"/>
      </w:pPr>
    </w:p>
    <w:p w:rsidR="0043277E" w:rsidRDefault="0043277E">
      <w:pPr>
        <w:pStyle w:val="DGTextstand-alone"/>
        <w:sectPr w:rsidR="0043277E">
          <w:headerReference w:type="even" r:id="rId293"/>
          <w:headerReference w:type="default" r:id="rId294"/>
          <w:footerReference w:type="even" r:id="rId295"/>
          <w:footerReference w:type="default" r:id="rId296"/>
          <w:headerReference w:type="first" r:id="rId297"/>
          <w:footerReference w:type="first" r:id="rId298"/>
          <w:pgSz w:w="11906" w:h="16838"/>
          <w:pgMar w:top="1134" w:right="1134" w:bottom="1134" w:left="1134" w:header="709" w:footer="709" w:gutter="0"/>
          <w:cols w:space="708"/>
          <w:docGrid w:linePitch="360"/>
        </w:sectPr>
      </w:pPr>
    </w:p>
    <w:p w:rsidR="0043277E" w:rsidRDefault="0043277E">
      <w:pPr>
        <w:pStyle w:val="Textstand-alone"/>
      </w:pPr>
      <w:bookmarkStart w:id="168" w:name="_DMBM_17110"/>
    </w:p>
    <w:p w:rsidR="0043277E" w:rsidRDefault="0043277E">
      <w:pPr>
        <w:pStyle w:val="Textstand-alone"/>
      </w:pPr>
    </w:p>
    <w:p w:rsidR="0043277E" w:rsidRDefault="0043277E">
      <w:pPr>
        <w:pStyle w:val="Textstand-alone"/>
      </w:pPr>
    </w:p>
    <w:p w:rsidR="0043277E" w:rsidRDefault="0043277E">
      <w:pPr>
        <w:pStyle w:val="Textstand-alone"/>
      </w:pPr>
    </w:p>
    <w:p w:rsidR="0043277E" w:rsidRDefault="0043277E">
      <w:pPr>
        <w:pStyle w:val="FIRSTCHAPTERPAGE"/>
        <w:rPr>
          <w:noProof/>
        </w:rPr>
      </w:pPr>
    </w:p>
    <w:p w:rsidR="0043277E" w:rsidRDefault="0043277E">
      <w:pPr>
        <w:pStyle w:val="FIRSTCHAPTERPAGE"/>
        <w:rPr>
          <w:noProof/>
        </w:rPr>
      </w:pPr>
    </w:p>
    <w:p w:rsidR="0043277E" w:rsidRDefault="0043277E">
      <w:pPr>
        <w:pStyle w:val="FIRSTCHAPTERPAGE"/>
        <w:rPr>
          <w:noProof/>
        </w:rPr>
      </w:pPr>
    </w:p>
    <w:p w:rsidR="0043277E" w:rsidRDefault="000F2348">
      <w:pPr>
        <w:pStyle w:val="FIRSTCHAPTERPAGE"/>
        <w:rPr>
          <w:noProof/>
        </w:rPr>
      </w:pPr>
      <w:bookmarkStart w:id="169" w:name="_Toc49418128"/>
      <w:r>
        <w:rPr>
          <w:noProof/>
        </w:rPr>
        <w:t xml:space="preserve">OMÓWIENIE I ANALIZA SPRAWOZDANIA </w:t>
      </w:r>
      <w:r>
        <w:rPr>
          <w:noProof/>
        </w:rPr>
        <w:t>FINANSOWEGO</w:t>
      </w:r>
      <w:bookmarkEnd w:id="169"/>
    </w:p>
    <w:p w:rsidR="0043277E" w:rsidRDefault="000F2348">
      <w:pPr>
        <w:pStyle w:val="Financialyear0"/>
        <w:rPr>
          <w:noProof/>
        </w:rPr>
      </w:pPr>
      <w:r>
        <w:rPr>
          <w:noProof/>
        </w:rPr>
        <w:t>ROK BUDŻETOWY 2019</w:t>
      </w:r>
    </w:p>
    <w:p w:rsidR="0043277E" w:rsidRDefault="0043277E">
      <w:pPr>
        <w:pStyle w:val="DGTextstand-alone"/>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43277E">
      <w:pPr>
        <w:pStyle w:val="DGTextstand-alone"/>
        <w:rPr>
          <w:i/>
        </w:rPr>
      </w:pPr>
    </w:p>
    <w:p w:rsidR="0043277E" w:rsidRDefault="000F2348">
      <w:pPr>
        <w:rPr>
          <w:rFonts w:ascii="Verdana" w:hAnsi="Verdana"/>
          <w:i/>
          <w:noProof/>
          <w:sz w:val="18"/>
          <w:szCs w:val="18"/>
        </w:rPr>
      </w:pPr>
      <w:r>
        <w:rPr>
          <w:rFonts w:ascii="Verdana" w:hAnsi="Verdana"/>
          <w:i/>
          <w:noProof/>
          <w:color w:val="016794"/>
          <w:sz w:val="18"/>
        </w:rPr>
        <w:t>Należy zauważyć, że w związku z zaokrągleniem danych liczbowych do mln EUR może się wydawać, że niektóre dane finansowe w poniższych tabelach nie sumują się.</w:t>
      </w:r>
      <w:r>
        <w:rPr>
          <w:i/>
          <w:noProof/>
        </w:rPr>
        <w:br w:type="page"/>
      </w:r>
    </w:p>
    <w:p w:rsidR="0043277E" w:rsidRDefault="000F2348">
      <w:pPr>
        <w:pStyle w:val="HEADERTABLE"/>
        <w:rPr>
          <w:noProof/>
        </w:rPr>
      </w:pPr>
      <w:r>
        <w:rPr>
          <w:noProof/>
        </w:rPr>
        <w:lastRenderedPageBreak/>
        <w:t>SPIS TREŚCI</w:t>
      </w:r>
    </w:p>
    <w:sdt>
      <w:sdtPr>
        <w:rPr>
          <w:rFonts w:ascii="Times New Roman" w:eastAsia="Times New Roman" w:hAnsi="Times New Roman" w:cs="Times New Roman"/>
          <w:b w:val="0"/>
          <w:bCs w:val="0"/>
          <w:noProof/>
          <w:color w:val="auto"/>
          <w:sz w:val="24"/>
          <w:szCs w:val="24"/>
          <w:lang w:eastAsia="en-GB"/>
        </w:rPr>
        <w:id w:val="-428046295"/>
        <w:docPartObj>
          <w:docPartGallery w:val="Table of Contents"/>
          <w:docPartUnique/>
        </w:docPartObj>
      </w:sdtPr>
      <w:sdtEndPr/>
      <w:sdtContent>
        <w:p w:rsidR="0043277E" w:rsidRDefault="0043277E">
          <w:pPr>
            <w:pStyle w:val="TOCHeading"/>
            <w:rPr>
              <w:noProof/>
            </w:rPr>
          </w:pPr>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r>
            <w:rPr>
              <w:noProof/>
            </w:rPr>
            <w:fldChar w:fldCharType="begin"/>
          </w:r>
          <w:r>
            <w:rPr>
              <w:noProof/>
            </w:rPr>
            <w:instrText xml:space="preserve"> TOC \o "1-3" \h \z \t "HEADER 1_Part 4;1;HEADER 2_Part 4;2" </w:instrText>
          </w:r>
          <w:r>
            <w:rPr>
              <w:noProof/>
            </w:rPr>
            <w:fldChar w:fldCharType="separate"/>
          </w:r>
          <w:hyperlink w:anchor="_Toc49418703" w:history="1">
            <w:r>
              <w:rPr>
                <w:rStyle w:val="Hyperlink"/>
                <w:noProof/>
              </w:rPr>
              <w:t>1.</w:t>
            </w:r>
            <w:r>
              <w:rPr>
                <w:rFonts w:asciiTheme="minorHAnsi" w:eastAsiaTheme="minorEastAsia" w:hAnsiTheme="minorHAnsi" w:cstheme="minorBidi"/>
                <w:noProof/>
                <w:color w:val="auto"/>
                <w:szCs w:val="22"/>
                <w:lang w:eastAsia="en-US"/>
              </w:rPr>
              <w:tab/>
            </w:r>
            <w:r>
              <w:rPr>
                <w:rStyle w:val="Hyperlink"/>
                <w:noProof/>
              </w:rPr>
              <w:t>SKONSOLIDOWANE SPRAWOZDANIA FINANSOWE UE: SYTUACJA FINANSOWA W 2019 R.</w:t>
            </w:r>
            <w:r>
              <w:rPr>
                <w:noProof/>
                <w:webHidden/>
              </w:rPr>
              <w:tab/>
            </w:r>
            <w:r>
              <w:rPr>
                <w:noProof/>
                <w:webHidden/>
              </w:rPr>
              <w:fldChar w:fldCharType="begin"/>
            </w:r>
            <w:r>
              <w:rPr>
                <w:noProof/>
                <w:webHidden/>
              </w:rPr>
              <w:instrText xml:space="preserve"> PAGEREF _Toc49418703 \h </w:instrText>
            </w:r>
            <w:r>
              <w:rPr>
                <w:noProof/>
                <w:webHidden/>
              </w:rPr>
            </w:r>
            <w:r>
              <w:rPr>
                <w:noProof/>
                <w:webHidden/>
              </w:rPr>
              <w:fldChar w:fldCharType="separate"/>
            </w:r>
            <w:r>
              <w:rPr>
                <w:noProof/>
                <w:webHidden/>
              </w:rPr>
              <w:t>128</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04" w:history="1">
            <w:r>
              <w:rPr>
                <w:rStyle w:val="Hyperlink"/>
                <w:noProof/>
              </w:rPr>
              <w:t>1.1.</w:t>
            </w:r>
            <w:r>
              <w:rPr>
                <w:rFonts w:asciiTheme="minorHAnsi" w:eastAsiaTheme="minorEastAsia" w:hAnsiTheme="minorHAnsi" w:cstheme="minorBidi"/>
                <w:noProof/>
                <w:color w:val="auto"/>
                <w:szCs w:val="22"/>
                <w:lang w:eastAsia="en-US"/>
              </w:rPr>
              <w:tab/>
            </w:r>
            <w:r>
              <w:rPr>
                <w:rStyle w:val="Hyperlink"/>
                <w:noProof/>
              </w:rPr>
              <w:t>PRZYCHODY</w:t>
            </w:r>
            <w:r>
              <w:rPr>
                <w:noProof/>
                <w:webHidden/>
              </w:rPr>
              <w:tab/>
            </w:r>
            <w:r>
              <w:rPr>
                <w:noProof/>
                <w:webHidden/>
              </w:rPr>
              <w:fldChar w:fldCharType="begin"/>
            </w:r>
            <w:r>
              <w:rPr>
                <w:noProof/>
                <w:webHidden/>
              </w:rPr>
              <w:instrText xml:space="preserve"> PAGEREF _Toc49418704 \h </w:instrText>
            </w:r>
            <w:r>
              <w:rPr>
                <w:noProof/>
                <w:webHidden/>
              </w:rPr>
            </w:r>
            <w:r>
              <w:rPr>
                <w:noProof/>
                <w:webHidden/>
              </w:rPr>
              <w:fldChar w:fldCharType="separate"/>
            </w:r>
            <w:r>
              <w:rPr>
                <w:noProof/>
                <w:webHidden/>
              </w:rPr>
              <w:t>128</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05" w:history="1">
            <w:r>
              <w:rPr>
                <w:rStyle w:val="Hyperlink"/>
                <w:noProof/>
              </w:rPr>
              <w:t>1.2.</w:t>
            </w:r>
            <w:r>
              <w:rPr>
                <w:rFonts w:asciiTheme="minorHAnsi" w:eastAsiaTheme="minorEastAsia" w:hAnsiTheme="minorHAnsi" w:cstheme="minorBidi"/>
                <w:noProof/>
                <w:color w:val="auto"/>
                <w:szCs w:val="22"/>
                <w:lang w:eastAsia="en-US"/>
              </w:rPr>
              <w:tab/>
            </w:r>
            <w:r>
              <w:rPr>
                <w:rStyle w:val="Hyperlink"/>
                <w:noProof/>
              </w:rPr>
              <w:t>KOSZTY</w:t>
            </w:r>
            <w:r>
              <w:rPr>
                <w:noProof/>
                <w:webHidden/>
              </w:rPr>
              <w:tab/>
            </w:r>
            <w:r>
              <w:rPr>
                <w:noProof/>
                <w:webHidden/>
              </w:rPr>
              <w:fldChar w:fldCharType="begin"/>
            </w:r>
            <w:r>
              <w:rPr>
                <w:noProof/>
                <w:webHidden/>
              </w:rPr>
              <w:instrText xml:space="preserve"> PAGEREF _Toc49418705 \h </w:instrText>
            </w:r>
            <w:r>
              <w:rPr>
                <w:noProof/>
                <w:webHidden/>
              </w:rPr>
            </w:r>
            <w:r>
              <w:rPr>
                <w:noProof/>
                <w:webHidden/>
              </w:rPr>
              <w:fldChar w:fldCharType="separate"/>
            </w:r>
            <w:r>
              <w:rPr>
                <w:noProof/>
                <w:webHidden/>
              </w:rPr>
              <w:t>129</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06" w:history="1">
            <w:r>
              <w:rPr>
                <w:rStyle w:val="Hyperlink"/>
                <w:noProof/>
              </w:rPr>
              <w:t>1.3.</w:t>
            </w:r>
            <w:r>
              <w:rPr>
                <w:rFonts w:asciiTheme="minorHAnsi" w:eastAsiaTheme="minorEastAsia" w:hAnsiTheme="minorHAnsi" w:cstheme="minorBidi"/>
                <w:noProof/>
                <w:color w:val="auto"/>
                <w:szCs w:val="22"/>
                <w:lang w:eastAsia="en-US"/>
              </w:rPr>
              <w:tab/>
            </w:r>
            <w:r>
              <w:rPr>
                <w:rStyle w:val="Hyperlink"/>
                <w:noProof/>
              </w:rPr>
              <w:t>AKTYWA</w:t>
            </w:r>
            <w:r>
              <w:rPr>
                <w:noProof/>
                <w:webHidden/>
              </w:rPr>
              <w:tab/>
            </w:r>
            <w:r>
              <w:rPr>
                <w:noProof/>
                <w:webHidden/>
              </w:rPr>
              <w:fldChar w:fldCharType="begin"/>
            </w:r>
            <w:r>
              <w:rPr>
                <w:noProof/>
                <w:webHidden/>
              </w:rPr>
              <w:instrText xml:space="preserve"> PAGEREF _Toc49418706 \h </w:instrText>
            </w:r>
            <w:r>
              <w:rPr>
                <w:noProof/>
                <w:webHidden/>
              </w:rPr>
            </w:r>
            <w:r>
              <w:rPr>
                <w:noProof/>
                <w:webHidden/>
              </w:rPr>
              <w:fldChar w:fldCharType="separate"/>
            </w:r>
            <w:r>
              <w:rPr>
                <w:noProof/>
                <w:webHidden/>
              </w:rPr>
              <w:t>131</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07" w:history="1">
            <w:r>
              <w:rPr>
                <w:rStyle w:val="Hyperlink"/>
                <w:noProof/>
              </w:rPr>
              <w:t>1.4.</w:t>
            </w:r>
            <w:r>
              <w:rPr>
                <w:rFonts w:asciiTheme="minorHAnsi" w:eastAsiaTheme="minorEastAsia" w:hAnsiTheme="minorHAnsi" w:cstheme="minorBidi"/>
                <w:noProof/>
                <w:color w:val="auto"/>
                <w:szCs w:val="22"/>
                <w:lang w:eastAsia="en-US"/>
              </w:rPr>
              <w:tab/>
            </w:r>
            <w:r>
              <w:rPr>
                <w:rStyle w:val="Hyperlink"/>
                <w:noProof/>
              </w:rPr>
              <w:t>ZOBOWIĄZANIA</w:t>
            </w:r>
            <w:r>
              <w:rPr>
                <w:noProof/>
                <w:webHidden/>
              </w:rPr>
              <w:tab/>
            </w:r>
            <w:r>
              <w:rPr>
                <w:noProof/>
                <w:webHidden/>
              </w:rPr>
              <w:fldChar w:fldCharType="begin"/>
            </w:r>
            <w:r>
              <w:rPr>
                <w:noProof/>
                <w:webHidden/>
              </w:rPr>
              <w:instrText xml:space="preserve"> P</w:instrText>
            </w:r>
            <w:r>
              <w:rPr>
                <w:noProof/>
                <w:webHidden/>
              </w:rPr>
              <w:instrText xml:space="preserve">AGEREF _Toc49418707 \h </w:instrText>
            </w:r>
            <w:r>
              <w:rPr>
                <w:noProof/>
                <w:webHidden/>
              </w:rPr>
            </w:r>
            <w:r>
              <w:rPr>
                <w:noProof/>
                <w:webHidden/>
              </w:rPr>
              <w:fldChar w:fldCharType="separate"/>
            </w:r>
            <w:r>
              <w:rPr>
                <w:noProof/>
                <w:webHidden/>
              </w:rPr>
              <w:t>137</w:t>
            </w:r>
            <w:r>
              <w:rPr>
                <w:noProof/>
                <w:webHidden/>
              </w:rPr>
              <w:fldChar w:fldCharType="end"/>
            </w:r>
          </w:hyperlink>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hyperlink w:anchor="_Toc49418708" w:history="1">
            <w:r>
              <w:rPr>
                <w:rStyle w:val="Hyperlink"/>
                <w:noProof/>
              </w:rPr>
              <w:t>2.</w:t>
            </w:r>
            <w:r>
              <w:rPr>
                <w:rFonts w:asciiTheme="minorHAnsi" w:eastAsiaTheme="minorEastAsia" w:hAnsiTheme="minorHAnsi" w:cstheme="minorBidi"/>
                <w:noProof/>
                <w:color w:val="auto"/>
                <w:szCs w:val="22"/>
                <w:lang w:eastAsia="en-US"/>
              </w:rPr>
              <w:tab/>
            </w:r>
            <w:r>
              <w:rPr>
                <w:rStyle w:val="Hyperlink"/>
                <w:noProof/>
              </w:rPr>
              <w:t>ZARZĄDZANIE RYZYKIEM I NIEPEWNOŚCIĄ W WYKONANIU BUDŻETU UE</w:t>
            </w:r>
            <w:r>
              <w:rPr>
                <w:noProof/>
                <w:webHidden/>
              </w:rPr>
              <w:tab/>
            </w:r>
            <w:r>
              <w:rPr>
                <w:noProof/>
                <w:webHidden/>
              </w:rPr>
              <w:fldChar w:fldCharType="begin"/>
            </w:r>
            <w:r>
              <w:rPr>
                <w:noProof/>
                <w:webHidden/>
              </w:rPr>
              <w:instrText xml:space="preserve"> PAGEREF _Toc49418708 \h </w:instrText>
            </w:r>
            <w:r>
              <w:rPr>
                <w:noProof/>
                <w:webHidden/>
              </w:rPr>
            </w:r>
            <w:r>
              <w:rPr>
                <w:noProof/>
                <w:webHidden/>
              </w:rPr>
              <w:fldChar w:fldCharType="separate"/>
            </w:r>
            <w:r>
              <w:rPr>
                <w:noProof/>
                <w:webHidden/>
              </w:rPr>
              <w:t>139</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09" w:history="1">
            <w:r>
              <w:rPr>
                <w:rStyle w:val="Hyperlink"/>
                <w:noProof/>
              </w:rPr>
              <w:t>2.1.</w:t>
            </w:r>
            <w:r>
              <w:rPr>
                <w:rFonts w:asciiTheme="minorHAnsi" w:eastAsiaTheme="minorEastAsia" w:hAnsiTheme="minorHAnsi" w:cstheme="minorBidi"/>
                <w:noProof/>
                <w:color w:val="auto"/>
                <w:szCs w:val="22"/>
                <w:lang w:eastAsia="en-US"/>
              </w:rPr>
              <w:tab/>
            </w:r>
            <w:r>
              <w:rPr>
                <w:rStyle w:val="Hyperlink"/>
                <w:noProof/>
              </w:rPr>
              <w:t>OTOCZENIE MAKROEKONOMICZNE</w:t>
            </w:r>
            <w:r>
              <w:rPr>
                <w:noProof/>
                <w:webHidden/>
              </w:rPr>
              <w:tab/>
            </w:r>
            <w:r>
              <w:rPr>
                <w:noProof/>
                <w:webHidden/>
              </w:rPr>
              <w:fldChar w:fldCharType="begin"/>
            </w:r>
            <w:r>
              <w:rPr>
                <w:noProof/>
                <w:webHidden/>
              </w:rPr>
              <w:instrText xml:space="preserve"> PAGEREF _Toc49418709 \h </w:instrText>
            </w:r>
            <w:r>
              <w:rPr>
                <w:noProof/>
                <w:webHidden/>
              </w:rPr>
            </w:r>
            <w:r>
              <w:rPr>
                <w:noProof/>
                <w:webHidden/>
              </w:rPr>
              <w:fldChar w:fldCharType="separate"/>
            </w:r>
            <w:r>
              <w:rPr>
                <w:noProof/>
                <w:webHidden/>
              </w:rPr>
              <w:t>139</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10" w:history="1">
            <w:r>
              <w:rPr>
                <w:rStyle w:val="Hyperlink"/>
                <w:noProof/>
              </w:rPr>
              <w:t>2.2.</w:t>
            </w:r>
            <w:r>
              <w:rPr>
                <w:rFonts w:asciiTheme="minorHAnsi" w:eastAsiaTheme="minorEastAsia" w:hAnsiTheme="minorHAnsi" w:cstheme="minorBidi"/>
                <w:noProof/>
                <w:color w:val="auto"/>
                <w:szCs w:val="22"/>
                <w:lang w:eastAsia="en-US"/>
              </w:rPr>
              <w:tab/>
            </w:r>
            <w:r>
              <w:rPr>
                <w:rStyle w:val="Hyperlink"/>
                <w:noProof/>
              </w:rPr>
              <w:t>BUDŻETOWE ZOBOWIĄZANIA WARUNKOWE NA POMOC FINANSOWĄ</w:t>
            </w:r>
            <w:r>
              <w:rPr>
                <w:noProof/>
                <w:webHidden/>
              </w:rPr>
              <w:tab/>
            </w:r>
            <w:r>
              <w:rPr>
                <w:noProof/>
                <w:webHidden/>
              </w:rPr>
              <w:fldChar w:fldCharType="begin"/>
            </w:r>
            <w:r>
              <w:rPr>
                <w:noProof/>
                <w:webHidden/>
              </w:rPr>
              <w:instrText xml:space="preserve"> PAGEREF _Toc49418710 \h </w:instrText>
            </w:r>
            <w:r>
              <w:rPr>
                <w:noProof/>
                <w:webHidden/>
              </w:rPr>
            </w:r>
            <w:r>
              <w:rPr>
                <w:noProof/>
                <w:webHidden/>
              </w:rPr>
              <w:fldChar w:fldCharType="separate"/>
            </w:r>
            <w:r>
              <w:rPr>
                <w:noProof/>
                <w:webHidden/>
              </w:rPr>
              <w:t>140</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11" w:history="1">
            <w:r>
              <w:rPr>
                <w:rStyle w:val="Hyperlink"/>
                <w:noProof/>
              </w:rPr>
              <w:t>2.3.</w:t>
            </w:r>
            <w:r>
              <w:rPr>
                <w:rFonts w:asciiTheme="minorHAnsi" w:eastAsiaTheme="minorEastAsia" w:hAnsiTheme="minorHAnsi" w:cstheme="minorBidi"/>
                <w:noProof/>
                <w:color w:val="auto"/>
                <w:szCs w:val="22"/>
                <w:lang w:eastAsia="en-US"/>
              </w:rPr>
              <w:tab/>
            </w:r>
            <w:r>
              <w:rPr>
                <w:rStyle w:val="Hyperlink"/>
                <w:noProof/>
              </w:rPr>
              <w:t>GWARANCJE BUDŻETOWE</w:t>
            </w:r>
            <w:r>
              <w:rPr>
                <w:noProof/>
                <w:webHidden/>
              </w:rPr>
              <w:tab/>
            </w:r>
            <w:r>
              <w:rPr>
                <w:noProof/>
                <w:webHidden/>
              </w:rPr>
              <w:fldChar w:fldCharType="begin"/>
            </w:r>
            <w:r>
              <w:rPr>
                <w:noProof/>
                <w:webHidden/>
              </w:rPr>
              <w:instrText xml:space="preserve"> PAGEREF _Toc49418711 \h </w:instrText>
            </w:r>
            <w:r>
              <w:rPr>
                <w:noProof/>
                <w:webHidden/>
              </w:rPr>
            </w:r>
            <w:r>
              <w:rPr>
                <w:noProof/>
                <w:webHidden/>
              </w:rPr>
              <w:fldChar w:fldCharType="separate"/>
            </w:r>
            <w:r>
              <w:rPr>
                <w:noProof/>
                <w:webHidden/>
              </w:rPr>
              <w:t>141</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712" w:history="1">
            <w:r>
              <w:rPr>
                <w:rStyle w:val="Hyperlink"/>
                <w:noProof/>
              </w:rPr>
              <w:t>2.4.</w:t>
            </w:r>
            <w:r>
              <w:rPr>
                <w:rFonts w:asciiTheme="minorHAnsi" w:eastAsiaTheme="minorEastAsia" w:hAnsiTheme="minorHAnsi" w:cstheme="minorBidi"/>
                <w:noProof/>
                <w:color w:val="auto"/>
                <w:szCs w:val="22"/>
                <w:lang w:eastAsia="en-US"/>
              </w:rPr>
              <w:tab/>
            </w:r>
            <w:r>
              <w:rPr>
                <w:rStyle w:val="Hyperlink"/>
                <w:noProof/>
              </w:rPr>
              <w:t>REZERWA DLA NOWYCH INSTALACJI (NER) 300</w:t>
            </w:r>
            <w:r>
              <w:rPr>
                <w:noProof/>
                <w:webHidden/>
              </w:rPr>
              <w:tab/>
            </w:r>
            <w:r>
              <w:rPr>
                <w:noProof/>
                <w:webHidden/>
              </w:rPr>
              <w:fldChar w:fldCharType="begin"/>
            </w:r>
            <w:r>
              <w:rPr>
                <w:noProof/>
                <w:webHidden/>
              </w:rPr>
              <w:instrText xml:space="preserve"> PAGEREF _Toc49418712 \h </w:instrText>
            </w:r>
            <w:r>
              <w:rPr>
                <w:noProof/>
                <w:webHidden/>
              </w:rPr>
            </w:r>
            <w:r>
              <w:rPr>
                <w:noProof/>
                <w:webHidden/>
              </w:rPr>
              <w:fldChar w:fldCharType="separate"/>
            </w:r>
            <w:r>
              <w:rPr>
                <w:noProof/>
                <w:webHidden/>
              </w:rPr>
              <w:t>141</w:t>
            </w:r>
            <w:r>
              <w:rPr>
                <w:noProof/>
                <w:webHidden/>
              </w:rPr>
              <w:fldChar w:fldCharType="end"/>
            </w:r>
          </w:hyperlink>
        </w:p>
        <w:p w:rsidR="0043277E" w:rsidRDefault="000F2348">
          <w:pPr>
            <w:rPr>
              <w:noProof/>
            </w:rPr>
          </w:pPr>
          <w:r>
            <w:rPr>
              <w:noProof/>
            </w:rPr>
            <w:fldChar w:fldCharType="end"/>
          </w:r>
        </w:p>
      </w:sdtContent>
    </w:sdt>
    <w:p w:rsidR="0043277E" w:rsidRDefault="0043277E">
      <w:pPr>
        <w:pStyle w:val="DGTextstand-alone"/>
      </w:pPr>
    </w:p>
    <w:p w:rsidR="0043277E" w:rsidRDefault="000F2348">
      <w:pPr>
        <w:rPr>
          <w:rFonts w:ascii="Verdana" w:hAnsi="Verdana"/>
          <w:noProof/>
          <w:sz w:val="18"/>
          <w:szCs w:val="18"/>
        </w:rPr>
      </w:pPr>
      <w:r>
        <w:rPr>
          <w:noProof/>
        </w:rPr>
        <w:br w:type="page"/>
      </w:r>
    </w:p>
    <w:p w:rsidR="0043277E" w:rsidRDefault="000F2348">
      <w:pPr>
        <w:pStyle w:val="DGTextstand-alone"/>
      </w:pPr>
      <w:r>
        <w:lastRenderedPageBreak/>
        <w:t xml:space="preserve">Celem tej części sprawozdania finansowego, zatytułowanej „Omówienie i analiza sprawozdania finansowego”, jest ułatwienie czytelnikom lepszego zrozumienia informacji na temat sytuacji </w:t>
      </w:r>
      <w:r>
        <w:t>finansowej, wyników finansowych i przepływów pieniężnych przedstawionych w skonsolidowanym sprawozdaniu finansowym UE. Informacje przedstawione w niniejszej części „Sprawozdanie finansowe – omówienie i analiza” nie zostały poddane badaniu.</w:t>
      </w:r>
    </w:p>
    <w:p w:rsidR="0043277E" w:rsidRDefault="000F2348">
      <w:pPr>
        <w:pStyle w:val="HEADER1Part4"/>
        <w:rPr>
          <w:noProof/>
        </w:rPr>
      </w:pPr>
      <w:bookmarkStart w:id="170" w:name="_Toc11225929"/>
      <w:r>
        <w:rPr>
          <w:noProof/>
        </w:rPr>
        <w:tab/>
      </w:r>
      <w:bookmarkStart w:id="171" w:name="_Toc49418703"/>
      <w:r>
        <w:rPr>
          <w:noProof/>
        </w:rPr>
        <w:t xml:space="preserve">SKONSOLIDOWANE </w:t>
      </w:r>
      <w:r>
        <w:rPr>
          <w:noProof/>
        </w:rPr>
        <w:t xml:space="preserve">SPRAWOZDANIA FINANSOWE UE: </w:t>
      </w:r>
      <w:bookmarkStart w:id="172" w:name="_Toc491880233"/>
      <w:r>
        <w:rPr>
          <w:noProof/>
        </w:rPr>
        <w:t>SYTUACJA FINANSOWA W 201</w:t>
      </w:r>
      <w:bookmarkEnd w:id="172"/>
      <w:bookmarkEnd w:id="170"/>
      <w:r>
        <w:rPr>
          <w:noProof/>
        </w:rPr>
        <w:t>9 R.</w:t>
      </w:r>
      <w:bookmarkEnd w:id="171"/>
    </w:p>
    <w:p w:rsidR="0043277E" w:rsidRDefault="000F2348">
      <w:pPr>
        <w:pStyle w:val="HEADER2Part4"/>
      </w:pPr>
      <w:bookmarkStart w:id="173" w:name="_Toc491880234"/>
      <w:bookmarkStart w:id="174" w:name="_Toc11225930"/>
      <w:bookmarkStart w:id="175" w:name="_Toc49418704"/>
      <w:r>
        <w:t>PRZYCHODY</w:t>
      </w:r>
      <w:bookmarkEnd w:id="173"/>
      <w:bookmarkEnd w:id="174"/>
      <w:bookmarkEnd w:id="175"/>
    </w:p>
    <w:p w:rsidR="0043277E" w:rsidRDefault="000F2348">
      <w:pPr>
        <w:pStyle w:val="DGTextstand-alone"/>
      </w:pPr>
      <w:r>
        <w:t>Skonsolidowane przychody UE obejmują kwoty związane z transakcjami wymiany oraz transakcjami innymi niż transakcje wymiany, przy czym te drugie są najbardziej znaczące.</w:t>
      </w:r>
    </w:p>
    <w:p w:rsidR="0043277E" w:rsidRDefault="000F2348">
      <w:pPr>
        <w:pStyle w:val="HEADER5"/>
        <w:rPr>
          <w:b/>
          <w:noProof/>
        </w:rPr>
      </w:pPr>
      <w:r>
        <w:rPr>
          <w:noProof/>
        </w:rPr>
        <w:t xml:space="preserve">Zmiany poziomu </w:t>
      </w:r>
      <w:r>
        <w:rPr>
          <w:noProof/>
        </w:rPr>
        <w:t>przychodów z głównych transakcji innych niż transakcje wymiany w mln EUR na przestrzeni pięciu lat</w:t>
      </w:r>
    </w:p>
    <w:p w:rsidR="0043277E" w:rsidRDefault="000F2348">
      <w:pPr>
        <w:pStyle w:val="Textstand-alone"/>
        <w:jc w:val="center"/>
      </w:pPr>
      <w:r>
        <w:rPr>
          <w:lang w:eastAsia="pl-PL"/>
        </w:rPr>
        <w:drawing>
          <wp:inline distT="0" distB="0" distL="0" distR="0">
            <wp:extent cx="5810250" cy="292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810250" cy="2921000"/>
                    </a:xfrm>
                    <a:prstGeom prst="rect">
                      <a:avLst/>
                    </a:prstGeom>
                    <a:noFill/>
                    <a:ln>
                      <a:noFill/>
                    </a:ln>
                  </pic:spPr>
                </pic:pic>
              </a:graphicData>
            </a:graphic>
          </wp:inline>
        </w:drawing>
      </w:r>
    </w:p>
    <w:p w:rsidR="0043277E" w:rsidRDefault="000F2348">
      <w:pPr>
        <w:pStyle w:val="DGTextstand-alone"/>
      </w:pPr>
      <w:r>
        <w:t>Ponieważ przychody budżetowe powinny odpowiadać wydatkom budżetowym (lub je przekraczać), wyżej przedstawiona tendencja w zakresie przychodów wynika przede</w:t>
      </w:r>
      <w:r>
        <w:t xml:space="preserve"> wszystkim z płatności dokonywanych każdego roku.</w:t>
      </w:r>
    </w:p>
    <w:p w:rsidR="0043277E" w:rsidRDefault="000F2348">
      <w:pPr>
        <w:pStyle w:val="DGTextstand-alone"/>
      </w:pPr>
      <w:r>
        <w:t>W 2019 r. skonsolidowane przychody wyniosły 160,3 mld EUR, co oznacza niewielki spadek o 2,6 mld EUR, tj. 1,6 %, w stosunku do kwoty 162,9 mld EUR z roku poprzedniego, co wynikało głównie ze wzrostu zasobów</w:t>
      </w:r>
      <w:r>
        <w:t xml:space="preserve"> własnych opartych na DNB i VAT, który został nadmiernie skompensowany obniżeniem w innych kategoriach przychodów:</w:t>
      </w:r>
    </w:p>
    <w:p w:rsidR="0043277E" w:rsidRDefault="000F2348">
      <w:pPr>
        <w:pStyle w:val="DGTextstand-alone"/>
        <w:numPr>
          <w:ilvl w:val="0"/>
          <w:numId w:val="39"/>
        </w:numPr>
      </w:pPr>
      <w:r>
        <w:t>Przychody z tytułu DNB (dochodu narodowego brutto), które są głównym elementem przychodów operacyjnych UE, oraz zasoby własne oparte na VAT w</w:t>
      </w:r>
      <w:r>
        <w:t>zrosły z 123,4 mld EUR w 2018 r. do 126,9 mld EUR w 2019 r. Wzrost o 3,5 mld EUR, tj. 2,8 %, wynikał głównie z korekt kwot z poprzednich lat (głównie za lata 2012–2017), ponieważ podstawy DNB/VAT zaktualizowano o dane rzeczywiste.</w:t>
      </w:r>
    </w:p>
    <w:p w:rsidR="0043277E" w:rsidRDefault="000F2348">
      <w:pPr>
        <w:pStyle w:val="DGTextstand-alone"/>
        <w:numPr>
          <w:ilvl w:val="0"/>
          <w:numId w:val="39"/>
        </w:numPr>
      </w:pPr>
      <w:r>
        <w:t>Do wzrostu przychodów prz</w:t>
      </w:r>
      <w:r>
        <w:t>yczynił się również wzrost odzyskanych wydatków z 2,2 mld EUR do 2,6 mld EUR (wzrost o 0,4 mld EUR, tj. 18,2 %).</w:t>
      </w:r>
    </w:p>
    <w:p w:rsidR="0043277E" w:rsidRDefault="000F2348">
      <w:pPr>
        <w:pStyle w:val="DGTextstand-alone"/>
        <w:numPr>
          <w:ilvl w:val="0"/>
          <w:numId w:val="39"/>
        </w:numPr>
      </w:pPr>
      <w:r>
        <w:t xml:space="preserve">Jednocześnie przychody z tytułu grzywien, które w 2018 r. wyniosły 6,7 mld EUR, spadły o 2,4 mld EUR, tj. 35,8 %, do 4,3 mld EUR ze względu na </w:t>
      </w:r>
      <w:r>
        <w:t xml:space="preserve">mniejszą wysokość nałożonych grzywien. </w:t>
      </w:r>
      <w:r>
        <w:lastRenderedPageBreak/>
        <w:t>Podczas gdy w 2018 r. trzy największe nałożone grzywny wyniosły 5,7 mld EUR, trzy przypadki najwyższych grzywien w 2019 r. wyniosły 3,1 mld EUR.</w:t>
      </w:r>
    </w:p>
    <w:p w:rsidR="0043277E" w:rsidRDefault="000F2348">
      <w:pPr>
        <w:pStyle w:val="DGTextstand-alone"/>
      </w:pPr>
      <w:r>
        <w:t>Powyższym zmianom towarzyszył spadek przychodów z tytułu tradycyjnych za</w:t>
      </w:r>
      <w:r>
        <w:t>sobów własnych, które zmniejszyły się z 22,8 mld EUR w 2018 r. do 21,2 mld EUR w 2019 r. (spadek o 1,6 mld EUR, tj. 7,0 %), oraz spadek przychodów finansowych, które zmniejszyły się z 3,1 mld EUR w 2018 r. do 1,8 mld EUR w 2019 r. (spadek o 1,3 mld EUR, tj</w:t>
      </w:r>
      <w:r>
        <w:t>. 41,9 %) z powodu ujętych w 2018 r. przychodów z tytułu odsetek za zwłokę w płatnościach związanych z TZW w Zjednoczonym Królestwie (1,3 mld EUR).</w:t>
      </w:r>
    </w:p>
    <w:p w:rsidR="0043277E" w:rsidRDefault="000F2348">
      <w:pPr>
        <w:pStyle w:val="HEADER2Part4"/>
      </w:pPr>
      <w:bookmarkStart w:id="176" w:name="_Toc491880235"/>
      <w:bookmarkStart w:id="177" w:name="_Toc11225931"/>
      <w:bookmarkStart w:id="178" w:name="_Toc49418705"/>
      <w:r>
        <w:t>KOSZTY</w:t>
      </w:r>
      <w:bookmarkEnd w:id="176"/>
      <w:bookmarkEnd w:id="177"/>
      <w:bookmarkEnd w:id="178"/>
    </w:p>
    <w:p w:rsidR="0043277E" w:rsidRDefault="000F2348">
      <w:pPr>
        <w:pStyle w:val="DGTextstand-alone"/>
      </w:pPr>
      <w:r>
        <w:t>Główny składnik kosztów ujętych w skonsolidowanym sprawozdaniu finansowym stanowią płatności transfer</w:t>
      </w:r>
      <w:r>
        <w:t>owe w ramach zarządzania dzielonego, co obejmuje następujące fundusze: (i) Europejski Fundusz Rolniczy Gwarancji (EFRG), (ii) Europejski Fundusz Rolny na rzecz Rozwoju Obszarów Wiejskich (EFRROW) i inne instrumenty na rzecz rozwoju obszarów wiejskich, (iii</w:t>
      </w:r>
      <w:r>
        <w:t>) Europejski Fundusz Rozwoju Regionalnego (EFRR) i Fundusz Spójności oraz (iv) Europejski Fundusz Społeczny (EFS). Fundusze te stanowiły niemal 66,8 % łącznych kosztów w 2019 r. (w 2018 r.: 66,3 %) – podział przedstawiono na wykresie poniżej.</w:t>
      </w:r>
    </w:p>
    <w:p w:rsidR="0043277E" w:rsidRDefault="000F2348">
      <w:pPr>
        <w:pStyle w:val="HEADER5"/>
        <w:rPr>
          <w:b/>
          <w:noProof/>
        </w:rPr>
      </w:pPr>
      <w:r>
        <w:rPr>
          <w:noProof/>
        </w:rPr>
        <w:t>Względne znac</w:t>
      </w:r>
      <w:r>
        <w:rPr>
          <w:noProof/>
        </w:rPr>
        <w:t>zenie głównych kosztów wydatkowanych przez państwa członkowskie (zarządzanie dzielone) w roku budżetowym 2019</w:t>
      </w:r>
    </w:p>
    <w:p w:rsidR="0043277E" w:rsidRDefault="000F2348">
      <w:pPr>
        <w:pStyle w:val="DGTextstand-alone"/>
        <w:jc w:val="center"/>
      </w:pPr>
      <w:r>
        <w:rPr>
          <w:lang w:eastAsia="pl-PL"/>
        </w:rPr>
        <w:drawing>
          <wp:inline distT="0" distB="0" distL="0" distR="0">
            <wp:extent cx="4991100" cy="264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991100" cy="2647950"/>
                    </a:xfrm>
                    <a:prstGeom prst="rect">
                      <a:avLst/>
                    </a:prstGeom>
                    <a:noFill/>
                    <a:ln>
                      <a:noFill/>
                    </a:ln>
                  </pic:spPr>
                </pic:pic>
              </a:graphicData>
            </a:graphic>
          </wp:inline>
        </w:drawing>
      </w:r>
    </w:p>
    <w:p w:rsidR="0043277E" w:rsidRDefault="000F2348">
      <w:pPr>
        <w:pStyle w:val="DGTextstand-alone"/>
      </w:pPr>
      <w:r>
        <w:t>Koszty poniesione w ramach zarządzania bezpośredniego wiążą się z wykonaniem budżetu przez Komisję, agencje wykonawcze oraz fundusze powiernicze</w:t>
      </w:r>
      <w:r>
        <w:t>. W ramach zarządzania pośredniego budżet wydatkowany jest przez inne agencje i organy UE, państwa trzecie, organizacje międzynarodowe i inne podmioty.</w:t>
      </w:r>
    </w:p>
    <w:p w:rsidR="0043277E" w:rsidRDefault="000F2348">
      <w:pPr>
        <w:pStyle w:val="DGTextstand-alone"/>
      </w:pPr>
      <w:r>
        <w:t>Koszty poniesione w ramach zarządzania bezpośredniego i pośredniego wynosiły 29,0 mld EUR, tj. 18,7 % łą</w:t>
      </w:r>
      <w:r>
        <w:t>cznych kosztów, i utrzymywały się na stabilnym poziomie w porównaniu z poprzednim rokiem budżetowym (w 2018 r.: 28,5 mld EUR, tj. 19,1 %).</w:t>
      </w:r>
    </w:p>
    <w:p w:rsidR="0043277E" w:rsidRDefault="000F2348">
      <w:pPr>
        <w:pStyle w:val="DGTextstand-alone"/>
      </w:pPr>
      <w:r>
        <w:t>UE ujmuje także jako koszty pewne przyszłe zobowiązania płatnicze, nawet jeżeli nie zapisano ich jeszcze na kontach b</w:t>
      </w:r>
      <w:r>
        <w:t>udżetowych opartych na zasadzie kasowej. Znaczne kwoty wykazano w zobowiązaniach i biernych rozliczeniach międzyokresowych kosztów dotyczących rolnictwa i rozwoju obszarów wiejskich, a także w zobowiązaniach z tytułu świadczeń emerytalno-rentowych i świadc</w:t>
      </w:r>
      <w:r>
        <w:t xml:space="preserve">zeń pracowniczych w związku z prawami emerytalnymi i innymi prawami przysługującymi po okresie zatrudnienia nabytymi przez komisarzy, członków instytucji Unii oraz personel (zob. informacja dodatkowa </w:t>
      </w:r>
      <w:r>
        <w:rPr>
          <w:b/>
        </w:rPr>
        <w:t>2.9</w:t>
      </w:r>
      <w:r>
        <w:t>).</w:t>
      </w:r>
    </w:p>
    <w:p w:rsidR="0043277E" w:rsidRDefault="000F2348">
      <w:pPr>
        <w:pStyle w:val="DGTextstand-alone"/>
      </w:pPr>
      <w:r>
        <w:t>Ogólnie rzecz biorąc, wydatki wzrosły o 4,4 %, tj.</w:t>
      </w:r>
      <w:r>
        <w:t> 6,5 mld EUR, z 149,0 mld EUR do 155,5 mld EUR w porównaniu z 2018 r., co wynika głównie z wydatków na programy realizowane przez państwa członkowskie w ramach zarządzania dzielonego, które wzrosły o 4,8 mld EUR, tj. 4,7 %, z 101,7 mld EUR do 106,5 mld EUR</w:t>
      </w:r>
      <w:r>
        <w:t xml:space="preserve"> w wyniku realizacji programów w ramach EFRR i Funduszu Spójności jako zaliczek z obecnych WRF.</w:t>
      </w:r>
    </w:p>
    <w:p w:rsidR="0043277E" w:rsidRDefault="000F2348">
      <w:pPr>
        <w:rPr>
          <w:rFonts w:ascii="Verdana" w:hAnsi="Verdana"/>
          <w:b/>
          <w:noProof/>
          <w:color w:val="016794"/>
          <w:sz w:val="28"/>
          <w:szCs w:val="30"/>
        </w:rPr>
      </w:pPr>
      <w:bookmarkStart w:id="179" w:name="_Toc491880236"/>
      <w:bookmarkStart w:id="180" w:name="_Toc11225932"/>
      <w:r>
        <w:rPr>
          <w:noProof/>
        </w:rPr>
        <w:lastRenderedPageBreak/>
        <w:br w:type="page"/>
      </w:r>
    </w:p>
    <w:p w:rsidR="0043277E" w:rsidRDefault="000F2348">
      <w:pPr>
        <w:pStyle w:val="HEADER2Part4"/>
      </w:pPr>
      <w:bookmarkStart w:id="181" w:name="_Toc49418706"/>
      <w:r>
        <w:lastRenderedPageBreak/>
        <w:t>AKTYWA</w:t>
      </w:r>
      <w:bookmarkEnd w:id="179"/>
      <w:bookmarkEnd w:id="180"/>
      <w:bookmarkEnd w:id="181"/>
    </w:p>
    <w:p w:rsidR="0043277E" w:rsidRDefault="000F2348">
      <w:pPr>
        <w:pStyle w:val="DGTextstand-alone"/>
      </w:pPr>
      <w:bookmarkStart w:id="182" w:name="_Toc491880237"/>
      <w:r>
        <w:t xml:space="preserve">Najbardziej znacząca pozycja po stronie aktywów w bilansie dotyczy aktywów finansowych (udzielone pożyczki, aktywa finansowe dostępne do sprzedaży, </w:t>
      </w:r>
      <w:r>
        <w:t>środki pieniężne) oraz kwot płatności zaliczkowych, które stanowią 79,6 % aktywów UE (w 2018 r.: 78,8 %)</w:t>
      </w:r>
    </w:p>
    <w:p w:rsidR="0043277E" w:rsidRDefault="000F2348">
      <w:pPr>
        <w:pStyle w:val="HEADER5"/>
        <w:rPr>
          <w:noProof/>
        </w:rPr>
      </w:pPr>
      <w:r>
        <w:rPr>
          <w:noProof/>
        </w:rPr>
        <w:t>Struktura skonsolidowanych aktywów UE</w:t>
      </w:r>
    </w:p>
    <w:p w:rsidR="0043277E" w:rsidRDefault="000F2348">
      <w:pPr>
        <w:pStyle w:val="HEADER5"/>
        <w:rPr>
          <w:noProof/>
        </w:rPr>
      </w:pPr>
      <w:r>
        <w:rPr>
          <w:noProof/>
          <w:lang w:eastAsia="pl-PL"/>
        </w:rPr>
        <w:drawing>
          <wp:inline distT="0" distB="0" distL="0" distR="0">
            <wp:extent cx="6120765" cy="354168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20765" cy="3541689"/>
                    </a:xfrm>
                    <a:prstGeom prst="rect">
                      <a:avLst/>
                    </a:prstGeom>
                    <a:noFill/>
                    <a:ln>
                      <a:noFill/>
                    </a:ln>
                  </pic:spPr>
                </pic:pic>
              </a:graphicData>
            </a:graphic>
          </wp:inline>
        </w:drawing>
      </w:r>
    </w:p>
    <w:p w:rsidR="0043277E" w:rsidRDefault="000F2348">
      <w:pPr>
        <w:pStyle w:val="DGTextstand-alone"/>
      </w:pPr>
      <w:r>
        <w:t>Na dzień 31 grudnia 2019 r. aktywa wynosiły ogółem 178,9 mld EUR, co stanowi wzrost o 4,5 mld EUR, tj. 2,6 %, w</w:t>
      </w:r>
      <w:r>
        <w:t xml:space="preserve"> stosunku do poprzedniego roku (w 2018 r.: 174,4 mld EUR). Główne zmiany obejmowały:</w:t>
      </w:r>
    </w:p>
    <w:p w:rsidR="0043277E" w:rsidRDefault="000F2348">
      <w:pPr>
        <w:pStyle w:val="DGTextstand-alone"/>
        <w:numPr>
          <w:ilvl w:val="0"/>
          <w:numId w:val="40"/>
        </w:numPr>
      </w:pPr>
      <w:r>
        <w:t xml:space="preserve">wzrost aktywów finansowych dostępnych do sprzedaży o 3,0 mld EUR (19,2 %) odzwierciedlający dalsze finansowanie funduszy gwarancyjnych EFIS i EFZR oraz programu „Horyzont </w:t>
      </w:r>
      <w:r>
        <w:t>2020”;</w:t>
      </w:r>
    </w:p>
    <w:p w:rsidR="0043277E" w:rsidRDefault="000F2348">
      <w:pPr>
        <w:pStyle w:val="DGTextstand-alone"/>
        <w:numPr>
          <w:ilvl w:val="0"/>
          <w:numId w:val="40"/>
        </w:numPr>
      </w:pPr>
      <w:r>
        <w:t>wzrost środków pieniężnych i ich ekwiwalentów o 1,6 mld EUR (9,0 %) (zob. poniżej);</w:t>
      </w:r>
    </w:p>
    <w:p w:rsidR="0043277E" w:rsidRDefault="000F2348">
      <w:pPr>
        <w:pStyle w:val="DGTextstand-alone"/>
        <w:numPr>
          <w:ilvl w:val="0"/>
          <w:numId w:val="40"/>
        </w:numPr>
      </w:pPr>
      <w:r>
        <w:t>płatności zaliczkowe, tj. zaliczki wypłacone beneficjentom środków unijnych, utrzymywały się zasadniczo na stałym poziomie z niewielkim wzrostem o 1,1 mld EUR (2,5 %</w:t>
      </w:r>
      <w:r>
        <w:t>);</w:t>
      </w:r>
    </w:p>
    <w:p w:rsidR="0043277E" w:rsidRDefault="000F2348">
      <w:pPr>
        <w:pStyle w:val="DGTextstand-alone"/>
        <w:numPr>
          <w:ilvl w:val="0"/>
          <w:numId w:val="40"/>
        </w:numPr>
      </w:pPr>
      <w:r>
        <w:t>powyższe skutki częściowo zrekompensowało zmniejszenie wartości pożyczek o 1,3 mld EUR (2,3 %), głównie w wyniku spłaty w 2019 r. przez Rumunię (1 mld EUR) i Łotwę (0,5 mld EUR) pożyczek wypłaconych w ramach bilansu płatniczego, co zostało częściowo sko</w:t>
      </w:r>
      <w:r>
        <w:t>mpensowane przez nowe pożyczki na pomoc makrofinansową.</w:t>
      </w:r>
    </w:p>
    <w:p w:rsidR="0043277E" w:rsidRDefault="000F2348">
      <w:pPr>
        <w:pStyle w:val="DGTextstand-alone"/>
      </w:pPr>
      <w:r>
        <w:t xml:space="preserve">Ogólnie rzecz biorąc, instytucje i organy UE starają się utrzymywać stan środków pieniężnych i ich ekwiwalentów na niskim poziomie. Na saldo środków pieniężnych na koniec roku wynoszące 19,7 mld EUR </w:t>
      </w:r>
      <w:r>
        <w:t>składają się następujące główne elementy:</w:t>
      </w:r>
      <w:r>
        <w:noBreakHyphen/>
      </w:r>
    </w:p>
    <w:p w:rsidR="0043277E" w:rsidRDefault="000F2348">
      <w:pPr>
        <w:pStyle w:val="DGTextstand-alone"/>
        <w:numPr>
          <w:ilvl w:val="0"/>
          <w:numId w:val="28"/>
        </w:numPr>
        <w:rPr>
          <w:sz w:val="16"/>
        </w:rPr>
      </w:pPr>
      <w:r>
        <w:t>Kwota grzywien nałożonych przez Komisję w związku z naruszeniami reguł konkurencji, tj. 2,6 mld EUR, ostatecznie zainkasowana w 2019 r., ale jeszcze nieuwzględniona w żadnym budżecie korygującym, została również u</w:t>
      </w:r>
      <w:r>
        <w:t>jęta w saldzie środków pieniężnych na koniec roku.</w:t>
      </w:r>
      <w:r>
        <w:noBreakHyphen/>
      </w:r>
    </w:p>
    <w:p w:rsidR="0043277E" w:rsidRDefault="000F2348">
      <w:pPr>
        <w:pStyle w:val="DGTextstand-alone"/>
        <w:numPr>
          <w:ilvl w:val="0"/>
          <w:numId w:val="28"/>
        </w:numPr>
      </w:pPr>
      <w:r>
        <w:t>Saldo środków obejmuje również niewykorzystane jeszcze środki na płatności z tytułu dochodów przeznaczonych na określony cel i inne środki na płatności w wysokości 9,7 mld EUR z budżetu na 2019 r.</w:t>
      </w:r>
    </w:p>
    <w:p w:rsidR="0043277E" w:rsidRDefault="000F2348">
      <w:pPr>
        <w:rPr>
          <w:rFonts w:ascii="Verdana" w:hAnsi="Verdana"/>
          <w:noProof/>
          <w:color w:val="016794"/>
          <w:sz w:val="18"/>
          <w:szCs w:val="18"/>
        </w:rPr>
      </w:pPr>
      <w:r>
        <w:rPr>
          <w:noProof/>
        </w:rPr>
        <w:br w:type="page"/>
      </w:r>
    </w:p>
    <w:p w:rsidR="0043277E" w:rsidRDefault="000F2348">
      <w:pPr>
        <w:pStyle w:val="HEADER5"/>
        <w:rPr>
          <w:noProof/>
        </w:rPr>
      </w:pPr>
      <w:r>
        <w:rPr>
          <w:noProof/>
        </w:rPr>
        <w:lastRenderedPageBreak/>
        <w:t>Płatn</w:t>
      </w:r>
      <w:r>
        <w:rPr>
          <w:noProof/>
        </w:rPr>
        <w:t>ości zaliczkowe</w:t>
      </w:r>
    </w:p>
    <w:p w:rsidR="0043277E" w:rsidRDefault="000F2348">
      <w:pPr>
        <w:pStyle w:val="DGTextstand-alone"/>
      </w:pPr>
      <w:r>
        <w:t xml:space="preserve">Należy zwrócić uwagę, że znaczny wpływ na poziom płatności zaliczkowych ma cykl WRF – na przykład na początku okresu obowiązywania WRF można spodziewać się wypłat dużych zaliczek dla państw członkowskich w ramach polityki spójności i kwoty </w:t>
      </w:r>
      <w:r>
        <w:t>te pozostają do dyspozycji państw członkowskich do czasu zamknięcia programów. Wypłacane są również roczne płatności zaliczkowe, które należy wykorzystać w danym roku lub odzyskać w następnym roku w ramach rocznego zamknięcia cyklu sprawozdania finansowego</w:t>
      </w:r>
      <w:r>
        <w:t>. Komisja dokłada wszelkich starań, aby zapewnić utrzymanie poziomów płatności zaliczkowych na odpowiednim poziomie. Trzeba znaleźć równowagę między zapewnieniem wystarczającego finansowania projektów a terminowym ujmowaniem wydatków.</w:t>
      </w:r>
    </w:p>
    <w:p w:rsidR="0043277E" w:rsidRDefault="000F2348">
      <w:pPr>
        <w:pStyle w:val="DGTextstand-alone"/>
      </w:pPr>
      <w:r>
        <w:t>Łączna kwota płatnośc</w:t>
      </w:r>
      <w:r>
        <w:t>i zaliczkowych (z wyłączeniem innych zaliczek dla państw członkowskich i wkładów do funduszu powierniczego Bêkou oraz funduszu powierniczego dla Afryki) wykazana w bilansie UE wynosi 44,4 mld EUR (w 2018 r.: 43,4 mld EUR) i prawie w całości związana jest z</w:t>
      </w:r>
      <w:r>
        <w:t xml:space="preserve"> działaniami Komisji. Około 56 % płatności zaliczkowych dokonywanych przez Komisję dotyczy zarządzania dzielonego, co oznacza, że wykonanie budżetu przekazuje się państwom członkowskim (Komisja zachowuje funkcję nadzorczą).</w:t>
      </w:r>
    </w:p>
    <w:p w:rsidR="0043277E" w:rsidRDefault="000F2348">
      <w:pPr>
        <w:pStyle w:val="HEADER5"/>
        <w:rPr>
          <w:noProof/>
        </w:rPr>
      </w:pPr>
      <w:r>
        <w:rPr>
          <w:noProof/>
        </w:rPr>
        <w:t xml:space="preserve">Płatności zaliczkowe dokonywane </w:t>
      </w:r>
      <w:r>
        <w:rPr>
          <w:noProof/>
        </w:rPr>
        <w:t>przez Komisję według metody zarządzania</w:t>
      </w:r>
    </w:p>
    <w:p w:rsidR="0043277E" w:rsidRDefault="000F2348">
      <w:pPr>
        <w:pStyle w:val="Textstand-alone"/>
        <w:jc w:val="center"/>
      </w:pPr>
      <w:r>
        <w:rPr>
          <w:lang w:eastAsia="pl-PL"/>
        </w:rPr>
        <w:drawing>
          <wp:inline distT="0" distB="0" distL="0" distR="0">
            <wp:extent cx="5048250" cy="264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048250" cy="2647950"/>
                    </a:xfrm>
                    <a:prstGeom prst="rect">
                      <a:avLst/>
                    </a:prstGeom>
                    <a:noFill/>
                    <a:ln>
                      <a:noFill/>
                    </a:ln>
                  </pic:spPr>
                </pic:pic>
              </a:graphicData>
            </a:graphic>
          </wp:inline>
        </w:drawing>
      </w:r>
    </w:p>
    <w:p w:rsidR="0043277E" w:rsidRDefault="000F2348">
      <w:pPr>
        <w:pStyle w:val="DGTextstand-alone"/>
      </w:pPr>
      <w:r>
        <w:t>Najbardziej znaczące kwoty płatności zaliczkowych w ramach zarządzania dzielonego odnoszą się do EFRR i Funduszu Spójności (14,4 mld EUR), przy czym kwoty te utrzymały się na poziomie porównywalnym z poziomem w rok</w:t>
      </w:r>
      <w:r>
        <w:t>u 2018 (14,6 mld EUR).</w:t>
      </w:r>
    </w:p>
    <w:p w:rsidR="0043277E" w:rsidRDefault="000F2348">
      <w:pPr>
        <w:pStyle w:val="HEADER5"/>
        <w:rPr>
          <w:noProof/>
        </w:rPr>
      </w:pPr>
      <w:r>
        <w:rPr>
          <w:noProof/>
        </w:rPr>
        <w:t>INSTRUMENTY FINANSOWE</w:t>
      </w:r>
    </w:p>
    <w:p w:rsidR="0043277E" w:rsidRDefault="000F2348">
      <w:pPr>
        <w:pStyle w:val="DGTextstand-alone"/>
      </w:pPr>
      <w:r>
        <w:t>W skonsolidowanym sprawozdaniu finansowym UE jako instrumenty finansowe w ujęciu księgowym wykazano następujące pozycje:</w:t>
      </w:r>
    </w:p>
    <w:p w:rsidR="0043277E" w:rsidRDefault="000F2348">
      <w:pPr>
        <w:pStyle w:val="DGTextstand-alone"/>
        <w:numPr>
          <w:ilvl w:val="0"/>
          <w:numId w:val="41"/>
        </w:numPr>
      </w:pPr>
      <w:r>
        <w:t>instrumenty finansowe finansowane z budżetu UE: w ramach tego rodzaju wykonania budżetu śr</w:t>
      </w:r>
      <w:r>
        <w:t>odki pieniężne albo zostały już wypłacone na rachunki powiernicze zarządzane przez uprawnione podmioty i pozostają dostępne (jako środki pieniężne i ich ekwiwalenty, dłużne papiery wartościowe lub inwestycje w fundusze rynku pieniężnego lub łączne portfele</w:t>
      </w:r>
      <w:r>
        <w:t xml:space="preserve"> aktywów), aby pokryć uruchomienie gwarancji w przyszłości albo zostały zainwestowane w kapitał;</w:t>
      </w:r>
    </w:p>
    <w:p w:rsidR="0043277E" w:rsidRDefault="000F2348">
      <w:pPr>
        <w:pStyle w:val="DGTextstand-alone"/>
        <w:numPr>
          <w:ilvl w:val="0"/>
          <w:numId w:val="41"/>
        </w:numPr>
      </w:pPr>
      <w:r>
        <w:t>aktywa finansowe przechowywane w funduszach gwarancyjnych na potrzeby gwarancji budżetowych; w ramach tego rodzaju wykonania budżetu UE udziela kontrahentom gw</w:t>
      </w:r>
      <w:r>
        <w:t xml:space="preserve">arancji, w przypadku których finansowanie jest zapewniane jedynie częściowo za pośrednictwem funduszy gwarancyjnych ustanowionych przez Komisję, i tym samym tworzy zobowiązanie warunkowe na rzecz budżetu UE – zob. informacja dodatkowa </w:t>
      </w:r>
      <w:r>
        <w:rPr>
          <w:b/>
        </w:rPr>
        <w:t>4.1</w:t>
      </w:r>
      <w:r>
        <w:t>; oraz</w:t>
      </w:r>
    </w:p>
    <w:p w:rsidR="0043277E" w:rsidRDefault="000F2348">
      <w:pPr>
        <w:pStyle w:val="DGTextstand-alone"/>
        <w:numPr>
          <w:ilvl w:val="0"/>
          <w:numId w:val="41"/>
        </w:numPr>
      </w:pPr>
      <w:r>
        <w:t>kredyty i p</w:t>
      </w:r>
      <w:r>
        <w:t>owiązane pożyczki zaciągnięte na programy pomocy finansowej.</w:t>
      </w:r>
    </w:p>
    <w:p w:rsidR="0043277E" w:rsidRDefault="000F2348">
      <w:pPr>
        <w:pStyle w:val="HEADER5"/>
        <w:rPr>
          <w:noProof/>
        </w:rPr>
      </w:pPr>
      <w:r>
        <w:rPr>
          <w:noProof/>
        </w:rPr>
        <w:t>Instrumenty finansowe finansowane z budżetu UE</w:t>
      </w:r>
    </w:p>
    <w:p w:rsidR="0043277E" w:rsidRDefault="000F2348">
      <w:pPr>
        <w:pStyle w:val="DGTextstand-alone"/>
      </w:pPr>
      <w:r>
        <w:lastRenderedPageBreak/>
        <w:t>Znaczenie instrumentów finansowych finansowanych z budżetu UE w ramach zarządzania bezpośredniego i pośredniego oraz związane z tymi instrumentami k</w:t>
      </w:r>
      <w:r>
        <w:t>woty są z roku na rok coraz większe. W przeciwieństwie do tradycyjnej metody wykonywania budżetu, która polega na udzielaniu dotacji i subwencji, podejście to polega na tym, za każde euro wydane z budżetu z wykorzystaniem instrumentów finansowych beneficje</w:t>
      </w:r>
      <w:r>
        <w:t>nt końcowy otrzymuje ponad 1 EUR wsparcia finansowego, co wynika z efektu mnożnikowego. Korzystanie z budżetu UE ma na celu osiągnięcie jak największych efektów za pomocą dostępnych środków. Instrumenty finansowe finansowane z budżetu UE mają również posta</w:t>
      </w:r>
      <w:r>
        <w:t>ć instrumentów gwarancyjnych, instrumentów kapitałowych i instrumentów pożyczkowych – zob. przegląd wg WRF w tabeli poniżej. Aktywa w tych instrumentach są przechowywane w postaci środków pieniężnych i ich ekwiwalentów albo inwestowane w instrumenty kapita</w:t>
      </w:r>
      <w:r>
        <w:t>łowe i dłużne papiery wartościowe traktowane w skonsolidowanym sprawozdaniu finansowym UE jako aktywa finansowe dostępne do sprzedaży.</w:t>
      </w:r>
    </w:p>
    <w:p w:rsidR="0043277E" w:rsidRDefault="000F2348">
      <w:pPr>
        <w:pStyle w:val="DGTextstand-alone"/>
        <w:spacing w:after="0"/>
        <w:rPr>
          <w:color w:val="000000" w:themeColor="text1"/>
        </w:rPr>
      </w:pPr>
      <w:r>
        <w:rPr>
          <w:color w:val="000000" w:themeColor="text1"/>
        </w:rPr>
        <w:t>Aktywa finansowe dostępne do sprzedaży związane z instrumentami finansowymi finansowanymi z budżetu UE (wartość na koniec</w:t>
      </w:r>
      <w:r>
        <w:rPr>
          <w:color w:val="000000" w:themeColor="text1"/>
        </w:rPr>
        <w:t xml:space="preserve"> roku):</w:t>
      </w:r>
      <w:r>
        <w:rPr>
          <w:color w:val="000000" w:themeColor="text1"/>
        </w:rPr>
        <w:noBreakHyphen/>
      </w:r>
    </w:p>
    <w:p w:rsidR="0043277E" w:rsidRDefault="000F2348">
      <w:pPr>
        <w:pStyle w:val="Textstand-alone"/>
        <w:spacing w:before="0"/>
        <w:jc w:val="center"/>
      </w:pPr>
      <w:r>
        <w:rPr>
          <w:lang w:eastAsia="pl-PL"/>
        </w:rPr>
        <w:drawing>
          <wp:inline distT="0" distB="0" distL="0" distR="0">
            <wp:extent cx="4940300" cy="350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940300" cy="3505200"/>
                    </a:xfrm>
                    <a:prstGeom prst="rect">
                      <a:avLst/>
                    </a:prstGeom>
                    <a:noFill/>
                    <a:ln>
                      <a:noFill/>
                    </a:ln>
                  </pic:spPr>
                </pic:pic>
              </a:graphicData>
            </a:graphic>
          </wp:inline>
        </w:drawing>
      </w:r>
    </w:p>
    <w:p w:rsidR="0043277E" w:rsidRDefault="000F2348">
      <w:pPr>
        <w:pStyle w:val="DGTextstand-alone"/>
        <w:spacing w:after="0"/>
        <w:rPr>
          <w:b/>
        </w:rPr>
      </w:pPr>
      <w:r>
        <w:t>W poniższych tabelach zawarto przegląd instrumentów finansowych finansowanych z budżetu UE z podziałem na WRF oraz wartości tych instrumentów według stanu na dzień 31 grudnia 2019 r.:</w:t>
      </w:r>
    </w:p>
    <w:tbl>
      <w:tblPr>
        <w:tblW w:w="10073" w:type="dxa"/>
        <w:tblInd w:w="108" w:type="dxa"/>
        <w:tblLook w:val="0480" w:firstRow="0" w:lastRow="0" w:firstColumn="1" w:lastColumn="0" w:noHBand="0" w:noVBand="1"/>
      </w:tblPr>
      <w:tblGrid>
        <w:gridCol w:w="5948"/>
        <w:gridCol w:w="1188"/>
        <w:gridCol w:w="1682"/>
        <w:gridCol w:w="1609"/>
      </w:tblGrid>
      <w:tr w:rsidR="0043277E">
        <w:trPr>
          <w:trHeight w:val="315"/>
        </w:trPr>
        <w:tc>
          <w:tcPr>
            <w:tcW w:w="594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rsidR="0043277E" w:rsidRDefault="000F2348">
            <w:pPr>
              <w:rPr>
                <w:rFonts w:ascii="Verdana" w:hAnsi="Verdana"/>
                <w:i/>
                <w:noProof/>
                <w:color w:val="000000"/>
                <w:sz w:val="16"/>
                <w:szCs w:val="18"/>
              </w:rPr>
            </w:pPr>
            <w:r>
              <w:rPr>
                <w:rFonts w:ascii="Verdana" w:hAnsi="Verdana"/>
                <w:i/>
                <w:noProof/>
                <w:color w:val="000000"/>
                <w:sz w:val="16"/>
                <w:szCs w:val="18"/>
              </w:rPr>
              <w:t>w mln EUR</w:t>
            </w:r>
          </w:p>
        </w:tc>
      </w:tr>
      <w:tr w:rsidR="0043277E">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43277E" w:rsidRDefault="000F2348">
            <w:pPr>
              <w:rPr>
                <w:rFonts w:ascii="Verdana" w:hAnsi="Verdana"/>
                <w:b/>
                <w:bCs/>
                <w:noProof/>
                <w:color w:val="FFFFFF"/>
                <w:sz w:val="16"/>
                <w:szCs w:val="16"/>
              </w:rPr>
            </w:pPr>
            <w:r>
              <w:rPr>
                <w:rFonts w:ascii="Verdana" w:hAnsi="Verdana"/>
                <w:b/>
                <w:bCs/>
                <w:noProof/>
                <w:color w:val="FFFFFF"/>
                <w:sz w:val="16"/>
                <w:szCs w:val="16"/>
              </w:rPr>
              <w:t>Związane z więcej niż jednymi WRF</w:t>
            </w:r>
          </w:p>
        </w:tc>
        <w:tc>
          <w:tcPr>
            <w:tcW w:w="118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Aktywa*</w:t>
            </w:r>
          </w:p>
        </w:tc>
        <w:tc>
          <w:tcPr>
            <w:tcW w:w="134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Zobowiązania**</w:t>
            </w:r>
          </w:p>
        </w:tc>
        <w:tc>
          <w:tcPr>
            <w:tcW w:w="1589" w:type="dxa"/>
            <w:tcBorders>
              <w:top w:val="single" w:sz="8" w:space="0" w:color="auto"/>
              <w:left w:val="nil"/>
              <w:bottom w:val="nil"/>
              <w:right w:val="single" w:sz="8" w:space="0" w:color="auto"/>
            </w:tcBorders>
            <w:shd w:val="clear" w:color="000000" w:fill="366092"/>
            <w:noWrap/>
            <w:vAlign w:val="center"/>
            <w:hideMark/>
          </w:tcPr>
          <w:p w:rsidR="0043277E" w:rsidRDefault="000F2348">
            <w:pPr>
              <w:rPr>
                <w:rFonts w:ascii="Verdana" w:hAnsi="Verdana"/>
                <w:b/>
                <w:bCs/>
                <w:noProof/>
                <w:color w:val="FFFFFF"/>
                <w:sz w:val="16"/>
                <w:szCs w:val="16"/>
              </w:rPr>
            </w:pPr>
            <w:r>
              <w:rPr>
                <w:rFonts w:ascii="Verdana" w:hAnsi="Verdana"/>
                <w:b/>
                <w:bCs/>
                <w:noProof/>
                <w:color w:val="FFFFFF"/>
                <w:sz w:val="16"/>
                <w:szCs w:val="16"/>
              </w:rPr>
              <w:t>Zobowiązania     warunkowe***</w:t>
            </w:r>
          </w:p>
        </w:tc>
      </w:tr>
      <w:tr w:rsidR="0043277E">
        <w:trPr>
          <w:trHeight w:hRule="exact" w:val="423"/>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Instrumenty gwarancyjne i instrumenty oparte na podziale ryzyka:</w:t>
            </w:r>
          </w:p>
        </w:tc>
        <w:tc>
          <w:tcPr>
            <w:tcW w:w="1188" w:type="dxa"/>
            <w:tcBorders>
              <w:top w:val="nil"/>
              <w:left w:val="nil"/>
              <w:bottom w:val="nil"/>
              <w:right w:val="nil"/>
            </w:tcBorders>
            <w:shd w:val="clear" w:color="auto" w:fill="auto"/>
            <w:noWrap/>
            <w:vAlign w:val="center"/>
            <w:hideMark/>
          </w:tcPr>
          <w:p w:rsidR="0043277E" w:rsidRDefault="0043277E">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rsidR="0043277E" w:rsidRDefault="0043277E">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 </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Instrument gwarancyjny dla Bałkanów Zachodnich (EDIF)</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36</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(40)</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36</w:t>
            </w:r>
          </w:p>
        </w:tc>
        <w:tc>
          <w:tcPr>
            <w:tcW w:w="134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Instrumenty kapitałowe:</w:t>
            </w:r>
          </w:p>
        </w:tc>
        <w:tc>
          <w:tcPr>
            <w:tcW w:w="118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 </w:t>
            </w:r>
          </w:p>
        </w:tc>
      </w:tr>
      <w:tr w:rsidR="0043277E">
        <w:trPr>
          <w:trHeight w:hRule="exact" w:val="284"/>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noProof/>
                <w:color w:val="000000"/>
                <w:sz w:val="16"/>
                <w:szCs w:val="16"/>
              </w:rPr>
            </w:pPr>
            <w:bookmarkStart w:id="183" w:name="OLE_LINK3"/>
            <w:r>
              <w:rPr>
                <w:rFonts w:ascii="Verdana" w:hAnsi="Verdana"/>
                <w:noProof/>
                <w:color w:val="000000"/>
                <w:sz w:val="16"/>
                <w:szCs w:val="16"/>
              </w:rPr>
              <w:t xml:space="preserve">Europejski Fundusz na rzecz Europy Południowo-Wschodniej (EFSE) </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166</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Fundusz „Ekologia na rzecz Wzrostu” dla wschodniego sąsiedztwa</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71</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bookmarkEnd w:id="183"/>
      <w:tr w:rsidR="0043277E">
        <w:trPr>
          <w:trHeight w:hRule="exact" w:val="284"/>
        </w:trPr>
        <w:tc>
          <w:tcPr>
            <w:tcW w:w="5948" w:type="dxa"/>
            <w:tcBorders>
              <w:top w:val="nil"/>
              <w:left w:val="single" w:sz="8" w:space="0" w:color="auto"/>
              <w:bottom w:val="nil"/>
              <w:right w:val="nil"/>
            </w:tcBorders>
            <w:shd w:val="clear" w:color="auto" w:fill="auto"/>
            <w:vAlign w:val="center"/>
          </w:tcPr>
          <w:p w:rsidR="0043277E" w:rsidRDefault="000F2348">
            <w:pPr>
              <w:rPr>
                <w:rFonts w:ascii="Verdana" w:hAnsi="Verdana"/>
                <w:noProof/>
                <w:color w:val="000000"/>
                <w:sz w:val="16"/>
                <w:szCs w:val="16"/>
              </w:rPr>
            </w:pPr>
            <w:r>
              <w:rPr>
                <w:rFonts w:ascii="Verdana" w:hAnsi="Verdana"/>
                <w:noProof/>
                <w:color w:val="000000"/>
                <w:sz w:val="16"/>
                <w:szCs w:val="16"/>
              </w:rPr>
              <w:t>Europejski Fundusz Mikrofinansowania Progress</w:t>
            </w:r>
          </w:p>
        </w:tc>
        <w:tc>
          <w:tcPr>
            <w:tcW w:w="118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53</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23"/>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Fundusz na rzecz mikro-, małych i średnich </w:t>
            </w:r>
            <w:r>
              <w:rPr>
                <w:rFonts w:ascii="Verdana" w:hAnsi="Verdana"/>
                <w:noProof/>
                <w:color w:val="000000"/>
                <w:sz w:val="16"/>
                <w:szCs w:val="16"/>
              </w:rPr>
              <w:t>przedsiębiorstw w regionie Bliskiego Wschodu i Afryki Północnej (SANAD)</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44</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Fundusz wspierania innowacji w przedsiębiorstwach (ENIF)</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17</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Fundusz rozwoju przedsiębiorczości (ENEF)</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10</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23"/>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Fundusz dłużny „Inicjatywa mikrofinansowania na rzecz Azji” </w:t>
            </w:r>
            <w:r>
              <w:rPr>
                <w:rFonts w:ascii="Verdana" w:hAnsi="Verdana"/>
                <w:noProof/>
                <w:color w:val="000000"/>
                <w:sz w:val="16"/>
                <w:szCs w:val="16"/>
              </w:rPr>
              <w:t>(ang. Microfinance Initiative for Asia Debt Fund - MIFA)</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9</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370</w:t>
            </w:r>
          </w:p>
        </w:tc>
        <w:tc>
          <w:tcPr>
            <w:tcW w:w="134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rsidR="0043277E">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 xml:space="preserve">Ogółem </w:t>
            </w:r>
          </w:p>
        </w:tc>
        <w:tc>
          <w:tcPr>
            <w:tcW w:w="1188" w:type="dxa"/>
            <w:tcBorders>
              <w:top w:val="nil"/>
              <w:left w:val="nil"/>
              <w:bottom w:val="single" w:sz="8"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406</w:t>
            </w:r>
          </w:p>
        </w:tc>
        <w:tc>
          <w:tcPr>
            <w:tcW w:w="1348" w:type="dxa"/>
            <w:tcBorders>
              <w:top w:val="nil"/>
              <w:left w:val="nil"/>
              <w:bottom w:val="single" w:sz="8"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nil"/>
              <w:left w:val="nil"/>
              <w:bottom w:val="single" w:sz="8" w:space="0" w:color="auto"/>
              <w:right w:val="single" w:sz="8" w:space="0" w:color="auto"/>
            </w:tcBorders>
            <w:shd w:val="clear" w:color="000000" w:fill="B8CCE4"/>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w:t>
            </w:r>
          </w:p>
        </w:tc>
      </w:tr>
      <w:tr w:rsidR="0043277E">
        <w:trPr>
          <w:trHeight w:hRule="exact" w:val="170"/>
        </w:trPr>
        <w:tc>
          <w:tcPr>
            <w:tcW w:w="594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rsidR="0043277E" w:rsidRDefault="0043277E">
            <w:pPr>
              <w:jc w:val="right"/>
              <w:rPr>
                <w:rFonts w:ascii="Verdana" w:hAnsi="Verdana"/>
                <w:i/>
                <w:iCs/>
                <w:noProof/>
                <w:color w:val="000000"/>
                <w:sz w:val="16"/>
                <w:szCs w:val="18"/>
              </w:rPr>
            </w:pPr>
          </w:p>
        </w:tc>
      </w:tr>
      <w:tr w:rsidR="0043277E">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43277E" w:rsidRDefault="000F2348">
            <w:pPr>
              <w:rPr>
                <w:rFonts w:ascii="Verdana" w:hAnsi="Verdana"/>
                <w:b/>
                <w:bCs/>
                <w:noProof/>
                <w:color w:val="FFFFFF"/>
                <w:sz w:val="16"/>
                <w:szCs w:val="16"/>
              </w:rPr>
            </w:pPr>
            <w:r>
              <w:rPr>
                <w:rFonts w:ascii="Verdana" w:hAnsi="Verdana"/>
                <w:b/>
                <w:bCs/>
                <w:noProof/>
                <w:color w:val="FFFFFF"/>
                <w:sz w:val="16"/>
                <w:szCs w:val="16"/>
              </w:rPr>
              <w:lastRenderedPageBreak/>
              <w:t>WRF 2014–2020</w:t>
            </w:r>
          </w:p>
        </w:tc>
        <w:tc>
          <w:tcPr>
            <w:tcW w:w="118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Aktywa</w:t>
            </w:r>
          </w:p>
        </w:tc>
        <w:tc>
          <w:tcPr>
            <w:tcW w:w="134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Zobowiązania</w:t>
            </w:r>
          </w:p>
        </w:tc>
        <w:tc>
          <w:tcPr>
            <w:tcW w:w="1589" w:type="dxa"/>
            <w:tcBorders>
              <w:top w:val="single" w:sz="8" w:space="0" w:color="auto"/>
              <w:left w:val="nil"/>
              <w:bottom w:val="nil"/>
              <w:right w:val="single" w:sz="8" w:space="0" w:color="auto"/>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Zobowiązania warunkowe</w:t>
            </w:r>
          </w:p>
        </w:tc>
      </w:tr>
      <w:tr w:rsidR="0043277E">
        <w:trPr>
          <w:trHeight w:hRule="exact" w:val="364"/>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Instrumenty gwarancyjne i instrumenty oparte na podziale ryzyka:</w:t>
            </w:r>
          </w:p>
        </w:tc>
        <w:tc>
          <w:tcPr>
            <w:tcW w:w="1188" w:type="dxa"/>
            <w:tcBorders>
              <w:top w:val="nil"/>
              <w:left w:val="nil"/>
              <w:bottom w:val="nil"/>
              <w:right w:val="nil"/>
            </w:tcBorders>
            <w:shd w:val="clear" w:color="auto" w:fill="auto"/>
            <w:noWrap/>
            <w:vAlign w:val="center"/>
            <w:hideMark/>
          </w:tcPr>
          <w:p w:rsidR="0043277E" w:rsidRDefault="0043277E">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rsidR="0043277E" w:rsidRDefault="0043277E">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 </w:t>
            </w:r>
          </w:p>
        </w:tc>
      </w:tr>
      <w:tr w:rsidR="0043277E">
        <w:trPr>
          <w:trHeight w:hRule="exact" w:val="36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bookmarkStart w:id="184" w:name="OLE_LINK4"/>
            <w:r>
              <w:rPr>
                <w:rFonts w:ascii="Verdana" w:hAnsi="Verdana"/>
                <w:noProof/>
                <w:color w:val="000000"/>
                <w:sz w:val="16"/>
                <w:szCs w:val="16"/>
              </w:rPr>
              <w:t xml:space="preserve">„Horyzont 2020” – </w:t>
            </w:r>
            <w:r>
              <w:rPr>
                <w:rFonts w:ascii="Verdana" w:hAnsi="Verdana"/>
                <w:noProof/>
                <w:color w:val="000000"/>
                <w:sz w:val="16"/>
                <w:szCs w:val="16"/>
              </w:rPr>
              <w:t>instrument pożyczkowo-gwarancyjny InnovFin na rzecz badań i innowacji</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1 237</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(33)</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(1 091)</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„Horyzont 2020” – InnovFin do celów gwarancji dla MŚP</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936</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(557)</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(361)</w:t>
            </w:r>
          </w:p>
        </w:tc>
      </w:tr>
      <w:tr w:rsidR="0043277E">
        <w:trPr>
          <w:trHeight w:hRule="exact" w:val="284"/>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Instrument dłużny instrumentu „Łącząc Europę” (CEF DI)</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708</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(684)</w:t>
            </w:r>
          </w:p>
        </w:tc>
      </w:tr>
      <w:tr w:rsidR="0043277E">
        <w:trPr>
          <w:trHeight w:hRule="exact" w:val="284"/>
        </w:trPr>
        <w:tc>
          <w:tcPr>
            <w:tcW w:w="5948" w:type="dxa"/>
            <w:tcBorders>
              <w:top w:val="nil"/>
              <w:left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COSME – instrument </w:t>
            </w:r>
            <w:r>
              <w:rPr>
                <w:rFonts w:ascii="Verdana" w:hAnsi="Verdana"/>
                <w:noProof/>
                <w:color w:val="000000"/>
                <w:sz w:val="16"/>
                <w:szCs w:val="16"/>
              </w:rPr>
              <w:t>gwarancji kredytowych</w:t>
            </w:r>
          </w:p>
        </w:tc>
        <w:tc>
          <w:tcPr>
            <w:tcW w:w="118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401</w:t>
            </w:r>
          </w:p>
        </w:tc>
        <w:tc>
          <w:tcPr>
            <w:tcW w:w="134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(758)</w:t>
            </w:r>
          </w:p>
        </w:tc>
        <w:tc>
          <w:tcPr>
            <w:tcW w:w="1589" w:type="dxa"/>
            <w:tcBorders>
              <w:top w:val="nil"/>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w:t>
            </w:r>
          </w:p>
        </w:tc>
      </w:tr>
      <w:tr w:rsidR="0043277E">
        <w:trPr>
          <w:trHeight w:hRule="exact" w:val="436"/>
        </w:trPr>
        <w:tc>
          <w:tcPr>
            <w:tcW w:w="5948" w:type="dxa"/>
            <w:tcBorders>
              <w:top w:val="nil"/>
              <w:left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Instrument finansowania prywatnego na rzecz efektywności energetycznej (PF4EE)</w:t>
            </w:r>
          </w:p>
        </w:tc>
        <w:tc>
          <w:tcPr>
            <w:tcW w:w="118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44</w:t>
            </w:r>
          </w:p>
        </w:tc>
        <w:tc>
          <w:tcPr>
            <w:tcW w:w="134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(8)</w:t>
            </w:r>
          </w:p>
        </w:tc>
      </w:tr>
      <w:bookmarkEnd w:id="184"/>
      <w:tr w:rsidR="0043277E">
        <w:trPr>
          <w:trHeight w:hRule="exact" w:val="284"/>
        </w:trPr>
        <w:tc>
          <w:tcPr>
            <w:tcW w:w="5948" w:type="dxa"/>
            <w:tcBorders>
              <w:left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System poręczeń na rzecz sektora kultury i sektora kreatywnego</w:t>
            </w:r>
          </w:p>
        </w:tc>
        <w:tc>
          <w:tcPr>
            <w:tcW w:w="1188" w:type="dxa"/>
            <w:tcBorders>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37</w:t>
            </w:r>
          </w:p>
        </w:tc>
        <w:tc>
          <w:tcPr>
            <w:tcW w:w="1348" w:type="dxa"/>
            <w:tcBorders>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(28)</w:t>
            </w:r>
          </w:p>
        </w:tc>
        <w:tc>
          <w:tcPr>
            <w:tcW w:w="1589" w:type="dxa"/>
            <w:tcBorders>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17"/>
        </w:trPr>
        <w:tc>
          <w:tcPr>
            <w:tcW w:w="5948" w:type="dxa"/>
            <w:tcBorders>
              <w:top w:val="nil"/>
              <w:left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Program włączenia finansowego skierowany do MMŚP w </w:t>
            </w:r>
            <w:r>
              <w:rPr>
                <w:rFonts w:ascii="Verdana" w:hAnsi="Verdana"/>
                <w:noProof/>
                <w:color w:val="000000"/>
                <w:sz w:val="16"/>
                <w:szCs w:val="16"/>
              </w:rPr>
              <w:t>państwach południowego i wschodniego regionu basenu Morza Śródziemnego</w:t>
            </w:r>
          </w:p>
        </w:tc>
        <w:tc>
          <w:tcPr>
            <w:tcW w:w="118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25</w:t>
            </w:r>
          </w:p>
        </w:tc>
        <w:tc>
          <w:tcPr>
            <w:tcW w:w="134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(12)</w:t>
            </w:r>
          </w:p>
        </w:tc>
      </w:tr>
      <w:tr w:rsidR="0043277E">
        <w:trPr>
          <w:trHeight w:hRule="exact" w:val="284"/>
        </w:trPr>
        <w:tc>
          <w:tcPr>
            <w:tcW w:w="5948" w:type="dxa"/>
            <w:tcBorders>
              <w:left w:val="single" w:sz="8" w:space="0" w:color="auto"/>
              <w:bottom w:val="single" w:sz="8" w:space="0" w:color="auto"/>
              <w:right w:val="nil"/>
            </w:tcBorders>
            <w:shd w:val="clear" w:color="auto" w:fill="auto"/>
            <w:vAlign w:val="center"/>
          </w:tcPr>
          <w:p w:rsidR="0043277E" w:rsidRDefault="000F2348">
            <w:pPr>
              <w:rPr>
                <w:rFonts w:ascii="Verdana" w:hAnsi="Verdana"/>
                <w:noProof/>
                <w:color w:val="000000"/>
                <w:sz w:val="16"/>
                <w:szCs w:val="16"/>
              </w:rPr>
            </w:pPr>
            <w:r>
              <w:rPr>
                <w:rFonts w:ascii="Verdana" w:hAnsi="Verdana"/>
                <w:noProof/>
                <w:color w:val="000000"/>
                <w:sz w:val="16"/>
                <w:szCs w:val="16"/>
              </w:rPr>
              <w:t>Instrument dotyczący możliwości przenoszenia i wymienialności</w:t>
            </w:r>
          </w:p>
        </w:tc>
        <w:tc>
          <w:tcPr>
            <w:tcW w:w="1188" w:type="dxa"/>
            <w:tcBorders>
              <w:left w:val="nil"/>
              <w:bottom w:val="single" w:sz="8" w:space="0" w:color="auto"/>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left w:val="nil"/>
              <w:bottom w:val="single" w:sz="8" w:space="0" w:color="auto"/>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left w:val="nil"/>
              <w:bottom w:val="single" w:sz="8" w:space="0" w:color="auto"/>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43277E" w:rsidRDefault="000F2348">
            <w:pPr>
              <w:rPr>
                <w:rFonts w:ascii="Verdana" w:hAnsi="Verdana"/>
                <w:b/>
                <w:bCs/>
                <w:noProof/>
                <w:color w:val="FFFFFF"/>
                <w:sz w:val="16"/>
                <w:szCs w:val="16"/>
              </w:rPr>
            </w:pPr>
            <w:r>
              <w:rPr>
                <w:rFonts w:ascii="Verdana" w:hAnsi="Verdana"/>
                <w:b/>
                <w:bCs/>
                <w:noProof/>
                <w:color w:val="FFFFFF"/>
                <w:sz w:val="16"/>
                <w:szCs w:val="16"/>
              </w:rPr>
              <w:t>WRF 2014–2020</w:t>
            </w:r>
          </w:p>
        </w:tc>
        <w:tc>
          <w:tcPr>
            <w:tcW w:w="118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Aktywa</w:t>
            </w:r>
          </w:p>
        </w:tc>
        <w:tc>
          <w:tcPr>
            <w:tcW w:w="134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Zobowiązania</w:t>
            </w:r>
          </w:p>
        </w:tc>
        <w:tc>
          <w:tcPr>
            <w:tcW w:w="1589" w:type="dxa"/>
            <w:tcBorders>
              <w:top w:val="single" w:sz="8" w:space="0" w:color="auto"/>
              <w:left w:val="nil"/>
              <w:bottom w:val="nil"/>
              <w:right w:val="single" w:sz="8" w:space="0" w:color="auto"/>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Zobowiązania warunkowe</w:t>
            </w:r>
          </w:p>
        </w:tc>
      </w:tr>
      <w:tr w:rsidR="0043277E">
        <w:trPr>
          <w:trHeight w:hRule="exact" w:val="284"/>
        </w:trPr>
        <w:tc>
          <w:tcPr>
            <w:tcW w:w="5948" w:type="dxa"/>
            <w:tcBorders>
              <w:top w:val="nil"/>
              <w:left w:val="single" w:sz="8" w:space="0" w:color="auto"/>
              <w:right w:val="nil"/>
            </w:tcBorders>
            <w:shd w:val="clear" w:color="auto" w:fill="auto"/>
            <w:vAlign w:val="center"/>
          </w:tcPr>
          <w:p w:rsidR="0043277E" w:rsidRDefault="000F2348">
            <w:pPr>
              <w:rPr>
                <w:rFonts w:ascii="Verdana" w:hAnsi="Verdana"/>
                <w:i/>
                <w:noProof/>
                <w:color w:val="000000"/>
                <w:sz w:val="16"/>
                <w:szCs w:val="16"/>
              </w:rPr>
            </w:pPr>
            <w:r>
              <w:rPr>
                <w:rFonts w:ascii="Verdana" w:hAnsi="Verdana"/>
                <w:i/>
                <w:noProof/>
                <w:color w:val="000000"/>
                <w:sz w:val="14"/>
                <w:szCs w:val="16"/>
              </w:rPr>
              <w:t>(cd. z poprzedniej strony)</w:t>
            </w:r>
          </w:p>
        </w:tc>
        <w:tc>
          <w:tcPr>
            <w:tcW w:w="1188" w:type="dxa"/>
            <w:tcBorders>
              <w:top w:val="nil"/>
              <w:left w:val="nil"/>
              <w:right w:val="nil"/>
            </w:tcBorders>
            <w:shd w:val="clear" w:color="auto" w:fill="auto"/>
            <w:noWrap/>
            <w:vAlign w:val="center"/>
          </w:tcPr>
          <w:p w:rsidR="0043277E" w:rsidRDefault="0043277E">
            <w:pPr>
              <w:jc w:val="right"/>
              <w:rPr>
                <w:rFonts w:ascii="Verdana" w:hAnsi="Verdana"/>
                <w:noProof/>
                <w:color w:val="000000"/>
                <w:sz w:val="16"/>
                <w:szCs w:val="16"/>
              </w:rPr>
            </w:pPr>
          </w:p>
        </w:tc>
        <w:tc>
          <w:tcPr>
            <w:tcW w:w="1348" w:type="dxa"/>
            <w:tcBorders>
              <w:top w:val="nil"/>
              <w:left w:val="nil"/>
              <w:right w:val="nil"/>
            </w:tcBorders>
            <w:shd w:val="clear" w:color="auto" w:fill="auto"/>
            <w:noWrap/>
            <w:vAlign w:val="center"/>
          </w:tcPr>
          <w:p w:rsidR="0043277E" w:rsidRDefault="0043277E">
            <w:pPr>
              <w:jc w:val="right"/>
              <w:rPr>
                <w:rFonts w:ascii="Verdana" w:hAnsi="Verdana"/>
                <w:noProof/>
                <w:color w:val="000000"/>
                <w:sz w:val="16"/>
                <w:szCs w:val="16"/>
              </w:rPr>
            </w:pPr>
          </w:p>
        </w:tc>
        <w:tc>
          <w:tcPr>
            <w:tcW w:w="1589" w:type="dxa"/>
            <w:tcBorders>
              <w:top w:val="nil"/>
              <w:left w:val="nil"/>
              <w:right w:val="single" w:sz="8" w:space="0" w:color="auto"/>
            </w:tcBorders>
            <w:shd w:val="clear" w:color="auto" w:fill="auto"/>
            <w:noWrap/>
            <w:vAlign w:val="center"/>
          </w:tcPr>
          <w:p w:rsidR="0043277E" w:rsidRDefault="0043277E">
            <w:pPr>
              <w:jc w:val="right"/>
              <w:rPr>
                <w:rFonts w:ascii="Verdana" w:hAnsi="Verdana"/>
                <w:noProof/>
                <w:color w:val="000000"/>
                <w:sz w:val="16"/>
                <w:szCs w:val="16"/>
              </w:rPr>
            </w:pPr>
          </w:p>
        </w:tc>
      </w:tr>
      <w:tr w:rsidR="0043277E">
        <w:trPr>
          <w:trHeight w:hRule="exact" w:val="284"/>
        </w:trPr>
        <w:tc>
          <w:tcPr>
            <w:tcW w:w="5948" w:type="dxa"/>
            <w:tcBorders>
              <w:top w:val="nil"/>
              <w:left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Instrument </w:t>
            </w:r>
            <w:r>
              <w:rPr>
                <w:rFonts w:ascii="Verdana" w:hAnsi="Verdana"/>
                <w:noProof/>
                <w:color w:val="000000"/>
                <w:sz w:val="16"/>
                <w:szCs w:val="16"/>
              </w:rPr>
              <w:t>gwarancji kredytów studenckich</w:t>
            </w:r>
          </w:p>
        </w:tc>
        <w:tc>
          <w:tcPr>
            <w:tcW w:w="118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14</w:t>
            </w:r>
          </w:p>
        </w:tc>
        <w:tc>
          <w:tcPr>
            <w:tcW w:w="134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left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Partnerstwo Wschodnie – instrumenty finansowe MŚP</w:t>
            </w:r>
          </w:p>
        </w:tc>
        <w:tc>
          <w:tcPr>
            <w:tcW w:w="1188" w:type="dxa"/>
            <w:tcBorders>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13</w:t>
            </w:r>
          </w:p>
        </w:tc>
        <w:tc>
          <w:tcPr>
            <w:tcW w:w="1348" w:type="dxa"/>
            <w:tcBorders>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w:t>
            </w:r>
          </w:p>
        </w:tc>
      </w:tr>
      <w:tr w:rsidR="0043277E">
        <w:trPr>
          <w:trHeight w:hRule="exact" w:val="284"/>
        </w:trPr>
        <w:tc>
          <w:tcPr>
            <w:tcW w:w="5948" w:type="dxa"/>
            <w:tcBorders>
              <w:top w:val="nil"/>
              <w:left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Mechanizm finansowania kapitału naturalnego</w:t>
            </w:r>
          </w:p>
        </w:tc>
        <w:tc>
          <w:tcPr>
            <w:tcW w:w="118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11</w:t>
            </w:r>
          </w:p>
        </w:tc>
        <w:tc>
          <w:tcPr>
            <w:tcW w:w="134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(7)</w:t>
            </w:r>
          </w:p>
        </w:tc>
      </w:tr>
      <w:tr w:rsidR="0043277E">
        <w:trPr>
          <w:trHeight w:hRule="exact" w:val="435"/>
        </w:trPr>
        <w:tc>
          <w:tcPr>
            <w:tcW w:w="5948" w:type="dxa"/>
            <w:tcBorders>
              <w:top w:val="nil"/>
              <w:left w:val="single" w:sz="8" w:space="0" w:color="auto"/>
              <w:right w:val="nil"/>
            </w:tcBorders>
            <w:shd w:val="clear" w:color="auto" w:fill="auto"/>
            <w:vAlign w:val="center"/>
          </w:tcPr>
          <w:p w:rsidR="0043277E" w:rsidRDefault="000F2348">
            <w:pPr>
              <w:rPr>
                <w:rFonts w:ascii="Verdana" w:hAnsi="Verdana"/>
                <w:noProof/>
                <w:color w:val="000000"/>
                <w:sz w:val="16"/>
                <w:szCs w:val="16"/>
              </w:rPr>
            </w:pPr>
            <w:r>
              <w:rPr>
                <w:rFonts w:ascii="Verdana" w:hAnsi="Verdana"/>
                <w:noProof/>
                <w:color w:val="000000"/>
                <w:sz w:val="16"/>
                <w:szCs w:val="16"/>
              </w:rPr>
              <w:t>Inne instrumenty gwarancyjne i instrumenty oparte na podziale ryzyka</w:t>
            </w:r>
          </w:p>
        </w:tc>
        <w:tc>
          <w:tcPr>
            <w:tcW w:w="1188" w:type="dxa"/>
            <w:tcBorders>
              <w:top w:val="nil"/>
              <w:left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8</w:t>
            </w:r>
          </w:p>
        </w:tc>
        <w:tc>
          <w:tcPr>
            <w:tcW w:w="1348" w:type="dxa"/>
            <w:tcBorders>
              <w:top w:val="nil"/>
              <w:left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(6)</w:t>
            </w:r>
          </w:p>
        </w:tc>
      </w:tr>
      <w:tr w:rsidR="0043277E">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3 451</w:t>
            </w:r>
          </w:p>
        </w:tc>
        <w:tc>
          <w:tcPr>
            <w:tcW w:w="134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(1 387)</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(2 175)</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Instrumenty kapitałowe:</w:t>
            </w:r>
          </w:p>
        </w:tc>
        <w:tc>
          <w:tcPr>
            <w:tcW w:w="118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 </w:t>
            </w:r>
          </w:p>
        </w:tc>
      </w:tr>
      <w:tr w:rsidR="0043277E">
        <w:trPr>
          <w:trHeight w:hRule="exact" w:val="435"/>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bookmarkStart w:id="185" w:name="OLE_LINK5"/>
            <w:r>
              <w:rPr>
                <w:rFonts w:ascii="Verdana" w:hAnsi="Verdana"/>
                <w:noProof/>
                <w:color w:val="000000"/>
                <w:sz w:val="16"/>
                <w:szCs w:val="16"/>
              </w:rPr>
              <w:t>„Horyzont 2020” – instrument kapitałowy InnovFin na rzecz badań i innowacji</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515</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(17)</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(131)</w:t>
            </w:r>
          </w:p>
        </w:tc>
      </w:tr>
      <w:tr w:rsidR="0043277E">
        <w:trPr>
          <w:trHeight w:hRule="exact" w:val="284"/>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COSME – instrument kapitałowy na rzecz wzrostu</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86</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17"/>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Instrument kapitału wysokiego ryzyka dla krajów południowego </w:t>
            </w:r>
            <w:r>
              <w:rPr>
                <w:rFonts w:ascii="Verdana" w:hAnsi="Verdana"/>
                <w:noProof/>
                <w:color w:val="000000"/>
                <w:sz w:val="16"/>
                <w:szCs w:val="16"/>
              </w:rPr>
              <w:t>sąsiedztwa</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24</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Climate Investor One</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15</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Instrument Inwestycyjny dla Ameryki Łacińskiej</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12</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Fundusz na rzecz Handlu i Inwestycji w Rolnictwo w Afryce</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11</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tcPr>
          <w:p w:rsidR="0043277E" w:rsidRDefault="000F2348">
            <w:pPr>
              <w:rPr>
                <w:rFonts w:ascii="Verdana" w:hAnsi="Verdana"/>
                <w:noProof/>
                <w:color w:val="000000"/>
                <w:sz w:val="16"/>
                <w:szCs w:val="16"/>
              </w:rPr>
            </w:pPr>
            <w:r>
              <w:rPr>
                <w:rFonts w:ascii="Verdana" w:hAnsi="Verdana"/>
                <w:noProof/>
                <w:color w:val="000000"/>
                <w:sz w:val="16"/>
                <w:szCs w:val="16"/>
              </w:rPr>
              <w:t>Inne instrumenty kapitałowe</w:t>
            </w:r>
          </w:p>
        </w:tc>
        <w:tc>
          <w:tcPr>
            <w:tcW w:w="118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bookmarkEnd w:id="185"/>
      <w:tr w:rsidR="0043277E">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679</w:t>
            </w:r>
          </w:p>
        </w:tc>
        <w:tc>
          <w:tcPr>
            <w:tcW w:w="134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(20)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(131)</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Instrumenty mieszane:</w:t>
            </w:r>
          </w:p>
        </w:tc>
        <w:tc>
          <w:tcPr>
            <w:tcW w:w="118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 </w:t>
            </w:r>
          </w:p>
        </w:tc>
      </w:tr>
      <w:tr w:rsidR="0043277E">
        <w:trPr>
          <w:trHeight w:hRule="exact" w:val="397"/>
        </w:trPr>
        <w:tc>
          <w:tcPr>
            <w:tcW w:w="5948" w:type="dxa"/>
            <w:tcBorders>
              <w:top w:val="nil"/>
              <w:left w:val="single" w:sz="8" w:space="0" w:color="auto"/>
              <w:bottom w:val="nil"/>
              <w:right w:val="nil"/>
            </w:tcBorders>
            <w:shd w:val="clear" w:color="auto" w:fill="auto"/>
            <w:vAlign w:val="center"/>
          </w:tcPr>
          <w:p w:rsidR="0043277E" w:rsidRDefault="000F2348">
            <w:pPr>
              <w:rPr>
                <w:rFonts w:ascii="Verdana" w:hAnsi="Verdana"/>
                <w:noProof/>
                <w:color w:val="000000"/>
                <w:sz w:val="16"/>
                <w:szCs w:val="16"/>
              </w:rPr>
            </w:pPr>
            <w:r>
              <w:rPr>
                <w:rFonts w:ascii="Verdana" w:hAnsi="Verdana"/>
                <w:noProof/>
                <w:color w:val="000000"/>
                <w:sz w:val="16"/>
                <w:szCs w:val="16"/>
              </w:rPr>
              <w:t>System gwarancji na rzecz zatrudnienia i innowacji społecznych (EaSI) oraz budowanie zdolności</w:t>
            </w:r>
          </w:p>
        </w:tc>
        <w:tc>
          <w:tcPr>
            <w:tcW w:w="118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81</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(72)</w:t>
            </w:r>
          </w:p>
        </w:tc>
        <w:tc>
          <w:tcPr>
            <w:tcW w:w="1589" w:type="dxa"/>
            <w:tcBorders>
              <w:top w:val="nil"/>
              <w:left w:val="nil"/>
              <w:bottom w:val="nil"/>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5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bookmarkStart w:id="186" w:name="OLE_LINK6"/>
            <w:r>
              <w:rPr>
                <w:rFonts w:ascii="Verdana" w:hAnsi="Verdana"/>
                <w:noProof/>
                <w:color w:val="000000"/>
                <w:sz w:val="16"/>
                <w:szCs w:val="16"/>
              </w:rPr>
              <w:t>Instrumenty UE na rzecz pogłębionej i kompleksowej strefy wolnego handlu</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62</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(24)</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tcPr>
          <w:p w:rsidR="0043277E" w:rsidRDefault="000F2348">
            <w:pPr>
              <w:rPr>
                <w:rFonts w:ascii="Verdana" w:hAnsi="Verdana"/>
                <w:noProof/>
                <w:color w:val="000000"/>
                <w:sz w:val="16"/>
                <w:szCs w:val="16"/>
              </w:rPr>
            </w:pPr>
            <w:r>
              <w:rPr>
                <w:rFonts w:ascii="Verdana" w:hAnsi="Verdana"/>
                <w:noProof/>
                <w:color w:val="000000"/>
                <w:sz w:val="16"/>
                <w:szCs w:val="16"/>
              </w:rPr>
              <w:t>Instrument na rzecz integracji energetycznej</w:t>
            </w:r>
          </w:p>
        </w:tc>
        <w:tc>
          <w:tcPr>
            <w:tcW w:w="118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37</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noWrap/>
            <w:vAlign w:val="center"/>
          </w:tcPr>
          <w:p w:rsidR="0043277E" w:rsidRDefault="000F2348">
            <w:pPr>
              <w:rPr>
                <w:rFonts w:ascii="Verdana" w:hAnsi="Verdana"/>
                <w:noProof/>
                <w:sz w:val="16"/>
                <w:szCs w:val="16"/>
              </w:rPr>
            </w:pPr>
            <w:r>
              <w:rPr>
                <w:rFonts w:ascii="Verdana" w:hAnsi="Verdana"/>
                <w:noProof/>
                <w:sz w:val="16"/>
                <w:szCs w:val="16"/>
              </w:rPr>
              <w:t>ElectriFI</w:t>
            </w:r>
          </w:p>
        </w:tc>
        <w:tc>
          <w:tcPr>
            <w:tcW w:w="118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30</w:t>
            </w:r>
          </w:p>
        </w:tc>
        <w:tc>
          <w:tcPr>
            <w:tcW w:w="134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noProof/>
                <w:color w:val="000000"/>
                <w:sz w:val="16"/>
                <w:szCs w:val="16"/>
              </w:rPr>
            </w:pPr>
            <w:r>
              <w:rPr>
                <w:rFonts w:ascii="Verdana" w:hAnsi="Verdana"/>
                <w:noProof/>
                <w:sz w:val="16"/>
                <w:szCs w:val="16"/>
              </w:rPr>
              <w:t>Inicjatywa na rzecz finansowania rolnictwa</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21</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bookmarkEnd w:id="186"/>
      <w:tr w:rsidR="0043277E">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232</w:t>
            </w:r>
          </w:p>
        </w:tc>
        <w:tc>
          <w:tcPr>
            <w:tcW w:w="134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(98)</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w:t>
            </w:r>
          </w:p>
        </w:tc>
      </w:tr>
      <w:tr w:rsidR="0043277E">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 xml:space="preserve">Ogółem </w:t>
            </w:r>
          </w:p>
        </w:tc>
        <w:tc>
          <w:tcPr>
            <w:tcW w:w="1188" w:type="dxa"/>
            <w:tcBorders>
              <w:top w:val="nil"/>
              <w:left w:val="nil"/>
              <w:bottom w:val="single" w:sz="8"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4 362</w:t>
            </w:r>
          </w:p>
        </w:tc>
        <w:tc>
          <w:tcPr>
            <w:tcW w:w="1348" w:type="dxa"/>
            <w:tcBorders>
              <w:top w:val="nil"/>
              <w:left w:val="nil"/>
              <w:bottom w:val="single" w:sz="8"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(1 505)</w:t>
            </w:r>
          </w:p>
        </w:tc>
        <w:tc>
          <w:tcPr>
            <w:tcW w:w="1589" w:type="dxa"/>
            <w:tcBorders>
              <w:top w:val="nil"/>
              <w:left w:val="nil"/>
              <w:bottom w:val="single" w:sz="8" w:space="0" w:color="auto"/>
              <w:right w:val="single" w:sz="8" w:space="0" w:color="auto"/>
            </w:tcBorders>
            <w:shd w:val="clear" w:color="000000" w:fill="B8CCE4"/>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(2 306)</w:t>
            </w:r>
          </w:p>
        </w:tc>
      </w:tr>
      <w:tr w:rsidR="0043277E">
        <w:trPr>
          <w:trHeight w:hRule="exact" w:val="57"/>
        </w:trPr>
        <w:tc>
          <w:tcPr>
            <w:tcW w:w="594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rsidR="0043277E" w:rsidRDefault="0043277E">
            <w:pPr>
              <w:rPr>
                <w:rFonts w:ascii="Verdana" w:hAnsi="Verdana"/>
                <w:noProof/>
                <w:color w:val="000000"/>
                <w:sz w:val="16"/>
                <w:szCs w:val="16"/>
              </w:rPr>
            </w:pPr>
          </w:p>
        </w:tc>
      </w:tr>
      <w:tr w:rsidR="0043277E">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43277E" w:rsidRDefault="000F2348">
            <w:pPr>
              <w:rPr>
                <w:rFonts w:ascii="Verdana" w:hAnsi="Verdana"/>
                <w:b/>
                <w:bCs/>
                <w:noProof/>
                <w:color w:val="FFFFFF"/>
                <w:sz w:val="16"/>
                <w:szCs w:val="16"/>
              </w:rPr>
            </w:pPr>
            <w:r>
              <w:rPr>
                <w:rFonts w:ascii="Verdana" w:hAnsi="Verdana"/>
                <w:b/>
                <w:bCs/>
                <w:noProof/>
                <w:color w:val="FFFFFF"/>
                <w:sz w:val="16"/>
                <w:szCs w:val="16"/>
              </w:rPr>
              <w:t>WRF sprzed 2014 r.</w:t>
            </w:r>
          </w:p>
        </w:tc>
        <w:tc>
          <w:tcPr>
            <w:tcW w:w="118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Aktywa</w:t>
            </w:r>
          </w:p>
        </w:tc>
        <w:tc>
          <w:tcPr>
            <w:tcW w:w="1348" w:type="dxa"/>
            <w:tcBorders>
              <w:top w:val="single" w:sz="8" w:space="0" w:color="auto"/>
              <w:left w:val="nil"/>
              <w:bottom w:val="nil"/>
              <w:right w:val="nil"/>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Zobowiązania</w:t>
            </w:r>
          </w:p>
        </w:tc>
        <w:tc>
          <w:tcPr>
            <w:tcW w:w="1589" w:type="dxa"/>
            <w:tcBorders>
              <w:top w:val="single" w:sz="8" w:space="0" w:color="auto"/>
              <w:left w:val="nil"/>
              <w:bottom w:val="nil"/>
              <w:right w:val="single" w:sz="8" w:space="0" w:color="auto"/>
            </w:tcBorders>
            <w:shd w:val="clear" w:color="000000" w:fill="366092"/>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Zobowiązania warunkowe</w:t>
            </w:r>
          </w:p>
        </w:tc>
      </w:tr>
      <w:tr w:rsidR="0043277E">
        <w:trPr>
          <w:trHeight w:hRule="exact" w:val="373"/>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Instrumenty gwarancyjne i instrumenty oparte na podziale ryzyka:</w:t>
            </w:r>
          </w:p>
        </w:tc>
        <w:tc>
          <w:tcPr>
            <w:tcW w:w="1188" w:type="dxa"/>
            <w:tcBorders>
              <w:top w:val="nil"/>
              <w:left w:val="nil"/>
              <w:bottom w:val="nil"/>
              <w:right w:val="nil"/>
            </w:tcBorders>
            <w:shd w:val="clear" w:color="auto" w:fill="auto"/>
            <w:noWrap/>
            <w:vAlign w:val="center"/>
            <w:hideMark/>
          </w:tcPr>
          <w:p w:rsidR="0043277E" w:rsidRDefault="0043277E">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rsidR="0043277E" w:rsidRDefault="0043277E">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 </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bookmarkStart w:id="187" w:name="OLE_LINK7"/>
            <w:r>
              <w:rPr>
                <w:rFonts w:ascii="Verdana" w:hAnsi="Verdana"/>
                <w:noProof/>
                <w:color w:val="000000"/>
                <w:sz w:val="16"/>
                <w:szCs w:val="16"/>
              </w:rPr>
              <w:t xml:space="preserve">Program </w:t>
            </w:r>
            <w:r>
              <w:rPr>
                <w:rFonts w:ascii="Verdana" w:hAnsi="Verdana"/>
                <w:noProof/>
                <w:color w:val="000000"/>
                <w:sz w:val="16"/>
                <w:szCs w:val="16"/>
              </w:rPr>
              <w:t>finansowania zgodnie z systemem podziału ryzyka</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609</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(58)</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(110)</w:t>
            </w:r>
          </w:p>
        </w:tc>
      </w:tr>
      <w:tr w:rsidR="0043277E">
        <w:trPr>
          <w:trHeight w:hRule="exact" w:val="439"/>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System poręczeń dla MŚP w ramach Programu ramowego na rzecz konkurencyjności i innowacji</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71</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(140)</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Program wieloletni dla przedsiębiorstw</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32</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(31)</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21"/>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Instrument gwarancyjny europejskiego </w:t>
            </w:r>
            <w:r>
              <w:rPr>
                <w:rFonts w:ascii="Verdana" w:hAnsi="Verdana"/>
                <w:noProof/>
                <w:color w:val="000000"/>
                <w:sz w:val="16"/>
                <w:szCs w:val="16"/>
              </w:rPr>
              <w:t>instrumentu mikrofinansowego Progress</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bookmarkEnd w:id="187"/>
      <w:tr w:rsidR="0043277E">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716</w:t>
            </w:r>
          </w:p>
        </w:tc>
        <w:tc>
          <w:tcPr>
            <w:tcW w:w="134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(233)</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rsidR="0043277E" w:rsidRDefault="000F2348">
            <w:pPr>
              <w:jc w:val="right"/>
              <w:rPr>
                <w:rFonts w:ascii="Verdana" w:hAnsi="Verdana"/>
                <w:b/>
                <w:bCs/>
                <w:noProof/>
                <w:sz w:val="16"/>
                <w:szCs w:val="16"/>
              </w:rPr>
            </w:pPr>
            <w:r>
              <w:rPr>
                <w:rFonts w:ascii="Verdana" w:hAnsi="Verdana"/>
                <w:b/>
                <w:bCs/>
                <w:noProof/>
                <w:sz w:val="16"/>
                <w:szCs w:val="16"/>
              </w:rPr>
              <w:t>(110)</w:t>
            </w:r>
          </w:p>
        </w:tc>
      </w:tr>
      <w:tr w:rsidR="0043277E">
        <w:trPr>
          <w:trHeight w:hRule="exact" w:val="284"/>
        </w:trPr>
        <w:tc>
          <w:tcPr>
            <w:tcW w:w="5948" w:type="dxa"/>
            <w:tcBorders>
              <w:top w:val="nil"/>
              <w:left w:val="single" w:sz="8" w:space="0" w:color="auto"/>
              <w:bottom w:val="nil"/>
              <w:right w:val="nil"/>
            </w:tcBorders>
            <w:shd w:val="clear" w:color="auto" w:fill="auto"/>
            <w:noWrap/>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 xml:space="preserve">Instrumenty kapitałowe: </w:t>
            </w:r>
          </w:p>
        </w:tc>
        <w:tc>
          <w:tcPr>
            <w:tcW w:w="1188" w:type="dxa"/>
            <w:tcBorders>
              <w:top w:val="nil"/>
              <w:left w:val="nil"/>
              <w:bottom w:val="nil"/>
              <w:right w:val="nil"/>
            </w:tcBorders>
            <w:shd w:val="clear" w:color="auto" w:fill="auto"/>
            <w:noWrap/>
            <w:vAlign w:val="center"/>
            <w:hideMark/>
          </w:tcPr>
          <w:p w:rsidR="0043277E" w:rsidRDefault="0043277E">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rsidR="0043277E" w:rsidRDefault="0043277E">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 </w:t>
            </w:r>
          </w:p>
        </w:tc>
      </w:tr>
      <w:tr w:rsidR="0043277E">
        <w:trPr>
          <w:trHeight w:hRule="exact" w:val="421"/>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bookmarkStart w:id="188" w:name="OLE_LINK8"/>
            <w:r>
              <w:rPr>
                <w:rFonts w:ascii="Verdana" w:hAnsi="Verdana"/>
                <w:noProof/>
                <w:color w:val="000000"/>
                <w:sz w:val="16"/>
                <w:szCs w:val="16"/>
              </w:rPr>
              <w:t>Instrument na rzecz Wysokiego Wzrostu i Innowacji w MŚP w ramach Programu ramowego na rzecz konkurencyjności i innowacji</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448</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lastRenderedPageBreak/>
              <w:t xml:space="preserve">Instrument kapitałowy dla </w:t>
            </w:r>
            <w:r>
              <w:rPr>
                <w:rFonts w:ascii="Verdana" w:hAnsi="Verdana"/>
                <w:noProof/>
                <w:color w:val="000000"/>
                <w:sz w:val="16"/>
                <w:szCs w:val="16"/>
              </w:rPr>
              <w:t>wieloletniego programu ramowego</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196</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Europejski Fundusz na rzecz Efektywności Energetycznej </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105</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22"/>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Globalny Fundusz Efektywności Energetycznej oraz Energii Odnawialnej</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79</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Fundusz Marguerite</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54</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42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xml:space="preserve">Mechanizm finansowania początkowego </w:t>
            </w:r>
            <w:r>
              <w:rPr>
                <w:rFonts w:ascii="Verdana" w:hAnsi="Verdana"/>
                <w:noProof/>
                <w:color w:val="000000"/>
                <w:sz w:val="16"/>
                <w:szCs w:val="16"/>
              </w:rPr>
              <w:t>Europejskiego Systemu Technologii (ETF) z 1998 r.</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3</w:t>
            </w:r>
          </w:p>
        </w:tc>
        <w:tc>
          <w:tcPr>
            <w:tcW w:w="134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bookmarkEnd w:id="188"/>
      <w:tr w:rsidR="0043277E">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rsidR="0043277E" w:rsidRDefault="000F2348">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885</w:t>
            </w:r>
          </w:p>
        </w:tc>
        <w:tc>
          <w:tcPr>
            <w:tcW w:w="134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(8)</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rsidR="0043277E" w:rsidRDefault="000F2348">
            <w:pPr>
              <w:jc w:val="right"/>
              <w:rPr>
                <w:rFonts w:ascii="Verdana" w:hAnsi="Verdana"/>
                <w:b/>
                <w:bCs/>
                <w:noProof/>
                <w:color w:val="000000"/>
                <w:sz w:val="16"/>
                <w:szCs w:val="16"/>
              </w:rPr>
            </w:pPr>
            <w:r>
              <w:rPr>
                <w:rFonts w:ascii="Verdana" w:hAnsi="Verdana"/>
                <w:b/>
                <w:bCs/>
                <w:noProof/>
                <w:color w:val="000000"/>
                <w:sz w:val="16"/>
                <w:szCs w:val="16"/>
              </w:rPr>
              <w:t>-</w:t>
            </w:r>
          </w:p>
        </w:tc>
      </w:tr>
      <w:tr w:rsidR="0043277E">
        <w:trPr>
          <w:trHeight w:hRule="exact" w:val="284"/>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b/>
                <w:bCs/>
                <w:noProof/>
                <w:color w:val="000000"/>
                <w:sz w:val="16"/>
                <w:szCs w:val="16"/>
              </w:rPr>
            </w:pPr>
            <w:r>
              <w:rPr>
                <w:rFonts w:ascii="Verdana" w:hAnsi="Verdana"/>
                <w:b/>
                <w:bCs/>
                <w:noProof/>
                <w:color w:val="000000"/>
                <w:sz w:val="16"/>
                <w:szCs w:val="16"/>
              </w:rPr>
              <w:t>Instrumenty mieszane:</w:t>
            </w:r>
          </w:p>
        </w:tc>
        <w:tc>
          <w:tcPr>
            <w:tcW w:w="118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rsidR="0043277E" w:rsidRDefault="0043277E">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rsidR="0043277E" w:rsidRDefault="000F2348">
            <w:pPr>
              <w:jc w:val="center"/>
              <w:rPr>
                <w:rFonts w:ascii="Verdana" w:hAnsi="Verdana"/>
                <w:b/>
                <w:bCs/>
                <w:noProof/>
                <w:color w:val="FFFFFF"/>
                <w:sz w:val="16"/>
                <w:szCs w:val="16"/>
              </w:rPr>
            </w:pPr>
            <w:r>
              <w:rPr>
                <w:rFonts w:ascii="Verdana" w:hAnsi="Verdana"/>
                <w:b/>
                <w:bCs/>
                <w:noProof/>
                <w:color w:val="FFFFFF"/>
                <w:sz w:val="16"/>
                <w:szCs w:val="16"/>
              </w:rPr>
              <w:t> </w:t>
            </w:r>
          </w:p>
        </w:tc>
      </w:tr>
      <w:tr w:rsidR="0043277E">
        <w:trPr>
          <w:trHeight w:hRule="exact" w:val="296"/>
        </w:trPr>
        <w:tc>
          <w:tcPr>
            <w:tcW w:w="5948" w:type="dxa"/>
            <w:tcBorders>
              <w:top w:val="nil"/>
              <w:left w:val="single" w:sz="8" w:space="0" w:color="auto"/>
              <w:bottom w:val="nil"/>
              <w:right w:val="nil"/>
            </w:tcBorders>
            <w:shd w:val="clear" w:color="auto" w:fill="auto"/>
            <w:vAlign w:val="center"/>
            <w:hideMark/>
          </w:tcPr>
          <w:p w:rsidR="0043277E" w:rsidRDefault="000F2348">
            <w:pPr>
              <w:rPr>
                <w:rFonts w:ascii="Verdana" w:hAnsi="Verdana"/>
                <w:noProof/>
                <w:color w:val="000000"/>
                <w:sz w:val="16"/>
                <w:szCs w:val="16"/>
              </w:rPr>
            </w:pPr>
            <w:bookmarkStart w:id="189" w:name="OLE_LINK9"/>
            <w:r>
              <w:rPr>
                <w:rFonts w:ascii="Verdana" w:hAnsi="Verdana"/>
                <w:noProof/>
                <w:color w:val="000000"/>
                <w:sz w:val="16"/>
                <w:szCs w:val="16"/>
              </w:rPr>
              <w:t>Europejski Instrument Sąsiedztwa i Partnerstwa (ENPI)</w:t>
            </w:r>
          </w:p>
        </w:tc>
        <w:tc>
          <w:tcPr>
            <w:tcW w:w="1188" w:type="dxa"/>
            <w:tcBorders>
              <w:top w:val="nil"/>
              <w:left w:val="nil"/>
              <w:bottom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124</w:t>
            </w:r>
          </w:p>
        </w:tc>
        <w:tc>
          <w:tcPr>
            <w:tcW w:w="1348" w:type="dxa"/>
            <w:tcBorders>
              <w:top w:val="nil"/>
              <w:left w:val="nil"/>
              <w:right w:val="nil"/>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hideMark/>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bookmarkEnd w:id="189"/>
      <w:tr w:rsidR="0043277E">
        <w:trPr>
          <w:trHeight w:hRule="exact" w:val="284"/>
        </w:trPr>
        <w:tc>
          <w:tcPr>
            <w:tcW w:w="5948" w:type="dxa"/>
            <w:tcBorders>
              <w:top w:val="nil"/>
              <w:left w:val="single" w:sz="8" w:space="0" w:color="auto"/>
              <w:bottom w:val="nil"/>
              <w:right w:val="nil"/>
            </w:tcBorders>
            <w:shd w:val="clear" w:color="auto" w:fill="auto"/>
            <w:vAlign w:val="center"/>
          </w:tcPr>
          <w:p w:rsidR="0043277E" w:rsidRDefault="000F2348">
            <w:pPr>
              <w:rPr>
                <w:rFonts w:ascii="Verdana" w:hAnsi="Verdana"/>
                <w:noProof/>
                <w:color w:val="000000"/>
                <w:sz w:val="16"/>
                <w:szCs w:val="16"/>
              </w:rPr>
            </w:pPr>
            <w:r>
              <w:rPr>
                <w:rFonts w:ascii="Verdana" w:hAnsi="Verdana"/>
                <w:noProof/>
                <w:color w:val="000000"/>
                <w:sz w:val="16"/>
                <w:szCs w:val="16"/>
              </w:rPr>
              <w:t>Instrument współpracy gospodarczej i finansowej MEDA</w:t>
            </w:r>
          </w:p>
        </w:tc>
        <w:tc>
          <w:tcPr>
            <w:tcW w:w="1188" w:type="dxa"/>
            <w:tcBorders>
              <w:top w:val="nil"/>
              <w:left w:val="nil"/>
              <w:bottom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119</w:t>
            </w:r>
          </w:p>
        </w:tc>
        <w:tc>
          <w:tcPr>
            <w:tcW w:w="1348" w:type="dxa"/>
            <w:tcBorders>
              <w:top w:val="nil"/>
              <w:left w:val="nil"/>
              <w:right w:val="nil"/>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right w:val="single" w:sz="8" w:space="0" w:color="auto"/>
            </w:tcBorders>
            <w:shd w:val="clear" w:color="auto" w:fill="auto"/>
            <w:noWrap/>
            <w:vAlign w:val="center"/>
          </w:tcPr>
          <w:p w:rsidR="0043277E" w:rsidRDefault="000F2348">
            <w:pPr>
              <w:jc w:val="right"/>
              <w:rPr>
                <w:rFonts w:ascii="Verdana" w:hAnsi="Verdana"/>
                <w:noProof/>
                <w:color w:val="000000"/>
                <w:sz w:val="16"/>
                <w:szCs w:val="16"/>
              </w:rPr>
            </w:pPr>
            <w:r>
              <w:rPr>
                <w:rFonts w:ascii="Verdana" w:hAnsi="Verdana"/>
                <w:noProof/>
                <w:color w:val="000000"/>
                <w:sz w:val="16"/>
                <w:szCs w:val="16"/>
              </w:rPr>
              <w:t>-</w:t>
            </w:r>
          </w:p>
        </w:tc>
      </w:tr>
      <w:tr w:rsidR="0043277E">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243</w:t>
            </w:r>
          </w:p>
        </w:tc>
        <w:tc>
          <w:tcPr>
            <w:tcW w:w="1348" w:type="dxa"/>
            <w:tcBorders>
              <w:top w:val="single" w:sz="4" w:space="0" w:color="auto"/>
              <w:left w:val="nil"/>
              <w:bottom w:val="single" w:sz="8" w:space="0" w:color="auto"/>
              <w:right w:val="nil"/>
            </w:tcBorders>
            <w:shd w:val="clear" w:color="000000" w:fill="FFFFFF"/>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(4)</w:t>
            </w:r>
          </w:p>
        </w:tc>
        <w:tc>
          <w:tcPr>
            <w:tcW w:w="1589" w:type="dxa"/>
            <w:tcBorders>
              <w:top w:val="single" w:sz="4" w:space="0" w:color="auto"/>
              <w:left w:val="nil"/>
              <w:bottom w:val="single" w:sz="8" w:space="0" w:color="auto"/>
              <w:right w:val="single" w:sz="8" w:space="0" w:color="auto"/>
            </w:tcBorders>
            <w:shd w:val="clear" w:color="000000" w:fill="FFFFFF"/>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w:t>
            </w:r>
          </w:p>
        </w:tc>
      </w:tr>
      <w:tr w:rsidR="0043277E">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43277E" w:rsidRDefault="000F2348">
            <w:pPr>
              <w:rPr>
                <w:rFonts w:ascii="Verdana" w:hAnsi="Verdana"/>
                <w:b/>
                <w:bCs/>
                <w:noProof/>
                <w:color w:val="000000"/>
                <w:sz w:val="16"/>
                <w:szCs w:val="18"/>
              </w:rPr>
            </w:pPr>
            <w:r>
              <w:rPr>
                <w:rFonts w:ascii="Verdana" w:hAnsi="Verdana"/>
                <w:b/>
                <w:bCs/>
                <w:noProof/>
                <w:color w:val="000000"/>
                <w:sz w:val="16"/>
                <w:szCs w:val="18"/>
              </w:rPr>
              <w:t xml:space="preserve">Ogółem </w:t>
            </w:r>
          </w:p>
        </w:tc>
        <w:tc>
          <w:tcPr>
            <w:tcW w:w="1188" w:type="dxa"/>
            <w:tcBorders>
              <w:top w:val="nil"/>
              <w:left w:val="nil"/>
              <w:bottom w:val="single" w:sz="8"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1 844</w:t>
            </w:r>
          </w:p>
        </w:tc>
        <w:tc>
          <w:tcPr>
            <w:tcW w:w="1348" w:type="dxa"/>
            <w:tcBorders>
              <w:top w:val="nil"/>
              <w:left w:val="nil"/>
              <w:bottom w:val="single" w:sz="8"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(244)</w:t>
            </w:r>
          </w:p>
        </w:tc>
        <w:tc>
          <w:tcPr>
            <w:tcW w:w="1589" w:type="dxa"/>
            <w:tcBorders>
              <w:top w:val="nil"/>
              <w:left w:val="nil"/>
              <w:bottom w:val="single" w:sz="8" w:space="0" w:color="auto"/>
              <w:right w:val="single" w:sz="8" w:space="0" w:color="auto"/>
            </w:tcBorders>
            <w:shd w:val="clear" w:color="000000" w:fill="B8CCE4"/>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(110)</w:t>
            </w:r>
          </w:p>
        </w:tc>
      </w:tr>
      <w:tr w:rsidR="0043277E">
        <w:trPr>
          <w:trHeight w:hRule="exact" w:val="57"/>
        </w:trPr>
        <w:tc>
          <w:tcPr>
            <w:tcW w:w="5948" w:type="dxa"/>
            <w:tcBorders>
              <w:top w:val="nil"/>
              <w:left w:val="nil"/>
              <w:bottom w:val="single" w:sz="12" w:space="0" w:color="auto"/>
              <w:right w:val="nil"/>
            </w:tcBorders>
            <w:shd w:val="clear" w:color="auto" w:fill="auto"/>
            <w:noWrap/>
            <w:vAlign w:val="bottom"/>
            <w:hideMark/>
          </w:tcPr>
          <w:p w:rsidR="0043277E" w:rsidRDefault="0043277E">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rsidR="0043277E" w:rsidRDefault="0043277E">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rsidR="0043277E" w:rsidRDefault="0043277E">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rsidR="0043277E" w:rsidRDefault="0043277E">
            <w:pPr>
              <w:rPr>
                <w:rFonts w:ascii="Verdana" w:hAnsi="Verdana"/>
                <w:noProof/>
                <w:color w:val="000000"/>
                <w:sz w:val="16"/>
                <w:szCs w:val="18"/>
              </w:rPr>
            </w:pPr>
          </w:p>
        </w:tc>
      </w:tr>
      <w:tr w:rsidR="0043277E">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rsidR="0043277E" w:rsidRDefault="000F2348">
            <w:pPr>
              <w:rPr>
                <w:rFonts w:ascii="Verdana" w:hAnsi="Verdana"/>
                <w:b/>
                <w:bCs/>
                <w:noProof/>
                <w:color w:val="000000"/>
                <w:sz w:val="16"/>
                <w:szCs w:val="18"/>
              </w:rPr>
            </w:pPr>
            <w:r>
              <w:rPr>
                <w:rFonts w:ascii="Verdana" w:hAnsi="Verdana"/>
                <w:b/>
                <w:bCs/>
                <w:noProof/>
                <w:color w:val="000000"/>
                <w:sz w:val="16"/>
                <w:szCs w:val="18"/>
              </w:rPr>
              <w:t>Suma całkowita</w:t>
            </w:r>
          </w:p>
        </w:tc>
        <w:tc>
          <w:tcPr>
            <w:tcW w:w="1188" w:type="dxa"/>
            <w:tcBorders>
              <w:top w:val="single" w:sz="12" w:space="0" w:color="auto"/>
              <w:left w:val="nil"/>
              <w:bottom w:val="single" w:sz="12"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6 612</w:t>
            </w:r>
          </w:p>
        </w:tc>
        <w:tc>
          <w:tcPr>
            <w:tcW w:w="1348" w:type="dxa"/>
            <w:tcBorders>
              <w:top w:val="single" w:sz="12" w:space="0" w:color="auto"/>
              <w:left w:val="nil"/>
              <w:bottom w:val="single" w:sz="12" w:space="0" w:color="auto"/>
              <w:right w:val="nil"/>
            </w:tcBorders>
            <w:shd w:val="clear" w:color="000000" w:fill="B8CCE4"/>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(1 790)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rsidR="0043277E" w:rsidRDefault="000F2348">
            <w:pPr>
              <w:jc w:val="right"/>
              <w:rPr>
                <w:rFonts w:ascii="Verdana" w:hAnsi="Verdana"/>
                <w:b/>
                <w:bCs/>
                <w:noProof/>
                <w:color w:val="000000"/>
                <w:sz w:val="16"/>
                <w:szCs w:val="18"/>
              </w:rPr>
            </w:pPr>
            <w:r>
              <w:rPr>
                <w:rFonts w:ascii="Verdana" w:hAnsi="Verdana"/>
                <w:b/>
                <w:bCs/>
                <w:noProof/>
                <w:color w:val="000000"/>
                <w:sz w:val="16"/>
                <w:szCs w:val="18"/>
              </w:rPr>
              <w:t>(2 416)</w:t>
            </w:r>
          </w:p>
        </w:tc>
      </w:tr>
      <w:tr w:rsidR="0043277E">
        <w:trPr>
          <w:trHeight w:val="300"/>
        </w:trPr>
        <w:tc>
          <w:tcPr>
            <w:tcW w:w="10073" w:type="dxa"/>
            <w:gridSpan w:val="4"/>
            <w:tcBorders>
              <w:top w:val="single" w:sz="12" w:space="0" w:color="auto"/>
              <w:left w:val="nil"/>
              <w:bottom w:val="nil"/>
              <w:right w:val="nil"/>
            </w:tcBorders>
            <w:shd w:val="clear" w:color="auto" w:fill="auto"/>
            <w:noWrap/>
            <w:vAlign w:val="center"/>
            <w:hideMark/>
          </w:tcPr>
          <w:p w:rsidR="0043277E" w:rsidRDefault="000F2348">
            <w:pPr>
              <w:pStyle w:val="Asterix"/>
              <w:tabs>
                <w:tab w:val="clear" w:pos="426"/>
                <w:tab w:val="left" w:pos="312"/>
              </w:tabs>
              <w:ind w:left="312" w:hanging="312"/>
            </w:pPr>
            <w:r>
              <w:t>*</w:t>
            </w:r>
            <w:r>
              <w:tab/>
              <w:t xml:space="preserve">Aktywa przedstawione w niniejszej tabeli obejmują szereg pozycji sprawozdania finansowego (aktywa finansowe dostępne do sprzedaży w wysokości 5 028 mln EUR; środki pieniężne i ich ekwiwalenty w </w:t>
            </w:r>
            <w:r>
              <w:t>wysokości 1 485 mln EUR; pożyczki w wysokości 73 mln EUR i inne pozycje w wysokości 24 mln EUR).</w:t>
            </w:r>
          </w:p>
          <w:p w:rsidR="0043277E" w:rsidRDefault="000F2348">
            <w:pPr>
              <w:pStyle w:val="Asterix"/>
              <w:tabs>
                <w:tab w:val="clear" w:pos="426"/>
                <w:tab w:val="left" w:pos="312"/>
              </w:tabs>
              <w:ind w:left="312" w:hanging="312"/>
            </w:pPr>
            <w:r>
              <w:t>**</w:t>
            </w:r>
            <w:r>
              <w:tab/>
              <w:t>Zobowiązania przedstawione w niniejszej tabeli obejmują szereg pozycji sprawozdania finansowego (rezerwy w wysokości 1 702 mln EUR; zobowiązania w wysokości</w:t>
            </w:r>
            <w:r>
              <w:t xml:space="preserve"> 75 mln EUR i inne pozycje w wysokości 12 mln EUR).</w:t>
            </w:r>
          </w:p>
          <w:p w:rsidR="0043277E" w:rsidRDefault="000F2348">
            <w:pPr>
              <w:pStyle w:val="Asterix"/>
              <w:tabs>
                <w:tab w:val="clear" w:pos="426"/>
                <w:tab w:val="left" w:pos="313"/>
              </w:tabs>
            </w:pPr>
            <w:r>
              <w:t>***</w:t>
            </w:r>
            <w:r>
              <w:tab/>
              <w:t xml:space="preserve">W przypadku niektórych gwarancji ryzyko podejmowane przez UE zostało w pełni uwzględnione przez utworzone rezerwy. </w:t>
            </w:r>
            <w:r>
              <w:br/>
            </w:r>
          </w:p>
        </w:tc>
      </w:tr>
    </w:tbl>
    <w:p w:rsidR="0043277E" w:rsidRDefault="0043277E">
      <w:pPr>
        <w:pStyle w:val="HEADER5"/>
        <w:rPr>
          <w:noProof/>
        </w:rPr>
      </w:pPr>
    </w:p>
    <w:p w:rsidR="0043277E" w:rsidRDefault="000F2348">
      <w:pPr>
        <w:pStyle w:val="HEADER5"/>
        <w:rPr>
          <w:noProof/>
        </w:rPr>
      </w:pPr>
      <w:r>
        <w:rPr>
          <w:noProof/>
        </w:rPr>
        <w:t xml:space="preserve">Aktywa finansowe przechowywane w funduszach gwarancyjnych na potrzeby gwarancji </w:t>
      </w:r>
      <w:r>
        <w:rPr>
          <w:noProof/>
        </w:rPr>
        <w:t>budżetowych</w:t>
      </w:r>
    </w:p>
    <w:p w:rsidR="0043277E" w:rsidRDefault="000F2348">
      <w:pPr>
        <w:pStyle w:val="DGTextstand-alone"/>
      </w:pPr>
      <w:r>
        <w:t xml:space="preserve">Komisja utworzyła fundusze gwarancyjne w celu pokrycia gwarancji budżetowych udzielonych grupie EBI i innym instytucjom finansowym (zob. informacja dodatkowa </w:t>
      </w:r>
      <w:r>
        <w:rPr>
          <w:b/>
        </w:rPr>
        <w:t>4.1.1</w:t>
      </w:r>
      <w:r>
        <w:t xml:space="preserve"> do skonsolidowanego sprawozdania finansowego). Wspomniane fundusze gwarancyjne s</w:t>
      </w:r>
      <w:r>
        <w:t>ą zasilane płatnościami z budżetu UE, co ma na celu zapewnienie buforu płynnościowego na wypadek potencjalnych strat na operacjach objętych gwarancją. Płatności wnoszone do funduszy gwarancyjnych są inwestowane w instrumenty finansowe, w tym dłużne papiery</w:t>
      </w:r>
      <w:r>
        <w:t xml:space="preserve"> wartościowe, fundusze rynku pieniężnego, gotówkę i depozyty terminowe. Według stanu na dzień 31 grudnia 2019 r. Komisja posiada aktywa finansowe w:</w:t>
      </w:r>
    </w:p>
    <w:p w:rsidR="0043277E" w:rsidRDefault="000F2348">
      <w:pPr>
        <w:pStyle w:val="DGTextstand-alone"/>
        <w:numPr>
          <w:ilvl w:val="0"/>
          <w:numId w:val="42"/>
        </w:numPr>
      </w:pPr>
      <w:r>
        <w:t>Funduszu Gwarancyjnym dla działań zewnętrznych – 2,6 mld EUR,</w:t>
      </w:r>
    </w:p>
    <w:p w:rsidR="0043277E" w:rsidRDefault="000F2348">
      <w:pPr>
        <w:pStyle w:val="DGTextstand-alone"/>
        <w:numPr>
          <w:ilvl w:val="0"/>
          <w:numId w:val="42"/>
        </w:numPr>
      </w:pPr>
      <w:r>
        <w:t>Funduszu Gwarancyjnym EFIS – 6,7 mld EUR oraz</w:t>
      </w:r>
    </w:p>
    <w:p w:rsidR="0043277E" w:rsidRDefault="000F2348">
      <w:pPr>
        <w:pStyle w:val="DGTextstand-alone"/>
        <w:numPr>
          <w:ilvl w:val="0"/>
          <w:numId w:val="42"/>
        </w:numPr>
      </w:pPr>
      <w:r>
        <w:t>Funduszu gwarancyjnym EFZR – 0,6 mld EUR.</w:t>
      </w:r>
    </w:p>
    <w:p w:rsidR="0043277E" w:rsidRDefault="000F2348">
      <w:pPr>
        <w:pStyle w:val="HEADER5"/>
        <w:rPr>
          <w:noProof/>
        </w:rPr>
      </w:pPr>
      <w:r>
        <w:rPr>
          <w:noProof/>
        </w:rPr>
        <w:t>Kredyty i powiązane pożyczki zaciągnięte na programy pomocy finansowej</w:t>
      </w:r>
    </w:p>
    <w:p w:rsidR="0043277E" w:rsidRDefault="000F2348">
      <w:pPr>
        <w:pStyle w:val="DGTextstand-alone"/>
      </w:pPr>
      <w:r>
        <w:t>Komisja udziela wsparcia finansowego państwom członkowskim i państwom trzecim w formie pożyczek dwustronnych finansowanych z rynków kapitałowy</w:t>
      </w:r>
      <w:r>
        <w:t>ch i objętych gwarancją budżetu UE na podstawie decyzji Parlamentu Europejskiego i Rady.</w:t>
      </w:r>
    </w:p>
    <w:p w:rsidR="0043277E" w:rsidRDefault="000F2348">
      <w:pPr>
        <w:pStyle w:val="DGTextstand-alone"/>
      </w:pPr>
      <w:r>
        <w:t>Komisja, działając w imieniu UE, obsługuje obecnie trzy główne programy:</w:t>
      </w:r>
    </w:p>
    <w:p w:rsidR="0043277E" w:rsidRDefault="000F2348">
      <w:pPr>
        <w:pStyle w:val="DGTextstand-alone"/>
        <w:numPr>
          <w:ilvl w:val="0"/>
          <w:numId w:val="43"/>
        </w:numPr>
        <w:ind w:left="714" w:hanging="357"/>
        <w:contextualSpacing/>
      </w:pPr>
      <w:r>
        <w:t>europejski mechanizm stabilizacji finansowej (EFSM),</w:t>
      </w:r>
    </w:p>
    <w:p w:rsidR="0043277E" w:rsidRDefault="000F2348">
      <w:pPr>
        <w:pStyle w:val="DGTextstand-alone"/>
        <w:numPr>
          <w:ilvl w:val="0"/>
          <w:numId w:val="43"/>
        </w:numPr>
        <w:ind w:left="714" w:hanging="357"/>
        <w:contextualSpacing/>
      </w:pPr>
      <w:r>
        <w:t>wsparcie bilansu płatniczego (BOP), oraz</w:t>
      </w:r>
    </w:p>
    <w:p w:rsidR="0043277E" w:rsidRDefault="000F2348">
      <w:pPr>
        <w:pStyle w:val="DGTextstand-alone"/>
        <w:numPr>
          <w:ilvl w:val="0"/>
          <w:numId w:val="43"/>
        </w:numPr>
      </w:pPr>
      <w:r>
        <w:t>pomoc makrofinansową, w ramach której Komisja może udzielać pożyczek.</w:t>
      </w:r>
    </w:p>
    <w:p w:rsidR="0043277E" w:rsidRDefault="000F2348">
      <w:pPr>
        <w:pStyle w:val="DGTextstand-alone"/>
      </w:pPr>
      <w:r>
        <w:t>Kapitał niezbędny do finansowania operacji udzielania pożyczek przez UE pozyskiwany jest na rynkach kapitałowych lub w instytucjach finansowych.</w:t>
      </w:r>
    </w:p>
    <w:p w:rsidR="0043277E" w:rsidRDefault="000F2348">
      <w:pPr>
        <w:pStyle w:val="DGTextstand-alone"/>
        <w:keepNext/>
        <w:spacing w:after="120"/>
      </w:pPr>
      <w:r>
        <w:lastRenderedPageBreak/>
        <w:t>Na dzień 31 grudnia 2019 r. kwota nominal</w:t>
      </w:r>
      <w:r>
        <w:t>na pożyczek udzielonych na pomoc finansową w ramach europejskiego mechanizmu stabilizacji finansowej i bilansu płatniczego wynosiła:</w:t>
      </w:r>
    </w:p>
    <w:tbl>
      <w:tblPr>
        <w:tblW w:w="10342"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176"/>
      </w:tblGrid>
      <w:tr w:rsidR="0043277E">
        <w:trPr>
          <w:trHeight w:val="300"/>
        </w:trPr>
        <w:tc>
          <w:tcPr>
            <w:tcW w:w="2977" w:type="dxa"/>
            <w:tcBorders>
              <w:top w:val="nil"/>
              <w:left w:val="nil"/>
              <w:bottom w:val="nil"/>
              <w:right w:val="nil"/>
            </w:tcBorders>
            <w:shd w:val="clear" w:color="auto" w:fill="auto"/>
            <w:noWrap/>
            <w:vAlign w:val="bottom"/>
          </w:tcPr>
          <w:p w:rsidR="0043277E" w:rsidRDefault="0043277E">
            <w:pPr>
              <w:keepNext/>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rsidR="0043277E" w:rsidRDefault="0043277E">
            <w:pPr>
              <w:keepNext/>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rsidR="0043277E" w:rsidRDefault="0043277E">
            <w:pPr>
              <w:keepNext/>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rsidR="0043277E" w:rsidRDefault="0043277E">
            <w:pPr>
              <w:keepNext/>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rsidR="0043277E" w:rsidRDefault="0043277E">
            <w:pPr>
              <w:keepNext/>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rsidR="0043277E" w:rsidRDefault="0043277E">
            <w:pPr>
              <w:keepNext/>
              <w:jc w:val="right"/>
              <w:rPr>
                <w:rFonts w:ascii="Verdana" w:hAnsi="Verdana"/>
                <w:i/>
                <w:iCs/>
                <w:noProof/>
                <w:color w:val="000000"/>
                <w:sz w:val="18"/>
                <w:szCs w:val="18"/>
              </w:rPr>
            </w:pPr>
          </w:p>
        </w:tc>
        <w:tc>
          <w:tcPr>
            <w:tcW w:w="1978" w:type="dxa"/>
            <w:gridSpan w:val="2"/>
            <w:tcBorders>
              <w:top w:val="nil"/>
              <w:left w:val="nil"/>
              <w:bottom w:val="nil"/>
              <w:right w:val="nil"/>
            </w:tcBorders>
            <w:shd w:val="clear" w:color="auto" w:fill="auto"/>
            <w:vAlign w:val="bottom"/>
          </w:tcPr>
          <w:p w:rsidR="0043277E" w:rsidRDefault="000F2348">
            <w:pPr>
              <w:keepNext/>
              <w:jc w:val="right"/>
              <w:rPr>
                <w:rFonts w:ascii="Verdana" w:hAnsi="Verdana"/>
                <w:i/>
                <w:iCs/>
                <w:noProof/>
                <w:color w:val="000000"/>
                <w:sz w:val="18"/>
                <w:szCs w:val="18"/>
              </w:rPr>
            </w:pPr>
            <w:r>
              <w:rPr>
                <w:rFonts w:ascii="Verdana" w:hAnsi="Verdana"/>
                <w:i/>
                <w:iCs/>
                <w:noProof/>
                <w:color w:val="000000"/>
                <w:sz w:val="18"/>
                <w:szCs w:val="18"/>
              </w:rPr>
              <w:t>w mld EUR</w:t>
            </w:r>
          </w:p>
        </w:tc>
      </w:tr>
      <w:tr w:rsidR="0043277E">
        <w:trPr>
          <w:trHeight w:val="375"/>
        </w:trPr>
        <w:tc>
          <w:tcPr>
            <w:tcW w:w="2977" w:type="dxa"/>
            <w:tcBorders>
              <w:top w:val="nil"/>
              <w:left w:val="nil"/>
              <w:bottom w:val="nil"/>
              <w:right w:val="nil"/>
            </w:tcBorders>
            <w:shd w:val="clear" w:color="auto" w:fill="auto"/>
            <w:noWrap/>
            <w:vAlign w:val="bottom"/>
            <w:hideMark/>
          </w:tcPr>
          <w:p w:rsidR="0043277E" w:rsidRDefault="0043277E">
            <w:pPr>
              <w:keepNext/>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rsidR="0043277E" w:rsidRDefault="000F2348">
            <w:pPr>
              <w:keepNext/>
              <w:jc w:val="center"/>
              <w:rPr>
                <w:rFonts w:ascii="Verdana" w:hAnsi="Verdana"/>
                <w:b/>
                <w:bCs/>
                <w:noProof/>
                <w:color w:val="FFFFFF"/>
                <w:sz w:val="18"/>
                <w:szCs w:val="18"/>
              </w:rPr>
            </w:pPr>
            <w:r>
              <w:rPr>
                <w:rFonts w:ascii="Verdana" w:hAnsi="Verdana"/>
                <w:b/>
                <w:bCs/>
                <w:noProof/>
                <w:color w:val="FFFFFF"/>
                <w:sz w:val="18"/>
                <w:szCs w:val="18"/>
              </w:rPr>
              <w:t>Wsparcie bilansu płatniczego</w:t>
            </w:r>
          </w:p>
        </w:tc>
        <w:tc>
          <w:tcPr>
            <w:tcW w:w="2928" w:type="dxa"/>
            <w:gridSpan w:val="5"/>
            <w:tcBorders>
              <w:top w:val="nil"/>
              <w:left w:val="nil"/>
              <w:bottom w:val="nil"/>
              <w:right w:val="nil"/>
            </w:tcBorders>
            <w:shd w:val="clear" w:color="000000" w:fill="92D050"/>
            <w:vAlign w:val="bottom"/>
          </w:tcPr>
          <w:p w:rsidR="0043277E" w:rsidRDefault="000F2348">
            <w:pPr>
              <w:keepNext/>
              <w:jc w:val="center"/>
              <w:rPr>
                <w:rFonts w:ascii="Verdana" w:hAnsi="Verdana"/>
                <w:b/>
                <w:bCs/>
                <w:noProof/>
                <w:color w:val="FFFFFF"/>
                <w:sz w:val="18"/>
                <w:szCs w:val="18"/>
              </w:rPr>
            </w:pPr>
            <w:r>
              <w:rPr>
                <w:rFonts w:ascii="Verdana" w:hAnsi="Verdana"/>
                <w:b/>
                <w:bCs/>
                <w:noProof/>
                <w:color w:val="FFFFFF"/>
                <w:sz w:val="18"/>
                <w:szCs w:val="18"/>
              </w:rPr>
              <w:t>EFSM*</w:t>
            </w:r>
          </w:p>
        </w:tc>
        <w:tc>
          <w:tcPr>
            <w:tcW w:w="1176" w:type="dxa"/>
            <w:vMerge w:val="restart"/>
            <w:tcBorders>
              <w:top w:val="nil"/>
              <w:left w:val="nil"/>
              <w:bottom w:val="single" w:sz="4" w:space="0" w:color="000000"/>
              <w:right w:val="nil"/>
            </w:tcBorders>
            <w:shd w:val="clear" w:color="000000" w:fill="DA9694"/>
            <w:noWrap/>
            <w:vAlign w:val="center"/>
            <w:hideMark/>
          </w:tcPr>
          <w:p w:rsidR="0043277E" w:rsidRDefault="000F2348">
            <w:pPr>
              <w:keepNext/>
              <w:jc w:val="center"/>
              <w:rPr>
                <w:rFonts w:ascii="Verdana" w:hAnsi="Verdana"/>
                <w:b/>
                <w:bCs/>
                <w:noProof/>
                <w:color w:val="FFFFFF"/>
                <w:sz w:val="18"/>
                <w:szCs w:val="18"/>
              </w:rPr>
            </w:pPr>
            <w:r>
              <w:rPr>
                <w:rFonts w:ascii="Verdana" w:hAnsi="Verdana"/>
                <w:b/>
                <w:bCs/>
                <w:noProof/>
                <w:color w:val="FFFFFF"/>
                <w:sz w:val="18"/>
                <w:szCs w:val="18"/>
              </w:rPr>
              <w:t>OGÓŁEM</w:t>
            </w:r>
          </w:p>
        </w:tc>
      </w:tr>
      <w:tr w:rsidR="0043277E">
        <w:trPr>
          <w:trHeight w:val="375"/>
        </w:trPr>
        <w:tc>
          <w:tcPr>
            <w:tcW w:w="2977" w:type="dxa"/>
            <w:tcBorders>
              <w:top w:val="nil"/>
              <w:left w:val="nil"/>
              <w:bottom w:val="nil"/>
              <w:right w:val="nil"/>
            </w:tcBorders>
            <w:shd w:val="clear" w:color="auto" w:fill="auto"/>
            <w:noWrap/>
            <w:vAlign w:val="bottom"/>
            <w:hideMark/>
          </w:tcPr>
          <w:p w:rsidR="0043277E" w:rsidRDefault="0043277E">
            <w:pPr>
              <w:keepNext/>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rsidR="0043277E" w:rsidRDefault="000F2348">
            <w:pPr>
              <w:keepNext/>
              <w:jc w:val="right"/>
              <w:rPr>
                <w:rFonts w:ascii="Verdana" w:hAnsi="Verdana"/>
                <w:bCs/>
                <w:noProof/>
                <w:color w:val="4BACC6"/>
                <w:sz w:val="16"/>
                <w:szCs w:val="18"/>
              </w:rPr>
            </w:pPr>
            <w:r>
              <w:rPr>
                <w:rFonts w:ascii="Verdana" w:hAnsi="Verdana"/>
                <w:bCs/>
                <w:noProof/>
                <w:color w:val="4BACC6"/>
                <w:sz w:val="16"/>
                <w:szCs w:val="18"/>
              </w:rPr>
              <w:t>Łotwa</w:t>
            </w:r>
          </w:p>
        </w:tc>
        <w:tc>
          <w:tcPr>
            <w:tcW w:w="1073" w:type="dxa"/>
            <w:gridSpan w:val="3"/>
            <w:tcBorders>
              <w:top w:val="nil"/>
              <w:left w:val="nil"/>
              <w:bottom w:val="single" w:sz="4" w:space="0" w:color="auto"/>
              <w:right w:val="nil"/>
            </w:tcBorders>
            <w:shd w:val="clear" w:color="auto" w:fill="auto"/>
            <w:noWrap/>
            <w:vAlign w:val="bottom"/>
            <w:hideMark/>
          </w:tcPr>
          <w:p w:rsidR="0043277E" w:rsidRDefault="000F2348">
            <w:pPr>
              <w:keepNext/>
              <w:jc w:val="right"/>
              <w:rPr>
                <w:rFonts w:ascii="Verdana" w:hAnsi="Verdana"/>
                <w:bCs/>
                <w:noProof/>
                <w:color w:val="4BACC6"/>
                <w:sz w:val="16"/>
                <w:szCs w:val="18"/>
              </w:rPr>
            </w:pPr>
            <w:r>
              <w:rPr>
                <w:rFonts w:ascii="Verdana" w:hAnsi="Verdana"/>
                <w:bCs/>
                <w:noProof/>
                <w:color w:val="4BACC6"/>
                <w:sz w:val="16"/>
                <w:szCs w:val="18"/>
              </w:rPr>
              <w:t>Rumunia</w:t>
            </w:r>
          </w:p>
        </w:tc>
        <w:tc>
          <w:tcPr>
            <w:tcW w:w="1073" w:type="dxa"/>
            <w:tcBorders>
              <w:top w:val="nil"/>
              <w:left w:val="nil"/>
              <w:bottom w:val="single" w:sz="4" w:space="0" w:color="auto"/>
              <w:right w:val="nil"/>
            </w:tcBorders>
            <w:shd w:val="clear" w:color="000000" w:fill="DCE6F1"/>
            <w:noWrap/>
            <w:vAlign w:val="bottom"/>
            <w:hideMark/>
          </w:tcPr>
          <w:p w:rsidR="0043277E" w:rsidRDefault="000F2348">
            <w:pPr>
              <w:keepNext/>
              <w:jc w:val="right"/>
              <w:rPr>
                <w:rFonts w:ascii="Verdana" w:hAnsi="Verdana"/>
                <w:bCs/>
                <w:noProof/>
                <w:color w:val="4BACC6"/>
                <w:sz w:val="16"/>
                <w:szCs w:val="18"/>
              </w:rPr>
            </w:pPr>
            <w:r>
              <w:rPr>
                <w:rFonts w:ascii="Verdana" w:hAnsi="Verdana"/>
                <w:bCs/>
                <w:noProof/>
                <w:color w:val="4BACC6"/>
                <w:sz w:val="16"/>
                <w:szCs w:val="18"/>
              </w:rPr>
              <w:t>Ogółem</w:t>
            </w:r>
          </w:p>
        </w:tc>
        <w:tc>
          <w:tcPr>
            <w:tcW w:w="1073" w:type="dxa"/>
            <w:gridSpan w:val="3"/>
            <w:tcBorders>
              <w:top w:val="nil"/>
              <w:left w:val="nil"/>
              <w:bottom w:val="single" w:sz="4" w:space="0" w:color="auto"/>
              <w:right w:val="nil"/>
            </w:tcBorders>
            <w:shd w:val="clear" w:color="auto" w:fill="auto"/>
            <w:noWrap/>
            <w:vAlign w:val="bottom"/>
          </w:tcPr>
          <w:p w:rsidR="0043277E" w:rsidRDefault="000F2348">
            <w:pPr>
              <w:keepNext/>
              <w:jc w:val="right"/>
              <w:rPr>
                <w:rFonts w:ascii="Verdana" w:hAnsi="Verdana"/>
                <w:bCs/>
                <w:noProof/>
                <w:color w:val="92D050"/>
                <w:sz w:val="16"/>
                <w:szCs w:val="18"/>
              </w:rPr>
            </w:pPr>
            <w:r>
              <w:rPr>
                <w:rFonts w:ascii="Verdana" w:hAnsi="Verdana"/>
                <w:bCs/>
                <w:noProof/>
                <w:color w:val="92D050"/>
                <w:sz w:val="16"/>
                <w:szCs w:val="18"/>
              </w:rPr>
              <w:t>Irlandia</w:t>
            </w:r>
          </w:p>
        </w:tc>
        <w:tc>
          <w:tcPr>
            <w:tcW w:w="1074" w:type="dxa"/>
            <w:tcBorders>
              <w:top w:val="nil"/>
              <w:left w:val="nil"/>
              <w:bottom w:val="single" w:sz="4" w:space="0" w:color="auto"/>
              <w:right w:val="nil"/>
            </w:tcBorders>
            <w:vAlign w:val="bottom"/>
          </w:tcPr>
          <w:p w:rsidR="0043277E" w:rsidRDefault="000F2348">
            <w:pPr>
              <w:keepNext/>
              <w:jc w:val="right"/>
              <w:rPr>
                <w:rFonts w:ascii="Verdana" w:hAnsi="Verdana"/>
                <w:bCs/>
                <w:noProof/>
                <w:color w:val="92D050"/>
                <w:sz w:val="16"/>
                <w:szCs w:val="18"/>
              </w:rPr>
            </w:pPr>
            <w:r>
              <w:rPr>
                <w:rFonts w:ascii="Verdana" w:hAnsi="Verdana"/>
                <w:bCs/>
                <w:noProof/>
                <w:color w:val="92D050"/>
                <w:sz w:val="16"/>
                <w:szCs w:val="18"/>
              </w:rPr>
              <w:t>Portugalia</w:t>
            </w:r>
          </w:p>
        </w:tc>
        <w:tc>
          <w:tcPr>
            <w:tcW w:w="823" w:type="dxa"/>
            <w:gridSpan w:val="2"/>
            <w:tcBorders>
              <w:top w:val="nil"/>
              <w:left w:val="nil"/>
              <w:bottom w:val="single" w:sz="4" w:space="0" w:color="auto"/>
              <w:right w:val="nil"/>
            </w:tcBorders>
            <w:shd w:val="clear" w:color="000000" w:fill="D8E4BC"/>
            <w:noWrap/>
            <w:vAlign w:val="bottom"/>
            <w:hideMark/>
          </w:tcPr>
          <w:p w:rsidR="0043277E" w:rsidRDefault="000F2348">
            <w:pPr>
              <w:keepNext/>
              <w:jc w:val="right"/>
              <w:rPr>
                <w:rFonts w:ascii="Verdana" w:hAnsi="Verdana"/>
                <w:bCs/>
                <w:noProof/>
                <w:color w:val="92D050"/>
                <w:sz w:val="16"/>
                <w:szCs w:val="18"/>
              </w:rPr>
            </w:pPr>
            <w:r>
              <w:rPr>
                <w:rFonts w:ascii="Verdana" w:hAnsi="Verdana"/>
                <w:bCs/>
                <w:noProof/>
                <w:color w:val="92D050"/>
                <w:sz w:val="16"/>
                <w:szCs w:val="18"/>
              </w:rPr>
              <w:t>Ogółem</w:t>
            </w:r>
          </w:p>
        </w:tc>
        <w:tc>
          <w:tcPr>
            <w:tcW w:w="1176" w:type="dxa"/>
            <w:vMerge/>
            <w:tcBorders>
              <w:top w:val="nil"/>
              <w:left w:val="nil"/>
              <w:bottom w:val="single" w:sz="4" w:space="0" w:color="000000"/>
              <w:right w:val="nil"/>
            </w:tcBorders>
            <w:vAlign w:val="center"/>
            <w:hideMark/>
          </w:tcPr>
          <w:p w:rsidR="0043277E" w:rsidRDefault="0043277E">
            <w:pPr>
              <w:keepNext/>
              <w:rPr>
                <w:rFonts w:ascii="Verdana" w:hAnsi="Verdana"/>
                <w:b/>
                <w:bCs/>
                <w:noProof/>
                <w:color w:val="FFFFFF"/>
                <w:sz w:val="18"/>
                <w:szCs w:val="18"/>
              </w:rPr>
            </w:pPr>
          </w:p>
        </w:tc>
      </w:tr>
      <w:tr w:rsidR="0043277E">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43277E" w:rsidRDefault="000F2348">
            <w:pPr>
              <w:keepNext/>
              <w:rPr>
                <w:rFonts w:ascii="Verdana" w:hAnsi="Verdana"/>
                <w:bCs/>
                <w:noProof/>
                <w:color w:val="000000"/>
                <w:sz w:val="18"/>
                <w:szCs w:val="18"/>
              </w:rPr>
            </w:pPr>
            <w:r>
              <w:rPr>
                <w:rFonts w:ascii="Verdana" w:hAnsi="Verdana"/>
                <w:bCs/>
                <w:noProof/>
                <w:color w:val="000000"/>
                <w:sz w:val="18"/>
                <w:szCs w:val="18"/>
              </w:rPr>
              <w:t xml:space="preserve">Pożyczki </w:t>
            </w:r>
            <w:r>
              <w:rPr>
                <w:rFonts w:ascii="Verdana" w:hAnsi="Verdana"/>
                <w:bCs/>
                <w:noProof/>
                <w:color w:val="000000"/>
                <w:sz w:val="18"/>
                <w:szCs w:val="18"/>
              </w:rPr>
              <w:t>udzielone ogółem</w:t>
            </w:r>
          </w:p>
        </w:tc>
        <w:tc>
          <w:tcPr>
            <w:tcW w:w="1073" w:type="dxa"/>
            <w:tcBorders>
              <w:top w:val="nil"/>
              <w:left w:val="nil"/>
              <w:bottom w:val="single" w:sz="4" w:space="0" w:color="auto"/>
              <w:right w:val="nil"/>
            </w:tcBorders>
            <w:shd w:val="clear" w:color="auto" w:fill="auto"/>
            <w:noWrap/>
            <w:vAlign w:val="bottom"/>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3,1</w:t>
            </w:r>
          </w:p>
        </w:tc>
        <w:tc>
          <w:tcPr>
            <w:tcW w:w="1073" w:type="dxa"/>
            <w:gridSpan w:val="3"/>
            <w:tcBorders>
              <w:top w:val="nil"/>
              <w:left w:val="nil"/>
              <w:bottom w:val="single" w:sz="4" w:space="0" w:color="auto"/>
              <w:right w:val="nil"/>
            </w:tcBorders>
            <w:shd w:val="clear" w:color="auto" w:fill="auto"/>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5,0</w:t>
            </w:r>
            <w:r>
              <w:rPr>
                <w:rFonts w:ascii="Verdana" w:hAnsi="Verdana"/>
                <w:bCs/>
                <w:noProof/>
                <w:color w:val="000000"/>
                <w:sz w:val="18"/>
                <w:szCs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8,1</w:t>
            </w:r>
          </w:p>
        </w:tc>
        <w:tc>
          <w:tcPr>
            <w:tcW w:w="1073" w:type="dxa"/>
            <w:gridSpan w:val="3"/>
            <w:tcBorders>
              <w:top w:val="nil"/>
              <w:left w:val="nil"/>
              <w:bottom w:val="single" w:sz="4" w:space="0" w:color="auto"/>
              <w:right w:val="nil"/>
            </w:tcBorders>
            <w:shd w:val="clear" w:color="auto" w:fill="auto"/>
            <w:noWrap/>
            <w:vAlign w:val="bottom"/>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nil"/>
              <w:left w:val="nil"/>
              <w:bottom w:val="single" w:sz="4" w:space="0" w:color="auto"/>
              <w:right w:val="nil"/>
            </w:tcBorders>
            <w:vAlign w:val="bottom"/>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26,0</w:t>
            </w:r>
          </w:p>
        </w:tc>
        <w:tc>
          <w:tcPr>
            <w:tcW w:w="823" w:type="dxa"/>
            <w:gridSpan w:val="2"/>
            <w:tcBorders>
              <w:top w:val="nil"/>
              <w:left w:val="nil"/>
              <w:bottom w:val="single" w:sz="4" w:space="0" w:color="auto"/>
              <w:right w:val="nil"/>
            </w:tcBorders>
            <w:shd w:val="clear" w:color="000000" w:fill="D8E4BC"/>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48,5</w:t>
            </w:r>
          </w:p>
        </w:tc>
        <w:tc>
          <w:tcPr>
            <w:tcW w:w="1176" w:type="dxa"/>
            <w:tcBorders>
              <w:top w:val="nil"/>
              <w:left w:val="nil"/>
              <w:bottom w:val="single" w:sz="4" w:space="0" w:color="auto"/>
              <w:right w:val="nil"/>
            </w:tcBorders>
            <w:shd w:val="clear" w:color="000000" w:fill="F2DCDB"/>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56,6</w:t>
            </w:r>
          </w:p>
        </w:tc>
      </w:tr>
      <w:tr w:rsidR="0043277E">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43277E" w:rsidRDefault="000F2348">
            <w:pPr>
              <w:keepNext/>
              <w:rPr>
                <w:rFonts w:ascii="Verdana" w:hAnsi="Verdana"/>
                <w:bCs/>
                <w:noProof/>
                <w:color w:val="000000"/>
                <w:sz w:val="18"/>
                <w:szCs w:val="18"/>
              </w:rPr>
            </w:pPr>
            <w:r>
              <w:rPr>
                <w:rFonts w:ascii="Verdana" w:hAnsi="Verdana"/>
                <w:bCs/>
                <w:noProof/>
                <w:color w:val="000000"/>
                <w:sz w:val="18"/>
                <w:szCs w:val="18"/>
              </w:rPr>
              <w:t>Wypłacone ogółem na 31.12.2019</w:t>
            </w:r>
          </w:p>
        </w:tc>
        <w:tc>
          <w:tcPr>
            <w:tcW w:w="1073" w:type="dxa"/>
            <w:tcBorders>
              <w:top w:val="single" w:sz="4" w:space="0" w:color="auto"/>
              <w:left w:val="nil"/>
              <w:bottom w:val="single" w:sz="4" w:space="0" w:color="auto"/>
              <w:right w:val="nil"/>
            </w:tcBorders>
            <w:shd w:val="clear" w:color="auto" w:fill="auto"/>
            <w:noWrap/>
            <w:vAlign w:val="bottom"/>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46,8</w:t>
            </w:r>
          </w:p>
        </w:tc>
        <w:tc>
          <w:tcPr>
            <w:tcW w:w="1176" w:type="dxa"/>
            <w:tcBorders>
              <w:top w:val="single" w:sz="4" w:space="0" w:color="auto"/>
              <w:left w:val="nil"/>
              <w:bottom w:val="single" w:sz="4" w:space="0" w:color="auto"/>
              <w:right w:val="nil"/>
            </w:tcBorders>
            <w:shd w:val="clear" w:color="000000" w:fill="F2DCDB"/>
            <w:noWrap/>
            <w:vAlign w:val="bottom"/>
            <w:hideMark/>
          </w:tcPr>
          <w:p w:rsidR="0043277E" w:rsidRDefault="000F2348">
            <w:pPr>
              <w:keepNext/>
              <w:jc w:val="center"/>
              <w:rPr>
                <w:rFonts w:ascii="Verdana" w:hAnsi="Verdana"/>
                <w:bCs/>
                <w:noProof/>
                <w:color w:val="000000"/>
                <w:sz w:val="18"/>
                <w:szCs w:val="18"/>
              </w:rPr>
            </w:pPr>
            <w:r>
              <w:rPr>
                <w:rFonts w:ascii="Verdana" w:hAnsi="Verdana"/>
                <w:bCs/>
                <w:noProof/>
                <w:color w:val="000000"/>
                <w:sz w:val="18"/>
                <w:szCs w:val="18"/>
              </w:rPr>
              <w:t>54,7</w:t>
            </w:r>
          </w:p>
        </w:tc>
      </w:tr>
      <w:tr w:rsidR="0043277E">
        <w:trPr>
          <w:trHeight w:val="300"/>
        </w:trPr>
        <w:tc>
          <w:tcPr>
            <w:tcW w:w="2977" w:type="dxa"/>
            <w:tcBorders>
              <w:top w:val="nil"/>
              <w:left w:val="nil"/>
              <w:bottom w:val="nil"/>
              <w:right w:val="nil"/>
            </w:tcBorders>
            <w:shd w:val="clear" w:color="auto" w:fill="auto"/>
            <w:noWrap/>
            <w:vAlign w:val="bottom"/>
            <w:hideMark/>
          </w:tcPr>
          <w:p w:rsidR="0043277E" w:rsidRDefault="000F2348">
            <w:pPr>
              <w:rPr>
                <w:rFonts w:ascii="Verdana" w:hAnsi="Verdana"/>
                <w:noProof/>
                <w:color w:val="000000"/>
                <w:sz w:val="18"/>
                <w:szCs w:val="18"/>
              </w:rPr>
            </w:pPr>
            <w:r>
              <w:rPr>
                <w:rFonts w:ascii="Verdana" w:hAnsi="Verdana"/>
                <w:noProof/>
                <w:color w:val="000000"/>
                <w:sz w:val="18"/>
                <w:szCs w:val="18"/>
              </w:rPr>
              <w:t>Łączna kwota spłacona na 31.12.2019</w:t>
            </w:r>
          </w:p>
        </w:tc>
        <w:tc>
          <w:tcPr>
            <w:tcW w:w="1073" w:type="dxa"/>
            <w:tcBorders>
              <w:top w:val="nil"/>
              <w:left w:val="nil"/>
              <w:bottom w:val="nil"/>
              <w:right w:val="nil"/>
            </w:tcBorders>
            <w:shd w:val="clear" w:color="auto" w:fill="auto"/>
            <w:noWrap/>
            <w:vAlign w:val="bottom"/>
          </w:tcPr>
          <w:p w:rsidR="0043277E" w:rsidRDefault="000F2348">
            <w:pPr>
              <w:jc w:val="center"/>
              <w:rPr>
                <w:rFonts w:ascii="Verdana" w:hAnsi="Verdana"/>
                <w:noProof/>
                <w:color w:val="000000"/>
                <w:sz w:val="18"/>
                <w:szCs w:val="18"/>
              </w:rPr>
            </w:pPr>
            <w:r>
              <w:rPr>
                <w:rFonts w:ascii="Verdana" w:hAnsi="Verdana"/>
                <w:noProof/>
                <w:color w:val="000000"/>
                <w:sz w:val="18"/>
                <w:szCs w:val="18"/>
              </w:rPr>
              <w:t>(2,7)</w:t>
            </w:r>
          </w:p>
        </w:tc>
        <w:tc>
          <w:tcPr>
            <w:tcW w:w="1073" w:type="dxa"/>
            <w:gridSpan w:val="3"/>
            <w:tcBorders>
              <w:top w:val="nil"/>
              <w:left w:val="nil"/>
              <w:bottom w:val="nil"/>
              <w:right w:val="nil"/>
            </w:tcBorders>
            <w:shd w:val="clear" w:color="auto" w:fill="auto"/>
            <w:noWrap/>
            <w:vAlign w:val="bottom"/>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(5,0)</w:t>
            </w:r>
          </w:p>
        </w:tc>
        <w:tc>
          <w:tcPr>
            <w:tcW w:w="1073" w:type="dxa"/>
            <w:tcBorders>
              <w:top w:val="nil"/>
              <w:left w:val="nil"/>
              <w:bottom w:val="nil"/>
              <w:right w:val="nil"/>
            </w:tcBorders>
            <w:shd w:val="clear" w:color="000000" w:fill="DCE6F1"/>
            <w:noWrap/>
            <w:vAlign w:val="bottom"/>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(7,7)</w:t>
            </w:r>
          </w:p>
        </w:tc>
        <w:tc>
          <w:tcPr>
            <w:tcW w:w="1073" w:type="dxa"/>
            <w:gridSpan w:val="3"/>
            <w:tcBorders>
              <w:top w:val="nil"/>
              <w:left w:val="nil"/>
              <w:bottom w:val="nil"/>
              <w:right w:val="nil"/>
            </w:tcBorders>
            <w:shd w:val="clear" w:color="auto" w:fill="auto"/>
            <w:noWrap/>
            <w:vAlign w:val="bottom"/>
          </w:tcPr>
          <w:p w:rsidR="0043277E" w:rsidRDefault="000F2348">
            <w:pPr>
              <w:jc w:val="center"/>
              <w:rPr>
                <w:rFonts w:ascii="Verdana" w:hAnsi="Verdana"/>
                <w:noProof/>
                <w:color w:val="000000"/>
                <w:sz w:val="18"/>
                <w:szCs w:val="18"/>
              </w:rPr>
            </w:pPr>
            <w:r>
              <w:rPr>
                <w:rFonts w:ascii="Verdana" w:hAnsi="Verdana"/>
                <w:noProof/>
                <w:color w:val="000000"/>
                <w:sz w:val="18"/>
                <w:szCs w:val="18"/>
              </w:rPr>
              <w:t>-</w:t>
            </w:r>
          </w:p>
        </w:tc>
        <w:tc>
          <w:tcPr>
            <w:tcW w:w="1074" w:type="dxa"/>
            <w:tcBorders>
              <w:top w:val="nil"/>
              <w:left w:val="nil"/>
              <w:bottom w:val="nil"/>
              <w:right w:val="nil"/>
            </w:tcBorders>
            <w:vAlign w:val="bottom"/>
          </w:tcPr>
          <w:p w:rsidR="0043277E" w:rsidRDefault="000F2348">
            <w:pPr>
              <w:jc w:val="center"/>
              <w:rPr>
                <w:rFonts w:ascii="Verdana" w:hAnsi="Verdana"/>
                <w:noProof/>
                <w:color w:val="000000"/>
                <w:sz w:val="18"/>
                <w:szCs w:val="18"/>
              </w:rPr>
            </w:pPr>
            <w:r>
              <w:rPr>
                <w:rFonts w:ascii="Verdana" w:hAnsi="Verdana"/>
                <w:noProof/>
                <w:color w:val="000000"/>
                <w:sz w:val="18"/>
                <w:szCs w:val="18"/>
              </w:rPr>
              <w:t>-</w:t>
            </w:r>
          </w:p>
        </w:tc>
        <w:tc>
          <w:tcPr>
            <w:tcW w:w="823" w:type="dxa"/>
            <w:gridSpan w:val="2"/>
            <w:tcBorders>
              <w:top w:val="nil"/>
              <w:left w:val="nil"/>
              <w:bottom w:val="nil"/>
              <w:right w:val="nil"/>
            </w:tcBorders>
            <w:shd w:val="clear" w:color="000000" w:fill="D8E4BC"/>
            <w:noWrap/>
            <w:vAlign w:val="bottom"/>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w:t>
            </w:r>
          </w:p>
        </w:tc>
        <w:tc>
          <w:tcPr>
            <w:tcW w:w="1176" w:type="dxa"/>
            <w:tcBorders>
              <w:top w:val="nil"/>
              <w:left w:val="nil"/>
              <w:bottom w:val="nil"/>
              <w:right w:val="nil"/>
            </w:tcBorders>
            <w:shd w:val="clear" w:color="000000" w:fill="F2DCDB"/>
            <w:noWrap/>
            <w:vAlign w:val="bottom"/>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(7,7)</w:t>
            </w:r>
          </w:p>
        </w:tc>
      </w:tr>
      <w:tr w:rsidR="0043277E">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43277E" w:rsidRDefault="000F2348">
            <w:pPr>
              <w:contextualSpacing/>
              <w:rPr>
                <w:rFonts w:ascii="Verdana" w:hAnsi="Verdana"/>
                <w:bCs/>
                <w:noProof/>
                <w:color w:val="000000"/>
                <w:sz w:val="18"/>
                <w:szCs w:val="18"/>
              </w:rPr>
            </w:pPr>
            <w:r>
              <w:rPr>
                <w:rFonts w:ascii="Verdana" w:hAnsi="Verdana"/>
                <w:bCs/>
                <w:noProof/>
                <w:color w:val="000000"/>
                <w:sz w:val="18"/>
                <w:szCs w:val="18"/>
              </w:rPr>
              <w:t>Pozostająca kwota należna według stanu na 31.12.2019</w:t>
            </w:r>
          </w:p>
        </w:tc>
        <w:tc>
          <w:tcPr>
            <w:tcW w:w="1073" w:type="dxa"/>
            <w:tcBorders>
              <w:top w:val="single" w:sz="4" w:space="0" w:color="auto"/>
              <w:left w:val="nil"/>
              <w:bottom w:val="single" w:sz="4" w:space="0" w:color="auto"/>
              <w:right w:val="nil"/>
            </w:tcBorders>
            <w:shd w:val="clear" w:color="auto" w:fill="auto"/>
            <w:noWrap/>
            <w:vAlign w:val="bottom"/>
          </w:tcPr>
          <w:p w:rsidR="0043277E" w:rsidRDefault="000F2348">
            <w:pPr>
              <w:contextualSpacing/>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shd w:val="clear" w:color="auto" w:fill="auto"/>
            <w:noWrap/>
            <w:vAlign w:val="bottom"/>
            <w:hideMark/>
          </w:tcPr>
          <w:p w:rsidR="0043277E" w:rsidRDefault="000F2348">
            <w:pPr>
              <w:contextualSpacing/>
              <w:jc w:val="center"/>
              <w:rPr>
                <w:rFonts w:ascii="Verdana" w:hAnsi="Verdana"/>
                <w:bCs/>
                <w:noProof/>
                <w:color w:val="000000"/>
                <w:sz w:val="18"/>
                <w:szCs w:val="18"/>
              </w:rPr>
            </w:pPr>
            <w:r>
              <w:rPr>
                <w:rFonts w:ascii="Verdana" w:hAnsi="Verdana"/>
                <w:bCs/>
                <w:noProof/>
                <w:color w:val="000000"/>
                <w:sz w:val="18"/>
                <w:szCs w:val="18"/>
              </w:rPr>
              <w:t>0</w:t>
            </w:r>
          </w:p>
        </w:tc>
        <w:tc>
          <w:tcPr>
            <w:tcW w:w="1073" w:type="dxa"/>
            <w:tcBorders>
              <w:top w:val="single" w:sz="4" w:space="0" w:color="auto"/>
              <w:left w:val="nil"/>
              <w:bottom w:val="single" w:sz="4" w:space="0" w:color="auto"/>
              <w:right w:val="nil"/>
            </w:tcBorders>
            <w:shd w:val="clear" w:color="000000" w:fill="DCE6F1"/>
            <w:noWrap/>
            <w:vAlign w:val="bottom"/>
            <w:hideMark/>
          </w:tcPr>
          <w:p w:rsidR="0043277E" w:rsidRDefault="000F2348">
            <w:pPr>
              <w:contextualSpacing/>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shd w:val="clear" w:color="auto" w:fill="auto"/>
            <w:noWrap/>
            <w:vAlign w:val="bottom"/>
          </w:tcPr>
          <w:p w:rsidR="0043277E" w:rsidRDefault="000F2348">
            <w:pPr>
              <w:contextualSpacing/>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tcPr>
          <w:p w:rsidR="0043277E" w:rsidRDefault="000F2348">
            <w:pPr>
              <w:contextualSpacing/>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43277E" w:rsidRDefault="000F2348">
            <w:pPr>
              <w:contextualSpacing/>
              <w:jc w:val="center"/>
              <w:rPr>
                <w:rFonts w:ascii="Verdana" w:hAnsi="Verdana"/>
                <w:bCs/>
                <w:noProof/>
                <w:color w:val="000000"/>
                <w:sz w:val="18"/>
                <w:szCs w:val="18"/>
              </w:rPr>
            </w:pPr>
            <w:r>
              <w:rPr>
                <w:rFonts w:ascii="Verdana" w:hAnsi="Verdana"/>
                <w:bCs/>
                <w:noProof/>
                <w:color w:val="000000"/>
                <w:sz w:val="18"/>
                <w:szCs w:val="18"/>
              </w:rPr>
              <w:t>46,8</w:t>
            </w:r>
          </w:p>
        </w:tc>
        <w:tc>
          <w:tcPr>
            <w:tcW w:w="1176" w:type="dxa"/>
            <w:tcBorders>
              <w:top w:val="single" w:sz="4" w:space="0" w:color="auto"/>
              <w:left w:val="nil"/>
              <w:bottom w:val="single" w:sz="4" w:space="0" w:color="auto"/>
              <w:right w:val="nil"/>
            </w:tcBorders>
            <w:shd w:val="clear" w:color="000000" w:fill="F2DCDB"/>
            <w:noWrap/>
            <w:vAlign w:val="bottom"/>
            <w:hideMark/>
          </w:tcPr>
          <w:p w:rsidR="0043277E" w:rsidRDefault="000F2348">
            <w:pPr>
              <w:contextualSpacing/>
              <w:jc w:val="center"/>
              <w:rPr>
                <w:rFonts w:ascii="Verdana" w:hAnsi="Verdana"/>
                <w:bCs/>
                <w:noProof/>
                <w:color w:val="000000"/>
                <w:sz w:val="18"/>
                <w:szCs w:val="18"/>
              </w:rPr>
            </w:pPr>
            <w:r>
              <w:rPr>
                <w:rFonts w:ascii="Verdana" w:hAnsi="Verdana"/>
                <w:bCs/>
                <w:noProof/>
                <w:color w:val="000000"/>
                <w:sz w:val="18"/>
                <w:szCs w:val="18"/>
              </w:rPr>
              <w:t>47,0</w:t>
            </w:r>
          </w:p>
        </w:tc>
      </w:tr>
    </w:tbl>
    <w:p w:rsidR="0043277E" w:rsidRDefault="000F2348">
      <w:pPr>
        <w:pStyle w:val="Asterix"/>
        <w:spacing w:before="120"/>
      </w:pPr>
      <w:r>
        <w:t xml:space="preserve">* </w:t>
      </w:r>
      <w:r>
        <w:tab/>
        <w:t>Bez transakcji refinansowania.</w:t>
      </w:r>
    </w:p>
    <w:p w:rsidR="0043277E" w:rsidRDefault="000F2348">
      <w:pPr>
        <w:pStyle w:val="Asterix"/>
      </w:pPr>
      <w:r>
        <w:t xml:space="preserve">** </w:t>
      </w:r>
      <w:r>
        <w:tab/>
        <w:t>Z wyłączeniem pomocy zapobiegawczej.</w:t>
      </w:r>
    </w:p>
    <w:p w:rsidR="0043277E" w:rsidRDefault="000F2348">
      <w:pPr>
        <w:pStyle w:val="DGTextstand-alone"/>
        <w:rPr>
          <w:i/>
        </w:rPr>
      </w:pPr>
      <w:r>
        <w:rPr>
          <w:i/>
        </w:rPr>
        <w:t>EFSM</w:t>
      </w:r>
    </w:p>
    <w:p w:rsidR="0043277E" w:rsidRDefault="000F2348">
      <w:pPr>
        <w:pStyle w:val="DGTextstand-alone"/>
      </w:pPr>
      <w:r>
        <w:t xml:space="preserve">EFSM stworzono, aby udzielać pomocy finansowej wszystkim państwom członkowskim zmagającym się z poważnymi trudnościami gospodarczymi i finansowymi spowodowanymi </w:t>
      </w:r>
      <w:r>
        <w:t>przez wyjątkowe okoliczności, na które państwa te nie mają wpływu, lub poważnie zagrożonym wystąpieniem tych trudności. EFSM wykorzystano, aby w latach 2011–2014 udzielić pomocy finansowej Irlandii i Portugalii, pod warunkiem przeprowadzenia reform.</w:t>
      </w:r>
    </w:p>
    <w:p w:rsidR="0043277E" w:rsidRDefault="000F2348">
      <w:pPr>
        <w:pStyle w:val="DGTextstand-alone"/>
      </w:pPr>
      <w:r>
        <w:t>Progra</w:t>
      </w:r>
      <w:r>
        <w:t>m ten wygasł i nie można już zaciągnąć dodatkowych pożyczek, chociaż sam program nadal funkcjonuje w odniesieniu do określonych zadań, takich jak wydłużenie okresów zapadalności pożyczek udzielonych Irlandii i Portugalii oraz udzielanie pożyczek pomostowyc</w:t>
      </w:r>
      <w:r>
        <w:t>h.</w:t>
      </w:r>
    </w:p>
    <w:p w:rsidR="0043277E" w:rsidRDefault="000F2348">
      <w:pPr>
        <w:pStyle w:val="DGTextstand-alone"/>
      </w:pPr>
      <w:r>
        <w:t>Główne punkty programu EFSM są następujące:</w:t>
      </w:r>
    </w:p>
    <w:p w:rsidR="0043277E" w:rsidRDefault="000F2348">
      <w:pPr>
        <w:pStyle w:val="DGTextstand-alone"/>
        <w:rPr>
          <w:u w:val="single"/>
        </w:rPr>
      </w:pPr>
      <w:r>
        <w:rPr>
          <w:u w:val="single"/>
        </w:rPr>
        <w:t>Irlandia</w:t>
      </w:r>
    </w:p>
    <w:p w:rsidR="0043277E" w:rsidRDefault="000F2348">
      <w:pPr>
        <w:pStyle w:val="DGTextstand-alone"/>
        <w:numPr>
          <w:ilvl w:val="0"/>
          <w:numId w:val="44"/>
        </w:numPr>
        <w:spacing w:after="120"/>
      </w:pPr>
      <w:r>
        <w:t>Irlandia zwróciła się o wypłacenie pełnej kwoty 22,5 mld EUR przyznanych przez EFSM w grudniu 2010 r. Kwotę tę wypłacono w ośmiu ratach w okresie styczeń 2011 r. – marzec 2014 r.</w:t>
      </w:r>
    </w:p>
    <w:p w:rsidR="0043277E" w:rsidRDefault="000F2348">
      <w:pPr>
        <w:pStyle w:val="DGTextstand-alone"/>
        <w:numPr>
          <w:ilvl w:val="0"/>
          <w:numId w:val="44"/>
        </w:numPr>
        <w:spacing w:after="120"/>
      </w:pPr>
      <w:r>
        <w:t xml:space="preserve">Na 2019 r. nie </w:t>
      </w:r>
      <w:r>
        <w:t>zaplanowano spłaty kwoty głównej. Wszystkich płatności odsetek, o które wnioskowano, dokonano w pełniej kwocie i w terminie.</w:t>
      </w:r>
    </w:p>
    <w:p w:rsidR="0043277E" w:rsidRDefault="000F2348">
      <w:pPr>
        <w:pStyle w:val="DGTextstand-alone"/>
        <w:rPr>
          <w:u w:val="single"/>
        </w:rPr>
      </w:pPr>
      <w:r>
        <w:rPr>
          <w:u w:val="single"/>
        </w:rPr>
        <w:t>Portugalia</w:t>
      </w:r>
    </w:p>
    <w:p w:rsidR="0043277E" w:rsidRDefault="000F2348">
      <w:pPr>
        <w:pStyle w:val="DGTextstand-alone"/>
        <w:numPr>
          <w:ilvl w:val="0"/>
          <w:numId w:val="45"/>
        </w:numPr>
        <w:spacing w:before="480"/>
      </w:pPr>
      <w:r>
        <w:t>Portugalia zwróciła się o wypłacenie 24,3 mld EUR z łącznej kwoty 26 mld EUR przyznanych przez EFSM w maju 2011 r. Kwotę</w:t>
      </w:r>
      <w:r>
        <w:t xml:space="preserve"> tę wypłacono w siedmiu ratach w okresie maj 2011 r. – listopad 2014 r.</w:t>
      </w:r>
    </w:p>
    <w:p w:rsidR="0043277E" w:rsidRDefault="000F2348">
      <w:pPr>
        <w:pStyle w:val="DGTextstand-alone"/>
        <w:numPr>
          <w:ilvl w:val="0"/>
          <w:numId w:val="45"/>
        </w:numPr>
        <w:spacing w:before="480"/>
      </w:pPr>
      <w:r>
        <w:t>Tak jak w przypadku Irlandii nie zaplanowano spłaty kwoty głównej na 2019 r., a wszystkich płatności odsetek dokonano w pełniej kwocie i w terminie.</w:t>
      </w:r>
    </w:p>
    <w:p w:rsidR="0043277E" w:rsidRDefault="000F2348">
      <w:pPr>
        <w:pStyle w:val="DGTextstand-alone"/>
        <w:numPr>
          <w:ilvl w:val="0"/>
          <w:numId w:val="45"/>
        </w:numPr>
        <w:spacing w:before="480"/>
      </w:pPr>
      <w:r>
        <w:t>Portugalia wystąpiła z formalnym wn</w:t>
      </w:r>
      <w:r>
        <w:t>ioskiem, aby UE odstąpiła od wykonania swoich praw wynikających z „obowiązkowej klauzuli przedterminowej spłaty” zawartej w umowie pożyczki w ramach EFSM i umożliwiła Portugalii zaliczkową spłatę kwoty 2 mld EUR na rzecz Europejskiego Instrumentu Stabilnoś</w:t>
      </w:r>
      <w:r>
        <w:t>ci Finansowej (EFSF). Przedterminowa spłata na rzecz EFSF uruchamia obowiązkową proporcjonalną spłatę pożyczek z EFSM. W decyzji Komisji zezwolono na odstąpienie pod pewnymi szczególnymi warunkami.</w:t>
      </w:r>
    </w:p>
    <w:p w:rsidR="0043277E" w:rsidRDefault="000F2348">
      <w:pPr>
        <w:pStyle w:val="DGTextstand-alone"/>
        <w:rPr>
          <w:i/>
        </w:rPr>
      </w:pPr>
      <w:r>
        <w:rPr>
          <w:i/>
        </w:rPr>
        <w:t>Wsparcie bilansu płatniczego</w:t>
      </w:r>
    </w:p>
    <w:p w:rsidR="0043277E" w:rsidRDefault="000F2348">
      <w:pPr>
        <w:pStyle w:val="DGTextstand-alone"/>
      </w:pPr>
      <w:r>
        <w:t xml:space="preserve">Wsparcie bilansu płatniczego </w:t>
      </w:r>
      <w:r>
        <w:t xml:space="preserve">to program pomocy opracowany dla państw spoza strefy euro, które mają trudności związane z bilansem płatniczym lub są zagrożone wystąpieniem takich trudności. Pomoc w ramach wsparcia bilansu płatniczego przyjmuje formę średnioterminowych pożyczek, których </w:t>
      </w:r>
      <w:r>
        <w:t xml:space="preserve">udziela się </w:t>
      </w:r>
      <w:r>
        <w:lastRenderedPageBreak/>
        <w:t>pod warunkiem wdrożenia polityk mających na celu rozwiązanie podstawowych problemów gospodarczych. Zazwyczaj pomoc ze strony UE na wsparcie bilansu płatniczego jest oferowana we współpracy z Międzynarodowym Funduszem Walutowym (MFW) i innymi in</w:t>
      </w:r>
      <w:r>
        <w:t>stytucjami międzynarodowymi lub państwami.</w:t>
      </w:r>
    </w:p>
    <w:p w:rsidR="0043277E" w:rsidRDefault="000F2348">
      <w:pPr>
        <w:pStyle w:val="DGTextstand-alone"/>
      </w:pPr>
      <w:r>
        <w:t>Główne punkty są następujące:</w:t>
      </w:r>
    </w:p>
    <w:p w:rsidR="0043277E" w:rsidRDefault="000F2348">
      <w:pPr>
        <w:pStyle w:val="DGTextstand-alone"/>
        <w:numPr>
          <w:ilvl w:val="0"/>
          <w:numId w:val="45"/>
        </w:numPr>
      </w:pPr>
      <w:r>
        <w:t>W 2019 r. państwa członkowskie będące beneficjentami wsparcia bilansu płatniczego w terminie i w całości zwróciły łączną kwotę w wysokości 1,5 mld EUR, z czego kwota 1,0 mld EUR dotyc</w:t>
      </w:r>
      <w:r>
        <w:t>zyła zwrotu kapitału przez Rumunię, a 0,5 mld EUR zwrotu kapitału przez Łotwę. Ponadto oba te państwa członkowskie zapłaciły należne w 2019 r. odsetki w terminie.</w:t>
      </w:r>
    </w:p>
    <w:p w:rsidR="0043277E" w:rsidRDefault="000F2348">
      <w:pPr>
        <w:pStyle w:val="DGTextstand-alone"/>
        <w:numPr>
          <w:ilvl w:val="0"/>
          <w:numId w:val="45"/>
        </w:numPr>
      </w:pPr>
      <w:r>
        <w:t>Na koniec 2019 r. kwota pozostała do zwrotu wyniosła 0,2 mld EUR i dotyczyła wyłącznie Łotwy;</w:t>
      </w:r>
      <w:r>
        <w:t xml:space="preserve"> spłata tej kwoty jest przewidziana na 2025 r. Rumunia spłaciła całą kwotę główną i odsetki, więc można zamknąć jej program wsparcia finansowego bilansu płatniczego.</w:t>
      </w:r>
    </w:p>
    <w:p w:rsidR="0043277E" w:rsidRDefault="000F2348">
      <w:pPr>
        <w:pStyle w:val="DGTextstand-alone"/>
        <w:keepNext/>
        <w:rPr>
          <w:i/>
        </w:rPr>
      </w:pPr>
      <w:r>
        <w:rPr>
          <w:i/>
        </w:rPr>
        <w:t>Pomoc makrofinansowa</w:t>
      </w:r>
    </w:p>
    <w:p w:rsidR="0043277E" w:rsidRDefault="000F2348">
      <w:pPr>
        <w:pStyle w:val="DGTextstand-alone"/>
      </w:pPr>
      <w:r>
        <w:t>Pomoc makrofinansowa stanowi formę pomocy finansowej, której zakres U</w:t>
      </w:r>
      <w:r>
        <w:t>E rozszerzyła na państwa partnerskie spoza UE zmagające się z kryzysem bilansu płatniczego. Pomoc przyjmuje formę średnio- i długoterminowych pożyczek lub dotacji, lub połączenia obu, i jest dostępna jedynie dla państw korzystających z wypłat z programu MF</w:t>
      </w:r>
      <w:r>
        <w:t>W.</w:t>
      </w:r>
    </w:p>
    <w:p w:rsidR="0043277E" w:rsidRDefault="000F2348">
      <w:pPr>
        <w:pStyle w:val="DGTextstand-alone"/>
      </w:pPr>
      <w:r>
        <w:t>Na dzień 31 grudnia 2019 r. łączna wartość niespłaconych pożyczek w ramach programu pożyczek na pomoc makrofinansową (wartość nominalna) wynosiła zatem 4,7 mld EUR.</w:t>
      </w:r>
    </w:p>
    <w:tbl>
      <w:tblPr>
        <w:tblpPr w:leftFromText="181" w:rightFromText="181" w:vertAnchor="text" w:horzAnchor="margin" w:tblpY="1"/>
        <w:tblW w:w="9747" w:type="dxa"/>
        <w:tblLook w:val="04A0" w:firstRow="1" w:lastRow="0" w:firstColumn="1" w:lastColumn="0" w:noHBand="0" w:noVBand="1"/>
      </w:tblPr>
      <w:tblGrid>
        <w:gridCol w:w="3510"/>
        <w:gridCol w:w="1134"/>
        <w:gridCol w:w="1134"/>
        <w:gridCol w:w="1134"/>
        <w:gridCol w:w="1134"/>
        <w:gridCol w:w="1701"/>
      </w:tblGrid>
      <w:tr w:rsidR="0043277E">
        <w:trPr>
          <w:trHeight w:val="288"/>
        </w:trPr>
        <w:tc>
          <w:tcPr>
            <w:tcW w:w="9747" w:type="dxa"/>
            <w:gridSpan w:val="6"/>
            <w:tcBorders>
              <w:top w:val="nil"/>
              <w:left w:val="nil"/>
              <w:bottom w:val="nil"/>
              <w:right w:val="nil"/>
            </w:tcBorders>
            <w:shd w:val="clear" w:color="auto" w:fill="auto"/>
            <w:vAlign w:val="center"/>
            <w:hideMark/>
          </w:tcPr>
          <w:p w:rsidR="0043277E" w:rsidRDefault="0043277E">
            <w:pPr>
              <w:ind w:right="-111"/>
              <w:jc w:val="right"/>
              <w:rPr>
                <w:rFonts w:ascii="Verdana" w:hAnsi="Verdana"/>
                <w:i/>
                <w:iCs/>
                <w:noProof/>
                <w:color w:val="000000"/>
                <w:sz w:val="18"/>
                <w:szCs w:val="18"/>
              </w:rPr>
            </w:pPr>
          </w:p>
        </w:tc>
      </w:tr>
      <w:tr w:rsidR="0043277E">
        <w:trPr>
          <w:trHeight w:val="288"/>
        </w:trPr>
        <w:tc>
          <w:tcPr>
            <w:tcW w:w="3510" w:type="dxa"/>
            <w:tcBorders>
              <w:top w:val="nil"/>
              <w:left w:val="nil"/>
              <w:bottom w:val="nil"/>
              <w:right w:val="nil"/>
            </w:tcBorders>
            <w:shd w:val="clear" w:color="auto" w:fill="auto"/>
            <w:noWrap/>
            <w:vAlign w:val="bottom"/>
            <w:hideMark/>
          </w:tcPr>
          <w:p w:rsidR="0043277E" w:rsidRDefault="0043277E">
            <w:pPr>
              <w:jc w:val="right"/>
              <w:rPr>
                <w:rFonts w:ascii="Verdana" w:hAnsi="Verdana"/>
                <w:i/>
                <w:iCs/>
                <w:noProof/>
                <w:color w:val="000000"/>
                <w:sz w:val="18"/>
                <w:szCs w:val="18"/>
              </w:rPr>
            </w:pPr>
          </w:p>
        </w:tc>
        <w:tc>
          <w:tcPr>
            <w:tcW w:w="6237" w:type="dxa"/>
            <w:gridSpan w:val="5"/>
            <w:tcBorders>
              <w:top w:val="nil"/>
              <w:left w:val="nil"/>
              <w:bottom w:val="nil"/>
              <w:right w:val="nil"/>
            </w:tcBorders>
            <w:shd w:val="clear" w:color="000000" w:fill="4BACC6"/>
            <w:noWrap/>
            <w:vAlign w:val="center"/>
            <w:hideMark/>
          </w:tcPr>
          <w:p w:rsidR="0043277E" w:rsidRDefault="000F2348">
            <w:pPr>
              <w:jc w:val="center"/>
              <w:rPr>
                <w:rFonts w:ascii="Verdana" w:hAnsi="Verdana"/>
                <w:b/>
                <w:bCs/>
                <w:noProof/>
                <w:color w:val="FFFFFF"/>
                <w:sz w:val="18"/>
                <w:szCs w:val="18"/>
              </w:rPr>
            </w:pPr>
            <w:r>
              <w:rPr>
                <w:rFonts w:ascii="Verdana" w:hAnsi="Verdana"/>
                <w:b/>
                <w:bCs/>
                <w:noProof/>
                <w:color w:val="FFFFFF"/>
                <w:sz w:val="18"/>
                <w:szCs w:val="18"/>
              </w:rPr>
              <w:t>Pomoc makrofinansowa</w:t>
            </w:r>
          </w:p>
        </w:tc>
      </w:tr>
      <w:tr w:rsidR="0043277E">
        <w:trPr>
          <w:trHeight w:val="300"/>
        </w:trPr>
        <w:tc>
          <w:tcPr>
            <w:tcW w:w="3510" w:type="dxa"/>
            <w:tcBorders>
              <w:top w:val="nil"/>
              <w:left w:val="nil"/>
              <w:bottom w:val="nil"/>
              <w:right w:val="nil"/>
            </w:tcBorders>
            <w:shd w:val="clear" w:color="auto" w:fill="auto"/>
            <w:noWrap/>
            <w:vAlign w:val="bottom"/>
            <w:hideMark/>
          </w:tcPr>
          <w:p w:rsidR="0043277E" w:rsidRDefault="0043277E">
            <w:pPr>
              <w:jc w:val="center"/>
              <w:rPr>
                <w:rFonts w:ascii="Verdana" w:hAnsi="Verdana"/>
                <w:b/>
                <w:bCs/>
                <w:noProof/>
                <w:color w:val="FFFFFF"/>
                <w:sz w:val="18"/>
                <w:szCs w:val="18"/>
              </w:rPr>
            </w:pPr>
          </w:p>
        </w:tc>
        <w:tc>
          <w:tcPr>
            <w:tcW w:w="1134" w:type="dxa"/>
            <w:tcBorders>
              <w:top w:val="nil"/>
              <w:left w:val="nil"/>
              <w:bottom w:val="single" w:sz="8" w:space="0" w:color="auto"/>
              <w:right w:val="nil"/>
            </w:tcBorders>
            <w:shd w:val="clear" w:color="auto" w:fill="auto"/>
            <w:noWrap/>
            <w:vAlign w:val="center"/>
            <w:hideMark/>
          </w:tcPr>
          <w:p w:rsidR="0043277E" w:rsidRDefault="000F2348">
            <w:pPr>
              <w:jc w:val="right"/>
              <w:rPr>
                <w:rFonts w:ascii="Verdana" w:hAnsi="Verdana"/>
                <w:noProof/>
                <w:color w:val="4BACC6"/>
                <w:sz w:val="16"/>
                <w:szCs w:val="16"/>
              </w:rPr>
            </w:pPr>
            <w:r>
              <w:rPr>
                <w:rFonts w:ascii="Verdana" w:hAnsi="Verdana"/>
                <w:noProof/>
                <w:color w:val="4BACC6"/>
                <w:sz w:val="16"/>
                <w:szCs w:val="16"/>
              </w:rPr>
              <w:t>Ukraina</w:t>
            </w:r>
          </w:p>
        </w:tc>
        <w:tc>
          <w:tcPr>
            <w:tcW w:w="1134" w:type="dxa"/>
            <w:tcBorders>
              <w:top w:val="nil"/>
              <w:left w:val="nil"/>
              <w:bottom w:val="single" w:sz="8" w:space="0" w:color="auto"/>
              <w:right w:val="nil"/>
            </w:tcBorders>
            <w:shd w:val="clear" w:color="auto" w:fill="auto"/>
            <w:noWrap/>
            <w:vAlign w:val="center"/>
            <w:hideMark/>
          </w:tcPr>
          <w:p w:rsidR="0043277E" w:rsidRDefault="000F2348">
            <w:pPr>
              <w:jc w:val="right"/>
              <w:rPr>
                <w:rFonts w:ascii="Verdana" w:hAnsi="Verdana"/>
                <w:noProof/>
                <w:color w:val="4BACC6"/>
                <w:sz w:val="16"/>
                <w:szCs w:val="16"/>
              </w:rPr>
            </w:pPr>
            <w:r>
              <w:rPr>
                <w:rFonts w:ascii="Verdana" w:hAnsi="Verdana"/>
                <w:noProof/>
                <w:color w:val="4BACC6"/>
                <w:sz w:val="16"/>
                <w:szCs w:val="16"/>
              </w:rPr>
              <w:t>Tunezja</w:t>
            </w:r>
          </w:p>
        </w:tc>
        <w:tc>
          <w:tcPr>
            <w:tcW w:w="1134" w:type="dxa"/>
            <w:tcBorders>
              <w:top w:val="nil"/>
              <w:left w:val="nil"/>
              <w:bottom w:val="single" w:sz="8" w:space="0" w:color="auto"/>
              <w:right w:val="nil"/>
            </w:tcBorders>
            <w:shd w:val="clear" w:color="auto" w:fill="auto"/>
            <w:noWrap/>
            <w:vAlign w:val="center"/>
            <w:hideMark/>
          </w:tcPr>
          <w:p w:rsidR="0043277E" w:rsidRDefault="000F2348">
            <w:pPr>
              <w:jc w:val="right"/>
              <w:rPr>
                <w:rFonts w:ascii="Verdana" w:hAnsi="Verdana"/>
                <w:noProof/>
                <w:color w:val="4BACC6"/>
                <w:sz w:val="16"/>
                <w:szCs w:val="16"/>
              </w:rPr>
            </w:pPr>
            <w:r>
              <w:rPr>
                <w:rFonts w:ascii="Verdana" w:hAnsi="Verdana"/>
                <w:noProof/>
                <w:color w:val="4BACC6"/>
                <w:sz w:val="16"/>
                <w:szCs w:val="16"/>
              </w:rPr>
              <w:t>Jordania</w:t>
            </w:r>
          </w:p>
        </w:tc>
        <w:tc>
          <w:tcPr>
            <w:tcW w:w="1134" w:type="dxa"/>
            <w:tcBorders>
              <w:top w:val="nil"/>
              <w:left w:val="nil"/>
              <w:bottom w:val="single" w:sz="8" w:space="0" w:color="auto"/>
              <w:right w:val="nil"/>
            </w:tcBorders>
            <w:shd w:val="clear" w:color="auto" w:fill="auto"/>
            <w:noWrap/>
            <w:vAlign w:val="center"/>
            <w:hideMark/>
          </w:tcPr>
          <w:p w:rsidR="0043277E" w:rsidRDefault="000F2348">
            <w:pPr>
              <w:jc w:val="right"/>
              <w:rPr>
                <w:rFonts w:ascii="Verdana" w:hAnsi="Verdana"/>
                <w:noProof/>
                <w:color w:val="4BACC6"/>
                <w:sz w:val="16"/>
                <w:szCs w:val="16"/>
              </w:rPr>
            </w:pPr>
            <w:r>
              <w:rPr>
                <w:rFonts w:ascii="Verdana" w:hAnsi="Verdana"/>
                <w:noProof/>
                <w:color w:val="4BACC6"/>
                <w:sz w:val="16"/>
                <w:szCs w:val="16"/>
              </w:rPr>
              <w:t>Inne</w:t>
            </w:r>
          </w:p>
        </w:tc>
        <w:tc>
          <w:tcPr>
            <w:tcW w:w="1701" w:type="dxa"/>
            <w:tcBorders>
              <w:top w:val="nil"/>
              <w:left w:val="nil"/>
              <w:bottom w:val="single" w:sz="8" w:space="0" w:color="auto"/>
              <w:right w:val="nil"/>
            </w:tcBorders>
            <w:shd w:val="clear" w:color="000000" w:fill="DCE6F1"/>
            <w:noWrap/>
            <w:vAlign w:val="center"/>
            <w:hideMark/>
          </w:tcPr>
          <w:p w:rsidR="0043277E" w:rsidRDefault="000F2348">
            <w:pPr>
              <w:jc w:val="right"/>
              <w:rPr>
                <w:rFonts w:ascii="Verdana" w:hAnsi="Verdana"/>
                <w:noProof/>
                <w:color w:val="4BACC6"/>
                <w:sz w:val="16"/>
                <w:szCs w:val="16"/>
              </w:rPr>
            </w:pPr>
            <w:r>
              <w:rPr>
                <w:rFonts w:ascii="Verdana" w:hAnsi="Verdana"/>
                <w:noProof/>
                <w:color w:val="4BACC6"/>
                <w:sz w:val="16"/>
                <w:szCs w:val="16"/>
              </w:rPr>
              <w:t>Ogółem</w:t>
            </w:r>
          </w:p>
        </w:tc>
      </w:tr>
      <w:tr w:rsidR="0043277E">
        <w:trPr>
          <w:trHeight w:val="300"/>
        </w:trPr>
        <w:tc>
          <w:tcPr>
            <w:tcW w:w="3510" w:type="dxa"/>
            <w:tcBorders>
              <w:top w:val="single" w:sz="8" w:space="0" w:color="auto"/>
              <w:left w:val="nil"/>
              <w:bottom w:val="single" w:sz="8" w:space="0" w:color="auto"/>
              <w:right w:val="nil"/>
            </w:tcBorders>
            <w:shd w:val="clear" w:color="auto" w:fill="auto"/>
            <w:noWrap/>
            <w:vAlign w:val="center"/>
            <w:hideMark/>
          </w:tcPr>
          <w:p w:rsidR="0043277E" w:rsidRDefault="000F2348">
            <w:pPr>
              <w:rPr>
                <w:rFonts w:ascii="Verdana" w:hAnsi="Verdana"/>
                <w:noProof/>
                <w:color w:val="000000"/>
                <w:sz w:val="18"/>
                <w:szCs w:val="18"/>
              </w:rPr>
            </w:pPr>
            <w:r>
              <w:rPr>
                <w:rFonts w:ascii="Verdana" w:hAnsi="Verdana"/>
                <w:noProof/>
                <w:color w:val="000000"/>
                <w:sz w:val="18"/>
                <w:szCs w:val="18"/>
              </w:rPr>
              <w:t xml:space="preserve">Pożyczki udzielone </w:t>
            </w:r>
            <w:r>
              <w:rPr>
                <w:rFonts w:ascii="Verdana" w:hAnsi="Verdana"/>
                <w:noProof/>
                <w:color w:val="000000"/>
                <w:sz w:val="18"/>
                <w:szCs w:val="18"/>
              </w:rPr>
              <w:t>ogółem</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3,8</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0,5</w:t>
            </w:r>
          </w:p>
        </w:tc>
        <w:tc>
          <w:tcPr>
            <w:tcW w:w="1701" w:type="dxa"/>
            <w:tcBorders>
              <w:top w:val="nil"/>
              <w:left w:val="nil"/>
              <w:bottom w:val="single" w:sz="8" w:space="0" w:color="auto"/>
              <w:right w:val="nil"/>
            </w:tcBorders>
            <w:shd w:val="clear" w:color="000000" w:fill="DCE6F1"/>
            <w:noWrap/>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5,5</w:t>
            </w:r>
          </w:p>
        </w:tc>
      </w:tr>
      <w:tr w:rsidR="0043277E">
        <w:trPr>
          <w:trHeight w:val="300"/>
        </w:trPr>
        <w:tc>
          <w:tcPr>
            <w:tcW w:w="3510" w:type="dxa"/>
            <w:tcBorders>
              <w:top w:val="nil"/>
              <w:left w:val="nil"/>
              <w:bottom w:val="single" w:sz="8" w:space="0" w:color="auto"/>
              <w:right w:val="nil"/>
            </w:tcBorders>
            <w:shd w:val="clear" w:color="auto" w:fill="auto"/>
            <w:noWrap/>
            <w:vAlign w:val="center"/>
            <w:hideMark/>
          </w:tcPr>
          <w:p w:rsidR="0043277E" w:rsidRDefault="000F2348">
            <w:pPr>
              <w:rPr>
                <w:rFonts w:ascii="Verdana" w:hAnsi="Verdana"/>
                <w:noProof/>
                <w:color w:val="000000"/>
                <w:sz w:val="18"/>
                <w:szCs w:val="18"/>
              </w:rPr>
            </w:pPr>
            <w:r>
              <w:rPr>
                <w:rFonts w:ascii="Verdana" w:hAnsi="Verdana"/>
                <w:noProof/>
                <w:color w:val="000000"/>
                <w:sz w:val="18"/>
                <w:szCs w:val="18"/>
              </w:rPr>
              <w:t>Wypłacone ogółem na 31.12.2019</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0,4</w:t>
            </w:r>
          </w:p>
        </w:tc>
        <w:tc>
          <w:tcPr>
            <w:tcW w:w="1701" w:type="dxa"/>
            <w:tcBorders>
              <w:top w:val="nil"/>
              <w:left w:val="nil"/>
              <w:bottom w:val="single" w:sz="8" w:space="0" w:color="auto"/>
              <w:right w:val="nil"/>
            </w:tcBorders>
            <w:shd w:val="clear" w:color="000000" w:fill="DCE6F1"/>
            <w:noWrap/>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4,9</w:t>
            </w:r>
          </w:p>
        </w:tc>
      </w:tr>
      <w:tr w:rsidR="0043277E">
        <w:trPr>
          <w:trHeight w:val="300"/>
        </w:trPr>
        <w:tc>
          <w:tcPr>
            <w:tcW w:w="3510" w:type="dxa"/>
            <w:tcBorders>
              <w:top w:val="nil"/>
              <w:left w:val="nil"/>
              <w:bottom w:val="nil"/>
              <w:right w:val="nil"/>
            </w:tcBorders>
            <w:shd w:val="clear" w:color="auto" w:fill="auto"/>
            <w:noWrap/>
            <w:vAlign w:val="center"/>
            <w:hideMark/>
          </w:tcPr>
          <w:p w:rsidR="0043277E" w:rsidRDefault="000F2348">
            <w:pPr>
              <w:rPr>
                <w:rFonts w:ascii="Verdana" w:hAnsi="Verdana"/>
                <w:noProof/>
                <w:color w:val="000000"/>
                <w:sz w:val="18"/>
                <w:szCs w:val="18"/>
              </w:rPr>
            </w:pPr>
            <w:r>
              <w:rPr>
                <w:rFonts w:ascii="Verdana" w:hAnsi="Verdana"/>
                <w:noProof/>
                <w:color w:val="000000"/>
                <w:sz w:val="18"/>
                <w:szCs w:val="18"/>
              </w:rPr>
              <w:t>Łączna kwota spłacona na 31.12.2019</w:t>
            </w:r>
          </w:p>
        </w:tc>
        <w:tc>
          <w:tcPr>
            <w:tcW w:w="1134" w:type="dxa"/>
            <w:tcBorders>
              <w:top w:val="nil"/>
              <w:left w:val="nil"/>
              <w:bottom w:val="nil"/>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0,0</w:t>
            </w:r>
          </w:p>
        </w:tc>
        <w:tc>
          <w:tcPr>
            <w:tcW w:w="1134" w:type="dxa"/>
            <w:tcBorders>
              <w:top w:val="nil"/>
              <w:left w:val="nil"/>
              <w:bottom w:val="nil"/>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(0,2)</w:t>
            </w:r>
          </w:p>
        </w:tc>
        <w:tc>
          <w:tcPr>
            <w:tcW w:w="1701" w:type="dxa"/>
            <w:tcBorders>
              <w:top w:val="nil"/>
              <w:left w:val="nil"/>
              <w:bottom w:val="nil"/>
              <w:right w:val="nil"/>
            </w:tcBorders>
            <w:shd w:val="clear" w:color="000000" w:fill="DCE6F1"/>
            <w:noWrap/>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(0,2)</w:t>
            </w:r>
          </w:p>
        </w:tc>
      </w:tr>
      <w:tr w:rsidR="0043277E">
        <w:trPr>
          <w:trHeight w:val="300"/>
        </w:trPr>
        <w:tc>
          <w:tcPr>
            <w:tcW w:w="3510" w:type="dxa"/>
            <w:tcBorders>
              <w:top w:val="single" w:sz="8" w:space="0" w:color="auto"/>
              <w:left w:val="nil"/>
              <w:bottom w:val="single" w:sz="8" w:space="0" w:color="auto"/>
              <w:right w:val="nil"/>
            </w:tcBorders>
            <w:shd w:val="clear" w:color="auto" w:fill="auto"/>
            <w:noWrap/>
            <w:vAlign w:val="center"/>
            <w:hideMark/>
          </w:tcPr>
          <w:p w:rsidR="0043277E" w:rsidRDefault="000F2348">
            <w:pPr>
              <w:rPr>
                <w:rFonts w:ascii="Verdana" w:hAnsi="Verdana"/>
                <w:noProof/>
                <w:color w:val="000000"/>
                <w:sz w:val="18"/>
                <w:szCs w:val="18"/>
              </w:rPr>
            </w:pPr>
            <w:r>
              <w:rPr>
                <w:rFonts w:ascii="Verdana" w:hAnsi="Verdana"/>
                <w:noProof/>
                <w:color w:val="000000"/>
                <w:sz w:val="18"/>
                <w:szCs w:val="18"/>
              </w:rPr>
              <w:t>Pozostająca kwota należna według stanu na 31.12.2019</w:t>
            </w:r>
          </w:p>
        </w:tc>
        <w:tc>
          <w:tcPr>
            <w:tcW w:w="1134" w:type="dxa"/>
            <w:tcBorders>
              <w:top w:val="single" w:sz="8" w:space="0" w:color="auto"/>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single" w:sz="8" w:space="0" w:color="auto"/>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single" w:sz="8" w:space="0" w:color="auto"/>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single" w:sz="8" w:space="0" w:color="auto"/>
              <w:left w:val="nil"/>
              <w:bottom w:val="single" w:sz="8" w:space="0" w:color="auto"/>
              <w:right w:val="nil"/>
            </w:tcBorders>
            <w:shd w:val="clear" w:color="auto" w:fill="auto"/>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0,2</w:t>
            </w:r>
          </w:p>
        </w:tc>
        <w:tc>
          <w:tcPr>
            <w:tcW w:w="1701" w:type="dxa"/>
            <w:tcBorders>
              <w:top w:val="single" w:sz="8" w:space="0" w:color="auto"/>
              <w:left w:val="nil"/>
              <w:bottom w:val="single" w:sz="8" w:space="0" w:color="auto"/>
              <w:right w:val="nil"/>
            </w:tcBorders>
            <w:shd w:val="clear" w:color="000000" w:fill="DCE6F1"/>
            <w:noWrap/>
            <w:vAlign w:val="center"/>
            <w:hideMark/>
          </w:tcPr>
          <w:p w:rsidR="0043277E" w:rsidRDefault="000F2348">
            <w:pPr>
              <w:jc w:val="center"/>
              <w:rPr>
                <w:rFonts w:ascii="Verdana" w:hAnsi="Verdana"/>
                <w:noProof/>
                <w:color w:val="000000"/>
                <w:sz w:val="18"/>
                <w:szCs w:val="18"/>
              </w:rPr>
            </w:pPr>
            <w:r>
              <w:rPr>
                <w:rFonts w:ascii="Verdana" w:hAnsi="Verdana"/>
                <w:noProof/>
                <w:color w:val="000000"/>
                <w:sz w:val="18"/>
                <w:szCs w:val="18"/>
              </w:rPr>
              <w:t>4,7</w:t>
            </w:r>
          </w:p>
        </w:tc>
      </w:tr>
    </w:tbl>
    <w:p w:rsidR="0043277E" w:rsidRDefault="000F2348">
      <w:pPr>
        <w:pStyle w:val="DGTextstand-alone"/>
      </w:pPr>
      <w:r>
        <w:t>Główne punkty są następujące:</w:t>
      </w:r>
    </w:p>
    <w:p w:rsidR="0043277E" w:rsidRDefault="000F2348">
      <w:pPr>
        <w:pStyle w:val="DGTextstand-alone"/>
        <w:numPr>
          <w:ilvl w:val="0"/>
          <w:numId w:val="45"/>
        </w:numPr>
      </w:pPr>
      <w:r>
        <w:t>W 2019 r. w</w:t>
      </w:r>
      <w:r>
        <w:t xml:space="preserve"> ramach nowych pożyczek wypłacono łącznie kwotę 0,4 mld EUR, z czego 0,3 mld EUR otrzymała Tunezja, 0,1 mld EUR Jordania, a 0,02 mld EUR Mołdawia.</w:t>
      </w:r>
    </w:p>
    <w:p w:rsidR="0043277E" w:rsidRDefault="000F2348">
      <w:pPr>
        <w:pStyle w:val="DGTextstand-alone"/>
      </w:pPr>
      <w:r>
        <w:t xml:space="preserve">Największym beneficjentem pożyczek w ramach pomocy makrofinansowej jest Ukraina, której udzielono pożyczki w </w:t>
      </w:r>
      <w:r>
        <w:t>wysokości 3,3 mld EUR, a kolejne 0,5 mld EUR zobowiązano się udzielić w ramach umowy pożyczki, ale środków tych jeszcze nie wypłacono. Ukraina wywiązała się ze wszystkich zobowiązań płatniczych w 2019 r.</w:t>
      </w:r>
    </w:p>
    <w:p w:rsidR="0043277E" w:rsidRDefault="000F2348">
      <w:pPr>
        <w:pStyle w:val="HEADER2Part4"/>
      </w:pPr>
      <w:bookmarkStart w:id="190" w:name="_Toc11225933"/>
      <w:bookmarkStart w:id="191" w:name="_Toc49418707"/>
      <w:r>
        <w:t>ZOBOWIĄZANIA</w:t>
      </w:r>
      <w:bookmarkEnd w:id="182"/>
      <w:bookmarkEnd w:id="190"/>
      <w:bookmarkEnd w:id="191"/>
    </w:p>
    <w:p w:rsidR="0043277E" w:rsidRDefault="000F2348">
      <w:pPr>
        <w:pStyle w:val="DGTextstand-alone"/>
      </w:pPr>
      <w:bookmarkStart w:id="192" w:name="_Toc424652044"/>
      <w:r>
        <w:t>Najbardziej znaczące pozycje po stronie</w:t>
      </w:r>
      <w:r>
        <w:t xml:space="preserve"> zobowiązań w bilansie to głównie cztery pozycje: (i) zobowiązania emerytalno-rentowe i inne zobowiązania z tytułu świadczeń pracowniczych, (ii) zaciągnięte pożyczki, (iii) zobowiązania wobec osób trzecich oraz (iv) bierne rozliczenia międzyokresowe kosztó</w:t>
      </w:r>
      <w:r>
        <w:t>w.</w:t>
      </w:r>
    </w:p>
    <w:p w:rsidR="0043277E" w:rsidRDefault="000F2348">
      <w:pPr>
        <w:pStyle w:val="HEADER5"/>
        <w:rPr>
          <w:b/>
          <w:noProof/>
        </w:rPr>
      </w:pPr>
      <w:r>
        <w:rPr>
          <w:noProof/>
        </w:rPr>
        <w:t>Struktura zobowiązań w skonsolidowanym bilansie UE</w:t>
      </w:r>
    </w:p>
    <w:p w:rsidR="0043277E" w:rsidRDefault="000F2348">
      <w:pPr>
        <w:pStyle w:val="HEADER5"/>
        <w:jc w:val="center"/>
        <w:rPr>
          <w:noProof/>
        </w:rPr>
      </w:pPr>
      <w:r>
        <w:rPr>
          <w:noProof/>
          <w:lang w:eastAsia="pl-PL"/>
        </w:rPr>
        <w:lastRenderedPageBreak/>
        <w:drawing>
          <wp:inline distT="0" distB="0" distL="0" distR="0">
            <wp:extent cx="6120765" cy="36990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20765" cy="3699016"/>
                    </a:xfrm>
                    <a:prstGeom prst="rect">
                      <a:avLst/>
                    </a:prstGeom>
                    <a:noFill/>
                    <a:ln>
                      <a:noFill/>
                    </a:ln>
                  </pic:spPr>
                </pic:pic>
              </a:graphicData>
            </a:graphic>
          </wp:inline>
        </w:drawing>
      </w:r>
    </w:p>
    <w:p w:rsidR="0043277E" w:rsidRDefault="000F2348">
      <w:pPr>
        <w:pStyle w:val="DGTextstand-alone"/>
        <w:spacing w:before="120" w:after="120"/>
      </w:pPr>
      <w:r>
        <w:t>Na dzień 31 grudnia 2019 r. zobowiązania wynosiły ogółem 251,5 mld EUR, co stanowi wzrost o 15,6 mld EUR, tj. o 6,6 %, w stosunku do poprzedniego roku (235,9 mld EUR).</w:t>
      </w:r>
    </w:p>
    <w:p w:rsidR="0043277E" w:rsidRDefault="000F2348">
      <w:pPr>
        <w:pStyle w:val="DGTextstand-alone"/>
        <w:spacing w:before="120" w:after="120"/>
      </w:pPr>
      <w:r>
        <w:t xml:space="preserve">Główne zmiany dotyczyły </w:t>
      </w:r>
      <w:r>
        <w:t>następujących skutków:</w:t>
      </w:r>
    </w:p>
    <w:p w:rsidR="0043277E" w:rsidRDefault="000F2348">
      <w:pPr>
        <w:pStyle w:val="DGTextstand-alone"/>
        <w:numPr>
          <w:ilvl w:val="0"/>
          <w:numId w:val="46"/>
        </w:numPr>
        <w:spacing w:before="120" w:after="120"/>
      </w:pPr>
      <w:r>
        <w:t>świadczenia emerytalne i rentowe i inne świadczenia po okresie zatrudnienia wzrosły o 17,2 mld EUR, tj. 21,4 %. Wzrost ten wynika głównie ze straty aktuarialnej wynikającej z założeń finansowych spowodowanej znacznym spadkiem stopy d</w:t>
      </w:r>
      <w:r>
        <w:t>yskontowej, która po raz pierwszy osiągnęła wartość ujemną;</w:t>
      </w:r>
    </w:p>
    <w:p w:rsidR="0043277E" w:rsidRDefault="000F2348">
      <w:pPr>
        <w:pStyle w:val="DGTextstand-alone"/>
        <w:numPr>
          <w:ilvl w:val="0"/>
          <w:numId w:val="46"/>
        </w:numPr>
        <w:spacing w:before="120" w:after="120"/>
      </w:pPr>
      <w:r>
        <w:t>Zaciągnięte pożyczki zmniejszyły się o 1,3 mld EUR, tj. 2,4 %, głównie ze względu na spłatę pożyczek wypłaconych w ramach bilansu płatniczego (1 mld EUR dla Rumunii i 0,5 mld EUR dla Łotwy), a tak</w:t>
      </w:r>
      <w:r>
        <w:t>że zostały częściowo skompensowane nowymi pożyczkami na pomoc makrofinansową w wysokości 0,4 mld EUR;</w:t>
      </w:r>
    </w:p>
    <w:p w:rsidR="0043277E" w:rsidRDefault="000F2348">
      <w:pPr>
        <w:pStyle w:val="DGTextstand-alone"/>
        <w:numPr>
          <w:ilvl w:val="0"/>
          <w:numId w:val="46"/>
        </w:numPr>
        <w:spacing w:before="120"/>
      </w:pPr>
      <w:r>
        <w:t xml:space="preserve">Biorąc pod uwagę zobowiązania (spadek o 5,0 mld EUR) i bierne rozliczenia międzyokresowe kosztów (wzrost o 4,0 mld EUR) łącznie, ogólny poziom zobowiązań </w:t>
      </w:r>
      <w:r>
        <w:t>pozostaje taki sam. Ponieważ do końca roku w dziedzinie polityki spójności (EFRR, Funduszu Spójności i EFS) nie otrzymano tego samego poziomu zestawień poniesionych wydatków, prowadzi to do zmniejszenia zobowiązań;</w:t>
      </w:r>
      <w:r>
        <w:noBreakHyphen/>
        <w:t xml:space="preserve"> wzrosną jednak bierne rozliczenia między</w:t>
      </w:r>
      <w:r>
        <w:t>okresowe kosztów, co świadczy o tym, że trwa realizacja programów.</w:t>
      </w:r>
    </w:p>
    <w:p w:rsidR="0043277E" w:rsidRDefault="000F2348">
      <w:pPr>
        <w:pStyle w:val="DGTextstand-alone"/>
        <w:keepNext/>
        <w:rPr>
          <w:color w:val="016794"/>
        </w:rPr>
      </w:pPr>
      <w:r>
        <w:rPr>
          <w:color w:val="016794"/>
        </w:rPr>
        <w:lastRenderedPageBreak/>
        <w:t>Zestawienia poniesionych wydatków i faktury otrzymane i uznane w części zobowiązań bilansu</w:t>
      </w:r>
    </w:p>
    <w:p w:rsidR="0043277E" w:rsidRDefault="000F2348">
      <w:pPr>
        <w:pStyle w:val="HEADER5"/>
        <w:jc w:val="center"/>
        <w:rPr>
          <w:noProof/>
        </w:rPr>
      </w:pPr>
      <w:r>
        <w:rPr>
          <w:noProof/>
          <w:lang w:eastAsia="pl-PL"/>
        </w:rPr>
        <w:drawing>
          <wp:inline distT="0" distB="0" distL="0" distR="0">
            <wp:extent cx="5060950" cy="27051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060950" cy="2705100"/>
                    </a:xfrm>
                    <a:prstGeom prst="rect">
                      <a:avLst/>
                    </a:prstGeom>
                    <a:noFill/>
                    <a:ln>
                      <a:noFill/>
                    </a:ln>
                  </pic:spPr>
                </pic:pic>
              </a:graphicData>
            </a:graphic>
          </wp:inline>
        </w:drawing>
      </w:r>
    </w:p>
    <w:p w:rsidR="0043277E" w:rsidRDefault="000F2348">
      <w:pPr>
        <w:pStyle w:val="DGTextstand-alone"/>
        <w:rPr>
          <w:color w:val="016794"/>
        </w:rPr>
      </w:pPr>
      <w:r>
        <w:rPr>
          <w:color w:val="016794"/>
        </w:rPr>
        <w:t>Aktywa netto</w:t>
      </w:r>
    </w:p>
    <w:p w:rsidR="0043277E" w:rsidRDefault="000F2348">
      <w:pPr>
        <w:pStyle w:val="DGTextstand-alone"/>
        <w:spacing w:after="480"/>
      </w:pPr>
      <w:r>
        <w:t>Przewaga zobowiązań nad aktywami nie oznacza, że instytucje i organy UE znajdują si</w:t>
      </w:r>
      <w:r>
        <w:t xml:space="preserve">ę w trudnej sytuacji finansowej, tylko że niektóre zobowiązania będą finansowane z przyszłych budżetów rocznych. Wiele kosztów ujmowanych jest zgodnie z zasadami rachunkowości memoriałowej w bieżącym roku, choć mogą one zostać faktycznie poniesione w roku </w:t>
      </w:r>
      <w:r>
        <w:t xml:space="preserve">następnym lub w latach późniejszych i sfinansowane z przyszłych budżetów, a powiązane przychody zostaną ujęte dopiero w przyszłych okresach. Najbardziej znaczące kwoty, na które należy zwrócić uwagę, dotyczą działań EFRG (większa część tych kwot zazwyczaj </w:t>
      </w:r>
      <w:r>
        <w:t>jest wypłacana w pierwszym kwartale następnego roku) oraz zobowiązań z tytułu świadczeń pracowniczych (które będą wypłacane co najmniej przez następnych 30 lat).</w:t>
      </w:r>
    </w:p>
    <w:p w:rsidR="0043277E" w:rsidRDefault="000F2348">
      <w:pPr>
        <w:pStyle w:val="HEADER1Part4"/>
        <w:rPr>
          <w:noProof/>
        </w:rPr>
      </w:pPr>
      <w:bookmarkStart w:id="193" w:name="_Toc11225934"/>
      <w:bookmarkEnd w:id="192"/>
      <w:r>
        <w:rPr>
          <w:noProof/>
        </w:rPr>
        <w:tab/>
      </w:r>
      <w:bookmarkStart w:id="194" w:name="_Toc49418708"/>
      <w:r>
        <w:rPr>
          <w:noProof/>
        </w:rPr>
        <w:t>ZARZĄDZANIE RYZYKIEM I NIEPEWNOŚCIĄ W WYKONANIU BUDŻETU UE</w:t>
      </w:r>
      <w:bookmarkEnd w:id="193"/>
      <w:bookmarkEnd w:id="194"/>
    </w:p>
    <w:p w:rsidR="0043277E" w:rsidRDefault="000F2348">
      <w:pPr>
        <w:pStyle w:val="HEADER2Part4"/>
      </w:pPr>
      <w:bookmarkStart w:id="195" w:name="_Toc491880238"/>
      <w:bookmarkStart w:id="196" w:name="_Toc11225935"/>
      <w:bookmarkStart w:id="197" w:name="_Toc49418709"/>
      <w:r>
        <w:t>OTOCZENIE MAKROEKONOMICZNE</w:t>
      </w:r>
      <w:bookmarkEnd w:id="195"/>
      <w:bookmarkEnd w:id="196"/>
      <w:bookmarkEnd w:id="197"/>
    </w:p>
    <w:p w:rsidR="0043277E" w:rsidRDefault="000F2348">
      <w:pPr>
        <w:pStyle w:val="DGTextstand-alone"/>
      </w:pPr>
      <w:r>
        <w:t xml:space="preserve">Biorąc </w:t>
      </w:r>
      <w:r>
        <w:t xml:space="preserve">pod uwagę obecną sytuację na świecie związaną z rozprzestrzenianiem się COVID-19 w pierwszym kwartale 2020 r., dokładne oszacowanie jej niewątpliwie istotnego negatywnego wpływu na otoczenie makroekonomiczne w UE w momencie przekazywania tego sprawozdania </w:t>
      </w:r>
      <w:r>
        <w:t>finansowego nie jest możliwe.</w:t>
      </w:r>
    </w:p>
    <w:p w:rsidR="0043277E" w:rsidRDefault="000F2348">
      <w:pPr>
        <w:pStyle w:val="DGTextstand-alone"/>
      </w:pPr>
      <w:r>
        <w:t xml:space="preserve">Otoczenie makroekonomiczne w UE wpływa na zdolność państw członkowskich do wywiązywania się ze swoich zobowiązań w zakresie finansowania wobec instytucji i organów UE, a tym samym na zdolność UE do dalszego wdrażania unijnych </w:t>
      </w:r>
      <w:r>
        <w:t>polityk.</w:t>
      </w:r>
    </w:p>
    <w:p w:rsidR="0043277E" w:rsidRDefault="000F2348">
      <w:pPr>
        <w:pStyle w:val="DGTextstand-alone"/>
      </w:pPr>
      <w:r>
        <w:t>Szacuje się, że w 2019 r. PKB strefy euro i UE wzrósł odpowiednio o 1,2 % i 1,5 %. Ogólna inflacja w strefie euro w 2019 r. wynosiła średnio 1,2 %, co oznacza gwałtowny spadek w porównaniu z rokiem poprzednim o 1,7 %, co może wynikać ze spadku cen</w:t>
      </w:r>
      <w:r>
        <w:t xml:space="preserve"> energii i braku przejścia od dynamicznego wzrostu płac do inflacji bazowej. Rynek pracy w strefie euro okazał się dość odporny w 2019 r. w kontekście stosunkowo umiarkowanego wzrostu gospodarczego. Stopa bezrobocia utrzymywała się pod koniec roku się na p</w:t>
      </w:r>
      <w:r>
        <w:t>oziomie około 7,4 %, co jest najniższym wynikiem od maja 2008 roku. W grudniu 2019 r. liczba osób bezrobotnych była o 4,6 % niższa niż rok wcześniej i o 36,8 % niż w szczytowym okresie w kwietniu 2013 r.</w:t>
      </w:r>
    </w:p>
    <w:p w:rsidR="0043277E" w:rsidRDefault="000F2348">
      <w:pPr>
        <w:pStyle w:val="HEADER2Part4"/>
        <w:keepNext/>
      </w:pPr>
      <w:bookmarkStart w:id="198" w:name="_Toc491880239"/>
      <w:bookmarkStart w:id="199" w:name="_Toc11225936"/>
      <w:bookmarkStart w:id="200" w:name="_Toc49418710"/>
      <w:r>
        <w:lastRenderedPageBreak/>
        <w:t>BUDŻETOWE ZOBOWIĄZANIA WARUNKOWE NA POMOC FINANSOWĄ</w:t>
      </w:r>
      <w:bookmarkEnd w:id="198"/>
      <w:bookmarkEnd w:id="199"/>
      <w:bookmarkEnd w:id="200"/>
    </w:p>
    <w:p w:rsidR="0043277E" w:rsidRDefault="000F2348">
      <w:pPr>
        <w:pStyle w:val="DGTextstand-alone"/>
        <w:keepNext/>
      </w:pPr>
      <w:r>
        <w:t>Operacje zaciągania i udzielania pożyczek na pomoc finansową podejmowane na szczeblu UE są operacjami pozabudżetowymi. Co do zasady pozyskane środki są pożyczane państwu będącemu beneficjentem na zasadach pożyczki wzajemnej (ang. back-to-back), tj. z takim</w:t>
      </w:r>
      <w:r>
        <w:t xml:space="preserve"> samym kuponem odsetkowym, terminem zapadalności i w takiej samej kwocie. Niezależnie od metody back-to-back obsługa zadłużenia z tytułu instrumentów finansowania stanowi zobowiązanie prawne UE, która zapewni dokonywanie wszystkich płatności w pełnej kwoci</w:t>
      </w:r>
      <w:r>
        <w:t>e i w sposób terminowy. Komisja wprowadziła procedury, aby zapewnić spłatę zaciągniętych pożyczek nawet w przypadku niewywiązania się dłużnika z zobowiązań.</w:t>
      </w:r>
    </w:p>
    <w:p w:rsidR="0043277E" w:rsidRDefault="000F2348">
      <w:pPr>
        <w:pStyle w:val="DGTextstand-alone"/>
      </w:pPr>
      <w:r>
        <w:t xml:space="preserve">Zaciągane przez UE pożyczki stanowią bezpośrednie i bezwarunkowe zobowiązanie UE i są gwarantowane </w:t>
      </w:r>
      <w:r>
        <w:t xml:space="preserve">przez państwa członkowskie UE (budżetowe zobowiązania warunkowe). Pożyczki zaciągnięte na sfinansowanie pożyczek udzielanych państwom spoza UE objęte są Funduszem Gwarancyjnym dla działań zewnętrznych. W razie niewywiązania się ze zobowiązań przez państwo </w:t>
      </w:r>
      <w:r>
        <w:t>członkowskie będące beneficjentem, do obsługi zadłużenia wykorzystane zostanie, w miarę możliwości, dostępne saldo zasobów finansowych Komisji. Gdyby nie było to możliwe, Komisja pobrałaby niezbędne środki od państw członkowskich. Państwa członkowskie UE s</w:t>
      </w:r>
      <w:r>
        <w:t>ą prawnie zobowiązane, zgodnie z przepisami UE dotyczącymi zasobów własnych (art. 14 rozporządzenia Rady nr 609/2014), do udostępnienia środków wystarczających na wypełnienie zobowiązań UE. W związku z tym inwestorzy są narażeni tylko na ryzyko kredytowe U</w:t>
      </w:r>
      <w:r>
        <w:t>E, a nie na ryzyko kredytowe beneficjenta finansowanych pożyczek. Stosowanie systemu pożyczek wzajemnych sprawia, że budżet UE nie jest narażony na jakiekolwiek ryzyko stopy procentowej ani ryzyko walutowe.</w:t>
      </w:r>
    </w:p>
    <w:p w:rsidR="0043277E" w:rsidRDefault="000F2348">
      <w:pPr>
        <w:pStyle w:val="DGTextstand-alone"/>
      </w:pPr>
      <w:r>
        <w:t>W przypadku każdego programu dotyczącego danego k</w:t>
      </w:r>
      <w:r>
        <w:t>raju łączną przyznaną kwotę, liczbę rat, w których nastąpi wypłata, oraz maksymalny (średni) okres zapadalności pakietu pożyczek określają decyzje PE, Rady i Komisji. Następnie Komisja i państwo będące beneficjentem uzgadniają parametry pożyczki/finansowan</w:t>
      </w:r>
      <w:r>
        <w:t>ia, w szczególności terminy zapadalności transz. Ponadto wszystkie transze pożyczki, z wyjątkiem pierwszej, są uzależnione od przestrzegania warunków polityki obowiązujących w kontekście wspólnej pomocy finansowej UE/MFW, co jest kolejnym czynnikiem wpływa</w:t>
      </w:r>
      <w:r>
        <w:t xml:space="preserve">jącym na ramy czasowe operacji finansowych. Oznacza to, że ramy czasowe i terminy wykupu emisji zależą od powiązanej działalności UE w zakresie udzielania pożyczek. Finansowanie jest denominowane wyłącznie w euro, a terminy zapadalności wynoszą od 3 do 30 </w:t>
      </w:r>
      <w:r>
        <w:t>lat.</w:t>
      </w:r>
    </w:p>
    <w:p w:rsidR="0043277E" w:rsidRDefault="000F2348">
      <w:pPr>
        <w:pStyle w:val="DGTextstand-alone"/>
      </w:pPr>
      <w:r>
        <w:t>Poniższa tabela zawiera przegląd planowanego harmonogramu spłat (kwoty są podane w wartości nominalnej) dla niespłaconych kwot pożyczek w ramach EFSM i na wsparcie bilansu płatniczego na dzień 31 grudnia 2019 r.:</w:t>
      </w:r>
    </w:p>
    <w:tbl>
      <w:tblPr>
        <w:tblW w:w="5000" w:type="pct"/>
        <w:tblLook w:val="04A0" w:firstRow="1" w:lastRow="0" w:firstColumn="1" w:lastColumn="0" w:noHBand="0" w:noVBand="1"/>
      </w:tblPr>
      <w:tblGrid>
        <w:gridCol w:w="992"/>
        <w:gridCol w:w="1260"/>
        <w:gridCol w:w="1260"/>
        <w:gridCol w:w="1262"/>
        <w:gridCol w:w="1260"/>
        <w:gridCol w:w="1261"/>
        <w:gridCol w:w="1263"/>
        <w:gridCol w:w="1297"/>
      </w:tblGrid>
      <w:tr w:rsidR="0043277E">
        <w:trPr>
          <w:trHeight w:val="300"/>
        </w:trPr>
        <w:tc>
          <w:tcPr>
            <w:tcW w:w="465" w:type="pct"/>
            <w:tcBorders>
              <w:top w:val="nil"/>
              <w:left w:val="nil"/>
              <w:bottom w:val="nil"/>
              <w:right w:val="nil"/>
            </w:tcBorders>
            <w:shd w:val="clear" w:color="auto" w:fill="auto"/>
            <w:noWrap/>
            <w:vAlign w:val="bottom"/>
            <w:hideMark/>
          </w:tcPr>
          <w:p w:rsidR="0043277E" w:rsidRDefault="0043277E">
            <w:pPr>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43277E" w:rsidRDefault="0043277E">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43277E" w:rsidRDefault="0043277E">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rsidR="0043277E" w:rsidRDefault="0043277E">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43277E" w:rsidRDefault="0043277E">
            <w:pPr>
              <w:jc w:val="right"/>
              <w:rPr>
                <w:rFonts w:ascii="Calibri" w:hAnsi="Calibri"/>
                <w:noProof/>
                <w:color w:val="000000"/>
                <w:sz w:val="22"/>
                <w:szCs w:val="22"/>
              </w:rPr>
            </w:pPr>
          </w:p>
        </w:tc>
        <w:tc>
          <w:tcPr>
            <w:tcW w:w="645" w:type="pct"/>
            <w:tcBorders>
              <w:top w:val="nil"/>
              <w:left w:val="nil"/>
              <w:bottom w:val="nil"/>
              <w:right w:val="nil"/>
            </w:tcBorders>
            <w:shd w:val="clear" w:color="auto" w:fill="auto"/>
            <w:noWrap/>
            <w:vAlign w:val="bottom"/>
            <w:hideMark/>
          </w:tcPr>
          <w:p w:rsidR="0043277E" w:rsidRDefault="0043277E">
            <w:pPr>
              <w:jc w:val="right"/>
              <w:rPr>
                <w:rFonts w:ascii="Calibri" w:hAnsi="Calibri"/>
                <w:noProof/>
                <w:color w:val="000000"/>
                <w:sz w:val="22"/>
                <w:szCs w:val="22"/>
              </w:rPr>
            </w:pPr>
          </w:p>
        </w:tc>
        <w:tc>
          <w:tcPr>
            <w:tcW w:w="646" w:type="pct"/>
            <w:tcBorders>
              <w:top w:val="nil"/>
              <w:left w:val="nil"/>
              <w:bottom w:val="nil"/>
              <w:right w:val="nil"/>
            </w:tcBorders>
            <w:shd w:val="clear" w:color="auto" w:fill="auto"/>
            <w:noWrap/>
            <w:vAlign w:val="bottom"/>
            <w:hideMark/>
          </w:tcPr>
          <w:p w:rsidR="0043277E" w:rsidRDefault="0043277E">
            <w:pPr>
              <w:jc w:val="right"/>
              <w:rPr>
                <w:rFonts w:ascii="Calibri" w:hAnsi="Calibri"/>
                <w:noProof/>
                <w:color w:val="000000"/>
                <w:sz w:val="22"/>
                <w:szCs w:val="22"/>
              </w:rPr>
            </w:pPr>
          </w:p>
        </w:tc>
        <w:tc>
          <w:tcPr>
            <w:tcW w:w="664" w:type="pct"/>
            <w:tcBorders>
              <w:top w:val="nil"/>
              <w:left w:val="nil"/>
              <w:bottom w:val="nil"/>
              <w:right w:val="nil"/>
            </w:tcBorders>
            <w:shd w:val="clear" w:color="auto" w:fill="auto"/>
            <w:noWrap/>
            <w:vAlign w:val="bottom"/>
            <w:hideMark/>
          </w:tcPr>
          <w:p w:rsidR="0043277E" w:rsidRDefault="000F2348">
            <w:pPr>
              <w:jc w:val="right"/>
              <w:rPr>
                <w:rFonts w:ascii="Verdana" w:hAnsi="Verdana"/>
                <w:i/>
                <w:iCs/>
                <w:noProof/>
                <w:color w:val="000000"/>
                <w:sz w:val="18"/>
                <w:szCs w:val="18"/>
              </w:rPr>
            </w:pPr>
            <w:r>
              <w:rPr>
                <w:rFonts w:ascii="Verdana" w:hAnsi="Verdana"/>
                <w:i/>
                <w:iCs/>
                <w:noProof/>
                <w:color w:val="000000"/>
                <w:sz w:val="18"/>
                <w:szCs w:val="18"/>
              </w:rPr>
              <w:t>w mld EUR</w:t>
            </w:r>
          </w:p>
        </w:tc>
      </w:tr>
      <w:tr w:rsidR="0043277E">
        <w:trPr>
          <w:trHeight w:val="375"/>
        </w:trPr>
        <w:tc>
          <w:tcPr>
            <w:tcW w:w="465" w:type="pct"/>
            <w:tcBorders>
              <w:top w:val="nil"/>
              <w:left w:val="nil"/>
              <w:bottom w:val="nil"/>
              <w:right w:val="nil"/>
            </w:tcBorders>
            <w:shd w:val="clear" w:color="auto" w:fill="auto"/>
            <w:noWrap/>
            <w:vAlign w:val="bottom"/>
            <w:hideMark/>
          </w:tcPr>
          <w:p w:rsidR="0043277E" w:rsidRDefault="0043277E">
            <w:pPr>
              <w:rPr>
                <w:rFonts w:ascii="Calibri" w:hAnsi="Calibri"/>
                <w:noProof/>
                <w:color w:val="000000"/>
                <w:sz w:val="22"/>
                <w:szCs w:val="22"/>
              </w:rPr>
            </w:pPr>
          </w:p>
        </w:tc>
        <w:tc>
          <w:tcPr>
            <w:tcW w:w="1936" w:type="pct"/>
            <w:gridSpan w:val="3"/>
            <w:tcBorders>
              <w:top w:val="nil"/>
              <w:left w:val="nil"/>
              <w:bottom w:val="nil"/>
              <w:right w:val="nil"/>
            </w:tcBorders>
            <w:shd w:val="clear" w:color="000000" w:fill="4BACC6"/>
            <w:noWrap/>
            <w:vAlign w:val="bottom"/>
            <w:hideMark/>
          </w:tcPr>
          <w:p w:rsidR="0043277E" w:rsidRDefault="000F2348">
            <w:pPr>
              <w:jc w:val="center"/>
              <w:rPr>
                <w:rFonts w:ascii="Verdana" w:hAnsi="Verdana"/>
                <w:b/>
                <w:bCs/>
                <w:noProof/>
                <w:color w:val="FFFFFF"/>
                <w:sz w:val="20"/>
                <w:szCs w:val="28"/>
              </w:rPr>
            </w:pPr>
            <w:r>
              <w:rPr>
                <w:rFonts w:ascii="Verdana" w:hAnsi="Verdana"/>
                <w:b/>
                <w:bCs/>
                <w:noProof/>
                <w:color w:val="FFFFFF"/>
                <w:sz w:val="20"/>
                <w:szCs w:val="28"/>
              </w:rPr>
              <w:t xml:space="preserve">Wsparcie bilansu </w:t>
            </w:r>
            <w:r>
              <w:rPr>
                <w:rFonts w:ascii="Verdana" w:hAnsi="Verdana"/>
                <w:b/>
                <w:bCs/>
                <w:noProof/>
                <w:color w:val="FFFFFF"/>
                <w:sz w:val="20"/>
                <w:szCs w:val="28"/>
              </w:rPr>
              <w:t>płatniczego</w:t>
            </w:r>
          </w:p>
        </w:tc>
        <w:tc>
          <w:tcPr>
            <w:tcW w:w="1936" w:type="pct"/>
            <w:gridSpan w:val="3"/>
            <w:tcBorders>
              <w:top w:val="nil"/>
              <w:left w:val="nil"/>
              <w:bottom w:val="nil"/>
              <w:right w:val="nil"/>
            </w:tcBorders>
            <w:shd w:val="clear" w:color="000000" w:fill="92D050"/>
            <w:noWrap/>
            <w:vAlign w:val="bottom"/>
            <w:hideMark/>
          </w:tcPr>
          <w:p w:rsidR="0043277E" w:rsidRDefault="000F2348">
            <w:pPr>
              <w:jc w:val="center"/>
              <w:rPr>
                <w:rFonts w:ascii="Verdana" w:hAnsi="Verdana"/>
                <w:b/>
                <w:bCs/>
                <w:noProof/>
                <w:color w:val="FFFFFF"/>
                <w:sz w:val="20"/>
                <w:szCs w:val="28"/>
              </w:rPr>
            </w:pPr>
            <w:r>
              <w:rPr>
                <w:rFonts w:ascii="Verdana" w:hAnsi="Verdana"/>
                <w:b/>
                <w:bCs/>
                <w:noProof/>
                <w:color w:val="FFFFFF"/>
                <w:sz w:val="20"/>
                <w:szCs w:val="28"/>
              </w:rPr>
              <w:t>EFSM</w:t>
            </w:r>
          </w:p>
        </w:tc>
        <w:tc>
          <w:tcPr>
            <w:tcW w:w="664" w:type="pct"/>
            <w:vMerge w:val="restart"/>
            <w:tcBorders>
              <w:top w:val="nil"/>
              <w:left w:val="nil"/>
              <w:bottom w:val="single" w:sz="4" w:space="0" w:color="000000"/>
              <w:right w:val="nil"/>
            </w:tcBorders>
            <w:shd w:val="clear" w:color="000000" w:fill="DA9694"/>
            <w:noWrap/>
            <w:vAlign w:val="center"/>
            <w:hideMark/>
          </w:tcPr>
          <w:p w:rsidR="0043277E" w:rsidRDefault="000F2348">
            <w:pPr>
              <w:jc w:val="right"/>
              <w:rPr>
                <w:rFonts w:ascii="Verdana" w:hAnsi="Verdana"/>
                <w:b/>
                <w:bCs/>
                <w:noProof/>
                <w:color w:val="FFFFFF"/>
                <w:sz w:val="28"/>
                <w:szCs w:val="28"/>
              </w:rPr>
            </w:pPr>
            <w:r>
              <w:rPr>
                <w:rFonts w:ascii="Verdana" w:hAnsi="Verdana"/>
                <w:b/>
                <w:bCs/>
                <w:noProof/>
                <w:color w:val="FFFFFF"/>
                <w:sz w:val="20"/>
                <w:szCs w:val="28"/>
              </w:rPr>
              <w:t>OGÓŁEM</w:t>
            </w:r>
          </w:p>
        </w:tc>
      </w:tr>
      <w:tr w:rsidR="0043277E">
        <w:trPr>
          <w:trHeight w:val="375"/>
        </w:trPr>
        <w:tc>
          <w:tcPr>
            <w:tcW w:w="465" w:type="pct"/>
            <w:tcBorders>
              <w:top w:val="nil"/>
              <w:left w:val="nil"/>
              <w:bottom w:val="nil"/>
              <w:right w:val="nil"/>
            </w:tcBorders>
            <w:shd w:val="clear" w:color="auto" w:fill="auto"/>
            <w:noWrap/>
            <w:vAlign w:val="bottom"/>
            <w:hideMark/>
          </w:tcPr>
          <w:p w:rsidR="0043277E" w:rsidRDefault="0043277E">
            <w:pPr>
              <w:rPr>
                <w:rFonts w:ascii="Calibri" w:hAnsi="Calibri"/>
                <w:noProof/>
                <w:color w:val="000000"/>
                <w:sz w:val="22"/>
                <w:szCs w:val="22"/>
              </w:rPr>
            </w:pPr>
          </w:p>
        </w:tc>
        <w:tc>
          <w:tcPr>
            <w:tcW w:w="645" w:type="pct"/>
            <w:tcBorders>
              <w:top w:val="nil"/>
              <w:left w:val="nil"/>
              <w:bottom w:val="single" w:sz="4" w:space="0" w:color="auto"/>
              <w:right w:val="nil"/>
            </w:tcBorders>
            <w:shd w:val="clear" w:color="auto" w:fill="auto"/>
            <w:noWrap/>
            <w:vAlign w:val="bottom"/>
          </w:tcPr>
          <w:p w:rsidR="0043277E" w:rsidRDefault="000F2348">
            <w:pPr>
              <w:jc w:val="right"/>
              <w:rPr>
                <w:rFonts w:ascii="Verdana" w:hAnsi="Verdana"/>
                <w:b/>
                <w:bCs/>
                <w:noProof/>
                <w:color w:val="4BACC6"/>
                <w:sz w:val="18"/>
                <w:szCs w:val="28"/>
              </w:rPr>
            </w:pPr>
            <w:r>
              <w:rPr>
                <w:rFonts w:ascii="Verdana" w:hAnsi="Verdana"/>
                <w:b/>
                <w:bCs/>
                <w:noProof/>
                <w:color w:val="4BACC6"/>
                <w:sz w:val="18"/>
                <w:szCs w:val="28"/>
              </w:rPr>
              <w:t>Łotwa</w:t>
            </w:r>
          </w:p>
        </w:tc>
        <w:tc>
          <w:tcPr>
            <w:tcW w:w="645" w:type="pct"/>
            <w:tcBorders>
              <w:top w:val="nil"/>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4BACC6"/>
                <w:sz w:val="18"/>
                <w:szCs w:val="28"/>
              </w:rPr>
            </w:pPr>
            <w:r>
              <w:rPr>
                <w:rFonts w:ascii="Verdana" w:hAnsi="Verdana"/>
                <w:b/>
                <w:bCs/>
                <w:noProof/>
                <w:color w:val="4BACC6"/>
                <w:sz w:val="18"/>
                <w:szCs w:val="28"/>
              </w:rPr>
              <w:t>Rumunia</w:t>
            </w:r>
          </w:p>
        </w:tc>
        <w:tc>
          <w:tcPr>
            <w:tcW w:w="646" w:type="pct"/>
            <w:tcBorders>
              <w:top w:val="nil"/>
              <w:left w:val="nil"/>
              <w:bottom w:val="single" w:sz="4" w:space="0" w:color="auto"/>
              <w:right w:val="nil"/>
            </w:tcBorders>
            <w:shd w:val="clear" w:color="000000" w:fill="DCE6F1"/>
            <w:noWrap/>
            <w:vAlign w:val="bottom"/>
            <w:hideMark/>
          </w:tcPr>
          <w:p w:rsidR="0043277E" w:rsidRDefault="000F2348">
            <w:pPr>
              <w:jc w:val="right"/>
              <w:rPr>
                <w:rFonts w:ascii="Verdana" w:hAnsi="Verdana"/>
                <w:b/>
                <w:bCs/>
                <w:noProof/>
                <w:color w:val="4BACC6"/>
                <w:sz w:val="18"/>
                <w:szCs w:val="28"/>
              </w:rPr>
            </w:pPr>
            <w:r>
              <w:rPr>
                <w:rFonts w:ascii="Verdana" w:hAnsi="Verdana"/>
                <w:b/>
                <w:bCs/>
                <w:noProof/>
                <w:color w:val="4BACC6"/>
                <w:sz w:val="18"/>
                <w:szCs w:val="28"/>
              </w:rPr>
              <w:t>Ogółem</w:t>
            </w:r>
          </w:p>
        </w:tc>
        <w:tc>
          <w:tcPr>
            <w:tcW w:w="645" w:type="pct"/>
            <w:tcBorders>
              <w:top w:val="nil"/>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92D050"/>
                <w:sz w:val="18"/>
                <w:szCs w:val="28"/>
              </w:rPr>
            </w:pPr>
            <w:r>
              <w:rPr>
                <w:rFonts w:ascii="Verdana" w:hAnsi="Verdana"/>
                <w:b/>
                <w:bCs/>
                <w:noProof/>
                <w:color w:val="92D050"/>
                <w:sz w:val="18"/>
                <w:szCs w:val="28"/>
              </w:rPr>
              <w:t>Irlandia</w:t>
            </w:r>
          </w:p>
        </w:tc>
        <w:tc>
          <w:tcPr>
            <w:tcW w:w="645" w:type="pct"/>
            <w:tcBorders>
              <w:top w:val="nil"/>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92D050"/>
                <w:sz w:val="18"/>
                <w:szCs w:val="28"/>
              </w:rPr>
            </w:pPr>
            <w:r>
              <w:rPr>
                <w:rFonts w:ascii="Verdana" w:hAnsi="Verdana"/>
                <w:b/>
                <w:bCs/>
                <w:noProof/>
                <w:color w:val="92D050"/>
                <w:sz w:val="18"/>
                <w:szCs w:val="28"/>
              </w:rPr>
              <w:t>Portugalia</w:t>
            </w:r>
          </w:p>
        </w:tc>
        <w:tc>
          <w:tcPr>
            <w:tcW w:w="646" w:type="pct"/>
            <w:tcBorders>
              <w:top w:val="nil"/>
              <w:left w:val="nil"/>
              <w:bottom w:val="single" w:sz="4" w:space="0" w:color="auto"/>
              <w:right w:val="nil"/>
            </w:tcBorders>
            <w:shd w:val="clear" w:color="000000" w:fill="D8E4BC"/>
            <w:noWrap/>
            <w:vAlign w:val="bottom"/>
            <w:hideMark/>
          </w:tcPr>
          <w:p w:rsidR="0043277E" w:rsidRDefault="000F2348">
            <w:pPr>
              <w:jc w:val="right"/>
              <w:rPr>
                <w:rFonts w:ascii="Verdana" w:hAnsi="Verdana"/>
                <w:b/>
                <w:bCs/>
                <w:noProof/>
                <w:color w:val="92D050"/>
                <w:sz w:val="18"/>
                <w:szCs w:val="28"/>
              </w:rPr>
            </w:pPr>
            <w:r>
              <w:rPr>
                <w:rFonts w:ascii="Verdana" w:hAnsi="Verdana"/>
                <w:b/>
                <w:bCs/>
                <w:noProof/>
                <w:color w:val="92D050"/>
                <w:sz w:val="18"/>
                <w:szCs w:val="28"/>
              </w:rPr>
              <w:t>Ogółem</w:t>
            </w:r>
          </w:p>
        </w:tc>
        <w:tc>
          <w:tcPr>
            <w:tcW w:w="664" w:type="pct"/>
            <w:vMerge/>
            <w:tcBorders>
              <w:top w:val="nil"/>
              <w:left w:val="nil"/>
              <w:bottom w:val="single" w:sz="4" w:space="0" w:color="000000"/>
              <w:right w:val="nil"/>
            </w:tcBorders>
            <w:vAlign w:val="center"/>
            <w:hideMark/>
          </w:tcPr>
          <w:p w:rsidR="0043277E" w:rsidRDefault="0043277E">
            <w:pPr>
              <w:rPr>
                <w:rFonts w:ascii="Calibri" w:hAnsi="Calibri"/>
                <w:b/>
                <w:bCs/>
                <w:noProof/>
                <w:color w:val="FFFFFF"/>
                <w:sz w:val="28"/>
                <w:szCs w:val="28"/>
              </w:rPr>
            </w:pPr>
          </w:p>
        </w:tc>
      </w:tr>
      <w:tr w:rsidR="0043277E">
        <w:trPr>
          <w:trHeight w:val="375"/>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2021</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6,8</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9,8</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9,8</w:t>
            </w:r>
          </w:p>
        </w:tc>
      </w:tr>
      <w:tr w:rsidR="0043277E">
        <w:trPr>
          <w:trHeight w:val="375"/>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2022</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2,7</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2,7</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2,7</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2023</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3,5</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3,5</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2024</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0,8</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2,6</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2,6</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2025</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0,2</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2,4</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2,4</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2,6</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2026</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4,0</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4,0</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2027</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2,0</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2028</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2,3</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2,3</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2,3</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2029</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1,0</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0,4</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1,4</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1,4</w:t>
            </w:r>
          </w:p>
        </w:tc>
      </w:tr>
      <w:tr w:rsidR="0043277E">
        <w:trPr>
          <w:trHeight w:val="300"/>
        </w:trPr>
        <w:tc>
          <w:tcPr>
            <w:tcW w:w="465" w:type="pct"/>
            <w:tcBorders>
              <w:top w:val="nil"/>
              <w:left w:val="nil"/>
              <w:bottom w:val="nil"/>
              <w:right w:val="nil"/>
            </w:tcBorders>
            <w:shd w:val="clear" w:color="auto" w:fill="auto"/>
            <w:noWrap/>
            <w:vAlign w:val="bottom"/>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2031</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2,2</w:t>
            </w:r>
          </w:p>
        </w:tc>
        <w:tc>
          <w:tcPr>
            <w:tcW w:w="646" w:type="pct"/>
            <w:tcBorders>
              <w:top w:val="nil"/>
              <w:left w:val="nil"/>
              <w:bottom w:val="nil"/>
              <w:right w:val="nil"/>
            </w:tcBorders>
            <w:shd w:val="clear" w:color="000000" w:fill="D8E4BC"/>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2,2</w:t>
            </w:r>
          </w:p>
        </w:tc>
        <w:tc>
          <w:tcPr>
            <w:tcW w:w="664" w:type="pct"/>
            <w:tcBorders>
              <w:top w:val="nil"/>
              <w:left w:val="nil"/>
              <w:bottom w:val="nil"/>
              <w:right w:val="nil"/>
            </w:tcBorders>
            <w:shd w:val="clear" w:color="000000" w:fill="F2DCDB"/>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2,2</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2032</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2033</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0,6</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2,1</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2,1</w:t>
            </w:r>
          </w:p>
        </w:tc>
      </w:tr>
      <w:tr w:rsidR="0043277E">
        <w:trPr>
          <w:trHeight w:val="300"/>
        </w:trPr>
        <w:tc>
          <w:tcPr>
            <w:tcW w:w="465" w:type="pct"/>
            <w:tcBorders>
              <w:top w:val="nil"/>
              <w:left w:val="nil"/>
              <w:bottom w:val="nil"/>
              <w:right w:val="nil"/>
            </w:tcBorders>
            <w:shd w:val="clear" w:color="auto" w:fill="auto"/>
            <w:noWrap/>
            <w:vAlign w:val="bottom"/>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2035</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2,0</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8E4BC"/>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2,0</w:t>
            </w:r>
          </w:p>
        </w:tc>
        <w:tc>
          <w:tcPr>
            <w:tcW w:w="664" w:type="pct"/>
            <w:tcBorders>
              <w:top w:val="nil"/>
              <w:left w:val="nil"/>
              <w:bottom w:val="nil"/>
              <w:right w:val="nil"/>
            </w:tcBorders>
            <w:shd w:val="clear" w:color="000000" w:fill="F2DCDB"/>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2,0</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2036</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1,0</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1,0</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1,0</w:t>
            </w:r>
          </w:p>
        </w:tc>
      </w:tr>
      <w:tr w:rsidR="0043277E">
        <w:trPr>
          <w:trHeight w:val="300"/>
        </w:trPr>
        <w:tc>
          <w:tcPr>
            <w:tcW w:w="465" w:type="pct"/>
            <w:tcBorders>
              <w:top w:val="nil"/>
              <w:left w:val="nil"/>
              <w:bottom w:val="nil"/>
              <w:right w:val="nil"/>
            </w:tcBorders>
            <w:shd w:val="clear" w:color="auto" w:fill="auto"/>
            <w:noWrap/>
            <w:vAlign w:val="bottom"/>
          </w:tcPr>
          <w:p w:rsidR="0043277E" w:rsidRDefault="000F2348">
            <w:pPr>
              <w:jc w:val="right"/>
              <w:rPr>
                <w:rFonts w:ascii="Verdana" w:hAnsi="Verdana"/>
                <w:bCs/>
                <w:noProof/>
                <w:color w:val="000000"/>
                <w:sz w:val="18"/>
                <w:szCs w:val="20"/>
              </w:rPr>
            </w:pPr>
            <w:r>
              <w:rPr>
                <w:rFonts w:ascii="Verdana" w:hAnsi="Verdana"/>
                <w:bCs/>
                <w:noProof/>
                <w:color w:val="000000"/>
                <w:sz w:val="18"/>
                <w:szCs w:val="20"/>
              </w:rPr>
              <w:lastRenderedPageBreak/>
              <w:t>2038</w:t>
            </w:r>
          </w:p>
        </w:tc>
        <w:tc>
          <w:tcPr>
            <w:tcW w:w="645" w:type="pct"/>
            <w:tcBorders>
              <w:top w:val="nil"/>
              <w:left w:val="nil"/>
              <w:bottom w:val="nil"/>
              <w:right w:val="nil"/>
            </w:tcBorders>
            <w:shd w:val="clear" w:color="auto" w:fill="auto"/>
            <w:noWrap/>
            <w:vAlign w:val="bottom"/>
          </w:tcPr>
          <w:p w:rsidR="0043277E" w:rsidRDefault="0043277E">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43277E" w:rsidRDefault="0043277E">
            <w:pPr>
              <w:jc w:val="right"/>
              <w:rPr>
                <w:rFonts w:ascii="Verdana" w:hAnsi="Verdana"/>
                <w:noProof/>
                <w:color w:val="000000"/>
                <w:sz w:val="18"/>
                <w:szCs w:val="18"/>
              </w:rPr>
            </w:pPr>
          </w:p>
        </w:tc>
        <w:tc>
          <w:tcPr>
            <w:tcW w:w="646" w:type="pct"/>
            <w:tcBorders>
              <w:top w:val="nil"/>
              <w:left w:val="nil"/>
              <w:bottom w:val="nil"/>
              <w:right w:val="nil"/>
            </w:tcBorders>
            <w:shd w:val="clear" w:color="000000" w:fill="DCE6F1"/>
            <w:noWrap/>
            <w:vAlign w:val="bottom"/>
          </w:tcPr>
          <w:p w:rsidR="0043277E" w:rsidRDefault="0043277E">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43277E" w:rsidRDefault="0043277E">
            <w:pPr>
              <w:jc w:val="right"/>
              <w:rPr>
                <w:rFonts w:ascii="Verdana" w:hAnsi="Verdana"/>
                <w:noProof/>
                <w:color w:val="000000"/>
                <w:sz w:val="18"/>
                <w:szCs w:val="18"/>
              </w:rPr>
            </w:pP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1,8</w:t>
            </w:r>
          </w:p>
        </w:tc>
        <w:tc>
          <w:tcPr>
            <w:tcW w:w="646" w:type="pct"/>
            <w:tcBorders>
              <w:top w:val="nil"/>
              <w:left w:val="nil"/>
              <w:bottom w:val="nil"/>
              <w:right w:val="nil"/>
            </w:tcBorders>
            <w:shd w:val="clear" w:color="000000" w:fill="D8E4BC"/>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1,8</w:t>
            </w:r>
          </w:p>
        </w:tc>
        <w:tc>
          <w:tcPr>
            <w:tcW w:w="664" w:type="pct"/>
            <w:tcBorders>
              <w:top w:val="nil"/>
              <w:left w:val="nil"/>
              <w:bottom w:val="nil"/>
              <w:right w:val="nil"/>
            </w:tcBorders>
            <w:shd w:val="clear" w:color="000000" w:fill="F2DCDB"/>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1,8</w:t>
            </w:r>
          </w:p>
        </w:tc>
      </w:tr>
      <w:tr w:rsidR="0043277E">
        <w:trPr>
          <w:trHeight w:val="300"/>
        </w:trPr>
        <w:tc>
          <w:tcPr>
            <w:tcW w:w="465" w:type="pct"/>
            <w:tcBorders>
              <w:top w:val="nil"/>
              <w:left w:val="nil"/>
              <w:bottom w:val="nil"/>
              <w:right w:val="nil"/>
            </w:tcBorders>
            <w:shd w:val="clear" w:color="auto" w:fill="auto"/>
            <w:noWrap/>
            <w:vAlign w:val="bottom"/>
            <w:hideMark/>
          </w:tcPr>
          <w:p w:rsidR="0043277E" w:rsidRDefault="000F2348">
            <w:pPr>
              <w:jc w:val="right"/>
              <w:rPr>
                <w:rFonts w:ascii="Verdana" w:hAnsi="Verdana"/>
                <w:bCs/>
                <w:noProof/>
                <w:color w:val="000000"/>
                <w:sz w:val="18"/>
                <w:szCs w:val="20"/>
              </w:rPr>
            </w:pPr>
            <w:r>
              <w:rPr>
                <w:rFonts w:ascii="Verdana" w:hAnsi="Verdana"/>
                <w:bCs/>
                <w:noProof/>
                <w:color w:val="000000"/>
                <w:sz w:val="18"/>
                <w:szCs w:val="20"/>
              </w:rPr>
              <w:t>2042</w:t>
            </w:r>
          </w:p>
        </w:tc>
        <w:tc>
          <w:tcPr>
            <w:tcW w:w="645" w:type="pct"/>
            <w:tcBorders>
              <w:top w:val="nil"/>
              <w:left w:val="nil"/>
              <w:bottom w:val="nil"/>
              <w:right w:val="nil"/>
            </w:tcBorders>
            <w:shd w:val="clear" w:color="auto" w:fill="auto"/>
            <w:noWrap/>
            <w:vAlign w:val="bottom"/>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6" w:type="pct"/>
            <w:tcBorders>
              <w:top w:val="nil"/>
              <w:left w:val="nil"/>
              <w:bottom w:val="nil"/>
              <w:right w:val="nil"/>
            </w:tcBorders>
            <w:shd w:val="clear" w:color="000000" w:fill="DCE6F1"/>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1,5</w:t>
            </w:r>
          </w:p>
        </w:tc>
        <w:tc>
          <w:tcPr>
            <w:tcW w:w="645" w:type="pct"/>
            <w:tcBorders>
              <w:top w:val="nil"/>
              <w:left w:val="nil"/>
              <w:bottom w:val="nil"/>
              <w:right w:val="nil"/>
            </w:tcBorders>
            <w:shd w:val="clear" w:color="auto" w:fill="auto"/>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1,5</w:t>
            </w:r>
          </w:p>
        </w:tc>
        <w:tc>
          <w:tcPr>
            <w:tcW w:w="646" w:type="pct"/>
            <w:tcBorders>
              <w:top w:val="nil"/>
              <w:left w:val="nil"/>
              <w:bottom w:val="nil"/>
              <w:right w:val="nil"/>
            </w:tcBorders>
            <w:shd w:val="clear" w:color="000000" w:fill="D8E4BC"/>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c>
          <w:tcPr>
            <w:tcW w:w="664" w:type="pct"/>
            <w:tcBorders>
              <w:top w:val="nil"/>
              <w:left w:val="nil"/>
              <w:bottom w:val="nil"/>
              <w:right w:val="nil"/>
            </w:tcBorders>
            <w:shd w:val="clear" w:color="000000" w:fill="F2DCDB"/>
            <w:noWrap/>
            <w:vAlign w:val="bottom"/>
            <w:hideMark/>
          </w:tcPr>
          <w:p w:rsidR="0043277E" w:rsidRDefault="000F2348">
            <w:pPr>
              <w:jc w:val="right"/>
              <w:rPr>
                <w:rFonts w:ascii="Verdana" w:hAnsi="Verdana"/>
                <w:noProof/>
                <w:color w:val="000000"/>
                <w:sz w:val="18"/>
                <w:szCs w:val="18"/>
              </w:rPr>
            </w:pPr>
            <w:r>
              <w:rPr>
                <w:rFonts w:ascii="Verdana" w:hAnsi="Verdana"/>
                <w:noProof/>
                <w:color w:val="000000"/>
                <w:sz w:val="18"/>
                <w:szCs w:val="18"/>
              </w:rPr>
              <w:t>3,0</w:t>
            </w:r>
          </w:p>
        </w:tc>
      </w:tr>
      <w:tr w:rsidR="0043277E">
        <w:trPr>
          <w:trHeight w:val="300"/>
        </w:trPr>
        <w:tc>
          <w:tcPr>
            <w:tcW w:w="465" w:type="pct"/>
            <w:tcBorders>
              <w:top w:val="single" w:sz="4" w:space="0" w:color="auto"/>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Ogółem</w:t>
            </w:r>
          </w:p>
        </w:tc>
        <w:tc>
          <w:tcPr>
            <w:tcW w:w="645" w:type="pct"/>
            <w:tcBorders>
              <w:top w:val="single" w:sz="4" w:space="0" w:color="auto"/>
              <w:left w:val="nil"/>
              <w:bottom w:val="single" w:sz="4" w:space="0" w:color="auto"/>
              <w:right w:val="nil"/>
            </w:tcBorders>
            <w:shd w:val="clear" w:color="auto" w:fill="auto"/>
            <w:noWrap/>
            <w:vAlign w:val="bottom"/>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w:t>
            </w:r>
          </w:p>
        </w:tc>
        <w:tc>
          <w:tcPr>
            <w:tcW w:w="646" w:type="pct"/>
            <w:tcBorders>
              <w:top w:val="single" w:sz="4" w:space="0" w:color="auto"/>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22,5</w:t>
            </w:r>
          </w:p>
        </w:tc>
        <w:tc>
          <w:tcPr>
            <w:tcW w:w="645" w:type="pct"/>
            <w:tcBorders>
              <w:top w:val="single" w:sz="4" w:space="0" w:color="auto"/>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24,3</w:t>
            </w:r>
          </w:p>
        </w:tc>
        <w:tc>
          <w:tcPr>
            <w:tcW w:w="646" w:type="pct"/>
            <w:tcBorders>
              <w:top w:val="single" w:sz="4" w:space="0" w:color="auto"/>
              <w:left w:val="nil"/>
              <w:bottom w:val="single" w:sz="4" w:space="0" w:color="auto"/>
              <w:right w:val="nil"/>
            </w:tcBorders>
            <w:shd w:val="clear" w:color="auto" w:fill="auto"/>
            <w:noWrap/>
            <w:vAlign w:val="bottom"/>
            <w:hideMark/>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46,8</w:t>
            </w:r>
          </w:p>
        </w:tc>
        <w:tc>
          <w:tcPr>
            <w:tcW w:w="664" w:type="pct"/>
            <w:tcBorders>
              <w:top w:val="single" w:sz="4" w:space="0" w:color="auto"/>
              <w:left w:val="nil"/>
              <w:bottom w:val="single" w:sz="4" w:space="0" w:color="auto"/>
              <w:right w:val="nil"/>
            </w:tcBorders>
            <w:shd w:val="clear" w:color="000000" w:fill="FFFFFF"/>
            <w:noWrap/>
            <w:vAlign w:val="bottom"/>
            <w:hideMark/>
          </w:tcPr>
          <w:p w:rsidR="0043277E" w:rsidRDefault="000F2348">
            <w:pPr>
              <w:jc w:val="right"/>
              <w:rPr>
                <w:rFonts w:ascii="Verdana" w:hAnsi="Verdana"/>
                <w:b/>
                <w:bCs/>
                <w:noProof/>
                <w:color w:val="000000"/>
                <w:sz w:val="18"/>
                <w:szCs w:val="20"/>
              </w:rPr>
            </w:pPr>
            <w:r>
              <w:rPr>
                <w:rFonts w:ascii="Verdana" w:hAnsi="Verdana"/>
                <w:b/>
                <w:bCs/>
                <w:noProof/>
                <w:color w:val="000000"/>
                <w:sz w:val="18"/>
                <w:szCs w:val="20"/>
              </w:rPr>
              <w:t>47,0</w:t>
            </w:r>
          </w:p>
        </w:tc>
      </w:tr>
    </w:tbl>
    <w:p w:rsidR="0043277E" w:rsidRDefault="000F2348">
      <w:pPr>
        <w:pStyle w:val="DGTextstand-alone"/>
      </w:pPr>
      <w:r>
        <w:t xml:space="preserve">Międzyrządowe mechanizmy stabilności finansowej – Europejski Instrument Stabilności Finansowej i Europejski Mechanizm Stabilności – nie wchodzą w zakres Traktatu UE i tym samym nie są uwzględniane w skonsolidowanym </w:t>
      </w:r>
      <w:r>
        <w:t>rocznym sprawozdaniu finansowym UE.</w:t>
      </w:r>
    </w:p>
    <w:p w:rsidR="0043277E" w:rsidRDefault="000F2348">
      <w:pPr>
        <w:pStyle w:val="HEADER2Part4"/>
      </w:pPr>
      <w:bookmarkStart w:id="201" w:name="_Toc491880240"/>
      <w:bookmarkStart w:id="202" w:name="_Toc11225937"/>
      <w:bookmarkStart w:id="203" w:name="_Toc49418711"/>
      <w:r>
        <w:t>GWARANCJE BUDŻETOWE</w:t>
      </w:r>
      <w:bookmarkEnd w:id="201"/>
      <w:bookmarkEnd w:id="202"/>
      <w:bookmarkEnd w:id="203"/>
    </w:p>
    <w:p w:rsidR="0043277E" w:rsidRDefault="000F2348">
      <w:pPr>
        <w:pStyle w:val="DGTextstand-alone"/>
      </w:pPr>
      <w:r>
        <w:t>UE udzieliła grupie EBI gwarancji na pożyczki udzielane poza UE oraz na operacje dłużne i kapitałowe objęte gwarancją EFIS. W dniu 31 grudnia 2019 r. UE wykazała w informacjach dodatkowych do skonsoli</w:t>
      </w:r>
      <w:r>
        <w:t xml:space="preserve">dowanego sprawozdania finansowego (zob. informacja dodatkowa </w:t>
      </w:r>
      <w:r>
        <w:rPr>
          <w:b/>
        </w:rPr>
        <w:t>4.1.1</w:t>
      </w:r>
      <w:r>
        <w:t>) zobowiązania warunkowe dotyczące obu gwarancji, natomiast kwoty stanowiące bieżące zobowiązania w sprawozdaniu finansowym ujmuje się jako rezerwy i zobowiązania z tytułu gwarancji finansow</w:t>
      </w:r>
      <w:r>
        <w:t xml:space="preserve">ych (zob. odpowiednio informacja dodatkowa </w:t>
      </w:r>
      <w:r>
        <w:rPr>
          <w:b/>
        </w:rPr>
        <w:t xml:space="preserve">2.10 </w:t>
      </w:r>
      <w:r>
        <w:t>i</w:t>
      </w:r>
      <w:r>
        <w:rPr>
          <w:b/>
        </w:rPr>
        <w:t xml:space="preserve"> 2.11.3</w:t>
      </w:r>
      <w:r>
        <w:t xml:space="preserve"> do skonsolidowanego sprawozdania finansowego). Aby ograniczyć ryzyko, jakie dla budżetu UE mogłoby mieć uruchomienie gwarancji przez grupę EBI, UE utworzyła dedykowane fundusze gwarancyjne, tj. Fundu</w:t>
      </w:r>
      <w:r>
        <w:t>sz Gwarancyjny dla działań zewnętrznych i Fundusz Gwarancyjny EFIS.</w:t>
      </w:r>
    </w:p>
    <w:p w:rsidR="0043277E" w:rsidRDefault="000F2348">
      <w:pPr>
        <w:pStyle w:val="DGTextstand-alone"/>
      </w:pPr>
      <w:r>
        <w:t>Fundusz Gwarancyjny dla działań zewnętrznych jest finansowany z budżetu UE do wysokości 9 % objętych gwarancją, niespłaconych na koniec roku pożyczek na działania EBI w zakresie udzielania</w:t>
      </w:r>
      <w:r>
        <w:t xml:space="preserve"> pożyczek na rzecz państw trzecich w ramach odpowiedniego upoważnienia.</w:t>
      </w:r>
      <w:r>
        <w:noBreakHyphen/>
        <w:t xml:space="preserve"> Według stanu na dzień 31 grudnia 2019 r. łączna wartość aktywów wynosząca 2,6 mld EUR pokrywała ekspozycję z tytułu wypłaconych kwot w wysokości 20,2 mld EUR.</w:t>
      </w:r>
    </w:p>
    <w:p w:rsidR="0043277E" w:rsidRDefault="000F2348">
      <w:pPr>
        <w:pStyle w:val="DGTextstand-alone"/>
      </w:pPr>
      <w:r>
        <w:t>Fundusz Gwarancyjny EFIS</w:t>
      </w:r>
      <w:r>
        <w:t xml:space="preserve"> uruchomiono w 2016 r. Zgodnie ze zmienionym rozporządzeniem w sprawie EFIS (rozporządzenie (UE) 2017/2396) pułap unijnej gwarancji EFIS podwyższono do 26 mld EUR (z początkowego poziomu 16 mld EUR), a limit dla funduszu gwarancyjnego zmniejszył się do 35 </w:t>
      </w:r>
      <w:r>
        <w:t>% (z początkowego poziomu 50 %) łącznych zobowiązań z tytułu gwarancji UE. Obecnie oczekuje się zatem, że Fundusz Gwarancyjny EFIS osiągnie łączną kwotę 9,1 mld EUR. Na dzień 31 grudnia 2019 r. łączne aktywa tworzące Fundusz Gwarancyjny EFIS wynoszą 6,7 ml</w:t>
      </w:r>
      <w:r>
        <w:t>d EUR i pokrywają ekspozycję z tytułu wypłaconych kwot w wysokości 17,7 mld EUR.</w:t>
      </w:r>
    </w:p>
    <w:p w:rsidR="0043277E" w:rsidRDefault="000F2348">
      <w:pPr>
        <w:pStyle w:val="DGTextstand-alone"/>
      </w:pPr>
      <w:r>
        <w:t>Zgodnie z rozporządzeniem w sprawie EFZR (rozporządzenie UE 2017/1601) ma zostać udostępniona gwarancja EFZR w wysokości do 1,5 mld EUR (dodatkowo powiększona o wkłady zewnętr</w:t>
      </w:r>
      <w:r>
        <w:t xml:space="preserve">zne), aby wesprzeć inwestycje w krajach partnerskich w Afryce i w krajach objętych europejską polityką sąsiedztwa. UE ujawnia gwarancję EFZR w informacjach dodatkowych do skonsolidowanego sprawozdania finansowego (zob. informacja dodatkowa </w:t>
      </w:r>
      <w:r>
        <w:rPr>
          <w:b/>
        </w:rPr>
        <w:t>4.1.1</w:t>
      </w:r>
      <w:r>
        <w:t>) jako zobo</w:t>
      </w:r>
      <w:r>
        <w:t>wiązanie warunkowe. Na dzień 31 grudnia 2019 r. obowiązywała jedna umowa gwarancyjna EFZR, której łączny limit wynosi 50 mln EUR, ale partner wykonawczy nie podpisał żadnych operacji podstawowych. Fundusz gwarancyjny EFZR ustanowiono, aby pokryć ewentualne</w:t>
      </w:r>
      <w:r>
        <w:t xml:space="preserve"> przyszłe uruchomienia gwarancji. Łączna wysokość wkładów wniesionych do funduszu na dzień 31 grudnia 2019 r. wynosi 0,6 mld EUR.</w:t>
      </w:r>
    </w:p>
    <w:p w:rsidR="0043277E" w:rsidRDefault="000F2348">
      <w:pPr>
        <w:pStyle w:val="HEADER2Part4"/>
      </w:pPr>
      <w:bookmarkStart w:id="204" w:name="_Toc11225938"/>
      <w:bookmarkStart w:id="205" w:name="_Toc11939482"/>
      <w:bookmarkStart w:id="206" w:name="_Toc49418712"/>
      <w:r>
        <w:t>REZERWA DLA NOWYCH INSTALACJI (NER) 300</w:t>
      </w:r>
      <w:bookmarkEnd w:id="204"/>
      <w:bookmarkEnd w:id="205"/>
      <w:bookmarkEnd w:id="206"/>
    </w:p>
    <w:p w:rsidR="0043277E" w:rsidRDefault="000F2348">
      <w:pPr>
        <w:pStyle w:val="DGTextstand-alone"/>
      </w:pPr>
      <w:r>
        <w:t>Środki funduszu NER300 pochodziły ze sprzedaży uprawnień w ramach systemu handlu emisj</w:t>
      </w:r>
      <w:r>
        <w:t>ami na podstawie dyrektywy 2003/87/WE ustanawiającej system handlu przydziałami emisji gazów cieplarnianych w Unii. Środki należą do państw członkowskich, które wykorzystują je na finansowanie innowacyjnych demonstracyjnych projektów w zakresie energii nis</w:t>
      </w:r>
      <w:r>
        <w:t>koemisyjnej. Komisja zarządza programem w imieniu państw członkowskich, zaś EBI odpowiada za zarządzanie aktywami funduszu NER300 i pełni funkcję doradcy technicznego na podstawie umowy o współpracy zawartej z Komisją. Z uwagi na ograniczoną rolę Komisji w</w:t>
      </w:r>
      <w:r>
        <w:t xml:space="preserve"> procesie podejmowania decyzji dotyczących NER300 oraz fakt, że środki finansowe pochodzące ze sprzedaży uprawnień nie trafiają do budżetu UE, NER300 jest wyłączony z zakresu konsolidacji UE (tj. ani przychody z tytułu uprawnień, ani wydatki na finansowane</w:t>
      </w:r>
      <w:r>
        <w:t xml:space="preserve"> projekty nie są ujęte w sprawozdaniu finansowym UE).</w:t>
      </w:r>
    </w:p>
    <w:p w:rsidR="0043277E" w:rsidRDefault="000F2348">
      <w:pPr>
        <w:pStyle w:val="DGTextstand-alone"/>
      </w:pPr>
      <w:r>
        <w:t>W 2017 r. państwa członkowskie zdecydowały (decyzja Komisji (UE) 2017/2172), że przychody z NER300, których nie wykorzystano w pełni na finansowanie demonstracyjnych projektów w zakresie energii niskoem</w:t>
      </w:r>
      <w:r>
        <w:t xml:space="preserve">isyjnej poprzez dotacje, należy częściowo udostępniać za pośrednictwem instrumentów finansowych. W szczególności fundusze NER300 wykorzystuje się do przyznania gwarancji EBI w związku </w:t>
      </w:r>
      <w:r>
        <w:lastRenderedPageBreak/>
        <w:t>z udzielonymi przez niego pożyczkami na demonstracyjne projekty w zakres</w:t>
      </w:r>
      <w:r>
        <w:t>ie energii jako uzupełnienie gwarancji budżetowej UE udzielanej w ramach instrumentów finansowych „Horyzont 2020” i „Łącząc Europę”. Chociaż te środki funduszu NER300 zostały połączone przez EBI ze środkami z budżetu UE na potrzeby zarządzania aktywami, na</w:t>
      </w:r>
      <w:r>
        <w:t xml:space="preserve">dal stanowią integralną część programu NER300 i UE nie ma nad nimi kontroli. W związku z tym UE ujmuje jedynie swój udział w tych portfelach aktywów jako aktywa finansowe dostępne do sprzedaży (zob. informacja dodatkowa </w:t>
      </w:r>
      <w:r>
        <w:rPr>
          <w:b/>
        </w:rPr>
        <w:t>2.4.1</w:t>
      </w:r>
      <w:r>
        <w:t xml:space="preserve"> do skonsolidowanego sprawozdan</w:t>
      </w:r>
      <w:r>
        <w:t>ia finansowego).</w:t>
      </w:r>
    </w:p>
    <w:p w:rsidR="0043277E" w:rsidRDefault="000F2348">
      <w:pPr>
        <w:pStyle w:val="DGTextstand-alone"/>
      </w:pPr>
      <w:r>
        <w:t>Pozostałe aktywa funduszu NER300, których nie wykorzystano jeszcze na demonstracyjne projekty w zakresie energii niskoemisyjnej – zgodnie z dyrektywą 2003/87/WE zmienioną w 2018 r. dyrektywą (UE) 2018/410 – wykorzystuje się do wspierania i</w:t>
      </w:r>
      <w:r>
        <w:t>nnowacji w zakresie technologii i procesów niskoemisyjnych, wraz z pulą uprawnień, które mają zostać udostępnione w celu utworzenia funduszu innowacyjnego. Zgodnie z rozporządzeniem delegowanym Komisji (UE) 2019/856 funduszem innowacyjnym zarządza Komisja,</w:t>
      </w:r>
      <w:r>
        <w:t xml:space="preserve"> a wkład z NER300 przekazany do budżetu UE będzie stanowił zewnętrzne dochody przeznaczone na określony cel. Zważywszy, że fundusz innowacyjny jeszcze nie rozpoczął działalności, a niewykorzystane środki funduszu NER300 nie zostały przekazane Komisji w 201</w:t>
      </w:r>
      <w:r>
        <w:t>9 r., środki te nie zostały ujęte jako aktywa w skonsolidowanym sprawozdaniu finansowym UE za 2019 r.</w:t>
      </w:r>
      <w:bookmarkEnd w:id="168"/>
    </w:p>
    <w:p w:rsidR="0043277E" w:rsidRDefault="0043277E">
      <w:pPr>
        <w:pStyle w:val="DGTextstand-alone"/>
      </w:pPr>
    </w:p>
    <w:p w:rsidR="0043277E" w:rsidRDefault="0043277E">
      <w:pPr>
        <w:pStyle w:val="DGTextstand-alone"/>
        <w:sectPr w:rsidR="0043277E">
          <w:headerReference w:type="even" r:id="rId306"/>
          <w:headerReference w:type="default" r:id="rId307"/>
          <w:footerReference w:type="even" r:id="rId308"/>
          <w:footerReference w:type="default" r:id="rId309"/>
          <w:headerReference w:type="first" r:id="rId310"/>
          <w:footerReference w:type="first" r:id="rId311"/>
          <w:pgSz w:w="11907" w:h="16840"/>
          <w:pgMar w:top="1134" w:right="1134" w:bottom="1134" w:left="1134" w:header="709" w:footer="709" w:gutter="0"/>
          <w:cols w:space="708"/>
          <w:docGrid w:linePitch="360"/>
        </w:sectPr>
      </w:pPr>
    </w:p>
    <w:p w:rsidR="0043277E" w:rsidRDefault="000F2348">
      <w:pPr>
        <w:pStyle w:val="FinancialYear"/>
        <w:rPr>
          <w:noProof/>
        </w:rPr>
      </w:pPr>
      <w:bookmarkStart w:id="207" w:name="_DMBM_17214"/>
      <w:r>
        <w:rPr>
          <w:noProof/>
        </w:rPr>
        <w:lastRenderedPageBreak/>
        <w:t>UNIA EUROPEJSKA</w:t>
      </w:r>
    </w:p>
    <w:p w:rsidR="0043277E" w:rsidRDefault="000F2348">
      <w:pPr>
        <w:pStyle w:val="FinancialYear"/>
        <w:rPr>
          <w:noProof/>
        </w:rPr>
      </w:pPr>
      <w:r>
        <w:rPr>
          <w:noProof/>
        </w:rPr>
        <w:t>ROK BUDŻETOWY 2019</w:t>
      </w:r>
    </w:p>
    <w:p w:rsidR="0043277E" w:rsidRDefault="0043277E">
      <w:pPr>
        <w:pStyle w:val="FIRSTCHAPTERPAGE2"/>
      </w:pPr>
    </w:p>
    <w:p w:rsidR="0043277E" w:rsidRDefault="0043277E">
      <w:pPr>
        <w:pStyle w:val="FIRSTCHAPTERPAGE2"/>
      </w:pPr>
    </w:p>
    <w:p w:rsidR="0043277E" w:rsidRDefault="0043277E">
      <w:pPr>
        <w:pStyle w:val="FIRSTCHAPTERPAGE2"/>
      </w:pPr>
    </w:p>
    <w:p w:rsidR="0043277E" w:rsidRDefault="0043277E">
      <w:pPr>
        <w:pStyle w:val="FIRSTCHAPTERPAGE2"/>
      </w:pPr>
    </w:p>
    <w:p w:rsidR="0043277E" w:rsidRDefault="000F2348">
      <w:pPr>
        <w:pStyle w:val="FIRSTCHAPTERPAGE"/>
        <w:rPr>
          <w:noProof/>
        </w:rPr>
      </w:pPr>
      <w:bookmarkStart w:id="208" w:name="_Toc390968562"/>
      <w:bookmarkStart w:id="209" w:name="_Toc49418129"/>
      <w:r>
        <w:rPr>
          <w:noProof/>
        </w:rPr>
        <w:t>SPRAWOZDANIA Z WYKONANIA BUDŻETU ORAZ INFORMACJE DODATKOWE</w:t>
      </w:r>
      <w:bookmarkEnd w:id="208"/>
      <w:bookmarkEnd w:id="209"/>
    </w:p>
    <w:p w:rsidR="0043277E" w:rsidRDefault="0043277E">
      <w:pPr>
        <w:pStyle w:val="FIRSTCHAPTERPAGE2"/>
      </w:pPr>
    </w:p>
    <w:p w:rsidR="0043277E" w:rsidRDefault="0043277E">
      <w:pPr>
        <w:pStyle w:val="FIRSTCHAPTERPAGE2"/>
      </w:pPr>
    </w:p>
    <w:p w:rsidR="0043277E" w:rsidRDefault="0043277E">
      <w:pPr>
        <w:pStyle w:val="FIRSTCHAPTERPAGE2"/>
      </w:pPr>
    </w:p>
    <w:p w:rsidR="0043277E" w:rsidRDefault="0043277E">
      <w:pPr>
        <w:pStyle w:val="FIRSTCHAPTERPAGE2"/>
      </w:pPr>
    </w:p>
    <w:p w:rsidR="0043277E" w:rsidRDefault="0043277E">
      <w:pPr>
        <w:pStyle w:val="FIRSTCHAPTERPAGE2"/>
      </w:pPr>
    </w:p>
    <w:p w:rsidR="0043277E" w:rsidRDefault="000F2348">
      <w:pPr>
        <w:pStyle w:val="TOPHEADERNOTE"/>
        <w:rPr>
          <w:noProof/>
        </w:rPr>
        <w:sectPr w:rsidR="0043277E">
          <w:headerReference w:type="even" r:id="rId312"/>
          <w:headerReference w:type="default" r:id="rId313"/>
          <w:footerReference w:type="even" r:id="rId314"/>
          <w:footerReference w:type="default" r:id="rId315"/>
          <w:headerReference w:type="first" r:id="rId316"/>
          <w:footerReference w:type="first" r:id="rId317"/>
          <w:pgSz w:w="11907" w:h="16840" w:code="9"/>
          <w:pgMar w:top="1134" w:right="1134" w:bottom="1134" w:left="1134" w:header="709" w:footer="709" w:gutter="0"/>
          <w:cols w:space="708"/>
          <w:docGrid w:linePitch="360"/>
        </w:sectPr>
      </w:pPr>
      <w:r>
        <w:rPr>
          <w:noProof/>
        </w:rPr>
        <w:t xml:space="preserve">Należy zauważyć, że w związku z zaokrągleniem danych liczbowych do mln </w:t>
      </w:r>
      <w:r>
        <w:rPr>
          <w:noProof/>
        </w:rPr>
        <w:t>EUR może się wydawać, że niektóre dane finansowe w poniższych tabelach nie sumują się.</w:t>
      </w:r>
      <w:bookmarkEnd w:id="207"/>
    </w:p>
    <w:p w:rsidR="0043277E" w:rsidRDefault="000F2348">
      <w:pPr>
        <w:pStyle w:val="HEADERTABLE"/>
        <w:rPr>
          <w:noProof/>
        </w:rPr>
      </w:pPr>
      <w:bookmarkStart w:id="210" w:name="_DMBM_17203"/>
      <w:r>
        <w:rPr>
          <w:noProof/>
        </w:rPr>
        <w:lastRenderedPageBreak/>
        <w:t>SPIS TREŚCI</w:t>
      </w:r>
    </w:p>
    <w:p w:rsidR="0043277E" w:rsidRDefault="0043277E">
      <w:pPr>
        <w:pStyle w:val="HEADERTABLE"/>
        <w:rPr>
          <w:noProof/>
        </w:rPr>
      </w:pPr>
    </w:p>
    <w:p w:rsidR="0043277E" w:rsidRDefault="000F2348">
      <w:pPr>
        <w:pStyle w:val="TOC1"/>
        <w:tabs>
          <w:tab w:val="right" w:leader="dot" w:pos="9629"/>
        </w:tabs>
        <w:rPr>
          <w:rFonts w:asciiTheme="minorHAnsi" w:eastAsiaTheme="minorEastAsia" w:hAnsiTheme="minorHAnsi" w:cstheme="minorBidi"/>
          <w:noProof/>
          <w:color w:val="auto"/>
          <w:szCs w:val="22"/>
          <w:lang w:eastAsia="en-US"/>
        </w:rPr>
      </w:pPr>
      <w:r>
        <w:rPr>
          <w:caps/>
          <w:noProof/>
          <w:color w:val="016894"/>
          <w:sz w:val="20"/>
        </w:rPr>
        <w:fldChar w:fldCharType="begin"/>
      </w:r>
      <w:r>
        <w:rPr>
          <w:caps/>
          <w:noProof/>
          <w:color w:val="016894"/>
          <w:sz w:val="20"/>
        </w:rPr>
        <w:instrText xml:space="preserve"> TOC \o "1-3" \h \z \t "HEADER_TITLE_2;1;HEADER 1_Part BUDG;1;HEADER 2_Part BUDG;2" </w:instrText>
      </w:r>
      <w:r>
        <w:rPr>
          <w:caps/>
          <w:noProof/>
          <w:color w:val="016894"/>
          <w:sz w:val="20"/>
        </w:rPr>
        <w:fldChar w:fldCharType="separate"/>
      </w:r>
      <w:hyperlink w:anchor="_Toc49418824" w:history="1">
        <w:r>
          <w:rPr>
            <w:rStyle w:val="Hyperlink"/>
            <w:noProof/>
          </w:rPr>
          <w:t>WYNIK BUDŻETU UE</w:t>
        </w:r>
        <w:r>
          <w:rPr>
            <w:noProof/>
            <w:webHidden/>
          </w:rPr>
          <w:tab/>
        </w:r>
        <w:r>
          <w:rPr>
            <w:noProof/>
            <w:webHidden/>
          </w:rPr>
          <w:fldChar w:fldCharType="begin"/>
        </w:r>
        <w:r>
          <w:rPr>
            <w:noProof/>
            <w:webHidden/>
          </w:rPr>
          <w:instrText xml:space="preserve"> PAGEREF _Toc49418824 \</w:instrText>
        </w:r>
        <w:r>
          <w:rPr>
            <w:noProof/>
            <w:webHidden/>
          </w:rPr>
          <w:instrText xml:space="preserve">h </w:instrText>
        </w:r>
        <w:r>
          <w:rPr>
            <w:noProof/>
            <w:webHidden/>
          </w:rPr>
        </w:r>
        <w:r>
          <w:rPr>
            <w:noProof/>
            <w:webHidden/>
          </w:rPr>
          <w:fldChar w:fldCharType="separate"/>
        </w:r>
        <w:r>
          <w:rPr>
            <w:noProof/>
            <w:webHidden/>
          </w:rPr>
          <w:t>146</w:t>
        </w:r>
        <w:r>
          <w:rPr>
            <w:noProof/>
            <w:webHidden/>
          </w:rPr>
          <w:fldChar w:fldCharType="end"/>
        </w:r>
      </w:hyperlink>
    </w:p>
    <w:p w:rsidR="0043277E" w:rsidRDefault="000F2348">
      <w:pPr>
        <w:pStyle w:val="TOC1"/>
        <w:tabs>
          <w:tab w:val="right" w:leader="dot" w:pos="9629"/>
        </w:tabs>
        <w:rPr>
          <w:rFonts w:asciiTheme="minorHAnsi" w:eastAsiaTheme="minorEastAsia" w:hAnsiTheme="minorHAnsi" w:cstheme="minorBidi"/>
          <w:noProof/>
          <w:color w:val="auto"/>
          <w:szCs w:val="22"/>
          <w:lang w:eastAsia="en-US"/>
        </w:rPr>
      </w:pPr>
      <w:hyperlink w:anchor="_Toc49418825" w:history="1">
        <w:r>
          <w:rPr>
            <w:rStyle w:val="Hyperlink"/>
            <w:noProof/>
          </w:rPr>
          <w:t>ZESTAWIENIE PORÓWNAWCZE KWOT UJĘTYCH W BUDŻECIE Z KWOTAMI RZECZYWISTYMI</w:t>
        </w:r>
        <w:r>
          <w:rPr>
            <w:noProof/>
            <w:webHidden/>
          </w:rPr>
          <w:tab/>
        </w:r>
        <w:r>
          <w:rPr>
            <w:noProof/>
            <w:webHidden/>
          </w:rPr>
          <w:fldChar w:fldCharType="begin"/>
        </w:r>
        <w:r>
          <w:rPr>
            <w:noProof/>
            <w:webHidden/>
          </w:rPr>
          <w:instrText xml:space="preserve"> PAGEREF _Toc49418825 \h </w:instrText>
        </w:r>
        <w:r>
          <w:rPr>
            <w:noProof/>
            <w:webHidden/>
          </w:rPr>
        </w:r>
        <w:r>
          <w:rPr>
            <w:noProof/>
            <w:webHidden/>
          </w:rPr>
          <w:fldChar w:fldCharType="separate"/>
        </w:r>
        <w:r>
          <w:rPr>
            <w:noProof/>
            <w:webHidden/>
          </w:rPr>
          <w:t>147</w:t>
        </w:r>
        <w:r>
          <w:rPr>
            <w:noProof/>
            <w:webHidden/>
          </w:rPr>
          <w:fldChar w:fldCharType="end"/>
        </w:r>
      </w:hyperlink>
    </w:p>
    <w:p w:rsidR="0043277E" w:rsidRDefault="000F2348">
      <w:pPr>
        <w:pStyle w:val="TOC1"/>
        <w:tabs>
          <w:tab w:val="right" w:leader="dot" w:pos="9629"/>
        </w:tabs>
        <w:rPr>
          <w:rFonts w:asciiTheme="minorHAnsi" w:eastAsiaTheme="minorEastAsia" w:hAnsiTheme="minorHAnsi" w:cstheme="minorBidi"/>
          <w:noProof/>
          <w:color w:val="auto"/>
          <w:szCs w:val="22"/>
          <w:lang w:eastAsia="en-US"/>
        </w:rPr>
      </w:pPr>
      <w:hyperlink w:anchor="_Toc49418826" w:history="1">
        <w:r>
          <w:rPr>
            <w:rStyle w:val="Hyperlink"/>
            <w:noProof/>
          </w:rPr>
          <w:t>INFORMACJE DODATKOWE DO SPRAWOZDAŃ Z WYKONANIA BUDŻETU</w:t>
        </w:r>
        <w:r>
          <w:rPr>
            <w:noProof/>
            <w:webHidden/>
          </w:rPr>
          <w:tab/>
        </w:r>
        <w:r>
          <w:rPr>
            <w:noProof/>
            <w:webHidden/>
          </w:rPr>
          <w:fldChar w:fldCharType="begin"/>
        </w:r>
        <w:r>
          <w:rPr>
            <w:noProof/>
            <w:webHidden/>
          </w:rPr>
          <w:instrText xml:space="preserve"> PAGEREF _Toc49418826 \h </w:instrText>
        </w:r>
        <w:r>
          <w:rPr>
            <w:noProof/>
            <w:webHidden/>
          </w:rPr>
        </w:r>
        <w:r>
          <w:rPr>
            <w:noProof/>
            <w:webHidden/>
          </w:rPr>
          <w:fldChar w:fldCharType="separate"/>
        </w:r>
        <w:r>
          <w:rPr>
            <w:noProof/>
            <w:webHidden/>
          </w:rPr>
          <w:t>149</w:t>
        </w:r>
        <w:r>
          <w:rPr>
            <w:noProof/>
            <w:webHidden/>
          </w:rPr>
          <w:fldChar w:fldCharType="end"/>
        </w:r>
      </w:hyperlink>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hyperlink w:anchor="_Toc49418827"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eastAsia="en-US"/>
          </w:rPr>
          <w:tab/>
        </w:r>
        <w:r>
          <w:rPr>
            <w:rStyle w:val="Hyperlink"/>
            <w:noProof/>
          </w:rPr>
          <w:t>RAMY BUDŻETU UE</w:t>
        </w:r>
        <w:r>
          <w:rPr>
            <w:noProof/>
            <w:webHidden/>
          </w:rPr>
          <w:tab/>
        </w:r>
        <w:r>
          <w:rPr>
            <w:noProof/>
            <w:webHidden/>
          </w:rPr>
          <w:fldChar w:fldCharType="begin"/>
        </w:r>
        <w:r>
          <w:rPr>
            <w:noProof/>
            <w:webHidden/>
          </w:rPr>
          <w:instrText xml:space="preserve"> PAGEREF _Toc49418827 \h </w:instrText>
        </w:r>
        <w:r>
          <w:rPr>
            <w:noProof/>
            <w:webHidden/>
          </w:rPr>
        </w:r>
        <w:r>
          <w:rPr>
            <w:noProof/>
            <w:webHidden/>
          </w:rPr>
          <w:fldChar w:fldCharType="separate"/>
        </w:r>
        <w:r>
          <w:rPr>
            <w:noProof/>
            <w:webHidden/>
          </w:rPr>
          <w:t>149</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28" w:history="1">
        <w:r>
          <w:rPr>
            <w:rStyle w:val="Hyperlink"/>
            <w:noProof/>
          </w:rPr>
          <w:t>1.1.</w:t>
        </w:r>
        <w:r>
          <w:rPr>
            <w:rFonts w:asciiTheme="minorHAnsi" w:eastAsiaTheme="minorEastAsia" w:hAnsiTheme="minorHAnsi" w:cstheme="minorBidi"/>
            <w:noProof/>
            <w:color w:val="auto"/>
            <w:szCs w:val="22"/>
            <w:lang w:eastAsia="en-US"/>
          </w:rPr>
          <w:tab/>
        </w:r>
        <w:r>
          <w:rPr>
            <w:rStyle w:val="Hyperlink"/>
            <w:noProof/>
          </w:rPr>
          <w:t>WIELOLETNIE RAMY FINANSOWE NA LATA 2014–2020</w:t>
        </w:r>
        <w:r>
          <w:rPr>
            <w:noProof/>
            <w:webHidden/>
          </w:rPr>
          <w:tab/>
        </w:r>
        <w:r>
          <w:rPr>
            <w:noProof/>
            <w:webHidden/>
          </w:rPr>
          <w:fldChar w:fldCharType="begin"/>
        </w:r>
        <w:r>
          <w:rPr>
            <w:noProof/>
            <w:webHidden/>
          </w:rPr>
          <w:instrText xml:space="preserve"> PAGEREF _Toc49418828 \h </w:instrText>
        </w:r>
        <w:r>
          <w:rPr>
            <w:noProof/>
            <w:webHidden/>
          </w:rPr>
        </w:r>
        <w:r>
          <w:rPr>
            <w:noProof/>
            <w:webHidden/>
          </w:rPr>
          <w:fldChar w:fldCharType="separate"/>
        </w:r>
        <w:r>
          <w:rPr>
            <w:noProof/>
            <w:webHidden/>
          </w:rPr>
          <w:t>149</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29" w:history="1">
        <w:r>
          <w:rPr>
            <w:rStyle w:val="Hyperlink"/>
            <w:noProof/>
          </w:rPr>
          <w:t>1.2.</w:t>
        </w:r>
        <w:r>
          <w:rPr>
            <w:rFonts w:asciiTheme="minorHAnsi" w:eastAsiaTheme="minorEastAsia" w:hAnsiTheme="minorHAnsi" w:cstheme="minorBidi"/>
            <w:noProof/>
            <w:color w:val="auto"/>
            <w:szCs w:val="22"/>
            <w:lang w:eastAsia="en-US"/>
          </w:rPr>
          <w:tab/>
        </w:r>
        <w:r>
          <w:rPr>
            <w:rStyle w:val="Hyperlink"/>
            <w:noProof/>
          </w:rPr>
          <w:t>SZCZEGÓŁOWE DZIAŁY WRF (PROGRAMY)</w:t>
        </w:r>
        <w:r>
          <w:rPr>
            <w:noProof/>
            <w:webHidden/>
          </w:rPr>
          <w:tab/>
        </w:r>
        <w:r>
          <w:rPr>
            <w:noProof/>
            <w:webHidden/>
          </w:rPr>
          <w:fldChar w:fldCharType="begin"/>
        </w:r>
        <w:r>
          <w:rPr>
            <w:noProof/>
            <w:webHidden/>
          </w:rPr>
          <w:instrText xml:space="preserve"> PAGEREF _Toc49418829 \h </w:instrText>
        </w:r>
        <w:r>
          <w:rPr>
            <w:noProof/>
            <w:webHidden/>
          </w:rPr>
        </w:r>
        <w:r>
          <w:rPr>
            <w:noProof/>
            <w:webHidden/>
          </w:rPr>
          <w:fldChar w:fldCharType="separate"/>
        </w:r>
        <w:r>
          <w:rPr>
            <w:noProof/>
            <w:webHidden/>
          </w:rPr>
          <w:t>150</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30" w:history="1">
        <w:r>
          <w:rPr>
            <w:rStyle w:val="Hyperlink"/>
            <w:noProof/>
          </w:rPr>
          <w:t>1.3.</w:t>
        </w:r>
        <w:r>
          <w:rPr>
            <w:rFonts w:asciiTheme="minorHAnsi" w:eastAsiaTheme="minorEastAsia" w:hAnsiTheme="minorHAnsi" w:cstheme="minorBidi"/>
            <w:noProof/>
            <w:color w:val="auto"/>
            <w:szCs w:val="22"/>
            <w:lang w:eastAsia="en-US"/>
          </w:rPr>
          <w:tab/>
        </w:r>
        <w:r>
          <w:rPr>
            <w:rStyle w:val="Hyperlink"/>
            <w:noProof/>
          </w:rPr>
          <w:t>BUDŻET ROCZNY</w:t>
        </w:r>
        <w:r>
          <w:rPr>
            <w:noProof/>
            <w:webHidden/>
          </w:rPr>
          <w:tab/>
        </w:r>
        <w:r>
          <w:rPr>
            <w:noProof/>
            <w:webHidden/>
          </w:rPr>
          <w:fldChar w:fldCharType="begin"/>
        </w:r>
        <w:r>
          <w:rPr>
            <w:noProof/>
            <w:webHidden/>
          </w:rPr>
          <w:instrText xml:space="preserve"> PAGEREF _Toc49418830 \h </w:instrText>
        </w:r>
        <w:r>
          <w:rPr>
            <w:noProof/>
            <w:webHidden/>
          </w:rPr>
        </w:r>
        <w:r>
          <w:rPr>
            <w:noProof/>
            <w:webHidden/>
          </w:rPr>
          <w:fldChar w:fldCharType="separate"/>
        </w:r>
        <w:r>
          <w:rPr>
            <w:noProof/>
            <w:webHidden/>
          </w:rPr>
          <w:t>152</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31" w:history="1">
        <w:r>
          <w:rPr>
            <w:rStyle w:val="Hyperlink"/>
            <w:noProof/>
          </w:rPr>
          <w:t>1.4.</w:t>
        </w:r>
        <w:r>
          <w:rPr>
            <w:rFonts w:asciiTheme="minorHAnsi" w:eastAsiaTheme="minorEastAsia" w:hAnsiTheme="minorHAnsi" w:cstheme="minorBidi"/>
            <w:noProof/>
            <w:color w:val="auto"/>
            <w:szCs w:val="22"/>
            <w:lang w:eastAsia="en-US"/>
          </w:rPr>
          <w:tab/>
        </w:r>
        <w:r>
          <w:rPr>
            <w:rStyle w:val="Hyperlink"/>
            <w:noProof/>
          </w:rPr>
          <w:t>DOCHODY</w:t>
        </w:r>
        <w:r>
          <w:rPr>
            <w:noProof/>
            <w:webHidden/>
          </w:rPr>
          <w:tab/>
        </w:r>
        <w:r>
          <w:rPr>
            <w:noProof/>
            <w:webHidden/>
          </w:rPr>
          <w:fldChar w:fldCharType="begin"/>
        </w:r>
        <w:r>
          <w:rPr>
            <w:noProof/>
            <w:webHidden/>
          </w:rPr>
          <w:instrText xml:space="preserve"> </w:instrText>
        </w:r>
        <w:r>
          <w:rPr>
            <w:noProof/>
            <w:webHidden/>
          </w:rPr>
          <w:instrText xml:space="preserve">PAGEREF _Toc49418831 \h </w:instrText>
        </w:r>
        <w:r>
          <w:rPr>
            <w:noProof/>
            <w:webHidden/>
          </w:rPr>
        </w:r>
        <w:r>
          <w:rPr>
            <w:noProof/>
            <w:webHidden/>
          </w:rPr>
          <w:fldChar w:fldCharType="separate"/>
        </w:r>
        <w:r>
          <w:rPr>
            <w:noProof/>
            <w:webHidden/>
          </w:rPr>
          <w:t>153</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32" w:history="1">
        <w:r>
          <w:rPr>
            <w:rStyle w:val="Hyperlink"/>
            <w:noProof/>
          </w:rPr>
          <w:t>1.5.</w:t>
        </w:r>
        <w:r>
          <w:rPr>
            <w:rFonts w:asciiTheme="minorHAnsi" w:eastAsiaTheme="minorEastAsia" w:hAnsiTheme="minorHAnsi" w:cstheme="minorBidi"/>
            <w:noProof/>
            <w:color w:val="auto"/>
            <w:szCs w:val="22"/>
            <w:lang w:eastAsia="en-US"/>
          </w:rPr>
          <w:tab/>
        </w:r>
        <w:r>
          <w:rPr>
            <w:rStyle w:val="Hyperlink"/>
            <w:noProof/>
          </w:rPr>
          <w:t>OBLICZENIE WYNIKU BUDŻETU</w:t>
        </w:r>
        <w:r>
          <w:rPr>
            <w:noProof/>
            <w:webHidden/>
          </w:rPr>
          <w:tab/>
        </w:r>
        <w:r>
          <w:rPr>
            <w:noProof/>
            <w:webHidden/>
          </w:rPr>
          <w:fldChar w:fldCharType="begin"/>
        </w:r>
        <w:r>
          <w:rPr>
            <w:noProof/>
            <w:webHidden/>
          </w:rPr>
          <w:instrText xml:space="preserve"> PAGEREF _Toc49418832 \h </w:instrText>
        </w:r>
        <w:r>
          <w:rPr>
            <w:noProof/>
            <w:webHidden/>
          </w:rPr>
        </w:r>
        <w:r>
          <w:rPr>
            <w:noProof/>
            <w:webHidden/>
          </w:rPr>
          <w:fldChar w:fldCharType="separate"/>
        </w:r>
        <w:r>
          <w:rPr>
            <w:noProof/>
            <w:webHidden/>
          </w:rPr>
          <w:t>154</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33" w:history="1">
        <w:r>
          <w:rPr>
            <w:rStyle w:val="Hyperlink"/>
            <w:noProof/>
          </w:rPr>
          <w:t>1.6.</w:t>
        </w:r>
        <w:r>
          <w:rPr>
            <w:rFonts w:asciiTheme="minorHAnsi" w:eastAsiaTheme="minorEastAsia" w:hAnsiTheme="minorHAnsi" w:cstheme="minorBidi"/>
            <w:noProof/>
            <w:color w:val="auto"/>
            <w:szCs w:val="22"/>
            <w:lang w:eastAsia="en-US"/>
          </w:rPr>
          <w:tab/>
        </w:r>
        <w:r>
          <w:rPr>
            <w:rStyle w:val="Hyperlink"/>
            <w:noProof/>
          </w:rPr>
          <w:t>UZGODNIENIE WYNIKU EKONOMICZNEGO Z WYNIKIEM BUDŻETU</w:t>
        </w:r>
        <w:r>
          <w:rPr>
            <w:noProof/>
            <w:webHidden/>
          </w:rPr>
          <w:tab/>
        </w:r>
        <w:r>
          <w:rPr>
            <w:noProof/>
            <w:webHidden/>
          </w:rPr>
          <w:fldChar w:fldCharType="begin"/>
        </w:r>
        <w:r>
          <w:rPr>
            <w:noProof/>
            <w:webHidden/>
          </w:rPr>
          <w:instrText xml:space="preserve"> PAGEREF _Toc49418833 \h </w:instrText>
        </w:r>
        <w:r>
          <w:rPr>
            <w:noProof/>
            <w:webHidden/>
          </w:rPr>
        </w:r>
        <w:r>
          <w:rPr>
            <w:noProof/>
            <w:webHidden/>
          </w:rPr>
          <w:fldChar w:fldCharType="separate"/>
        </w:r>
        <w:r>
          <w:rPr>
            <w:noProof/>
            <w:webHidden/>
          </w:rPr>
          <w:t>155</w:t>
        </w:r>
        <w:r>
          <w:rPr>
            <w:noProof/>
            <w:webHidden/>
          </w:rPr>
          <w:fldChar w:fldCharType="end"/>
        </w:r>
      </w:hyperlink>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hyperlink w:anchor="_Toc49418834"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eastAsia="en-US"/>
          </w:rPr>
          <w:tab/>
        </w:r>
        <w:r>
          <w:rPr>
            <w:rStyle w:val="Hyperlink"/>
            <w:noProof/>
          </w:rPr>
          <w:t>WYKONANIE BUDŻETU UE NA 2019 r. – KOMENTARZ</w:t>
        </w:r>
        <w:r>
          <w:rPr>
            <w:noProof/>
            <w:webHidden/>
          </w:rPr>
          <w:tab/>
        </w:r>
        <w:r>
          <w:rPr>
            <w:noProof/>
            <w:webHidden/>
          </w:rPr>
          <w:fldChar w:fldCharType="begin"/>
        </w:r>
        <w:r>
          <w:rPr>
            <w:noProof/>
            <w:webHidden/>
          </w:rPr>
          <w:instrText xml:space="preserve"> PAGEREF _Toc49418834 \h </w:instrText>
        </w:r>
        <w:r>
          <w:rPr>
            <w:noProof/>
            <w:webHidden/>
          </w:rPr>
        </w:r>
        <w:r>
          <w:rPr>
            <w:noProof/>
            <w:webHidden/>
          </w:rPr>
          <w:fldChar w:fldCharType="separate"/>
        </w:r>
        <w:r>
          <w:rPr>
            <w:noProof/>
            <w:webHidden/>
          </w:rPr>
          <w:t>157</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35" w:history="1">
        <w:r>
          <w:rPr>
            <w:rStyle w:val="Hyperlink"/>
            <w:noProof/>
          </w:rPr>
          <w:t>2.1.</w:t>
        </w:r>
        <w:r>
          <w:rPr>
            <w:rFonts w:asciiTheme="minorHAnsi" w:eastAsiaTheme="minorEastAsia" w:hAnsiTheme="minorHAnsi" w:cstheme="minorBidi"/>
            <w:noProof/>
            <w:color w:val="auto"/>
            <w:szCs w:val="22"/>
            <w:lang w:eastAsia="en-US"/>
          </w:rPr>
          <w:tab/>
        </w:r>
        <w:r>
          <w:rPr>
            <w:rStyle w:val="Hyperlink"/>
            <w:noProof/>
          </w:rPr>
          <w:t>DOCHODY</w:t>
        </w:r>
        <w:r>
          <w:rPr>
            <w:noProof/>
            <w:webHidden/>
          </w:rPr>
          <w:tab/>
        </w:r>
        <w:r>
          <w:rPr>
            <w:noProof/>
            <w:webHidden/>
          </w:rPr>
          <w:fldChar w:fldCharType="begin"/>
        </w:r>
        <w:r>
          <w:rPr>
            <w:noProof/>
            <w:webHidden/>
          </w:rPr>
          <w:instrText xml:space="preserve"> PAGEREF _Toc49418835 \h </w:instrText>
        </w:r>
        <w:r>
          <w:rPr>
            <w:noProof/>
            <w:webHidden/>
          </w:rPr>
        </w:r>
        <w:r>
          <w:rPr>
            <w:noProof/>
            <w:webHidden/>
          </w:rPr>
          <w:fldChar w:fldCharType="separate"/>
        </w:r>
        <w:r>
          <w:rPr>
            <w:noProof/>
            <w:webHidden/>
          </w:rPr>
          <w:t>157</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36" w:history="1">
        <w:r>
          <w:rPr>
            <w:rStyle w:val="Hyperlink"/>
            <w:noProof/>
          </w:rPr>
          <w:t>2.2.</w:t>
        </w:r>
        <w:r>
          <w:rPr>
            <w:rFonts w:asciiTheme="minorHAnsi" w:eastAsiaTheme="minorEastAsia" w:hAnsiTheme="minorHAnsi" w:cstheme="minorBidi"/>
            <w:noProof/>
            <w:color w:val="auto"/>
            <w:szCs w:val="22"/>
            <w:lang w:eastAsia="en-US"/>
          </w:rPr>
          <w:tab/>
        </w:r>
        <w:r>
          <w:rPr>
            <w:rStyle w:val="Hyperlink"/>
            <w:noProof/>
          </w:rPr>
          <w:t>WYDATKI</w:t>
        </w:r>
        <w:r>
          <w:rPr>
            <w:noProof/>
            <w:webHidden/>
          </w:rPr>
          <w:tab/>
        </w:r>
        <w:r>
          <w:rPr>
            <w:noProof/>
            <w:webHidden/>
          </w:rPr>
          <w:fldChar w:fldCharType="begin"/>
        </w:r>
        <w:r>
          <w:rPr>
            <w:noProof/>
            <w:webHidden/>
          </w:rPr>
          <w:instrText xml:space="preserve"> PAGEREF _Toc49418836 \h </w:instrText>
        </w:r>
        <w:r>
          <w:rPr>
            <w:noProof/>
            <w:webHidden/>
          </w:rPr>
        </w:r>
        <w:r>
          <w:rPr>
            <w:noProof/>
            <w:webHidden/>
          </w:rPr>
          <w:fldChar w:fldCharType="separate"/>
        </w:r>
        <w:r>
          <w:rPr>
            <w:noProof/>
            <w:webHidden/>
          </w:rPr>
          <w:t>157</w:t>
        </w:r>
        <w:r>
          <w:rPr>
            <w:noProof/>
            <w:webHidden/>
          </w:rPr>
          <w:fldChar w:fldCharType="end"/>
        </w:r>
      </w:hyperlink>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hyperlink w:anchor="_Toc49418837"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eastAsia="en-US"/>
          </w:rPr>
          <w:tab/>
        </w:r>
        <w:r>
          <w:rPr>
            <w:rStyle w:val="Hyperlink"/>
            <w:noProof/>
          </w:rPr>
          <w:t>WYKONANIE DOCHODÓW BUDŻETOWYCH UE</w:t>
        </w:r>
        <w:r>
          <w:rPr>
            <w:noProof/>
            <w:webHidden/>
          </w:rPr>
          <w:tab/>
        </w:r>
        <w:r>
          <w:rPr>
            <w:noProof/>
            <w:webHidden/>
          </w:rPr>
          <w:fldChar w:fldCharType="begin"/>
        </w:r>
        <w:r>
          <w:rPr>
            <w:noProof/>
            <w:webHidden/>
          </w:rPr>
          <w:instrText xml:space="preserve"> PAGEREF _Toc49418837 \h </w:instrText>
        </w:r>
        <w:r>
          <w:rPr>
            <w:noProof/>
            <w:webHidden/>
          </w:rPr>
        </w:r>
        <w:r>
          <w:rPr>
            <w:noProof/>
            <w:webHidden/>
          </w:rPr>
          <w:fldChar w:fldCharType="separate"/>
        </w:r>
        <w:r>
          <w:rPr>
            <w:noProof/>
            <w:webHidden/>
          </w:rPr>
          <w:t>159</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38" w:history="1">
        <w:r>
          <w:rPr>
            <w:rStyle w:val="Hyperlink"/>
            <w:noProof/>
          </w:rPr>
          <w:t>3.1.</w:t>
        </w:r>
        <w:r>
          <w:rPr>
            <w:rFonts w:asciiTheme="minorHAnsi" w:eastAsiaTheme="minorEastAsia" w:hAnsiTheme="minorHAnsi" w:cstheme="minorBidi"/>
            <w:noProof/>
            <w:color w:val="auto"/>
            <w:szCs w:val="22"/>
            <w:lang w:eastAsia="en-US"/>
          </w:rPr>
          <w:tab/>
        </w:r>
        <w:r>
          <w:rPr>
            <w:rStyle w:val="Hyperlink"/>
            <w:noProof/>
          </w:rPr>
          <w:t>ZESTAWIENIE WYKONANIA DOCHODÓW BUDŻETOWYCH UE</w:t>
        </w:r>
        <w:r>
          <w:rPr>
            <w:noProof/>
            <w:webHidden/>
          </w:rPr>
          <w:tab/>
        </w:r>
        <w:r>
          <w:rPr>
            <w:noProof/>
            <w:webHidden/>
          </w:rPr>
          <w:fldChar w:fldCharType="begin"/>
        </w:r>
        <w:r>
          <w:rPr>
            <w:noProof/>
            <w:webHidden/>
          </w:rPr>
          <w:instrText xml:space="preserve"> PAGEREF _Toc49418838 \h </w:instrText>
        </w:r>
        <w:r>
          <w:rPr>
            <w:noProof/>
            <w:webHidden/>
          </w:rPr>
        </w:r>
        <w:r>
          <w:rPr>
            <w:noProof/>
            <w:webHidden/>
          </w:rPr>
          <w:fldChar w:fldCharType="separate"/>
        </w:r>
        <w:r>
          <w:rPr>
            <w:noProof/>
            <w:webHidden/>
          </w:rPr>
          <w:t>159</w:t>
        </w:r>
        <w:r>
          <w:rPr>
            <w:noProof/>
            <w:webHidden/>
          </w:rPr>
          <w:fldChar w:fldCharType="end"/>
        </w:r>
      </w:hyperlink>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hyperlink w:anchor="_Toc49418839"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eastAsia="en-US"/>
          </w:rPr>
          <w:tab/>
        </w:r>
        <w:r>
          <w:rPr>
            <w:rStyle w:val="Hyperlink"/>
            <w:noProof/>
          </w:rPr>
          <w:t>WYKONANIE WYDATKÓW BUDŻETOWYCH UE</w:t>
        </w:r>
        <w:r>
          <w:rPr>
            <w:noProof/>
            <w:webHidden/>
          </w:rPr>
          <w:tab/>
        </w:r>
        <w:r>
          <w:rPr>
            <w:noProof/>
            <w:webHidden/>
          </w:rPr>
          <w:fldChar w:fldCharType="begin"/>
        </w:r>
        <w:r>
          <w:rPr>
            <w:noProof/>
            <w:webHidden/>
          </w:rPr>
          <w:instrText xml:space="preserve"> PAGEREF _Toc49418839 \h </w:instrText>
        </w:r>
        <w:r>
          <w:rPr>
            <w:noProof/>
            <w:webHidden/>
          </w:rPr>
        </w:r>
        <w:r>
          <w:rPr>
            <w:noProof/>
            <w:webHidden/>
          </w:rPr>
          <w:fldChar w:fldCharType="separate"/>
        </w:r>
        <w:r>
          <w:rPr>
            <w:noProof/>
            <w:webHidden/>
          </w:rPr>
          <w:t>161</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0" w:history="1">
        <w:r>
          <w:rPr>
            <w:rStyle w:val="Hyperlink"/>
            <w:noProof/>
          </w:rPr>
          <w:t>4.1.</w:t>
        </w:r>
        <w:r>
          <w:rPr>
            <w:rFonts w:asciiTheme="minorHAnsi" w:eastAsiaTheme="minorEastAsia" w:hAnsiTheme="minorHAnsi" w:cstheme="minorBidi"/>
            <w:noProof/>
            <w:color w:val="auto"/>
            <w:szCs w:val="22"/>
            <w:lang w:eastAsia="en-US"/>
          </w:rPr>
          <w:tab/>
        </w:r>
        <w:r>
          <w:rPr>
            <w:rStyle w:val="Hyperlink"/>
            <w:noProof/>
          </w:rPr>
          <w:t>WRF: STRUKTURA I ZMIANY STANU ŚRODKÓW NA ZOBOWIĄZANIA I ŚRODKÓW NA PŁATNOŚCI</w:t>
        </w:r>
        <w:r>
          <w:rPr>
            <w:noProof/>
            <w:webHidden/>
          </w:rPr>
          <w:tab/>
        </w:r>
        <w:r>
          <w:rPr>
            <w:noProof/>
            <w:webHidden/>
          </w:rPr>
          <w:fldChar w:fldCharType="begin"/>
        </w:r>
        <w:r>
          <w:rPr>
            <w:noProof/>
            <w:webHidden/>
          </w:rPr>
          <w:instrText xml:space="preserve"> PAGEREF _Toc49418840 \h </w:instrText>
        </w:r>
        <w:r>
          <w:rPr>
            <w:noProof/>
            <w:webHidden/>
          </w:rPr>
        </w:r>
        <w:r>
          <w:rPr>
            <w:noProof/>
            <w:webHidden/>
          </w:rPr>
          <w:fldChar w:fldCharType="separate"/>
        </w:r>
        <w:r>
          <w:rPr>
            <w:noProof/>
            <w:webHidden/>
          </w:rPr>
          <w:t>161</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1" w:history="1">
        <w:r>
          <w:rPr>
            <w:rStyle w:val="Hyperlink"/>
            <w:noProof/>
          </w:rPr>
          <w:t>4.2.</w:t>
        </w:r>
        <w:r>
          <w:rPr>
            <w:rFonts w:asciiTheme="minorHAnsi" w:eastAsiaTheme="minorEastAsia" w:hAnsiTheme="minorHAnsi" w:cstheme="minorBidi"/>
            <w:noProof/>
            <w:color w:val="auto"/>
            <w:szCs w:val="22"/>
            <w:lang w:eastAsia="en-US"/>
          </w:rPr>
          <w:tab/>
        </w:r>
        <w:r>
          <w:rPr>
            <w:rStyle w:val="Hyperlink"/>
            <w:noProof/>
          </w:rPr>
          <w:t>WRF: WYKONANIE ŚRODKÓW NA ZOBOWIĄZANIA</w:t>
        </w:r>
        <w:r>
          <w:rPr>
            <w:noProof/>
            <w:webHidden/>
          </w:rPr>
          <w:tab/>
        </w:r>
        <w:r>
          <w:rPr>
            <w:noProof/>
            <w:webHidden/>
          </w:rPr>
          <w:fldChar w:fldCharType="begin"/>
        </w:r>
        <w:r>
          <w:rPr>
            <w:noProof/>
            <w:webHidden/>
          </w:rPr>
          <w:instrText xml:space="preserve"> PAGEREF _Toc49418841 \h </w:instrText>
        </w:r>
        <w:r>
          <w:rPr>
            <w:noProof/>
            <w:webHidden/>
          </w:rPr>
        </w:r>
        <w:r>
          <w:rPr>
            <w:noProof/>
            <w:webHidden/>
          </w:rPr>
          <w:fldChar w:fldCharType="separate"/>
        </w:r>
        <w:r>
          <w:rPr>
            <w:noProof/>
            <w:webHidden/>
          </w:rPr>
          <w:t>163</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2" w:history="1">
        <w:r>
          <w:rPr>
            <w:rStyle w:val="Hyperlink"/>
            <w:noProof/>
          </w:rPr>
          <w:t>4.3.</w:t>
        </w:r>
        <w:r>
          <w:rPr>
            <w:rFonts w:asciiTheme="minorHAnsi" w:eastAsiaTheme="minorEastAsia" w:hAnsiTheme="minorHAnsi" w:cstheme="minorBidi"/>
            <w:noProof/>
            <w:color w:val="auto"/>
            <w:szCs w:val="22"/>
            <w:lang w:eastAsia="en-US"/>
          </w:rPr>
          <w:tab/>
        </w:r>
        <w:r>
          <w:rPr>
            <w:rStyle w:val="Hyperlink"/>
            <w:noProof/>
          </w:rPr>
          <w:t xml:space="preserve">WRF: WYKONANIE ŚRODKÓW NA </w:t>
        </w:r>
        <w:r>
          <w:rPr>
            <w:rStyle w:val="Hyperlink"/>
            <w:noProof/>
          </w:rPr>
          <w:t>PŁATNOŚCI</w:t>
        </w:r>
        <w:r>
          <w:rPr>
            <w:noProof/>
            <w:webHidden/>
          </w:rPr>
          <w:tab/>
        </w:r>
        <w:r>
          <w:rPr>
            <w:noProof/>
            <w:webHidden/>
          </w:rPr>
          <w:fldChar w:fldCharType="begin"/>
        </w:r>
        <w:r>
          <w:rPr>
            <w:noProof/>
            <w:webHidden/>
          </w:rPr>
          <w:instrText xml:space="preserve"> PAGEREF _Toc49418842 \h </w:instrText>
        </w:r>
        <w:r>
          <w:rPr>
            <w:noProof/>
            <w:webHidden/>
          </w:rPr>
        </w:r>
        <w:r>
          <w:rPr>
            <w:noProof/>
            <w:webHidden/>
          </w:rPr>
          <w:fldChar w:fldCharType="separate"/>
        </w:r>
        <w:r>
          <w:rPr>
            <w:noProof/>
            <w:webHidden/>
          </w:rPr>
          <w:t>165</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3" w:history="1">
        <w:r>
          <w:rPr>
            <w:rStyle w:val="Hyperlink"/>
            <w:noProof/>
          </w:rPr>
          <w:t>4.4.</w:t>
        </w:r>
        <w:r>
          <w:rPr>
            <w:rFonts w:asciiTheme="minorHAnsi" w:eastAsiaTheme="minorEastAsia" w:hAnsiTheme="minorHAnsi" w:cstheme="minorBidi"/>
            <w:noProof/>
            <w:color w:val="auto"/>
            <w:szCs w:val="22"/>
            <w:lang w:eastAsia="en-US"/>
          </w:rPr>
          <w:tab/>
        </w:r>
        <w:r>
          <w:rPr>
            <w:rStyle w:val="Hyperlink"/>
            <w:noProof/>
          </w:rPr>
          <w:t>WRF: ZMIANA STANU ZOBOWIĄZAŃ POZOSTAJĄCYCH DO SPŁATY (RAL)</w:t>
        </w:r>
        <w:r>
          <w:rPr>
            <w:noProof/>
            <w:webHidden/>
          </w:rPr>
          <w:tab/>
        </w:r>
        <w:r>
          <w:rPr>
            <w:noProof/>
            <w:webHidden/>
          </w:rPr>
          <w:fldChar w:fldCharType="begin"/>
        </w:r>
        <w:r>
          <w:rPr>
            <w:noProof/>
            <w:webHidden/>
          </w:rPr>
          <w:instrText xml:space="preserve"> PAGEREF _Toc49418843 \h </w:instrText>
        </w:r>
        <w:r>
          <w:rPr>
            <w:noProof/>
            <w:webHidden/>
          </w:rPr>
        </w:r>
        <w:r>
          <w:rPr>
            <w:noProof/>
            <w:webHidden/>
          </w:rPr>
          <w:fldChar w:fldCharType="separate"/>
        </w:r>
        <w:r>
          <w:rPr>
            <w:noProof/>
            <w:webHidden/>
          </w:rPr>
          <w:t>167</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4" w:history="1">
        <w:r>
          <w:rPr>
            <w:rStyle w:val="Hyperlink"/>
            <w:noProof/>
          </w:rPr>
          <w:t>4.5.</w:t>
        </w:r>
        <w:r>
          <w:rPr>
            <w:rFonts w:asciiTheme="minorHAnsi" w:eastAsiaTheme="minorEastAsia" w:hAnsiTheme="minorHAnsi" w:cstheme="minorBidi"/>
            <w:noProof/>
            <w:color w:val="auto"/>
            <w:szCs w:val="22"/>
            <w:lang w:eastAsia="en-US"/>
          </w:rPr>
          <w:tab/>
        </w:r>
        <w:r>
          <w:rPr>
            <w:rStyle w:val="Hyperlink"/>
            <w:noProof/>
          </w:rPr>
          <w:t>WRF: ZOBOWIĄZANIA POZOSTAJĄCE DO SPŁATY WEDŁUG ROKU POWSTANIA ZOBOWIĄZANIA</w:t>
        </w:r>
        <w:r>
          <w:rPr>
            <w:noProof/>
            <w:webHidden/>
          </w:rPr>
          <w:tab/>
        </w:r>
        <w:r>
          <w:rPr>
            <w:noProof/>
            <w:webHidden/>
          </w:rPr>
          <w:fldChar w:fldCharType="begin"/>
        </w:r>
        <w:r>
          <w:rPr>
            <w:noProof/>
            <w:webHidden/>
          </w:rPr>
          <w:instrText xml:space="preserve"> PAGEREF _Toc49418844 \h </w:instrText>
        </w:r>
        <w:r>
          <w:rPr>
            <w:noProof/>
            <w:webHidden/>
          </w:rPr>
        </w:r>
        <w:r>
          <w:rPr>
            <w:noProof/>
            <w:webHidden/>
          </w:rPr>
          <w:fldChar w:fldCharType="separate"/>
        </w:r>
        <w:r>
          <w:rPr>
            <w:noProof/>
            <w:webHidden/>
          </w:rPr>
          <w:t>168</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5" w:history="1">
        <w:r>
          <w:rPr>
            <w:rStyle w:val="Hyperlink"/>
            <w:noProof/>
          </w:rPr>
          <w:t>4.6.</w:t>
        </w:r>
        <w:r>
          <w:rPr>
            <w:rFonts w:asciiTheme="minorHAnsi" w:eastAsiaTheme="minorEastAsia" w:hAnsiTheme="minorHAnsi" w:cstheme="minorBidi"/>
            <w:noProof/>
            <w:color w:val="auto"/>
            <w:szCs w:val="22"/>
            <w:lang w:eastAsia="en-US"/>
          </w:rPr>
          <w:tab/>
        </w:r>
        <w:r>
          <w:rPr>
            <w:rStyle w:val="Hyperlink"/>
            <w:noProof/>
          </w:rPr>
          <w:t>WRF W UJĘCIU SZCZEGÓŁOWYM: STRUKTURA I ZMIANY STANU ŚRODKÓW NA ZOBOWIĄZANIA I ŚRODKÓW NA PŁATNOŚCI</w:t>
        </w:r>
        <w:r>
          <w:rPr>
            <w:noProof/>
            <w:webHidden/>
          </w:rPr>
          <w:tab/>
        </w:r>
        <w:r>
          <w:rPr>
            <w:noProof/>
            <w:webHidden/>
          </w:rPr>
          <w:fldChar w:fldCharType="begin"/>
        </w:r>
        <w:r>
          <w:rPr>
            <w:noProof/>
            <w:webHidden/>
          </w:rPr>
          <w:instrText xml:space="preserve"> PAGEREF _Toc49418845 \h </w:instrText>
        </w:r>
        <w:r>
          <w:rPr>
            <w:noProof/>
            <w:webHidden/>
          </w:rPr>
        </w:r>
        <w:r>
          <w:rPr>
            <w:noProof/>
            <w:webHidden/>
          </w:rPr>
          <w:fldChar w:fldCharType="separate"/>
        </w:r>
        <w:r>
          <w:rPr>
            <w:noProof/>
            <w:webHidden/>
          </w:rPr>
          <w:t>170</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6" w:history="1">
        <w:r>
          <w:rPr>
            <w:rStyle w:val="Hyperlink"/>
            <w:noProof/>
          </w:rPr>
          <w:t>4.7.</w:t>
        </w:r>
        <w:r>
          <w:rPr>
            <w:rFonts w:asciiTheme="minorHAnsi" w:eastAsiaTheme="minorEastAsia" w:hAnsiTheme="minorHAnsi" w:cstheme="minorBidi"/>
            <w:noProof/>
            <w:color w:val="auto"/>
            <w:szCs w:val="22"/>
            <w:lang w:eastAsia="en-US"/>
          </w:rPr>
          <w:tab/>
        </w:r>
        <w:r>
          <w:rPr>
            <w:rStyle w:val="Hyperlink"/>
            <w:noProof/>
          </w:rPr>
          <w:t>WRF W UJĘCIU SZCZEGÓŁOWYM: WYKONANIE ŚRODKÓW NA ZOBOWIĄZANIA</w:t>
        </w:r>
        <w:r>
          <w:rPr>
            <w:noProof/>
            <w:webHidden/>
          </w:rPr>
          <w:tab/>
        </w:r>
        <w:r>
          <w:rPr>
            <w:noProof/>
            <w:webHidden/>
          </w:rPr>
          <w:fldChar w:fldCharType="begin"/>
        </w:r>
        <w:r>
          <w:rPr>
            <w:noProof/>
            <w:webHidden/>
          </w:rPr>
          <w:instrText xml:space="preserve"> PAGEREF _Toc49418846 \h </w:instrText>
        </w:r>
        <w:r>
          <w:rPr>
            <w:noProof/>
            <w:webHidden/>
          </w:rPr>
        </w:r>
        <w:r>
          <w:rPr>
            <w:noProof/>
            <w:webHidden/>
          </w:rPr>
          <w:fldChar w:fldCharType="separate"/>
        </w:r>
        <w:r>
          <w:rPr>
            <w:noProof/>
            <w:webHidden/>
          </w:rPr>
          <w:t>179</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7" w:history="1">
        <w:r>
          <w:rPr>
            <w:rStyle w:val="Hyperlink"/>
            <w:noProof/>
          </w:rPr>
          <w:t>4.8.</w:t>
        </w:r>
        <w:r>
          <w:rPr>
            <w:rFonts w:asciiTheme="minorHAnsi" w:eastAsiaTheme="minorEastAsia" w:hAnsiTheme="minorHAnsi" w:cstheme="minorBidi"/>
            <w:noProof/>
            <w:color w:val="auto"/>
            <w:szCs w:val="22"/>
            <w:lang w:eastAsia="en-US"/>
          </w:rPr>
          <w:tab/>
        </w:r>
        <w:r>
          <w:rPr>
            <w:rStyle w:val="Hyperlink"/>
            <w:noProof/>
          </w:rPr>
          <w:t xml:space="preserve">WRF W UJĘCIU SZCZEGÓŁOWYM: </w:t>
        </w:r>
        <w:r>
          <w:rPr>
            <w:rStyle w:val="Hyperlink"/>
            <w:noProof/>
          </w:rPr>
          <w:t>WYKONANIE ŚRODKÓW NA PŁATNOŚCI</w:t>
        </w:r>
        <w:r>
          <w:rPr>
            <w:noProof/>
            <w:webHidden/>
          </w:rPr>
          <w:tab/>
        </w:r>
        <w:r>
          <w:rPr>
            <w:noProof/>
            <w:webHidden/>
          </w:rPr>
          <w:fldChar w:fldCharType="begin"/>
        </w:r>
        <w:r>
          <w:rPr>
            <w:noProof/>
            <w:webHidden/>
          </w:rPr>
          <w:instrText xml:space="preserve"> PAGEREF _Toc49418847 \h </w:instrText>
        </w:r>
        <w:r>
          <w:rPr>
            <w:noProof/>
            <w:webHidden/>
          </w:rPr>
        </w:r>
        <w:r>
          <w:rPr>
            <w:noProof/>
            <w:webHidden/>
          </w:rPr>
          <w:fldChar w:fldCharType="separate"/>
        </w:r>
        <w:r>
          <w:rPr>
            <w:noProof/>
            <w:webHidden/>
          </w:rPr>
          <w:t>186</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8" w:history="1">
        <w:r>
          <w:rPr>
            <w:rStyle w:val="Hyperlink"/>
            <w:noProof/>
          </w:rPr>
          <w:t>4.9.</w:t>
        </w:r>
        <w:r>
          <w:rPr>
            <w:rFonts w:asciiTheme="minorHAnsi" w:eastAsiaTheme="minorEastAsia" w:hAnsiTheme="minorHAnsi" w:cstheme="minorBidi"/>
            <w:noProof/>
            <w:color w:val="auto"/>
            <w:szCs w:val="22"/>
            <w:lang w:eastAsia="en-US"/>
          </w:rPr>
          <w:tab/>
        </w:r>
        <w:r>
          <w:rPr>
            <w:rStyle w:val="Hyperlink"/>
            <w:noProof/>
          </w:rPr>
          <w:t>WRF W UJĘCIU SZCZEGÓŁOWYM: ZMIANA STANU ZOBOWIĄZAŃ POZOSTAJĄCYCH DO SPŁATY (RAL)</w:t>
        </w:r>
        <w:r>
          <w:rPr>
            <w:noProof/>
            <w:webHidden/>
          </w:rPr>
          <w:tab/>
        </w:r>
        <w:r>
          <w:rPr>
            <w:noProof/>
            <w:webHidden/>
          </w:rPr>
          <w:fldChar w:fldCharType="begin"/>
        </w:r>
        <w:r>
          <w:rPr>
            <w:noProof/>
            <w:webHidden/>
          </w:rPr>
          <w:instrText xml:space="preserve"> PAGEREF _To</w:instrText>
        </w:r>
        <w:r>
          <w:rPr>
            <w:noProof/>
            <w:webHidden/>
          </w:rPr>
          <w:instrText xml:space="preserve">c49418848 \h </w:instrText>
        </w:r>
        <w:r>
          <w:rPr>
            <w:noProof/>
            <w:webHidden/>
          </w:rPr>
        </w:r>
        <w:r>
          <w:rPr>
            <w:noProof/>
            <w:webHidden/>
          </w:rPr>
          <w:fldChar w:fldCharType="separate"/>
        </w:r>
        <w:r>
          <w:rPr>
            <w:noProof/>
            <w:webHidden/>
          </w:rPr>
          <w:t>193</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49" w:history="1">
        <w:r>
          <w:rPr>
            <w:rStyle w:val="Hyperlink"/>
            <w:noProof/>
          </w:rPr>
          <w:t>4.10.</w:t>
        </w:r>
        <w:r>
          <w:rPr>
            <w:rFonts w:asciiTheme="minorHAnsi" w:eastAsiaTheme="minorEastAsia" w:hAnsiTheme="minorHAnsi" w:cstheme="minorBidi"/>
            <w:noProof/>
            <w:color w:val="auto"/>
            <w:szCs w:val="22"/>
            <w:lang w:eastAsia="en-US"/>
          </w:rPr>
          <w:tab/>
        </w:r>
        <w:r>
          <w:rPr>
            <w:rStyle w:val="Hyperlink"/>
            <w:noProof/>
          </w:rPr>
          <w:t>WRF W UJĘCIU SZCZEGÓŁOWYM: ZOBOWIĄZANIA POZOSTAJĄCE DO SPŁATY WEDŁUG ROKU POWSTANIA ZOBOWIĄZANIA</w:t>
        </w:r>
        <w:r>
          <w:rPr>
            <w:noProof/>
            <w:webHidden/>
          </w:rPr>
          <w:tab/>
        </w:r>
        <w:r>
          <w:rPr>
            <w:noProof/>
            <w:webHidden/>
          </w:rPr>
          <w:fldChar w:fldCharType="begin"/>
        </w:r>
        <w:r>
          <w:rPr>
            <w:noProof/>
            <w:webHidden/>
          </w:rPr>
          <w:instrText xml:space="preserve"> PAGEREF _Toc49418849 \h </w:instrText>
        </w:r>
        <w:r>
          <w:rPr>
            <w:noProof/>
            <w:webHidden/>
          </w:rPr>
        </w:r>
        <w:r>
          <w:rPr>
            <w:noProof/>
            <w:webHidden/>
          </w:rPr>
          <w:fldChar w:fldCharType="separate"/>
        </w:r>
        <w:r>
          <w:rPr>
            <w:noProof/>
            <w:webHidden/>
          </w:rPr>
          <w:t>199</w:t>
        </w:r>
        <w:r>
          <w:rPr>
            <w:noProof/>
            <w:webHidden/>
          </w:rPr>
          <w:fldChar w:fldCharType="end"/>
        </w:r>
      </w:hyperlink>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hyperlink w:anchor="_Toc49418850"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eastAsia="en-US"/>
          </w:rPr>
          <w:tab/>
        </w:r>
        <w:r>
          <w:rPr>
            <w:rStyle w:val="Hyperlink"/>
            <w:noProof/>
          </w:rPr>
          <w:t>WYKONANIE BUDŻETU PRZEZ INSTYTUCJĘ</w:t>
        </w:r>
        <w:r>
          <w:rPr>
            <w:noProof/>
            <w:webHidden/>
          </w:rPr>
          <w:tab/>
        </w:r>
        <w:r>
          <w:rPr>
            <w:noProof/>
            <w:webHidden/>
          </w:rPr>
          <w:fldChar w:fldCharType="begin"/>
        </w:r>
        <w:r>
          <w:rPr>
            <w:noProof/>
            <w:webHidden/>
          </w:rPr>
          <w:instrText xml:space="preserve"> PAGEREF _Toc49418850 \h </w:instrText>
        </w:r>
        <w:r>
          <w:rPr>
            <w:noProof/>
            <w:webHidden/>
          </w:rPr>
        </w:r>
        <w:r>
          <w:rPr>
            <w:noProof/>
            <w:webHidden/>
          </w:rPr>
          <w:fldChar w:fldCharType="separate"/>
        </w:r>
        <w:r>
          <w:rPr>
            <w:noProof/>
            <w:webHidden/>
          </w:rPr>
          <w:t>204</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51" w:history="1">
        <w:r>
          <w:rPr>
            <w:rStyle w:val="Hyperlink"/>
            <w:noProof/>
          </w:rPr>
          <w:t>5.1.</w:t>
        </w:r>
        <w:r>
          <w:rPr>
            <w:rFonts w:asciiTheme="minorHAnsi" w:eastAsiaTheme="minorEastAsia" w:hAnsiTheme="minorHAnsi" w:cstheme="minorBidi"/>
            <w:noProof/>
            <w:color w:val="auto"/>
            <w:szCs w:val="22"/>
            <w:lang w:eastAsia="en-US"/>
          </w:rPr>
          <w:tab/>
        </w:r>
        <w:r>
          <w:rPr>
            <w:rStyle w:val="Hyperlink"/>
            <w:noProof/>
          </w:rPr>
          <w:t>WYKONANIE DOCHODÓW BUDŻETOWYCH</w:t>
        </w:r>
        <w:r>
          <w:rPr>
            <w:noProof/>
            <w:webHidden/>
          </w:rPr>
          <w:tab/>
        </w:r>
        <w:r>
          <w:rPr>
            <w:noProof/>
            <w:webHidden/>
          </w:rPr>
          <w:fldChar w:fldCharType="begin"/>
        </w:r>
        <w:r>
          <w:rPr>
            <w:noProof/>
            <w:webHidden/>
          </w:rPr>
          <w:instrText xml:space="preserve"> PAGEREF _Toc49418851 \h </w:instrText>
        </w:r>
        <w:r>
          <w:rPr>
            <w:noProof/>
            <w:webHidden/>
          </w:rPr>
        </w:r>
        <w:r>
          <w:rPr>
            <w:noProof/>
            <w:webHidden/>
          </w:rPr>
          <w:fldChar w:fldCharType="separate"/>
        </w:r>
        <w:r>
          <w:rPr>
            <w:noProof/>
            <w:webHidden/>
          </w:rPr>
          <w:t>204</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52" w:history="1">
        <w:r>
          <w:rPr>
            <w:rStyle w:val="Hyperlink"/>
            <w:noProof/>
          </w:rPr>
          <w:t>5.2.</w:t>
        </w:r>
        <w:r>
          <w:rPr>
            <w:rFonts w:asciiTheme="minorHAnsi" w:eastAsiaTheme="minorEastAsia" w:hAnsiTheme="minorHAnsi" w:cstheme="minorBidi"/>
            <w:noProof/>
            <w:color w:val="auto"/>
            <w:szCs w:val="22"/>
            <w:lang w:eastAsia="en-US"/>
          </w:rPr>
          <w:tab/>
        </w:r>
        <w:r>
          <w:rPr>
            <w:rStyle w:val="Hyperlink"/>
            <w:noProof/>
          </w:rPr>
          <w:t>WYKONANIE ŚRODKÓW NA ZOBOWIĄZANIA</w:t>
        </w:r>
        <w:r>
          <w:rPr>
            <w:noProof/>
            <w:webHidden/>
          </w:rPr>
          <w:tab/>
        </w:r>
        <w:r>
          <w:rPr>
            <w:noProof/>
            <w:webHidden/>
          </w:rPr>
          <w:fldChar w:fldCharType="begin"/>
        </w:r>
        <w:r>
          <w:rPr>
            <w:noProof/>
            <w:webHidden/>
          </w:rPr>
          <w:instrText xml:space="preserve"> PAGEREF _Toc49418852 \h </w:instrText>
        </w:r>
        <w:r>
          <w:rPr>
            <w:noProof/>
            <w:webHidden/>
          </w:rPr>
        </w:r>
        <w:r>
          <w:rPr>
            <w:noProof/>
            <w:webHidden/>
          </w:rPr>
          <w:fldChar w:fldCharType="separate"/>
        </w:r>
        <w:r>
          <w:rPr>
            <w:noProof/>
            <w:webHidden/>
          </w:rPr>
          <w:t>205</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53" w:history="1">
        <w:r>
          <w:rPr>
            <w:rStyle w:val="Hyperlink"/>
            <w:noProof/>
          </w:rPr>
          <w:t>5.3.</w:t>
        </w:r>
        <w:r>
          <w:rPr>
            <w:rFonts w:asciiTheme="minorHAnsi" w:eastAsiaTheme="minorEastAsia" w:hAnsiTheme="minorHAnsi" w:cstheme="minorBidi"/>
            <w:noProof/>
            <w:color w:val="auto"/>
            <w:szCs w:val="22"/>
            <w:lang w:eastAsia="en-US"/>
          </w:rPr>
          <w:tab/>
        </w:r>
        <w:r>
          <w:rPr>
            <w:rStyle w:val="Hyperlink"/>
            <w:noProof/>
          </w:rPr>
          <w:t>WYKONANIE ŚRODKÓW NA PŁATNOŚCI</w:t>
        </w:r>
        <w:r>
          <w:rPr>
            <w:noProof/>
            <w:webHidden/>
          </w:rPr>
          <w:tab/>
        </w:r>
        <w:r>
          <w:rPr>
            <w:noProof/>
            <w:webHidden/>
          </w:rPr>
          <w:fldChar w:fldCharType="begin"/>
        </w:r>
        <w:r>
          <w:rPr>
            <w:noProof/>
            <w:webHidden/>
          </w:rPr>
          <w:instrText xml:space="preserve"> PAGEREF _Toc49418853 \h </w:instrText>
        </w:r>
        <w:r>
          <w:rPr>
            <w:noProof/>
            <w:webHidden/>
          </w:rPr>
        </w:r>
        <w:r>
          <w:rPr>
            <w:noProof/>
            <w:webHidden/>
          </w:rPr>
          <w:fldChar w:fldCharType="separate"/>
        </w:r>
        <w:r>
          <w:rPr>
            <w:noProof/>
            <w:webHidden/>
          </w:rPr>
          <w:t>206</w:t>
        </w:r>
        <w:r>
          <w:rPr>
            <w:noProof/>
            <w:webHidden/>
          </w:rPr>
          <w:fldChar w:fldCharType="end"/>
        </w:r>
      </w:hyperlink>
    </w:p>
    <w:p w:rsidR="0043277E" w:rsidRDefault="000F2348">
      <w:pPr>
        <w:pStyle w:val="TOC1"/>
        <w:tabs>
          <w:tab w:val="left" w:pos="660"/>
          <w:tab w:val="right" w:leader="dot" w:pos="9629"/>
        </w:tabs>
        <w:rPr>
          <w:rFonts w:asciiTheme="minorHAnsi" w:eastAsiaTheme="minorEastAsia" w:hAnsiTheme="minorHAnsi" w:cstheme="minorBidi"/>
          <w:noProof/>
          <w:color w:val="auto"/>
          <w:szCs w:val="22"/>
          <w:lang w:eastAsia="en-US"/>
        </w:rPr>
      </w:pPr>
      <w:hyperlink w:anchor="_Toc49418854"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eastAsia="en-US"/>
          </w:rPr>
          <w:tab/>
        </w:r>
        <w:r>
          <w:rPr>
            <w:rStyle w:val="Hyperlink"/>
            <w:noProof/>
          </w:rPr>
          <w:t>WYKONANIE BUDŻETU AGENCJI</w:t>
        </w:r>
        <w:r>
          <w:rPr>
            <w:noProof/>
            <w:webHidden/>
          </w:rPr>
          <w:tab/>
        </w:r>
        <w:r>
          <w:rPr>
            <w:noProof/>
            <w:webHidden/>
          </w:rPr>
          <w:fldChar w:fldCharType="begin"/>
        </w:r>
        <w:r>
          <w:rPr>
            <w:noProof/>
            <w:webHidden/>
          </w:rPr>
          <w:instrText xml:space="preserve"> PAGEREF _Toc49418854 \h </w:instrText>
        </w:r>
        <w:r>
          <w:rPr>
            <w:noProof/>
            <w:webHidden/>
          </w:rPr>
        </w:r>
        <w:r>
          <w:rPr>
            <w:noProof/>
            <w:webHidden/>
          </w:rPr>
          <w:fldChar w:fldCharType="separate"/>
        </w:r>
        <w:r>
          <w:rPr>
            <w:noProof/>
            <w:webHidden/>
          </w:rPr>
          <w:t>207</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55" w:history="1">
        <w:r>
          <w:rPr>
            <w:rStyle w:val="Hyperlink"/>
            <w:noProof/>
          </w:rPr>
          <w:t>6.1.</w:t>
        </w:r>
        <w:r>
          <w:rPr>
            <w:rFonts w:asciiTheme="minorHAnsi" w:eastAsiaTheme="minorEastAsia" w:hAnsiTheme="minorHAnsi" w:cstheme="minorBidi"/>
            <w:noProof/>
            <w:color w:val="auto"/>
            <w:szCs w:val="22"/>
            <w:lang w:eastAsia="en-US"/>
          </w:rPr>
          <w:tab/>
        </w:r>
        <w:r>
          <w:rPr>
            <w:rStyle w:val="Hyperlink"/>
            <w:noProof/>
          </w:rPr>
          <w:t>DOCHODY BUDŻETOWE</w:t>
        </w:r>
        <w:r>
          <w:rPr>
            <w:noProof/>
            <w:webHidden/>
          </w:rPr>
          <w:tab/>
        </w:r>
        <w:r>
          <w:rPr>
            <w:noProof/>
            <w:webHidden/>
          </w:rPr>
          <w:fldChar w:fldCharType="begin"/>
        </w:r>
        <w:r>
          <w:rPr>
            <w:noProof/>
            <w:webHidden/>
          </w:rPr>
          <w:instrText xml:space="preserve"> PAGEREF _Toc49418855 \h </w:instrText>
        </w:r>
        <w:r>
          <w:rPr>
            <w:noProof/>
            <w:webHidden/>
          </w:rPr>
        </w:r>
        <w:r>
          <w:rPr>
            <w:noProof/>
            <w:webHidden/>
          </w:rPr>
          <w:fldChar w:fldCharType="separate"/>
        </w:r>
        <w:r>
          <w:rPr>
            <w:noProof/>
            <w:webHidden/>
          </w:rPr>
          <w:t>207</w:t>
        </w:r>
        <w:r>
          <w:rPr>
            <w:noProof/>
            <w:webHidden/>
          </w:rPr>
          <w:fldChar w:fldCharType="end"/>
        </w:r>
      </w:hyperlink>
    </w:p>
    <w:p w:rsidR="0043277E" w:rsidRDefault="000F2348">
      <w:pPr>
        <w:pStyle w:val="TOC2"/>
        <w:tabs>
          <w:tab w:val="left" w:pos="1100"/>
          <w:tab w:val="right" w:leader="dot" w:pos="9629"/>
        </w:tabs>
        <w:rPr>
          <w:rFonts w:asciiTheme="minorHAnsi" w:eastAsiaTheme="minorEastAsia" w:hAnsiTheme="minorHAnsi" w:cstheme="minorBidi"/>
          <w:noProof/>
          <w:color w:val="auto"/>
          <w:szCs w:val="22"/>
          <w:lang w:eastAsia="en-US"/>
        </w:rPr>
      </w:pPr>
      <w:hyperlink w:anchor="_Toc49418856" w:history="1">
        <w:r>
          <w:rPr>
            <w:rStyle w:val="Hyperlink"/>
            <w:noProof/>
          </w:rPr>
          <w:t>6.2.</w:t>
        </w:r>
        <w:r>
          <w:rPr>
            <w:rFonts w:asciiTheme="minorHAnsi" w:eastAsiaTheme="minorEastAsia" w:hAnsiTheme="minorHAnsi" w:cstheme="minorBidi"/>
            <w:noProof/>
            <w:color w:val="auto"/>
            <w:szCs w:val="22"/>
            <w:lang w:eastAsia="en-US"/>
          </w:rPr>
          <w:tab/>
        </w:r>
        <w:r>
          <w:rPr>
            <w:rStyle w:val="Hyperlink"/>
            <w:noProof/>
          </w:rPr>
          <w:t>ŚRODKI NA ZOBOWIĄZANIA I ŚRODKI NA PŁATNOŚCI W PODZIALE NA AGENCJE</w:t>
        </w:r>
        <w:r>
          <w:rPr>
            <w:noProof/>
            <w:webHidden/>
          </w:rPr>
          <w:tab/>
        </w:r>
        <w:r>
          <w:rPr>
            <w:noProof/>
            <w:webHidden/>
          </w:rPr>
          <w:fldChar w:fldCharType="begin"/>
        </w:r>
        <w:r>
          <w:rPr>
            <w:noProof/>
            <w:webHidden/>
          </w:rPr>
          <w:instrText xml:space="preserve"> PAGEREF _Toc49418856 \h </w:instrText>
        </w:r>
        <w:r>
          <w:rPr>
            <w:noProof/>
            <w:webHidden/>
          </w:rPr>
        </w:r>
        <w:r>
          <w:rPr>
            <w:noProof/>
            <w:webHidden/>
          </w:rPr>
          <w:fldChar w:fldCharType="separate"/>
        </w:r>
        <w:r>
          <w:rPr>
            <w:noProof/>
            <w:webHidden/>
          </w:rPr>
          <w:t>209</w:t>
        </w:r>
        <w:r>
          <w:rPr>
            <w:noProof/>
            <w:webHidden/>
          </w:rPr>
          <w:fldChar w:fldCharType="end"/>
        </w:r>
      </w:hyperlink>
    </w:p>
    <w:p w:rsidR="0043277E" w:rsidRDefault="000F2348">
      <w:pPr>
        <w:pStyle w:val="Textstand-alone"/>
        <w:sectPr w:rsidR="0043277E">
          <w:headerReference w:type="even" r:id="rId318"/>
          <w:headerReference w:type="default" r:id="rId319"/>
          <w:footerReference w:type="even" r:id="rId320"/>
          <w:footerReference w:type="default" r:id="rId321"/>
          <w:headerReference w:type="first" r:id="rId322"/>
          <w:footerReference w:type="first" r:id="rId323"/>
          <w:pgSz w:w="11907" w:h="16840"/>
          <w:pgMar w:top="1134" w:right="1134" w:bottom="1134" w:left="1134" w:header="709" w:footer="709" w:gutter="0"/>
          <w:cols w:space="708"/>
          <w:docGrid w:linePitch="360"/>
        </w:sectPr>
      </w:pPr>
      <w:r>
        <w:rPr>
          <w:caps/>
          <w:color w:val="016894"/>
          <w:sz w:val="20"/>
          <w:szCs w:val="24"/>
        </w:rPr>
        <w:fldChar w:fldCharType="end"/>
      </w:r>
      <w:bookmarkEnd w:id="210"/>
    </w:p>
    <w:p w:rsidR="0043277E" w:rsidRDefault="000F2348">
      <w:pPr>
        <w:pStyle w:val="HEADERTITLE2"/>
        <w:rPr>
          <w:rFonts w:eastAsia="Calibri"/>
        </w:rPr>
      </w:pPr>
      <w:bookmarkStart w:id="211" w:name="_Toc49418824"/>
      <w:bookmarkStart w:id="212" w:name="_DMBM_17265"/>
      <w:r>
        <w:lastRenderedPageBreak/>
        <w:t>WYNIK BUDŻETU UE</w:t>
      </w:r>
      <w:bookmarkEnd w:id="211"/>
    </w:p>
    <w:tbl>
      <w:tblPr>
        <w:tblW w:w="4857" w:type="pct"/>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6421"/>
        <w:gridCol w:w="1161"/>
        <w:gridCol w:w="1080"/>
      </w:tblGrid>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Budgetresult"/>
              <w:rPr>
                <w:rFonts w:ascii="Verdana" w:eastAsia="Verdana" w:hAnsi="Verdana" w:cs="Verdana"/>
                <w:noProof/>
                <w:color w:val="000000"/>
                <w:sz w:val="16"/>
              </w:rPr>
            </w:pPr>
            <w:bookmarkStart w:id="213" w:name="DOC_TBL00097_1_1"/>
            <w:bookmarkEnd w:id="213"/>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Budgetresult"/>
              <w:rPr>
                <w:rFonts w:ascii="Verdana" w:eastAsia="Verdana" w:hAnsi="Verdana" w:cs="Verdana"/>
                <w:noProof/>
                <w:color w:val="000000"/>
                <w:sz w:val="16"/>
              </w:rPr>
            </w:pP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Budgetresult"/>
              <w:jc w:val="right"/>
              <w:rPr>
                <w:rFonts w:ascii="Verdana" w:eastAsia="Verdana" w:hAnsi="Verdana" w:cs="Verdana"/>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hRule="exact" w:val="1050"/>
        </w:trPr>
        <w:tc>
          <w:tcPr>
            <w:tcW w:w="81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Budgetresult"/>
              <w:jc w:val="center"/>
              <w:rPr>
                <w:rFonts w:ascii="Verdana" w:eastAsia="Verdana" w:hAnsi="Verdana" w:cs="Verdana"/>
                <w:noProof/>
                <w:color w:val="FFFFFF"/>
                <w:sz w:val="16"/>
              </w:rPr>
            </w:pPr>
            <w:r>
              <w:rPr>
                <w:rFonts w:ascii="Verdana" w:hAnsi="Verdana"/>
                <w:noProof/>
                <w:color w:val="FFFFFF"/>
                <w:sz w:val="16"/>
              </w:rPr>
              <w:t>Informacja dodatkowa</w:t>
            </w:r>
          </w:p>
        </w:tc>
        <w:tc>
          <w:tcPr>
            <w:tcW w:w="642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140BIPBudgetresult"/>
              <w:jc w:val="center"/>
              <w:rPr>
                <w:rFonts w:ascii="Verdana" w:eastAsia="Verdana" w:hAnsi="Verdana" w:cs="Verdana"/>
                <w:noProof/>
                <w:color w:val="FFFFFF"/>
                <w:sz w:val="16"/>
              </w:rPr>
            </w:pPr>
          </w:p>
        </w:tc>
        <w:tc>
          <w:tcPr>
            <w:tcW w:w="116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Budgetresult"/>
              <w:jc w:val="right"/>
              <w:rPr>
                <w:rFonts w:ascii="Verdana" w:eastAsia="Verdana" w:hAnsi="Verdana" w:cs="Verdana"/>
                <w:noProof/>
                <w:color w:val="FFFFFF"/>
                <w:sz w:val="16"/>
              </w:rPr>
            </w:pPr>
            <w:r>
              <w:rPr>
                <w:rFonts w:ascii="Verdana" w:hAnsi="Verdana"/>
                <w:noProof/>
                <w:color w:val="FFFFFF"/>
                <w:sz w:val="16"/>
              </w:rPr>
              <w:t>2019</w:t>
            </w:r>
          </w:p>
        </w:tc>
        <w:tc>
          <w:tcPr>
            <w:tcW w:w="10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Budgetresult"/>
              <w:jc w:val="right"/>
              <w:rPr>
                <w:rFonts w:ascii="Verdana" w:eastAsia="Verdana" w:hAnsi="Verdana" w:cs="Verdana"/>
                <w:noProof/>
                <w:color w:val="FFFFFF"/>
                <w:sz w:val="16"/>
              </w:rPr>
            </w:pPr>
            <w:r>
              <w:rPr>
                <w:rFonts w:ascii="Verdana" w:hAnsi="Verdana"/>
                <w:noProof/>
                <w:color w:val="FFFFFF"/>
                <w:sz w:val="16"/>
              </w:rPr>
              <w:t>2018</w:t>
            </w:r>
          </w:p>
        </w:tc>
      </w:tr>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center"/>
              <w:rPr>
                <w:rFonts w:ascii="Verdana" w:eastAsia="Verdana" w:hAnsi="Verdana" w:cs="Verdana"/>
                <w:noProof/>
                <w:color w:val="000000"/>
                <w:sz w:val="16"/>
              </w:rPr>
            </w:pPr>
            <w:r>
              <w:rPr>
                <w:rFonts w:ascii="Verdana" w:hAnsi="Verdana"/>
                <w:noProof/>
                <w:color w:val="000000"/>
                <w:sz w:val="16"/>
              </w:rPr>
              <w:t>a</w:t>
            </w: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noProof/>
                <w:color w:val="000000"/>
                <w:sz w:val="16"/>
              </w:rPr>
            </w:pPr>
            <w:r>
              <w:rPr>
                <w:rFonts w:ascii="Verdana" w:hAnsi="Verdana"/>
                <w:noProof/>
                <w:color w:val="000000"/>
                <w:sz w:val="16"/>
              </w:rPr>
              <w:t>Dochody</w:t>
            </w:r>
            <w:r>
              <w:rPr>
                <w:rFonts w:ascii="Verdana" w:hAnsi="Verdana"/>
                <w:noProof/>
                <w:color w:val="000000"/>
                <w:sz w:val="16"/>
              </w:rPr>
              <w:t xml:space="preserve"> za rok budżetowy</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163 918</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159 318</w:t>
            </w:r>
          </w:p>
        </w:tc>
      </w:tr>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center"/>
              <w:rPr>
                <w:rFonts w:ascii="Verdana" w:eastAsia="Verdana" w:hAnsi="Verdana" w:cs="Verdana"/>
                <w:noProof/>
                <w:color w:val="000000"/>
                <w:sz w:val="16"/>
              </w:rPr>
            </w:pPr>
            <w:r>
              <w:rPr>
                <w:rFonts w:ascii="Verdana" w:hAnsi="Verdana"/>
                <w:noProof/>
                <w:color w:val="000000"/>
                <w:sz w:val="16"/>
              </w:rPr>
              <w:t>b</w:t>
            </w: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noProof/>
                <w:color w:val="000000"/>
                <w:sz w:val="16"/>
              </w:rPr>
            </w:pPr>
            <w:r>
              <w:rPr>
                <w:rFonts w:ascii="Verdana" w:hAnsi="Verdana"/>
                <w:noProof/>
                <w:color w:val="000000"/>
                <w:sz w:val="16"/>
              </w:rPr>
              <w:t>Płatności ze środków na bieżący rok</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(157 428)</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(154 833)</w:t>
            </w:r>
          </w:p>
        </w:tc>
      </w:tr>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center"/>
              <w:rPr>
                <w:rFonts w:ascii="Verdana" w:eastAsia="Verdana" w:hAnsi="Verdana" w:cs="Verdana"/>
                <w:noProof/>
                <w:color w:val="000000"/>
                <w:sz w:val="16"/>
              </w:rPr>
            </w:pPr>
            <w:r>
              <w:rPr>
                <w:rFonts w:ascii="Verdana" w:hAnsi="Verdana"/>
                <w:noProof/>
                <w:color w:val="000000"/>
                <w:sz w:val="16"/>
              </w:rPr>
              <w:t>c</w:t>
            </w: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noProof/>
                <w:color w:val="000000"/>
                <w:sz w:val="16"/>
              </w:rPr>
            </w:pPr>
            <w:r>
              <w:rPr>
                <w:rFonts w:ascii="Verdana" w:hAnsi="Verdana"/>
                <w:noProof/>
                <w:color w:val="000000"/>
                <w:sz w:val="16"/>
              </w:rPr>
              <w:t>Środki na płatności przeniesione na rok N+1</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(1 615)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(1 675)</w:t>
            </w:r>
          </w:p>
        </w:tc>
      </w:tr>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center"/>
              <w:rPr>
                <w:rFonts w:ascii="Verdana" w:eastAsia="Verdana" w:hAnsi="Verdana" w:cs="Verdana"/>
                <w:noProof/>
                <w:color w:val="000000"/>
                <w:sz w:val="16"/>
              </w:rPr>
            </w:pPr>
            <w:r>
              <w:rPr>
                <w:rFonts w:ascii="Verdana" w:hAnsi="Verdana"/>
                <w:noProof/>
                <w:color w:val="000000"/>
                <w:sz w:val="16"/>
              </w:rPr>
              <w:t>d</w:t>
            </w: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noProof/>
                <w:color w:val="000000"/>
                <w:sz w:val="16"/>
              </w:rPr>
            </w:pPr>
            <w:r>
              <w:rPr>
                <w:rFonts w:ascii="Verdana" w:hAnsi="Verdana"/>
                <w:noProof/>
                <w:color w:val="000000"/>
                <w:sz w:val="16"/>
              </w:rPr>
              <w:t>Anulowanie niewykorzystanych środków przeniesionych z roku N-1</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75</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106</w:t>
            </w:r>
          </w:p>
        </w:tc>
      </w:tr>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center"/>
              <w:rPr>
                <w:rFonts w:ascii="Verdana" w:eastAsia="Verdana" w:hAnsi="Verdana" w:cs="Verdana"/>
                <w:noProof/>
                <w:color w:val="000000"/>
                <w:sz w:val="16"/>
              </w:rPr>
            </w:pPr>
            <w:r>
              <w:rPr>
                <w:rFonts w:ascii="Verdana" w:hAnsi="Verdana"/>
                <w:noProof/>
                <w:color w:val="000000"/>
                <w:sz w:val="16"/>
              </w:rPr>
              <w:t>e</w:t>
            </w: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noProof/>
                <w:color w:val="000000"/>
                <w:sz w:val="16"/>
              </w:rPr>
            </w:pPr>
            <w:r>
              <w:rPr>
                <w:rFonts w:ascii="Verdana" w:hAnsi="Verdana"/>
                <w:noProof/>
                <w:color w:val="000000"/>
                <w:sz w:val="16"/>
              </w:rPr>
              <w:t xml:space="preserve">Stan dochodów </w:t>
            </w:r>
            <w:r>
              <w:rPr>
                <w:rFonts w:ascii="Verdana" w:hAnsi="Verdana"/>
                <w:noProof/>
                <w:color w:val="000000"/>
                <w:sz w:val="16"/>
              </w:rPr>
              <w:t>przeznaczonych na określony cel (B-A)</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(1 736)</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(1 114)</w:t>
            </w:r>
          </w:p>
        </w:tc>
      </w:tr>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Budgetresult"/>
              <w:jc w:val="center"/>
              <w:rPr>
                <w:rFonts w:ascii="Verdana" w:eastAsia="Verdana" w:hAnsi="Verdana" w:cs="Verdana"/>
                <w:noProof/>
                <w:color w:val="000000"/>
                <w:sz w:val="16"/>
              </w:rPr>
            </w:pP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i/>
                <w:noProof/>
                <w:color w:val="000000"/>
                <w:sz w:val="16"/>
              </w:rPr>
            </w:pPr>
            <w:r>
              <w:rPr>
                <w:rFonts w:ascii="Verdana" w:hAnsi="Verdana"/>
                <w:i/>
                <w:noProof/>
                <w:color w:val="000000"/>
                <w:sz w:val="16"/>
              </w:rPr>
              <w:t xml:space="preserve">     Niewykorzystane środki na koniec roku bieżącego (A)</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i/>
                <w:noProof/>
                <w:color w:val="000000"/>
                <w:sz w:val="16"/>
              </w:rPr>
            </w:pPr>
            <w:r>
              <w:rPr>
                <w:rFonts w:ascii="Verdana" w:hAnsi="Verdana"/>
                <w:i/>
                <w:noProof/>
                <w:color w:val="000000"/>
                <w:sz w:val="16"/>
              </w:rPr>
              <w:t>9 144</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i/>
                <w:noProof/>
                <w:color w:val="000000"/>
                <w:sz w:val="16"/>
              </w:rPr>
            </w:pPr>
            <w:r>
              <w:rPr>
                <w:rFonts w:ascii="Verdana" w:hAnsi="Verdana"/>
                <w:i/>
                <w:noProof/>
                <w:color w:val="000000"/>
                <w:sz w:val="16"/>
              </w:rPr>
              <w:t>7 408</w:t>
            </w:r>
          </w:p>
        </w:tc>
      </w:tr>
      <w:tr w:rsidR="0043277E">
        <w:trPr>
          <w:trHeight w:hRule="exact" w:val="284"/>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Budgetresult"/>
              <w:jc w:val="center"/>
              <w:rPr>
                <w:rFonts w:ascii="Verdana" w:eastAsia="Verdana" w:hAnsi="Verdana" w:cs="Verdana"/>
                <w:noProof/>
                <w:color w:val="000000"/>
                <w:sz w:val="16"/>
              </w:rPr>
            </w:pP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i/>
                <w:noProof/>
                <w:color w:val="000000"/>
                <w:sz w:val="16"/>
              </w:rPr>
            </w:pPr>
            <w:r>
              <w:rPr>
                <w:rFonts w:ascii="Verdana" w:hAnsi="Verdana"/>
                <w:i/>
                <w:noProof/>
                <w:color w:val="000000"/>
                <w:sz w:val="16"/>
              </w:rPr>
              <w:t xml:space="preserve">     Niewykorzystane środki na koniec roku poprzedniego (B)</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i/>
                <w:noProof/>
                <w:color w:val="000000"/>
                <w:sz w:val="16"/>
              </w:rPr>
            </w:pPr>
            <w:r>
              <w:rPr>
                <w:rFonts w:ascii="Verdana" w:hAnsi="Verdana"/>
                <w:i/>
                <w:noProof/>
                <w:color w:val="000000"/>
                <w:sz w:val="16"/>
              </w:rPr>
              <w:t>7 408</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i/>
                <w:noProof/>
                <w:color w:val="000000"/>
                <w:sz w:val="16"/>
              </w:rPr>
            </w:pPr>
            <w:r>
              <w:rPr>
                <w:rFonts w:ascii="Verdana" w:hAnsi="Verdana"/>
                <w:i/>
                <w:noProof/>
                <w:color w:val="000000"/>
                <w:sz w:val="16"/>
              </w:rPr>
              <w:t>6 295</w:t>
            </w:r>
          </w:p>
        </w:tc>
      </w:tr>
      <w:tr w:rsidR="0043277E">
        <w:trPr>
          <w:trHeight w:hRule="exact" w:val="270"/>
        </w:trPr>
        <w:tc>
          <w:tcPr>
            <w:tcW w:w="8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center"/>
              <w:rPr>
                <w:rFonts w:ascii="Verdana" w:eastAsia="Verdana" w:hAnsi="Verdana" w:cs="Verdana"/>
                <w:noProof/>
                <w:color w:val="000000"/>
                <w:sz w:val="16"/>
              </w:rPr>
            </w:pPr>
            <w:r>
              <w:rPr>
                <w:rFonts w:ascii="Verdana" w:hAnsi="Verdana"/>
                <w:noProof/>
                <w:color w:val="000000"/>
                <w:sz w:val="16"/>
              </w:rPr>
              <w:t>f</w:t>
            </w:r>
          </w:p>
        </w:tc>
        <w:tc>
          <w:tcPr>
            <w:tcW w:w="64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rPr>
                <w:rFonts w:ascii="Verdana" w:eastAsia="Verdana" w:hAnsi="Verdana" w:cs="Verdana"/>
                <w:noProof/>
                <w:color w:val="000000"/>
                <w:sz w:val="16"/>
              </w:rPr>
            </w:pPr>
            <w:r>
              <w:rPr>
                <w:rFonts w:ascii="Verdana" w:hAnsi="Verdana"/>
                <w:noProof/>
                <w:color w:val="000000"/>
                <w:sz w:val="16"/>
              </w:rPr>
              <w:t>Różnice kursowe w roku budżetowym</w:t>
            </w:r>
          </w:p>
        </w:tc>
        <w:tc>
          <w:tcPr>
            <w:tcW w:w="11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4</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270"/>
        </w:trPr>
        <w:tc>
          <w:tcPr>
            <w:tcW w:w="818" w:type="dxa"/>
            <w:tcBorders>
              <w:top w:val="nil"/>
              <w:left w:val="nil"/>
              <w:bottom w:val="nil"/>
              <w:right w:val="nil"/>
              <w:tl2br w:val="nil"/>
              <w:tr2bl w:val="nil"/>
            </w:tcBorders>
            <w:shd w:val="solid" w:color="CCE1EB" w:fill="FFFFFF"/>
            <w:tcMar>
              <w:left w:w="60" w:type="dxa"/>
              <w:right w:w="60" w:type="dxa"/>
            </w:tcMar>
            <w:vAlign w:val="center"/>
          </w:tcPr>
          <w:p w:rsidR="0043277E" w:rsidRDefault="0043277E">
            <w:pPr>
              <w:pStyle w:val="DMETW17140BIPBudgetresult"/>
              <w:rPr>
                <w:rFonts w:ascii="Verdana" w:eastAsia="Verdana" w:hAnsi="Verdana" w:cs="Verdana"/>
                <w:b/>
                <w:noProof/>
                <w:color w:val="000000"/>
                <w:sz w:val="16"/>
              </w:rPr>
            </w:pPr>
          </w:p>
        </w:tc>
        <w:tc>
          <w:tcPr>
            <w:tcW w:w="6421"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Budgetresult"/>
              <w:rPr>
                <w:rFonts w:ascii="Verdana" w:eastAsia="Verdana" w:hAnsi="Verdana" w:cs="Verdana"/>
                <w:b/>
                <w:noProof/>
                <w:color w:val="000000"/>
                <w:sz w:val="16"/>
              </w:rPr>
            </w:pPr>
            <w:r>
              <w:rPr>
                <w:rFonts w:ascii="Verdana" w:hAnsi="Verdana"/>
                <w:b/>
                <w:noProof/>
                <w:color w:val="000000"/>
                <w:sz w:val="16"/>
              </w:rPr>
              <w:t xml:space="preserve">Wynik </w:t>
            </w:r>
            <w:r>
              <w:rPr>
                <w:rFonts w:ascii="Verdana" w:hAnsi="Verdana"/>
                <w:b/>
                <w:noProof/>
                <w:color w:val="000000"/>
                <w:sz w:val="16"/>
              </w:rPr>
              <w:t>budżetu</w:t>
            </w:r>
          </w:p>
        </w:tc>
        <w:tc>
          <w:tcPr>
            <w:tcW w:w="1161"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Budgetresult"/>
              <w:jc w:val="right"/>
              <w:rPr>
                <w:rFonts w:ascii="Verdana" w:eastAsia="Verdana" w:hAnsi="Verdana" w:cs="Verdana"/>
                <w:b/>
                <w:noProof/>
                <w:color w:val="000000"/>
                <w:sz w:val="16"/>
              </w:rPr>
            </w:pPr>
            <w:r>
              <w:rPr>
                <w:rFonts w:ascii="Verdana" w:hAnsi="Verdana"/>
                <w:b/>
                <w:noProof/>
                <w:color w:val="000000"/>
                <w:sz w:val="16"/>
              </w:rPr>
              <w:t>3 217</w:t>
            </w:r>
          </w:p>
        </w:tc>
        <w:tc>
          <w:tcPr>
            <w:tcW w:w="1080"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Budgetresult"/>
              <w:jc w:val="right"/>
              <w:rPr>
                <w:rFonts w:ascii="Verdana" w:eastAsia="Verdana" w:hAnsi="Verdana" w:cs="Verdana"/>
                <w:b/>
                <w:noProof/>
                <w:color w:val="000000"/>
                <w:sz w:val="16"/>
              </w:rPr>
            </w:pPr>
            <w:r>
              <w:rPr>
                <w:rFonts w:ascii="Verdana" w:hAnsi="Verdana"/>
                <w:b/>
                <w:noProof/>
                <w:color w:val="000000"/>
                <w:sz w:val="16"/>
              </w:rPr>
              <w:t>1 802</w:t>
            </w:r>
          </w:p>
        </w:tc>
      </w:tr>
    </w:tbl>
    <w:p w:rsidR="0043277E" w:rsidRDefault="0043277E">
      <w:pPr>
        <w:pStyle w:val="DGTextstand-alone"/>
      </w:pPr>
    </w:p>
    <w:p w:rsidR="0043277E" w:rsidRDefault="000F2348">
      <w:pPr>
        <w:pStyle w:val="DGTextstand-alone"/>
      </w:pPr>
      <w:r>
        <w:t xml:space="preserve">Nadwyżka budżetowa UE zwracana jest państwom członkowskim w 2020 r. poprzez odpowiednie pomniejszenie ich kwot należnych. Wynik budżetu oblicza się zgodnie z art. 1 ust. 1 rozporządzenia Rady nr 608/2014 określającego środki </w:t>
      </w:r>
      <w:r>
        <w:t>wykonawcze dotyczące systemu zasobów własnych Unii Europejskiej. Więcej informacji znajduje się w części „Obliczenie wyniku budżetu”.</w:t>
      </w:r>
    </w:p>
    <w:p w:rsidR="0043277E" w:rsidRDefault="000F2348">
      <w:pPr>
        <w:pStyle w:val="DGTextstand-alone"/>
        <w:numPr>
          <w:ilvl w:val="1"/>
          <w:numId w:val="47"/>
        </w:numPr>
      </w:pPr>
      <w:r>
        <w:t>Dochody za rok budżetowy: odnoszą się do tabeli 3.1 „Zestawienie wykonania dochodów budżetowych UE”, kolumna 8 „Dochody og</w:t>
      </w:r>
      <w:r>
        <w:t>ółem”.</w:t>
      </w:r>
    </w:p>
    <w:p w:rsidR="0043277E" w:rsidRDefault="000F2348">
      <w:pPr>
        <w:pStyle w:val="DGTextstand-alone"/>
        <w:numPr>
          <w:ilvl w:val="1"/>
          <w:numId w:val="47"/>
        </w:numPr>
      </w:pPr>
      <w:r>
        <w:t>Płatności ze środków na bieżący rok: odnoszą się do tabeli 4.3 „WRF: wykonanie środków na płatności”, kolumna 2 „Płatności dokonane z przyjętego budżetu” i kolumna 4 „Płatności dokonane z dochodów przeznaczonych na określony cel”.</w:t>
      </w:r>
    </w:p>
    <w:p w:rsidR="0043277E" w:rsidRDefault="000F2348">
      <w:pPr>
        <w:pStyle w:val="DGTextstand-alone"/>
        <w:numPr>
          <w:ilvl w:val="1"/>
          <w:numId w:val="47"/>
        </w:numPr>
      </w:pPr>
      <w:r>
        <w:t>Środki na płatnośc</w:t>
      </w:r>
      <w:r>
        <w:t>i przeniesione na rok N+1: odnoszą się do tabeli 4.3 „WRF: wykonanie środków na płatności”, kolumna 7 „Środki przeniesione automatycznie” i kolumna 8 „Środki przeniesione decyzją”.</w:t>
      </w:r>
    </w:p>
    <w:p w:rsidR="0043277E" w:rsidRDefault="000F2348">
      <w:pPr>
        <w:pStyle w:val="DGTextstand-alone"/>
        <w:numPr>
          <w:ilvl w:val="1"/>
          <w:numId w:val="47"/>
        </w:numPr>
      </w:pPr>
      <w:r>
        <w:t>Anulowanie niewykorzystanych środków na płatności przeniesionych z roku N-1</w:t>
      </w:r>
      <w:r>
        <w:t>: w pozycji tej uwzględnia się kwotę środków na płatności przeniesionych (automatycznie lub decyzją) na koniec poprzedniego roku oraz „Płatności ze środków przeniesionych” w bieżącym roku, tak jak w kolumnie 3 tabeli 4.3 „WRF: wykorzystanie środków na płat</w:t>
      </w:r>
      <w:r>
        <w:t>ności”.</w:t>
      </w:r>
    </w:p>
    <w:p w:rsidR="0043277E" w:rsidRDefault="000F2348">
      <w:pPr>
        <w:pStyle w:val="DGTextstand-alone"/>
        <w:numPr>
          <w:ilvl w:val="1"/>
          <w:numId w:val="47"/>
        </w:numPr>
      </w:pPr>
      <w:r>
        <w:t>Zmiana łącznych środków wynikających z dochodów przeznaczonych na określony cel na koniec roku: obliczenie różnicy między kwotą środków wynikających z dochodów przeznaczonych na określony cel na koniec poprzedniego roku (plus) a kwotą środków wynik</w:t>
      </w:r>
      <w:r>
        <w:t>ających z dochodów przeznaczonych na określony cel na koniec bieżącego roku (jak w kolumnie 9 w tabeli 4.3 „WRF: wykonanie środków na płatności” – minus) w celu uzyskania zmiany netto dochodów przeznaczonych na określony cel w bieżącym roku.</w:t>
      </w:r>
    </w:p>
    <w:p w:rsidR="0043277E" w:rsidRDefault="000F2348">
      <w:pPr>
        <w:pStyle w:val="DGTextstand-alone"/>
        <w:numPr>
          <w:ilvl w:val="1"/>
          <w:numId w:val="47"/>
        </w:numPr>
      </w:pPr>
      <w:r>
        <w:t>Różnice kursow</w:t>
      </w:r>
      <w:r>
        <w:t>e obejmują zrealizowane i niezrealizowane różnice kursowe.</w:t>
      </w:r>
    </w:p>
    <w:p w:rsidR="0043277E" w:rsidRDefault="0043277E">
      <w:pPr>
        <w:pStyle w:val="DGTextstand-alone"/>
      </w:pPr>
    </w:p>
    <w:p w:rsidR="0043277E" w:rsidRDefault="000F2348">
      <w:pPr>
        <w:pStyle w:val="DGTextstand-alone"/>
      </w:pPr>
      <w:r>
        <w:br w:type="page"/>
      </w:r>
    </w:p>
    <w:p w:rsidR="0043277E" w:rsidRDefault="000F2348">
      <w:pPr>
        <w:pStyle w:val="HEADERTITLE2"/>
        <w:rPr>
          <w:rFonts w:eastAsia="Calibri"/>
        </w:rPr>
      </w:pPr>
      <w:bookmarkStart w:id="214" w:name="_Toc49418825"/>
      <w:r>
        <w:lastRenderedPageBreak/>
        <w:t>ZESTAWIENIE PORÓWNAWCZE KWOT UJĘTYCH W BUDŻECIE Z KWOTAMI RZECZYWISTYMI</w:t>
      </w:r>
      <w:bookmarkEnd w:id="214"/>
    </w:p>
    <w:p w:rsidR="0043277E" w:rsidRDefault="000F2348">
      <w:pPr>
        <w:pStyle w:val="HEADERTITLE"/>
        <w:rPr>
          <w:rFonts w:eastAsia="Calibri"/>
        </w:rPr>
      </w:pPr>
      <w:r>
        <w:t>Dochody budżetowe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850"/>
        <w:gridCol w:w="1162"/>
        <w:gridCol w:w="1168"/>
        <w:gridCol w:w="1168"/>
        <w:gridCol w:w="1168"/>
      </w:tblGrid>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bookmarkStart w:id="215" w:name="DOC_TBL00098_1_1"/>
            <w:bookmarkEnd w:id="215"/>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140BIPStatementofcomparisonRevenue"/>
              <w:jc w:val="center"/>
              <w:rPr>
                <w:rFonts w:ascii="Verdana" w:eastAsia="Verdana" w:hAnsi="Verdana" w:cs="Verdana"/>
                <w:noProof/>
                <w:color w:val="FFFFFF"/>
                <w:sz w:val="16"/>
              </w:rPr>
            </w:pPr>
          </w:p>
        </w:tc>
        <w:tc>
          <w:tcPr>
            <w:tcW w:w="469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140BIPStatementofcomparisonRevenue"/>
              <w:jc w:val="center"/>
              <w:rPr>
                <w:rFonts w:ascii="Verdana" w:eastAsia="Verdana" w:hAnsi="Verdana" w:cs="Verdana"/>
                <w:noProof/>
                <w:color w:val="FFFFFF"/>
                <w:sz w:val="16"/>
              </w:rPr>
            </w:pPr>
          </w:p>
        </w:tc>
        <w:tc>
          <w:tcPr>
            <w:tcW w:w="112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Ustalone należności</w:t>
            </w:r>
          </w:p>
        </w:tc>
        <w:tc>
          <w:tcPr>
            <w:tcW w:w="113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Dochody</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1</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Zasoby własne</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146 305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144 795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147 056</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144 766</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i/>
                <w:noProof/>
                <w:color w:val="000000"/>
                <w:sz w:val="16"/>
              </w:rPr>
            </w:pPr>
            <w:r>
              <w:rPr>
                <w:rFonts w:ascii="Verdana" w:hAnsi="Verdana"/>
                <w:i/>
                <w:noProof/>
                <w:color w:val="000000"/>
                <w:sz w:val="16"/>
              </w:rPr>
              <w:t>11 - Opłaty wyrównawcze od cukru</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(1)</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i/>
                <w:noProof/>
                <w:color w:val="000000"/>
                <w:sz w:val="16"/>
              </w:rPr>
            </w:pPr>
            <w:r>
              <w:rPr>
                <w:rFonts w:ascii="Verdana" w:hAnsi="Verdana"/>
                <w:i/>
                <w:noProof/>
                <w:color w:val="000000"/>
                <w:sz w:val="16"/>
              </w:rPr>
              <w:t>12 - Cła</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21 471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21 471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23 656</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21 365</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i/>
                <w:noProof/>
                <w:color w:val="000000"/>
                <w:sz w:val="16"/>
              </w:rPr>
            </w:pPr>
            <w:r>
              <w:rPr>
                <w:rFonts w:ascii="Verdana" w:hAnsi="Verdana"/>
                <w:i/>
                <w:noProof/>
                <w:color w:val="000000"/>
                <w:sz w:val="16"/>
              </w:rPr>
              <w:t>13 - VAT</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17 739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17 739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17 775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17 775</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i/>
                <w:noProof/>
                <w:color w:val="000000"/>
                <w:sz w:val="16"/>
              </w:rPr>
            </w:pPr>
            <w:r>
              <w:rPr>
                <w:rFonts w:ascii="Verdana" w:hAnsi="Verdana"/>
                <w:i/>
                <w:noProof/>
                <w:color w:val="000000"/>
                <w:sz w:val="16"/>
              </w:rPr>
              <w:t>14 - DNB</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107 095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105 585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105 700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105 700</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i/>
                <w:noProof/>
                <w:color w:val="000000"/>
                <w:sz w:val="16"/>
              </w:rPr>
            </w:pPr>
            <w:r>
              <w:rPr>
                <w:rFonts w:ascii="Verdana" w:hAnsi="Verdana"/>
                <w:i/>
                <w:noProof/>
                <w:color w:val="000000"/>
                <w:sz w:val="16"/>
              </w:rPr>
              <w:t>15 - Korekta nierównowagi budżetowej</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(81)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(81)</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i/>
                <w:noProof/>
                <w:color w:val="000000"/>
                <w:sz w:val="16"/>
              </w:rPr>
            </w:pPr>
            <w:r>
              <w:rPr>
                <w:rFonts w:ascii="Verdana" w:hAnsi="Verdana"/>
                <w:i/>
                <w:noProof/>
                <w:color w:val="000000"/>
                <w:sz w:val="16"/>
              </w:rPr>
              <w:t>16 - Obniżka wkładów opartych na DNB dla Niderlandów i Szwecji</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7</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3</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Nadwyżki, salda i dostosowania</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1 803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1 811</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1 805</w:t>
            </w:r>
          </w:p>
        </w:tc>
      </w:tr>
      <w:tr w:rsidR="0043277E">
        <w:trPr>
          <w:trHeight w:val="505"/>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4</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Dochody pochodzące od osób pracujących w instytucjach i innych organach Unii</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1 607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1 607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1 585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1 576</w:t>
            </w:r>
          </w:p>
        </w:tc>
      </w:tr>
      <w:tr w:rsidR="0043277E">
        <w:trPr>
          <w:trHeight w:val="555"/>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5</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Dochody z działalności administracyjnej instytucji</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589</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558</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6</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Wkłady i zwroty związane z realizacją porozumień i programów unijnych</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14 134</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12 577</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7</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Odsetki od zaległych płatności i grzywny</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18 575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2 625</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8</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 xml:space="preserve">Operacje zaciągania </w:t>
            </w:r>
            <w:r>
              <w:rPr>
                <w:rFonts w:ascii="Verdana" w:hAnsi="Verdana"/>
                <w:noProof/>
                <w:color w:val="000000"/>
                <w:sz w:val="16"/>
              </w:rPr>
              <w:t>i udzielania pożyczek</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9</w:t>
            </w:r>
          </w:p>
        </w:tc>
        <w:tc>
          <w:tcPr>
            <w:tcW w:w="4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rPr>
                <w:rFonts w:ascii="Verdana" w:eastAsia="Verdana" w:hAnsi="Verdana" w:cs="Verdana"/>
                <w:noProof/>
                <w:color w:val="000000"/>
                <w:sz w:val="16"/>
              </w:rPr>
            </w:pPr>
            <w:r>
              <w:rPr>
                <w:rFonts w:ascii="Verdana" w:hAnsi="Verdana"/>
                <w:noProof/>
                <w:color w:val="000000"/>
                <w:sz w:val="16"/>
              </w:rPr>
              <w:t>Dochody różne</w:t>
            </w:r>
          </w:p>
        </w:tc>
        <w:tc>
          <w:tcPr>
            <w:tcW w:w="11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17</w:t>
            </w:r>
          </w:p>
        </w:tc>
        <w:tc>
          <w:tcPr>
            <w:tcW w:w="113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8</w:t>
            </w:r>
          </w:p>
        </w:tc>
      </w:tr>
      <w:tr w:rsidR="0043277E">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43277E" w:rsidRDefault="0043277E">
            <w:pPr>
              <w:pStyle w:val="DMETW17140BIPStatementofcomparisonRevenue"/>
              <w:rPr>
                <w:rFonts w:ascii="Verdana" w:eastAsia="Verdana" w:hAnsi="Verdana" w:cs="Verdana"/>
                <w:b/>
                <w:noProof/>
                <w:color w:val="000000"/>
                <w:sz w:val="16"/>
              </w:rPr>
            </w:pPr>
          </w:p>
        </w:tc>
        <w:tc>
          <w:tcPr>
            <w:tcW w:w="4698"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Revenue"/>
              <w:rPr>
                <w:rFonts w:ascii="Verdana" w:eastAsia="Verdana" w:hAnsi="Verdana" w:cs="Verdana"/>
                <w:b/>
                <w:noProof/>
                <w:color w:val="000000"/>
                <w:sz w:val="16"/>
              </w:rPr>
            </w:pPr>
            <w:r>
              <w:rPr>
                <w:rFonts w:ascii="Verdana" w:hAnsi="Verdana"/>
                <w:b/>
                <w:noProof/>
                <w:color w:val="000000"/>
                <w:sz w:val="16"/>
              </w:rPr>
              <w:t>Ogółem</w:t>
            </w:r>
          </w:p>
        </w:tc>
        <w:tc>
          <w:tcPr>
            <w:tcW w:w="1126"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148 199</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148 492</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183 771</w:t>
            </w:r>
          </w:p>
        </w:tc>
        <w:tc>
          <w:tcPr>
            <w:tcW w:w="1131"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163 918</w:t>
            </w:r>
          </w:p>
        </w:tc>
      </w:tr>
    </w:tbl>
    <w:p w:rsidR="0043277E" w:rsidRDefault="0043277E">
      <w:pPr>
        <w:pStyle w:val="Textstand-alone"/>
      </w:pPr>
    </w:p>
    <w:p w:rsidR="0043277E" w:rsidRDefault="000F2348">
      <w:pPr>
        <w:pStyle w:val="HEADERTITLE"/>
      </w:pPr>
      <w:r>
        <w:t>Wydatki budżetowe: zobowiązania według działów wieloletnich ram finansowych (WRF)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648"/>
        <w:gridCol w:w="1024"/>
        <w:gridCol w:w="1025"/>
        <w:gridCol w:w="1463"/>
        <w:gridCol w:w="1356"/>
      </w:tblGrid>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noProof/>
                <w:color w:val="000000"/>
                <w:sz w:val="16"/>
              </w:rPr>
            </w:pPr>
            <w:bookmarkStart w:id="216" w:name="DOC_TBL00099_1_1"/>
            <w:bookmarkEnd w:id="216"/>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noProof/>
                <w:color w:val="000000"/>
                <w:sz w:val="16"/>
              </w:rPr>
            </w:pP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noProof/>
                <w:color w:val="000000"/>
                <w:sz w:val="16"/>
              </w:rPr>
            </w:pP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140BIPStatementofcomparisonCommitments"/>
              <w:jc w:val="center"/>
              <w:rPr>
                <w:rFonts w:ascii="Verdana" w:eastAsia="Verdana" w:hAnsi="Verdana" w:cs="Verdana"/>
                <w:noProof/>
                <w:color w:val="FFFFFF"/>
                <w:sz w:val="16"/>
              </w:rPr>
            </w:pPr>
          </w:p>
        </w:tc>
        <w:tc>
          <w:tcPr>
            <w:tcW w:w="450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Dział WRF</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99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 xml:space="preserve">Ostateczny </w:t>
            </w:r>
            <w:r>
              <w:rPr>
                <w:rFonts w:ascii="Verdana" w:hAnsi="Verdana"/>
                <w:noProof/>
                <w:color w:val="FFFFFF"/>
                <w:sz w:val="16"/>
              </w:rPr>
              <w:t>przyjęty budżet</w:t>
            </w:r>
          </w:p>
        </w:tc>
        <w:tc>
          <w:tcPr>
            <w:tcW w:w="141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Dostępne</w:t>
            </w:r>
          </w:p>
          <w:p w:rsidR="0043277E" w:rsidRDefault="000F2348">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środki</w:t>
            </w:r>
          </w:p>
          <w:p w:rsidR="0043277E" w:rsidRDefault="000F2348">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ogółem</w:t>
            </w:r>
          </w:p>
        </w:tc>
        <w:tc>
          <w:tcPr>
            <w:tcW w:w="131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Zaciągnięte zobowiązania</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1</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Inteligentny wzrost gospodarczy sprzyjający włączeniu społecznemu</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80 527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80 627</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92 794</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90 536</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i/>
                <w:noProof/>
                <w:color w:val="000000"/>
                <w:sz w:val="16"/>
              </w:rPr>
            </w:pPr>
            <w:r>
              <w:rPr>
                <w:rFonts w:ascii="Verdana" w:hAnsi="Verdana"/>
                <w:i/>
                <w:noProof/>
                <w:color w:val="000000"/>
                <w:sz w:val="16"/>
              </w:rPr>
              <w:t>1a: Konkurencyjność na rzecz wzrostu gospodarczego i zatrudnienia</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23 335</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23 435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27 826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25 782</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i/>
                <w:noProof/>
                <w:color w:val="000000"/>
                <w:sz w:val="16"/>
              </w:rPr>
            </w:pPr>
            <w:r>
              <w:rPr>
                <w:rFonts w:ascii="Verdana" w:hAnsi="Verdana"/>
                <w:i/>
                <w:noProof/>
                <w:color w:val="000000"/>
                <w:sz w:val="16"/>
              </w:rPr>
              <w:t>1b: Spójność gospodarcza, społeczna i terytorialna</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57 192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57 192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64 969</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64 754</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2</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Trwały wzrost gospodarczy: zasoby naturalne</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59 642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59 642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62 846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60 600</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i/>
                <w:noProof/>
                <w:color w:val="000000"/>
                <w:sz w:val="16"/>
              </w:rPr>
            </w:pPr>
            <w:r>
              <w:rPr>
                <w:rFonts w:ascii="Verdana" w:hAnsi="Verdana"/>
                <w:i/>
                <w:noProof/>
                <w:color w:val="000000"/>
                <w:sz w:val="16"/>
              </w:rPr>
              <w:t>w tym: wydatki związane z rynkiem i płatności bezpośrednie</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43 192</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43 192</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44 806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43 962</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3</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Bezpieczeństwo i obywatelstwo</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3 787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3 787</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4 065</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3 874</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4</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Globalny wymiar Europy</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11 319</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11 625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13 454</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13 111</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5</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Administracja</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9 943</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9 943</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10 776</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10 371</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i/>
                <w:noProof/>
                <w:color w:val="000000"/>
                <w:sz w:val="16"/>
              </w:rPr>
            </w:pPr>
            <w:r>
              <w:rPr>
                <w:rFonts w:ascii="Verdana" w:hAnsi="Verdana"/>
                <w:i/>
                <w:noProof/>
                <w:color w:val="000000"/>
                <w:sz w:val="16"/>
              </w:rPr>
              <w:t>w tym: wydatki administracyjne instytucji</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4 115</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4 115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4 550</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4 371</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6</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Wyrównania</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8</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 xml:space="preserve">Rezerwa ujemna i deficyt przeniesione z poprzedniego roku budżetowego </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9</w:t>
            </w:r>
          </w:p>
        </w:tc>
        <w:tc>
          <w:tcPr>
            <w:tcW w:w="45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rPr>
                <w:rFonts w:ascii="Verdana" w:eastAsia="Verdana" w:hAnsi="Verdana" w:cs="Verdana"/>
                <w:noProof/>
                <w:color w:val="000000"/>
                <w:sz w:val="16"/>
              </w:rPr>
            </w:pPr>
            <w:r>
              <w:rPr>
                <w:rFonts w:ascii="Verdana" w:hAnsi="Verdana"/>
                <w:noProof/>
                <w:color w:val="000000"/>
                <w:sz w:val="16"/>
              </w:rPr>
              <w:t>Instrumenty szczególne</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577</w:t>
            </w:r>
          </w:p>
        </w:tc>
        <w:tc>
          <w:tcPr>
            <w:tcW w:w="99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565</w:t>
            </w:r>
          </w:p>
        </w:tc>
        <w:tc>
          <w:tcPr>
            <w:tcW w:w="14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131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295</w:t>
            </w:r>
          </w:p>
        </w:tc>
      </w:tr>
      <w:tr w:rsidR="0043277E">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43277E" w:rsidRDefault="0043277E">
            <w:pPr>
              <w:pStyle w:val="DMETW17140BIPStatementofcomparisonCommitments"/>
              <w:rPr>
                <w:rFonts w:ascii="Verdana" w:eastAsia="Verdana" w:hAnsi="Verdana" w:cs="Verdana"/>
                <w:b/>
                <w:noProof/>
                <w:color w:val="000000"/>
                <w:sz w:val="16"/>
              </w:rPr>
            </w:pPr>
          </w:p>
        </w:tc>
        <w:tc>
          <w:tcPr>
            <w:tcW w:w="4502"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Commitments"/>
              <w:rPr>
                <w:rFonts w:ascii="Verdana" w:eastAsia="Verdana" w:hAnsi="Verdana" w:cs="Verdana"/>
                <w:b/>
                <w:noProof/>
                <w:color w:val="000000"/>
                <w:sz w:val="16"/>
              </w:rPr>
            </w:pPr>
            <w:r>
              <w:rPr>
                <w:rFonts w:ascii="Verdana" w:hAnsi="Verdana"/>
                <w:b/>
                <w:noProof/>
                <w:color w:val="000000"/>
                <w:sz w:val="16"/>
              </w:rPr>
              <w:t>Ogółem</w:t>
            </w:r>
          </w:p>
        </w:tc>
        <w:tc>
          <w:tcPr>
            <w:tcW w:w="992"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165 796</w:t>
            </w:r>
          </w:p>
        </w:tc>
        <w:tc>
          <w:tcPr>
            <w:tcW w:w="993"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166 189</w:t>
            </w:r>
          </w:p>
        </w:tc>
        <w:tc>
          <w:tcPr>
            <w:tcW w:w="1417"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184 554</w:t>
            </w:r>
          </w:p>
        </w:tc>
        <w:tc>
          <w:tcPr>
            <w:tcW w:w="1313"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178 787</w:t>
            </w:r>
          </w:p>
        </w:tc>
      </w:tr>
    </w:tbl>
    <w:p w:rsidR="0043277E" w:rsidRDefault="0043277E">
      <w:pPr>
        <w:pStyle w:val="Textstand-alone"/>
      </w:pPr>
    </w:p>
    <w:p w:rsidR="0043277E" w:rsidRDefault="000F2348">
      <w:pPr>
        <w:pStyle w:val="HEADERTITLE"/>
      </w:pPr>
      <w:r>
        <w:lastRenderedPageBreak/>
        <w:t>Wydatki budżetowe: płatności według działów wieloletnich ram finansowych (WRF)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4444"/>
        <w:gridCol w:w="1268"/>
        <w:gridCol w:w="1130"/>
        <w:gridCol w:w="1405"/>
        <w:gridCol w:w="1268"/>
      </w:tblGrid>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noProof/>
                <w:color w:val="000000"/>
                <w:sz w:val="16"/>
              </w:rPr>
            </w:pPr>
            <w:bookmarkStart w:id="217" w:name="DOC_TBL00100_1_1"/>
            <w:bookmarkEnd w:id="217"/>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noProof/>
                <w:color w:val="000000"/>
                <w:sz w:val="16"/>
              </w:rPr>
            </w:pP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noProof/>
                <w:color w:val="000000"/>
                <w:sz w:val="16"/>
              </w:rPr>
            </w:pP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 xml:space="preserve">w </w:t>
            </w:r>
            <w:r>
              <w:rPr>
                <w:rFonts w:ascii="Verdana" w:hAnsi="Verdana"/>
                <w:i/>
                <w:noProof/>
                <w:color w:val="000000"/>
                <w:sz w:val="16"/>
              </w:rPr>
              <w:t>mln EUR</w:t>
            </w:r>
          </w:p>
        </w:tc>
      </w:tr>
      <w:tr w:rsidR="0043277E">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140BIPStatementofcomparisonPayments"/>
              <w:jc w:val="center"/>
              <w:rPr>
                <w:rFonts w:ascii="Verdana" w:eastAsia="Verdana" w:hAnsi="Verdana" w:cs="Verdana"/>
                <w:noProof/>
                <w:color w:val="FFFFFF"/>
                <w:sz w:val="16"/>
              </w:rPr>
            </w:pPr>
          </w:p>
        </w:tc>
        <w:tc>
          <w:tcPr>
            <w:tcW w:w="430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Dział WRF</w:t>
            </w:r>
          </w:p>
        </w:tc>
        <w:tc>
          <w:tcPr>
            <w:tcW w:w="122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109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136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Dostępne</w:t>
            </w:r>
          </w:p>
          <w:p w:rsidR="0043277E" w:rsidRDefault="000F2348">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środki</w:t>
            </w:r>
          </w:p>
          <w:p w:rsidR="0043277E" w:rsidRDefault="000F2348">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ogółem</w:t>
            </w:r>
          </w:p>
        </w:tc>
        <w:tc>
          <w:tcPr>
            <w:tcW w:w="122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Dokonane płatności</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1</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hAnsi="Verdana"/>
                <w:noProof/>
                <w:color w:val="000000"/>
                <w:sz w:val="16"/>
              </w:rPr>
            </w:pPr>
          </w:p>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Inteligentny wzrost gospodarczy sprzyjający włączeniu społecznemu</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67 557</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67 823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82 553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75 535</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i/>
                <w:noProof/>
                <w:color w:val="000000"/>
                <w:sz w:val="16"/>
              </w:rPr>
            </w:pPr>
            <w:r>
              <w:rPr>
                <w:rFonts w:ascii="Verdana" w:hAnsi="Verdana"/>
                <w:i/>
                <w:noProof/>
                <w:color w:val="000000"/>
                <w:sz w:val="16"/>
              </w:rPr>
              <w:t xml:space="preserve">1a: Konkurencyjność na rzecz wzrostu </w:t>
            </w:r>
            <w:r>
              <w:rPr>
                <w:rFonts w:ascii="Verdana" w:hAnsi="Verdana"/>
                <w:i/>
                <w:noProof/>
                <w:color w:val="000000"/>
                <w:sz w:val="16"/>
              </w:rPr>
              <w:t>gospodarczego i zatrudnienia</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20 522</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20 261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26 044</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21 748</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i/>
                <w:noProof/>
                <w:color w:val="000000"/>
                <w:sz w:val="16"/>
              </w:rPr>
            </w:pPr>
            <w:r>
              <w:rPr>
                <w:rFonts w:ascii="Verdana" w:hAnsi="Verdana"/>
                <w:i/>
                <w:noProof/>
                <w:color w:val="000000"/>
                <w:sz w:val="16"/>
              </w:rPr>
              <w:t>1b: Spójność gospodarcza, społeczna i terytorialna</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47 035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47 561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56 510</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53 787</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2</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Trwały wzrost gospodarczy: zasoby naturalne</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57 400</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57 837</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61 252</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59 521</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i/>
                <w:noProof/>
                <w:color w:val="000000"/>
                <w:sz w:val="16"/>
              </w:rPr>
            </w:pPr>
            <w:r>
              <w:rPr>
                <w:rFonts w:ascii="Verdana" w:hAnsi="Verdana"/>
                <w:i/>
                <w:noProof/>
                <w:color w:val="000000"/>
                <w:sz w:val="16"/>
              </w:rPr>
              <w:t xml:space="preserve">w tym: wydatki związane z rynkiem i </w:t>
            </w:r>
            <w:r>
              <w:rPr>
                <w:rFonts w:ascii="Verdana" w:hAnsi="Verdana"/>
                <w:i/>
                <w:noProof/>
                <w:color w:val="000000"/>
                <w:sz w:val="16"/>
              </w:rPr>
              <w:t>płatności bezpośrednie</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43 116</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43 113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44 933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43 885</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3</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Bezpieczeństwo i obywatelstwo</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3 527</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3 291</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3 575</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3 256</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4</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Globalny wymiar Europy</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9 358</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8 953</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10 933</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10 108</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5</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Administracja</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9 945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9 942</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11 694</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10 381</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140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i/>
                <w:noProof/>
                <w:color w:val="000000"/>
                <w:sz w:val="16"/>
              </w:rPr>
            </w:pPr>
            <w:r>
              <w:rPr>
                <w:rFonts w:ascii="Verdana" w:hAnsi="Verdana"/>
                <w:i/>
                <w:noProof/>
                <w:color w:val="000000"/>
                <w:sz w:val="16"/>
              </w:rPr>
              <w:t>w tym: wydatki administracyjne instytucji</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4 115</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 xml:space="preserve">4 </w:t>
            </w:r>
            <w:r>
              <w:rPr>
                <w:rFonts w:ascii="Verdana" w:hAnsi="Verdana"/>
                <w:i/>
                <w:noProof/>
                <w:color w:val="000000"/>
                <w:sz w:val="16"/>
              </w:rPr>
              <w:t>115</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5 107</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4 377</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6</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Wyrównania</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8</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 xml:space="preserve">Rezerwa ujemna i deficyt przeniesione z poprzedniego roku budżetowego </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9</w:t>
            </w:r>
          </w:p>
        </w:tc>
        <w:tc>
          <w:tcPr>
            <w:tcW w:w="43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rPr>
                <w:rFonts w:ascii="Verdana" w:eastAsia="Verdana" w:hAnsi="Verdana" w:cs="Verdana"/>
                <w:noProof/>
                <w:color w:val="000000"/>
                <w:sz w:val="16"/>
              </w:rPr>
            </w:pPr>
            <w:r>
              <w:rPr>
                <w:rFonts w:ascii="Verdana" w:hAnsi="Verdana"/>
                <w:noProof/>
                <w:color w:val="000000"/>
                <w:sz w:val="16"/>
              </w:rPr>
              <w:t>Instrumenty szczególne</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109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647</w:t>
            </w:r>
          </w:p>
        </w:tc>
        <w:tc>
          <w:tcPr>
            <w:tcW w:w="136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122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295</w:t>
            </w:r>
          </w:p>
        </w:tc>
      </w:tr>
      <w:tr w:rsidR="0043277E">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rsidR="0043277E" w:rsidRDefault="0043277E">
            <w:pPr>
              <w:pStyle w:val="DMETW17140BIPStatementofcomparisonPayments"/>
              <w:rPr>
                <w:rFonts w:ascii="Verdana" w:eastAsia="Verdana" w:hAnsi="Verdana" w:cs="Verdana"/>
                <w:b/>
                <w:noProof/>
                <w:color w:val="000000"/>
                <w:sz w:val="16"/>
              </w:rPr>
            </w:pPr>
          </w:p>
        </w:tc>
        <w:tc>
          <w:tcPr>
            <w:tcW w:w="4305"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Payments"/>
              <w:rPr>
                <w:rFonts w:ascii="Verdana" w:eastAsia="Verdana" w:hAnsi="Verdana" w:cs="Verdana"/>
                <w:b/>
                <w:noProof/>
                <w:color w:val="000000"/>
                <w:sz w:val="16"/>
              </w:rPr>
            </w:pPr>
            <w:r>
              <w:rPr>
                <w:rFonts w:ascii="Verdana" w:hAnsi="Verdana"/>
                <w:b/>
                <w:noProof/>
                <w:color w:val="000000"/>
                <w:sz w:val="16"/>
              </w:rPr>
              <w:t>Ogółem</w:t>
            </w:r>
          </w:p>
        </w:tc>
        <w:tc>
          <w:tcPr>
            <w:tcW w:w="1228"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148 199</w:t>
            </w:r>
          </w:p>
        </w:tc>
        <w:tc>
          <w:tcPr>
            <w:tcW w:w="1095"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148 492</w:t>
            </w:r>
          </w:p>
        </w:tc>
        <w:tc>
          <w:tcPr>
            <w:tcW w:w="1361"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170 679</w:t>
            </w:r>
          </w:p>
        </w:tc>
        <w:tc>
          <w:tcPr>
            <w:tcW w:w="1228"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159 096</w:t>
            </w:r>
          </w:p>
        </w:tc>
      </w:tr>
    </w:tbl>
    <w:p w:rsidR="0043277E" w:rsidRDefault="0043277E">
      <w:pPr>
        <w:pStyle w:val="Textstand-alone"/>
      </w:pPr>
    </w:p>
    <w:p w:rsidR="0043277E" w:rsidRDefault="000F2348">
      <w:pPr>
        <w:pStyle w:val="Textstand-alone"/>
        <w:sectPr w:rsidR="0043277E">
          <w:headerReference w:type="even" r:id="rId324"/>
          <w:headerReference w:type="default" r:id="rId325"/>
          <w:footerReference w:type="even" r:id="rId326"/>
          <w:footerReference w:type="default" r:id="rId327"/>
          <w:headerReference w:type="first" r:id="rId328"/>
          <w:footerReference w:type="first" r:id="rId329"/>
          <w:pgSz w:w="11907" w:h="16840"/>
          <w:pgMar w:top="1134" w:right="1134" w:bottom="1134" w:left="1134" w:header="709" w:footer="709" w:gutter="0"/>
          <w:cols w:space="708"/>
          <w:docGrid w:linePitch="360"/>
        </w:sectPr>
      </w:pPr>
      <w:r>
        <w:t xml:space="preserve"> </w:t>
      </w:r>
      <w:bookmarkEnd w:id="212"/>
    </w:p>
    <w:p w:rsidR="0043277E" w:rsidRDefault="000F2348">
      <w:pPr>
        <w:pStyle w:val="HEADERTITLE2"/>
      </w:pPr>
      <w:bookmarkStart w:id="218" w:name="_Toc49418826"/>
      <w:bookmarkStart w:id="219" w:name="_DMBM_17204"/>
      <w:r>
        <w:lastRenderedPageBreak/>
        <w:t>INFORMACJE DODATKOWE DO SPRAWOZDAŃ Z WYKONANIA BUDŻETU</w:t>
      </w:r>
      <w:bookmarkEnd w:id="218"/>
      <w:r>
        <w:t xml:space="preserve"> </w:t>
      </w:r>
    </w:p>
    <w:p w:rsidR="0043277E" w:rsidRDefault="000F2348">
      <w:pPr>
        <w:pStyle w:val="HEADER1PartBUDG"/>
        <w:rPr>
          <w:noProof/>
        </w:rPr>
      </w:pPr>
      <w:bookmarkStart w:id="220" w:name="_Toc49418827"/>
      <w:r>
        <w:rPr>
          <w:noProof/>
        </w:rPr>
        <w:t>RAMY BUDŻETU UE</w:t>
      </w:r>
      <w:bookmarkEnd w:id="220"/>
    </w:p>
    <w:p w:rsidR="0043277E" w:rsidRDefault="000F2348">
      <w:pPr>
        <w:pStyle w:val="DGTextstand-alone"/>
      </w:pPr>
      <w:r>
        <w:t xml:space="preserve">Konta budżetowe prowadzi się zgodnie z rozporządzeniem finansowym (RF). Budżet ogólny to instrument </w:t>
      </w:r>
      <w:r>
        <w:t>zapewniający możliwość ustanawiania i zatwierdzania corocznych dochodów i wydatków Unii w ramach pułapów i innych przepisów przyjętych w wieloletnich ramach finansowych zgodnie z aktami ustawodawczymi dotyczącymi wieloletnich programów przyjętych w tych ra</w:t>
      </w:r>
      <w:r>
        <w:t>mach.</w:t>
      </w:r>
    </w:p>
    <w:p w:rsidR="0043277E" w:rsidRDefault="000F2348">
      <w:pPr>
        <w:pStyle w:val="HEADER2PartBUDG"/>
        <w:rPr>
          <w:noProof/>
        </w:rPr>
      </w:pPr>
      <w:bookmarkStart w:id="221" w:name="_Toc49418828"/>
      <w:r>
        <w:rPr>
          <w:noProof/>
        </w:rPr>
        <w:t>WIELOLETNIE RAMY FINANSOWE NA LATA 2014–2020</w:t>
      </w:r>
      <w:bookmarkEnd w:id="221"/>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rsidR="0043277E">
        <w:tc>
          <w:tcPr>
            <w:tcW w:w="1951" w:type="dxa"/>
            <w:tcBorders>
              <w:top w:val="nil"/>
              <w:left w:val="nil"/>
              <w:bottom w:val="nil"/>
              <w:right w:val="nil"/>
            </w:tcBorders>
            <w:shd w:val="clear" w:color="auto" w:fill="auto"/>
            <w:tcMar>
              <w:top w:w="0" w:type="dxa"/>
              <w:left w:w="108" w:type="dxa"/>
              <w:bottom w:w="0" w:type="dxa"/>
              <w:right w:w="108" w:type="dxa"/>
            </w:tcMar>
          </w:tcPr>
          <w:p w:rsidR="0043277E" w:rsidRDefault="0043277E">
            <w:pPr>
              <w:pStyle w:val="Text8pItalicLeft"/>
              <w:rPr>
                <w:rFonts w:eastAsia="Verdana" w:cs="Verdana"/>
                <w:color w:val="FFFFFF"/>
              </w:rPr>
            </w:pPr>
            <w:bookmarkStart w:id="222" w:name="DOC_TBL00101_1_1"/>
            <w:bookmarkEnd w:id="222"/>
          </w:p>
        </w:tc>
        <w:tc>
          <w:tcPr>
            <w:tcW w:w="992" w:type="dxa"/>
            <w:tcBorders>
              <w:top w:val="nil"/>
              <w:left w:val="nil"/>
              <w:bottom w:val="nil"/>
              <w:right w:val="nil"/>
            </w:tcBorders>
            <w:shd w:val="clear" w:color="auto" w:fill="auto"/>
            <w:tcMar>
              <w:top w:w="0" w:type="dxa"/>
              <w:left w:w="108" w:type="dxa"/>
              <w:bottom w:w="0" w:type="dxa"/>
              <w:right w:w="108" w:type="dxa"/>
            </w:tcMar>
          </w:tcPr>
          <w:p w:rsidR="0043277E" w:rsidRDefault="0043277E">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43277E" w:rsidRDefault="0043277E">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43277E" w:rsidRDefault="0043277E">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43277E" w:rsidRDefault="0043277E">
            <w:pPr>
              <w:pStyle w:val="Text8pItalicRight025EUR"/>
              <w:rPr>
                <w:rFonts w:eastAsia="Verdana" w:cs="Verdana"/>
                <w:i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43277E" w:rsidRDefault="0043277E">
            <w:pPr>
              <w:pStyle w:val="Text8pItalicRight025EUR"/>
              <w:rPr>
                <w:rFonts w:eastAsia="Verdana" w:cs="Verdana"/>
                <w:i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43277E" w:rsidRDefault="0043277E">
            <w:pPr>
              <w:pStyle w:val="Text8pItalicRight025EUR"/>
              <w:rPr>
                <w:rFonts w:eastAsia="Verdana" w:cs="Verdana"/>
                <w:i w:val="0"/>
                <w:lang w:bidi="en-GB"/>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rsidR="0043277E" w:rsidRDefault="000F2348">
            <w:pPr>
              <w:pStyle w:val="Text7pItalicRight025"/>
              <w:rPr>
                <w:rFonts w:eastAsia="Verdana" w:cs="Verdana"/>
              </w:rPr>
            </w:pPr>
            <w:r>
              <w:t>w mln EUR</w:t>
            </w:r>
          </w:p>
        </w:tc>
      </w:tr>
      <w:tr w:rsidR="0043277E">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43277E">
            <w:pPr>
              <w:pStyle w:val="Heading7pNormalRight01"/>
              <w:jc w:val="center"/>
              <w:rPr>
                <w:rFonts w:eastAsia="Verdana" w:cs="Verdana"/>
                <w:noProof/>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rsidR="0043277E" w:rsidRDefault="000F2348">
            <w:pPr>
              <w:pStyle w:val="Heading7pNormalRight01"/>
              <w:jc w:val="center"/>
              <w:rPr>
                <w:rFonts w:eastAsia="Verdana" w:cs="Verdana"/>
                <w:noProof/>
              </w:rPr>
            </w:pPr>
            <w:r>
              <w:rPr>
                <w:noProof/>
              </w:rPr>
              <w:t>Ogółem</w:t>
            </w:r>
          </w:p>
        </w:tc>
      </w:tr>
      <w:tr w:rsidR="0043277E">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1. Inteligentny wzrost gospodarczy sprzyjający włączeniu społecznemu</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513 563</w:t>
            </w:r>
          </w:p>
        </w:tc>
      </w:tr>
      <w:tr w:rsidR="0043277E">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Text7pItalicLeft"/>
              <w:ind w:left="200"/>
              <w:rPr>
                <w:rFonts w:eastAsia="Verdana" w:cs="Verdana"/>
              </w:rPr>
            </w:pPr>
            <w:r>
              <w:t>1.a Konkurencyjność na rzecz wzrostu gospodarczego i zatrudnienia</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142 130</w:t>
            </w:r>
          </w:p>
        </w:tc>
      </w:tr>
      <w:tr w:rsidR="0043277E">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Text7pItalicLeft"/>
              <w:ind w:left="200"/>
              <w:rPr>
                <w:rFonts w:eastAsia="Verdana" w:cs="Verdana"/>
              </w:rPr>
            </w:pPr>
            <w:r>
              <w:t>1.b Spójność gospodarcza, społeczna i terytorialna</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371 433</w:t>
            </w:r>
          </w:p>
        </w:tc>
      </w:tr>
      <w:tr w:rsidR="0043277E">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2. Trwały wzrost gospodarczy: zasoby naturalne</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420 034</w:t>
            </w:r>
          </w:p>
        </w:tc>
      </w:tr>
      <w:tr w:rsidR="0043277E">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Text7pItalicLeft"/>
              <w:ind w:left="200"/>
              <w:rPr>
                <w:rFonts w:eastAsia="Verdana" w:cs="Verdana"/>
              </w:rPr>
            </w:pPr>
            <w:r>
              <w:t>w tym: wydatki związane z rynkiem i płatności bezpośrednie</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43 881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43 888</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307 998</w:t>
            </w:r>
          </w:p>
        </w:tc>
      </w:tr>
      <w:tr w:rsidR="0043277E">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3. Bezpieczeństwo i obywatelstwo</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17 725</w:t>
            </w:r>
          </w:p>
        </w:tc>
      </w:tr>
      <w:tr w:rsidR="0043277E">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4. Globalny wymiar Europy</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66 262</w:t>
            </w:r>
          </w:p>
        </w:tc>
      </w:tr>
      <w:tr w:rsidR="0043277E">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5. Administracja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69 584</w:t>
            </w:r>
          </w:p>
        </w:tc>
      </w:tr>
      <w:tr w:rsidR="0043277E">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Text7pItalicLeft"/>
              <w:ind w:left="200"/>
              <w:rPr>
                <w:rFonts w:eastAsia="Verdana" w:cs="Verdana"/>
              </w:rPr>
            </w:pPr>
            <w:r>
              <w:t>w tym: wydatki administracyjne instytucji</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ItalicRight01"/>
              <w:rPr>
                <w:rFonts w:eastAsia="Verdana" w:cs="Verdana"/>
              </w:rPr>
            </w:pPr>
            <w:r>
              <w:t xml:space="preserve">  56 224</w:t>
            </w:r>
          </w:p>
        </w:tc>
      </w:tr>
      <w:tr w:rsidR="0043277E">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6. Wyrównania</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 xml:space="preserve">   29</w:t>
            </w:r>
          </w:p>
        </w:tc>
      </w:tr>
      <w:tr w:rsidR="0043277E">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8. Rezerwa ujemna</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r>
      <w:tr w:rsidR="0043277E">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Text7pNormalLeft"/>
              <w:ind w:left="0"/>
              <w:rPr>
                <w:rFonts w:eastAsia="Verdana" w:cs="Verdana"/>
              </w:rPr>
            </w:pPr>
            <w:r>
              <w:t>9. Instrumenty szczególne</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rsidR="0043277E" w:rsidRDefault="000F2348">
            <w:pPr>
              <w:pStyle w:val="Figures6pNormalright01"/>
              <w:rPr>
                <w:rFonts w:eastAsia="Verdana" w:cs="Verdana"/>
              </w:rPr>
            </w:pPr>
            <w:r>
              <w:t>–</w:t>
            </w:r>
          </w:p>
        </w:tc>
      </w:tr>
      <w:tr w:rsidR="0043277E">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Text7pBoldLeft"/>
              <w:rPr>
                <w:rFonts w:eastAsia="Verdana" w:cs="Verdana"/>
              </w:rPr>
            </w:pPr>
            <w:r>
              <w:t>Środki na zobowiązania</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1 087 197</w:t>
            </w:r>
          </w:p>
        </w:tc>
      </w:tr>
      <w:tr w:rsidR="0043277E">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Text7pNormalLeft"/>
              <w:ind w:left="0"/>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rsidR="0043277E" w:rsidRDefault="0043277E">
            <w:pPr>
              <w:pStyle w:val="Figures6pNormalright01"/>
              <w:rPr>
                <w:rFonts w:eastAsia="Verdana" w:cs="Verdana"/>
                <w:lang w:bidi="en-GB"/>
              </w:rPr>
            </w:pPr>
          </w:p>
        </w:tc>
      </w:tr>
      <w:tr w:rsidR="0043277E">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Text7pBoldLeft"/>
              <w:rPr>
                <w:rFonts w:eastAsia="Verdana" w:cs="Verdana"/>
              </w:rPr>
            </w:pPr>
            <w:r>
              <w:t>Środki na płatności ogółem:</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126 492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154 355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166 709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172 420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43277E" w:rsidRDefault="000F2348">
            <w:pPr>
              <w:pStyle w:val="Figures6pBoldRight01"/>
              <w:rPr>
                <w:rFonts w:eastAsia="Verdana" w:cs="Verdana"/>
              </w:rPr>
            </w:pPr>
            <w:r>
              <w:t xml:space="preserve"> 1 027 151</w:t>
            </w:r>
          </w:p>
        </w:tc>
      </w:tr>
    </w:tbl>
    <w:p w:rsidR="0043277E" w:rsidRDefault="000F2348">
      <w:pPr>
        <w:pStyle w:val="DGTextstand-alone"/>
      </w:pPr>
      <w:r>
        <w:t xml:space="preserve">W powyższej tabeli </w:t>
      </w:r>
      <w:r>
        <w:t>przedstawiono pułapy wieloletnich ram finansowych (WRF) według cen bieżących. Rok 2019 był przedostatnim rokiem budżetowym objętym WRF na lata 2014–2020. Łączny pułap środków na zobowiązania na 2019 r. wyniósł 164 123 mln EUR, co odpowiada 1,00 % DNB UE, a</w:t>
      </w:r>
      <w:r>
        <w:t xml:space="preserve"> równocześnie odpowiedni pułap środków na płatności wyniósł 166 709 mln EUR, czyli 1,01 % DNB UE w roku budżetowym 2019.</w:t>
      </w:r>
    </w:p>
    <w:p w:rsidR="0043277E" w:rsidRDefault="000F2348">
      <w:pPr>
        <w:pStyle w:val="DGTextstand-alone"/>
      </w:pPr>
      <w:r>
        <w:t>W odniesieniu do WRF na lata 2014–2020 uzgodniono nowe przepisy dotyczące elastyczności. Jeden z nich dotyczy możliwości przenoszenia n</w:t>
      </w:r>
      <w:r>
        <w:t>iewykorzystanych marginesów (do wysokości limitów określonych w rozporządzeniu) w ramach pułapów płatności na kolejne lata za pomocą łącznego marginesu na płatności w ramach dostosowania technicznego WRF na kolejny rok. W związku z tym niewykorzystane kwot</w:t>
      </w:r>
      <w:r>
        <w:t>y z 2016 r. (13 991 mln EUR według cen bieżących), z 2017 r. (16 414 mln EUR według cen bieżących) i z 2018 r. (210 mln EUR z obliczonych 11 386 mln EUR z powodu ograniczeń) zostały przeniesione na lata 2018–2020, a pułapy z lat 2016–2020 zostały odpowiedn</w:t>
      </w:r>
      <w:r>
        <w:t>io skorygowane. W dniu 15 maja 2019 r. Komisja przyjęła komunikat w sprawie dostosowania technicznego ram finansowych na 2020 r. do zmian DNB (ESA 2010) (COM(2019) 310).</w:t>
      </w:r>
    </w:p>
    <w:p w:rsidR="0043277E" w:rsidRDefault="000F2348">
      <w:pPr>
        <w:rPr>
          <w:rFonts w:ascii="Verdana" w:eastAsia="Calibri" w:hAnsi="Verdana"/>
          <w:noProof/>
          <w:sz w:val="18"/>
          <w:szCs w:val="18"/>
          <w:bdr w:val="nil"/>
        </w:rPr>
      </w:pPr>
      <w:r>
        <w:rPr>
          <w:noProof/>
        </w:rPr>
        <w:br w:type="page"/>
      </w:r>
    </w:p>
    <w:p w:rsidR="0043277E" w:rsidRDefault="000F2348">
      <w:pPr>
        <w:pStyle w:val="DGTextstand-alone"/>
      </w:pPr>
      <w:r>
        <w:lastRenderedPageBreak/>
        <w:t>Wyjaśnienie poszczególnych działów wieloletnich ram finansowych przedstawiono poniże</w:t>
      </w:r>
      <w:r>
        <w:t>j:</w:t>
      </w:r>
    </w:p>
    <w:p w:rsidR="0043277E" w:rsidRDefault="000F2348">
      <w:pPr>
        <w:pStyle w:val="HEADER5"/>
        <w:rPr>
          <w:noProof/>
        </w:rPr>
      </w:pPr>
      <w:r>
        <w:rPr>
          <w:noProof/>
        </w:rPr>
        <w:t>Dział 1 – Inteligentny wzrost gospodarczy sprzyjający włączeniu społecznemu</w:t>
      </w:r>
    </w:p>
    <w:p w:rsidR="0043277E" w:rsidRDefault="000F2348">
      <w:pPr>
        <w:pStyle w:val="DGTextstand-alone"/>
      </w:pPr>
      <w:r>
        <w:t>Dział ten obejmuje dwa oddzielne, ale powiązane ze sobą komponenty:</w:t>
      </w:r>
    </w:p>
    <w:p w:rsidR="0043277E" w:rsidRDefault="000F2348">
      <w:pPr>
        <w:pStyle w:val="DGTextstand-alone"/>
        <w:ind w:left="426" w:hanging="426"/>
      </w:pPr>
      <w:r>
        <w:t>1a</w:t>
      </w:r>
      <w:r>
        <w:tab/>
        <w:t xml:space="preserve">konkurencyjność na rzecz wzrostu gospodarczego i zatrudnienia – komponent ten obejmuje wydatki na badania </w:t>
      </w:r>
      <w:r>
        <w:t>i innowacje, edukację i szkolenia, instrument „Łącząc Europę”, politykę społeczną, rynek wewnętrzny i polityki powiązane;</w:t>
      </w:r>
    </w:p>
    <w:p w:rsidR="0043277E" w:rsidRDefault="000F2348">
      <w:pPr>
        <w:pStyle w:val="DGTextstand-alone"/>
        <w:ind w:left="426" w:hanging="426"/>
      </w:pPr>
      <w:r>
        <w:t>1b</w:t>
      </w:r>
      <w:r>
        <w:tab/>
        <w:t xml:space="preserve">spójność ekonomiczną, społeczną i terytorialną – komponent ten ma na celu poprawę konwergencji najmniej rozwiniętych państw </w:t>
      </w:r>
      <w:r>
        <w:t>członkowskich i regionów, stanowiąc uzupełnienie strategii UE na rzecz trwałego rozwoju poza mniej zamożnymi regionami i wspierania współpracy międzyregionalnej.</w:t>
      </w:r>
    </w:p>
    <w:p w:rsidR="0043277E" w:rsidRDefault="000F2348">
      <w:pPr>
        <w:pStyle w:val="HEADER5"/>
        <w:rPr>
          <w:noProof/>
        </w:rPr>
      </w:pPr>
      <w:r>
        <w:rPr>
          <w:noProof/>
        </w:rPr>
        <w:t>Dział 2 – Trwały wzrost gospodarczy: zasoby naturalne</w:t>
      </w:r>
    </w:p>
    <w:p w:rsidR="0043277E" w:rsidRDefault="000F2348">
      <w:pPr>
        <w:pStyle w:val="DGTextstand-alone"/>
      </w:pPr>
      <w:r>
        <w:t xml:space="preserve">Dział 2 obejmuje wspólną politykę rolną </w:t>
      </w:r>
      <w:r>
        <w:t>i wspólną politykę rybołówstwa oraz środki ochrony środowiska, w szczególności program LIFE+.</w:t>
      </w:r>
    </w:p>
    <w:p w:rsidR="0043277E" w:rsidRDefault="000F2348">
      <w:pPr>
        <w:pStyle w:val="HEADER5"/>
        <w:rPr>
          <w:noProof/>
        </w:rPr>
      </w:pPr>
      <w:r>
        <w:rPr>
          <w:noProof/>
        </w:rPr>
        <w:t>Dział 3 – Bezpieczeństwo i obywatelstwo</w:t>
      </w:r>
    </w:p>
    <w:p w:rsidR="0043277E" w:rsidRDefault="000F2348">
      <w:pPr>
        <w:pStyle w:val="DGTextstand-alone"/>
      </w:pPr>
      <w:r>
        <w:t xml:space="preserve">Dział 3 (Bezpieczeństwo i obywatelstwo) jest dowodem na to, że coraz większą wagę przywiązuje się do takich obszarów, jak </w:t>
      </w:r>
      <w:r>
        <w:t>sprawiedliwość i sprawy wewnętrzne, ochrona granic, polityka imigracyjna i azylowa, zdrowie publiczne i ochrona konsumentów, kultura, młodzież, polityka informacyjna i dialog z obywatelami, w których to dziedzinach powierzono UE szczególne zadania.</w:t>
      </w:r>
    </w:p>
    <w:p w:rsidR="0043277E" w:rsidRDefault="000F2348">
      <w:pPr>
        <w:pStyle w:val="HEADER5"/>
        <w:rPr>
          <w:noProof/>
        </w:rPr>
      </w:pPr>
      <w:r>
        <w:rPr>
          <w:noProof/>
        </w:rPr>
        <w:t>Dział 4</w:t>
      </w:r>
      <w:r>
        <w:rPr>
          <w:noProof/>
        </w:rPr>
        <w:t xml:space="preserve"> – Globalny wymiar Europy</w:t>
      </w:r>
    </w:p>
    <w:p w:rsidR="0043277E" w:rsidRDefault="000F2348">
      <w:pPr>
        <w:pStyle w:val="DGTextstand-alone"/>
      </w:pPr>
      <w:r>
        <w:t>Dział 4 obejmuje wszystkie działania zewnętrzne, w tym współpracę na rzecz rozwoju, pomoc humanitarną, instrumenty przedakcesyjne i politykę sąsiedztwa. EFR pozostaje poza budżetem UE i nie jest częścią WRF.</w:t>
      </w:r>
    </w:p>
    <w:p w:rsidR="0043277E" w:rsidRDefault="000F2348">
      <w:pPr>
        <w:pStyle w:val="HEADER5"/>
        <w:rPr>
          <w:noProof/>
        </w:rPr>
      </w:pPr>
      <w:r>
        <w:rPr>
          <w:noProof/>
        </w:rPr>
        <w:t>Dział 5 – Administracj</w:t>
      </w:r>
      <w:r>
        <w:rPr>
          <w:noProof/>
        </w:rPr>
        <w:t>a</w:t>
      </w:r>
    </w:p>
    <w:p w:rsidR="0043277E" w:rsidRDefault="000F2348">
      <w:pPr>
        <w:pStyle w:val="DGTextstand-alone"/>
      </w:pPr>
      <w:r>
        <w:t>Dział ten obejmuje wydatki administracyjne wszystkich instytucji, renty i emerytury oraz szkoły europejskie. W przypadku instytucji innych niż Komisja koszty te stanowią sumę ich łącznych wydatków.</w:t>
      </w:r>
    </w:p>
    <w:p w:rsidR="0043277E" w:rsidRDefault="000F2348">
      <w:pPr>
        <w:pStyle w:val="HEADER5"/>
        <w:rPr>
          <w:noProof/>
        </w:rPr>
      </w:pPr>
      <w:r>
        <w:rPr>
          <w:noProof/>
        </w:rPr>
        <w:t>Dział 6 – Wyrównania</w:t>
      </w:r>
    </w:p>
    <w:p w:rsidR="0043277E" w:rsidRDefault="000F2348">
      <w:pPr>
        <w:pStyle w:val="DGTextstand-alone"/>
      </w:pPr>
      <w:r>
        <w:t>Zgodnie z porozumieniem politycznym</w:t>
      </w:r>
      <w:r>
        <w:t>, według którego nowe państwa członkowskie nie powinny być płatnikami netto budżetu UE na samym początku członkostwa, przewidziano w ramach tego działu środki na wyrównania. Kwota ta była dostępna w formie transferów na rzecz tych państw członkowskich w ce</w:t>
      </w:r>
      <w:r>
        <w:t>lu wyrównania różnicy pomiędzy wysokością składek wpłacanych przez nie do budżetu i kwot z niego uzyskiwanych.</w:t>
      </w:r>
    </w:p>
    <w:p w:rsidR="0043277E" w:rsidRDefault="000F2348">
      <w:pPr>
        <w:pStyle w:val="HEADER5"/>
        <w:rPr>
          <w:noProof/>
        </w:rPr>
      </w:pPr>
      <w:r>
        <w:rPr>
          <w:noProof/>
        </w:rPr>
        <w:t>Dział 9 – Instrumenty szczególne</w:t>
      </w:r>
    </w:p>
    <w:p w:rsidR="0043277E" w:rsidRDefault="000F2348">
      <w:pPr>
        <w:pStyle w:val="DGTextstand-alone"/>
      </w:pPr>
      <w:r>
        <w:t>Mechanizmy elastyczności zapewniają UE możliwość pozyskania środków niezbędnych do właściwego reagowania na niep</w:t>
      </w:r>
      <w:r>
        <w:t>rzewidziane zdarzenia, takie jak kryzysy i sytuacje nadzwyczajne. Zakres tych mechanizmów, alokację środków finansowych i procedury działania przedstawiono w rozporządzeniu w sprawie wieloletnich ram finansowych i porozumieniu międzyinstytucjonalnym. W obe</w:t>
      </w:r>
      <w:r>
        <w:t>cnym kontekście ograniczonych wydatków zapewniają one również możliwość dostosowania zasobów budżetowych do zmieniających się priorytetów tak, aby każde euro wydano na to, co jest najbardziej potrzebne. Większość mechanizmów elastyczności nie jest zatem ob</w:t>
      </w:r>
      <w:r>
        <w:t>jętych WRF, a środki finansowe mogą przekroczyć pułap wydatków.</w:t>
      </w:r>
    </w:p>
    <w:p w:rsidR="0043277E" w:rsidRDefault="000F2348">
      <w:pPr>
        <w:pStyle w:val="HEADER2PartBUDG"/>
        <w:rPr>
          <w:noProof/>
        </w:rPr>
      </w:pPr>
      <w:bookmarkStart w:id="223" w:name="_Toc49418829"/>
      <w:r>
        <w:rPr>
          <w:noProof/>
        </w:rPr>
        <w:t>SZCZEGÓŁOWE DZIAŁY WRF (PROGRAMY)</w:t>
      </w:r>
      <w:bookmarkEnd w:id="223"/>
    </w:p>
    <w:p w:rsidR="0043277E" w:rsidRDefault="000F2348">
      <w:pPr>
        <w:pStyle w:val="DGTextstand-alone"/>
      </w:pPr>
      <w:r>
        <w:t>Działy WRF dzieli się na szczegółowe działy, które odpowiadają głównym programom wydatków (np. „Horyzont 2020”, Erasmus+ itd.). Na tym poziomie programów przy</w:t>
      </w:r>
      <w:r>
        <w:t xml:space="preserve">jmuje się bazowe podstawy prawne do wykonania budżetu. Programy są powszechnie stosowaną strukturą służącą do składania sprawozdań z realizacji i wyników. W sprawozdaniach z wykonania budżetu zamieszczono również tabele w podziale na programy (zob. tabele </w:t>
      </w:r>
      <w:r>
        <w:rPr>
          <w:b/>
        </w:rPr>
        <w:t>4.6–4.10</w:t>
      </w:r>
      <w:r>
        <w:t xml:space="preserve"> poniżej)</w:t>
      </w:r>
    </w:p>
    <w:p w:rsidR="0043277E" w:rsidRDefault="000F2348">
      <w:pPr>
        <w:rPr>
          <w:rFonts w:ascii="Verdana" w:eastAsia="Calibri" w:hAnsi="Verdana"/>
          <w:b/>
          <w:noProof/>
          <w:color w:val="016794"/>
          <w:sz w:val="28"/>
        </w:rPr>
      </w:pPr>
      <w:r>
        <w:rPr>
          <w:noProof/>
        </w:rPr>
        <w:lastRenderedPageBreak/>
        <w:br w:type="page"/>
      </w:r>
    </w:p>
    <w:p w:rsidR="0043277E" w:rsidRDefault="000F2348">
      <w:pPr>
        <w:pStyle w:val="HEADER2PartBUDG"/>
        <w:rPr>
          <w:noProof/>
        </w:rPr>
      </w:pPr>
      <w:bookmarkStart w:id="224" w:name="_Toc49418830"/>
      <w:r>
        <w:rPr>
          <w:noProof/>
        </w:rPr>
        <w:lastRenderedPageBreak/>
        <w:t>BUDŻET ROCZNY</w:t>
      </w:r>
      <w:bookmarkEnd w:id="224"/>
    </w:p>
    <w:p w:rsidR="0043277E" w:rsidRDefault="000F2348">
      <w:pPr>
        <w:pStyle w:val="DGTextstand-alone"/>
      </w:pPr>
      <w:r>
        <w:t xml:space="preserve">Każdego roku Komisja szacuje dochody i wydatki wszystkich instytucji na nadchodzący rok oraz sporządza projekt budżetu, który przedkłada władzy budżetowej. Na podstawie projektu budżetu Rada przygotowuje swoje stanowisko, </w:t>
      </w:r>
      <w:r>
        <w:t>które następnie stanowi przedmiot negocjacji między obydwoma organami władzy budżetowej. Przewodniczący Parlamentu Europejskiego ogłasza, że wspólny projekt został ostatecznie uchwalony, co oznacza, że budżet podlega wykonaniu. W odnośnym roku budżetowym p</w:t>
      </w:r>
      <w:r>
        <w:t>rzyjmowane są budżety korygujące. Za wykonanie budżetu odpowiedzialna jest głównie Komisja.</w:t>
      </w:r>
    </w:p>
    <w:p w:rsidR="0043277E" w:rsidRDefault="000F2348">
      <w:pPr>
        <w:pStyle w:val="DGTextstand-alone"/>
      </w:pPr>
      <w:r>
        <w:t>Struktura budżetu obejmuje w przypadku Komisji środki administracyjne i środki operacyjne. Pozostałe instytucje dysponują jedynie środkami administracyjnymi. Ponadt</w:t>
      </w:r>
      <w:r>
        <w:t>o w budżecie występują dwa rodzaje środków: niezróżnicowane i zróżnicowane. Środki niezróżnicowane są wykorzystywane na finansowanie operacji rocznych (zgodnych z zasadą jednoroczności). Środki zróżnicowane zostały wprowadzone w celu pogodzenia zasady jedn</w:t>
      </w:r>
      <w:r>
        <w:t>oroczności z koniecznością zarządzania działaniami wieloletnimi. Środki zróżnicowane dzielą się na środki na zobowiązania i środki na płatności:</w:t>
      </w:r>
    </w:p>
    <w:p w:rsidR="0043277E" w:rsidRDefault="000F2348">
      <w:pPr>
        <w:pStyle w:val="Textstand-aloneBulletpoint"/>
        <w:rPr>
          <w:noProof/>
        </w:rPr>
      </w:pPr>
      <w:r>
        <w:rPr>
          <w:noProof/>
          <w:color w:val="016794"/>
        </w:rPr>
        <w:t>środki na zobowiązania</w:t>
      </w:r>
      <w:r>
        <w:rPr>
          <w:noProof/>
        </w:rPr>
        <w:t>: pokrywają łączny koszt zobowiązań prawnych zaciągniętych na bieżący rok budżetowy w odn</w:t>
      </w:r>
      <w:r>
        <w:rPr>
          <w:noProof/>
        </w:rPr>
        <w:t>iesieniu do działań realizowanych przez kilka lat. Zobowiązania budżetowe z tytułu działań trwających dłużej niż jeden rok budżetowy można jednak rozłożyć na kilka lat na roczne raty, o ile przewidziano to w akcie podstawowym.</w:t>
      </w:r>
    </w:p>
    <w:p w:rsidR="0043277E" w:rsidRDefault="0043277E">
      <w:pPr>
        <w:pStyle w:val="Textstand-aloneBulletpoint"/>
        <w:numPr>
          <w:ilvl w:val="0"/>
          <w:numId w:val="0"/>
        </w:numPr>
        <w:ind w:left="1080" w:hanging="360"/>
        <w:rPr>
          <w:noProof/>
        </w:rPr>
      </w:pPr>
    </w:p>
    <w:p w:rsidR="0043277E" w:rsidRDefault="000F2348">
      <w:pPr>
        <w:pStyle w:val="Textstand-aloneBulletpoint"/>
        <w:rPr>
          <w:noProof/>
        </w:rPr>
      </w:pPr>
      <w:r>
        <w:rPr>
          <w:noProof/>
          <w:color w:val="016794"/>
        </w:rPr>
        <w:t>środki na płatności</w:t>
      </w:r>
      <w:r>
        <w:rPr>
          <w:noProof/>
        </w:rPr>
        <w:t>: pokrywa</w:t>
      </w:r>
      <w:r>
        <w:rPr>
          <w:noProof/>
        </w:rPr>
        <w:t>ją wydatki wynikające ze zobowiązań zaciągniętych w bieżącym roku budżetowym lub w ubiegłych latach budżetowych.</w:t>
      </w:r>
    </w:p>
    <w:p w:rsidR="0043277E" w:rsidRDefault="000F2348">
      <w:pPr>
        <w:pStyle w:val="DGTextstand-alone"/>
      </w:pPr>
      <w:r>
        <w:t>W sprawozdaniu finansowym rodzaje finansowania dzieli się na dwie główne pozycje:</w:t>
      </w:r>
    </w:p>
    <w:p w:rsidR="0043277E" w:rsidRDefault="000F2348">
      <w:pPr>
        <w:numPr>
          <w:ilvl w:val="0"/>
          <w:numId w:val="48"/>
        </w:numPr>
        <w:spacing w:after="120"/>
        <w:ind w:left="357" w:hanging="73"/>
        <w:rPr>
          <w:rFonts w:ascii="Verdana" w:hAnsi="Verdana"/>
          <w:noProof/>
          <w:sz w:val="18"/>
          <w:szCs w:val="18"/>
        </w:rPr>
      </w:pPr>
      <w:r>
        <w:rPr>
          <w:rFonts w:ascii="Verdana" w:hAnsi="Verdana"/>
          <w:noProof/>
          <w:sz w:val="18"/>
          <w:szCs w:val="18"/>
        </w:rPr>
        <w:t>środki w ostatecznym przyjętym budżecie oraz</w:t>
      </w:r>
    </w:p>
    <w:p w:rsidR="0043277E" w:rsidRDefault="000F2348">
      <w:pPr>
        <w:numPr>
          <w:ilvl w:val="0"/>
          <w:numId w:val="48"/>
        </w:numPr>
        <w:ind w:left="357" w:hanging="73"/>
        <w:rPr>
          <w:rFonts w:ascii="Verdana" w:hAnsi="Verdana"/>
          <w:noProof/>
          <w:sz w:val="18"/>
          <w:szCs w:val="18"/>
        </w:rPr>
      </w:pPr>
      <w:r>
        <w:rPr>
          <w:rFonts w:ascii="Verdana" w:hAnsi="Verdana"/>
          <w:noProof/>
          <w:sz w:val="18"/>
          <w:szCs w:val="18"/>
        </w:rPr>
        <w:t>dodatkowe środki</w:t>
      </w:r>
      <w:r>
        <w:rPr>
          <w:rFonts w:ascii="Verdana" w:hAnsi="Verdana"/>
          <w:noProof/>
          <w:sz w:val="18"/>
          <w:szCs w:val="18"/>
        </w:rPr>
        <w:t xml:space="preserve"> obejmujące:</w:t>
      </w:r>
    </w:p>
    <w:p w:rsidR="0043277E" w:rsidRDefault="000F2348">
      <w:pPr>
        <w:pStyle w:val="Textstand-alone"/>
        <w:numPr>
          <w:ilvl w:val="0"/>
          <w:numId w:val="49"/>
        </w:numPr>
        <w:tabs>
          <w:tab w:val="clear" w:pos="0"/>
        </w:tabs>
        <w:spacing w:before="120" w:after="0"/>
        <w:ind w:left="1134" w:hanging="425"/>
      </w:pPr>
      <w:r>
        <w:t>kwoty przeniesione z poprzedniego roku (w rozporządzeniu finansowym zezwala się na ograniczoną liczbę przypadków przeniesienia niewydanych kwot z poprzedniego roku na bieżący rok); oraz</w:t>
      </w:r>
    </w:p>
    <w:p w:rsidR="0043277E" w:rsidRDefault="000F2348">
      <w:pPr>
        <w:pStyle w:val="Textstand-alone"/>
        <w:numPr>
          <w:ilvl w:val="0"/>
          <w:numId w:val="49"/>
        </w:numPr>
        <w:tabs>
          <w:tab w:val="clear" w:pos="0"/>
        </w:tabs>
        <w:spacing w:before="0"/>
        <w:ind w:left="1134" w:hanging="425"/>
      </w:pPr>
      <w:r>
        <w:t>dochody przeznaczone na określony cel pochodzące ze zwrot</w:t>
      </w:r>
      <w:r>
        <w:t>ów, wkładów osób trzecich/państw trzecich w programy UE i prace wykonywane na rzecz osób trzecich przypisuje się bezpośrednio do odpowiednich linii budżetowych po stronie wydatków i stanowią one trzeci filar finansowania.</w:t>
      </w:r>
    </w:p>
    <w:p w:rsidR="0043277E" w:rsidRDefault="000F2348">
      <w:pPr>
        <w:pStyle w:val="DGTextstand-alone"/>
      </w:pPr>
      <w:r>
        <w:t>Wszystkie rodzaje finansowania two</w:t>
      </w:r>
      <w:r>
        <w:t>rzą dostępne środki.</w:t>
      </w:r>
      <w:bookmarkEnd w:id="219"/>
    </w:p>
    <w:p w:rsidR="0043277E" w:rsidRDefault="0043277E">
      <w:pPr>
        <w:pStyle w:val="DGTextstand-alone"/>
        <w:sectPr w:rsidR="0043277E">
          <w:headerReference w:type="even" r:id="rId330"/>
          <w:headerReference w:type="default" r:id="rId331"/>
          <w:footerReference w:type="even" r:id="rId332"/>
          <w:footerReference w:type="default" r:id="rId333"/>
          <w:headerReference w:type="first" r:id="rId334"/>
          <w:footerReference w:type="first" r:id="rId335"/>
          <w:pgSz w:w="11907" w:h="16840" w:code="9"/>
          <w:pgMar w:top="1134" w:right="1134" w:bottom="1134" w:left="1134" w:header="709" w:footer="709" w:gutter="0"/>
          <w:cols w:space="708"/>
          <w:docGrid w:linePitch="360"/>
        </w:sectPr>
      </w:pPr>
    </w:p>
    <w:p w:rsidR="0043277E" w:rsidRDefault="000F2348">
      <w:pPr>
        <w:pStyle w:val="HEADER2PartBUDG"/>
        <w:rPr>
          <w:noProof/>
        </w:rPr>
      </w:pPr>
      <w:bookmarkStart w:id="225" w:name="_Toc406426450"/>
      <w:bookmarkStart w:id="226" w:name="_Toc49418831"/>
      <w:bookmarkStart w:id="227" w:name="_DMBM_17273"/>
      <w:r>
        <w:rPr>
          <w:noProof/>
        </w:rPr>
        <w:lastRenderedPageBreak/>
        <w:t>DOCHODY</w:t>
      </w:r>
      <w:bookmarkEnd w:id="225"/>
      <w:bookmarkEnd w:id="226"/>
    </w:p>
    <w:p w:rsidR="0043277E" w:rsidRDefault="000F2348">
      <w:pPr>
        <w:pStyle w:val="HEADER3PartBUGD"/>
        <w:ind w:firstLine="387"/>
        <w:rPr>
          <w:noProof/>
        </w:rPr>
      </w:pPr>
      <w:r>
        <w:rPr>
          <w:noProof/>
        </w:rPr>
        <w:t>Dochody z tytułu zasobów własnych</w:t>
      </w:r>
    </w:p>
    <w:p w:rsidR="0043277E" w:rsidRDefault="000F2348">
      <w:pPr>
        <w:pStyle w:val="DGTextstand-alone"/>
      </w:pPr>
      <w:r>
        <w:t xml:space="preserve">Zdecydowana większość dochodów pochodzi z zasobów własnych, które dzielą się na następujące kategorie: </w:t>
      </w:r>
    </w:p>
    <w:p w:rsidR="0043277E" w:rsidRDefault="000F2348">
      <w:pPr>
        <w:pStyle w:val="DGTextstand-alone"/>
        <w:ind w:left="709" w:hanging="709"/>
      </w:pPr>
      <w:r>
        <w:t>1)</w:t>
      </w:r>
      <w:r>
        <w:tab/>
        <w:t>tradycyjne zasoby własne (TZW): zwykle stanowią około 14 % kwoty dochodów z tytułu zasobów własnych;</w:t>
      </w:r>
    </w:p>
    <w:p w:rsidR="0043277E" w:rsidRDefault="000F2348">
      <w:pPr>
        <w:pStyle w:val="DGTextstand-alone"/>
        <w:ind w:left="709" w:hanging="709"/>
      </w:pPr>
      <w:r>
        <w:t>2)</w:t>
      </w:r>
      <w:r>
        <w:tab/>
        <w:t xml:space="preserve">zasoby oparte na podatku od wartości dodanej </w:t>
      </w:r>
      <w:r>
        <w:t>(VAT): zwykle stanowią około 12 % dochodów z tytułu zasobów własnych;</w:t>
      </w:r>
    </w:p>
    <w:p w:rsidR="0043277E" w:rsidRDefault="000F2348">
      <w:pPr>
        <w:pStyle w:val="DGTextstand-alone"/>
        <w:ind w:left="709" w:hanging="709"/>
      </w:pPr>
      <w:r>
        <w:t>3)</w:t>
      </w:r>
      <w:r>
        <w:tab/>
        <w:t>zasoby oparte na dochodzie narodowym brutto (DNB): zwykle stanowią około 74 % kwoty dochodów z tytułu zasobów własnych.</w:t>
      </w:r>
    </w:p>
    <w:p w:rsidR="0043277E" w:rsidRDefault="000F2348">
      <w:pPr>
        <w:pStyle w:val="DGTextstand-alone"/>
      </w:pPr>
      <w:r>
        <w:t>Podział zasobów własnych przeprowadzany jest zgodnie z zasadami określonymi w decyzji Rady nr 2014/335/UE, Euratom z dnia 26 maja 2014 r. w sprawie systemu zasobów własnych Unii Europejskiej (DZW z 2014 r.). Decyzja ta weszła w życie dnia 1 października 20</w:t>
      </w:r>
      <w:r>
        <w:t xml:space="preserve">16 r. i jest stosowana z mocą wsteczną od dnia 1 stycznia 2014 r. </w:t>
      </w:r>
    </w:p>
    <w:p w:rsidR="0043277E" w:rsidRDefault="000F2348">
      <w:pPr>
        <w:pStyle w:val="DGTextstand-alone"/>
      </w:pPr>
      <w:r>
        <w:t>Łączna kwota zasobów własnych przydzielonych Unii na pokrycie rocznych środków na płatności nie przekracza 1,20 % sumy DNB wszystkich państw członkowskich.</w:t>
      </w:r>
    </w:p>
    <w:p w:rsidR="0043277E" w:rsidRDefault="000F2348">
      <w:pPr>
        <w:pStyle w:val="HEADER3PartBUGD"/>
        <w:ind w:firstLine="387"/>
        <w:rPr>
          <w:noProof/>
        </w:rPr>
      </w:pPr>
      <w:r>
        <w:rPr>
          <w:noProof/>
        </w:rPr>
        <w:t>Tradycyjne zasoby własne (TZW):</w:t>
      </w:r>
    </w:p>
    <w:p w:rsidR="0043277E" w:rsidRDefault="000F2348">
      <w:pPr>
        <w:pStyle w:val="DGTextstand-alone"/>
      </w:pPr>
      <w:r>
        <w:t>T</w:t>
      </w:r>
      <w:r>
        <w:t>radycyjne zasoby własne (TZW) obejmują cła (nakładane na przywóz z państw trzecich) i opłaty wyrównawcze od cukru (płacone przez producentów cukru w celu sfinansowania wydatków na wspólną organizację rynku cukru) nakładane na podmioty gospodarcze i pobiera</w:t>
      </w:r>
      <w:r>
        <w:t>ne przez państwa członkowskie w imieniu UE. Niemniej jednak państwa członkowskie zatrzymują 20 % na pokrycie kosztów poboru. Wszelkie ustalone kwoty tradycyjnych zasobów własnych należy ująć na jednym z rachunków prowadzonych przez właściwe organy.</w:t>
      </w:r>
    </w:p>
    <w:p w:rsidR="0043277E" w:rsidRDefault="000F2348">
      <w:pPr>
        <w:pStyle w:val="Textstand-aloneBulletpoint"/>
        <w:jc w:val="both"/>
        <w:rPr>
          <w:noProof/>
        </w:rPr>
      </w:pPr>
      <w:r>
        <w:rPr>
          <w:noProof/>
        </w:rPr>
        <w:t>Na rach</w:t>
      </w:r>
      <w:r>
        <w:rPr>
          <w:noProof/>
        </w:rPr>
        <w:t>unku zwyczajnym określonym w art. 6 ust. 3 rozporządzenia nr 609/2014 ujmuje się: wszelkie kwoty odzyskane lub objęte zabezpieczeniem.</w:t>
      </w:r>
    </w:p>
    <w:p w:rsidR="0043277E" w:rsidRDefault="000F2348">
      <w:pPr>
        <w:pStyle w:val="Textstand-aloneBulletpoint"/>
        <w:jc w:val="both"/>
        <w:rPr>
          <w:noProof/>
        </w:rPr>
      </w:pPr>
      <w:r>
        <w:rPr>
          <w:noProof/>
        </w:rPr>
        <w:t>Na odrębnych rachunkach przewidzianych również w powyższym artykule ujmuje się: wszelkie kwoty jeszcze nieodzyskane lub n</w:t>
      </w:r>
      <w:r>
        <w:rPr>
          <w:noProof/>
        </w:rPr>
        <w:t>ieobjęte zabezpieczeniem; na rachunku tym mogą też zostać ujęte kwoty objęte zabezpieczeniem, lecz kwestionowane.</w:t>
      </w:r>
    </w:p>
    <w:p w:rsidR="0043277E" w:rsidRDefault="000F2348">
      <w:pPr>
        <w:pStyle w:val="DGTextstand-alone"/>
      </w:pPr>
      <w:r>
        <w:t>Tradycyjne zasoby własne należy zapisać na rachunku Komisji otwartym w administracji finansowej lub krajowym banku centralnym przez państwo cz</w:t>
      </w:r>
      <w:r>
        <w:t>łonkowskie najpóźniej w pierwszym dniu roboczym następującym po 19. dniu drugiego miesiąca następującego po miesiącu, w którym ustalono należności (lub odzyskano, w przypadku odrębnego rachunku).</w:t>
      </w:r>
    </w:p>
    <w:p w:rsidR="0043277E" w:rsidRDefault="000F2348">
      <w:pPr>
        <w:pStyle w:val="HEADER3PartBUGD"/>
        <w:ind w:firstLine="387"/>
        <w:rPr>
          <w:noProof/>
        </w:rPr>
      </w:pPr>
      <w:r>
        <w:rPr>
          <w:noProof/>
        </w:rPr>
        <w:t>Podatek od wartości dodanej (VAT)</w:t>
      </w:r>
    </w:p>
    <w:p w:rsidR="0043277E" w:rsidRDefault="000F2348">
      <w:pPr>
        <w:pStyle w:val="DGTextstand-alone"/>
      </w:pPr>
      <w:r>
        <w:t>Podatek od wartości dodane</w:t>
      </w:r>
      <w:r>
        <w:t>j (VAT) pochodzi z obciążeń podstaw opodatkowania VAT w państwach członkowskich. Podstawy VAT zostały w tym celu ujednolicone zgodnie z zasadami UE. Podstawa VAT jest ograniczona jednak do 50 % DNB każdego państwa członkowskiego. Jednolitą stawkę VAT ustal</w:t>
      </w:r>
      <w:r>
        <w:t>ono na 0,30 %, z wyjątkiem okresu 2014–2020, w którym stawkę poboru dla Niemiec, Niderlandów i Szwecji ustalono na 0,15 %.</w:t>
      </w:r>
    </w:p>
    <w:p w:rsidR="0043277E" w:rsidRDefault="000F2348">
      <w:pPr>
        <w:pStyle w:val="HEADER3PartBUGD"/>
        <w:ind w:firstLine="387"/>
        <w:rPr>
          <w:noProof/>
        </w:rPr>
      </w:pPr>
      <w:r>
        <w:rPr>
          <w:noProof/>
        </w:rPr>
        <w:t>Dochód narodowy brutto (DNB)</w:t>
      </w:r>
    </w:p>
    <w:p w:rsidR="0043277E" w:rsidRDefault="000F2348">
      <w:pPr>
        <w:pStyle w:val="DGTextstand-alone"/>
      </w:pPr>
      <w:r>
        <w:t>Zasoby oparte na dochodzie narodowym brutto (DNB) wykorzystywane są do sfinansowania tej części budżetu,</w:t>
      </w:r>
      <w:r>
        <w:t xml:space="preserve"> która nie jest objęta żadnym innym rodzajem dochodów. DNB każdego państwa członkowskiego obciążone jest taką samą stawką procentową, ustalaną zgodnie z przepisami UE.</w:t>
      </w:r>
    </w:p>
    <w:p w:rsidR="0043277E" w:rsidRDefault="000F2348">
      <w:pPr>
        <w:pStyle w:val="DGTextstand-alone"/>
      </w:pPr>
      <w:r>
        <w:lastRenderedPageBreak/>
        <w:t>Zasoby oparte na VAT i DNB ustala się na podstawie prognoz odpowiednich podstaw sporządz</w:t>
      </w:r>
      <w:r>
        <w:t>onych w momencie sporządzenia projektu budżetu. Następnie prognozy te koryguje się i aktualizuje w danym roku budżetowym w ramach budżetu korygującego. Komisja wzywa państwa członkowskie do pokrycia, pierwszego dnia roboczego czerwca drugiego roku po danym</w:t>
      </w:r>
      <w:r>
        <w:t xml:space="preserve"> roku budżetowym, różnic między kwotami należnymi od państw członkowskich według rzeczywistej podstawy a kwotami faktycznie zapłaconymi na podstawie (skorygowanych) prognoz, dodatnich lub ujemnych.</w:t>
      </w:r>
      <w:r>
        <w:rPr>
          <w:rFonts w:ascii="Book Antiqua" w:hAnsi="Book Antiqua"/>
          <w:sz w:val="16"/>
          <w:szCs w:val="16"/>
        </w:rPr>
        <w:t xml:space="preserve"> </w:t>
      </w:r>
      <w:r>
        <w:t>W ciągu kolejnych czterech lat nadal można wprowadzać kore</w:t>
      </w:r>
      <w:r>
        <w:t xml:space="preserve">kty do rzeczywistych podstaw VAT i DNB, o ile nie zostaną wydane zastrzeżenia. Zastrzeżenia te należy postrzegać jako potencjalne roszczenia względem państw członkowskich o niepewnych kwotach, ponieważ nie można dokładnie oszacować ich wpływu finansowego. </w:t>
      </w:r>
      <w:r>
        <w:t>Kiedy możliwe jest określenie dokładnej kwoty, wzywa się do przekazania odpowiednich zasobów opartych na VAT i DNB w powiązaniu z przeprowadzaniem bilansu VAT i DNB lub wystawia się indywidualne wezwania do wpłacenia środków.</w:t>
      </w:r>
    </w:p>
    <w:p w:rsidR="0043277E" w:rsidRDefault="000F2348">
      <w:pPr>
        <w:pStyle w:val="HEADER3PartBUGD"/>
        <w:ind w:firstLine="387"/>
        <w:rPr>
          <w:noProof/>
        </w:rPr>
      </w:pPr>
      <w:r>
        <w:rPr>
          <w:noProof/>
        </w:rPr>
        <w:t>Rabat brytyjski</w:t>
      </w:r>
    </w:p>
    <w:p w:rsidR="0043277E" w:rsidRDefault="000F2348">
      <w:pPr>
        <w:pStyle w:val="DGTextstand-alone"/>
      </w:pPr>
      <w:r>
        <w:t>Mechanizm kore</w:t>
      </w:r>
      <w:r>
        <w:t>kty zakłócenia równowagi budżetowej na rzecz Zjednoczonego Królestwa (zmniejszenie jego płatności na poczet zasobów własnych przy jednoczesnym zwiększeniu płatności należnych od innych państw członkowskich) ustanowiono na posiedzeniu Rady Europejskiej w Fo</w:t>
      </w:r>
      <w:r>
        <w:t>ntainebleau (w czerwcu 1984 r.). Niemcy, Austria, Szwecja i Niderlandy korzystają ze zmniejszonego wkładu w finansowanie rabatu brytyjskiego (ograniczonego do jednej czwartej ich nominalnego wkładu na ten cel).</w:t>
      </w:r>
    </w:p>
    <w:p w:rsidR="0043277E" w:rsidRDefault="000F2348">
      <w:pPr>
        <w:pStyle w:val="HEADER3PartBUGD"/>
        <w:ind w:firstLine="387"/>
        <w:rPr>
          <w:noProof/>
        </w:rPr>
      </w:pPr>
      <w:r>
        <w:rPr>
          <w:noProof/>
        </w:rPr>
        <w:t>Obniżka brutto</w:t>
      </w:r>
    </w:p>
    <w:p w:rsidR="0043277E" w:rsidRDefault="000F2348">
      <w:pPr>
        <w:pStyle w:val="DGTextstand-alone"/>
        <w:spacing w:after="0"/>
      </w:pPr>
      <w:r>
        <w:rPr>
          <w:color w:val="000000"/>
        </w:rPr>
        <w:t>Na posiedzeniu w dniach 7–8 lu</w:t>
      </w:r>
      <w:r>
        <w:rPr>
          <w:color w:val="000000"/>
        </w:rPr>
        <w:t>tego 2013 r. Rada Europejska stwierdziła, że Dania, Niderlandy i Szwecja powinny korzystać z obniżek brutto swoich rocznych wkładów opartych na DNB w okresie 2014–2020 oraz że Austria miała korzystać jedynie z obniżek brutto w okresie 2014–2016. Roczne obn</w:t>
      </w:r>
      <w:r>
        <w:rPr>
          <w:color w:val="000000"/>
        </w:rPr>
        <w:t>iżki kształtują się następująco: Dania – 130 mln EUR, Niderlandy – 695 mln EUR oraz Szwecja – 185 mln EUR.</w:t>
      </w:r>
    </w:p>
    <w:p w:rsidR="0043277E" w:rsidRDefault="000F2348">
      <w:pPr>
        <w:pStyle w:val="HEADER2PartBUDG"/>
        <w:rPr>
          <w:noProof/>
        </w:rPr>
      </w:pPr>
      <w:bookmarkStart w:id="228" w:name="_Toc49418832"/>
      <w:r>
        <w:rPr>
          <w:noProof/>
        </w:rPr>
        <w:t>OBLICZENIE WYNIKU BUDŻETU</w:t>
      </w:r>
      <w:bookmarkEnd w:id="228"/>
    </w:p>
    <w:p w:rsidR="0043277E" w:rsidRDefault="000F2348">
      <w:pPr>
        <w:pStyle w:val="DGTextstand-alone"/>
      </w:pPr>
      <w:r>
        <w:t>Nadwyżka budżetowa UE zwracana jest państwom członkowskim w następnym roku poprzez odpowiednie pomniejszenie ich kwot należ</w:t>
      </w:r>
      <w:r>
        <w:t>nych za ten rok.</w:t>
      </w:r>
    </w:p>
    <w:p w:rsidR="0043277E" w:rsidRDefault="000F2348">
      <w:pPr>
        <w:pStyle w:val="DGTextstand-alone"/>
      </w:pPr>
      <w:r>
        <w:t>Kwoty zasobów własnych ujęte w sprawozdaniu to kwoty zaksięgowane w ciągu roku na rachunkach otwartych w imieniu Komisji przez rządy państw członkowskich. Dochody obejmują także, w przypadku nadwyżki, wynik budżetu za poprzedni rok budżeto</w:t>
      </w:r>
      <w:r>
        <w:t>wy. Pozostałe dochody ujęte w sprawozdaniu stanowią kwotę faktycznie uzyskaną w ciągu roku.</w:t>
      </w:r>
    </w:p>
    <w:p w:rsidR="0043277E" w:rsidRDefault="000F2348">
      <w:pPr>
        <w:pStyle w:val="DGTextstand-alone"/>
      </w:pPr>
      <w:r>
        <w:t>Do celów obliczenia wyniku budżetu za dany rok przyjęto, że wydatki obejmują płatności zrealizowane ze środków na dany rok oraz wszelkie środki na dany rok przenies</w:t>
      </w:r>
      <w:r>
        <w:t>ione na rok następny. Płatności zrealizowane ze środków na dany rok oznaczają płatności zrealizowane przez księgowego do dnia 31 grudnia danego roku budżetowego. W przypadku EFRG płatności obejmują płatności zrealizowane przez państwa członkowskie między d</w:t>
      </w:r>
      <w:r>
        <w:t>niem 16 października roku N-1 a dniem 15 października roku N, pod warunkiem że księgowy został poinformowany o zobowiązaniu i autoryzacji do dnia 31 stycznia roku N+1. Wydatki dotyczące EFRG mogą podlegać decyzji w sprawie zgodności wydanej w wyniku kontro</w:t>
      </w:r>
      <w:r>
        <w:t>li przeprowadzonych w państwach członkowskich.</w:t>
      </w:r>
    </w:p>
    <w:p w:rsidR="0043277E" w:rsidRDefault="000F2348">
      <w:pPr>
        <w:pStyle w:val="DGTextstand-alone"/>
      </w:pPr>
      <w:r>
        <w:t>Wynik budżetu obejmuje dwa elementy: wynik UE oraz wynik udziału krajów EFTA należących do Europejskiego Obszaru Gospodarczego (EOG). Zgodnie z art. 1 ust. 1 rozporządzenia nr 608/2014 określającego środki wyk</w:t>
      </w:r>
      <w:r>
        <w:t>onawcze dotyczące systemu zasobów własnych Unii Europejskiej wynik ten stanowi różnicę pomiędzy:</w:t>
      </w:r>
    </w:p>
    <w:p w:rsidR="0043277E" w:rsidRDefault="000F2348">
      <w:pPr>
        <w:pStyle w:val="Textstand-aloneBulletpoint"/>
        <w:spacing w:after="120"/>
        <w:ind w:left="714"/>
        <w:jc w:val="both"/>
        <w:rPr>
          <w:noProof/>
        </w:rPr>
      </w:pPr>
      <w:r>
        <w:rPr>
          <w:noProof/>
        </w:rPr>
        <w:t>łącznymi dochodami otrzymanymi za dany rok budżetowy oraz</w:t>
      </w:r>
    </w:p>
    <w:p w:rsidR="0043277E" w:rsidRDefault="0043277E">
      <w:pPr>
        <w:pStyle w:val="Textstand-aloneBulletpoint"/>
        <w:numPr>
          <w:ilvl w:val="0"/>
          <w:numId w:val="0"/>
        </w:numPr>
        <w:spacing w:after="120"/>
        <w:ind w:left="1437"/>
        <w:jc w:val="both"/>
        <w:rPr>
          <w:noProof/>
        </w:rPr>
      </w:pPr>
    </w:p>
    <w:p w:rsidR="0043277E" w:rsidRDefault="000F2348">
      <w:pPr>
        <w:pStyle w:val="Textstand-aloneBulletpoint"/>
        <w:ind w:left="714"/>
        <w:jc w:val="both"/>
        <w:rPr>
          <w:noProof/>
        </w:rPr>
      </w:pPr>
      <w:r>
        <w:rPr>
          <w:noProof/>
        </w:rPr>
        <w:t xml:space="preserve">kwotą płatności dokonanych ze środków na bieżący rok budżetowy, zwiększoną o kwotę środków na ten </w:t>
      </w:r>
      <w:r>
        <w:rPr>
          <w:noProof/>
        </w:rPr>
        <w:t>rok budżetowy przeniesionych na następny rok.</w:t>
      </w:r>
    </w:p>
    <w:p w:rsidR="0043277E" w:rsidRDefault="000F2348">
      <w:pPr>
        <w:pStyle w:val="DGTextstand-alone"/>
      </w:pPr>
      <w:r>
        <w:t>Różnicę tę powiększa się lub pomniejsza o:</w:t>
      </w:r>
    </w:p>
    <w:p w:rsidR="0043277E" w:rsidRDefault="000F2348">
      <w:pPr>
        <w:pStyle w:val="Textstand-aloneBulletpoint"/>
        <w:ind w:left="714"/>
        <w:jc w:val="both"/>
        <w:rPr>
          <w:noProof/>
        </w:rPr>
      </w:pPr>
      <w:r>
        <w:rPr>
          <w:noProof/>
        </w:rPr>
        <w:lastRenderedPageBreak/>
        <w:t>saldo netto anulowanych środków na płatności przeniesionych z ubiegłych lat budżetowych oraz wszelkich płatności, które ze względu na zmiany kursu euro przekraczają śr</w:t>
      </w:r>
      <w:r>
        <w:rPr>
          <w:noProof/>
        </w:rPr>
        <w:t xml:space="preserve">odki niezróżnicowane przeniesione z poprzedniego roku budżetowego, </w:t>
      </w:r>
    </w:p>
    <w:p w:rsidR="0043277E" w:rsidRDefault="0043277E">
      <w:pPr>
        <w:pStyle w:val="Textstand-aloneBulletpoint"/>
        <w:numPr>
          <w:ilvl w:val="0"/>
          <w:numId w:val="0"/>
        </w:numPr>
        <w:ind w:left="1437"/>
        <w:jc w:val="both"/>
        <w:rPr>
          <w:noProof/>
        </w:rPr>
      </w:pPr>
    </w:p>
    <w:p w:rsidR="0043277E" w:rsidRDefault="000F2348">
      <w:pPr>
        <w:pStyle w:val="Textstand-aloneBulletpoint"/>
        <w:ind w:left="714"/>
        <w:jc w:val="both"/>
        <w:rPr>
          <w:noProof/>
        </w:rPr>
      </w:pPr>
      <w:r>
        <w:rPr>
          <w:noProof/>
        </w:rPr>
        <w:t>stan dochodów przeznaczonych na określony cel oraz</w:t>
      </w:r>
    </w:p>
    <w:p w:rsidR="0043277E" w:rsidRDefault="0043277E">
      <w:pPr>
        <w:pStyle w:val="Textstand-aloneBulletpoint"/>
        <w:numPr>
          <w:ilvl w:val="0"/>
          <w:numId w:val="0"/>
        </w:numPr>
        <w:ind w:left="1437"/>
        <w:jc w:val="both"/>
        <w:rPr>
          <w:noProof/>
        </w:rPr>
      </w:pPr>
    </w:p>
    <w:p w:rsidR="0043277E" w:rsidRDefault="000F2348">
      <w:pPr>
        <w:pStyle w:val="Textstand-aloneBulletpoint"/>
        <w:ind w:left="714"/>
        <w:jc w:val="both"/>
        <w:rPr>
          <w:noProof/>
        </w:rPr>
      </w:pPr>
      <w:r>
        <w:rPr>
          <w:noProof/>
        </w:rPr>
        <w:t>saldo wynikające z dodatnich i ujemnych różnic kursowych ujętych w ciągu roku budżetowego.</w:t>
      </w:r>
    </w:p>
    <w:p w:rsidR="0043277E" w:rsidRDefault="000F2348">
      <w:pPr>
        <w:pStyle w:val="DGTextstand-alone"/>
      </w:pPr>
      <w:r>
        <w:t>Środki przeniesione z poprzedniego roku budż</w:t>
      </w:r>
      <w:r>
        <w:t>etowego, które wynikają z wkładów osób trzecich i prac wykonanych na rzecz osób trzecich oraz które z zasady nigdy nie wygasają, ujmuje się jako środki dodatkowe na rok budżetowy. Tłumaczy to różnicę między kwotami przeniesionymi z poprzedniego roku budżet</w:t>
      </w:r>
      <w:r>
        <w:t>owego ujętymi w sprawozdaniach z wykonania budżetu za rok N a kwotami przeniesionymi na następny rok ujętymi w sprawozdaniach z wykonania budżetu za rok N-1. Środki ponownie udostępnione w wyniku zwrotu zaliczek nie są uwzględniane przy obliczaniu wyniku b</w:t>
      </w:r>
      <w:r>
        <w:t>udżetowego.</w:t>
      </w:r>
    </w:p>
    <w:p w:rsidR="0043277E" w:rsidRDefault="000F2348">
      <w:pPr>
        <w:pStyle w:val="DGTextstand-alone"/>
      </w:pPr>
      <w:r>
        <w:t>Przeniesione środki na płatności obejmują: przeniesienia automatyczne i przeniesienia decyzją. Anulowane niewykorzystane środki na płatności przeniesione z poprzedniego roku obejmują anulowane środki przeniesione automatycznie lub decyzją.</w:t>
      </w:r>
    </w:p>
    <w:p w:rsidR="0043277E" w:rsidRDefault="000F2348">
      <w:pPr>
        <w:pStyle w:val="HEADER2PartBUDG"/>
        <w:rPr>
          <w:noProof/>
        </w:rPr>
      </w:pPr>
      <w:bookmarkStart w:id="229" w:name="_Toc49418833"/>
      <w:bookmarkStart w:id="230" w:name="_DMBM_17269"/>
      <w:bookmarkEnd w:id="227"/>
      <w:r>
        <w:rPr>
          <w:noProof/>
        </w:rPr>
        <w:t>UZGO</w:t>
      </w:r>
      <w:r>
        <w:rPr>
          <w:noProof/>
        </w:rPr>
        <w:t>DNIENIE WYNIKU EKONOMICZNEGO Z WYNIKIEM BUDŻETU</w:t>
      </w:r>
      <w:bookmarkEnd w:id="229"/>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7"/>
        <w:gridCol w:w="1436"/>
        <w:gridCol w:w="1436"/>
      </w:tblGrid>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cs="Calibri"/>
                <w:noProof/>
                <w:color w:val="000000"/>
                <w:sz w:val="22"/>
              </w:rPr>
            </w:pPr>
            <w:bookmarkStart w:id="231" w:name="DOC_TBL00102_1_1"/>
            <w:bookmarkEnd w:id="231"/>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hRule="exact" w:val="255"/>
        </w:trPr>
        <w:tc>
          <w:tcPr>
            <w:tcW w:w="6887"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108BIPReconciliation"/>
              <w:rPr>
                <w:rFonts w:ascii="Verdana" w:eastAsia="Verdana" w:hAnsi="Verdana" w:cs="Verdana"/>
                <w:noProof/>
                <w:color w:val="FFFFFF"/>
              </w:rPr>
            </w:pPr>
          </w:p>
        </w:tc>
        <w:tc>
          <w:tcPr>
            <w:tcW w:w="143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08BIPReconciliation"/>
              <w:jc w:val="right"/>
              <w:rPr>
                <w:rFonts w:ascii="Verdana" w:eastAsia="Verdana" w:hAnsi="Verdana" w:cs="Verdana"/>
                <w:noProof/>
                <w:color w:val="FFFFFF"/>
              </w:rPr>
            </w:pPr>
            <w:r>
              <w:rPr>
                <w:rFonts w:ascii="Verdana" w:hAnsi="Verdana"/>
                <w:noProof/>
                <w:color w:val="FFFFFF"/>
              </w:rPr>
              <w:t>2019</w:t>
            </w:r>
          </w:p>
        </w:tc>
        <w:tc>
          <w:tcPr>
            <w:tcW w:w="143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108BIPReconciliation"/>
              <w:jc w:val="right"/>
              <w:rPr>
                <w:rFonts w:ascii="Verdana" w:eastAsia="Verdana" w:hAnsi="Verdana" w:cs="Verdana"/>
                <w:noProof/>
                <w:color w:val="FFFFFF"/>
              </w:rPr>
            </w:pPr>
            <w:r>
              <w:rPr>
                <w:rFonts w:ascii="Verdana" w:hAnsi="Verdana"/>
                <w:noProof/>
                <w:color w:val="FFFFFF"/>
              </w:rPr>
              <w:t>2018</w:t>
            </w:r>
          </w:p>
        </w:tc>
      </w:tr>
      <w:tr w:rsidR="0043277E">
        <w:trPr>
          <w:trHeight w:hRule="exact" w:val="255"/>
        </w:trPr>
        <w:tc>
          <w:tcPr>
            <w:tcW w:w="68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108BIPReconciliation"/>
              <w:rPr>
                <w:rFonts w:ascii="Verdana" w:eastAsia="Verdana" w:hAnsi="Verdana" w:cs="Verdana"/>
                <w:b/>
                <w:noProof/>
                <w:color w:val="000000"/>
                <w:sz w:val="18"/>
              </w:rPr>
            </w:pPr>
            <w:r>
              <w:rPr>
                <w:rFonts w:ascii="Verdana" w:hAnsi="Verdana"/>
                <w:b/>
                <w:noProof/>
                <w:color w:val="000000"/>
                <w:sz w:val="18"/>
              </w:rPr>
              <w:t>WYNIK EKONOMICZNY ZA DANY ROK</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4 796</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13 918</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jc w:val="right"/>
              <w:rPr>
                <w:rFonts w:ascii="Verdana" w:eastAsia="Verdana" w:hAnsi="Verdana" w:cs="Verdana"/>
                <w:i/>
                <w:noProof/>
                <w:color w:val="000000"/>
                <w:sz w:val="16"/>
                <w:lang w:bidi="en-GB"/>
              </w:rPr>
            </w:pPr>
          </w:p>
        </w:tc>
      </w:tr>
      <w:tr w:rsidR="0043277E">
        <w:trPr>
          <w:trHeight w:hRule="exact" w:val="255"/>
        </w:trPr>
        <w:tc>
          <w:tcPr>
            <w:tcW w:w="68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08BIPReconciliation"/>
              <w:rPr>
                <w:rFonts w:ascii="Verdana" w:eastAsia="Verdana" w:hAnsi="Verdana" w:cs="Verdana"/>
                <w:b/>
                <w:noProof/>
                <w:color w:val="000000"/>
                <w:sz w:val="18"/>
              </w:rPr>
            </w:pPr>
            <w:r>
              <w:rPr>
                <w:rFonts w:ascii="Verdana" w:hAnsi="Verdana"/>
                <w:b/>
                <w:noProof/>
                <w:color w:val="000000"/>
                <w:sz w:val="18"/>
              </w:rPr>
              <w:t>Przychody</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ascii="Verdana" w:eastAsia="Verdana" w:hAnsi="Verdana" w:cs="Verdana"/>
                <w:b/>
                <w:noProof/>
                <w:color w:val="000000"/>
                <w:sz w:val="18"/>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ascii="Verdana" w:eastAsia="Verdana" w:hAnsi="Verdana" w:cs="Verdana"/>
                <w:b/>
                <w:noProof/>
                <w:color w:val="000000"/>
                <w:sz w:val="18"/>
                <w:lang w:bidi="en-GB"/>
              </w:rPr>
            </w:pP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Należności ustalone w bieżącym roku, ale jeszcze niepobrane</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(6 193)</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(6 220)</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 xml:space="preserve">Należności ustalone w poprzednich latach i </w:t>
            </w:r>
            <w:r>
              <w:rPr>
                <w:rFonts w:ascii="Verdana" w:hAnsi="Verdana"/>
                <w:i/>
                <w:noProof/>
                <w:color w:val="000000"/>
                <w:sz w:val="18"/>
              </w:rPr>
              <w:t>pobrane w bieżącym roku</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8 656</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9 331</w:t>
            </w:r>
          </w:p>
        </w:tc>
      </w:tr>
      <w:tr w:rsidR="0043277E">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Naliczone dochody (netto)</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3 341</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(4 015)</w:t>
            </w:r>
          </w:p>
        </w:tc>
      </w:tr>
      <w:tr w:rsidR="0043277E">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43277E">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5 804</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(904)</w:t>
            </w:r>
          </w:p>
        </w:tc>
      </w:tr>
      <w:tr w:rsidR="0043277E">
        <w:trPr>
          <w:trHeight w:hRule="exact" w:val="255"/>
        </w:trPr>
        <w:tc>
          <w:tcPr>
            <w:tcW w:w="68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108BIPReconciliation"/>
              <w:rPr>
                <w:rFonts w:ascii="Verdana" w:eastAsia="Verdana" w:hAnsi="Verdana" w:cs="Verdana"/>
                <w:b/>
                <w:noProof/>
                <w:color w:val="000000"/>
                <w:sz w:val="18"/>
              </w:rPr>
            </w:pPr>
            <w:r>
              <w:rPr>
                <w:rFonts w:ascii="Verdana" w:hAnsi="Verdana"/>
                <w:b/>
                <w:noProof/>
                <w:color w:val="000000"/>
                <w:sz w:val="18"/>
              </w:rPr>
              <w:t>Wydatki</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ascii="Verdana" w:eastAsia="Verdana" w:hAnsi="Verdana" w:cs="Verdana"/>
                <w:b/>
                <w:noProof/>
                <w:color w:val="000000"/>
                <w:sz w:val="18"/>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ascii="Verdana" w:eastAsia="Verdana" w:hAnsi="Verdana" w:cs="Verdana"/>
                <w:b/>
                <w:noProof/>
                <w:color w:val="000000"/>
                <w:sz w:val="18"/>
                <w:lang w:bidi="en-GB"/>
              </w:rPr>
            </w:pP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Bierne rozliczenia międzyokresowe kosztów (netto)</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8 394</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4 511</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Koszty poprzedniego roku poniesione w bieżącym roku</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(3 832)</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(6 086)</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 xml:space="preserve">Efekt netto </w:t>
            </w:r>
            <w:r>
              <w:rPr>
                <w:rFonts w:ascii="Verdana" w:hAnsi="Verdana"/>
                <w:i/>
                <w:noProof/>
                <w:color w:val="000000"/>
                <w:sz w:val="18"/>
              </w:rPr>
              <w:t>płatności zaliczkowych</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(10 981)</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(8 634)</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Środki na płatności przeniesione na następny rok</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(3 532)</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(2 941)</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Płatności dokonane z przeniesionych środków i anulowane niewykorzystane środki na płatności</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1 924</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2 098</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Zmiany stanu rezerw</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3 801</w:t>
            </w: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3 567</w:t>
            </w:r>
          </w:p>
        </w:tc>
      </w:tr>
      <w:tr w:rsidR="0043277E">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i/>
                <w:noProof/>
                <w:color w:val="000000"/>
                <w:sz w:val="18"/>
              </w:rPr>
            </w:pPr>
            <w:r>
              <w:rPr>
                <w:rFonts w:ascii="Verdana" w:hAnsi="Verdana"/>
                <w:i/>
                <w:noProof/>
                <w:color w:val="000000"/>
                <w:sz w:val="18"/>
              </w:rPr>
              <w:t>Inne</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 xml:space="preserve">(3 </w:t>
            </w:r>
            <w:r>
              <w:rPr>
                <w:rFonts w:ascii="Verdana" w:hAnsi="Verdana"/>
                <w:i/>
                <w:noProof/>
                <w:color w:val="000000"/>
                <w:sz w:val="18"/>
              </w:rPr>
              <w:t>076)</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i/>
                <w:noProof/>
                <w:color w:val="000000"/>
                <w:sz w:val="18"/>
              </w:rPr>
            </w:pPr>
            <w:r>
              <w:rPr>
                <w:rFonts w:ascii="Verdana" w:hAnsi="Verdana"/>
                <w:i/>
                <w:noProof/>
                <w:color w:val="000000"/>
                <w:sz w:val="18"/>
              </w:rPr>
              <w:t>(4 175)</w:t>
            </w:r>
          </w:p>
        </w:tc>
      </w:tr>
      <w:tr w:rsidR="0043277E">
        <w:trPr>
          <w:trHeight w:hRule="exact" w:val="255"/>
        </w:trPr>
        <w:tc>
          <w:tcPr>
            <w:tcW w:w="6887"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43277E">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(7 304)</w:t>
            </w:r>
          </w:p>
        </w:tc>
        <w:tc>
          <w:tcPr>
            <w:tcW w:w="1436" w:type="dxa"/>
            <w:tcBorders>
              <w:top w:val="nil"/>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(11 660)</w:t>
            </w:r>
          </w:p>
        </w:tc>
      </w:tr>
      <w:tr w:rsidR="0043277E">
        <w:trPr>
          <w:trHeight w:hRule="exact" w:val="255"/>
        </w:trPr>
        <w:tc>
          <w:tcPr>
            <w:tcW w:w="688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rPr>
                <w:rFonts w:ascii="Verdana" w:eastAsia="Verdana" w:hAnsi="Verdana" w:cs="Verdana"/>
                <w:b/>
                <w:noProof/>
                <w:color w:val="000000"/>
                <w:sz w:val="18"/>
              </w:rPr>
            </w:pPr>
            <w:r>
              <w:rPr>
                <w:rFonts w:ascii="Verdana" w:hAnsi="Verdana"/>
                <w:b/>
                <w:noProof/>
                <w:color w:val="000000"/>
                <w:sz w:val="18"/>
              </w:rPr>
              <w:t>Wynik ekonomiczny agencji i EWWiS w likwidacji</w:t>
            </w:r>
          </w:p>
        </w:tc>
        <w:tc>
          <w:tcPr>
            <w:tcW w:w="143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(79)</w:t>
            </w:r>
          </w:p>
        </w:tc>
        <w:tc>
          <w:tcPr>
            <w:tcW w:w="143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448</w:t>
            </w:r>
          </w:p>
        </w:tc>
      </w:tr>
      <w:tr w:rsidR="0043277E">
        <w:trPr>
          <w:trHeight w:hRule="exact" w:val="255"/>
        </w:trPr>
        <w:tc>
          <w:tcPr>
            <w:tcW w:w="6887"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rPr>
                <w:rFonts w:cs="Calibri"/>
                <w:noProof/>
                <w:color w:val="000000"/>
                <w:sz w:val="22"/>
              </w:rPr>
            </w:pPr>
          </w:p>
        </w:tc>
        <w:tc>
          <w:tcPr>
            <w:tcW w:w="1436" w:type="dxa"/>
            <w:tcBorders>
              <w:top w:val="nil"/>
              <w:left w:val="nil"/>
              <w:bottom w:val="nil"/>
              <w:right w:val="nil"/>
              <w:tl2br w:val="nil"/>
              <w:tr2bl w:val="nil"/>
            </w:tcBorders>
            <w:shd w:val="solid" w:color="FFFFFF" w:fill="FFFFFF"/>
            <w:tcMar>
              <w:left w:w="60" w:type="dxa"/>
              <w:right w:w="60" w:type="dxa"/>
            </w:tcMar>
            <w:vAlign w:val="center"/>
          </w:tcPr>
          <w:p w:rsidR="0043277E" w:rsidRDefault="0043277E">
            <w:pPr>
              <w:pStyle w:val="DMETW17108BIPReconciliation"/>
              <w:jc w:val="right"/>
              <w:rPr>
                <w:rFonts w:ascii="Verdana" w:eastAsia="Verdana" w:hAnsi="Verdana" w:cs="Verdana"/>
                <w:i/>
                <w:noProof/>
                <w:color w:val="000000"/>
                <w:sz w:val="16"/>
                <w:lang w:bidi="en-GB"/>
              </w:rPr>
            </w:pPr>
          </w:p>
        </w:tc>
      </w:tr>
      <w:tr w:rsidR="0043277E">
        <w:trPr>
          <w:trHeight w:hRule="exact" w:val="255"/>
        </w:trPr>
        <w:tc>
          <w:tcPr>
            <w:tcW w:w="68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108BIPReconciliation"/>
              <w:rPr>
                <w:rFonts w:ascii="Verdana" w:eastAsia="Verdana" w:hAnsi="Verdana" w:cs="Verdana"/>
                <w:b/>
                <w:noProof/>
                <w:color w:val="000000"/>
                <w:sz w:val="18"/>
              </w:rPr>
            </w:pPr>
            <w:r>
              <w:rPr>
                <w:rFonts w:ascii="Verdana" w:hAnsi="Verdana"/>
                <w:b/>
                <w:noProof/>
                <w:color w:val="000000"/>
                <w:sz w:val="18"/>
              </w:rPr>
              <w:t>WYNIK BUDŻETU ZA ROK</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3 217</w:t>
            </w:r>
          </w:p>
        </w:tc>
        <w:tc>
          <w:tcPr>
            <w:tcW w:w="14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108BIPReconciliation"/>
              <w:jc w:val="right"/>
              <w:rPr>
                <w:rFonts w:ascii="Verdana" w:eastAsia="Verdana" w:hAnsi="Verdana" w:cs="Verdana"/>
                <w:b/>
                <w:noProof/>
                <w:color w:val="000000"/>
                <w:sz w:val="18"/>
              </w:rPr>
            </w:pPr>
            <w:r>
              <w:rPr>
                <w:rFonts w:ascii="Verdana" w:hAnsi="Verdana"/>
                <w:b/>
                <w:noProof/>
                <w:color w:val="000000"/>
                <w:sz w:val="18"/>
              </w:rPr>
              <w:t>1 802</w:t>
            </w:r>
          </w:p>
        </w:tc>
      </w:tr>
    </w:tbl>
    <w:p w:rsidR="0043277E" w:rsidRDefault="000F2348">
      <w:pPr>
        <w:pStyle w:val="DGTextstand-alone"/>
      </w:pPr>
      <w:r>
        <w:t>Zgodnie z rozporządzeniem finansowym wynik ekonomiczny za dany rok oblicza się w oparciu o zasadę rachunkowości memoriałowej (zasady rachunkowości UE), natomiast wynik budżetu opiera się na zmodyfikowanej metodzie kasowej. Zważywszy że u podstaw wyniku eko</w:t>
      </w:r>
      <w:r>
        <w:t xml:space="preserve">nomicznego i wyniku budżetowego leżą te same operacje – z wyjątkiem pozostałych (pozabudżetowych) źródeł przychodów i wydatków agencji oraz EWWiS w likwidacji, które uwzględniono wyłącznie w wyniku ekonomicznym (zob. informacja dodatkowa </w:t>
      </w:r>
      <w:r>
        <w:rPr>
          <w:b/>
        </w:rPr>
        <w:t>6</w:t>
      </w:r>
      <w:r>
        <w:t>) – uzgodnienie w</w:t>
      </w:r>
      <w:r>
        <w:t xml:space="preserve">yniku ekonomicznego za dany rok z wynikiem budżetowym za ten rok pełni rolę przydatnej kontroli spójności. </w:t>
      </w:r>
    </w:p>
    <w:p w:rsidR="0043277E" w:rsidRDefault="000F2348">
      <w:pPr>
        <w:pStyle w:val="HEADER5"/>
        <w:rPr>
          <w:noProof/>
        </w:rPr>
      </w:pPr>
      <w:r>
        <w:rPr>
          <w:noProof/>
        </w:rPr>
        <w:t>Pozycje uzgadniane – Dochody</w:t>
      </w:r>
    </w:p>
    <w:p w:rsidR="0043277E" w:rsidRDefault="000F2348">
      <w:pPr>
        <w:pStyle w:val="DGTextstand-alone"/>
        <w:rPr>
          <w:color w:val="000000"/>
        </w:rPr>
      </w:pPr>
      <w:r>
        <w:rPr>
          <w:color w:val="000000"/>
        </w:rPr>
        <w:t>Faktyczne dochody budżetowe za dany rok budżetowy odpowiadają dochodom pobranym z tytułu należności ustalonych w ciągu tego roku oraz kwotom pobranym z tytułu należności ustalonych w ubiegłych latach. Dlatego należności ustalone w bieżącym roku, ale jeszcz</w:t>
      </w:r>
      <w:r>
        <w:rPr>
          <w:color w:val="000000"/>
        </w:rPr>
        <w:t xml:space="preserve">e niepobrane, odlicza się od wyniku ekonomicznego na użytek uzgodnienia, jako że nie są one częścią dochodów budżetowych. Z kolei należności ustalone w poprzednich latach i pobrane w bieżącym roku dolicza się do wyniku ekonomicznego na użytek uzgodnienia. </w:t>
      </w:r>
    </w:p>
    <w:p w:rsidR="0043277E" w:rsidRDefault="000F2348">
      <w:pPr>
        <w:pStyle w:val="DGTextstand-alone"/>
        <w:rPr>
          <w:color w:val="000000"/>
        </w:rPr>
      </w:pPr>
      <w:r>
        <w:rPr>
          <w:color w:val="000000"/>
        </w:rPr>
        <w:lastRenderedPageBreak/>
        <w:t xml:space="preserve">Na naliczone dochody składają się głównie naliczone dochody z tytułu opłat rolnych, zasobów własnych oraz odsetek i dywidend. Uwzględnia się jedynie efekt netto, tj. naliczone przychody za bieżący rok pomniejszone o wpływy z tytułu naliczonych przychodów </w:t>
      </w:r>
      <w:r>
        <w:rPr>
          <w:color w:val="000000"/>
        </w:rPr>
        <w:t xml:space="preserve">z poprzedniego roku. </w:t>
      </w:r>
    </w:p>
    <w:p w:rsidR="0043277E" w:rsidRDefault="000F2348">
      <w:pPr>
        <w:pStyle w:val="HEADER5"/>
        <w:rPr>
          <w:noProof/>
        </w:rPr>
      </w:pPr>
      <w:r>
        <w:rPr>
          <w:noProof/>
        </w:rPr>
        <w:t xml:space="preserve">Pozycje uzgadniane – Wydatki </w:t>
      </w:r>
    </w:p>
    <w:p w:rsidR="0043277E" w:rsidRDefault="000F2348">
      <w:pPr>
        <w:pStyle w:val="DGTextstand-alone"/>
        <w:rPr>
          <w:color w:val="000000"/>
        </w:rPr>
      </w:pPr>
      <w:r>
        <w:rPr>
          <w:color w:val="000000"/>
        </w:rPr>
        <w:t>Na bierne rozliczenia międzyokresowe kosztów składają się głównie bierne rozliczenia międzyokresowe dokonane na użytek procedur zakończenia księgowań na koniec roku (tzw. procedur cut-off), tj. wydatki kw</w:t>
      </w:r>
      <w:r>
        <w:rPr>
          <w:color w:val="000000"/>
        </w:rPr>
        <w:t>alifikowalne poniesione przez beneficjentów środków unijnych, które nie zostały jeszcze zgłoszone Komisji. Uwzględnia się jedynie efekt netto, tj. bierne rozliczenia międzyokresowe kosztów za bieżący rok pomniejszone o bierne rozliczenia międzyokresowe kos</w:t>
      </w:r>
      <w:r>
        <w:rPr>
          <w:color w:val="000000"/>
        </w:rPr>
        <w:t>ztów za poprzedni rok. Płatności dokonane w bieżącym roku powiązane z fakturami ujętymi we wcześniejszych latach stanowią część wydatków budżetowych bieżącego rok i muszą być w związku z tym dodane do wyniku ekonomicznego dla celów uzgodnienia.</w:t>
      </w:r>
    </w:p>
    <w:p w:rsidR="0043277E" w:rsidRDefault="000F2348">
      <w:pPr>
        <w:pStyle w:val="DGTextstand-alone"/>
        <w:rPr>
          <w:color w:val="000000"/>
        </w:rPr>
      </w:pPr>
      <w:r>
        <w:rPr>
          <w:color w:val="000000"/>
        </w:rPr>
        <w:t>Efekt netto</w:t>
      </w:r>
      <w:r>
        <w:rPr>
          <w:color w:val="000000"/>
        </w:rPr>
        <w:t xml:space="preserve"> płatności zaliczkowych obejmuje (1) nowe kwoty płatności zaliczkowych wypłacone w bieżącym roku i ujęte jako wydatki budżetowe tego roku i (2) rozliczenie płatności zaliczkowych poprzez zatwierdzenie kosztów kwalifikowalnych w ciągu roku. Te ostatnie stan</w:t>
      </w:r>
      <w:r>
        <w:rPr>
          <w:color w:val="000000"/>
        </w:rPr>
        <w:t xml:space="preserve">owią koszt zgodnie z zasadą rachunkowości memoriałowej, jednak koszt ten nie jest ujmowany na kontach budżetowych, jako że płatność początkowych zaliczek została już uwzględniona jako koszt budżetowy w momencie jej dokonania. </w:t>
      </w:r>
    </w:p>
    <w:p w:rsidR="0043277E" w:rsidRDefault="000F2348">
      <w:pPr>
        <w:pStyle w:val="DGTextstand-alone"/>
        <w:rPr>
          <w:color w:val="000000"/>
        </w:rPr>
      </w:pPr>
      <w:r>
        <w:rPr>
          <w:color w:val="000000"/>
        </w:rPr>
        <w:t>Oprócz płatności dokonanych z</w:t>
      </w:r>
      <w:r>
        <w:rPr>
          <w:color w:val="000000"/>
        </w:rPr>
        <w:t xml:space="preserve">e środków na dany rok, przy obliczaniu wyniku budżetu za ten rok należy uwzględnić także środki na ten rok przeniesione na rok następny (zgodnie z art. 1 ust. 1 rozporządzenia nr 608/2014). To samo podejście stosuje się do płatności budżetowych dokonanych </w:t>
      </w:r>
      <w:r>
        <w:rPr>
          <w:color w:val="000000"/>
        </w:rPr>
        <w:t>w bieżącym roku ze środków przeniesionych z poprzednich lat oraz anulowania niewykorzystanych środków na płatności.</w:t>
      </w:r>
    </w:p>
    <w:p w:rsidR="0043277E" w:rsidRDefault="000F2348">
      <w:pPr>
        <w:pStyle w:val="DGTextstand-alone"/>
        <w:rPr>
          <w:color w:val="000000"/>
        </w:rPr>
      </w:pPr>
      <w:r>
        <w:rPr>
          <w:color w:val="000000"/>
        </w:rPr>
        <w:t>Zmiany stanu rezerw odnoszą się do szacunków na koniec roku dokonanych na kontach rozliczeń międzyokresowych (głównie świadczenia pracownicz</w:t>
      </w:r>
      <w:r>
        <w:rPr>
          <w:color w:val="000000"/>
        </w:rPr>
        <w:t>e), które nie mają wpływu na konta budżetowe. Pozostałe uzgadniane kwoty obejmują rozmaite elementy, takie jak amortyzacja aktywów, nabycie aktywów, raty leasingowe (część kapitałowa) oraz udziały finansowe, które są różnie traktowane w rachunkowości budże</w:t>
      </w:r>
      <w:r>
        <w:rPr>
          <w:color w:val="000000"/>
        </w:rPr>
        <w:t>towej i rachunkowości memoriałowej.</w:t>
      </w:r>
    </w:p>
    <w:p w:rsidR="0043277E" w:rsidRDefault="000F2348">
      <w:pPr>
        <w:pStyle w:val="HEADER5"/>
        <w:rPr>
          <w:noProof/>
        </w:rPr>
      </w:pPr>
      <w:r>
        <w:rPr>
          <w:noProof/>
        </w:rPr>
        <w:t>Pozycja uzgadniana – Wynik ekonomiczny agencji i EWWiS w likwidacji</w:t>
      </w:r>
    </w:p>
    <w:p w:rsidR="0043277E" w:rsidRDefault="000F2348">
      <w:pPr>
        <w:pStyle w:val="DGTextstand-alone"/>
        <w:rPr>
          <w:color w:val="000000"/>
        </w:rPr>
      </w:pPr>
      <w:r>
        <w:rPr>
          <w:color w:val="000000"/>
        </w:rPr>
        <w:t>Wynik budżetu na dany rok jest nieskonsolidowaną wartością liczbową i nie obejmuje pozostałych (pozabudżetowych) źródeł przychodów i wydatków skonsolido</w:t>
      </w:r>
      <w:r>
        <w:rPr>
          <w:color w:val="000000"/>
        </w:rPr>
        <w:t xml:space="preserve">wanych agencji oraz EWWiS w likwidacji (zob. informacja dodatkowa </w:t>
      </w:r>
      <w:r>
        <w:rPr>
          <w:b/>
          <w:color w:val="000000"/>
        </w:rPr>
        <w:t>6</w:t>
      </w:r>
      <w:r>
        <w:rPr>
          <w:color w:val="000000"/>
        </w:rPr>
        <w:t>). Aby uzgodnić wynik ekonomiczny za dany rok – nieskonsolidowaną wartość liczbową obejmującą te kwoty – z wynikiem budżetu ten rok, jako pozycję uzgadnianą przedstawia się cały skonsolidow</w:t>
      </w:r>
      <w:r>
        <w:rPr>
          <w:color w:val="000000"/>
        </w:rPr>
        <w:t>any wynik ekonomiczny agencji i EWWiS w likwidacji za dany rok.</w:t>
      </w:r>
    </w:p>
    <w:p w:rsidR="0043277E" w:rsidRDefault="0043277E">
      <w:pPr>
        <w:pStyle w:val="DGTextstand-alone"/>
      </w:pPr>
    </w:p>
    <w:p w:rsidR="0043277E" w:rsidRDefault="000F2348">
      <w:pPr>
        <w:pStyle w:val="DGTextstand-alone"/>
        <w:sectPr w:rsidR="0043277E">
          <w:headerReference w:type="even" r:id="rId336"/>
          <w:headerReference w:type="default" r:id="rId337"/>
          <w:footerReference w:type="even" r:id="rId338"/>
          <w:footerReference w:type="default" r:id="rId339"/>
          <w:headerReference w:type="first" r:id="rId340"/>
          <w:footerReference w:type="first" r:id="rId341"/>
          <w:pgSz w:w="11907" w:h="16840" w:code="9"/>
          <w:pgMar w:top="1134" w:right="1134" w:bottom="1134" w:left="1134" w:header="709" w:footer="709" w:gutter="0"/>
          <w:cols w:space="708"/>
          <w:docGrid w:linePitch="360"/>
        </w:sectPr>
      </w:pPr>
      <w:r>
        <w:t xml:space="preserve"> </w:t>
      </w:r>
      <w:bookmarkEnd w:id="230"/>
    </w:p>
    <w:p w:rsidR="0043277E" w:rsidRDefault="000F2348">
      <w:pPr>
        <w:pStyle w:val="HEADER1PartBUDG"/>
        <w:tabs>
          <w:tab w:val="clear" w:pos="907"/>
          <w:tab w:val="left" w:pos="709"/>
        </w:tabs>
        <w:ind w:left="357" w:hanging="357"/>
        <w:jc w:val="left"/>
        <w:rPr>
          <w:noProof/>
        </w:rPr>
      </w:pPr>
      <w:bookmarkStart w:id="232" w:name="_DMBM_17263"/>
      <w:r>
        <w:rPr>
          <w:noProof/>
        </w:rPr>
        <w:lastRenderedPageBreak/>
        <w:tab/>
      </w:r>
      <w:bookmarkStart w:id="233" w:name="_Toc49418834"/>
      <w:r>
        <w:rPr>
          <w:noProof/>
        </w:rPr>
        <w:t>WYKONANIE BUDŻETU UE NA 2019 r. – KOMENTARZ</w:t>
      </w:r>
      <w:bookmarkEnd w:id="233"/>
    </w:p>
    <w:p w:rsidR="0043277E" w:rsidRDefault="000F2348">
      <w:pPr>
        <w:pStyle w:val="HEADER2PartBUDG"/>
        <w:rPr>
          <w:noProof/>
        </w:rPr>
      </w:pPr>
      <w:bookmarkStart w:id="234" w:name="_Toc49418835"/>
      <w:r>
        <w:rPr>
          <w:noProof/>
        </w:rPr>
        <w:t>DOCHODY</w:t>
      </w:r>
      <w:bookmarkEnd w:id="234"/>
    </w:p>
    <w:p w:rsidR="0043277E" w:rsidRDefault="000F2348">
      <w:pPr>
        <w:pStyle w:val="DGTextstand-alone"/>
      </w:pPr>
      <w:r>
        <w:t xml:space="preserve">Kwota środków na </w:t>
      </w:r>
      <w:r>
        <w:t xml:space="preserve">płatności w budżecie początkowym UE podpisanym przez przewodniczącego Parlamentu Europejskiego w dniu 12 grudnia 2018 r. wynosiła 148 199 mln EUR, a z zasobów własnych sfinansowana miała zostać kwota 146 305 mln EUR. Szacunki dotyczące dochodów i wydatków </w:t>
      </w:r>
      <w:r>
        <w:t>w pierwotnym budżecie są zazwyczaj korygowane w trakcie roku budżetowego, przy czym tego rodzaju zmiany przedstawia się w budżetach korygujących. Korekty zasobów własnych opartych na DNB gwarantują, że dochody przewidziane w budżecie będą dokładnie odpowia</w:t>
      </w:r>
      <w:r>
        <w:t>dać zapisanym w budżecie wydatkom. Zgodnie z zasadą równowagi dochody i wydatki budżetowe (środki na płatności) muszą się równoważyć.</w:t>
      </w:r>
    </w:p>
    <w:p w:rsidR="0043277E" w:rsidRDefault="000F2348">
      <w:pPr>
        <w:pStyle w:val="DGTextstand-alone"/>
      </w:pPr>
      <w:r>
        <w:t xml:space="preserve">W 2019 r. przyjęto trzy budżety korygujące. Z uwzględnieniem tych budżetów ostateczne przyjęte dochody w 2019 r. wyniosły </w:t>
      </w:r>
      <w:r>
        <w:t>148 492 mln EUR, a łączna kwota finansowana z zasobów własnych wyniosła 144 795 mln EUR. Zmniejszenie wkładów państw członkowskich w 2019 r. wynikało głównie z nadwyżki z poprzedniego roku budżetowego (1 803 mln EUR), którą nieco równoważył wzrost netto śr</w:t>
      </w:r>
      <w:r>
        <w:t>odków na płatności (293 mln EUR).</w:t>
      </w:r>
    </w:p>
    <w:p w:rsidR="0043277E" w:rsidRDefault="000F2348">
      <w:pPr>
        <w:pStyle w:val="DGTextstand-alone"/>
      </w:pPr>
      <w:r>
        <w:t>Jeżeli chodzi o wynik zasobów własnych, pobór tradycyjnych zasobów własnych był bardzo zbliżony do prognozowanych kwot.</w:t>
      </w:r>
    </w:p>
    <w:p w:rsidR="0043277E" w:rsidRDefault="000F2348">
      <w:pPr>
        <w:pStyle w:val="DGTextstand-alone"/>
      </w:pPr>
      <w:r>
        <w:t xml:space="preserve">Także ostateczne płatności państw członkowskich z tytułu VAT i DNB są zbliżone do ostatecznych </w:t>
      </w:r>
      <w:r>
        <w:t>szacunków budżetowych. Różnice między szacowanymi kwotami a kwotami faktycznie wpłaconymi wynikają z różnic między kursami euro stosowanymi dla celów budżetowych a kursami obowiązującymi w dniu faktycznego dokonania płatności przez państwa członkowskie spo</w:t>
      </w:r>
      <w:r>
        <w:t>za UGW.</w:t>
      </w:r>
    </w:p>
    <w:p w:rsidR="0043277E" w:rsidRDefault="000F2348">
      <w:pPr>
        <w:pStyle w:val="DGTextstand-alone"/>
      </w:pPr>
      <w:r>
        <w:t>Przepisy odnoszące się do sald VAT i DNB określono w art. 10b rozporządzenia w sprawie udostępniania (rozporządzenia nr 609/2014). Procedura ta nie wiąże się ze zmianą budżetu, dlatego Komisja zwraca się bezpośrednio do państw członkowskich o zapła</w:t>
      </w:r>
      <w:r>
        <w:t>tę kwot netto. Dzięki temu systemowi kompensowania wpływ na budżet UE był bliski zeru.</w:t>
      </w:r>
    </w:p>
    <w:p w:rsidR="0043277E" w:rsidRDefault="000F2348">
      <w:pPr>
        <w:pStyle w:val="DGTextstand-alone"/>
      </w:pPr>
      <w:r>
        <w:t>Pozycja „Wkłady i zwroty związane z realizacją porozumień i programów UE” dotyczy głównie dochodów z tytułu korekt finansowych (europejskie fundusze strukturalne i inwes</w:t>
      </w:r>
      <w:r>
        <w:t>tycyjne, EFRG i EFRROW), udziału państw trzecich w programach badawczych, rozliczenia rachunków w funduszach rolnych oraz innych wkładów i zwrotów na rzecz programów/działań Unii. Znaczną część tej kwoty stanowią dochody przeznaczone na określony cel, co z</w:t>
      </w:r>
      <w:r>
        <w:t>wykle wiąże się z wpisaniem dodatkowych środków po stronie wydatków. W 2019 r. wkłady te wyniosły 12,6 mld EUR.</w:t>
      </w:r>
    </w:p>
    <w:p w:rsidR="0043277E" w:rsidRDefault="000F2348">
      <w:pPr>
        <w:pStyle w:val="DGTextstand-alone"/>
      </w:pPr>
      <w:r>
        <w:t>Dochody z grzywien dotyczą głównie grzywien w obszarze konkurencji.</w:t>
      </w:r>
    </w:p>
    <w:p w:rsidR="0043277E" w:rsidRDefault="000F2348">
      <w:pPr>
        <w:pStyle w:val="HEADER2PartBUDG"/>
        <w:rPr>
          <w:noProof/>
        </w:rPr>
      </w:pPr>
      <w:bookmarkStart w:id="235" w:name="_Toc49418836"/>
      <w:r>
        <w:rPr>
          <w:noProof/>
        </w:rPr>
        <w:t>WYDATKI</w:t>
      </w:r>
      <w:bookmarkEnd w:id="235"/>
      <w:r>
        <w:rPr>
          <w:noProof/>
        </w:rPr>
        <w:t xml:space="preserve"> </w:t>
      </w:r>
    </w:p>
    <w:p w:rsidR="0043277E" w:rsidRDefault="000F2348">
      <w:pPr>
        <w:pStyle w:val="DGTextstand-alone"/>
      </w:pPr>
      <w:r>
        <w:t>Budżet UE odgrywa ważną rolę we wspieraniu realizacji unijnych poli</w:t>
      </w:r>
      <w:r>
        <w:t>tyk i priorytetów. Mimo ograniczonej kwoty, stanowiącej około 2 % wszystkich wydatków publicznych w Unii, uzupełnia on budżety państw członkowskich, kładąc wyraźny nacisk na inwestycje i dodatkowość. Stanowi kluczowe narzędzie wśród szerokiej gamy instrume</w:t>
      </w:r>
      <w:r>
        <w:t>ntów polityki i instrumentów regulacyjnych na szczeblu europejskim, służące realizacji priorytetów politycznych uzgodnionych przez wszystkie państwa członkowskie UE, ujętych w formie wieloletnich ram finansowych obejmujących różne programy i maksymalne puł</w:t>
      </w:r>
      <w:r>
        <w:t>apy wydatków.</w:t>
      </w:r>
    </w:p>
    <w:p w:rsidR="0043277E" w:rsidRDefault="000F2348">
      <w:pPr>
        <w:pStyle w:val="DGTextstand-alone"/>
      </w:pPr>
      <w:r>
        <w:t>Przyjęty w dniu 12 grudnia 2018 r. budżet UE na 2019 r. potwierdza, że UE kieruje środki finansowe tam, gdzie są one potrzebne. W roku 2019 zgodnie z wnioskiem Komisji Europejskiej z maja 2018 r. największą część budżetu UE przeznaczono na st</w:t>
      </w:r>
      <w:r>
        <w:t>ymulację tworzenia nowych miejsc pracy, zwłaszcza dla ludzi młodych, oraz pobudzenie wzrostu gospodarczego, inwestycji strategicznych i procesu konwergencji. UE dalej wspierała również działania służące skutecznemu podejmowaniu wyzwań związanych z migracją</w:t>
      </w:r>
      <w:r>
        <w:t>, zarówno wewnątrz UE, jak i poza jej granicami.</w:t>
      </w:r>
    </w:p>
    <w:p w:rsidR="0043277E" w:rsidRDefault="000F2348">
      <w:pPr>
        <w:pStyle w:val="DGTextstand-alone"/>
      </w:pPr>
      <w:r>
        <w:lastRenderedPageBreak/>
        <w:t>Rok 2019 był szóstym rokiem obecnych wieloletnich ram finansowych (WRF) na lata 2014–2020. Sprawnie wdrażano niemal wszystkie programy, z wyjątkiem nowych programów czy działań, których proces ustawodawczy z</w:t>
      </w:r>
      <w:r>
        <w:t>akończył się w ostatnim czasie.</w:t>
      </w:r>
    </w:p>
    <w:p w:rsidR="0043277E" w:rsidRDefault="000F2348">
      <w:pPr>
        <w:pStyle w:val="DGTextstand-alone"/>
      </w:pPr>
      <w:r>
        <w:t xml:space="preserve">Zgodnie z rocznymi zmianami przewidzianymi w wieloletnich ramach finansowych w projekcie budżetu zaproponowano środki na zobowiązania w wysokości 165,6 mld EUR (o 3,1 % więcej w porównaniu z budżetem na 2018 r.) oraz środki </w:t>
      </w:r>
      <w:r>
        <w:t>na płatności w kwocie 148,7 mld EUR (o 2,7 % więcej), a więc odpowiednio 1,00 % i 0,90 % dochodu narodowego brutto (DNB) UE.</w:t>
      </w:r>
    </w:p>
    <w:p w:rsidR="0043277E" w:rsidRDefault="000F2348">
      <w:pPr>
        <w:pStyle w:val="DGTextstand-alone"/>
      </w:pPr>
      <w:r>
        <w:t>Wszystkie pozycje osiągnęły w 2019 r. wysoki poziom wykonania. W 2019 r. poziom wykonania w odniesieniu do wszystkich rodzajów środ</w:t>
      </w:r>
      <w:r>
        <w:t>ków (budżetowych, środków przeniesionych z roku poprzedniego i dochodów przeznaczonych na określony cel) wynosił 97 % w przypadku zobowiązań i 93 % w przypadku płatności. Wskaźniki wykonania z wyłączeniem dochodów przeznaczonych na określony cel świadczą o</w:t>
      </w:r>
      <w:r>
        <w:t xml:space="preserve"> pełnym wykonaniu w 2019 r. (99,4 % w przypadku zobowiązań i 98,4 % w przypadku płatności).</w:t>
      </w:r>
    </w:p>
    <w:p w:rsidR="0043277E" w:rsidRDefault="000F2348">
      <w:pPr>
        <w:pStyle w:val="DGTextstand-alone"/>
      </w:pPr>
      <w:r>
        <w:t>Na koniec 2019 r. zobowiązania pozostające do spłaty (RAL, kwoty zaangażowane, ale niewypłacone) wynosiły 297,7 mld EUR. Spodziewano się wzrostu w stosunku do pozio</w:t>
      </w:r>
      <w:r>
        <w:t>mu z 2018 r., biorąc pod uwagę różnicę między środkami na zobowiązania zapisanymi w budżecie a środkami na płatności (17,7 mld EUR) w przyjętym budżecie oraz uwzględniając fakt, że zwiększenie kwoty zobowiązań pozostających do spłaty stanowi jednak normaln</w:t>
      </w:r>
      <w:r>
        <w:t>y rozwój sytuacji, ponieważ środki na zobowiązania co roku wzrastają zgodnie z wieloletnimi ramami finansowymi. Ostateczny wzrost osiągnął 16,5 mld EUR.</w:t>
      </w:r>
    </w:p>
    <w:p w:rsidR="0043277E" w:rsidRDefault="000F2348">
      <w:pPr>
        <w:pStyle w:val="DGTextstand-alone"/>
        <w:sectPr w:rsidR="0043277E">
          <w:headerReference w:type="even" r:id="rId342"/>
          <w:headerReference w:type="default" r:id="rId343"/>
          <w:footerReference w:type="even" r:id="rId344"/>
          <w:footerReference w:type="default" r:id="rId345"/>
          <w:headerReference w:type="first" r:id="rId346"/>
          <w:footerReference w:type="first" r:id="rId347"/>
          <w:pgSz w:w="11907" w:h="16840" w:code="9"/>
          <w:pgMar w:top="1134" w:right="1134" w:bottom="1134" w:left="1134" w:header="709" w:footer="709" w:gutter="0"/>
          <w:cols w:space="708"/>
          <w:docGrid w:linePitch="360"/>
        </w:sectPr>
      </w:pPr>
      <w:r>
        <w:t xml:space="preserve"> </w:t>
      </w:r>
      <w:bookmarkEnd w:id="232"/>
    </w:p>
    <w:p w:rsidR="0043277E" w:rsidRDefault="000F2348">
      <w:pPr>
        <w:pStyle w:val="HEADER1PartBUDG"/>
        <w:rPr>
          <w:noProof/>
        </w:rPr>
      </w:pPr>
      <w:bookmarkStart w:id="236" w:name="_DMBM_17271"/>
      <w:r>
        <w:rPr>
          <w:noProof/>
        </w:rPr>
        <w:lastRenderedPageBreak/>
        <w:t xml:space="preserve"> </w:t>
      </w:r>
      <w:bookmarkStart w:id="237" w:name="_Toc49418837"/>
      <w:r>
        <w:rPr>
          <w:noProof/>
        </w:rPr>
        <w:t>WYKONANIE DOCHODÓW BUDŻETOWYCH UE</w:t>
      </w:r>
      <w:bookmarkEnd w:id="237"/>
      <w:r>
        <w:rPr>
          <w:noProof/>
        </w:rPr>
        <w:t xml:space="preserve"> </w:t>
      </w:r>
    </w:p>
    <w:p w:rsidR="0043277E" w:rsidRDefault="000F2348">
      <w:pPr>
        <w:pStyle w:val="HEADER2PartBUDG"/>
        <w:rPr>
          <w:noProof/>
        </w:rPr>
      </w:pPr>
      <w:bookmarkStart w:id="238" w:name="_Toc49418838"/>
      <w:r>
        <w:rPr>
          <w:noProof/>
        </w:rPr>
        <w:t>ZESTAWIENIE WYKONANIA DOCHODÓW BUDŻETOWYCH UE</w:t>
      </w:r>
      <w:bookmarkEnd w:id="238"/>
      <w:r>
        <w:rPr>
          <w:noProof/>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2358"/>
        <w:gridCol w:w="1440"/>
        <w:gridCol w:w="1200"/>
        <w:gridCol w:w="840"/>
        <w:gridCol w:w="1519"/>
        <w:gridCol w:w="401"/>
        <w:gridCol w:w="1440"/>
        <w:gridCol w:w="1719"/>
        <w:gridCol w:w="886"/>
        <w:gridCol w:w="972"/>
        <w:gridCol w:w="1281"/>
      </w:tblGrid>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bookmarkStart w:id="239" w:name="DOC_TBL00103_1_1"/>
            <w:bookmarkEnd w:id="239"/>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1BIPImplementationbudgetrevenue"/>
              <w:rPr>
                <w:rFonts w:ascii="Arial" w:eastAsia="Arial" w:hAnsi="Arial" w:cs="Arial"/>
                <w:b/>
                <w:noProof/>
                <w:color w:val="000000"/>
                <w:sz w:val="18"/>
              </w:rPr>
            </w:pP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477"/>
        </w:trPr>
        <w:tc>
          <w:tcPr>
            <w:tcW w:w="342" w:type="dxa"/>
            <w:tcBorders>
              <w:top w:val="nil"/>
              <w:left w:val="nil"/>
              <w:bottom w:val="nil"/>
              <w:right w:val="nil"/>
              <w:tl2br w:val="nil"/>
              <w:tr2bl w:val="nil"/>
            </w:tcBorders>
            <w:shd w:val="solid" w:color="006496" w:fill="FFFFFF"/>
            <w:tcMar>
              <w:left w:w="60" w:type="dxa"/>
              <w:right w:w="60" w:type="dxa"/>
            </w:tcMar>
            <w:vAlign w:val="center"/>
          </w:tcPr>
          <w:p w:rsidR="0043277E" w:rsidRDefault="0043277E">
            <w:pPr>
              <w:pStyle w:val="DMETW17211BIPImplementationbudgetrevenue"/>
              <w:jc w:val="center"/>
              <w:rPr>
                <w:rFonts w:ascii="Verdana" w:eastAsia="Verdana" w:hAnsi="Verdana" w:cs="Verdana"/>
                <w:noProof/>
                <w:color w:val="FFFFFF"/>
                <w:sz w:val="16"/>
              </w:rPr>
            </w:pPr>
          </w:p>
        </w:tc>
        <w:tc>
          <w:tcPr>
            <w:tcW w:w="2358" w:type="dxa"/>
            <w:tcBorders>
              <w:top w:val="nil"/>
              <w:left w:val="nil"/>
              <w:bottom w:val="nil"/>
              <w:right w:val="nil"/>
              <w:tl2br w:val="nil"/>
              <w:tr2bl w:val="nil"/>
            </w:tcBorders>
            <w:shd w:val="solid" w:color="006496" w:fill="FFFFFF"/>
            <w:tcMar>
              <w:left w:w="60" w:type="dxa"/>
              <w:right w:w="60" w:type="dxa"/>
            </w:tcMar>
            <w:vAlign w:val="center"/>
          </w:tcPr>
          <w:p w:rsidR="0043277E" w:rsidRDefault="0043277E">
            <w:pPr>
              <w:pStyle w:val="DMETW17211BIPImplementationbudgetrevenue"/>
              <w:jc w:val="center"/>
              <w:rPr>
                <w:rFonts w:ascii="Verdana" w:eastAsia="Verdana" w:hAnsi="Verdana" w:cs="Verdana"/>
                <w:noProof/>
                <w:color w:val="FFFFFF"/>
                <w:sz w:val="16"/>
              </w:rPr>
            </w:pPr>
          </w:p>
        </w:tc>
        <w:tc>
          <w:tcPr>
            <w:tcW w:w="2640" w:type="dxa"/>
            <w:gridSpan w:val="2"/>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Dochody przewidziane w budżecie</w:t>
            </w:r>
          </w:p>
        </w:tc>
        <w:tc>
          <w:tcPr>
            <w:tcW w:w="2760" w:type="dxa"/>
            <w:gridSpan w:val="3"/>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Ustalone należności</w:t>
            </w:r>
          </w:p>
        </w:tc>
        <w:tc>
          <w:tcPr>
            <w:tcW w:w="4045" w:type="dxa"/>
            <w:gridSpan w:val="3"/>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Dochody</w:t>
            </w:r>
          </w:p>
        </w:tc>
        <w:tc>
          <w:tcPr>
            <w:tcW w:w="972" w:type="dxa"/>
            <w:vMerge w:val="restart"/>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Wpływy jako % budżetu</w:t>
            </w:r>
          </w:p>
        </w:tc>
        <w:tc>
          <w:tcPr>
            <w:tcW w:w="1281" w:type="dxa"/>
            <w:vMerge w:val="restart"/>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Nie-</w:t>
            </w:r>
          </w:p>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rozliczone</w:t>
            </w:r>
          </w:p>
        </w:tc>
      </w:tr>
      <w:tr w:rsidR="0043277E">
        <w:trPr>
          <w:trHeight w:val="340"/>
        </w:trPr>
        <w:tc>
          <w:tcPr>
            <w:tcW w:w="342" w:type="dxa"/>
            <w:tcBorders>
              <w:top w:val="nil"/>
              <w:left w:val="nil"/>
              <w:bottom w:val="nil"/>
              <w:right w:val="nil"/>
              <w:tl2br w:val="nil"/>
              <w:tr2bl w:val="nil"/>
            </w:tcBorders>
            <w:shd w:val="solid" w:color="006496" w:fill="FFFFFF"/>
            <w:tcMar>
              <w:left w:w="60" w:type="dxa"/>
              <w:right w:w="60" w:type="dxa"/>
            </w:tcMar>
            <w:vAlign w:val="center"/>
          </w:tcPr>
          <w:p w:rsidR="0043277E" w:rsidRDefault="0043277E">
            <w:pPr>
              <w:pStyle w:val="DMETW17211BIPImplementationbudgetrevenue"/>
              <w:jc w:val="center"/>
              <w:rPr>
                <w:rFonts w:ascii="Verdana" w:eastAsia="Verdana" w:hAnsi="Verdana" w:cs="Verdana"/>
                <w:noProof/>
                <w:color w:val="FFFFFF"/>
                <w:sz w:val="16"/>
              </w:rPr>
            </w:pPr>
          </w:p>
        </w:tc>
        <w:tc>
          <w:tcPr>
            <w:tcW w:w="2358"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Tytuł</w:t>
            </w:r>
          </w:p>
        </w:tc>
        <w:tc>
          <w:tcPr>
            <w:tcW w:w="1440"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Pierwotnie przyjęty</w:t>
            </w:r>
            <w:r>
              <w:rPr>
                <w:rFonts w:ascii="Verdana" w:hAnsi="Verdana"/>
                <w:noProof/>
                <w:color w:val="FFFFFF"/>
                <w:sz w:val="16"/>
              </w:rPr>
              <w:t xml:space="preserve"> budżet</w:t>
            </w:r>
          </w:p>
        </w:tc>
        <w:tc>
          <w:tcPr>
            <w:tcW w:w="1200"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840"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Bieżący rok</w:t>
            </w:r>
          </w:p>
        </w:tc>
        <w:tc>
          <w:tcPr>
            <w:tcW w:w="1519"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Przeniesione</w:t>
            </w:r>
          </w:p>
        </w:tc>
        <w:tc>
          <w:tcPr>
            <w:tcW w:w="401"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Ogółem</w:t>
            </w:r>
          </w:p>
        </w:tc>
        <w:tc>
          <w:tcPr>
            <w:tcW w:w="1440"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Z</w:t>
            </w:r>
          </w:p>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należności</w:t>
            </w:r>
          </w:p>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za bieżący rok</w:t>
            </w:r>
          </w:p>
        </w:tc>
        <w:tc>
          <w:tcPr>
            <w:tcW w:w="1719"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Z</w:t>
            </w:r>
          </w:p>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należności</w:t>
            </w:r>
          </w:p>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przeniesionych</w:t>
            </w:r>
          </w:p>
        </w:tc>
        <w:tc>
          <w:tcPr>
            <w:tcW w:w="886" w:type="dxa"/>
            <w:tcBorders>
              <w:top w:val="nil"/>
              <w:left w:val="nil"/>
              <w:bottom w:val="nil"/>
              <w:right w:val="nil"/>
              <w:tl2br w:val="nil"/>
              <w:tr2bl w:val="nil"/>
            </w:tcBorders>
            <w:shd w:val="solid" w:color="006496"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Ogółem</w:t>
            </w:r>
          </w:p>
        </w:tc>
        <w:tc>
          <w:tcPr>
            <w:tcW w:w="972" w:type="dxa"/>
            <w:vMerge/>
            <w:tcBorders>
              <w:top w:val="nil"/>
              <w:left w:val="nil"/>
              <w:bottom w:val="nil"/>
              <w:right w:val="nil"/>
              <w:tl2br w:val="nil"/>
              <w:tr2bl w:val="nil"/>
            </w:tcBorders>
            <w:shd w:val="solid" w:color="006496" w:fill="FFFFFF"/>
            <w:tcMar>
              <w:left w:w="60" w:type="dxa"/>
              <w:right w:w="60" w:type="dxa"/>
            </w:tcMar>
            <w:vAlign w:val="center"/>
          </w:tcPr>
          <w:p w:rsidR="0043277E" w:rsidRDefault="0043277E">
            <w:pPr>
              <w:pStyle w:val="DMETW17211BIPImplementationbudgetrevenue"/>
              <w:jc w:val="center"/>
              <w:rPr>
                <w:rFonts w:ascii="Verdana" w:eastAsia="Verdana" w:hAnsi="Verdana" w:cs="Verdana"/>
                <w:noProof/>
                <w:color w:val="FFFFFF"/>
                <w:sz w:val="16"/>
              </w:rPr>
            </w:pPr>
          </w:p>
        </w:tc>
        <w:tc>
          <w:tcPr>
            <w:tcW w:w="1281" w:type="dxa"/>
            <w:vMerge/>
            <w:tcBorders>
              <w:top w:val="nil"/>
              <w:left w:val="nil"/>
              <w:bottom w:val="nil"/>
              <w:right w:val="nil"/>
              <w:tl2br w:val="nil"/>
              <w:tr2bl w:val="nil"/>
            </w:tcBorders>
            <w:shd w:val="solid" w:color="006496" w:fill="FFFFFF"/>
            <w:tcMar>
              <w:left w:w="60" w:type="dxa"/>
              <w:right w:w="60" w:type="dxa"/>
            </w:tcMar>
            <w:vAlign w:val="center"/>
          </w:tcPr>
          <w:p w:rsidR="0043277E" w:rsidRDefault="0043277E">
            <w:pPr>
              <w:pStyle w:val="DMETW17211BIPImplementationbudgetrevenue"/>
              <w:jc w:val="center"/>
              <w:rPr>
                <w:rFonts w:ascii="Verdana" w:eastAsia="Verdana" w:hAnsi="Verdana" w:cs="Verdana"/>
                <w:noProof/>
                <w:color w:val="FFFFFF"/>
                <w:sz w:val="16"/>
              </w:rPr>
            </w:pPr>
          </w:p>
        </w:tc>
      </w:tr>
      <w:tr w:rsidR="0043277E">
        <w:trPr>
          <w:trHeight w:val="340"/>
        </w:trPr>
        <w:tc>
          <w:tcPr>
            <w:tcW w:w="342" w:type="dxa"/>
            <w:tcBorders>
              <w:top w:val="nil"/>
              <w:left w:val="nil"/>
              <w:bottom w:val="nil"/>
              <w:right w:val="nil"/>
              <w:tl2br w:val="nil"/>
              <w:tr2bl w:val="nil"/>
            </w:tcBorders>
            <w:shd w:val="solid" w:color="3287AA" w:fill="FFFFFF"/>
            <w:tcMar>
              <w:left w:w="60" w:type="dxa"/>
              <w:right w:w="60" w:type="dxa"/>
            </w:tcMar>
            <w:vAlign w:val="center"/>
          </w:tcPr>
          <w:p w:rsidR="0043277E" w:rsidRDefault="0043277E">
            <w:pPr>
              <w:pStyle w:val="DMETW17211BIPImplementationbudgetrevenue"/>
              <w:jc w:val="center"/>
              <w:rPr>
                <w:rFonts w:ascii="Verdana" w:eastAsia="Verdana" w:hAnsi="Verdana" w:cs="Verdana"/>
                <w:noProof/>
                <w:color w:val="FFFFFF"/>
                <w:sz w:val="16"/>
              </w:rPr>
            </w:pPr>
          </w:p>
        </w:tc>
        <w:tc>
          <w:tcPr>
            <w:tcW w:w="2358" w:type="dxa"/>
            <w:tcBorders>
              <w:top w:val="nil"/>
              <w:left w:val="nil"/>
              <w:bottom w:val="nil"/>
              <w:right w:val="nil"/>
              <w:tl2br w:val="nil"/>
              <w:tr2bl w:val="nil"/>
            </w:tcBorders>
            <w:shd w:val="solid" w:color="3287AA" w:fill="FFFFFF"/>
            <w:tcMar>
              <w:left w:w="60" w:type="dxa"/>
              <w:right w:w="60" w:type="dxa"/>
            </w:tcMar>
            <w:vAlign w:val="center"/>
          </w:tcPr>
          <w:p w:rsidR="0043277E" w:rsidRDefault="0043277E">
            <w:pPr>
              <w:pStyle w:val="DMETW17211BIPImplementationbudgetrevenue"/>
              <w:jc w:val="center"/>
              <w:rPr>
                <w:rFonts w:ascii="Verdana" w:eastAsia="Verdana" w:hAnsi="Verdana" w:cs="Verdana"/>
                <w:noProof/>
                <w:color w:val="FFFFFF"/>
                <w:sz w:val="16"/>
              </w:rPr>
            </w:pPr>
          </w:p>
        </w:tc>
        <w:tc>
          <w:tcPr>
            <w:tcW w:w="1440"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1</w:t>
            </w:r>
          </w:p>
        </w:tc>
        <w:tc>
          <w:tcPr>
            <w:tcW w:w="1200"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2</w:t>
            </w:r>
          </w:p>
        </w:tc>
        <w:tc>
          <w:tcPr>
            <w:tcW w:w="840"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3</w:t>
            </w:r>
          </w:p>
        </w:tc>
        <w:tc>
          <w:tcPr>
            <w:tcW w:w="1519"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4</w:t>
            </w:r>
          </w:p>
        </w:tc>
        <w:tc>
          <w:tcPr>
            <w:tcW w:w="401"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5=3+4</w:t>
            </w:r>
          </w:p>
        </w:tc>
        <w:tc>
          <w:tcPr>
            <w:tcW w:w="1440"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6</w:t>
            </w:r>
          </w:p>
        </w:tc>
        <w:tc>
          <w:tcPr>
            <w:tcW w:w="1719"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7</w:t>
            </w:r>
          </w:p>
        </w:tc>
        <w:tc>
          <w:tcPr>
            <w:tcW w:w="886"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8=6+7</w:t>
            </w:r>
          </w:p>
        </w:tc>
        <w:tc>
          <w:tcPr>
            <w:tcW w:w="972"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9=8/2</w:t>
            </w:r>
          </w:p>
        </w:tc>
        <w:tc>
          <w:tcPr>
            <w:tcW w:w="1281" w:type="dxa"/>
            <w:tcBorders>
              <w:top w:val="nil"/>
              <w:left w:val="nil"/>
              <w:bottom w:val="nil"/>
              <w:right w:val="nil"/>
              <w:tl2br w:val="nil"/>
              <w:tr2bl w:val="nil"/>
            </w:tcBorders>
            <w:shd w:val="solid" w:color="3287AA" w:fill="FFFFFF"/>
            <w:tcMar>
              <w:left w:w="60" w:type="dxa"/>
              <w:right w:w="60" w:type="dxa"/>
            </w:tcMar>
            <w:vAlign w:val="center"/>
          </w:tcPr>
          <w:p w:rsidR="0043277E" w:rsidRDefault="000F2348">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10=5-8</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1</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Zasoby własne</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146 305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144 795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147 013</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44</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147 056</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144 754</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144 766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2 </w:t>
            </w:r>
            <w:r>
              <w:rPr>
                <w:rFonts w:ascii="Verdana" w:hAnsi="Verdana"/>
                <w:noProof/>
                <w:color w:val="000000"/>
                <w:sz w:val="16"/>
              </w:rPr>
              <w:t>291</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3</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Nadwyżki, salda i dostosowania</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1 803</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1 811</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1 811</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1 805</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r>
      <w:tr w:rsidR="0043277E">
        <w:trPr>
          <w:trHeight w:val="479"/>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4</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Dochody pochodzące od osób pracujących w instytucjach i innych organach Unii</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1 607</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1 607</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1 576</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1 585</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1 566</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1 576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r>
      <w:tr w:rsidR="0043277E">
        <w:trPr>
          <w:trHeight w:val="557"/>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5</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 xml:space="preserve">Dochody z działalności </w:t>
            </w:r>
            <w:r>
              <w:rPr>
                <w:rFonts w:ascii="Verdana" w:hAnsi="Verdana"/>
                <w:noProof/>
                <w:color w:val="000000"/>
                <w:sz w:val="16"/>
              </w:rPr>
              <w:t>administracyjnej instytucji</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570</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19</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589</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546</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2 229 %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31</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6</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Wkłady i zwroty związane z realizacją porozumień i programów unijnych</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13 564</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569</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14 134</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12 279</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298</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12 577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9 674 %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1 557</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7</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Odsetki od zaległych płatności i grzywny</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5 456</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13 119</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18 575</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2 355</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271</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2 625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2 283 %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15 949</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8</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Operacje zaciągania i udzielania pożyczek</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110 %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9</w:t>
            </w:r>
          </w:p>
        </w:tc>
        <w:tc>
          <w:tcPr>
            <w:tcW w:w="235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rPr>
                <w:rFonts w:ascii="Verdana" w:eastAsia="Verdana" w:hAnsi="Verdana" w:cs="Verdana"/>
                <w:noProof/>
                <w:color w:val="000000"/>
                <w:sz w:val="16"/>
              </w:rPr>
            </w:pPr>
            <w:r>
              <w:rPr>
                <w:rFonts w:ascii="Verdana" w:hAnsi="Verdana"/>
                <w:noProof/>
                <w:color w:val="000000"/>
                <w:sz w:val="16"/>
              </w:rPr>
              <w:t>Dochody różne</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120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8</w:t>
            </w:r>
          </w:p>
        </w:tc>
        <w:tc>
          <w:tcPr>
            <w:tcW w:w="15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w:t>
            </w:r>
          </w:p>
        </w:tc>
        <w:tc>
          <w:tcPr>
            <w:tcW w:w="4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17</w:t>
            </w:r>
          </w:p>
        </w:tc>
        <w:tc>
          <w:tcPr>
            <w:tcW w:w="14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c>
          <w:tcPr>
            <w:tcW w:w="17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w:t>
            </w:r>
          </w:p>
        </w:tc>
        <w:tc>
          <w:tcPr>
            <w:tcW w:w="8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52 %</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w:t>
            </w:r>
          </w:p>
        </w:tc>
      </w:tr>
      <w:tr w:rsidR="0043277E">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1BIPImplementationbudgetrevenue"/>
              <w:rPr>
                <w:rFonts w:ascii="Verdana" w:eastAsia="Verdana" w:hAnsi="Verdana" w:cs="Verdana"/>
                <w:b/>
                <w:noProof/>
                <w:color w:val="000000"/>
                <w:sz w:val="16"/>
              </w:rPr>
            </w:pPr>
          </w:p>
        </w:tc>
        <w:tc>
          <w:tcPr>
            <w:tcW w:w="235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rPr>
                <w:rFonts w:ascii="Verdana" w:eastAsia="Verdana" w:hAnsi="Verdana" w:cs="Verdana"/>
                <w:b/>
                <w:noProof/>
                <w:color w:val="000000"/>
                <w:sz w:val="16"/>
              </w:rPr>
            </w:pPr>
            <w:r>
              <w:rPr>
                <w:rFonts w:ascii="Verdana" w:hAnsi="Verdana"/>
                <w:b/>
                <w:noProof/>
                <w:color w:val="000000"/>
                <w:sz w:val="16"/>
              </w:rPr>
              <w:t>Ogółem</w:t>
            </w:r>
          </w:p>
        </w:tc>
        <w:tc>
          <w:tcPr>
            <w:tcW w:w="14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148 199</w:t>
            </w:r>
          </w:p>
        </w:tc>
        <w:tc>
          <w:tcPr>
            <w:tcW w:w="120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148 492</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170 001</w:t>
            </w:r>
          </w:p>
        </w:tc>
        <w:tc>
          <w:tcPr>
            <w:tcW w:w="151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13 770</w:t>
            </w:r>
          </w:p>
        </w:tc>
        <w:tc>
          <w:tcPr>
            <w:tcW w:w="40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183 771</w:t>
            </w:r>
          </w:p>
        </w:tc>
        <w:tc>
          <w:tcPr>
            <w:tcW w:w="14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163 314</w:t>
            </w:r>
          </w:p>
        </w:tc>
        <w:tc>
          <w:tcPr>
            <w:tcW w:w="171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 xml:space="preserve"> 604</w:t>
            </w:r>
          </w:p>
        </w:tc>
        <w:tc>
          <w:tcPr>
            <w:tcW w:w="88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 xml:space="preserve">163 </w:t>
            </w:r>
            <w:r>
              <w:rPr>
                <w:rFonts w:ascii="Verdana" w:hAnsi="Verdana"/>
                <w:b/>
                <w:noProof/>
                <w:color w:val="000000"/>
                <w:sz w:val="16"/>
              </w:rPr>
              <w:t>918</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110 %</w:t>
            </w:r>
          </w:p>
        </w:tc>
        <w:tc>
          <w:tcPr>
            <w:tcW w:w="128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19 853</w:t>
            </w:r>
          </w:p>
        </w:tc>
      </w:tr>
    </w:tbl>
    <w:p w:rsidR="0043277E" w:rsidRDefault="0043277E">
      <w:pPr>
        <w:pStyle w:val="Textstand-alone"/>
      </w:pPr>
    </w:p>
    <w:p w:rsidR="0043277E" w:rsidRDefault="0043277E">
      <w:pPr>
        <w:pStyle w:val="Textstand-alone"/>
      </w:pPr>
    </w:p>
    <w:bookmarkEnd w:id="236"/>
    <w:p w:rsidR="0043277E" w:rsidRDefault="0043277E">
      <w:pPr>
        <w:pStyle w:val="Textstand-alone"/>
        <w:sectPr w:rsidR="0043277E">
          <w:headerReference w:type="even" r:id="rId348"/>
          <w:headerReference w:type="default" r:id="rId349"/>
          <w:footerReference w:type="even" r:id="rId350"/>
          <w:footerReference w:type="default" r:id="rId351"/>
          <w:headerReference w:type="first" r:id="rId352"/>
          <w:footerReference w:type="first" r:id="rId353"/>
          <w:pgSz w:w="16840" w:h="11900" w:orient="landscape"/>
          <w:pgMar w:top="1134" w:right="1134" w:bottom="1134" w:left="1134" w:header="708" w:footer="708" w:gutter="0"/>
          <w:cols w:space="720"/>
        </w:sectPr>
      </w:pPr>
    </w:p>
    <w:p w:rsidR="0043277E" w:rsidRDefault="000F2348">
      <w:pPr>
        <w:pStyle w:val="HEADER1PartBUDG"/>
        <w:rPr>
          <w:noProof/>
        </w:rPr>
      </w:pPr>
      <w:bookmarkStart w:id="240" w:name="_DMBM_17268"/>
      <w:r>
        <w:rPr>
          <w:noProof/>
        </w:rPr>
        <w:lastRenderedPageBreak/>
        <w:t xml:space="preserve"> </w:t>
      </w:r>
      <w:bookmarkStart w:id="241" w:name="_Toc49418839"/>
      <w:r>
        <w:rPr>
          <w:noProof/>
        </w:rPr>
        <w:t>WYKONANIE WYDATKÓW BUDŻETOWYCH UE</w:t>
      </w:r>
      <w:bookmarkEnd w:id="241"/>
      <w:r>
        <w:rPr>
          <w:noProof/>
        </w:rPr>
        <w:t xml:space="preserve"> </w:t>
      </w:r>
    </w:p>
    <w:p w:rsidR="0043277E" w:rsidRDefault="000F2348">
      <w:pPr>
        <w:pStyle w:val="HEADER2PartBUDG"/>
        <w:rPr>
          <w:noProof/>
        </w:rPr>
      </w:pPr>
      <w:bookmarkStart w:id="242" w:name="_Toc49418840"/>
      <w:r>
        <w:rPr>
          <w:noProof/>
        </w:rPr>
        <w:t>WRF: STRUKTURA I ZMIANY STANU ŚRODKÓW NA ZOBOWIĄZANIA I ŚRODKÓW NA PŁATNOŚCI</w:t>
      </w:r>
      <w:bookmarkEnd w:id="242"/>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847"/>
        <w:gridCol w:w="962"/>
        <w:gridCol w:w="937"/>
        <w:gridCol w:w="988"/>
        <w:gridCol w:w="826"/>
        <w:gridCol w:w="962"/>
        <w:gridCol w:w="963"/>
        <w:gridCol w:w="962"/>
        <w:gridCol w:w="953"/>
        <w:gridCol w:w="898"/>
        <w:gridCol w:w="764"/>
        <w:gridCol w:w="948"/>
        <w:gridCol w:w="1134"/>
      </w:tblGrid>
      <w:tr w:rsidR="0043277E">
        <w:trPr>
          <w:trHeight w:val="138"/>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bookmarkStart w:id="243" w:name="DOC_TBL00104_1_1"/>
            <w:bookmarkEnd w:id="243"/>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426"/>
        </w:trPr>
        <w:tc>
          <w:tcPr>
            <w:tcW w:w="23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1BreakdownCommPaym"/>
              <w:jc w:val="center"/>
              <w:rPr>
                <w:rFonts w:ascii="Verdana" w:eastAsia="Verdana" w:hAnsi="Verdana" w:cs="Verdana"/>
                <w:noProof/>
                <w:color w:val="FFFFFF"/>
                <w:sz w:val="16"/>
              </w:rPr>
            </w:pPr>
          </w:p>
        </w:tc>
        <w:tc>
          <w:tcPr>
            <w:tcW w:w="5638" w:type="dxa"/>
            <w:gridSpan w:val="6"/>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Środki na zobowiązania</w:t>
            </w:r>
          </w:p>
        </w:tc>
        <w:tc>
          <w:tcPr>
            <w:tcW w:w="5659" w:type="dxa"/>
            <w:gridSpan w:val="6"/>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Środki na płatności</w:t>
            </w:r>
          </w:p>
        </w:tc>
      </w:tr>
      <w:tr w:rsidR="0043277E">
        <w:trPr>
          <w:trHeight w:val="340"/>
        </w:trPr>
        <w:tc>
          <w:tcPr>
            <w:tcW w:w="23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Dział WRF</w:t>
            </w:r>
          </w:p>
        </w:tc>
        <w:tc>
          <w:tcPr>
            <w:tcW w:w="2887"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Środki budżetowe</w:t>
            </w:r>
          </w:p>
        </w:tc>
        <w:tc>
          <w:tcPr>
            <w:tcW w:w="1788"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Dodatkowe środki</w:t>
            </w:r>
          </w:p>
        </w:tc>
        <w:tc>
          <w:tcPr>
            <w:tcW w:w="963"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Dostępne środki ogółem</w:t>
            </w:r>
          </w:p>
        </w:tc>
        <w:tc>
          <w:tcPr>
            <w:tcW w:w="2813"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Środki budżetowe</w:t>
            </w:r>
          </w:p>
        </w:tc>
        <w:tc>
          <w:tcPr>
            <w:tcW w:w="1712"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Dodatkowe środki</w:t>
            </w:r>
          </w:p>
        </w:tc>
        <w:tc>
          <w:tcPr>
            <w:tcW w:w="1134"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Dostępne środki ogółem</w:t>
            </w:r>
          </w:p>
        </w:tc>
      </w:tr>
      <w:tr w:rsidR="0043277E">
        <w:trPr>
          <w:trHeight w:val="743"/>
        </w:trPr>
        <w:tc>
          <w:tcPr>
            <w:tcW w:w="23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1BreakdownCommPaym"/>
              <w:jc w:val="center"/>
              <w:rPr>
                <w:rFonts w:ascii="Verdana" w:eastAsia="Verdana" w:hAnsi="Verdana" w:cs="Verdana"/>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93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szCs w:val="16"/>
              </w:rPr>
            </w:pPr>
            <w:r>
              <w:rPr>
                <w:rFonts w:ascii="Verdana" w:hAnsi="Verdana"/>
                <w:noProof/>
                <w:color w:val="FFFFFF"/>
                <w:sz w:val="16"/>
                <w:szCs w:val="16"/>
              </w:rPr>
              <w:t>Budżety korygujące i przesunięcia</w:t>
            </w:r>
          </w:p>
        </w:tc>
        <w:tc>
          <w:tcPr>
            <w:tcW w:w="98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Przeniesienia</w:t>
            </w: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Dochody przeznaczone na określony cel</w:t>
            </w:r>
          </w:p>
        </w:tc>
        <w:tc>
          <w:tcPr>
            <w:tcW w:w="963"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1BreakdownCommPaym"/>
              <w:jc w:val="center"/>
              <w:rPr>
                <w:rFonts w:ascii="Verdana" w:eastAsia="Verdana" w:hAnsi="Verdana" w:cs="Verdana"/>
                <w:b/>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9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Budżety korygujące i przesunięcia</w:t>
            </w:r>
          </w:p>
        </w:tc>
        <w:tc>
          <w:tcPr>
            <w:tcW w:w="89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76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Przeniesienia</w:t>
            </w:r>
          </w:p>
        </w:tc>
        <w:tc>
          <w:tcPr>
            <w:tcW w:w="94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Dochody przeznaczone na określony cel</w:t>
            </w:r>
          </w:p>
        </w:tc>
        <w:tc>
          <w:tcPr>
            <w:tcW w:w="1134"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1BreakdownCommPaym"/>
              <w:jc w:val="center"/>
              <w:rPr>
                <w:rFonts w:ascii="Verdana" w:eastAsia="Verdana" w:hAnsi="Verdana" w:cs="Verdana"/>
                <w:b/>
                <w:noProof/>
                <w:color w:val="FFFFFF"/>
                <w:sz w:val="16"/>
              </w:rPr>
            </w:pPr>
          </w:p>
        </w:tc>
      </w:tr>
      <w:tr w:rsidR="0043277E">
        <w:trPr>
          <w:trHeight w:val="340"/>
        </w:trPr>
        <w:tc>
          <w:tcPr>
            <w:tcW w:w="234"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1BreakdownCommPaym"/>
              <w:jc w:val="center"/>
              <w:rPr>
                <w:rFonts w:ascii="Verdana" w:eastAsia="Verdana" w:hAnsi="Verdana" w:cs="Verdana"/>
                <w:noProof/>
                <w:color w:val="FFFFFF"/>
                <w:sz w:val="16"/>
              </w:rPr>
            </w:pPr>
          </w:p>
        </w:tc>
        <w:tc>
          <w:tcPr>
            <w:tcW w:w="2847"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1BreakdownCommPaym"/>
              <w:jc w:val="center"/>
              <w:rPr>
                <w:rFonts w:ascii="Verdana" w:eastAsia="Verdana" w:hAnsi="Verdana" w:cs="Verdana"/>
                <w:noProof/>
                <w:color w:val="FFFFFF"/>
                <w:sz w:val="16"/>
              </w:rPr>
            </w:pP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1</w:t>
            </w:r>
          </w:p>
        </w:tc>
        <w:tc>
          <w:tcPr>
            <w:tcW w:w="937"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2</w:t>
            </w:r>
          </w:p>
        </w:tc>
        <w:tc>
          <w:tcPr>
            <w:tcW w:w="988"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3=1+2</w:t>
            </w:r>
          </w:p>
        </w:tc>
        <w:tc>
          <w:tcPr>
            <w:tcW w:w="826"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4</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5</w:t>
            </w: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6=3+</w:t>
            </w:r>
          </w:p>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4+5</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7</w:t>
            </w:r>
          </w:p>
        </w:tc>
        <w:tc>
          <w:tcPr>
            <w:tcW w:w="95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8</w:t>
            </w:r>
          </w:p>
        </w:tc>
        <w:tc>
          <w:tcPr>
            <w:tcW w:w="898"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9=7+8</w:t>
            </w:r>
          </w:p>
        </w:tc>
        <w:tc>
          <w:tcPr>
            <w:tcW w:w="764"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10</w:t>
            </w:r>
          </w:p>
        </w:tc>
        <w:tc>
          <w:tcPr>
            <w:tcW w:w="948"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11</w:t>
            </w:r>
          </w:p>
        </w:tc>
        <w:tc>
          <w:tcPr>
            <w:tcW w:w="1134"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12=9+</w:t>
            </w:r>
          </w:p>
          <w:p w:rsidR="0043277E" w:rsidRDefault="000F2348">
            <w:pPr>
              <w:pStyle w:val="DMETW17212BIPMFF1BreakdownCommPaym"/>
              <w:jc w:val="center"/>
              <w:rPr>
                <w:rFonts w:ascii="Verdana" w:eastAsia="Verdana" w:hAnsi="Verdana" w:cs="Verdana"/>
                <w:noProof/>
                <w:color w:val="FFFFFF"/>
                <w:sz w:val="16"/>
              </w:rPr>
            </w:pPr>
            <w:r>
              <w:rPr>
                <w:rFonts w:ascii="Verdana" w:hAnsi="Verdana"/>
                <w:noProof/>
                <w:color w:val="FFFFFF"/>
                <w:sz w:val="16"/>
              </w:rPr>
              <w:t>10+11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1</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Inteligentny wzrost gospodarczy sprzyjający włączeniu społecznemu</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80 527</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100</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80 627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12 166</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92 794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67 557</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266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67 823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131</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14 600</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82 553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i/>
                <w:noProof/>
                <w:color w:val="000000"/>
                <w:sz w:val="16"/>
              </w:rPr>
            </w:pPr>
            <w:r>
              <w:rPr>
                <w:rFonts w:ascii="Verdana" w:hAnsi="Verdana"/>
                <w:i/>
                <w:noProof/>
                <w:color w:val="000000"/>
                <w:sz w:val="16"/>
              </w:rPr>
              <w:t>1a: Konkurencyjność na rzecz wzrostu gospodarczego i zatrudnienia</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23 335</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100</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23 435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4 </w:t>
            </w:r>
            <w:r>
              <w:rPr>
                <w:rFonts w:ascii="Verdana" w:hAnsi="Verdana"/>
                <w:i/>
                <w:noProof/>
                <w:color w:val="000000"/>
                <w:sz w:val="16"/>
              </w:rPr>
              <w:t>390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27 826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20 522</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(260)</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20 261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118</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5 664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26 044</w:t>
            </w:r>
          </w:p>
        </w:tc>
      </w:tr>
      <w:tr w:rsidR="0043277E">
        <w:trPr>
          <w:trHeight w:val="543"/>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i/>
                <w:noProof/>
                <w:color w:val="000000"/>
                <w:sz w:val="16"/>
              </w:rPr>
            </w:pPr>
            <w:r>
              <w:rPr>
                <w:rFonts w:ascii="Verdana" w:hAnsi="Verdana"/>
                <w:i/>
                <w:noProof/>
                <w:color w:val="000000"/>
                <w:sz w:val="16"/>
              </w:rPr>
              <w:t>1b: Spójność gospodarcza, społeczna i terytorialna</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57 192</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57 192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7 777</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64 969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47 035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526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47 561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13</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8 935</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56 510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2</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Trwały wzrost gospodarczy: zasoby naturalne</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59 642</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59 642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2 745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62 846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57 </w:t>
            </w:r>
            <w:r>
              <w:rPr>
                <w:rFonts w:ascii="Verdana" w:hAnsi="Verdana"/>
                <w:noProof/>
                <w:color w:val="000000"/>
                <w:sz w:val="16"/>
              </w:rPr>
              <w:t>400</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57 837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672</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2 743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61 252</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i/>
                <w:noProof/>
                <w:color w:val="000000"/>
                <w:sz w:val="16"/>
              </w:rPr>
            </w:pPr>
            <w:r>
              <w:rPr>
                <w:rFonts w:ascii="Verdana" w:hAnsi="Verdana"/>
                <w:i/>
                <w:noProof/>
                <w:color w:val="000000"/>
                <w:sz w:val="16"/>
              </w:rPr>
              <w:t>w tym: wydatki związane z rynkiem i płatności bezpośrednie</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43 192</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43 192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1 155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44 806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43 116</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(3)</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43 113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665</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1 155</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44 933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3</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Bezpieczeństwo i obywatelstwo</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3 787</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3 787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279</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4 065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3 527</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(237)</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3 291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9</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276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3 </w:t>
            </w:r>
            <w:r>
              <w:rPr>
                <w:rFonts w:ascii="Verdana" w:hAnsi="Verdana"/>
                <w:noProof/>
                <w:color w:val="000000"/>
                <w:sz w:val="16"/>
              </w:rPr>
              <w:t>575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4</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Globalny wymiar Europy</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11 319</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306</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11 625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1 795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13 454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9 358</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(406)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8 953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64</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1 916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10 933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5</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Administracja</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9 943</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9 943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832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10 776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9 945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9 942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916</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836</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11 694</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rPr>
                <w:rFonts w:ascii="Verdana" w:eastAsia="Verdana" w:hAnsi="Verdana" w:cs="Verdana"/>
                <w:i/>
                <w:noProof/>
                <w:color w:val="000000"/>
                <w:sz w:val="16"/>
              </w:rPr>
            </w:pP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i/>
                <w:noProof/>
                <w:color w:val="000000"/>
                <w:sz w:val="16"/>
              </w:rPr>
            </w:pPr>
            <w:r>
              <w:rPr>
                <w:rFonts w:ascii="Verdana" w:hAnsi="Verdana"/>
                <w:i/>
                <w:noProof/>
                <w:color w:val="000000"/>
                <w:sz w:val="16"/>
              </w:rPr>
              <w:t>w tym: wydatki administracyjne instytucji</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1BreakdownCommPaym"/>
              <w:jc w:val="right"/>
              <w:rPr>
                <w:rFonts w:ascii="Verdana" w:eastAsia="Verdana" w:hAnsi="Verdana" w:cs="Verdana"/>
                <w:i/>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435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4 550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4 </w:t>
            </w:r>
            <w:r>
              <w:rPr>
                <w:rFonts w:ascii="Verdana" w:hAnsi="Verdana"/>
                <w:i/>
                <w:noProof/>
                <w:color w:val="000000"/>
                <w:sz w:val="16"/>
              </w:rPr>
              <w:t>115</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554</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437</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5 107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6</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Wyrównania</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8</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 xml:space="preserve">Rezerwa ujemna i deficyt przeniesione z poprzedniego roku budżetowego </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9</w:t>
            </w:r>
          </w:p>
        </w:tc>
        <w:tc>
          <w:tcPr>
            <w:tcW w:w="284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rPr>
                <w:rFonts w:ascii="Verdana" w:eastAsia="Verdana" w:hAnsi="Verdana" w:cs="Verdana"/>
                <w:noProof/>
                <w:color w:val="000000"/>
                <w:sz w:val="16"/>
              </w:rPr>
            </w:pPr>
            <w:r>
              <w:rPr>
                <w:rFonts w:ascii="Verdana" w:hAnsi="Verdana"/>
                <w:noProof/>
                <w:color w:val="000000"/>
                <w:sz w:val="16"/>
              </w:rPr>
              <w:t>Instrumenty szczególne</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577</w:t>
            </w:r>
          </w:p>
        </w:tc>
        <w:tc>
          <w:tcPr>
            <w:tcW w:w="93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(12)</w:t>
            </w:r>
          </w:p>
        </w:tc>
        <w:tc>
          <w:tcPr>
            <w:tcW w:w="9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565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24</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618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412</w:t>
            </w:r>
          </w:p>
        </w:tc>
        <w:tc>
          <w:tcPr>
            <w:tcW w:w="9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236</w:t>
            </w:r>
          </w:p>
        </w:tc>
        <w:tc>
          <w:tcPr>
            <w:tcW w:w="8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647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4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671</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MFF1BreakdownCommPaym"/>
              <w:rPr>
                <w:rFonts w:ascii="Verdana" w:eastAsia="Verdana" w:hAnsi="Verdana" w:cs="Verdana"/>
                <w:b/>
                <w:noProof/>
                <w:color w:val="000000"/>
                <w:sz w:val="16"/>
              </w:rPr>
            </w:pPr>
          </w:p>
        </w:tc>
        <w:tc>
          <w:tcPr>
            <w:tcW w:w="284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rPr>
                <w:rFonts w:ascii="Verdana" w:eastAsia="Verdana" w:hAnsi="Verdana" w:cs="Verdana"/>
                <w:b/>
                <w:noProof/>
                <w:color w:val="000000"/>
                <w:sz w:val="16"/>
              </w:rPr>
            </w:pPr>
            <w:r>
              <w:rPr>
                <w:rFonts w:ascii="Verdana" w:hAnsi="Verdana"/>
                <w:b/>
                <w:noProof/>
                <w:color w:val="000000"/>
                <w:sz w:val="16"/>
              </w:rPr>
              <w:t>Ogółem</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165 796</w:t>
            </w:r>
          </w:p>
        </w:tc>
        <w:tc>
          <w:tcPr>
            <w:tcW w:w="93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394</w:t>
            </w:r>
          </w:p>
        </w:tc>
        <w:tc>
          <w:tcPr>
            <w:tcW w:w="9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166 189</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525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17 840</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184 554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148 199</w:t>
            </w:r>
          </w:p>
        </w:tc>
        <w:tc>
          <w:tcPr>
            <w:tcW w:w="95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294</w:t>
            </w:r>
          </w:p>
        </w:tc>
        <w:tc>
          <w:tcPr>
            <w:tcW w:w="89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148 492</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1 792</w:t>
            </w:r>
          </w:p>
        </w:tc>
        <w:tc>
          <w:tcPr>
            <w:tcW w:w="94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20 394</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170 679</w:t>
            </w:r>
          </w:p>
        </w:tc>
      </w:tr>
    </w:tbl>
    <w:p w:rsidR="0043277E" w:rsidRDefault="000F2348">
      <w:pPr>
        <w:pStyle w:val="DGTextstand-alone"/>
        <w:rPr>
          <w:rFonts w:eastAsia="Verdana" w:cs="Verdana"/>
          <w:szCs w:val="14"/>
          <w:highlight w:val="yellow"/>
        </w:rPr>
      </w:pPr>
      <w:r>
        <w:lastRenderedPageBreak/>
        <w:br w:type="page"/>
      </w:r>
    </w:p>
    <w:p w:rsidR="0043277E" w:rsidRDefault="0043277E">
      <w:pPr>
        <w:pStyle w:val="DGTextstand-alone"/>
        <w:rPr>
          <w:rFonts w:eastAsia="Verdana" w:cs="Verdana"/>
          <w:szCs w:val="14"/>
          <w:highlight w:val="yellow"/>
        </w:rPr>
        <w:sectPr w:rsidR="0043277E">
          <w:headerReference w:type="even" r:id="rId354"/>
          <w:headerReference w:type="default" r:id="rId355"/>
          <w:footerReference w:type="even" r:id="rId356"/>
          <w:footerReference w:type="default" r:id="rId357"/>
          <w:headerReference w:type="first" r:id="rId358"/>
          <w:footerReference w:type="first" r:id="rId359"/>
          <w:pgSz w:w="16840" w:h="11900" w:orient="landscape"/>
          <w:pgMar w:top="1134" w:right="1134" w:bottom="1134" w:left="1134" w:header="708" w:footer="708" w:gutter="0"/>
          <w:cols w:space="720"/>
          <w:docGrid w:linePitch="272"/>
        </w:sectPr>
      </w:pPr>
    </w:p>
    <w:p w:rsidR="0043277E" w:rsidRDefault="000F2348">
      <w:pPr>
        <w:pStyle w:val="HEADER2PartBUDG"/>
        <w:rPr>
          <w:noProof/>
        </w:rPr>
      </w:pPr>
      <w:bookmarkStart w:id="244" w:name="_Toc49418841"/>
      <w:r>
        <w:rPr>
          <w:noProof/>
        </w:rPr>
        <w:lastRenderedPageBreak/>
        <w:t>WRF: WYKONANIE ŚRODKÓW NA ZOBOWIĄZANIA</w:t>
      </w:r>
      <w:bookmarkEnd w:id="244"/>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2497"/>
        <w:gridCol w:w="1098"/>
        <w:gridCol w:w="866"/>
        <w:gridCol w:w="866"/>
        <w:gridCol w:w="866"/>
        <w:gridCol w:w="866"/>
        <w:gridCol w:w="866"/>
        <w:gridCol w:w="866"/>
        <w:gridCol w:w="866"/>
        <w:gridCol w:w="866"/>
        <w:gridCol w:w="866"/>
        <w:gridCol w:w="691"/>
        <w:gridCol w:w="835"/>
        <w:gridCol w:w="1141"/>
      </w:tblGrid>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bookmarkStart w:id="245" w:name="DOC_TBL00105_1_1"/>
            <w:bookmarkEnd w:id="245"/>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noProof/>
                <w:color w:val="000000"/>
                <w:sz w:val="16"/>
              </w:rPr>
            </w:pP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w:t>
            </w:r>
            <w:r>
              <w:rPr>
                <w:rFonts w:ascii="Verdana" w:hAnsi="Verdana"/>
                <w:i/>
                <w:noProof/>
                <w:color w:val="000000"/>
                <w:sz w:val="16"/>
              </w:rPr>
              <w:t xml:space="preserve"> mln EUR</w:t>
            </w:r>
          </w:p>
        </w:tc>
      </w:tr>
      <w:tr w:rsidR="0043277E">
        <w:trPr>
          <w:trHeight w:val="340"/>
        </w:trPr>
        <w:tc>
          <w:tcPr>
            <w:tcW w:w="34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2ImplementCommitments"/>
              <w:jc w:val="center"/>
              <w:rPr>
                <w:rFonts w:ascii="Verdana" w:eastAsia="Verdana" w:hAnsi="Verdana" w:cs="Verdana"/>
                <w:noProof/>
                <w:color w:val="FFFFFF"/>
                <w:sz w:val="16"/>
              </w:rPr>
            </w:pPr>
          </w:p>
        </w:tc>
        <w:tc>
          <w:tcPr>
            <w:tcW w:w="1109"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Dostępne</w:t>
            </w:r>
          </w:p>
          <w:p w:rsidR="0043277E" w:rsidRDefault="000F2348">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 xml:space="preserve">środki </w:t>
            </w:r>
          </w:p>
          <w:p w:rsidR="0043277E" w:rsidRDefault="000F2348">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ogółem</w:t>
            </w:r>
          </w:p>
        </w:tc>
        <w:tc>
          <w:tcPr>
            <w:tcW w:w="875" w:type="dxa"/>
            <w:gridSpan w:val="5"/>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Zaciągnięte zobowiązania</w:t>
            </w:r>
          </w:p>
        </w:tc>
        <w:tc>
          <w:tcPr>
            <w:tcW w:w="875"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Środki przeniesione na 2020</w:t>
            </w:r>
          </w:p>
        </w:tc>
        <w:tc>
          <w:tcPr>
            <w:tcW w:w="875"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Środki wygasające</w:t>
            </w:r>
          </w:p>
        </w:tc>
      </w:tr>
      <w:tr w:rsidR="0043277E">
        <w:trPr>
          <w:trHeight w:val="715"/>
        </w:trPr>
        <w:tc>
          <w:tcPr>
            <w:tcW w:w="343"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Dział WRF</w:t>
            </w:r>
          </w:p>
        </w:tc>
        <w:tc>
          <w:tcPr>
            <w:tcW w:w="1185"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2ImplementCommitments"/>
              <w:jc w:val="center"/>
              <w:rPr>
                <w:rFonts w:ascii="Verdana" w:eastAsia="Verdana" w:hAnsi="Verdana" w:cs="Verdana"/>
                <w:b/>
                <w:noProof/>
                <w:color w:val="FFFFFF"/>
                <w:sz w:val="16"/>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Ogółem</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 xml:space="preserve">Dochody przeznaczone na </w:t>
            </w:r>
            <w:r>
              <w:rPr>
                <w:rFonts w:ascii="Verdana" w:hAnsi="Verdana"/>
                <w:noProof/>
                <w:color w:val="FFFFFF"/>
                <w:sz w:val="16"/>
              </w:rPr>
              <w:t>określony cel</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Środki przeniesione decyzją</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Ogółem</w:t>
            </w: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69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84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115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val="340"/>
        </w:trPr>
        <w:tc>
          <w:tcPr>
            <w:tcW w:w="343"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2ImplementCommitments"/>
              <w:jc w:val="center"/>
              <w:rPr>
                <w:rFonts w:ascii="Verdana" w:eastAsia="Verdana" w:hAnsi="Verdana" w:cs="Verdana"/>
                <w:noProof/>
                <w:color w:val="FFFFFF"/>
                <w:sz w:val="16"/>
              </w:rPr>
            </w:pPr>
          </w:p>
        </w:tc>
        <w:tc>
          <w:tcPr>
            <w:tcW w:w="2524"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2ImplementCommitments"/>
              <w:jc w:val="center"/>
              <w:rPr>
                <w:rFonts w:ascii="Verdana" w:eastAsia="Verdana" w:hAnsi="Verdana" w:cs="Verdana"/>
                <w:noProof/>
                <w:color w:val="FFFFFF"/>
                <w:sz w:val="16"/>
              </w:rPr>
            </w:pPr>
          </w:p>
        </w:tc>
        <w:tc>
          <w:tcPr>
            <w:tcW w:w="110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1</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2</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3</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5=2+3</w:t>
            </w:r>
          </w:p>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7</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8</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9=7+8</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10</w:t>
            </w:r>
          </w:p>
        </w:tc>
        <w:tc>
          <w:tcPr>
            <w:tcW w:w="698"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11</w:t>
            </w:r>
          </w:p>
        </w:tc>
        <w:tc>
          <w:tcPr>
            <w:tcW w:w="84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12</w:t>
            </w:r>
          </w:p>
        </w:tc>
        <w:tc>
          <w:tcPr>
            <w:tcW w:w="115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13=10+</w:t>
            </w:r>
          </w:p>
          <w:p w:rsidR="0043277E" w:rsidRDefault="000F2348">
            <w:pPr>
              <w:pStyle w:val="DMETW17212BIPMFF2ImplementCommitments"/>
              <w:jc w:val="center"/>
              <w:rPr>
                <w:rFonts w:ascii="Verdana" w:eastAsia="Verdana" w:hAnsi="Verdana" w:cs="Verdana"/>
                <w:noProof/>
                <w:color w:val="FFFFFF"/>
                <w:sz w:val="16"/>
              </w:rPr>
            </w:pPr>
            <w:r>
              <w:rPr>
                <w:rFonts w:ascii="Verdana" w:hAnsi="Verdana"/>
                <w:noProof/>
                <w:color w:val="FFFFFF"/>
                <w:sz w:val="16"/>
              </w:rPr>
              <w:t>11+12</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1</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 xml:space="preserve">Inteligentny wzrost gospodarczy </w:t>
            </w:r>
            <w:r>
              <w:rPr>
                <w:rFonts w:ascii="Verdana" w:hAnsi="Verdana"/>
                <w:noProof/>
                <w:color w:val="000000"/>
                <w:sz w:val="16"/>
              </w:rPr>
              <w:t>sprzyjający włączeniu społecznemu</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92 794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80 540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9 996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90 536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2 074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2 110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43277E">
        <w:trPr>
          <w:trHeight w:val="408"/>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i/>
                <w:noProof/>
                <w:color w:val="000000"/>
                <w:sz w:val="16"/>
              </w:rPr>
            </w:pPr>
            <w:r>
              <w:rPr>
                <w:rFonts w:ascii="Verdana" w:hAnsi="Verdana"/>
                <w:i/>
                <w:noProof/>
                <w:color w:val="000000"/>
                <w:sz w:val="16"/>
              </w:rPr>
              <w:t>1a: Konkurencyjność na rzecz wzrostu gospodarczego i zatrudnienia</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27 826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23 406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2 376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25 782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93 %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2 013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2 016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27</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28</w:t>
            </w:r>
          </w:p>
        </w:tc>
      </w:tr>
      <w:tr w:rsidR="0043277E">
        <w:trPr>
          <w:trHeight w:val="557"/>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i/>
                <w:noProof/>
                <w:color w:val="000000"/>
                <w:sz w:val="16"/>
              </w:rPr>
            </w:pPr>
            <w:r>
              <w:rPr>
                <w:rFonts w:ascii="Verdana" w:hAnsi="Verdana"/>
                <w:i/>
                <w:noProof/>
                <w:color w:val="000000"/>
                <w:sz w:val="16"/>
              </w:rPr>
              <w:t xml:space="preserve">1b: Spójność </w:t>
            </w:r>
            <w:r>
              <w:rPr>
                <w:rFonts w:ascii="Verdana" w:hAnsi="Verdana"/>
                <w:i/>
                <w:noProof/>
                <w:color w:val="000000"/>
                <w:sz w:val="16"/>
              </w:rPr>
              <w:t>gospodarcza, społeczna i terytorialna</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64 969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57 134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7 620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64 754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100 %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60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25</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121</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2</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Trwały wzrost gospodarczy: zasoby naturalne</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62 846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59 161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1 001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60 600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1 330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1 797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449</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i/>
                <w:noProof/>
                <w:color w:val="000000"/>
                <w:sz w:val="16"/>
              </w:rPr>
            </w:pPr>
            <w:r>
              <w:rPr>
                <w:rFonts w:ascii="Verdana" w:hAnsi="Verdana"/>
                <w:i/>
                <w:noProof/>
                <w:color w:val="000000"/>
                <w:sz w:val="16"/>
              </w:rPr>
              <w:t>w tym: wydatki związane z rynkiem</w:t>
            </w:r>
            <w:r>
              <w:rPr>
                <w:rFonts w:ascii="Verdana" w:hAnsi="Verdana"/>
                <w:i/>
                <w:noProof/>
                <w:color w:val="000000"/>
                <w:sz w:val="16"/>
              </w:rPr>
              <w:t xml:space="preserve"> i płatności bezpośrednie</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44 806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42 718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438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807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43 962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348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467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815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21</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29</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3</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Bezpieczeństwo i obywatelstwo</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4 065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3 737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3 874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4</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Globalny wymiar Europy</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13 454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11 622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1 454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13 111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5</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Administracja</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10 776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9 797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574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10 371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rPr>
                <w:rFonts w:ascii="Verdana" w:eastAsia="Verdana" w:hAnsi="Verdana" w:cs="Verdana"/>
                <w:i/>
                <w:noProof/>
                <w:color w:val="000000"/>
                <w:sz w:val="16"/>
              </w:rPr>
            </w:pP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i/>
                <w:noProof/>
                <w:color w:val="000000"/>
                <w:sz w:val="16"/>
              </w:rPr>
            </w:pPr>
            <w:r>
              <w:rPr>
                <w:rFonts w:ascii="Verdana" w:hAnsi="Verdana"/>
                <w:i/>
                <w:noProof/>
                <w:color w:val="000000"/>
                <w:sz w:val="16"/>
              </w:rPr>
              <w:t>w tym: wydatki administracyjne instytucji</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4 550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4 033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2ImplementCommitments"/>
              <w:jc w:val="right"/>
              <w:rPr>
                <w:rFonts w:ascii="Verdana" w:eastAsia="Verdana" w:hAnsi="Verdana" w:cs="Verdana"/>
                <w:i/>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338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4 371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96 %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82</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85</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6</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Wyrównania</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8</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 xml:space="preserve">Rezerwa ujemna i deficyt przeniesione z poprzedniego roku budżetowego </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3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9</w:t>
            </w:r>
          </w:p>
        </w:tc>
        <w:tc>
          <w:tcPr>
            <w:tcW w:w="252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rPr>
                <w:rFonts w:ascii="Verdana" w:eastAsia="Verdana" w:hAnsi="Verdana" w:cs="Verdana"/>
                <w:noProof/>
                <w:color w:val="000000"/>
                <w:sz w:val="16"/>
              </w:rPr>
            </w:pPr>
            <w:r>
              <w:rPr>
                <w:rFonts w:ascii="Verdana" w:hAnsi="Verdana"/>
                <w:noProof/>
                <w:color w:val="000000"/>
                <w:sz w:val="16"/>
              </w:rPr>
              <w:t>Instrumenty szczególne</w:t>
            </w:r>
          </w:p>
        </w:tc>
        <w:tc>
          <w:tcPr>
            <w:tcW w:w="110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48 %</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102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69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15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221</w:t>
            </w:r>
          </w:p>
        </w:tc>
      </w:tr>
      <w:tr w:rsidR="0043277E">
        <w:trPr>
          <w:trHeight w:val="340"/>
        </w:trPr>
        <w:tc>
          <w:tcPr>
            <w:tcW w:w="343"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MFF2ImplementCommitments"/>
              <w:rPr>
                <w:rFonts w:ascii="Verdana" w:eastAsia="Verdana" w:hAnsi="Verdana" w:cs="Verdana"/>
                <w:b/>
                <w:noProof/>
                <w:color w:val="000000"/>
                <w:sz w:val="16"/>
              </w:rPr>
            </w:pPr>
          </w:p>
        </w:tc>
        <w:tc>
          <w:tcPr>
            <w:tcW w:w="252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rPr>
                <w:rFonts w:ascii="Verdana" w:eastAsia="Verdana" w:hAnsi="Verdana" w:cs="Verdana"/>
                <w:b/>
                <w:noProof/>
                <w:color w:val="000000"/>
                <w:sz w:val="16"/>
              </w:rPr>
            </w:pPr>
            <w:r>
              <w:rPr>
                <w:rFonts w:ascii="Verdana" w:hAnsi="Verdana"/>
                <w:b/>
                <w:noProof/>
                <w:color w:val="000000"/>
                <w:sz w:val="16"/>
              </w:rPr>
              <w:t>Ogółem</w:t>
            </w:r>
          </w:p>
        </w:tc>
        <w:tc>
          <w:tcPr>
            <w:tcW w:w="110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184 554</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165 153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13 161</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178 787</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4 149</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4 747</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69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84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15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1 019</w:t>
            </w:r>
          </w:p>
        </w:tc>
      </w:tr>
    </w:tbl>
    <w:p w:rsidR="0043277E" w:rsidRDefault="0043277E">
      <w:pPr>
        <w:pStyle w:val="Textstand-alone"/>
      </w:pPr>
    </w:p>
    <w:p w:rsidR="0043277E" w:rsidRDefault="0043277E">
      <w:pPr>
        <w:pStyle w:val="Textstand-alone"/>
        <w:rPr>
          <w:lang w:bidi="en-GB"/>
        </w:rPr>
      </w:pPr>
    </w:p>
    <w:p w:rsidR="0043277E" w:rsidRDefault="0043277E">
      <w:pPr>
        <w:pStyle w:val="DGTextstand-alone"/>
        <w:sectPr w:rsidR="0043277E">
          <w:headerReference w:type="even" r:id="rId360"/>
          <w:headerReference w:type="default" r:id="rId361"/>
          <w:footerReference w:type="even" r:id="rId362"/>
          <w:footerReference w:type="default" r:id="rId363"/>
          <w:headerReference w:type="first" r:id="rId364"/>
          <w:footerReference w:type="first" r:id="rId365"/>
          <w:type w:val="nextColumn"/>
          <w:pgSz w:w="16840" w:h="11900" w:orient="landscape"/>
          <w:pgMar w:top="1134" w:right="1134" w:bottom="1134" w:left="1134" w:header="720" w:footer="720" w:gutter="0"/>
          <w:cols w:space="720"/>
          <w:docGrid w:linePitch="272"/>
        </w:sectPr>
      </w:pPr>
    </w:p>
    <w:p w:rsidR="0043277E" w:rsidRDefault="000F2348">
      <w:pPr>
        <w:pStyle w:val="HEADER2PartBUDG"/>
        <w:rPr>
          <w:noProof/>
        </w:rPr>
      </w:pPr>
      <w:bookmarkStart w:id="246" w:name="_Toc49418842"/>
      <w:r>
        <w:rPr>
          <w:noProof/>
        </w:rPr>
        <w:lastRenderedPageBreak/>
        <w:t>WRF: WYKONANIE ŚRODKÓW NA PŁATNOŚCI</w:t>
      </w:r>
      <w:bookmarkEnd w:id="246"/>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020"/>
        <w:gridCol w:w="960"/>
        <w:gridCol w:w="956"/>
        <w:gridCol w:w="833"/>
        <w:gridCol w:w="941"/>
        <w:gridCol w:w="844"/>
        <w:gridCol w:w="711"/>
        <w:gridCol w:w="833"/>
        <w:gridCol w:w="833"/>
        <w:gridCol w:w="833"/>
        <w:gridCol w:w="833"/>
        <w:gridCol w:w="833"/>
        <w:gridCol w:w="635"/>
        <w:gridCol w:w="1085"/>
        <w:gridCol w:w="871"/>
      </w:tblGrid>
      <w:tr w:rsidR="0043277E">
        <w:trPr>
          <w:trHeight w:val="246"/>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bookmarkStart w:id="247" w:name="DOC_TBL00106_1_1"/>
            <w:bookmarkEnd w:id="247"/>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noProof/>
                <w:color w:val="000000"/>
                <w:sz w:val="16"/>
              </w:rPr>
            </w:pP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rPr>
        <w:tc>
          <w:tcPr>
            <w:tcW w:w="23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3ImplementPayments"/>
              <w:jc w:val="center"/>
              <w:rPr>
                <w:rFonts w:ascii="Verdana" w:eastAsia="Verdana" w:hAnsi="Verdana" w:cs="Verdana"/>
                <w:b/>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3ImplementPayments"/>
              <w:jc w:val="center"/>
              <w:rPr>
                <w:rFonts w:ascii="Verdana" w:eastAsia="Verdana" w:hAnsi="Verdana" w:cs="Verdana"/>
                <w:b/>
                <w:noProof/>
                <w:color w:val="FFFFFF"/>
                <w:sz w:val="16"/>
              </w:rPr>
            </w:pPr>
          </w:p>
        </w:tc>
        <w:tc>
          <w:tcPr>
            <w:tcW w:w="960"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Dostępne</w:t>
            </w:r>
          </w:p>
          <w:p w:rsidR="0043277E" w:rsidRDefault="000F2348">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środki</w:t>
            </w:r>
          </w:p>
          <w:p w:rsidR="0043277E" w:rsidRDefault="000F2348">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ogółem</w:t>
            </w:r>
          </w:p>
        </w:tc>
        <w:tc>
          <w:tcPr>
            <w:tcW w:w="4285" w:type="dxa"/>
            <w:gridSpan w:val="5"/>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Dokonane płatności</w:t>
            </w:r>
          </w:p>
        </w:tc>
        <w:tc>
          <w:tcPr>
            <w:tcW w:w="3332"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 xml:space="preserve">Środki </w:t>
            </w:r>
            <w:r>
              <w:rPr>
                <w:rFonts w:ascii="Verdana" w:hAnsi="Verdana"/>
                <w:b/>
                <w:noProof/>
                <w:color w:val="FFFFFF"/>
                <w:sz w:val="16"/>
              </w:rPr>
              <w:t>przeniesione na 2020 r.</w:t>
            </w:r>
          </w:p>
        </w:tc>
        <w:tc>
          <w:tcPr>
            <w:tcW w:w="3424"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Środki wygasające</w:t>
            </w:r>
          </w:p>
        </w:tc>
      </w:tr>
      <w:tr w:rsidR="0043277E">
        <w:trPr>
          <w:trHeight w:val="1470"/>
        </w:trPr>
        <w:tc>
          <w:tcPr>
            <w:tcW w:w="23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Dział WRF</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3ImplementPayments"/>
              <w:jc w:val="center"/>
              <w:rPr>
                <w:rFonts w:ascii="Verdana" w:eastAsia="Verdana" w:hAnsi="Verdana" w:cs="Verdana"/>
                <w:b/>
                <w:noProof/>
                <w:color w:val="FFFFFF"/>
                <w:sz w:val="16"/>
              </w:rPr>
            </w:pP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94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84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Ogółem</w:t>
            </w:r>
          </w:p>
        </w:tc>
        <w:tc>
          <w:tcPr>
            <w:tcW w:w="71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Środki przeniesione automatycznie</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Środki przeniesione decyzją</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 xml:space="preserve">Dochody przeznaczone na </w:t>
            </w:r>
            <w:r>
              <w:rPr>
                <w:rFonts w:ascii="Verdana" w:hAnsi="Verdana"/>
                <w:noProof/>
                <w:color w:val="FFFFFF"/>
                <w:sz w:val="16"/>
              </w:rPr>
              <w:t>określony cel</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Ogółem</w:t>
            </w:r>
          </w:p>
        </w:tc>
        <w:tc>
          <w:tcPr>
            <w:tcW w:w="83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6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108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87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val="340"/>
        </w:trPr>
        <w:tc>
          <w:tcPr>
            <w:tcW w:w="230"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3ImplementPayments"/>
              <w:jc w:val="center"/>
              <w:rPr>
                <w:rFonts w:ascii="Verdana" w:eastAsia="Verdana" w:hAnsi="Verdana" w:cs="Verdana"/>
                <w:noProof/>
                <w:color w:val="FFFFFF"/>
                <w:sz w:val="16"/>
              </w:rPr>
            </w:pPr>
          </w:p>
        </w:tc>
        <w:tc>
          <w:tcPr>
            <w:tcW w:w="96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1</w:t>
            </w:r>
          </w:p>
        </w:tc>
        <w:tc>
          <w:tcPr>
            <w:tcW w:w="956"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2</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3</w:t>
            </w:r>
          </w:p>
        </w:tc>
        <w:tc>
          <w:tcPr>
            <w:tcW w:w="941"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4</w:t>
            </w:r>
          </w:p>
        </w:tc>
        <w:tc>
          <w:tcPr>
            <w:tcW w:w="844"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5=2+</w:t>
            </w:r>
          </w:p>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3+4</w:t>
            </w:r>
          </w:p>
        </w:tc>
        <w:tc>
          <w:tcPr>
            <w:tcW w:w="711"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6=5/1</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7</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8</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9</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10=7+</w:t>
            </w:r>
          </w:p>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8+9</w:t>
            </w:r>
          </w:p>
        </w:tc>
        <w:tc>
          <w:tcPr>
            <w:tcW w:w="83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11</w:t>
            </w:r>
          </w:p>
        </w:tc>
        <w:tc>
          <w:tcPr>
            <w:tcW w:w="63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12</w:t>
            </w:r>
          </w:p>
        </w:tc>
        <w:tc>
          <w:tcPr>
            <w:tcW w:w="108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13</w:t>
            </w:r>
          </w:p>
        </w:tc>
        <w:tc>
          <w:tcPr>
            <w:tcW w:w="871"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14=11+</w:t>
            </w:r>
          </w:p>
          <w:p w:rsidR="0043277E" w:rsidRDefault="000F2348">
            <w:pPr>
              <w:pStyle w:val="DMETW17212BIPMFF3ImplementPayments"/>
              <w:jc w:val="center"/>
              <w:rPr>
                <w:rFonts w:ascii="Verdana" w:eastAsia="Verdana" w:hAnsi="Verdana" w:cs="Verdana"/>
                <w:noProof/>
                <w:color w:val="FFFFFF"/>
                <w:sz w:val="16"/>
              </w:rPr>
            </w:pPr>
            <w:r>
              <w:rPr>
                <w:rFonts w:ascii="Verdana" w:hAnsi="Verdana"/>
                <w:noProof/>
                <w:color w:val="FFFFFF"/>
                <w:sz w:val="16"/>
              </w:rPr>
              <w:t>12+13</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1</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 xml:space="preserve">Inteligentny wzrost gospodarczy sprzyjający włączeniu </w:t>
            </w:r>
            <w:r>
              <w:rPr>
                <w:rFonts w:ascii="Verdana" w:hAnsi="Verdana"/>
                <w:noProof/>
                <w:color w:val="000000"/>
                <w:sz w:val="16"/>
              </w:rPr>
              <w:t>społecznemu</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82 553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67 637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113</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7 785</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75 535</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6 813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6 967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52</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i/>
                <w:noProof/>
                <w:color w:val="000000"/>
                <w:sz w:val="16"/>
              </w:rPr>
            </w:pPr>
            <w:r>
              <w:rPr>
                <w:rFonts w:ascii="Verdana" w:hAnsi="Verdana"/>
                <w:i/>
                <w:noProof/>
                <w:color w:val="000000"/>
                <w:sz w:val="16"/>
              </w:rPr>
              <w:t>1a: Konkurencyjność na rzecz wzrostu gospodarczego i zatrudnienia</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26 044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20 090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102</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1 555</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21 748</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84 %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138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4 108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4 249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30</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16</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48</w:t>
            </w:r>
          </w:p>
        </w:tc>
      </w:tr>
      <w:tr w:rsidR="0043277E">
        <w:trPr>
          <w:trHeight w:val="529"/>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i/>
                <w:noProof/>
                <w:color w:val="000000"/>
                <w:sz w:val="16"/>
              </w:rPr>
            </w:pPr>
            <w:r>
              <w:rPr>
                <w:rFonts w:ascii="Verdana" w:hAnsi="Verdana"/>
                <w:i/>
                <w:noProof/>
                <w:color w:val="000000"/>
                <w:sz w:val="16"/>
              </w:rPr>
              <w:t xml:space="preserve">1b: Spójność gospodarcza, </w:t>
            </w:r>
            <w:r>
              <w:rPr>
                <w:rFonts w:ascii="Verdana" w:hAnsi="Verdana"/>
                <w:i/>
                <w:noProof/>
                <w:color w:val="000000"/>
                <w:sz w:val="16"/>
              </w:rPr>
              <w:t>społeczna i terytorialna</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56 510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47 547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10</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6 230</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53 787</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95 %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2 705</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2 718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2</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Trwały wzrost gospodarczy: zasoby naturalne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61 252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57 163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637</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1 721</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59 521</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198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1 023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1 687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44</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i/>
                <w:noProof/>
                <w:color w:val="000000"/>
                <w:sz w:val="16"/>
              </w:rPr>
            </w:pPr>
            <w:r>
              <w:rPr>
                <w:rFonts w:ascii="Verdana" w:hAnsi="Verdana"/>
                <w:i/>
                <w:noProof/>
                <w:color w:val="000000"/>
                <w:sz w:val="16"/>
              </w:rPr>
              <w:t xml:space="preserve">w tym: wydatki związane z rynkiem i </w:t>
            </w:r>
            <w:r>
              <w:rPr>
                <w:rFonts w:ascii="Verdana" w:hAnsi="Verdana"/>
                <w:i/>
                <w:noProof/>
                <w:color w:val="000000"/>
                <w:sz w:val="16"/>
              </w:rPr>
              <w:t>płatności bezpośrednie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44 933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42 449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631</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806</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43 885</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98 %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190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467</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1 006</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7</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34</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42</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3</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Bezpieczeństwo i obywatelstwo</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3 575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3 153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96</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3 256</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131</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4</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Globalny wymiar Europy</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10 933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8 908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1 140</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10 108</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772</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811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14</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5</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Administracja</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11 694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9 048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850</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482</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10 381</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748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349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1 098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146</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216</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i/>
                <w:noProof/>
                <w:color w:val="000000"/>
                <w:sz w:val="16"/>
              </w:rPr>
            </w:pPr>
            <w:r>
              <w:rPr>
                <w:rFonts w:ascii="Verdana" w:hAnsi="Verdana"/>
                <w:i/>
                <w:noProof/>
                <w:color w:val="000000"/>
                <w:sz w:val="16"/>
              </w:rPr>
              <w:t>w tym: wydatki administracyjne instytucji</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5 107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3 571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515</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291</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4 377</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86 %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463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143</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605</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82</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39</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124</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6</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Wyrównania</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8</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 xml:space="preserve">Rezerwa ujemna i deficyt przeniesione z poprzedniego roku budżetowego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0</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lastRenderedPageBreak/>
              <w:t>9</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rPr>
                <w:rFonts w:ascii="Verdana" w:eastAsia="Verdana" w:hAnsi="Verdana" w:cs="Verdana"/>
                <w:noProof/>
                <w:color w:val="000000"/>
                <w:sz w:val="16"/>
              </w:rPr>
            </w:pPr>
            <w:r>
              <w:rPr>
                <w:rFonts w:ascii="Verdana" w:hAnsi="Verdana"/>
                <w:noProof/>
                <w:color w:val="000000"/>
                <w:sz w:val="16"/>
              </w:rPr>
              <w:t>Instrumenty szczególne</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4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71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44 %</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3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6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87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368</w:t>
            </w:r>
          </w:p>
        </w:tc>
      </w:tr>
      <w:tr w:rsidR="0043277E">
        <w:trPr>
          <w:trHeight w:val="340"/>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MFF3ImplementPayments"/>
              <w:rPr>
                <w:rFonts w:ascii="Verdana" w:eastAsia="Verdana" w:hAnsi="Verdana" w:cs="Verdana"/>
                <w:b/>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rPr>
                <w:rFonts w:ascii="Verdana" w:eastAsia="Verdana" w:hAnsi="Verdana" w:cs="Verdana"/>
                <w:b/>
                <w:noProof/>
                <w:color w:val="000000"/>
                <w:sz w:val="16"/>
              </w:rPr>
            </w:pPr>
            <w:r>
              <w:rPr>
                <w:rFonts w:ascii="Verdana" w:hAnsi="Verdana"/>
                <w:b/>
                <w:noProof/>
                <w:color w:val="000000"/>
                <w:sz w:val="16"/>
              </w:rPr>
              <w:t>Ogółem</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170 679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146 203</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1 667</w:t>
            </w:r>
          </w:p>
        </w:tc>
        <w:tc>
          <w:tcPr>
            <w:tcW w:w="94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11 225</w:t>
            </w:r>
          </w:p>
        </w:tc>
        <w:tc>
          <w:tcPr>
            <w:tcW w:w="84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159 096</w:t>
            </w:r>
          </w:p>
        </w:tc>
        <w:tc>
          <w:tcPr>
            <w:tcW w:w="71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93 %</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1 145</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9 </w:t>
            </w:r>
            <w:r>
              <w:rPr>
                <w:rFonts w:ascii="Verdana" w:hAnsi="Verdana"/>
                <w:b/>
                <w:noProof/>
                <w:color w:val="000000"/>
                <w:sz w:val="16"/>
              </w:rPr>
              <w:t>144</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10 759</w:t>
            </w:r>
          </w:p>
        </w:tc>
        <w:tc>
          <w:tcPr>
            <w:tcW w:w="83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6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108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87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rsidR="0043277E" w:rsidRDefault="0043277E">
      <w:pPr>
        <w:pStyle w:val="DGTextstand-alone"/>
        <w:rPr>
          <w:lang w:bidi="en-GB"/>
        </w:rPr>
      </w:pPr>
    </w:p>
    <w:p w:rsidR="0043277E" w:rsidRDefault="0043277E">
      <w:pPr>
        <w:pStyle w:val="DGTextstand-alone"/>
        <w:rPr>
          <w:lang w:bidi="en-GB"/>
        </w:rPr>
        <w:sectPr w:rsidR="0043277E">
          <w:headerReference w:type="even" r:id="rId366"/>
          <w:headerReference w:type="default" r:id="rId367"/>
          <w:footerReference w:type="even" r:id="rId368"/>
          <w:footerReference w:type="default" r:id="rId369"/>
          <w:headerReference w:type="first" r:id="rId370"/>
          <w:footerReference w:type="first" r:id="rId371"/>
          <w:type w:val="nextColumn"/>
          <w:pgSz w:w="16840" w:h="11900" w:orient="landscape"/>
          <w:pgMar w:top="1134" w:right="1134" w:bottom="1134" w:left="1134" w:header="720" w:footer="720" w:gutter="0"/>
          <w:cols w:space="720"/>
          <w:docGrid w:linePitch="272"/>
        </w:sectPr>
      </w:pPr>
    </w:p>
    <w:p w:rsidR="0043277E" w:rsidRDefault="000F2348">
      <w:pPr>
        <w:pStyle w:val="HEADER2PartBUDG"/>
        <w:rPr>
          <w:noProof/>
        </w:rPr>
      </w:pPr>
      <w:bookmarkStart w:id="248" w:name="_Toc49418843"/>
      <w:r>
        <w:rPr>
          <w:noProof/>
        </w:rPr>
        <w:lastRenderedPageBreak/>
        <w:t>WRF: ZMIANA STANU ZOBOWIĄZAŃ POZOSTAJĄCYCH DO SPŁATY (RAL)</w:t>
      </w:r>
      <w:bookmarkEnd w:id="248"/>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850"/>
        <w:gridCol w:w="1786"/>
        <w:gridCol w:w="1236"/>
        <w:gridCol w:w="1101"/>
        <w:gridCol w:w="1101"/>
        <w:gridCol w:w="1101"/>
        <w:gridCol w:w="1101"/>
        <w:gridCol w:w="1376"/>
        <w:gridCol w:w="1101"/>
        <w:gridCol w:w="1268"/>
      </w:tblGrid>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bookmarkStart w:id="249" w:name="DOC_TBL00107_1_1"/>
            <w:bookmarkEnd w:id="249"/>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noProof/>
                <w:color w:val="000000"/>
                <w:sz w:val="16"/>
              </w:rPr>
            </w:pP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84"/>
        </w:trPr>
        <w:tc>
          <w:tcPr>
            <w:tcW w:w="2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4Commitmentsoustanding"/>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4Commitmentsoustanding"/>
              <w:jc w:val="center"/>
              <w:rPr>
                <w:rFonts w:ascii="Verdana" w:eastAsia="Verdana" w:hAnsi="Verdana" w:cs="Verdana"/>
                <w:noProof/>
                <w:color w:val="FFFFFF"/>
                <w:sz w:val="16"/>
              </w:rPr>
            </w:pPr>
          </w:p>
        </w:tc>
        <w:tc>
          <w:tcPr>
            <w:tcW w:w="1805"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 xml:space="preserve">Zobowiązania </w:t>
            </w:r>
            <w:r>
              <w:rPr>
                <w:rFonts w:ascii="Verdana" w:hAnsi="Verdana"/>
                <w:b/>
                <w:noProof/>
                <w:color w:val="FFFFFF"/>
                <w:sz w:val="16"/>
              </w:rPr>
              <w:t>pozostające do spłaty na koniec poprzedniego roku</w:t>
            </w:r>
          </w:p>
        </w:tc>
        <w:tc>
          <w:tcPr>
            <w:tcW w:w="1112"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Zobowiązania za bieżący rok</w:t>
            </w:r>
          </w:p>
        </w:tc>
        <w:tc>
          <w:tcPr>
            <w:tcW w:w="1281"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Zobowiązania pozostające do spłaty na koniec roku - ogółem</w:t>
            </w:r>
          </w:p>
        </w:tc>
      </w:tr>
      <w:tr w:rsidR="0043277E">
        <w:trPr>
          <w:trHeight w:val="284"/>
        </w:trPr>
        <w:tc>
          <w:tcPr>
            <w:tcW w:w="2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4Commitmentsoustanding"/>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Dział WRF</w:t>
            </w:r>
          </w:p>
        </w:tc>
        <w:tc>
          <w:tcPr>
            <w:tcW w:w="180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Zobowiązania przeniesione z poprzedniego roku</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Umorzenie/</w:t>
            </w:r>
          </w:p>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aktualizacja wyceny/</w:t>
            </w:r>
          </w:p>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anulowanie</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Płatności</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Zobowiązania pozostające do spłaty na koniec roku</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Zobowiązania zaciągnięte w ciągu roku</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Płatności</w:t>
            </w:r>
          </w:p>
        </w:tc>
        <w:tc>
          <w:tcPr>
            <w:tcW w:w="139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Anulowane zobowiązania, których nie można przenieść na następne okresy</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Zobowiązania pozostające do spłaty na koniec roku</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4Commitmentsoustanding"/>
              <w:jc w:val="center"/>
              <w:rPr>
                <w:rFonts w:ascii="Verdana" w:eastAsia="Verdana" w:hAnsi="Verdana" w:cs="Verdana"/>
                <w:b/>
                <w:noProof/>
                <w:color w:val="FFFFFF"/>
                <w:sz w:val="16"/>
              </w:rPr>
            </w:pPr>
          </w:p>
        </w:tc>
      </w:tr>
      <w:tr w:rsidR="0043277E">
        <w:trPr>
          <w:trHeight w:val="284"/>
        </w:trPr>
        <w:tc>
          <w:tcPr>
            <w:tcW w:w="232"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4Commitmentsoustanding"/>
              <w:jc w:val="center"/>
              <w:rPr>
                <w:rFonts w:ascii="Verdana" w:eastAsia="Verdana" w:hAnsi="Verdana" w:cs="Verdana"/>
                <w:noProof/>
                <w:color w:val="FFFFFF"/>
                <w:sz w:val="16"/>
              </w:rPr>
            </w:pPr>
          </w:p>
        </w:tc>
        <w:tc>
          <w:tcPr>
            <w:tcW w:w="2881"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MFF4Commitmentsoustanding"/>
              <w:jc w:val="center"/>
              <w:rPr>
                <w:rFonts w:ascii="Verdana" w:eastAsia="Verdana" w:hAnsi="Verdana" w:cs="Verdana"/>
                <w:noProof/>
                <w:color w:val="FFFFFF"/>
                <w:sz w:val="16"/>
              </w:rPr>
            </w:pPr>
          </w:p>
        </w:tc>
        <w:tc>
          <w:tcPr>
            <w:tcW w:w="180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1</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2</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3</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5</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6</w:t>
            </w:r>
          </w:p>
        </w:tc>
        <w:tc>
          <w:tcPr>
            <w:tcW w:w="139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7</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281"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MFF4Commitmentsoustanding"/>
              <w:jc w:val="center"/>
              <w:rPr>
                <w:rFonts w:ascii="Verdana" w:eastAsia="Verdana" w:hAnsi="Verdana" w:cs="Verdana"/>
                <w:noProof/>
                <w:color w:val="FFFFFF"/>
                <w:sz w:val="16"/>
              </w:rPr>
            </w:pPr>
            <w:r>
              <w:rPr>
                <w:rFonts w:ascii="Verdana" w:hAnsi="Verdana"/>
                <w:noProof/>
                <w:color w:val="FFFFFF"/>
                <w:sz w:val="16"/>
              </w:rPr>
              <w:t>9=4+8</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1</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Inteligentny wzrost gospodarczy sprzyjający włączeniu społecznemu</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206 991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(1 360)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(66 413)</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139 217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90 536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(9 122)</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81 410</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220 627</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i/>
                <w:noProof/>
                <w:color w:val="000000"/>
                <w:sz w:val="16"/>
              </w:rPr>
            </w:pPr>
            <w:r>
              <w:rPr>
                <w:rFonts w:ascii="Verdana" w:hAnsi="Verdana"/>
                <w:i/>
                <w:noProof/>
                <w:color w:val="000000"/>
                <w:sz w:val="16"/>
              </w:rPr>
              <w:t>1a: Konkurencyjność na rzecz wzrostu gospodarczego i zatrudnienia</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37 006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(738)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(13 367)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22 901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25 782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(8 380)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17 397</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40 298</w:t>
            </w:r>
          </w:p>
        </w:tc>
      </w:tr>
      <w:tr w:rsidR="0043277E">
        <w:trPr>
          <w:trHeight w:val="553"/>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i/>
                <w:noProof/>
                <w:color w:val="000000"/>
                <w:sz w:val="16"/>
              </w:rPr>
            </w:pPr>
            <w:r>
              <w:rPr>
                <w:rFonts w:ascii="Verdana" w:hAnsi="Verdana"/>
                <w:i/>
                <w:noProof/>
                <w:color w:val="000000"/>
                <w:sz w:val="16"/>
              </w:rPr>
              <w:t>1b: Spójność gospodarcza, społeczna i terytorialna</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169 985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(53 046)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116 317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64 754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(742)</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64 012</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180 329</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2</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Trwały wzrost gospodarczy: zasoby naturalne</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40 047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(15 133)</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24 661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60 600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(44 387)</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16 213</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40 874</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i/>
                <w:noProof/>
                <w:color w:val="000000"/>
                <w:sz w:val="16"/>
              </w:rPr>
            </w:pPr>
            <w:r>
              <w:rPr>
                <w:rFonts w:ascii="Verdana" w:hAnsi="Verdana"/>
                <w:i/>
                <w:noProof/>
                <w:color w:val="000000"/>
                <w:sz w:val="16"/>
              </w:rPr>
              <w:t xml:space="preserve">w tym: </w:t>
            </w:r>
            <w:r>
              <w:rPr>
                <w:rFonts w:ascii="Verdana" w:hAnsi="Verdana"/>
                <w:i/>
                <w:noProof/>
                <w:color w:val="000000"/>
                <w:sz w:val="16"/>
              </w:rPr>
              <w:t>wydatki związane z rynkiem i płatności bezpośrednie</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359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(235)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117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43 962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(43 650)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313</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430</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3</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Bezpieczeństwo i obywatelstwo</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5 834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(269)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(1 934)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3 632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3 874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(1 323)</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2 551</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6 183</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4</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Globalny wymiar Europy</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27 352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(1 200)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(6 918)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19 234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13 111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(3 </w:t>
            </w:r>
            <w:r>
              <w:rPr>
                <w:rFonts w:ascii="Verdana" w:hAnsi="Verdana"/>
                <w:noProof/>
                <w:color w:val="000000"/>
                <w:sz w:val="16"/>
              </w:rPr>
              <w:t>190)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9 920</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29 154</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5</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Administracja</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961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(97)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(859)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10 371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(9 522)</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849</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4Commitmentsoustanding"/>
              <w:rPr>
                <w:rFonts w:ascii="Verdana" w:eastAsia="Verdana" w:hAnsi="Verdana" w:cs="Verdana"/>
                <w:i/>
                <w:noProof/>
                <w:color w:val="000000"/>
                <w:sz w:val="16"/>
              </w:rPr>
            </w:pP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i/>
                <w:noProof/>
                <w:color w:val="000000"/>
                <w:sz w:val="16"/>
              </w:rPr>
            </w:pPr>
            <w:r>
              <w:rPr>
                <w:rFonts w:ascii="Verdana" w:hAnsi="Verdana"/>
                <w:i/>
                <w:noProof/>
                <w:color w:val="000000"/>
                <w:sz w:val="16"/>
              </w:rPr>
              <w:t>w tym: wydatki administracyjne instytucji</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4 371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(3 861)</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510</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511</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6</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Wyrównania</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8</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 xml:space="preserve">Rezerwa ujemna i deficyt przeniesione z poprzedniego roku budżetowego </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9</w:t>
            </w:r>
          </w:p>
        </w:tc>
        <w:tc>
          <w:tcPr>
            <w:tcW w:w="28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rPr>
                <w:rFonts w:ascii="Verdana" w:eastAsia="Verdana" w:hAnsi="Verdana" w:cs="Verdana"/>
                <w:noProof/>
                <w:color w:val="000000"/>
                <w:sz w:val="16"/>
              </w:rPr>
            </w:pPr>
            <w:r>
              <w:rPr>
                <w:rFonts w:ascii="Verdana" w:hAnsi="Verdana"/>
                <w:noProof/>
                <w:color w:val="000000"/>
                <w:sz w:val="16"/>
              </w:rPr>
              <w:t>Instrumenty szczególne</w:t>
            </w:r>
          </w:p>
        </w:tc>
        <w:tc>
          <w:tcPr>
            <w:tcW w:w="180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8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284"/>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MFF4Commitmentsoustanding"/>
              <w:rPr>
                <w:rFonts w:ascii="Verdana" w:eastAsia="Verdana" w:hAnsi="Verdana" w:cs="Verdana"/>
                <w:b/>
                <w:noProof/>
                <w:color w:val="000000"/>
                <w:sz w:val="16"/>
              </w:rPr>
            </w:pPr>
          </w:p>
        </w:tc>
        <w:tc>
          <w:tcPr>
            <w:tcW w:w="288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rPr>
                <w:rFonts w:ascii="Verdana" w:eastAsia="Verdana" w:hAnsi="Verdana" w:cs="Verdana"/>
                <w:b/>
                <w:noProof/>
                <w:color w:val="000000"/>
                <w:sz w:val="16"/>
              </w:rPr>
            </w:pPr>
            <w:r>
              <w:rPr>
                <w:rFonts w:ascii="Verdana" w:hAnsi="Verdana"/>
                <w:b/>
                <w:noProof/>
                <w:color w:val="000000"/>
                <w:sz w:val="16"/>
              </w:rPr>
              <w:t>Ogółem</w:t>
            </w:r>
          </w:p>
        </w:tc>
        <w:tc>
          <w:tcPr>
            <w:tcW w:w="180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281 185</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(3 179)</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(91 257)</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186 749</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178 787</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(67 838)</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 xml:space="preserve"> (5)</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110 944</w:t>
            </w:r>
          </w:p>
        </w:tc>
        <w:tc>
          <w:tcPr>
            <w:tcW w:w="128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297 693</w:t>
            </w:r>
          </w:p>
        </w:tc>
      </w:tr>
    </w:tbl>
    <w:p w:rsidR="0043277E" w:rsidRDefault="0043277E">
      <w:pPr>
        <w:pStyle w:val="DGTextstand-alone"/>
        <w:rPr>
          <w:lang w:bidi="en-GB"/>
        </w:rPr>
      </w:pPr>
    </w:p>
    <w:p w:rsidR="0043277E" w:rsidRDefault="0043277E">
      <w:pPr>
        <w:pStyle w:val="Textstand-alone"/>
        <w:rPr>
          <w:lang w:bidi="en-GB"/>
        </w:rPr>
      </w:pPr>
    </w:p>
    <w:p w:rsidR="0043277E" w:rsidRDefault="0043277E">
      <w:pPr>
        <w:pStyle w:val="Textstand-alone"/>
        <w:rPr>
          <w:lang w:bidi="en-GB"/>
        </w:rPr>
        <w:sectPr w:rsidR="0043277E">
          <w:headerReference w:type="even" r:id="rId372"/>
          <w:headerReference w:type="default" r:id="rId373"/>
          <w:footerReference w:type="even" r:id="rId374"/>
          <w:footerReference w:type="default" r:id="rId375"/>
          <w:headerReference w:type="first" r:id="rId376"/>
          <w:footerReference w:type="first" r:id="rId377"/>
          <w:type w:val="nextColumn"/>
          <w:pgSz w:w="16840" w:h="11900" w:orient="landscape"/>
          <w:pgMar w:top="1134" w:right="1134" w:bottom="1134" w:left="1134" w:header="720" w:footer="720" w:gutter="0"/>
          <w:cols w:space="720"/>
          <w:docGrid w:linePitch="272"/>
        </w:sectPr>
      </w:pPr>
    </w:p>
    <w:p w:rsidR="0043277E" w:rsidRDefault="000F2348">
      <w:pPr>
        <w:pStyle w:val="HEADER2PartBUDG"/>
        <w:rPr>
          <w:noProof/>
        </w:rPr>
      </w:pPr>
      <w:bookmarkStart w:id="250" w:name="_Toc49418844"/>
      <w:r>
        <w:rPr>
          <w:noProof/>
        </w:rPr>
        <w:lastRenderedPageBreak/>
        <w:t>WRF: ZOBOWIĄZANIA POZOSTAJĄCE DO SPŁATY WEDŁUG ROKU POWSTANIA ZOBOWIĄZANIA</w:t>
      </w:r>
      <w:bookmarkEnd w:id="250"/>
      <w:r>
        <w:rPr>
          <w:noProof/>
        </w:rP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4922"/>
        <w:gridCol w:w="1217"/>
        <w:gridCol w:w="993"/>
        <w:gridCol w:w="994"/>
        <w:gridCol w:w="993"/>
        <w:gridCol w:w="994"/>
        <w:gridCol w:w="993"/>
        <w:gridCol w:w="994"/>
        <w:gridCol w:w="979"/>
        <w:gridCol w:w="1125"/>
      </w:tblGrid>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bookmarkStart w:id="251" w:name="DOC_TBL00108_1_1"/>
            <w:bookmarkEnd w:id="251"/>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rPr>
        <w:tc>
          <w:tcPr>
            <w:tcW w:w="34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MFF5RALYoO"/>
              <w:jc w:val="center"/>
              <w:rPr>
                <w:rFonts w:ascii="Verdana" w:eastAsia="Verdana" w:hAnsi="Verdana" w:cs="Verdana"/>
                <w:noProof/>
                <w:color w:val="FFFFFF"/>
                <w:sz w:val="16"/>
              </w:rPr>
            </w:pPr>
          </w:p>
        </w:tc>
        <w:tc>
          <w:tcPr>
            <w:tcW w:w="49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Dział WRF</w:t>
            </w:r>
          </w:p>
        </w:tc>
        <w:tc>
          <w:tcPr>
            <w:tcW w:w="122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&lt; 2013</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2013</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2014</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2015</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2016</w:t>
            </w:r>
          </w:p>
        </w:tc>
        <w:tc>
          <w:tcPr>
            <w:tcW w:w="100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2017</w:t>
            </w:r>
          </w:p>
        </w:tc>
        <w:tc>
          <w:tcPr>
            <w:tcW w:w="100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2018</w:t>
            </w:r>
          </w:p>
        </w:tc>
        <w:tc>
          <w:tcPr>
            <w:tcW w:w="98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2019</w:t>
            </w: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MFF5RALYoO"/>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1</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Inteligentny wzrost gospodarczy sprzyjający włączeniu społecznemu</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1 428</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3 640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2 139</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4 683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12 476</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45 924</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68 924</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81 414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220 627</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i/>
                <w:noProof/>
                <w:color w:val="000000"/>
                <w:sz w:val="16"/>
              </w:rPr>
            </w:pPr>
            <w:r>
              <w:rPr>
                <w:rFonts w:ascii="Verdana" w:hAnsi="Verdana"/>
                <w:i/>
                <w:noProof/>
                <w:color w:val="000000"/>
                <w:sz w:val="16"/>
              </w:rPr>
              <w:t>1a: Konkurencyjność na rzecz wzrostu gospodarczego i zatrudnienia</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472</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921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1 175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1 608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3 133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5 427</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10 160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17 402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40 298</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i/>
                <w:noProof/>
                <w:color w:val="000000"/>
                <w:sz w:val="16"/>
              </w:rPr>
            </w:pPr>
            <w:r>
              <w:rPr>
                <w:rFonts w:ascii="Verdana" w:hAnsi="Verdana"/>
                <w:i/>
                <w:noProof/>
                <w:color w:val="000000"/>
                <w:sz w:val="16"/>
              </w:rPr>
              <w:t>1b: Spójność gospodarcza, społeczna i terytorialna</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956</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2 719</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964</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3 075</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9 343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40 496</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58 763</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64 012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180 329</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2</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Trwały wzrost gospodarczy: zasoby naturalne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68</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130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285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1 316</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2 685</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7 603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12 575</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16 213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40 874</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i/>
                <w:noProof/>
                <w:color w:val="000000"/>
                <w:sz w:val="16"/>
              </w:rPr>
            </w:pPr>
            <w:r>
              <w:rPr>
                <w:rFonts w:ascii="Verdana" w:hAnsi="Verdana"/>
                <w:i/>
                <w:noProof/>
                <w:color w:val="000000"/>
                <w:sz w:val="16"/>
              </w:rPr>
              <w:t xml:space="preserve">w tym: wydatki związane z rynkiem i płatności </w:t>
            </w:r>
            <w:r>
              <w:rPr>
                <w:rFonts w:ascii="Verdana" w:hAnsi="Verdana"/>
                <w:i/>
                <w:noProof/>
                <w:color w:val="000000"/>
                <w:sz w:val="16"/>
              </w:rPr>
              <w:t>bezpośrednie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37</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76</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313</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430</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3</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Bezpieczeństwo i obywatelstwo</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433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1 223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1 851</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2 552</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6 183</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4</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Globalny wymiar Europy</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909</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958</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1 010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1 851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3 253</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4 973</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6 231</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9 970</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29 154</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5</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Administracja</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851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854</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i/>
                <w:noProof/>
                <w:color w:val="000000"/>
                <w:sz w:val="16"/>
              </w:rPr>
            </w:pPr>
            <w:r>
              <w:rPr>
                <w:rFonts w:ascii="Verdana" w:hAnsi="Verdana"/>
                <w:i/>
                <w:noProof/>
                <w:color w:val="000000"/>
                <w:sz w:val="16"/>
              </w:rPr>
              <w:t xml:space="preserve">w tym: </w:t>
            </w:r>
            <w:r>
              <w:rPr>
                <w:rFonts w:ascii="Verdana" w:hAnsi="Verdana"/>
                <w:i/>
                <w:noProof/>
                <w:color w:val="000000"/>
                <w:sz w:val="16"/>
              </w:rPr>
              <w:t>wydatki administracyjne instytucji</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511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511</w:t>
            </w:r>
          </w:p>
        </w:tc>
      </w:tr>
      <w:tr w:rsidR="0043277E">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9</w:t>
            </w:r>
          </w:p>
        </w:tc>
        <w:tc>
          <w:tcPr>
            <w:tcW w:w="4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rPr>
                <w:rFonts w:ascii="Verdana" w:eastAsia="Verdana" w:hAnsi="Verdana" w:cs="Verdana"/>
                <w:noProof/>
                <w:color w:val="000000"/>
                <w:sz w:val="16"/>
              </w:rPr>
            </w:pPr>
            <w:r>
              <w:rPr>
                <w:rFonts w:ascii="Verdana" w:hAnsi="Verdana"/>
                <w:noProof/>
                <w:color w:val="000000"/>
                <w:sz w:val="16"/>
              </w:rPr>
              <w:t>Instrumenty szczególne</w:t>
            </w:r>
          </w:p>
        </w:tc>
        <w:tc>
          <w:tcPr>
            <w:tcW w:w="12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8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MFF5RALYoO"/>
              <w:rPr>
                <w:rFonts w:ascii="Verdana" w:eastAsia="Verdana" w:hAnsi="Verdana" w:cs="Verdana"/>
                <w:b/>
                <w:noProof/>
                <w:color w:val="000000"/>
                <w:sz w:val="16"/>
              </w:rPr>
            </w:pPr>
          </w:p>
        </w:tc>
        <w:tc>
          <w:tcPr>
            <w:tcW w:w="4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rPr>
                <w:rFonts w:ascii="Verdana" w:eastAsia="Verdana" w:hAnsi="Verdana" w:cs="Verdana"/>
                <w:b/>
                <w:noProof/>
                <w:color w:val="000000"/>
                <w:sz w:val="16"/>
              </w:rPr>
            </w:pPr>
            <w:r>
              <w:rPr>
                <w:rFonts w:ascii="Verdana" w:hAnsi="Verdana"/>
                <w:b/>
                <w:noProof/>
                <w:color w:val="000000"/>
                <w:sz w:val="16"/>
              </w:rPr>
              <w:t>Ogółem</w:t>
            </w:r>
          </w:p>
        </w:tc>
        <w:tc>
          <w:tcPr>
            <w:tcW w:w="12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2 438</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4 746</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3 453</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7 904</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18 846</w:t>
            </w:r>
          </w:p>
        </w:tc>
        <w:tc>
          <w:tcPr>
            <w:tcW w:w="100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59 723</w:t>
            </w:r>
          </w:p>
        </w:tc>
        <w:tc>
          <w:tcPr>
            <w:tcW w:w="100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89 583</w:t>
            </w:r>
          </w:p>
        </w:tc>
        <w:tc>
          <w:tcPr>
            <w:tcW w:w="98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110 999</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MFF5RALYoO"/>
              <w:jc w:val="right"/>
              <w:rPr>
                <w:rFonts w:ascii="Verdana" w:eastAsia="Verdana" w:hAnsi="Verdana" w:cs="Verdana"/>
                <w:b/>
                <w:noProof/>
                <w:color w:val="000000"/>
                <w:sz w:val="16"/>
              </w:rPr>
            </w:pPr>
            <w:r>
              <w:rPr>
                <w:rFonts w:ascii="Verdana" w:hAnsi="Verdana"/>
                <w:b/>
                <w:noProof/>
                <w:color w:val="000000"/>
                <w:sz w:val="16"/>
              </w:rPr>
              <w:t>297 693</w:t>
            </w:r>
          </w:p>
        </w:tc>
      </w:tr>
    </w:tbl>
    <w:p w:rsidR="0043277E" w:rsidRDefault="0043277E">
      <w:pPr>
        <w:pStyle w:val="Textstand-alone"/>
      </w:pPr>
    </w:p>
    <w:p w:rsidR="0043277E" w:rsidRDefault="0043277E">
      <w:pPr>
        <w:pStyle w:val="Textstand-alone"/>
      </w:pPr>
    </w:p>
    <w:p w:rsidR="0043277E" w:rsidRDefault="0043277E">
      <w:pPr>
        <w:pStyle w:val="Textstand-alone"/>
      </w:pPr>
    </w:p>
    <w:p w:rsidR="0043277E" w:rsidRDefault="0043277E">
      <w:pPr>
        <w:pStyle w:val="Textstand-alone"/>
      </w:pPr>
    </w:p>
    <w:p w:rsidR="0043277E" w:rsidRDefault="0043277E">
      <w:pPr>
        <w:pStyle w:val="Textstand-alone"/>
      </w:pPr>
    </w:p>
    <w:p w:rsidR="0043277E" w:rsidRDefault="0043277E">
      <w:pPr>
        <w:pStyle w:val="Textstand-alone"/>
      </w:pPr>
    </w:p>
    <w:p w:rsidR="0043277E" w:rsidRDefault="0043277E">
      <w:pPr>
        <w:pStyle w:val="Textstand-alone"/>
      </w:pPr>
    </w:p>
    <w:p w:rsidR="0043277E" w:rsidRDefault="0043277E">
      <w:pPr>
        <w:pStyle w:val="Textstand-alone"/>
      </w:pPr>
    </w:p>
    <w:p w:rsidR="0043277E" w:rsidRDefault="000F2348">
      <w:pPr>
        <w:pStyle w:val="Textstand-alone"/>
        <w:spacing w:after="0"/>
      </w:pPr>
      <w:r>
        <w:rPr>
          <w:sz w:val="16"/>
          <w:szCs w:val="20"/>
        </w:rPr>
        <w:lastRenderedPageBreak/>
        <w:t xml:space="preserve">Powołanie nowej Komisji wiązało się z wewnętrzną reorganizacją służb. </w:t>
      </w:r>
      <w:r>
        <w:rPr>
          <w:sz w:val="16"/>
          <w:szCs w:val="20"/>
        </w:rPr>
        <w:t>Realokacja powiązanych transakcji spowodowała przesunięcie kwoty pozostającej do spłaty pomiędzy latami. Łączna kwota zobowiązań pozostających do spłaty nie ulega zmianie.</w:t>
      </w:r>
    </w:p>
    <w:p w:rsidR="0043277E" w:rsidRDefault="0043277E">
      <w:pPr>
        <w:pStyle w:val="Textstand-alone"/>
        <w:sectPr w:rsidR="0043277E">
          <w:headerReference w:type="even" r:id="rId378"/>
          <w:headerReference w:type="default" r:id="rId379"/>
          <w:footerReference w:type="even" r:id="rId380"/>
          <w:footerReference w:type="default" r:id="rId381"/>
          <w:headerReference w:type="first" r:id="rId382"/>
          <w:footerReference w:type="first" r:id="rId383"/>
          <w:type w:val="nextColumn"/>
          <w:pgSz w:w="16840" w:h="11900" w:orient="landscape"/>
          <w:pgMar w:top="1134" w:right="1134" w:bottom="1134" w:left="1134" w:header="720" w:footer="720" w:gutter="0"/>
          <w:cols w:space="720"/>
          <w:docGrid w:linePitch="272"/>
        </w:sectPr>
      </w:pPr>
    </w:p>
    <w:p w:rsidR="0043277E" w:rsidRDefault="000F2348">
      <w:pPr>
        <w:pStyle w:val="HEADER2PartBUDG"/>
        <w:rPr>
          <w:noProof/>
        </w:rPr>
      </w:pPr>
      <w:bookmarkStart w:id="252" w:name="_Toc49418845"/>
      <w:r>
        <w:rPr>
          <w:noProof/>
        </w:rPr>
        <w:lastRenderedPageBreak/>
        <w:t>WRF W UJĘCIU SZCZEGÓŁOWYM: STRUKTURA I ZMIANY STANU ŚRODKÓW NA ZOBOWIĄZANIA I ŚRODKÓW NA PŁATNOŚCI</w:t>
      </w:r>
      <w:bookmarkEnd w:id="252"/>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504"/>
        <w:gridCol w:w="1080"/>
        <w:gridCol w:w="1320"/>
        <w:gridCol w:w="840"/>
        <w:gridCol w:w="1680"/>
        <w:gridCol w:w="963"/>
        <w:gridCol w:w="962"/>
        <w:gridCol w:w="962"/>
        <w:gridCol w:w="1036"/>
        <w:gridCol w:w="889"/>
        <w:gridCol w:w="687"/>
        <w:gridCol w:w="963"/>
        <w:gridCol w:w="1129"/>
      </w:tblGrid>
      <w:tr w:rsidR="0043277E">
        <w:trPr>
          <w:trHeight w:val="340"/>
          <w:tblHeader/>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bookmarkStart w:id="253" w:name="DOC_TBL00109_1_1"/>
            <w:bookmarkEnd w:id="253"/>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150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6845" w:type="dxa"/>
            <w:gridSpan w:val="6"/>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b/>
                <w:noProof/>
                <w:color w:val="FFFFFF"/>
                <w:sz w:val="16"/>
              </w:rPr>
            </w:pPr>
            <w:r>
              <w:rPr>
                <w:rFonts w:ascii="Verdana" w:hAnsi="Verdana"/>
                <w:b/>
                <w:noProof/>
                <w:color w:val="FFFFFF"/>
                <w:sz w:val="16"/>
              </w:rPr>
              <w:t>Środki na zobowiązania</w:t>
            </w:r>
          </w:p>
        </w:tc>
        <w:tc>
          <w:tcPr>
            <w:tcW w:w="4537" w:type="dxa"/>
            <w:gridSpan w:val="5"/>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b/>
                <w:noProof/>
                <w:color w:val="FFFFFF"/>
                <w:sz w:val="16"/>
              </w:rPr>
            </w:pPr>
            <w:r>
              <w:rPr>
                <w:rFonts w:ascii="Verdana" w:hAnsi="Verdana"/>
                <w:b/>
                <w:noProof/>
                <w:color w:val="FFFFFF"/>
                <w:sz w:val="16"/>
              </w:rPr>
              <w:t>Środki na płatności</w:t>
            </w:r>
          </w:p>
        </w:tc>
        <w:tc>
          <w:tcPr>
            <w:tcW w:w="112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lang w:bidi="en-GB"/>
              </w:rPr>
            </w:pPr>
          </w:p>
        </w:tc>
      </w:tr>
      <w:tr w:rsidR="0043277E">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150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3240"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Środki budżetowe</w:t>
            </w:r>
          </w:p>
        </w:tc>
        <w:tc>
          <w:tcPr>
            <w:tcW w:w="2643"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Dodatkowe środki</w:t>
            </w:r>
          </w:p>
        </w:tc>
        <w:tc>
          <w:tcPr>
            <w:tcW w:w="962"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 xml:space="preserve">Dostępne </w:t>
            </w:r>
            <w:r>
              <w:rPr>
                <w:rFonts w:ascii="Verdana" w:hAnsi="Verdana"/>
                <w:noProof/>
                <w:color w:val="FFFFFF"/>
                <w:sz w:val="16"/>
              </w:rPr>
              <w:t>środki ogółem</w:t>
            </w:r>
          </w:p>
        </w:tc>
        <w:tc>
          <w:tcPr>
            <w:tcW w:w="2887"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Środki budżetowe</w:t>
            </w:r>
          </w:p>
        </w:tc>
        <w:tc>
          <w:tcPr>
            <w:tcW w:w="1650"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Dodatkowe środki</w:t>
            </w:r>
          </w:p>
        </w:tc>
        <w:tc>
          <w:tcPr>
            <w:tcW w:w="1129"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Dostępne środki ogółem</w:t>
            </w:r>
          </w:p>
        </w:tc>
      </w:tr>
      <w:tr w:rsidR="0043277E">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15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Program</w:t>
            </w:r>
          </w:p>
        </w:tc>
        <w:tc>
          <w:tcPr>
            <w:tcW w:w="10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13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Budżety korygujące i przesunięcia</w:t>
            </w:r>
          </w:p>
        </w:tc>
        <w:tc>
          <w:tcPr>
            <w:tcW w:w="84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168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Przeniesienia</w:t>
            </w:r>
          </w:p>
        </w:tc>
        <w:tc>
          <w:tcPr>
            <w:tcW w:w="9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Dochody przeznaczone na określony cel</w:t>
            </w:r>
          </w:p>
        </w:tc>
        <w:tc>
          <w:tcPr>
            <w:tcW w:w="962"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103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Budżety</w:t>
            </w:r>
            <w:r>
              <w:rPr>
                <w:rFonts w:ascii="Verdana" w:hAnsi="Verdana"/>
                <w:noProof/>
                <w:color w:val="FFFFFF"/>
                <w:sz w:val="16"/>
              </w:rPr>
              <w:t xml:space="preserve"> korygujące i przesunięcia</w:t>
            </w:r>
          </w:p>
        </w:tc>
        <w:tc>
          <w:tcPr>
            <w:tcW w:w="88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68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Przeniesienia</w:t>
            </w:r>
          </w:p>
        </w:tc>
        <w:tc>
          <w:tcPr>
            <w:tcW w:w="9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Dochody przeznaczone na określony cel</w:t>
            </w:r>
          </w:p>
        </w:tc>
        <w:tc>
          <w:tcPr>
            <w:tcW w:w="1129"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r>
      <w:tr w:rsidR="0043277E">
        <w:trPr>
          <w:trHeight w:val="340"/>
          <w:tblHeader/>
        </w:trPr>
        <w:tc>
          <w:tcPr>
            <w:tcW w:w="236"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1504"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1Breakdown"/>
              <w:jc w:val="center"/>
              <w:rPr>
                <w:rFonts w:ascii="Verdana" w:eastAsia="Verdana" w:hAnsi="Verdana" w:cs="Verdana"/>
                <w:noProof/>
                <w:color w:val="FFFFFF"/>
                <w:sz w:val="16"/>
              </w:rPr>
            </w:pPr>
          </w:p>
        </w:tc>
        <w:tc>
          <w:tcPr>
            <w:tcW w:w="108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1</w:t>
            </w:r>
          </w:p>
        </w:tc>
        <w:tc>
          <w:tcPr>
            <w:tcW w:w="132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2</w:t>
            </w:r>
          </w:p>
        </w:tc>
        <w:tc>
          <w:tcPr>
            <w:tcW w:w="84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3=1+2</w:t>
            </w:r>
          </w:p>
        </w:tc>
        <w:tc>
          <w:tcPr>
            <w:tcW w:w="168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4</w:t>
            </w: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5</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6=3+</w:t>
            </w:r>
          </w:p>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4+5</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7</w:t>
            </w:r>
          </w:p>
        </w:tc>
        <w:tc>
          <w:tcPr>
            <w:tcW w:w="1036"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8</w:t>
            </w:r>
          </w:p>
        </w:tc>
        <w:tc>
          <w:tcPr>
            <w:tcW w:w="88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9=7+8</w:t>
            </w:r>
          </w:p>
        </w:tc>
        <w:tc>
          <w:tcPr>
            <w:tcW w:w="687"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10</w:t>
            </w:r>
          </w:p>
        </w:tc>
        <w:tc>
          <w:tcPr>
            <w:tcW w:w="96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11</w:t>
            </w:r>
          </w:p>
        </w:tc>
        <w:tc>
          <w:tcPr>
            <w:tcW w:w="112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12=9+</w:t>
            </w:r>
          </w:p>
          <w:p w:rsidR="0043277E" w:rsidRDefault="000F2348">
            <w:pPr>
              <w:pStyle w:val="DMETW17212BIPDetailedMFF1Breakdown"/>
              <w:jc w:val="center"/>
              <w:rPr>
                <w:rFonts w:ascii="Verdana" w:eastAsia="Verdana" w:hAnsi="Verdana" w:cs="Verdana"/>
                <w:noProof/>
                <w:color w:val="FFFFFF"/>
                <w:sz w:val="16"/>
              </w:rPr>
            </w:pPr>
            <w:r>
              <w:rPr>
                <w:rFonts w:ascii="Verdana" w:hAnsi="Verdana"/>
                <w:noProof/>
                <w:color w:val="FFFFFF"/>
                <w:sz w:val="16"/>
              </w:rPr>
              <w:t>10+11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1</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Fundusz na rzecz Inwestycji Strategicznych (EFIS)</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1 022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1 023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1 213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system nawigacji satelitarnej (EGNOS/Galileo)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691</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923</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1 248</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Międzynarodowy eksperymentalny reaktor termojądrowy (ITER)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617</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(58)</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608</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Unijny </w:t>
            </w:r>
            <w:r>
              <w:rPr>
                <w:rFonts w:ascii="Verdana" w:hAnsi="Verdana"/>
                <w:noProof/>
                <w:color w:val="000000"/>
                <w:sz w:val="16"/>
              </w:rPr>
              <w:t>program obserwacji i monitorowania Ziemi (Copernicus)</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861</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619</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Korpus Solidarności (ESC)</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143</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143</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program rozwoju przemysłu obronnego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147</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Bezpieczeństwo jądrowe i likwidacja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„Horyzont 2020”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12 312</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12 392</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2 652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15 043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10 972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10 812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3 767</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14 652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Program badawczo-szkoleniowy Euratomu</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539</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Program na rzecz konkurencyjności przedsiębiorstw oraz małych i średnich przedsiębiorstw (COSME)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Kształcenie, szkolenie i sport (Erasmus+)</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2 766</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2 786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w:t>
            </w:r>
            <w:r>
              <w:rPr>
                <w:rFonts w:ascii="Verdana" w:hAnsi="Verdana"/>
                <w:noProof/>
                <w:color w:val="000000"/>
                <w:sz w:val="16"/>
              </w:rPr>
              <w:t xml:space="preserve"> 271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2 563</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2 609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3 217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Zatrudnienie i innowacje społeczne (EaSI)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180</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Cła, Fiscalis i zwalczanie nadużyć finansowych</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134</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Instrument „Łącząc Europę” – </w:t>
            </w:r>
            <w:r>
              <w:rPr>
                <w:rFonts w:ascii="Verdana" w:hAnsi="Verdana"/>
                <w:noProof/>
                <w:color w:val="000000"/>
                <w:sz w:val="16"/>
              </w:rPr>
              <w:t>Energia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949</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327</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326</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Instrument „Łącząc Europę” – Transport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2 640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2 640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2 722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1 223</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1 314</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1 334</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Instrument „Łącząc Europę” - technologie informacyjno-komunikacyjne („ICT”)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Projekty w dziedzinie energetyki wspomagające naprawę gospodarczą</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383</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Inne działania i programy</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193</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165</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164</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391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Szczególne kompetencje Komisji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128</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133</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115</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Konwergencja regionalna (regiony słabiej </w:t>
            </w:r>
            <w:r>
              <w:rPr>
                <w:rFonts w:ascii="Verdana" w:hAnsi="Verdana"/>
                <w:noProof/>
                <w:color w:val="000000"/>
                <w:sz w:val="16"/>
              </w:rPr>
              <w:t>rozwinięte)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27 875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27 885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3 654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31 539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24 042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206</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24 248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4 304</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28 551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Regiony w okresie przejściowym</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5 849</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5 854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6 660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4 370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4 099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1 118</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5 217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Konkurencyjność (regiony lepiej rozwinięte)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8 649</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8 676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1 151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9 827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7 442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7 470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1 382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8 852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Regiony najbardziej oddalone i słabo zaludnione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215</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Fundusz Spójności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9 754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9 754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1 801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11 555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7 706</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8 107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1 695</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9 801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Europejska współpraca terytorialna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1 973</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1 973</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2 208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1 191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256</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1 447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1 703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Pomoc techniczna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213</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Fundusz Pomocy Najbardziej Potrzebującym (FEAD)</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568</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568</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591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Inicjatywa na rzecz zatrudnienia </w:t>
            </w:r>
            <w:r>
              <w:rPr>
                <w:rFonts w:ascii="Verdana" w:hAnsi="Verdana"/>
                <w:noProof/>
                <w:color w:val="000000"/>
                <w:sz w:val="16"/>
              </w:rPr>
              <w:t>ludzi młodych</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390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632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(109)</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523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579</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Instrument „Łącząc Europę”</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1 700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1 700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1 701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1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80 527</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80 627</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12 166</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92 794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67 557</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266</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67 823</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131</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14 600</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82 553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2</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Fundusz Rolniczy Gwarancji (EFRG)</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43 192</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43 192</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1 155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44 806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43 116</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43 113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1 155</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44 933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Europejski Fundusz Rolny na rzecz Rozwoju Obszarów Wiejskich </w:t>
            </w:r>
            <w:r>
              <w:rPr>
                <w:rFonts w:ascii="Verdana" w:hAnsi="Verdana"/>
                <w:noProof/>
                <w:color w:val="000000"/>
                <w:sz w:val="16"/>
              </w:rPr>
              <w:t>(EFRROW)</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14 727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14 727</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1 356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16 083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13 148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13 510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1 356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14 868</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Fundusz Morski i Rybacki (EFMR)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942</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942</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1 160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652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218</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871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Umowy o partnerstwie w sprawie połowów i organizacje ds. </w:t>
            </w:r>
            <w:r>
              <w:rPr>
                <w:rFonts w:ascii="Verdana" w:hAnsi="Verdana"/>
                <w:noProof/>
                <w:color w:val="000000"/>
                <w:sz w:val="16"/>
              </w:rPr>
              <w:lastRenderedPageBreak/>
              <w:t>zarządzania rybołówstwem</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lastRenderedPageBreak/>
              <w:t xml:space="preserve"> 148</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Działania na rzecz środowiska i klimatu (LIFE)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558</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354</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Inne działania i środki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Określone działania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2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59 642</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59 642</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460</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2 745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62 846</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57 400</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437</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57 837</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672</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2 743</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61 252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3</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Fundusz Azylu, </w:t>
            </w:r>
            <w:r>
              <w:rPr>
                <w:rFonts w:ascii="Verdana" w:hAnsi="Verdana"/>
                <w:noProof/>
                <w:color w:val="000000"/>
                <w:sz w:val="16"/>
              </w:rPr>
              <w:t>Migracji i Integracji (AMF)</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1 121</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1 191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1 208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953</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974</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Konsument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Kreatywna Europa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195</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Wsparcie w sytuacjach nadzwyczajnych na terenie Unii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Fundusz Bezpieczeństwa Wewnętrznego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533</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533</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664</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649</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Systemy informatyczne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Sprawiedliwość</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Prawa, równość i obywatelstwo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Unijny Mechanizm Ochrony Ludności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Europa dla Obywateli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Żywność i pasze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239</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Zdrowie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1 090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1 066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1 151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(87)</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911</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Określone działania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101</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3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3 787</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3 787</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279</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4 065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3 527</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(237)</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3 291</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276</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3 575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4</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Pomoc przedakcesyjna (IPA II)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2 423</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2 394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3 133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1 708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(325)</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1 382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1 950</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Pomoc </w:t>
            </w:r>
            <w:r>
              <w:rPr>
                <w:rFonts w:ascii="Verdana" w:hAnsi="Verdana"/>
                <w:noProof/>
                <w:color w:val="000000"/>
                <w:sz w:val="16"/>
              </w:rPr>
              <w:t>makrofinansowa (MFA)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Fundusz Gwarancyjny dla działań zewnętrznych</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Unijny Mechanizm Ochrony Ludności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Inicjatywa „Wolontariusze </w:t>
            </w:r>
            <w:r>
              <w:rPr>
                <w:rFonts w:ascii="Verdana" w:hAnsi="Verdana"/>
                <w:noProof/>
                <w:color w:val="000000"/>
                <w:sz w:val="16"/>
              </w:rPr>
              <w:t>pomocy UE”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Fundusz na rzecz Zrównoważonego Rozwoju (EFZR)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429</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479</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Instrument Sąsiedztwa (ENI)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2 677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2 738</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2 779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2 060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2 061</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2 106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Instrument Finansowania Współpracy na rzecz Rozwoju (DCI)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3 190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3 205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3 287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2 796</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(219)</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2 578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2 716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Instrument Partnerstwa (IP)</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Demokracja i prawa człowieka (EIDHR)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179</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159</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163</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Stabilność i pokój (IcSP)</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319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Pomoc humanitarna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1 652</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315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1 966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424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2 425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1 603</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137</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1 740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2 117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Wspólna polityka zagraniczna i bezpieczeństwa (WPZiB)</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343</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309</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Współpraca w dziedzinie bezpieczeństwa jądrowego (INSC)</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Agencje zdecentralizowan</w:t>
            </w:r>
            <w:r>
              <w:rPr>
                <w:rFonts w:ascii="Verdana" w:hAnsi="Verdana"/>
                <w:noProof/>
                <w:color w:val="000000"/>
                <w:sz w:val="16"/>
              </w:rPr>
              <w:lastRenderedPageBreak/>
              <w:t>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lastRenderedPageBreak/>
              <w:t xml:space="preserve"> 20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Inne działania i programy</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Określone działania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74</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4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11 319</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11 625</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1 795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13 454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9 358</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8</w:t>
            </w:r>
            <w:r>
              <w:rPr>
                <w:rFonts w:ascii="Verdana" w:hAnsi="Verdana"/>
                <w:noProof/>
                <w:color w:val="000000"/>
                <w:sz w:val="16"/>
              </w:rPr>
              <w:t xml:space="preserve"> 953</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1 916</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10 933</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5</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Świadczenia emerytalne i rentowe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2 004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2 004</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Szkoły europejskie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191</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191</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Wydatki administracyjne Komisji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3 629</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3 641</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4 027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3 629</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3 640</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359</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4 385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Wydatki administracyjne innych instytucji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4 550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554</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437</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5 107</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5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9 943</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9 943</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832</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10 776</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9 945</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9 942</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916</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836</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11 694</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6</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Wyrównania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6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lastRenderedPageBreak/>
              <w:t>8</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Rezerwa ujemna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Przeniesiony deficyt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8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9</w:t>
            </w: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Rezerwa na pomoc nadzwyczajną</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Europejski Fundusz Dostosowania do Globalizacji (EFG)</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r>
      <w:tr w:rsidR="0043277E">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 xml:space="preserve">Fundusz </w:t>
            </w:r>
            <w:r>
              <w:rPr>
                <w:rFonts w:ascii="Verdana" w:hAnsi="Verdana"/>
                <w:noProof/>
                <w:color w:val="000000"/>
                <w:sz w:val="16"/>
              </w:rPr>
              <w:t>Solidarności Unii Europejskiej (FSUE)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3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294</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344</w:t>
            </w:r>
          </w:p>
        </w:tc>
        <w:tc>
          <w:tcPr>
            <w:tcW w:w="16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0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8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295</w:t>
            </w:r>
          </w:p>
        </w:tc>
        <w:tc>
          <w:tcPr>
            <w:tcW w:w="68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295</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noProof/>
                <w:color w:val="000000"/>
                <w:sz w:val="16"/>
              </w:rPr>
            </w:pPr>
            <w:r>
              <w:rPr>
                <w:rFonts w:ascii="Verdana" w:hAnsi="Verdana"/>
                <w:noProof/>
                <w:color w:val="000000"/>
                <w:sz w:val="16"/>
              </w:rPr>
              <w:t>Ogółem dział 9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577</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565</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618</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412</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236</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647</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671</w:t>
            </w:r>
          </w:p>
        </w:tc>
      </w:tr>
      <w:tr w:rsidR="0043277E">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1Breakdown"/>
              <w:rPr>
                <w:rFonts w:ascii="Verdana" w:eastAsia="Verdana" w:hAnsi="Verdana" w:cs="Verdana"/>
                <w:b/>
                <w:noProof/>
                <w:color w:val="000000"/>
                <w:sz w:val="16"/>
              </w:rPr>
            </w:pPr>
          </w:p>
        </w:tc>
        <w:tc>
          <w:tcPr>
            <w:tcW w:w="15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rPr>
                <w:rFonts w:ascii="Verdana" w:eastAsia="Verdana" w:hAnsi="Verdana" w:cs="Verdana"/>
                <w:b/>
                <w:noProof/>
                <w:color w:val="000000"/>
                <w:sz w:val="16"/>
              </w:rPr>
            </w:pPr>
            <w:r>
              <w:rPr>
                <w:rFonts w:ascii="Verdana" w:hAnsi="Verdana"/>
                <w:b/>
                <w:noProof/>
                <w:color w:val="000000"/>
                <w:sz w:val="16"/>
              </w:rPr>
              <w:t>Ogółem</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165 796</w:t>
            </w:r>
          </w:p>
        </w:tc>
        <w:tc>
          <w:tcPr>
            <w:tcW w:w="13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394</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166 189</w:t>
            </w:r>
          </w:p>
        </w:tc>
        <w:tc>
          <w:tcPr>
            <w:tcW w:w="16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525</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17 840</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184 554</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148 199</w:t>
            </w:r>
          </w:p>
        </w:tc>
        <w:tc>
          <w:tcPr>
            <w:tcW w:w="10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294</w:t>
            </w:r>
          </w:p>
        </w:tc>
        <w:tc>
          <w:tcPr>
            <w:tcW w:w="8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148 492</w:t>
            </w:r>
          </w:p>
        </w:tc>
        <w:tc>
          <w:tcPr>
            <w:tcW w:w="68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1 792</w:t>
            </w:r>
          </w:p>
        </w:tc>
        <w:tc>
          <w:tcPr>
            <w:tcW w:w="9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20 394</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170 679</w:t>
            </w:r>
          </w:p>
        </w:tc>
      </w:tr>
    </w:tbl>
    <w:p w:rsidR="0043277E" w:rsidRDefault="0043277E">
      <w:pPr>
        <w:pStyle w:val="Textstand-alone"/>
        <w:rPr>
          <w:lang w:bidi="en-GB"/>
        </w:rPr>
        <w:sectPr w:rsidR="0043277E">
          <w:headerReference w:type="even" r:id="rId384"/>
          <w:headerReference w:type="default" r:id="rId385"/>
          <w:footerReference w:type="even" r:id="rId386"/>
          <w:footerReference w:type="default" r:id="rId387"/>
          <w:headerReference w:type="first" r:id="rId388"/>
          <w:footerReference w:type="first" r:id="rId389"/>
          <w:type w:val="nextColumn"/>
          <w:pgSz w:w="16840" w:h="11900" w:orient="landscape"/>
          <w:pgMar w:top="1134" w:right="1134" w:bottom="1134" w:left="1134" w:header="720" w:footer="720" w:gutter="0"/>
          <w:cols w:space="720"/>
          <w:docGrid w:linePitch="272"/>
        </w:sectPr>
      </w:pPr>
    </w:p>
    <w:p w:rsidR="0043277E" w:rsidRDefault="000F2348">
      <w:pPr>
        <w:pStyle w:val="HEADER2PartBUDG"/>
        <w:spacing w:before="120" w:after="240"/>
        <w:ind w:left="357" w:hanging="357"/>
        <w:rPr>
          <w:noProof/>
        </w:rPr>
      </w:pPr>
      <w:bookmarkStart w:id="254" w:name="_Toc49418846"/>
      <w:r>
        <w:rPr>
          <w:noProof/>
        </w:rPr>
        <w:lastRenderedPageBreak/>
        <w:t>WRF W UJĘCIU SZCZEGÓŁOWYM: WYKONANIE ŚRODKÓW NA ZOBOWIĄZANIA</w:t>
      </w:r>
      <w:bookmarkEnd w:id="254"/>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
        <w:gridCol w:w="2108"/>
        <w:gridCol w:w="1080"/>
        <w:gridCol w:w="960"/>
        <w:gridCol w:w="1230"/>
        <w:gridCol w:w="835"/>
        <w:gridCol w:w="972"/>
        <w:gridCol w:w="835"/>
        <w:gridCol w:w="834"/>
        <w:gridCol w:w="934"/>
        <w:gridCol w:w="840"/>
        <w:gridCol w:w="720"/>
        <w:gridCol w:w="840"/>
        <w:gridCol w:w="960"/>
        <w:gridCol w:w="1018"/>
      </w:tblGrid>
      <w:tr w:rsidR="0043277E">
        <w:trPr>
          <w:trHeight w:val="340"/>
          <w:tblHeader/>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bookmarkStart w:id="255" w:name="DOC_TBL00110_1_1"/>
            <w:bookmarkEnd w:id="255"/>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jc w:val="right"/>
              <w:rPr>
                <w:rFonts w:ascii="Verdana" w:eastAsia="Verdana" w:hAnsi="Verdana" w:cs="Verdana"/>
                <w:noProof/>
                <w:color w:val="000000"/>
                <w:sz w:val="16"/>
              </w:rPr>
            </w:pP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blHeader/>
        </w:trPr>
        <w:tc>
          <w:tcPr>
            <w:tcW w:w="2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2ImplementCommitments"/>
              <w:jc w:val="center"/>
              <w:rPr>
                <w:rFonts w:ascii="Verdana" w:eastAsia="Verdana" w:hAnsi="Verdana" w:cs="Verdana"/>
                <w:b/>
                <w:noProof/>
                <w:color w:val="FFFFFF"/>
                <w:sz w:val="16"/>
              </w:rPr>
            </w:pPr>
          </w:p>
        </w:tc>
        <w:tc>
          <w:tcPr>
            <w:tcW w:w="210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2ImplementCommitments"/>
              <w:jc w:val="center"/>
              <w:rPr>
                <w:rFonts w:ascii="Verdana" w:eastAsia="Verdana" w:hAnsi="Verdana" w:cs="Verdana"/>
                <w:b/>
                <w:noProof/>
                <w:color w:val="FFFFFF"/>
                <w:sz w:val="16"/>
              </w:rPr>
            </w:pPr>
          </w:p>
        </w:tc>
        <w:tc>
          <w:tcPr>
            <w:tcW w:w="1080"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Dostęp</w:t>
            </w:r>
            <w:r>
              <w:rPr>
                <w:rFonts w:ascii="Verdana" w:hAnsi="Verdana"/>
                <w:b/>
                <w:noProof/>
                <w:color w:val="FFFFFF"/>
                <w:sz w:val="16"/>
              </w:rPr>
              <w:t>ne</w:t>
            </w:r>
          </w:p>
          <w:p w:rsidR="0043277E" w:rsidRDefault="000F2348">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 xml:space="preserve">środki </w:t>
            </w:r>
          </w:p>
          <w:p w:rsidR="0043277E" w:rsidRDefault="000F2348">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ogółem</w:t>
            </w:r>
          </w:p>
        </w:tc>
        <w:tc>
          <w:tcPr>
            <w:tcW w:w="4832" w:type="dxa"/>
            <w:gridSpan w:val="5"/>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Zaciągnięte zobowiązania</w:t>
            </w:r>
          </w:p>
        </w:tc>
        <w:tc>
          <w:tcPr>
            <w:tcW w:w="2608"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Środki przeniesione na 2020</w:t>
            </w:r>
          </w:p>
        </w:tc>
        <w:tc>
          <w:tcPr>
            <w:tcW w:w="3538"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Środki wygasające</w:t>
            </w:r>
          </w:p>
        </w:tc>
      </w:tr>
      <w:tr w:rsidR="0043277E">
        <w:trPr>
          <w:trHeight w:val="340"/>
          <w:tblHeader/>
        </w:trPr>
        <w:tc>
          <w:tcPr>
            <w:tcW w:w="232"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2ImplementCommitments"/>
              <w:jc w:val="center"/>
              <w:rPr>
                <w:rFonts w:ascii="Verdana" w:eastAsia="Verdana" w:hAnsi="Verdana" w:cs="Verdana"/>
                <w:noProof/>
                <w:color w:val="FFFFFF"/>
                <w:sz w:val="16"/>
              </w:rPr>
            </w:pPr>
          </w:p>
        </w:tc>
        <w:tc>
          <w:tcPr>
            <w:tcW w:w="210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Program</w:t>
            </w:r>
          </w:p>
        </w:tc>
        <w:tc>
          <w:tcPr>
            <w:tcW w:w="108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2ImplementCommitments"/>
              <w:jc w:val="center"/>
              <w:rPr>
                <w:rFonts w:ascii="Verdana" w:eastAsia="Verdana" w:hAnsi="Verdana" w:cs="Verdana"/>
                <w:b/>
                <w:noProof/>
                <w:color w:val="FFFFFF"/>
                <w:sz w:val="16"/>
              </w:rPr>
            </w:pPr>
          </w:p>
        </w:tc>
        <w:tc>
          <w:tcPr>
            <w:tcW w:w="96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123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Ogółem</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w:t>
            </w:r>
          </w:p>
        </w:tc>
        <w:tc>
          <w:tcPr>
            <w:tcW w:w="83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Dochody przeznaczone na określony cel</w:t>
            </w:r>
          </w:p>
        </w:tc>
        <w:tc>
          <w:tcPr>
            <w:tcW w:w="93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Środki</w:t>
            </w:r>
            <w:r>
              <w:rPr>
                <w:rFonts w:ascii="Verdana" w:hAnsi="Verdana"/>
                <w:noProof/>
                <w:color w:val="FFFFFF"/>
                <w:sz w:val="16"/>
              </w:rPr>
              <w:t xml:space="preserve"> przeniesione decyzją</w:t>
            </w:r>
          </w:p>
        </w:tc>
        <w:tc>
          <w:tcPr>
            <w:tcW w:w="84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Ogółem</w:t>
            </w:r>
          </w:p>
        </w:tc>
        <w:tc>
          <w:tcPr>
            <w:tcW w:w="7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84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96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101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val="340"/>
          <w:tblHeader/>
        </w:trPr>
        <w:tc>
          <w:tcPr>
            <w:tcW w:w="232"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2ImplementCommitments"/>
              <w:jc w:val="center"/>
              <w:rPr>
                <w:rFonts w:ascii="Verdana" w:eastAsia="Verdana" w:hAnsi="Verdana" w:cs="Verdana"/>
                <w:noProof/>
                <w:color w:val="FFFFFF"/>
                <w:sz w:val="16"/>
              </w:rPr>
            </w:pPr>
          </w:p>
        </w:tc>
        <w:tc>
          <w:tcPr>
            <w:tcW w:w="2108"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2ImplementCommitments"/>
              <w:jc w:val="center"/>
              <w:rPr>
                <w:rFonts w:ascii="Verdana" w:eastAsia="Verdana" w:hAnsi="Verdana" w:cs="Verdana"/>
                <w:noProof/>
                <w:color w:val="FFFFFF"/>
                <w:sz w:val="16"/>
              </w:rPr>
            </w:pPr>
          </w:p>
        </w:tc>
        <w:tc>
          <w:tcPr>
            <w:tcW w:w="108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w:t>
            </w:r>
          </w:p>
        </w:tc>
        <w:tc>
          <w:tcPr>
            <w:tcW w:w="96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2</w:t>
            </w:r>
          </w:p>
        </w:tc>
        <w:tc>
          <w:tcPr>
            <w:tcW w:w="123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3</w:t>
            </w:r>
          </w:p>
        </w:tc>
        <w:tc>
          <w:tcPr>
            <w:tcW w:w="83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97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5=2+3</w:t>
            </w:r>
          </w:p>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83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34"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7</w:t>
            </w:r>
          </w:p>
        </w:tc>
        <w:tc>
          <w:tcPr>
            <w:tcW w:w="934"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8</w:t>
            </w:r>
          </w:p>
        </w:tc>
        <w:tc>
          <w:tcPr>
            <w:tcW w:w="84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9=7+8</w:t>
            </w:r>
          </w:p>
        </w:tc>
        <w:tc>
          <w:tcPr>
            <w:tcW w:w="72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10</w:t>
            </w:r>
          </w:p>
        </w:tc>
        <w:tc>
          <w:tcPr>
            <w:tcW w:w="84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11</w:t>
            </w:r>
          </w:p>
        </w:tc>
        <w:tc>
          <w:tcPr>
            <w:tcW w:w="96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12</w:t>
            </w:r>
          </w:p>
        </w:tc>
        <w:tc>
          <w:tcPr>
            <w:tcW w:w="1018"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13=10+</w:t>
            </w:r>
          </w:p>
          <w:p w:rsidR="0043277E" w:rsidRDefault="000F2348">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11+12</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1</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Europejski Fundusz na rzecz Inwestycji Strategicznych (EFIS)</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187</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w:t>
            </w:r>
            <w:r>
              <w:rPr>
                <w:rFonts w:ascii="Verdana" w:hAnsi="Verdana"/>
                <w:noProof/>
                <w:color w:val="000000"/>
                <w:sz w:val="16"/>
              </w:rPr>
              <w:t>i system nawigacji satelitarnej (EGNOS/Galileo)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691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773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Międzynar</w:t>
            </w:r>
            <w:r>
              <w:rPr>
                <w:rFonts w:ascii="Verdana" w:hAnsi="Verdana"/>
                <w:noProof/>
                <w:color w:val="000000"/>
                <w:sz w:val="16"/>
              </w:rPr>
              <w:t>odowy eksperymentalny reaktor termojądrowy (ITER)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426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Unijny program obserwacji i monitorowania Ziemi (Copernicus)</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882</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861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w:t>
            </w:r>
            <w:r>
              <w:rPr>
                <w:rFonts w:ascii="Verdana" w:hAnsi="Verdana"/>
                <w:noProof/>
                <w:color w:val="000000"/>
                <w:sz w:val="16"/>
              </w:rPr>
              <w:t>i Korpus Solidarności (ESC)</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w:t>
            </w:r>
            <w:r>
              <w:rPr>
                <w:rFonts w:ascii="Verdana" w:hAnsi="Verdana"/>
                <w:noProof/>
                <w:color w:val="000000"/>
                <w:sz w:val="16"/>
              </w:rPr>
              <w:t>i program rozwoju przemysłu obronnego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Bezpieczeństwo jądrowe i likwidacja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„Horyzont</w:t>
            </w:r>
            <w:r>
              <w:rPr>
                <w:rFonts w:ascii="Verdana" w:hAnsi="Verdana"/>
                <w:noProof/>
                <w:color w:val="000000"/>
                <w:sz w:val="16"/>
              </w:rPr>
              <w:t xml:space="preserve"> 2020”</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15 043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12 391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1 417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13 808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1 234</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1 234</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Program badawczo-szkoleniowy Euratomu</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488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422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86 %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64</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Program n</w:t>
            </w:r>
            <w:r>
              <w:rPr>
                <w:rFonts w:ascii="Verdana" w:hAnsi="Verdana"/>
                <w:noProof/>
                <w:color w:val="000000"/>
                <w:sz w:val="16"/>
              </w:rPr>
              <w:t>a rzecz konkurencyjności przedsiębiorstw oraz małych i średnich przedsiębiorstw (COSME)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367</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398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Kształcen</w:t>
            </w:r>
            <w:r>
              <w:rPr>
                <w:rFonts w:ascii="Verdana" w:hAnsi="Verdana"/>
                <w:noProof/>
                <w:color w:val="000000"/>
                <w:sz w:val="16"/>
              </w:rPr>
              <w:t>ie, szkolenie i sport (Erasmus+)</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3 271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2 786</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3 060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Zatrudnienie i innowacje społeczne (EaSI)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85 %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Cła, Fisc</w:t>
            </w:r>
            <w:r>
              <w:rPr>
                <w:rFonts w:ascii="Verdana" w:hAnsi="Verdana"/>
                <w:noProof/>
                <w:color w:val="000000"/>
                <w:sz w:val="16"/>
              </w:rPr>
              <w:t>alis i zwalczanie nadużyć finansowych</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Instrumen</w:t>
            </w:r>
            <w:r>
              <w:rPr>
                <w:rFonts w:ascii="Verdana" w:hAnsi="Verdana"/>
                <w:noProof/>
                <w:color w:val="000000"/>
                <w:sz w:val="16"/>
              </w:rPr>
              <w:t>t „Łącząc Europę” – Energia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Instrument „Łącząc Europę” – Transport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2 722</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2 639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2 716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Instrumen</w:t>
            </w:r>
            <w:r>
              <w:rPr>
                <w:rFonts w:ascii="Verdana" w:hAnsi="Verdana"/>
                <w:noProof/>
                <w:color w:val="000000"/>
                <w:sz w:val="16"/>
              </w:rPr>
              <w:t>t „Łącząc Europę” - technologie informacyjno-komunikacyjne („ICT”)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w dziedzinie energetyki wspomagające naprawę gospodarczą</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406</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Inne dzia</w:t>
            </w:r>
            <w:r>
              <w:rPr>
                <w:rFonts w:ascii="Verdana" w:hAnsi="Verdana"/>
                <w:noProof/>
                <w:color w:val="000000"/>
                <w:sz w:val="16"/>
              </w:rPr>
              <w:t>łania i programy</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665</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97"/>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Szczególne kompetencje Komisji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132</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Konwergen</w:t>
            </w:r>
            <w:r>
              <w:rPr>
                <w:rFonts w:ascii="Verdana" w:hAnsi="Verdana"/>
                <w:noProof/>
                <w:color w:val="000000"/>
                <w:sz w:val="16"/>
              </w:rPr>
              <w:t>cja regionalna (regiony słabiej rozwinięte)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31 539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27 877</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3 567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31 444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Regiony w</w:t>
            </w:r>
            <w:r>
              <w:rPr>
                <w:rFonts w:ascii="Verdana" w:hAnsi="Verdana"/>
                <w:noProof/>
                <w:color w:val="000000"/>
                <w:sz w:val="16"/>
              </w:rPr>
              <w:t xml:space="preserve"> okresie przejściowym</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6 660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5 851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6 657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505"/>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Konkurenc</w:t>
            </w:r>
            <w:r>
              <w:rPr>
                <w:rFonts w:ascii="Verdana" w:hAnsi="Verdana"/>
                <w:noProof/>
                <w:color w:val="000000"/>
                <w:sz w:val="16"/>
              </w:rPr>
              <w:t xml:space="preserve">yjność (regiony lepiej </w:t>
            </w:r>
            <w:r>
              <w:rPr>
                <w:rFonts w:ascii="Verdana" w:hAnsi="Verdana"/>
                <w:noProof/>
                <w:color w:val="000000"/>
                <w:sz w:val="16"/>
              </w:rPr>
              <w:lastRenderedPageBreak/>
              <w:t>rozwinięte)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lastRenderedPageBreak/>
              <w:t>9 827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8 674</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1 130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9 804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Regiony </w:t>
            </w:r>
            <w:r>
              <w:rPr>
                <w:rFonts w:ascii="Verdana" w:hAnsi="Verdana"/>
                <w:noProof/>
                <w:color w:val="000000"/>
                <w:sz w:val="16"/>
              </w:rPr>
              <w:t>najbardziej oddalone i słabo zaludnione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231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Fundusz Spójności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11 555</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9 752</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1 775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11 527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w:t>
            </w:r>
            <w:r>
              <w:rPr>
                <w:rFonts w:ascii="Verdana" w:hAnsi="Verdana"/>
                <w:noProof/>
                <w:color w:val="000000"/>
                <w:sz w:val="16"/>
              </w:rPr>
              <w:t>a współpraca terytorialna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2 208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1 973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216</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2 189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Pomoc </w:t>
            </w:r>
            <w:r>
              <w:rPr>
                <w:rFonts w:ascii="Verdana" w:hAnsi="Verdana"/>
                <w:noProof/>
                <w:color w:val="000000"/>
                <w:sz w:val="16"/>
              </w:rPr>
              <w:t>techniczna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242</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228</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Europejski Fundusz Pomocy Najbardziej Potrzebującym (FEAD)</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Inicjatyw</w:t>
            </w:r>
            <w:r>
              <w:rPr>
                <w:rFonts w:ascii="Verdana" w:hAnsi="Verdana"/>
                <w:noProof/>
                <w:color w:val="000000"/>
                <w:sz w:val="16"/>
              </w:rPr>
              <w:t>a na rzecz zatrudnienia ludzi młodych</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390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277</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Instrumen</w:t>
            </w:r>
            <w:r>
              <w:rPr>
                <w:rFonts w:ascii="Verdana" w:hAnsi="Verdana"/>
                <w:noProof/>
                <w:color w:val="000000"/>
                <w:sz w:val="16"/>
              </w:rPr>
              <w:t>t „Łącząc Europę”</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w:t>
            </w:r>
            <w:r>
              <w:rPr>
                <w:rFonts w:ascii="Verdana" w:hAnsi="Verdana"/>
                <w:noProof/>
                <w:color w:val="000000"/>
                <w:sz w:val="16"/>
              </w:rPr>
              <w:t>iał 1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92 794</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80 540</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9 996</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90 536</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98 %</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2 074</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2 110</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2</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w:t>
            </w:r>
            <w:r>
              <w:rPr>
                <w:rFonts w:ascii="Verdana" w:hAnsi="Verdana"/>
                <w:noProof/>
                <w:color w:val="000000"/>
                <w:sz w:val="16"/>
              </w:rPr>
              <w:t>ki Fundusz Rolniczy Gwarancji (EFRG)</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44 806</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42 718</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43 962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348</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815</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w:t>
            </w:r>
            <w:r>
              <w:rPr>
                <w:rFonts w:ascii="Verdana" w:hAnsi="Verdana"/>
                <w:noProof/>
                <w:color w:val="000000"/>
                <w:sz w:val="16"/>
              </w:rPr>
              <w:t>i Fundusz Rolny na rzecz Rozwoju Obszarów Wiejskich (EFRROW)</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16 083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14 725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14 765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413</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415</w:t>
            </w:r>
          </w:p>
        </w:tc>
      </w:tr>
      <w:tr w:rsidR="0043277E">
        <w:trPr>
          <w:trHeight w:val="507"/>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Europejski Fundusz Morski i Rybacki (EFMR)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1 160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1 082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855"/>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Umowy o p</w:t>
            </w:r>
            <w:r>
              <w:rPr>
                <w:rFonts w:ascii="Verdana" w:hAnsi="Verdana"/>
                <w:noProof/>
                <w:color w:val="000000"/>
                <w:sz w:val="16"/>
              </w:rPr>
              <w:t>artnerstwie w sprawie połowów i organizacje ds. zarządzania rybołówstwem</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Działania</w:t>
            </w:r>
            <w:r>
              <w:rPr>
                <w:rFonts w:ascii="Verdana" w:hAnsi="Verdana"/>
                <w:noProof/>
                <w:color w:val="000000"/>
                <w:sz w:val="16"/>
              </w:rPr>
              <w:t xml:space="preserve"> na rzecz środowiska i klimatu (LIFE)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559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Inne dzia</w:t>
            </w:r>
            <w:r>
              <w:rPr>
                <w:rFonts w:ascii="Verdana" w:hAnsi="Verdana"/>
                <w:noProof/>
                <w:color w:val="000000"/>
                <w:sz w:val="16"/>
              </w:rPr>
              <w:t>łania i środki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Określone działania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w:t>
            </w:r>
            <w:r>
              <w:rPr>
                <w:rFonts w:ascii="Verdana" w:hAnsi="Verdana"/>
                <w:noProof/>
                <w:color w:val="000000"/>
                <w:sz w:val="16"/>
              </w:rPr>
              <w:t>iał 2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62 846</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59 161</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1 001</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60 600</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96 %</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1 330</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1 797</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449</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3</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Fundusz </w:t>
            </w:r>
            <w:r>
              <w:rPr>
                <w:rFonts w:ascii="Verdana" w:hAnsi="Verdana"/>
                <w:noProof/>
                <w:color w:val="000000"/>
                <w:sz w:val="16"/>
              </w:rPr>
              <w:t>Azylu, Migracji i Integracji (AMF)</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1 208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1 184</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1 192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Konsument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Kreatywna</w:t>
            </w:r>
            <w:r>
              <w:rPr>
                <w:rFonts w:ascii="Verdana" w:hAnsi="Verdana"/>
                <w:noProof/>
                <w:color w:val="000000"/>
                <w:sz w:val="16"/>
              </w:rPr>
              <w:t xml:space="preserve"> Europa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Wsparcie w sytuacjach nadzwyczajnych na terenie Unii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Fundusz B</w:t>
            </w:r>
            <w:r>
              <w:rPr>
                <w:rFonts w:ascii="Verdana" w:hAnsi="Verdana"/>
                <w:noProof/>
                <w:color w:val="000000"/>
                <w:sz w:val="16"/>
              </w:rPr>
              <w:t>ezpieczeństwa Wewnętrznego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681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533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84</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84</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Systemy i</w:t>
            </w:r>
            <w:r>
              <w:rPr>
                <w:rFonts w:ascii="Verdana" w:hAnsi="Verdana"/>
                <w:noProof/>
                <w:color w:val="000000"/>
                <w:sz w:val="16"/>
              </w:rPr>
              <w:t>nformatyczne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Sprawiedliwość</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Prawa, ró</w:t>
            </w:r>
            <w:r>
              <w:rPr>
                <w:rFonts w:ascii="Verdana" w:hAnsi="Verdana"/>
                <w:noProof/>
                <w:color w:val="000000"/>
                <w:sz w:val="16"/>
              </w:rPr>
              <w:t>wność i obywatelstwo</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66</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Unijny Me</w:t>
            </w:r>
            <w:r>
              <w:rPr>
                <w:rFonts w:ascii="Verdana" w:hAnsi="Verdana"/>
                <w:noProof/>
                <w:color w:val="000000"/>
                <w:sz w:val="16"/>
              </w:rPr>
              <w:t>chanizm Ochrony Ludności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Europa dla Obywateli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Żywność i</w:t>
            </w:r>
            <w:r>
              <w:rPr>
                <w:rFonts w:ascii="Verdana" w:hAnsi="Verdana"/>
                <w:noProof/>
                <w:color w:val="000000"/>
                <w:sz w:val="16"/>
              </w:rPr>
              <w:t xml:space="preserve"> pasze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Zdrowie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68</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1 151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1 059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1 102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Określone</w:t>
            </w:r>
            <w:r>
              <w:rPr>
                <w:rFonts w:ascii="Verdana" w:hAnsi="Verdana"/>
                <w:noProof/>
                <w:color w:val="000000"/>
                <w:sz w:val="16"/>
              </w:rPr>
              <w:t xml:space="preserve"> działania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dział 3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4 065</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3 737</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3 874</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95 %</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4</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Pomoc </w:t>
            </w:r>
            <w:r>
              <w:rPr>
                <w:rFonts w:ascii="Verdana" w:hAnsi="Verdana"/>
                <w:noProof/>
                <w:color w:val="000000"/>
                <w:sz w:val="16"/>
              </w:rPr>
              <w:t>przedakcesyjna (IPA II)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3 133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2 393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2 994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138</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138</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Pomoc makrofinansowa (MFA)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Fundusz G</w:t>
            </w:r>
            <w:r>
              <w:rPr>
                <w:rFonts w:ascii="Verdana" w:hAnsi="Verdana"/>
                <w:noProof/>
                <w:color w:val="000000"/>
                <w:sz w:val="16"/>
              </w:rPr>
              <w:t>warancyjny dla działań zewnętrznych</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110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Unijny Me</w:t>
            </w:r>
            <w:r>
              <w:rPr>
                <w:rFonts w:ascii="Verdana" w:hAnsi="Verdana"/>
                <w:noProof/>
                <w:color w:val="000000"/>
                <w:sz w:val="16"/>
              </w:rPr>
              <w:t>chanizm Ochrony Ludności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Inicjatywa „Wolontariusze pomocy UE”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Fundusz n</w:t>
            </w:r>
            <w:r>
              <w:rPr>
                <w:rFonts w:ascii="Verdana" w:hAnsi="Verdana"/>
                <w:noProof/>
                <w:color w:val="000000"/>
                <w:sz w:val="16"/>
              </w:rPr>
              <w:t>a rzecz Zrównoważonego Rozwoju (EFZR)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61 %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Europejski Instrument Sąsiedztwa (ENI)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2 779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2 738</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2 769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45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Instrument Finansowania Współpracy na rzecz Rozwoju (DCI)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3 287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3 204</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3 262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Instrumen</w:t>
            </w:r>
            <w:r>
              <w:rPr>
                <w:rFonts w:ascii="Verdana" w:hAnsi="Verdana"/>
                <w:noProof/>
                <w:color w:val="000000"/>
                <w:sz w:val="16"/>
              </w:rPr>
              <w:t>t Partnerstwa (IP)</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Demokracj</w:t>
            </w:r>
            <w:r>
              <w:rPr>
                <w:rFonts w:ascii="Verdana" w:hAnsi="Verdana"/>
                <w:noProof/>
                <w:color w:val="000000"/>
                <w:sz w:val="16"/>
              </w:rPr>
              <w:t>a i prawa człowieka (EIDHR)</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179</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Stabilnoś</w:t>
            </w:r>
            <w:r>
              <w:rPr>
                <w:rFonts w:ascii="Verdana" w:hAnsi="Verdana"/>
                <w:noProof/>
                <w:color w:val="000000"/>
                <w:sz w:val="16"/>
              </w:rPr>
              <w:t>ć i pokój (IcSP)</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388</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Pomoc hum</w:t>
            </w:r>
            <w:r>
              <w:rPr>
                <w:rFonts w:ascii="Verdana" w:hAnsi="Verdana"/>
                <w:noProof/>
                <w:color w:val="000000"/>
                <w:sz w:val="16"/>
              </w:rPr>
              <w:t>anitarna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2 425</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1 966</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2 412</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Wspólna p</w:t>
            </w:r>
            <w:r>
              <w:rPr>
                <w:rFonts w:ascii="Verdana" w:hAnsi="Verdana"/>
                <w:noProof/>
                <w:color w:val="000000"/>
                <w:sz w:val="16"/>
              </w:rPr>
              <w:t>olityka zagraniczna i bezpieczeństwa (WPZiB)</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Współprac</w:t>
            </w:r>
            <w:r>
              <w:rPr>
                <w:rFonts w:ascii="Verdana" w:hAnsi="Verdana"/>
                <w:noProof/>
                <w:color w:val="000000"/>
                <w:sz w:val="16"/>
              </w:rPr>
              <w:t>a w dziedzinie bezpieczeństwa jądrowego (INSC)</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Agencje zdecentralizowane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Inne dzia</w:t>
            </w:r>
            <w:r>
              <w:rPr>
                <w:rFonts w:ascii="Verdana" w:hAnsi="Verdana"/>
                <w:noProof/>
                <w:color w:val="000000"/>
                <w:sz w:val="16"/>
              </w:rPr>
              <w:t>łania i programy</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286</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pilotażowe i działania 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47 %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Określone działania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w:t>
            </w:r>
            <w:r>
              <w:rPr>
                <w:rFonts w:ascii="Verdana" w:hAnsi="Verdana"/>
                <w:noProof/>
                <w:color w:val="000000"/>
                <w:sz w:val="16"/>
              </w:rPr>
              <w:t>iał 4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13 454</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11 622</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1 454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13 111</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97 %</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340</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341</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5</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Świadcze</w:t>
            </w:r>
            <w:r>
              <w:rPr>
                <w:rFonts w:ascii="Verdana" w:hAnsi="Verdana"/>
                <w:noProof/>
                <w:color w:val="000000"/>
                <w:sz w:val="16"/>
              </w:rPr>
              <w:t>nia emerytalne i rentowe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2 002</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1 990</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1 990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Szkoły europejskie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Agencje z</w:t>
            </w:r>
            <w:r>
              <w:rPr>
                <w:rFonts w:ascii="Verdana" w:hAnsi="Verdana"/>
                <w:noProof/>
                <w:color w:val="000000"/>
                <w:sz w:val="16"/>
              </w:rPr>
              <w:t>decentralizowane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 xml:space="preserve">pilotażowe i działania </w:t>
            </w:r>
            <w:r>
              <w:rPr>
                <w:rFonts w:ascii="Verdana" w:hAnsi="Verdana"/>
                <w:noProof/>
                <w:color w:val="000000"/>
                <w:sz w:val="16"/>
              </w:rPr>
              <w:lastRenderedPageBreak/>
              <w:t>przygotowawcze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lastRenderedPageBreak/>
              <w:t xml:space="preserve"> 4</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Wydatki administracyjne Komisji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4 027</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3 589</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3 816</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Wydatki a</w:t>
            </w:r>
            <w:r>
              <w:rPr>
                <w:rFonts w:ascii="Verdana" w:hAnsi="Verdana"/>
                <w:noProof/>
                <w:color w:val="000000"/>
                <w:sz w:val="16"/>
              </w:rPr>
              <w:t>dministracyjne innych instytucji</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4 550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4 033</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338</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4 371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dział 5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10 776</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9 797</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574</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10 371</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96 %</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6</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Wyrównan</w:t>
            </w:r>
            <w:r>
              <w:rPr>
                <w:rFonts w:ascii="Verdana" w:hAnsi="Verdana"/>
                <w:noProof/>
                <w:color w:val="000000"/>
                <w:sz w:val="16"/>
              </w:rPr>
              <w:t>ia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w:t>
            </w:r>
            <w:r>
              <w:rPr>
                <w:rFonts w:ascii="Verdana" w:hAnsi="Verdana"/>
                <w:noProof/>
                <w:color w:val="000000"/>
                <w:sz w:val="16"/>
              </w:rPr>
              <w:t>iał 6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8</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Rezerwa ujemna</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Przeniesi</w:t>
            </w:r>
            <w:r>
              <w:rPr>
                <w:rFonts w:ascii="Verdana" w:hAnsi="Verdana"/>
                <w:noProof/>
                <w:color w:val="000000"/>
                <w:sz w:val="16"/>
              </w:rPr>
              <w:t>ony deficyt</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w:t>
            </w:r>
            <w:r>
              <w:rPr>
                <w:rFonts w:ascii="Verdana" w:hAnsi="Verdana"/>
                <w:noProof/>
                <w:color w:val="000000"/>
                <w:sz w:val="16"/>
              </w:rPr>
              <w:t>iał 8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9</w:t>
            </w: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Rezerwa na pomoc nadzwyczajną</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Europejsk</w:t>
            </w:r>
            <w:r>
              <w:rPr>
                <w:rFonts w:ascii="Verdana" w:hAnsi="Verdana"/>
                <w:noProof/>
                <w:color w:val="000000"/>
                <w:sz w:val="16"/>
              </w:rPr>
              <w:t>i Fundusz Dostosowania do Globalizacji (EFG)</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199</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191</w:t>
            </w:r>
          </w:p>
        </w:tc>
      </w:tr>
      <w:tr w:rsidR="0043277E">
        <w:trPr>
          <w:trHeight w:val="340"/>
        </w:trPr>
        <w:tc>
          <w:tcPr>
            <w:tcW w:w="23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Fundusz Solidarności Unii Europejskiej (FSUE)</w:t>
            </w:r>
          </w:p>
        </w:tc>
        <w:tc>
          <w:tcPr>
            <w:tcW w:w="108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373</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1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79 %</w:t>
            </w:r>
          </w:p>
        </w:tc>
        <w:tc>
          <w:tcPr>
            <w:tcW w:w="8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7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01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noProof/>
                <w:color w:val="000000"/>
                <w:sz w:val="16"/>
              </w:rPr>
            </w:pPr>
            <w:r>
              <w:rPr>
                <w:rFonts w:ascii="Verdana" w:hAnsi="Verdana"/>
                <w:noProof/>
                <w:color w:val="000000"/>
                <w:sz w:val="16"/>
              </w:rPr>
              <w:t>Ogółem dz</w:t>
            </w:r>
            <w:r>
              <w:rPr>
                <w:rFonts w:ascii="Verdana" w:hAnsi="Verdana"/>
                <w:noProof/>
                <w:color w:val="000000"/>
                <w:sz w:val="16"/>
              </w:rPr>
              <w:t>iał 9 WRF</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48 %</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102</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221</w:t>
            </w:r>
          </w:p>
        </w:tc>
      </w:tr>
      <w:tr w:rsidR="0043277E">
        <w:trPr>
          <w:trHeight w:val="340"/>
        </w:trPr>
        <w:tc>
          <w:tcPr>
            <w:tcW w:w="232"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2ImplementCommitments"/>
              <w:rPr>
                <w:rFonts w:ascii="Verdana" w:eastAsia="Verdana" w:hAnsi="Verdana" w:cs="Verdana"/>
                <w:b/>
                <w:noProof/>
                <w:color w:val="000000"/>
                <w:sz w:val="16"/>
              </w:rPr>
            </w:pPr>
          </w:p>
        </w:tc>
        <w:tc>
          <w:tcPr>
            <w:tcW w:w="210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rPr>
                <w:rFonts w:ascii="Verdana" w:eastAsia="Verdana" w:hAnsi="Verdana" w:cs="Verdana"/>
                <w:b/>
                <w:noProof/>
                <w:color w:val="000000"/>
                <w:sz w:val="16"/>
              </w:rPr>
            </w:pPr>
            <w:r>
              <w:rPr>
                <w:rFonts w:ascii="Verdana" w:hAnsi="Verdana"/>
                <w:b/>
                <w:noProof/>
                <w:color w:val="000000"/>
                <w:sz w:val="16"/>
              </w:rPr>
              <w:t>Ogółem</w:t>
            </w:r>
          </w:p>
        </w:tc>
        <w:tc>
          <w:tcPr>
            <w:tcW w:w="108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18</w:t>
            </w:r>
            <w:r>
              <w:rPr>
                <w:rFonts w:ascii="Verdana" w:hAnsi="Verdana"/>
                <w:b/>
                <w:noProof/>
                <w:color w:val="000000"/>
                <w:sz w:val="16"/>
              </w:rPr>
              <w:t>4 554</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165 153</w:t>
            </w:r>
          </w:p>
        </w:tc>
        <w:tc>
          <w:tcPr>
            <w:tcW w:w="12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13 161</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178 787</w:t>
            </w:r>
          </w:p>
        </w:tc>
        <w:tc>
          <w:tcPr>
            <w:tcW w:w="835" w:type="dxa"/>
            <w:tcBorders>
              <w:top w:val="nil"/>
              <w:left w:val="nil"/>
              <w:bottom w:val="nil"/>
              <w:right w:val="nil"/>
              <w:tl2br w:val="nil"/>
              <w:tr2bl w:val="nil"/>
            </w:tcBorders>
            <w:shd w:val="solid" w:color="CCE1EB"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4 149</w:t>
            </w:r>
          </w:p>
        </w:tc>
        <w:tc>
          <w:tcPr>
            <w:tcW w:w="9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4 747</w:t>
            </w:r>
          </w:p>
        </w:tc>
        <w:tc>
          <w:tcPr>
            <w:tcW w:w="7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84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01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1 019</w:t>
            </w:r>
          </w:p>
        </w:tc>
      </w:tr>
    </w:tbl>
    <w:p w:rsidR="0043277E" w:rsidRDefault="000F2348">
      <w:pPr>
        <w:pStyle w:val="HEADER2PartBUDG"/>
        <w:keepNext/>
        <w:rPr>
          <w:noProof/>
        </w:rPr>
      </w:pPr>
      <w:bookmarkStart w:id="256" w:name="_Toc49418847"/>
      <w:r>
        <w:rPr>
          <w:noProof/>
        </w:rPr>
        <w:lastRenderedPageBreak/>
        <w:t>WRF W UJĘCIU SZCZEGÓŁOWYM: WYKONANIE ŚRODKÓW NA PŁATNOŚCI</w:t>
      </w:r>
      <w:bookmarkEnd w:id="256"/>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020"/>
        <w:gridCol w:w="1050"/>
        <w:gridCol w:w="875"/>
        <w:gridCol w:w="688"/>
        <w:gridCol w:w="826"/>
        <w:gridCol w:w="962"/>
        <w:gridCol w:w="764"/>
        <w:gridCol w:w="835"/>
        <w:gridCol w:w="694"/>
        <w:gridCol w:w="835"/>
        <w:gridCol w:w="863"/>
        <w:gridCol w:w="827"/>
        <w:gridCol w:w="826"/>
        <w:gridCol w:w="827"/>
        <w:gridCol w:w="1129"/>
      </w:tblGrid>
      <w:tr w:rsidR="0043277E">
        <w:trPr>
          <w:trHeight w:hRule="exact" w:val="397"/>
          <w:tblHeader/>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bookmarkStart w:id="257" w:name="DOC_TBL00111_1_1"/>
            <w:bookmarkEnd w:id="257"/>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keepNext/>
              <w:rPr>
                <w:rFonts w:ascii="Verdana" w:eastAsia="Verdana" w:hAnsi="Verdana" w:cs="Verdana"/>
                <w:noProof/>
                <w:color w:val="000000"/>
                <w:sz w:val="16"/>
              </w:rPr>
            </w:pP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keepNext/>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hRule="exact" w:val="397"/>
          <w:tblHeader/>
        </w:trPr>
        <w:tc>
          <w:tcPr>
            <w:tcW w:w="23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3ImplementPayments"/>
              <w:keepNext/>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3ImplementPayments"/>
              <w:keepNext/>
              <w:jc w:val="center"/>
              <w:rPr>
                <w:rFonts w:ascii="Verdana" w:eastAsia="Verdana" w:hAnsi="Verdana" w:cs="Verdana"/>
                <w:b/>
                <w:noProof/>
                <w:color w:val="FFFFFF"/>
                <w:sz w:val="16"/>
              </w:rPr>
            </w:pPr>
          </w:p>
        </w:tc>
        <w:tc>
          <w:tcPr>
            <w:tcW w:w="1050"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keepNext/>
              <w:jc w:val="center"/>
              <w:rPr>
                <w:rFonts w:ascii="Verdana" w:eastAsia="Verdana" w:hAnsi="Verdana" w:cs="Verdana"/>
                <w:b/>
                <w:noProof/>
                <w:color w:val="FFFFFF"/>
                <w:sz w:val="16"/>
              </w:rPr>
            </w:pPr>
            <w:r>
              <w:rPr>
                <w:rFonts w:ascii="Verdana" w:hAnsi="Verdana"/>
                <w:b/>
                <w:noProof/>
                <w:color w:val="FFFFFF"/>
                <w:sz w:val="16"/>
              </w:rPr>
              <w:t>Dostępne</w:t>
            </w:r>
          </w:p>
          <w:p w:rsidR="0043277E" w:rsidRDefault="000F2348">
            <w:pPr>
              <w:pStyle w:val="DMETW17212BIPDetailedMFF3ImplementPayments"/>
              <w:keepNext/>
              <w:jc w:val="center"/>
              <w:rPr>
                <w:rFonts w:ascii="Verdana" w:eastAsia="Verdana" w:hAnsi="Verdana" w:cs="Verdana"/>
                <w:b/>
                <w:noProof/>
                <w:color w:val="FFFFFF"/>
                <w:sz w:val="16"/>
              </w:rPr>
            </w:pPr>
            <w:r>
              <w:rPr>
                <w:rFonts w:ascii="Verdana" w:hAnsi="Verdana"/>
                <w:b/>
                <w:noProof/>
                <w:color w:val="FFFFFF"/>
                <w:sz w:val="16"/>
              </w:rPr>
              <w:t>środki</w:t>
            </w:r>
          </w:p>
          <w:p w:rsidR="0043277E" w:rsidRDefault="000F2348">
            <w:pPr>
              <w:pStyle w:val="DMETW17212BIPDetailedMFF3ImplementPayments"/>
              <w:keepNext/>
              <w:jc w:val="center"/>
              <w:rPr>
                <w:rFonts w:ascii="Verdana" w:eastAsia="Verdana" w:hAnsi="Verdana" w:cs="Verdana"/>
                <w:b/>
                <w:noProof/>
                <w:color w:val="FFFFFF"/>
                <w:sz w:val="16"/>
              </w:rPr>
            </w:pPr>
            <w:r>
              <w:rPr>
                <w:rFonts w:ascii="Verdana" w:hAnsi="Verdana"/>
                <w:b/>
                <w:noProof/>
                <w:color w:val="FFFFFF"/>
                <w:sz w:val="16"/>
              </w:rPr>
              <w:t>ogółem</w:t>
            </w:r>
          </w:p>
        </w:tc>
        <w:tc>
          <w:tcPr>
            <w:tcW w:w="4115" w:type="dxa"/>
            <w:gridSpan w:val="5"/>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keepNext/>
              <w:jc w:val="center"/>
              <w:rPr>
                <w:rFonts w:ascii="Verdana" w:eastAsia="Verdana" w:hAnsi="Verdana" w:cs="Verdana"/>
                <w:b/>
                <w:noProof/>
                <w:color w:val="FFFFFF"/>
                <w:sz w:val="16"/>
              </w:rPr>
            </w:pPr>
            <w:r>
              <w:rPr>
                <w:rFonts w:ascii="Verdana" w:hAnsi="Verdana"/>
                <w:b/>
                <w:noProof/>
                <w:color w:val="FFFFFF"/>
                <w:sz w:val="16"/>
              </w:rPr>
              <w:t>Dokonane płatności</w:t>
            </w:r>
          </w:p>
        </w:tc>
        <w:tc>
          <w:tcPr>
            <w:tcW w:w="3227"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keepNext/>
              <w:jc w:val="center"/>
              <w:rPr>
                <w:rFonts w:ascii="Verdana" w:eastAsia="Verdana" w:hAnsi="Verdana" w:cs="Verdana"/>
                <w:b/>
                <w:noProof/>
                <w:color w:val="FFFFFF"/>
                <w:sz w:val="16"/>
              </w:rPr>
            </w:pPr>
            <w:r>
              <w:rPr>
                <w:rFonts w:ascii="Verdana" w:hAnsi="Verdana"/>
                <w:b/>
                <w:noProof/>
                <w:color w:val="FFFFFF"/>
                <w:sz w:val="16"/>
              </w:rPr>
              <w:t>Środki przeniesione na 2020 r.</w:t>
            </w:r>
          </w:p>
        </w:tc>
        <w:tc>
          <w:tcPr>
            <w:tcW w:w="3609"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keepNext/>
              <w:jc w:val="center"/>
              <w:rPr>
                <w:rFonts w:ascii="Verdana" w:eastAsia="Verdana" w:hAnsi="Verdana" w:cs="Verdana"/>
                <w:b/>
                <w:noProof/>
                <w:color w:val="FFFFFF"/>
                <w:sz w:val="16"/>
              </w:rPr>
            </w:pPr>
            <w:r>
              <w:rPr>
                <w:rFonts w:ascii="Verdana" w:hAnsi="Verdana"/>
                <w:b/>
                <w:noProof/>
                <w:color w:val="FFFFFF"/>
                <w:sz w:val="16"/>
              </w:rPr>
              <w:t>Środki wygasające</w:t>
            </w:r>
          </w:p>
        </w:tc>
      </w:tr>
      <w:tr w:rsidR="0043277E">
        <w:trPr>
          <w:trHeight w:hRule="exact" w:val="1731"/>
          <w:tblHeader/>
        </w:trPr>
        <w:tc>
          <w:tcPr>
            <w:tcW w:w="23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Program</w:t>
            </w:r>
          </w:p>
        </w:tc>
        <w:tc>
          <w:tcPr>
            <w:tcW w:w="105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3ImplementPayments"/>
              <w:jc w:val="center"/>
              <w:rPr>
                <w:rFonts w:ascii="Verdana" w:eastAsia="Verdana" w:hAnsi="Verdana" w:cs="Verdana"/>
                <w:b/>
                <w:noProof/>
                <w:color w:val="FFFFFF"/>
                <w:sz w:val="16"/>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68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96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Ogółem</w:t>
            </w:r>
          </w:p>
        </w:tc>
        <w:tc>
          <w:tcPr>
            <w:tcW w:w="76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Środki przeniesione automatycznie</w:t>
            </w:r>
          </w:p>
        </w:tc>
        <w:tc>
          <w:tcPr>
            <w:tcW w:w="69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Środki przeniesione decyzją</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Dochody przeznaczone na określony cel</w:t>
            </w:r>
          </w:p>
        </w:tc>
        <w:tc>
          <w:tcPr>
            <w:tcW w:w="86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Ogółem</w:t>
            </w:r>
          </w:p>
        </w:tc>
        <w:tc>
          <w:tcPr>
            <w:tcW w:w="82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82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82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112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hRule="exact" w:val="397"/>
          <w:tblHeader/>
        </w:trPr>
        <w:tc>
          <w:tcPr>
            <w:tcW w:w="230"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3ImplementPayments"/>
              <w:jc w:val="center"/>
              <w:rPr>
                <w:rFonts w:ascii="Verdana" w:eastAsia="Verdana" w:hAnsi="Verdana" w:cs="Verdana"/>
                <w:noProof/>
                <w:color w:val="FFFFFF"/>
                <w:sz w:val="16"/>
              </w:rPr>
            </w:pPr>
          </w:p>
        </w:tc>
        <w:tc>
          <w:tcPr>
            <w:tcW w:w="2020"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3ImplementPayments"/>
              <w:jc w:val="center"/>
              <w:rPr>
                <w:rFonts w:ascii="Verdana" w:eastAsia="Verdana" w:hAnsi="Verdana" w:cs="Verdana"/>
                <w:noProof/>
                <w:color w:val="FFFFFF"/>
                <w:sz w:val="16"/>
              </w:rPr>
            </w:pPr>
          </w:p>
        </w:tc>
        <w:tc>
          <w:tcPr>
            <w:tcW w:w="105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w:t>
            </w:r>
          </w:p>
        </w:tc>
        <w:tc>
          <w:tcPr>
            <w:tcW w:w="87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2</w:t>
            </w:r>
          </w:p>
        </w:tc>
        <w:tc>
          <w:tcPr>
            <w:tcW w:w="688"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3</w:t>
            </w:r>
          </w:p>
        </w:tc>
        <w:tc>
          <w:tcPr>
            <w:tcW w:w="826"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4</w:t>
            </w:r>
          </w:p>
        </w:tc>
        <w:tc>
          <w:tcPr>
            <w:tcW w:w="96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5=2+</w:t>
            </w:r>
          </w:p>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3+4</w:t>
            </w:r>
          </w:p>
        </w:tc>
        <w:tc>
          <w:tcPr>
            <w:tcW w:w="764"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6=5/1</w:t>
            </w:r>
          </w:p>
        </w:tc>
        <w:tc>
          <w:tcPr>
            <w:tcW w:w="83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7</w:t>
            </w:r>
          </w:p>
        </w:tc>
        <w:tc>
          <w:tcPr>
            <w:tcW w:w="694"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8</w:t>
            </w:r>
          </w:p>
        </w:tc>
        <w:tc>
          <w:tcPr>
            <w:tcW w:w="835"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9</w:t>
            </w:r>
          </w:p>
        </w:tc>
        <w:tc>
          <w:tcPr>
            <w:tcW w:w="86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10=7+</w:t>
            </w:r>
          </w:p>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8+9</w:t>
            </w:r>
          </w:p>
        </w:tc>
        <w:tc>
          <w:tcPr>
            <w:tcW w:w="827"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11</w:t>
            </w:r>
          </w:p>
        </w:tc>
        <w:tc>
          <w:tcPr>
            <w:tcW w:w="826"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12</w:t>
            </w:r>
          </w:p>
        </w:tc>
        <w:tc>
          <w:tcPr>
            <w:tcW w:w="827"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13</w:t>
            </w:r>
          </w:p>
        </w:tc>
        <w:tc>
          <w:tcPr>
            <w:tcW w:w="112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14=11+</w:t>
            </w:r>
          </w:p>
          <w:p w:rsidR="0043277E" w:rsidRDefault="000F2348">
            <w:pPr>
              <w:pStyle w:val="DMETW17212BIPDetailedMFF3ImplementPayments"/>
              <w:jc w:val="center"/>
              <w:rPr>
                <w:rFonts w:ascii="Verdana" w:eastAsia="Verdana" w:hAnsi="Verdana" w:cs="Verdana"/>
                <w:noProof/>
                <w:color w:val="FFFFFF"/>
                <w:sz w:val="16"/>
              </w:rPr>
            </w:pPr>
            <w:r>
              <w:rPr>
                <w:rFonts w:ascii="Verdana" w:hAnsi="Verdana"/>
                <w:noProof/>
                <w:color w:val="FFFFFF"/>
                <w:sz w:val="16"/>
              </w:rPr>
              <w:t>12+13</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1</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Fundusz na rzecz Inwestycji Strategicznych (EFIS)</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1 213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1 186</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724"/>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system nawigacji satelitarnej (EGNOS/Galileo)</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1 248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1 041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83 %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205</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Międzynarodowy eksperymentalny reaktor termojądrowy (ITER)</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558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575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68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Unijny program obserwacji i monitorowania Ziemi (Copernicus)</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Korpus Solidarności (ESC)</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program rozwoju przemysłu obronnego</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Bezpieczeństwo jądrowe i likwidacja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„Horyzont 2020”</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14 652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10 731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11 578</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2 983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3 065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r>
      <w:tr w:rsidR="0043277E">
        <w:trPr>
          <w:trHeight w:hRule="exact" w:val="67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Program badawczo-szkoleniowy Euratomu</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539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390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72 %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hRule="exact" w:val="669"/>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Program na rzecz konkurencyjności przedsiębiorstw oraz małych i średnich przedsiębiorstw (COSME)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566"/>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Kształcenie, szkolenie i sport (Erasmus+)</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3 217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2 602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2 857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Zatrudnienie i innowacje społeczne (EaSI)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72 %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Cła, Fiscalis i zwalczanie nadużyć finansowych</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Instrument „Łącząc Europę” – Energia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Instrument „Łącząc Europę” – Transport</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1 334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1 312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1 327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Instrument „Łącząc Europę” - technologie informacyjno-komunikacyjne („ICT”)</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Projekty w dziedzinie energetyki wspomagające naprawę gospodarczą</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Agencje zdecentralizowane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377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r>
      <w:tr w:rsidR="0043277E">
        <w:trPr>
          <w:trHeight w:hRule="exact" w:val="641"/>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Inne działania i programy</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556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268</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285</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r>
      <w:tr w:rsidR="0043277E">
        <w:trPr>
          <w:trHeight w:hRule="exact" w:val="523"/>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Szczególne kompetencje Komisji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Konwergencja regionalna (regiony słabiej rozwinięte)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28 551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24 248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3 281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27 529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Regiony w okresie przejściowym</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5 217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4 099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1 053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5 151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Konkurencyjność (regiony lepiej rozwinięte)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8 852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7 470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8 452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400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400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Regiony najbardziej oddalone i słabo zaludnione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Fundusz Spójności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9 801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8 107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8 793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1 008</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1 008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Europejska współpraca terytorialna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1 703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1 447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1 546</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Pomoc techniczna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173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184</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Fundusz Pomocy Najbardziej Potrzebującym (FEAD)</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504</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45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Inicjatywa na rzecz zatrudnienia ludzi młodych</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579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549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Instrument „Łącząc Europę”</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1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82 553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67 637</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113</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7 785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75 535</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91 %</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6 813</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6 967</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w:t>
            </w:r>
          </w:p>
        </w:tc>
      </w:tr>
      <w:tr w:rsidR="0043277E">
        <w:trPr>
          <w:trHeight w:hRule="exact" w:val="525"/>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2</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Fundusz Rolniczy Gwarancji (EFRG)</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44 933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42 449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631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806</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43 885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349</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1 006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42</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Fundusz Rolny na rzecz Rozwoju Obszarów Wiejskich (EFRROW)</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14 868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13 505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705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14 213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hRule="exact" w:val="593"/>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Fundusz Morski i Rybacki (EFMR)</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871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848</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Umowy o partnerstwie w sprawie połowów i organizacje ds. zarządzania rybołówstwem</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Działania na rzecz środowiska i klimatu (LIFE)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Agencje zdecentralizowane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Inne działania i środki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Określone działania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2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61 252</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57 163</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637</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1 721</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59 521</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97 %</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198</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1 023</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1 687</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44</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lastRenderedPageBreak/>
              <w:t>3</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Fundusz Azylu, Migracji i Integracji (AMF)</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878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886</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Konsument</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Kreatywna Europa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Wsparcie w sytuacjach nadzwyczajnych na terenie Unii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Fundusz Bezpieczeństwa Wewnętrznego</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649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500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118</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Systemy informatyczne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Sprawiedliwość</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Prawa, równość i obywatelstwo</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64</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Unijny Mechanizm Ochrony Ludności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42</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44</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61 %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Europa dla Obywateli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Żywność i pasze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246</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Zdrowie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Agencje zdecentralizowane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905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84 %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Określone działania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3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3 575</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3 153</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96</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3 256</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91 %</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180</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188</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lastRenderedPageBreak/>
              <w:t>4</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Pomoc przedakcesyjna (IPA II)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1 950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1 375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1 583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hRule="exact" w:val="525"/>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Pomoc makrofinansowa (MFA)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Fundusz Gwarancyjny dla działań zewnętrznych</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110</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581"/>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Unijny Mechanizm Ochrony Ludności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82 %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Inicjatywa „Wolontariusze pomocy UE”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Fundusz na rzecz Zrównoważonego Rozwoju (EFZR)</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479</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275</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154</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721"/>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Instrument Sąsiedztwa (ENI)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2 106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2 055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2 080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733"/>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Instrument Finansowania Współpracy na rzecz Rozwoju (DCI)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2 716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2 564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2 627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hRule="exact" w:val="573"/>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Instrument Partnerstwa (IP)</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Demokracja i prawa człowieka (EIDHR)</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159</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Stabilność i pokój (IcSP)</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315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324</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Pomoc humanitarna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2 117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1 734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324</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2 064</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47</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Wspólna polityka zagraniczna i bezpieczeństwa (WPZiB)</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308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94 %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Współpraca w dziedzinie bezpieczeństwa jądrowego (INSC)</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589"/>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Agencje zdecentralizowane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Inne działania i programy</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76</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123</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199</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71 %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Określone działania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4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10 933</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8 908</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1 140</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10 108</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92 %</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39</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772</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811</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5</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Świadczenia emerytalne i rentowe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2 002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1 990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1 990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Szkoły europejskie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192</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hRule="exact" w:val="515"/>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Agencje zdecentralizowane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Wydatki administracyjne Komisji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4 385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3 303</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332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182</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3 817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87 %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285</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204</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26</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79</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Wydatki administracyjne innych instytucji</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5 107</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3 571</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515</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291</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4 377</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86 %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463</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143</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605</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124</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5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11 694</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9 048</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850</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482</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10 381</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89 %</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748</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349</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1 098</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146</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216</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6</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Wyrównania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6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8</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Rezerwa ujemna</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Przeniesiony deficyt</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8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r>
      <w:tr w:rsidR="0043277E">
        <w:trPr>
          <w:trHeight w:hRule="exact" w:val="485"/>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9</w:t>
            </w: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Rezerwa na pomoc nadzwyczajną</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Europejski Fundusz Dostosowania do Globalizacji (EFG)</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r>
      <w:tr w:rsidR="0043277E">
        <w:trPr>
          <w:trHeight w:hRule="exact" w:val="397"/>
        </w:trPr>
        <w:tc>
          <w:tcPr>
            <w:tcW w:w="23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Fundusz Solidarności Unii Europejskiej (FSUE)</w:t>
            </w:r>
          </w:p>
        </w:tc>
        <w:tc>
          <w:tcPr>
            <w:tcW w:w="10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8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68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76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69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2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hRule="exact" w:val="397"/>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noProof/>
                <w:color w:val="000000"/>
                <w:sz w:val="16"/>
              </w:rPr>
            </w:pPr>
            <w:r>
              <w:rPr>
                <w:rFonts w:ascii="Verdana" w:hAnsi="Verdana"/>
                <w:noProof/>
                <w:color w:val="000000"/>
                <w:sz w:val="16"/>
              </w:rPr>
              <w:t>Ogółem dział 9 WRF</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44 %</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noProof/>
                <w:color w:val="000000"/>
                <w:sz w:val="16"/>
              </w:rPr>
            </w:pPr>
            <w:r>
              <w:rPr>
                <w:rFonts w:ascii="Verdana" w:hAnsi="Verdana"/>
                <w:noProof/>
                <w:color w:val="000000"/>
                <w:sz w:val="16"/>
              </w:rPr>
              <w:t xml:space="preserve"> 368</w:t>
            </w:r>
          </w:p>
        </w:tc>
      </w:tr>
      <w:tr w:rsidR="0043277E">
        <w:trPr>
          <w:trHeight w:hRule="exact" w:val="469"/>
        </w:trPr>
        <w:tc>
          <w:tcPr>
            <w:tcW w:w="23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3ImplementPayments"/>
              <w:rPr>
                <w:rFonts w:ascii="Verdana" w:eastAsia="Verdana" w:hAnsi="Verdana" w:cs="Verdana"/>
                <w:b/>
                <w:noProof/>
                <w:color w:val="000000"/>
                <w:sz w:val="16"/>
              </w:rPr>
            </w:pPr>
          </w:p>
        </w:tc>
        <w:tc>
          <w:tcPr>
            <w:tcW w:w="2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rPr>
                <w:rFonts w:ascii="Verdana" w:eastAsia="Verdana" w:hAnsi="Verdana" w:cs="Verdana"/>
                <w:b/>
                <w:noProof/>
                <w:color w:val="000000"/>
                <w:sz w:val="16"/>
              </w:rPr>
            </w:pPr>
            <w:r>
              <w:rPr>
                <w:rFonts w:ascii="Verdana" w:hAnsi="Verdana"/>
                <w:b/>
                <w:noProof/>
                <w:color w:val="000000"/>
                <w:sz w:val="16"/>
              </w:rPr>
              <w:t>Ogółem</w:t>
            </w:r>
          </w:p>
        </w:tc>
        <w:tc>
          <w:tcPr>
            <w:tcW w:w="10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170 679</w:t>
            </w:r>
          </w:p>
        </w:tc>
        <w:tc>
          <w:tcPr>
            <w:tcW w:w="87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146 203</w:t>
            </w:r>
          </w:p>
        </w:tc>
        <w:tc>
          <w:tcPr>
            <w:tcW w:w="68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1 667</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11 225</w:t>
            </w:r>
          </w:p>
        </w:tc>
        <w:tc>
          <w:tcPr>
            <w:tcW w:w="96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159 096</w:t>
            </w:r>
          </w:p>
        </w:tc>
        <w:tc>
          <w:tcPr>
            <w:tcW w:w="76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93 %</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1 145</w:t>
            </w:r>
          </w:p>
        </w:tc>
        <w:tc>
          <w:tcPr>
            <w:tcW w:w="69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9 144</w:t>
            </w:r>
          </w:p>
        </w:tc>
        <w:tc>
          <w:tcPr>
            <w:tcW w:w="86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10 759</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82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82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112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3Implement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rsidR="0043277E" w:rsidRDefault="0043277E">
      <w:pPr>
        <w:pStyle w:val="Textstand-alone"/>
        <w:rPr>
          <w:lang w:bidi="en-GB"/>
        </w:rPr>
      </w:pPr>
    </w:p>
    <w:p w:rsidR="0043277E" w:rsidRDefault="000F2348">
      <w:pPr>
        <w:pStyle w:val="Textstand-alone"/>
      </w:pPr>
      <w:r>
        <w:br w:type="page"/>
      </w:r>
    </w:p>
    <w:p w:rsidR="0043277E" w:rsidRDefault="000F2348">
      <w:pPr>
        <w:pStyle w:val="HEADER2PartBUDG"/>
        <w:spacing w:before="240" w:after="240"/>
        <w:ind w:left="357" w:hanging="357"/>
        <w:rPr>
          <w:noProof/>
        </w:rPr>
      </w:pPr>
      <w:bookmarkStart w:id="258" w:name="_Toc49418848"/>
      <w:r>
        <w:rPr>
          <w:noProof/>
        </w:rPr>
        <w:lastRenderedPageBreak/>
        <w:t>WRF W UJĘCIU SZCZEGÓŁOWYM: ZMIANA STANU ZOBOWIĄZAŃ POZOSTAJĄCYCH DO SPŁATY (RAL)</w:t>
      </w:r>
      <w:bookmarkEnd w:id="258"/>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
        <w:gridCol w:w="3121"/>
        <w:gridCol w:w="1376"/>
        <w:gridCol w:w="1375"/>
        <w:gridCol w:w="963"/>
        <w:gridCol w:w="1236"/>
        <w:gridCol w:w="1101"/>
        <w:gridCol w:w="963"/>
        <w:gridCol w:w="1236"/>
        <w:gridCol w:w="1184"/>
        <w:gridCol w:w="1316"/>
      </w:tblGrid>
      <w:tr w:rsidR="0043277E">
        <w:trPr>
          <w:trHeight w:val="340"/>
          <w:tblHeader/>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bookmarkStart w:id="259" w:name="DOC_TBL00112_1_1"/>
            <w:bookmarkEnd w:id="259"/>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4Commitmentsoustanding"/>
              <w:jc w:val="center"/>
              <w:rPr>
                <w:rFonts w:ascii="Verdana" w:eastAsia="Verdana" w:hAnsi="Verdana" w:cs="Verdana"/>
                <w:noProof/>
                <w:color w:val="FFFFFF"/>
                <w:sz w:val="16"/>
              </w:rPr>
            </w:pPr>
          </w:p>
        </w:tc>
        <w:tc>
          <w:tcPr>
            <w:tcW w:w="1390"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Zobowiązania pozostające do spłaty na koniec poprzedniego roku</w:t>
            </w:r>
          </w:p>
        </w:tc>
        <w:tc>
          <w:tcPr>
            <w:tcW w:w="1112"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Zobowiązania za bieżący rok</w:t>
            </w:r>
          </w:p>
        </w:tc>
        <w:tc>
          <w:tcPr>
            <w:tcW w:w="1330"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 xml:space="preserve">Zobowiązania pozostające do spłaty na koniec roku - </w:t>
            </w:r>
            <w:r>
              <w:rPr>
                <w:rFonts w:ascii="Verdana" w:hAnsi="Verdana"/>
                <w:b/>
                <w:noProof/>
                <w:color w:val="FFFFFF"/>
                <w:sz w:val="16"/>
              </w:rPr>
              <w:t>ogółem</w:t>
            </w:r>
          </w:p>
        </w:tc>
      </w:tr>
      <w:tr w:rsidR="0043277E">
        <w:trPr>
          <w:trHeight w:val="340"/>
          <w:tblHeader/>
        </w:trPr>
        <w:tc>
          <w:tcPr>
            <w:tcW w:w="23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Program</w:t>
            </w:r>
          </w:p>
        </w:tc>
        <w:tc>
          <w:tcPr>
            <w:tcW w:w="139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Zobowiązania przeniesione z poprzedniego roku</w:t>
            </w:r>
          </w:p>
        </w:tc>
        <w:tc>
          <w:tcPr>
            <w:tcW w:w="138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Umorzenie/</w:t>
            </w:r>
          </w:p>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aktualizacja wyceny/</w:t>
            </w:r>
          </w:p>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anulowanie</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Płatności</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Zobowiązania pozostające do spłaty na koniec roku</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Zobowiązania zaciągnięte w ciągu roku</w:t>
            </w:r>
          </w:p>
        </w:tc>
        <w:tc>
          <w:tcPr>
            <w:tcW w:w="97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Płatności</w:t>
            </w:r>
          </w:p>
        </w:tc>
        <w:tc>
          <w:tcPr>
            <w:tcW w:w="124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 xml:space="preserve">Anulowane zobowiązania, których nie można </w:t>
            </w:r>
            <w:r>
              <w:rPr>
                <w:rFonts w:ascii="Verdana" w:hAnsi="Verdana"/>
                <w:noProof/>
                <w:color w:val="FFFFFF"/>
                <w:sz w:val="16"/>
              </w:rPr>
              <w:t>przenieść na następne okresy</w:t>
            </w:r>
          </w:p>
        </w:tc>
        <w:tc>
          <w:tcPr>
            <w:tcW w:w="119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Zobowiązania pozostające do spłaty na koniec roku</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4Commitmentsoustanding"/>
              <w:jc w:val="center"/>
              <w:rPr>
                <w:rFonts w:ascii="Verdana" w:eastAsia="Verdana" w:hAnsi="Verdana" w:cs="Verdana"/>
                <w:b/>
                <w:noProof/>
                <w:color w:val="FFFFFF"/>
                <w:sz w:val="16"/>
              </w:rPr>
            </w:pPr>
          </w:p>
        </w:tc>
      </w:tr>
      <w:tr w:rsidR="0043277E">
        <w:trPr>
          <w:trHeight w:val="340"/>
          <w:tblHeader/>
        </w:trPr>
        <w:tc>
          <w:tcPr>
            <w:tcW w:w="234"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4Commitmentsoustanding"/>
              <w:jc w:val="center"/>
              <w:rPr>
                <w:rFonts w:ascii="Verdana" w:eastAsia="Verdana" w:hAnsi="Verdana" w:cs="Verdana"/>
                <w:noProof/>
                <w:color w:val="FFFFFF"/>
                <w:sz w:val="16"/>
              </w:rPr>
            </w:pPr>
          </w:p>
        </w:tc>
        <w:tc>
          <w:tcPr>
            <w:tcW w:w="3156" w:type="dxa"/>
            <w:tcBorders>
              <w:top w:val="nil"/>
              <w:left w:val="nil"/>
              <w:bottom w:val="nil"/>
              <w:right w:val="nil"/>
              <w:tl2br w:val="nil"/>
              <w:tr2bl w:val="nil"/>
            </w:tcBorders>
            <w:shd w:val="solid" w:color="3487A9" w:fill="FFFFFF"/>
            <w:tcMar>
              <w:left w:w="60" w:type="dxa"/>
              <w:right w:w="60" w:type="dxa"/>
            </w:tcMar>
            <w:vAlign w:val="center"/>
          </w:tcPr>
          <w:p w:rsidR="0043277E" w:rsidRDefault="0043277E">
            <w:pPr>
              <w:pStyle w:val="DMETW17212BIPDetailedMFF4Commitmentsoustanding"/>
              <w:jc w:val="center"/>
              <w:rPr>
                <w:rFonts w:ascii="Verdana" w:eastAsia="Verdana" w:hAnsi="Verdana" w:cs="Verdana"/>
                <w:noProof/>
                <w:color w:val="FFFFFF"/>
                <w:sz w:val="16"/>
              </w:rPr>
            </w:pPr>
          </w:p>
        </w:tc>
        <w:tc>
          <w:tcPr>
            <w:tcW w:w="139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1</w:t>
            </w:r>
          </w:p>
        </w:tc>
        <w:tc>
          <w:tcPr>
            <w:tcW w:w="138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2</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3</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112"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5</w:t>
            </w:r>
          </w:p>
        </w:tc>
        <w:tc>
          <w:tcPr>
            <w:tcW w:w="973"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6</w:t>
            </w:r>
          </w:p>
        </w:tc>
        <w:tc>
          <w:tcPr>
            <w:tcW w:w="1249"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7</w:t>
            </w:r>
          </w:p>
        </w:tc>
        <w:tc>
          <w:tcPr>
            <w:tcW w:w="1196"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330" w:type="dxa"/>
            <w:tcBorders>
              <w:top w:val="nil"/>
              <w:left w:val="nil"/>
              <w:bottom w:val="nil"/>
              <w:right w:val="nil"/>
              <w:tl2br w:val="nil"/>
              <w:tr2bl w:val="nil"/>
            </w:tcBorders>
            <w:shd w:val="solid" w:color="3487A9" w:fill="FFFFFF"/>
            <w:tcMar>
              <w:left w:w="60" w:type="dxa"/>
              <w:right w:w="60" w:type="dxa"/>
            </w:tcMar>
            <w:vAlign w:val="center"/>
          </w:tcPr>
          <w:p w:rsidR="0043277E" w:rsidRDefault="000F2348">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9=4+8</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1</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Fundusz na rzecz Inwestycji Strategicznych (EFIS)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2 714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1 698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1 905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Europejski system </w:t>
            </w:r>
            <w:r>
              <w:rPr>
                <w:rFonts w:ascii="Verdana" w:hAnsi="Verdana"/>
                <w:noProof/>
                <w:color w:val="000000"/>
                <w:sz w:val="16"/>
              </w:rPr>
              <w:t>nawigacji satelitarnej (EGNOS/Galileo)</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1 224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Międzynarodowy eksperymentalny reaktor termojądrowy (ITER)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1 454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1 305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Unijny program obserwacji i monitorowania Ziemi </w:t>
            </w:r>
            <w:r>
              <w:rPr>
                <w:rFonts w:ascii="Verdana" w:hAnsi="Verdana"/>
                <w:noProof/>
                <w:color w:val="000000"/>
                <w:sz w:val="16"/>
              </w:rPr>
              <w:t>(Copernicus)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882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507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Korpus Solidarności (ESC)</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program rozwoju przemysłu obronnego</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Bezpieczeństwo jądrowe i likwidacja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„Horyzont 2020”</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20 541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(7 640)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12 490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13 808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(3 938)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9 866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22 356</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Program badawczo-szkoleniowy Euratomu</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422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Program na rzecz konkurencyjności </w:t>
            </w:r>
            <w:r>
              <w:rPr>
                <w:rFonts w:ascii="Verdana" w:hAnsi="Verdana"/>
                <w:noProof/>
                <w:color w:val="000000"/>
                <w:sz w:val="16"/>
              </w:rPr>
              <w:t>przedsiębiorstw oraz małych i średnich przedsiębiorstw (COSME)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Kształcenie, szkolenie i sport (Erasmus+)</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3 060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(2 469)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Zatrudnienie i innowacje społeczne (EaSI)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Cła, Fiscalis i zwalczanie nadużyć finansowych</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„Łącząc Europę” – Energia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2 072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2 721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„Łącząc Europę” – Transport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w:t>
            </w:r>
            <w:r>
              <w:rPr>
                <w:rFonts w:ascii="Verdana" w:hAnsi="Verdana"/>
                <w:noProof/>
                <w:color w:val="000000"/>
                <w:sz w:val="16"/>
              </w:rPr>
              <w:t xml:space="preserve"> 241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(1 277)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2 890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2 666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5 556</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Instrument „Łącząc Europę” - </w:t>
            </w:r>
            <w:r>
              <w:rPr>
                <w:rFonts w:ascii="Verdana" w:hAnsi="Verdana"/>
                <w:noProof/>
                <w:color w:val="000000"/>
                <w:sz w:val="16"/>
              </w:rPr>
              <w:lastRenderedPageBreak/>
              <w:t>technologie informacyjno-komunikacyjne („ICT”)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lastRenderedPageBreak/>
              <w:t xml:space="preserve"> 448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Projekty w dziedzinie energetyki wspomagające naprawę gospodarczą</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Agencje zdecentralizowane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Inne działania i programy</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410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Szczególne kompetencje Komisji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166</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Konwergencja regionalna (regiony słabiej rozwinięte)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85 194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(27 428)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57 272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31 444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31 343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88 615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Regiony w okresie przejściowym</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18 502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(5 139)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13 338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6 657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6 645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19 984</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Konkurencyjność (regiony lepiej rozwinięte)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26 523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(8 380)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18 092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9 804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9 732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27 824</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Regiony najbardziej oddalone i słabo zaludnione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618</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Fundusz Spójności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25 851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(8 404)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17</w:t>
            </w:r>
            <w:r>
              <w:rPr>
                <w:rFonts w:ascii="Verdana" w:hAnsi="Verdana"/>
                <w:noProof/>
                <w:color w:val="000000"/>
                <w:sz w:val="16"/>
              </w:rPr>
              <w:t xml:space="preserve"> 444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11 527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11 138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28 582</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Europejska współpraca terytorialna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4 502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(1 536)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2 964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2 189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2 178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5 142</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Pomoc techniczna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Fundusz Pomocy Najbardziej Potrzebującym (FEAD)</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1 304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1 390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Inicjatywa na rzecz zatrudnienia ludzi młodych</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337</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1 450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„Łącząc Europę”</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5 595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4 745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1 700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1 694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6 439</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Projekty pilotażowe i działania </w:t>
            </w:r>
            <w:r>
              <w:rPr>
                <w:rFonts w:ascii="Verdana" w:hAnsi="Verdana"/>
                <w:noProof/>
                <w:color w:val="000000"/>
                <w:sz w:val="16"/>
              </w:rPr>
              <w:t>przygotowawcze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Ogółem dział 1 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206 991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(1 360)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(66 413)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139 217</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90 536</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(9 122)</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81 410</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220 627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2</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Fundusz Rolniczy Gwarancji (EFRG)</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43 962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(43 650)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Europejski </w:t>
            </w:r>
            <w:r>
              <w:rPr>
                <w:rFonts w:ascii="Verdana" w:hAnsi="Verdana"/>
                <w:noProof/>
                <w:color w:val="000000"/>
                <w:sz w:val="16"/>
              </w:rPr>
              <w:t>Fundusz Rolny na rzecz Rozwoju Obszarów Wiejskich (EFRROW)</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34 594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(13 714)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20 842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14 765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14 266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35 108</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Fundusz Morski i Rybacki (EFMR)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3 280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2 382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1 082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1 059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3 441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Umowy o partnerstwie w sprawie </w:t>
            </w:r>
            <w:r>
              <w:rPr>
                <w:rFonts w:ascii="Verdana" w:hAnsi="Verdana"/>
                <w:noProof/>
                <w:color w:val="000000"/>
                <w:sz w:val="16"/>
              </w:rPr>
              <w:t>połowów i organizacje ds. zarządzania rybołówstwem</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Działania na rzecz środowiska i klimatu (LIFE)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1 768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1 294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548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1 841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Agencje zdecentralizowane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Inne</w:t>
            </w:r>
            <w:r>
              <w:rPr>
                <w:rFonts w:ascii="Verdana" w:hAnsi="Verdana"/>
                <w:noProof/>
                <w:color w:val="000000"/>
                <w:sz w:val="16"/>
              </w:rPr>
              <w:t xml:space="preserve"> działania i środki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Określone działania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Ogółem dział 2 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40 047</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(15 133)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24 661</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60 600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(44 387)</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16 213</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40 874</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3</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Fundusz Azylu, Migracji i Integracji (AMF)</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2 662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(750)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1 814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1 057</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2 870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Konsument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Kreatywna Europa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256</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Wsparcie w sytuacjach nadzwyczajnych na </w:t>
            </w:r>
            <w:r>
              <w:rPr>
                <w:rFonts w:ascii="Verdana" w:hAnsi="Verdana"/>
                <w:noProof/>
                <w:color w:val="000000"/>
                <w:sz w:val="16"/>
              </w:rPr>
              <w:t>terenie Unii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Fundusz Bezpieczeństwa Wewnętrznego</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1 746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1 118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1 711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Systemy informatyczne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Sprawiedliwość</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Prawa, </w:t>
            </w:r>
            <w:r>
              <w:rPr>
                <w:rFonts w:ascii="Verdana" w:hAnsi="Verdana"/>
                <w:noProof/>
                <w:color w:val="000000"/>
                <w:sz w:val="16"/>
              </w:rPr>
              <w:t>równość i obywatelstwo</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108</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Unijny Mechanizm Ochrony Ludności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Europa dla Obywateli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Żywność i pasze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319</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Zdrowie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138</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Agencje zdecentralizowane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1 102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(864)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Określone działania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86</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Ogółem dział 3 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5 834</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(1 934)</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3 632</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3 874</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(1 323)</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2 551</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6 183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4</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Pomoc przedakcesyjna (IPA II)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7 425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(1 414)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5 656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2 994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2 826</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8 481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Pomoc makrofinansowa (MFA)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Fundusz Gwarancyjny dla działań zewnętrznych</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Unijny Mechanizm Ochrony Ludności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Inicjatywa „Wolontariusze pomocy UE”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Fundusz na rzecz Zrównoważonego </w:t>
            </w:r>
            <w:r>
              <w:rPr>
                <w:rFonts w:ascii="Verdana" w:hAnsi="Verdana"/>
                <w:noProof/>
                <w:color w:val="000000"/>
                <w:sz w:val="16"/>
              </w:rPr>
              <w:t>Rozwoju (EFZR)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Instrument Sąsiedztwa (ENI)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7 833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(1 713)</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5 594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2 769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2 401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7 995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Finansowania Współpracy na rzecz Rozwoju (DCI)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8 755</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(2 298)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6 269</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3 262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(329)</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2 933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9 203</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Instrument Partnerstwa (IP)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264</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Demokracja i prawa człowieka (EIDHR)</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358</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133</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Stabilność i pokój (IcSP)</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268</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676</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Pomoc </w:t>
            </w:r>
            <w:r>
              <w:rPr>
                <w:rFonts w:ascii="Verdana" w:hAnsi="Verdana"/>
                <w:noProof/>
                <w:color w:val="000000"/>
                <w:sz w:val="16"/>
              </w:rPr>
              <w:t>humanitarna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893</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(552)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2 412</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(1 511)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901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1 205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Wspólna polityka zagraniczna i bezpieczeństwa (WPZiB)</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88</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238</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Współpraca w dziedzinie bezpieczeństwa jądrowego (INSC)</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102</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Agencje zdecentralizowane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Inne działania i programy</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Określone działania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76</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135</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Ogółem dział 4 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27 352</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(1 200)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(6 918)</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19 234</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13 111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(3 190)</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9 920</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29 154</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5</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Świadczenia emerytalne i rentowe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1 990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(1 990)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Szkoły europejskie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Agencje zdecentralizowane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Wydatki administracyjne Komisji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366</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(337)</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3 816</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(3 480)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335</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335</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Wydatki administracyjne innych instytucji</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587</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4 371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(3 </w:t>
            </w:r>
            <w:r>
              <w:rPr>
                <w:rFonts w:ascii="Verdana" w:hAnsi="Verdana"/>
                <w:noProof/>
                <w:color w:val="000000"/>
                <w:sz w:val="16"/>
              </w:rPr>
              <w:t>861)</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0</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510</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511</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Ogółem dział 5 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961</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(97)</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(859)</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10 371</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(9 522)</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849</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6</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Wyrównania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Ogółem dział 6 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8</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Rezerwa ujemna</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Przeniesiony deficyt</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 xml:space="preserve">Ogółem dział 8 </w:t>
            </w:r>
            <w:r>
              <w:rPr>
                <w:rFonts w:ascii="Verdana" w:hAnsi="Verdana"/>
                <w:noProof/>
                <w:color w:val="000000"/>
                <w:sz w:val="16"/>
              </w:rPr>
              <w:t>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9</w:t>
            </w: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Rezerwa na pomoc nadzwyczajną</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Europejski Fundusz Dostosowania do Globalizacji (EFG)</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2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Fundusz Solidarności Unii Europejskiej (FSUE)</w:t>
            </w:r>
          </w:p>
        </w:tc>
        <w:tc>
          <w:tcPr>
            <w:tcW w:w="139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97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24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3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noProof/>
                <w:color w:val="000000"/>
                <w:sz w:val="16"/>
              </w:rPr>
            </w:pPr>
            <w:r>
              <w:rPr>
                <w:rFonts w:ascii="Verdana" w:hAnsi="Verdana"/>
                <w:noProof/>
                <w:color w:val="000000"/>
                <w:sz w:val="16"/>
              </w:rPr>
              <w:t>Ogółem dział 9 WRF</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234"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4Commitmentsoustanding"/>
              <w:rPr>
                <w:rFonts w:ascii="Verdana" w:eastAsia="Verdana" w:hAnsi="Verdana" w:cs="Verdana"/>
                <w:b/>
                <w:noProof/>
                <w:color w:val="000000"/>
                <w:sz w:val="16"/>
              </w:rPr>
            </w:pPr>
          </w:p>
        </w:tc>
        <w:tc>
          <w:tcPr>
            <w:tcW w:w="3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rPr>
                <w:rFonts w:ascii="Verdana" w:eastAsia="Verdana" w:hAnsi="Verdana" w:cs="Verdana"/>
                <w:b/>
                <w:noProof/>
                <w:color w:val="000000"/>
                <w:sz w:val="16"/>
              </w:rPr>
            </w:pPr>
            <w:r>
              <w:rPr>
                <w:rFonts w:ascii="Verdana" w:hAnsi="Verdana"/>
                <w:b/>
                <w:noProof/>
                <w:color w:val="000000"/>
                <w:sz w:val="16"/>
              </w:rPr>
              <w:t>Ogółem</w:t>
            </w:r>
          </w:p>
        </w:tc>
        <w:tc>
          <w:tcPr>
            <w:tcW w:w="139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281 185</w:t>
            </w:r>
          </w:p>
        </w:tc>
        <w:tc>
          <w:tcPr>
            <w:tcW w:w="138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(3 179)</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(91 257)</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186 749</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178 787</w:t>
            </w:r>
          </w:p>
        </w:tc>
        <w:tc>
          <w:tcPr>
            <w:tcW w:w="97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(67 838)</w:t>
            </w:r>
          </w:p>
        </w:tc>
        <w:tc>
          <w:tcPr>
            <w:tcW w:w="124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 xml:space="preserve"> (5)</w:t>
            </w:r>
          </w:p>
        </w:tc>
        <w:tc>
          <w:tcPr>
            <w:tcW w:w="119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110 944</w:t>
            </w:r>
          </w:p>
        </w:tc>
        <w:tc>
          <w:tcPr>
            <w:tcW w:w="133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297 693</w:t>
            </w:r>
          </w:p>
        </w:tc>
      </w:tr>
    </w:tbl>
    <w:p w:rsidR="0043277E" w:rsidRDefault="0043277E">
      <w:pPr>
        <w:pStyle w:val="DGTextstand-alone"/>
      </w:pPr>
    </w:p>
    <w:p w:rsidR="0043277E" w:rsidRDefault="000F2348">
      <w:pPr>
        <w:rPr>
          <w:rFonts w:ascii="Verdana" w:eastAsia="Calibri" w:hAnsi="Verdana"/>
          <w:b/>
          <w:noProof/>
          <w:color w:val="016794"/>
          <w:sz w:val="28"/>
        </w:rPr>
      </w:pPr>
      <w:r>
        <w:rPr>
          <w:noProof/>
        </w:rPr>
        <w:br w:type="page"/>
      </w:r>
    </w:p>
    <w:p w:rsidR="0043277E" w:rsidRDefault="000F2348">
      <w:pPr>
        <w:pStyle w:val="HEADER2PartBUDG"/>
        <w:rPr>
          <w:noProof/>
        </w:rPr>
      </w:pPr>
      <w:bookmarkStart w:id="260" w:name="_Toc49418849"/>
      <w:r>
        <w:rPr>
          <w:noProof/>
        </w:rPr>
        <w:lastRenderedPageBreak/>
        <w:t>WRF W UJĘCIU SZCZEGÓŁOWYM: ZOBOWIĄZANIA POZOSTAJĄCE DO SPŁATY WEDŁUG ROKU POWSTANIA ZOBOWIĄZANIA</w:t>
      </w:r>
      <w:bookmarkEnd w:id="260"/>
    </w:p>
    <w:p w:rsidR="0043277E" w:rsidRDefault="000F2348">
      <w:pPr>
        <w:pStyle w:val="DGTextstand-alone"/>
        <w:spacing w:before="0" w:after="0"/>
      </w:pPr>
      <w:r>
        <w:t xml:space="preserve">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5275"/>
        <w:gridCol w:w="945"/>
        <w:gridCol w:w="947"/>
        <w:gridCol w:w="947"/>
        <w:gridCol w:w="947"/>
        <w:gridCol w:w="947"/>
        <w:gridCol w:w="947"/>
        <w:gridCol w:w="947"/>
        <w:gridCol w:w="947"/>
        <w:gridCol w:w="1067"/>
      </w:tblGrid>
      <w:tr w:rsidR="0043277E">
        <w:trPr>
          <w:trHeight w:val="312"/>
          <w:tblHeader/>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bookmarkStart w:id="261" w:name="DOC_TBL00113_1_1"/>
            <w:bookmarkEnd w:id="261"/>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12"/>
          <w:tblHeader/>
        </w:trPr>
        <w:tc>
          <w:tcPr>
            <w:tcW w:w="33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12BIPDetailedMFF5RALYoO"/>
              <w:jc w:val="center"/>
              <w:rPr>
                <w:rFonts w:ascii="Verdana" w:eastAsia="Verdana" w:hAnsi="Verdana" w:cs="Verdana"/>
                <w:noProof/>
                <w:color w:val="FFFFFF"/>
                <w:sz w:val="16"/>
              </w:rPr>
            </w:pPr>
          </w:p>
        </w:tc>
        <w:tc>
          <w:tcPr>
            <w:tcW w:w="53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Program</w:t>
            </w:r>
          </w:p>
        </w:tc>
        <w:tc>
          <w:tcPr>
            <w:tcW w:w="95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&lt; 2013</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2013</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2014</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2015</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2016</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2017</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2018</w:t>
            </w:r>
          </w:p>
        </w:tc>
        <w:tc>
          <w:tcPr>
            <w:tcW w:w="9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2019</w:t>
            </w:r>
          </w:p>
        </w:tc>
        <w:tc>
          <w:tcPr>
            <w:tcW w:w="10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12BIPDetailedMFF5RALYoO"/>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1</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Fundusz na rzecz Inwestycji Strategicznych (EFIS)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1 691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1 905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system nawigacji satelitarnej (EGNOS/Galileo)</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Międzynarodowy </w:t>
            </w:r>
            <w:r>
              <w:rPr>
                <w:rFonts w:ascii="Verdana" w:hAnsi="Verdana"/>
                <w:noProof/>
                <w:color w:val="000000"/>
                <w:sz w:val="16"/>
              </w:rPr>
              <w:t>eksperymentalny reaktor termojądrowy (ITER)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1 305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Unijny program obserwacji i monitorowania Ziemi (Copernicus)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507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Korpus Solidarności (ESC)</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Europejski program </w:t>
            </w:r>
            <w:r>
              <w:rPr>
                <w:rFonts w:ascii="Verdana" w:hAnsi="Verdana"/>
                <w:noProof/>
                <w:color w:val="000000"/>
                <w:sz w:val="16"/>
              </w:rPr>
              <w:t>rozwoju przemysłu obronnego</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Bezpieczeństwo jądrowe i likwidacja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583</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„Horyzont 2020”</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1 187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1 988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3 219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4 615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9 866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22 356</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Program badawczo-szkoleniowy Euratomu</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Program na rzecz konkurencyjności przedsiębiorstw oraz małych i średnich przedsiębiorstw (COSME)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993</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Kształcenie, szkolenie i sport (Erasmus+)</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Zatrudnienie i </w:t>
            </w:r>
            <w:r>
              <w:rPr>
                <w:rFonts w:ascii="Verdana" w:hAnsi="Verdana"/>
                <w:noProof/>
                <w:color w:val="000000"/>
                <w:sz w:val="16"/>
              </w:rPr>
              <w:t>innowacje społeczne (EaSI)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Cła, Fiscalis i zwalczanie nadużyć finansowych</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Instrument „Łącząc Europę” – Energia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2 721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Instrument „Łącząc Europę” – </w:t>
            </w:r>
            <w:r>
              <w:rPr>
                <w:rFonts w:ascii="Verdana" w:hAnsi="Verdana"/>
                <w:noProof/>
                <w:color w:val="000000"/>
                <w:sz w:val="16"/>
              </w:rPr>
              <w:t>Transport</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1 543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2 666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5 556</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Instrument „Łącząc Europę” - technologie informacyjno-komunikacyjne („ICT”)</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Projekty w dziedzinie energetyki wspomagające naprawę gospodarczą</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Agencje zdecentralizowane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Inne działania i programy</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Szczególne kompetencje Komisji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166</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Konwergencja regionalna (regiony słabiej rozwinięte)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665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2 184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1 388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4 259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19 724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28 628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31 343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88 615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Regiony w okresie przejściowym</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1 382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5 230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6 291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6 645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19 984</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Konkurencyjność (regiony lepiej rozwinięte)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1 114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6 502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9 398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9 732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27 824</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Regiony najbardziej oddalone i słabo zaludnione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618</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Fundusz Spójności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793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6 061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9 940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11 138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28 582</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Europejska współpraca terytorialna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1 871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2 178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5 142</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Pomoc techniczna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273</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Fundusz Pomocy Najbardziej Potrzebującym (FEAD)</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1 390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Inicjatywa na rzecz zatrudnienia ludzi młodych</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400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1 450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Instrument „Łącząc Europę”</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441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1 245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1 283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1 579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1 694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6 439</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1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1 428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3 640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2 139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4 683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12 476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45 924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68 924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81 414</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220 627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2</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Europejski Fundusz </w:t>
            </w:r>
            <w:r>
              <w:rPr>
                <w:rFonts w:ascii="Verdana" w:hAnsi="Verdana"/>
                <w:noProof/>
                <w:color w:val="000000"/>
                <w:sz w:val="16"/>
              </w:rPr>
              <w:t>Rolniczy Gwarancji (EFRG)</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Fundusz Rolny na rzecz Rozwoju Obszarów Wiejskich (EFRROW)</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1 149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2 148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6 413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10 934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14 266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35 108</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Fundusz Morski i Rybacki (EFMR)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1 022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1 </w:t>
            </w:r>
            <w:r>
              <w:rPr>
                <w:rFonts w:ascii="Verdana" w:hAnsi="Verdana"/>
                <w:noProof/>
                <w:color w:val="000000"/>
                <w:sz w:val="16"/>
              </w:rPr>
              <w:t>059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3 441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Umowy o partnerstwie w sprawie połowów i organizacje ds. zarządzania rybołówstwem</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Działania na rzecz środowiska i klimatu (LIFE)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548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1 841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Agencje zdecentralizowane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Inne działania i środki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Określone działania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2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1 316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2 685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7 603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12 575</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16 213</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40 874</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3</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Fundusz Azylu,</w:t>
            </w:r>
            <w:r>
              <w:rPr>
                <w:rFonts w:ascii="Verdana" w:hAnsi="Verdana"/>
                <w:noProof/>
                <w:color w:val="000000"/>
                <w:sz w:val="16"/>
              </w:rPr>
              <w:t xml:space="preserve"> Migracji i Integracji (AMF)</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724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1 057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2 870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Konsument</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Kreatywna Europa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256</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Wsparcie w sytuacjach nadzwyczajnych na terenie Unii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Fundusz </w:t>
            </w:r>
            <w:r>
              <w:rPr>
                <w:rFonts w:ascii="Verdana" w:hAnsi="Verdana"/>
                <w:noProof/>
                <w:color w:val="000000"/>
                <w:sz w:val="16"/>
              </w:rPr>
              <w:t>Bezpieczeństwa Wewnętrznego</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651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593</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1 711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Systemy informatyczne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Sprawiedliwość</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Prawa, równość i obywatelstwo</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108</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Unijny Mechanizm Ochrony </w:t>
            </w:r>
            <w:r>
              <w:rPr>
                <w:rFonts w:ascii="Verdana" w:hAnsi="Verdana"/>
                <w:noProof/>
                <w:color w:val="000000"/>
                <w:sz w:val="16"/>
              </w:rPr>
              <w:t>Ludności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Europa dla Obywateli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Żywność i pasze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Zdrowie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138</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Agencje zdecentralizowane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395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Projekty </w:t>
            </w:r>
            <w:r>
              <w:rPr>
                <w:rFonts w:ascii="Verdana" w:hAnsi="Verdana"/>
                <w:noProof/>
                <w:color w:val="000000"/>
                <w:sz w:val="16"/>
              </w:rPr>
              <w:t>pilotażowe i działania przygotowawcze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Określone działania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86</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3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1 223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1 851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2 552</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6 183</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4</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Pomoc przedakcesyjna (IPA II)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646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1 096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1 518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1 642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w:t>
            </w:r>
            <w:r>
              <w:rPr>
                <w:rFonts w:ascii="Verdana" w:hAnsi="Verdana"/>
                <w:noProof/>
                <w:color w:val="000000"/>
                <w:sz w:val="16"/>
              </w:rPr>
              <w:t xml:space="preserve"> 826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8 481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Pomoc makrofinansowa (MFA)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Fundusz Gwarancyjny dla działań zewnętrznych</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Unijny Mechanizm Ochrony Ludności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Inicjatywa „Wolontariusze pomocy UE”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Fundusz na rzecz Zrównoważonego Rozwoju (EFZR)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Instrument Sąsiedztwa (ENI)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1 302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1 770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2 424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7 995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Instrument Finansowania Współpracy na rzecz Rozwoju (DCI)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1 738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2 </w:t>
            </w:r>
            <w:r>
              <w:rPr>
                <w:rFonts w:ascii="Verdana" w:hAnsi="Verdana"/>
                <w:noProof/>
                <w:color w:val="000000"/>
                <w:sz w:val="16"/>
              </w:rPr>
              <w:t>049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2 956</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9 203</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Instrument Partnerstwa (IP)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400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Demokracja i prawa człowieka (EIDHR)</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137</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Stabilność i pokój (IcSP)</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268</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676</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Pomoc humanitarna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901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1 205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Wspólna polityka zagraniczna i bezpieczeństwa (WPZiB)</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238</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Współpraca w dziedzinie bezpieczeństwa jądrowego (INSC)</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102</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Agencje zdecentralizowane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Inne działania i programy</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Określone działania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135</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4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909</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1 010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1 851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3 253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4 973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6 231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9 </w:t>
            </w:r>
            <w:r>
              <w:rPr>
                <w:rFonts w:ascii="Verdana" w:hAnsi="Verdana"/>
                <w:noProof/>
                <w:color w:val="000000"/>
                <w:sz w:val="16"/>
              </w:rPr>
              <w:t>970</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29 154</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5</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Świadczenia emerytalne i rentowe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Szkoły europejskie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Agencje zdecentralizowane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Projekty pilotażowe i działania przygotowawcze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Wydatki administracyjne </w:t>
            </w:r>
            <w:r>
              <w:rPr>
                <w:rFonts w:ascii="Verdana" w:hAnsi="Verdana"/>
                <w:noProof/>
                <w:color w:val="000000"/>
                <w:sz w:val="16"/>
              </w:rPr>
              <w:t>Komisji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335</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335</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Wydatki administracyjne innych instytucji</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511</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5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851</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854</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6</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Wyrównania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6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8</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Rezerwa ujemna</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Przeniesiony deficyt</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8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9</w:t>
            </w: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Rezerwa na pomoc nadzwyczajną</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Europejski Fundusz Dostosowania do Globalizacji (EFG)</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12"/>
        </w:trPr>
        <w:tc>
          <w:tcPr>
            <w:tcW w:w="3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 xml:space="preserve">Fundusz Solidarności Unii Europejskiej </w:t>
            </w:r>
            <w:r>
              <w:rPr>
                <w:rFonts w:ascii="Verdana" w:hAnsi="Verdana"/>
                <w:noProof/>
                <w:color w:val="000000"/>
                <w:sz w:val="16"/>
              </w:rPr>
              <w:t>(FSUE)</w:t>
            </w:r>
          </w:p>
        </w:tc>
        <w:tc>
          <w:tcPr>
            <w:tcW w:w="95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noProof/>
                <w:color w:val="000000"/>
                <w:sz w:val="16"/>
              </w:rPr>
            </w:pPr>
            <w:r>
              <w:rPr>
                <w:rFonts w:ascii="Verdana" w:hAnsi="Verdana"/>
                <w:noProof/>
                <w:color w:val="000000"/>
                <w:sz w:val="16"/>
              </w:rPr>
              <w:t>Ogółem dział 9 WRF</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12"/>
        </w:trPr>
        <w:tc>
          <w:tcPr>
            <w:tcW w:w="338"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12BIPDetailedMFF5RALYoO"/>
              <w:rPr>
                <w:rFonts w:ascii="Verdana" w:eastAsia="Verdana" w:hAnsi="Verdana" w:cs="Verdana"/>
                <w:b/>
                <w:noProof/>
                <w:color w:val="000000"/>
                <w:sz w:val="16"/>
              </w:rPr>
            </w:pPr>
          </w:p>
        </w:tc>
        <w:tc>
          <w:tcPr>
            <w:tcW w:w="53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rPr>
                <w:rFonts w:ascii="Verdana" w:eastAsia="Verdana" w:hAnsi="Verdana" w:cs="Verdana"/>
                <w:b/>
                <w:noProof/>
                <w:color w:val="000000"/>
                <w:sz w:val="16"/>
              </w:rPr>
            </w:pPr>
            <w:r>
              <w:rPr>
                <w:rFonts w:ascii="Verdana" w:hAnsi="Verdana"/>
                <w:b/>
                <w:noProof/>
                <w:color w:val="000000"/>
                <w:sz w:val="16"/>
              </w:rPr>
              <w:t>Ogółem</w:t>
            </w:r>
          </w:p>
        </w:tc>
        <w:tc>
          <w:tcPr>
            <w:tcW w:w="95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2 438</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4 746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3 453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7 904</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18 846</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59 723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89 583</w:t>
            </w:r>
          </w:p>
        </w:tc>
        <w:tc>
          <w:tcPr>
            <w:tcW w:w="9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110 999</w:t>
            </w:r>
          </w:p>
        </w:tc>
        <w:tc>
          <w:tcPr>
            <w:tcW w:w="10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12BIPDetailedMFF5RALYoO"/>
              <w:jc w:val="right"/>
              <w:rPr>
                <w:rFonts w:ascii="Verdana" w:eastAsia="Verdana" w:hAnsi="Verdana" w:cs="Verdana"/>
                <w:b/>
                <w:noProof/>
                <w:color w:val="000000"/>
                <w:sz w:val="16"/>
              </w:rPr>
            </w:pPr>
            <w:r>
              <w:rPr>
                <w:rFonts w:ascii="Verdana" w:hAnsi="Verdana"/>
                <w:b/>
                <w:noProof/>
                <w:color w:val="000000"/>
                <w:sz w:val="16"/>
              </w:rPr>
              <w:t>297 693</w:t>
            </w:r>
          </w:p>
        </w:tc>
      </w:tr>
    </w:tbl>
    <w:p w:rsidR="0043277E" w:rsidRDefault="0043277E">
      <w:pPr>
        <w:pStyle w:val="DGTextstand-alone"/>
        <w:spacing w:before="0" w:after="0"/>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43277E">
      <w:pPr>
        <w:pStyle w:val="Textstand-alone"/>
        <w:rPr>
          <w:lang w:bidi="en-GB"/>
        </w:rPr>
      </w:pPr>
    </w:p>
    <w:p w:rsidR="0043277E" w:rsidRDefault="000F2348">
      <w:pPr>
        <w:pStyle w:val="Textstand-alone"/>
        <w:spacing w:after="0"/>
      </w:pPr>
      <w:r>
        <w:rPr>
          <w:sz w:val="16"/>
          <w:szCs w:val="20"/>
        </w:rPr>
        <w:t xml:space="preserve">Powołanie nowej Komisji wiązało się z wewnętrzną reorganizacją służb. Realokacja powiązanych transakcji </w:t>
      </w:r>
      <w:r>
        <w:rPr>
          <w:sz w:val="16"/>
          <w:szCs w:val="20"/>
        </w:rPr>
        <w:t>spowodowała przesunięcie kwoty pozostającej do spłaty pomiędzy latami. Łączna kwota zobowiązań pozostających do spłaty nie ulega zmianie.</w:t>
      </w:r>
    </w:p>
    <w:bookmarkEnd w:id="240"/>
    <w:p w:rsidR="0043277E" w:rsidRDefault="0043277E">
      <w:pPr>
        <w:pStyle w:val="Textstand-alone"/>
        <w:rPr>
          <w:lang w:bidi="en-GB"/>
        </w:rPr>
        <w:sectPr w:rsidR="0043277E">
          <w:headerReference w:type="even" r:id="rId390"/>
          <w:headerReference w:type="default" r:id="rId391"/>
          <w:footerReference w:type="even" r:id="rId392"/>
          <w:footerReference w:type="default" r:id="rId393"/>
          <w:headerReference w:type="first" r:id="rId394"/>
          <w:footerReference w:type="first" r:id="rId395"/>
          <w:type w:val="nextColumn"/>
          <w:pgSz w:w="16840" w:h="11900" w:orient="landscape"/>
          <w:pgMar w:top="1077" w:right="1134" w:bottom="1134" w:left="1134" w:header="720" w:footer="720" w:gutter="0"/>
          <w:cols w:space="720"/>
          <w:docGrid w:linePitch="272"/>
        </w:sectPr>
      </w:pPr>
    </w:p>
    <w:p w:rsidR="0043277E" w:rsidRDefault="000F2348">
      <w:pPr>
        <w:pStyle w:val="HEADER1PartBUDG"/>
        <w:rPr>
          <w:noProof/>
        </w:rPr>
      </w:pPr>
      <w:bookmarkStart w:id="262" w:name="_DMBM_17272"/>
      <w:r>
        <w:rPr>
          <w:noProof/>
        </w:rPr>
        <w:lastRenderedPageBreak/>
        <w:t xml:space="preserve"> </w:t>
      </w:r>
      <w:bookmarkStart w:id="263" w:name="_Toc49418850"/>
      <w:r>
        <w:rPr>
          <w:noProof/>
        </w:rPr>
        <w:t>WYKONANIE BUDŻETU PRZEZ INSTYTUCJĘ</w:t>
      </w:r>
      <w:bookmarkEnd w:id="263"/>
    </w:p>
    <w:p w:rsidR="0043277E" w:rsidRDefault="000F2348">
      <w:pPr>
        <w:pStyle w:val="HEADER2PartBUDG"/>
        <w:rPr>
          <w:noProof/>
        </w:rPr>
      </w:pPr>
      <w:bookmarkStart w:id="264" w:name="_Toc49418851"/>
      <w:r>
        <w:rPr>
          <w:noProof/>
        </w:rPr>
        <w:t>WYKONANIE DOCHODÓW BUDŻETOWYCH</w:t>
      </w:r>
      <w:bookmarkEnd w:id="264"/>
      <w:r>
        <w:rPr>
          <w:noProof/>
        </w:rPr>
        <w:t xml:space="preserve"> </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028"/>
        <w:gridCol w:w="1029"/>
        <w:gridCol w:w="1030"/>
        <w:gridCol w:w="1030"/>
        <w:gridCol w:w="1030"/>
        <w:gridCol w:w="1030"/>
        <w:gridCol w:w="1030"/>
        <w:gridCol w:w="1030"/>
        <w:gridCol w:w="1030"/>
        <w:gridCol w:w="1206"/>
      </w:tblGrid>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bookmarkStart w:id="265" w:name="DOC_TBL00114_1_1"/>
            <w:bookmarkEnd w:id="265"/>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1Revenue"/>
              <w:rPr>
                <w:rFonts w:ascii="Verdana" w:eastAsia="Verdana" w:hAnsi="Verdana" w:cs="Verdana"/>
                <w:noProof/>
                <w:color w:val="000000"/>
                <w:sz w:val="16"/>
              </w:rPr>
            </w:pP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84"/>
        </w:trPr>
        <w:tc>
          <w:tcPr>
            <w:tcW w:w="3604"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Institutions1Revenue"/>
              <w:jc w:val="center"/>
              <w:rPr>
                <w:rFonts w:ascii="Verdana" w:eastAsia="Verdana" w:hAnsi="Verdana" w:cs="Verdana"/>
                <w:noProof/>
                <w:color w:val="FFFFFF"/>
                <w:sz w:val="16"/>
              </w:rPr>
            </w:pPr>
          </w:p>
        </w:tc>
        <w:tc>
          <w:tcPr>
            <w:tcW w:w="1020"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b/>
                <w:noProof/>
                <w:color w:val="FFFFFF"/>
                <w:sz w:val="16"/>
              </w:rPr>
            </w:pPr>
            <w:r>
              <w:rPr>
                <w:rFonts w:ascii="Verdana" w:hAnsi="Verdana"/>
                <w:b/>
                <w:noProof/>
                <w:color w:val="FFFFFF"/>
                <w:sz w:val="16"/>
              </w:rPr>
              <w:t>Dochody przewidziane w budżecie</w:t>
            </w:r>
          </w:p>
        </w:tc>
        <w:tc>
          <w:tcPr>
            <w:tcW w:w="1023"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b/>
                <w:noProof/>
                <w:color w:val="FFFFFF"/>
                <w:sz w:val="16"/>
              </w:rPr>
            </w:pPr>
            <w:r>
              <w:rPr>
                <w:rFonts w:ascii="Verdana" w:hAnsi="Verdana"/>
                <w:b/>
                <w:noProof/>
                <w:color w:val="FFFFFF"/>
                <w:sz w:val="16"/>
              </w:rPr>
              <w:t>Ustalone należności</w:t>
            </w:r>
          </w:p>
        </w:tc>
        <w:tc>
          <w:tcPr>
            <w:tcW w:w="1023"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b/>
                <w:noProof/>
                <w:color w:val="FFFFFF"/>
                <w:sz w:val="16"/>
              </w:rPr>
            </w:pPr>
            <w:r>
              <w:rPr>
                <w:rFonts w:ascii="Verdana" w:hAnsi="Verdana"/>
                <w:b/>
                <w:noProof/>
                <w:color w:val="FFFFFF"/>
                <w:sz w:val="16"/>
              </w:rPr>
              <w:t>Dochody</w:t>
            </w:r>
          </w:p>
        </w:tc>
        <w:tc>
          <w:tcPr>
            <w:tcW w:w="1023"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Wpływy jako % budżetu</w:t>
            </w:r>
          </w:p>
        </w:tc>
        <w:tc>
          <w:tcPr>
            <w:tcW w:w="1197"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Nie-</w:t>
            </w:r>
          </w:p>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rozliczone</w:t>
            </w:r>
          </w:p>
        </w:tc>
      </w:tr>
      <w:tr w:rsidR="0043277E">
        <w:trPr>
          <w:trHeight w:val="284"/>
        </w:trPr>
        <w:tc>
          <w:tcPr>
            <w:tcW w:w="36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Instytucja</w:t>
            </w:r>
          </w:p>
        </w:tc>
        <w:tc>
          <w:tcPr>
            <w:tcW w:w="102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Pierwotnie przyjęty budżet</w:t>
            </w:r>
          </w:p>
        </w:tc>
        <w:tc>
          <w:tcPr>
            <w:tcW w:w="102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Bieżący rok</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Przeniesione</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Ogółem</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Z należności za bieżący rok</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Z należności przeniesionych</w:t>
            </w:r>
          </w:p>
        </w:tc>
        <w:tc>
          <w:tcPr>
            <w:tcW w:w="10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Ogółem</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Institutions1Revenue"/>
              <w:jc w:val="center"/>
              <w:rPr>
                <w:rFonts w:ascii="Verdana" w:eastAsia="Verdana" w:hAnsi="Verdana" w:cs="Verdana"/>
                <w:noProof/>
                <w:color w:val="FFFFFF"/>
                <w:sz w:val="16"/>
              </w:rPr>
            </w:pPr>
          </w:p>
        </w:tc>
        <w:tc>
          <w:tcPr>
            <w:tcW w:w="1125"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Institutions1Revenue"/>
              <w:jc w:val="center"/>
              <w:rPr>
                <w:rFonts w:ascii="Verdana" w:eastAsia="Verdana" w:hAnsi="Verdana" w:cs="Verdana"/>
                <w:noProof/>
                <w:color w:val="FFFFFF"/>
                <w:sz w:val="16"/>
              </w:rPr>
            </w:pPr>
          </w:p>
        </w:tc>
      </w:tr>
      <w:tr w:rsidR="0043277E">
        <w:trPr>
          <w:trHeight w:val="284"/>
        </w:trPr>
        <w:tc>
          <w:tcPr>
            <w:tcW w:w="3604" w:type="dxa"/>
            <w:tcBorders>
              <w:top w:val="nil"/>
              <w:left w:val="nil"/>
              <w:bottom w:val="nil"/>
              <w:right w:val="nil"/>
              <w:tl2br w:val="nil"/>
              <w:tr2bl w:val="nil"/>
            </w:tcBorders>
            <w:shd w:val="solid" w:color="3486A9" w:fill="FFFFFF"/>
            <w:tcMar>
              <w:left w:w="60" w:type="dxa"/>
              <w:right w:w="60" w:type="dxa"/>
            </w:tcMar>
            <w:vAlign w:val="center"/>
          </w:tcPr>
          <w:p w:rsidR="0043277E" w:rsidRDefault="0043277E">
            <w:pPr>
              <w:pStyle w:val="DMETW17256BIPInstitutions1Revenue"/>
              <w:jc w:val="center"/>
              <w:rPr>
                <w:rFonts w:ascii="Verdana" w:eastAsia="Verdana" w:hAnsi="Verdana" w:cs="Verdana"/>
                <w:noProof/>
                <w:color w:val="FFFFFF"/>
                <w:sz w:val="16"/>
              </w:rPr>
            </w:pPr>
          </w:p>
        </w:tc>
        <w:tc>
          <w:tcPr>
            <w:tcW w:w="1020"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1</w:t>
            </w:r>
          </w:p>
        </w:tc>
        <w:tc>
          <w:tcPr>
            <w:tcW w:w="102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2</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3</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4</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5=3+4</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6</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7</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8=6+7</w:t>
            </w:r>
          </w:p>
        </w:tc>
        <w:tc>
          <w:tcPr>
            <w:tcW w:w="10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9=8/2</w:t>
            </w:r>
          </w:p>
        </w:tc>
        <w:tc>
          <w:tcPr>
            <w:tcW w:w="1197"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1Revenue"/>
              <w:jc w:val="center"/>
              <w:rPr>
                <w:rFonts w:ascii="Verdana" w:eastAsia="Verdana" w:hAnsi="Verdana" w:cs="Verdana"/>
                <w:noProof/>
                <w:color w:val="FFFFFF"/>
                <w:sz w:val="16"/>
              </w:rPr>
            </w:pPr>
            <w:r>
              <w:rPr>
                <w:rFonts w:ascii="Verdana" w:hAnsi="Verdana"/>
                <w:noProof/>
                <w:color w:val="FFFFFF"/>
                <w:sz w:val="16"/>
              </w:rPr>
              <w:t>10=5-8</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Parlament Europejski</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121 %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21</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Rada Europejska i Rada</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73</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73</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132 %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Komisja</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147 824</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148 117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169 322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13 747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183 069</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162 644</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596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163 240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110 %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19 829</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Trybunał Sprawiedliwości</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Trybunał Obrachunkowy</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103 %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Komitet Ekonomiczno-Społeczny</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134 %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Komitet Regionów</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121 %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Rzecznik Praw Obywatelskich</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90 %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Europejski Inspektor Ochrony Danych</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87 %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r>
      <w:tr w:rsidR="0043277E">
        <w:trPr>
          <w:trHeight w:val="284"/>
        </w:trPr>
        <w:tc>
          <w:tcPr>
            <w:tcW w:w="36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rPr>
                <w:rFonts w:ascii="Verdana" w:eastAsia="Verdana" w:hAnsi="Verdana" w:cs="Verdana"/>
                <w:noProof/>
                <w:color w:val="000000"/>
                <w:sz w:val="16"/>
              </w:rPr>
            </w:pPr>
            <w:r>
              <w:rPr>
                <w:rFonts w:ascii="Verdana" w:hAnsi="Verdana"/>
                <w:noProof/>
                <w:color w:val="000000"/>
                <w:sz w:val="16"/>
              </w:rPr>
              <w:t>Europejska Służba Działań Zewnętrznych</w:t>
            </w:r>
          </w:p>
        </w:tc>
        <w:tc>
          <w:tcPr>
            <w:tcW w:w="102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46</w:t>
            </w:r>
          </w:p>
        </w:tc>
        <w:tc>
          <w:tcPr>
            <w:tcW w:w="10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46</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290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290</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288</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289</w:t>
            </w:r>
          </w:p>
        </w:tc>
        <w:tc>
          <w:tcPr>
            <w:tcW w:w="10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623 %</w:t>
            </w:r>
          </w:p>
        </w:tc>
        <w:tc>
          <w:tcPr>
            <w:tcW w:w="119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284"/>
        </w:trPr>
        <w:tc>
          <w:tcPr>
            <w:tcW w:w="36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rPr>
                <w:rFonts w:ascii="Verdana" w:eastAsia="Verdana" w:hAnsi="Verdana" w:cs="Verdana"/>
                <w:b/>
                <w:noProof/>
                <w:color w:val="000000"/>
                <w:sz w:val="16"/>
              </w:rPr>
            </w:pPr>
            <w:r>
              <w:rPr>
                <w:rFonts w:ascii="Verdana" w:hAnsi="Verdana"/>
                <w:b/>
                <w:noProof/>
                <w:color w:val="000000"/>
                <w:sz w:val="16"/>
              </w:rPr>
              <w:t>Ogółem</w:t>
            </w:r>
          </w:p>
        </w:tc>
        <w:tc>
          <w:tcPr>
            <w:tcW w:w="102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148 199</w:t>
            </w:r>
          </w:p>
        </w:tc>
        <w:tc>
          <w:tcPr>
            <w:tcW w:w="102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148 492</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170 001</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13 770</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183 771</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163 314</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 xml:space="preserve"> 604</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163 918</w:t>
            </w:r>
          </w:p>
        </w:tc>
        <w:tc>
          <w:tcPr>
            <w:tcW w:w="10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110 %</w:t>
            </w:r>
          </w:p>
        </w:tc>
        <w:tc>
          <w:tcPr>
            <w:tcW w:w="119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1Revenue"/>
              <w:jc w:val="right"/>
              <w:rPr>
                <w:rFonts w:ascii="Verdana" w:eastAsia="Verdana" w:hAnsi="Verdana" w:cs="Verdana"/>
                <w:b/>
                <w:noProof/>
                <w:color w:val="000000"/>
                <w:sz w:val="16"/>
              </w:rPr>
            </w:pPr>
            <w:r>
              <w:rPr>
                <w:rFonts w:ascii="Verdana" w:hAnsi="Verdana"/>
                <w:b/>
                <w:noProof/>
                <w:color w:val="000000"/>
                <w:sz w:val="16"/>
              </w:rPr>
              <w:t>19 853</w:t>
            </w:r>
          </w:p>
        </w:tc>
      </w:tr>
    </w:tbl>
    <w:p w:rsidR="0043277E" w:rsidRDefault="000F2348">
      <w:pPr>
        <w:pStyle w:val="DGTextstand-alone"/>
      </w:pPr>
      <w:r>
        <w:t xml:space="preserve">Skonsolidowane sprawozdanie z wykonania budżetu ogólnego UE obejmuje, podobnie jak w latach poprzednich, wykonanie budżetu wszystkich instytucji, ponieważ w ramach budżetu UE ustanowione są oddzielne budżety dla poszczególnych instytucji. </w:t>
      </w:r>
    </w:p>
    <w:p w:rsidR="0043277E" w:rsidRDefault="000F2348">
      <w:pPr>
        <w:pStyle w:val="DGTextstand-alone"/>
      </w:pPr>
      <w:r>
        <w:t>Konsolidacja w r</w:t>
      </w:r>
      <w:r>
        <w:t>amach budżetu UE nie obejmuje budżetu agencji ani wykonania go przez nie; nie jest on również uwzględniony w sprawozdaniach budżetowych UE. Wypłacana agencjom dotacja Komisji jest jednak uwzględniona w budżecie UE. W niniejszej części budżetowej rocznego s</w:t>
      </w:r>
      <w:r>
        <w:t>prawozdania finansowego wzięto pod uwagę tylko dotację wypłaconą agencjom z budżetu Komisji.</w:t>
      </w:r>
    </w:p>
    <w:p w:rsidR="0043277E" w:rsidRDefault="000F2348">
      <w:pPr>
        <w:pStyle w:val="DGTextstand-alone"/>
      </w:pPr>
      <w:r>
        <w:t>Jeżeli chodzi o ESDZ, należy zauważyć, że oprócz własnego budżetu otrzymuje ona też wkłady od Komisji w wysokości 152,7 mln EUR (w 2018 r.: 141,7 mln EUR) i EFR or</w:t>
      </w:r>
      <w:r>
        <w:t>az funduszy powierniczych w wysokości 63,1 mln EUR (w 2018 r.: 70,1 mln EUR). Wkłady te pokrywają koszty personelu Komisji zatrudnionego w delegaturach w ramach finansowania ze środków EFR i funduszy powierniczych, w tym z dochodów przeznaczonych na określ</w:t>
      </w:r>
      <w:r>
        <w:t xml:space="preserve">ony cel uzyskanych w danym roku z tych wkładów. Te środki budżetowe są przekazywane ESDZ (jako dochody przeznaczone na określony cel) przede wszystkim na pokrycie kosztów personelu Komisji zatrudnionego w delegaturach Unii, którymi zarządza Służba. </w:t>
      </w:r>
    </w:p>
    <w:p w:rsidR="0043277E" w:rsidRDefault="0043277E">
      <w:pPr>
        <w:pStyle w:val="DGTextstand-alone"/>
        <w:rPr>
          <w:rFonts w:eastAsia="Verdana" w:cs="Verdana"/>
          <w:sz w:val="25"/>
          <w:szCs w:val="25"/>
          <w:highlight w:val="yellow"/>
        </w:rPr>
        <w:sectPr w:rsidR="0043277E">
          <w:headerReference w:type="even" r:id="rId396"/>
          <w:headerReference w:type="default" r:id="rId397"/>
          <w:footerReference w:type="even" r:id="rId398"/>
          <w:footerReference w:type="default" r:id="rId399"/>
          <w:headerReference w:type="first" r:id="rId400"/>
          <w:footerReference w:type="first" r:id="rId401"/>
          <w:pgSz w:w="16840" w:h="11900" w:orient="landscape"/>
          <w:pgMar w:top="1134" w:right="1134" w:bottom="1134" w:left="1134" w:header="708" w:footer="708" w:gutter="0"/>
          <w:cols w:space="720"/>
        </w:sectPr>
      </w:pPr>
    </w:p>
    <w:p w:rsidR="0043277E" w:rsidRDefault="000F2348">
      <w:pPr>
        <w:pStyle w:val="HEADER2PartBUDG"/>
        <w:rPr>
          <w:noProof/>
        </w:rPr>
      </w:pPr>
      <w:bookmarkStart w:id="266" w:name="_Toc49418852"/>
      <w:r>
        <w:rPr>
          <w:noProof/>
        </w:rPr>
        <w:lastRenderedPageBreak/>
        <w:t>WYKONANIE ŚRODKÓW NA ZOBOWIĄZANIA</w:t>
      </w:r>
      <w:bookmarkEnd w:id="266"/>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237"/>
        <w:gridCol w:w="1010"/>
        <w:gridCol w:w="895"/>
        <w:gridCol w:w="895"/>
        <w:gridCol w:w="895"/>
        <w:gridCol w:w="895"/>
        <w:gridCol w:w="895"/>
        <w:gridCol w:w="895"/>
        <w:gridCol w:w="895"/>
        <w:gridCol w:w="895"/>
        <w:gridCol w:w="770"/>
        <w:gridCol w:w="827"/>
        <w:gridCol w:w="1124"/>
      </w:tblGrid>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bookmarkStart w:id="267" w:name="DOC_TBL00115_1_1"/>
            <w:bookmarkEnd w:id="267"/>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2Commitments"/>
              <w:rPr>
                <w:rFonts w:ascii="Verdana" w:eastAsia="Verdana" w:hAnsi="Verdana" w:cs="Verdana"/>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rPr>
        <w:tc>
          <w:tcPr>
            <w:tcW w:w="1999"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Institutions2Commitments"/>
              <w:jc w:val="center"/>
              <w:rPr>
                <w:rFonts w:ascii="Verdana" w:eastAsia="Verdana" w:hAnsi="Verdana" w:cs="Verdana"/>
                <w:noProof/>
                <w:color w:val="FFFFFF"/>
                <w:sz w:val="16"/>
              </w:rPr>
            </w:pPr>
          </w:p>
        </w:tc>
        <w:tc>
          <w:tcPr>
            <w:tcW w:w="1250"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Dostępne</w:t>
            </w:r>
          </w:p>
          <w:p w:rsidR="0043277E" w:rsidRDefault="000F2348">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środki</w:t>
            </w:r>
          </w:p>
          <w:p w:rsidR="0043277E" w:rsidRDefault="000F2348">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ogółem</w:t>
            </w:r>
          </w:p>
        </w:tc>
        <w:tc>
          <w:tcPr>
            <w:tcW w:w="1021" w:type="dxa"/>
            <w:gridSpan w:val="5"/>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Zaciągnięte zobowiązania</w:t>
            </w:r>
          </w:p>
        </w:tc>
        <w:tc>
          <w:tcPr>
            <w:tcW w:w="904" w:type="dxa"/>
            <w:gridSpan w:val="3"/>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Środki przeniesione na 2020 r.</w:t>
            </w:r>
          </w:p>
        </w:tc>
        <w:tc>
          <w:tcPr>
            <w:tcW w:w="904"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 xml:space="preserve">Środki </w:t>
            </w:r>
            <w:r>
              <w:rPr>
                <w:rFonts w:ascii="Verdana" w:hAnsi="Verdana"/>
                <w:b/>
                <w:noProof/>
                <w:color w:val="FFFFFF"/>
                <w:sz w:val="16"/>
              </w:rPr>
              <w:t>wygasające</w:t>
            </w:r>
          </w:p>
        </w:tc>
      </w:tr>
      <w:tr w:rsidR="0043277E">
        <w:trPr>
          <w:trHeight w:val="340"/>
        </w:trPr>
        <w:tc>
          <w:tcPr>
            <w:tcW w:w="199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Instytucja</w:t>
            </w:r>
          </w:p>
        </w:tc>
        <w:tc>
          <w:tcPr>
            <w:tcW w:w="1215"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Institutions2Commitments"/>
              <w:jc w:val="center"/>
              <w:rPr>
                <w:rFonts w:ascii="Verdana" w:eastAsia="Verdana" w:hAnsi="Verdana" w:cs="Verdana"/>
                <w:b/>
                <w:noProof/>
                <w:color w:val="FFFFFF"/>
                <w:sz w:val="16"/>
              </w:rPr>
            </w:pPr>
          </w:p>
        </w:tc>
        <w:tc>
          <w:tcPr>
            <w:tcW w:w="102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Ze środków przeniesionych</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Ogółem</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Środki przeniesione decyzją</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Ogółem</w:t>
            </w:r>
          </w:p>
        </w:tc>
        <w:tc>
          <w:tcPr>
            <w:tcW w:w="90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Z ostatecznego przyjętego budżetu</w:t>
            </w:r>
          </w:p>
        </w:tc>
        <w:tc>
          <w:tcPr>
            <w:tcW w:w="77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 xml:space="preserve">Ze </w:t>
            </w:r>
            <w:r>
              <w:rPr>
                <w:rFonts w:ascii="Verdana" w:hAnsi="Verdana"/>
                <w:noProof/>
                <w:color w:val="FFFFFF"/>
                <w:sz w:val="16"/>
              </w:rPr>
              <w:t>środków przeniesionych</w:t>
            </w:r>
          </w:p>
        </w:tc>
        <w:tc>
          <w:tcPr>
            <w:tcW w:w="83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113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val="340"/>
        </w:trPr>
        <w:tc>
          <w:tcPr>
            <w:tcW w:w="1999" w:type="dxa"/>
            <w:tcBorders>
              <w:top w:val="nil"/>
              <w:left w:val="nil"/>
              <w:bottom w:val="nil"/>
              <w:right w:val="nil"/>
              <w:tl2br w:val="nil"/>
              <w:tr2bl w:val="nil"/>
            </w:tcBorders>
            <w:shd w:val="solid" w:color="3486A9" w:fill="FFFFFF"/>
            <w:tcMar>
              <w:left w:w="60" w:type="dxa"/>
              <w:right w:w="60" w:type="dxa"/>
            </w:tcMar>
            <w:vAlign w:val="center"/>
          </w:tcPr>
          <w:p w:rsidR="0043277E" w:rsidRDefault="0043277E">
            <w:pPr>
              <w:pStyle w:val="DMETW17256BIPInstitutions2Commitments"/>
              <w:jc w:val="center"/>
              <w:rPr>
                <w:rFonts w:ascii="Verdana" w:eastAsia="Verdana" w:hAnsi="Verdana" w:cs="Verdana"/>
                <w:noProof/>
                <w:color w:val="FFFFFF"/>
                <w:sz w:val="16"/>
              </w:rPr>
            </w:pPr>
          </w:p>
        </w:tc>
        <w:tc>
          <w:tcPr>
            <w:tcW w:w="1250"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1</w:t>
            </w:r>
          </w:p>
        </w:tc>
        <w:tc>
          <w:tcPr>
            <w:tcW w:w="1021"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2</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3</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4</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5=2+3+4</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6=5/1</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7</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8</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9=7+8</w:t>
            </w:r>
          </w:p>
        </w:tc>
        <w:tc>
          <w:tcPr>
            <w:tcW w:w="904"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10</w:t>
            </w:r>
          </w:p>
        </w:tc>
        <w:tc>
          <w:tcPr>
            <w:tcW w:w="778"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11</w:t>
            </w:r>
          </w:p>
        </w:tc>
        <w:tc>
          <w:tcPr>
            <w:tcW w:w="835"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12</w:t>
            </w:r>
          </w:p>
        </w:tc>
        <w:tc>
          <w:tcPr>
            <w:tcW w:w="113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2Commitments"/>
              <w:jc w:val="center"/>
              <w:rPr>
                <w:rFonts w:ascii="Verdana" w:eastAsia="Verdana" w:hAnsi="Verdana" w:cs="Verdana"/>
                <w:noProof/>
                <w:color w:val="FFFFFF"/>
                <w:sz w:val="16"/>
              </w:rPr>
            </w:pPr>
            <w:r>
              <w:rPr>
                <w:rFonts w:ascii="Verdana" w:hAnsi="Verdana"/>
                <w:noProof/>
                <w:color w:val="FFFFFF"/>
                <w:sz w:val="16"/>
              </w:rPr>
              <w:t>13=10+ 11+12</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Parlament Europejski</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2 083</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1 973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2 033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26</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Rada Europejska i Rada</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621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537</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562</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91 %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45</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Komisja</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180 004</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161 120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473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12 823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174 416</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4 055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598</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4 653</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356</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527</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934</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Trybunał Sprawiedliwości</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431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424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425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Trybunał Obrachunkowy</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147</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Komitet Ekonomiczno-Społeczny</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136</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Komitet Regionów</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101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100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Rzecznik Praw Obywatelskich</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485"/>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Europejski Inspektor Ochrony Danych</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199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rPr>
                <w:rFonts w:ascii="Verdana" w:eastAsia="Verdana" w:hAnsi="Verdana" w:cs="Verdana"/>
                <w:noProof/>
                <w:color w:val="000000"/>
                <w:sz w:val="16"/>
              </w:rPr>
            </w:pPr>
            <w:r>
              <w:rPr>
                <w:rFonts w:ascii="Verdana" w:hAnsi="Verdana"/>
                <w:noProof/>
                <w:color w:val="000000"/>
                <w:sz w:val="16"/>
              </w:rPr>
              <w:t>Europejska Służba Działań Zewnętrznych</w:t>
            </w:r>
          </w:p>
        </w:tc>
        <w:tc>
          <w:tcPr>
            <w:tcW w:w="125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996</w:t>
            </w:r>
          </w:p>
        </w:tc>
        <w:tc>
          <w:tcPr>
            <w:tcW w:w="102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694</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246</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940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55</w:t>
            </w:r>
          </w:p>
        </w:tc>
        <w:tc>
          <w:tcPr>
            <w:tcW w:w="90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7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199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rPr>
                <w:rFonts w:ascii="Verdana" w:eastAsia="Verdana" w:hAnsi="Verdana" w:cs="Verdana"/>
                <w:b/>
                <w:noProof/>
                <w:color w:val="000000"/>
                <w:sz w:val="16"/>
              </w:rPr>
            </w:pPr>
            <w:r>
              <w:rPr>
                <w:rFonts w:ascii="Verdana" w:hAnsi="Verdana"/>
                <w:b/>
                <w:noProof/>
                <w:color w:val="000000"/>
                <w:sz w:val="16"/>
              </w:rPr>
              <w:t>Suma:</w:t>
            </w:r>
          </w:p>
        </w:tc>
        <w:tc>
          <w:tcPr>
            <w:tcW w:w="125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184 554</w:t>
            </w:r>
          </w:p>
        </w:tc>
        <w:tc>
          <w:tcPr>
            <w:tcW w:w="102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165 153</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13 161</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178 787</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97 %</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4 149</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4 747</w:t>
            </w:r>
          </w:p>
        </w:tc>
        <w:tc>
          <w:tcPr>
            <w:tcW w:w="90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77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83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13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1 019</w:t>
            </w:r>
          </w:p>
        </w:tc>
      </w:tr>
    </w:tbl>
    <w:p w:rsidR="0043277E" w:rsidRDefault="0043277E">
      <w:pPr>
        <w:pStyle w:val="Textstand-alone"/>
      </w:pPr>
    </w:p>
    <w:p w:rsidR="0043277E" w:rsidRDefault="000F2348">
      <w:pPr>
        <w:pStyle w:val="Textstand-alone"/>
        <w:sectPr w:rsidR="0043277E">
          <w:headerReference w:type="even" r:id="rId402"/>
          <w:headerReference w:type="default" r:id="rId403"/>
          <w:footerReference w:type="even" r:id="rId404"/>
          <w:footerReference w:type="default" r:id="rId405"/>
          <w:headerReference w:type="first" r:id="rId406"/>
          <w:footerReference w:type="first" r:id="rId407"/>
          <w:type w:val="nextColumn"/>
          <w:pgSz w:w="16840" w:h="11900" w:orient="landscape"/>
          <w:pgMar w:top="1134" w:right="1134" w:bottom="1134" w:left="1134" w:header="720" w:footer="720" w:gutter="0"/>
          <w:cols w:space="720"/>
        </w:sectPr>
      </w:pPr>
      <w:r>
        <w:t xml:space="preserve">       </w:t>
      </w:r>
    </w:p>
    <w:p w:rsidR="0043277E" w:rsidRDefault="000F2348">
      <w:pPr>
        <w:pStyle w:val="HEADER2PartBUDG"/>
        <w:rPr>
          <w:noProof/>
        </w:rPr>
      </w:pPr>
      <w:bookmarkStart w:id="268" w:name="_Toc49418853"/>
      <w:r>
        <w:rPr>
          <w:noProof/>
        </w:rPr>
        <w:lastRenderedPageBreak/>
        <w:t>WYKONANIE ŚRODKÓW NA PŁATNOŚCI</w:t>
      </w:r>
      <w:bookmarkEnd w:id="268"/>
      <w:r>
        <w:rPr>
          <w:noProof/>
        </w:rPr>
        <w:t xml:space="preserve"> </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907"/>
        <w:gridCol w:w="962"/>
        <w:gridCol w:w="715"/>
        <w:gridCol w:w="837"/>
        <w:gridCol w:w="947"/>
        <w:gridCol w:w="617"/>
        <w:gridCol w:w="950"/>
        <w:gridCol w:w="836"/>
        <w:gridCol w:w="836"/>
        <w:gridCol w:w="836"/>
        <w:gridCol w:w="836"/>
        <w:gridCol w:w="685"/>
        <w:gridCol w:w="811"/>
        <w:gridCol w:w="1100"/>
      </w:tblGrid>
      <w:tr w:rsidR="0043277E">
        <w:trPr>
          <w:trHeight w:val="181"/>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bookmarkStart w:id="269" w:name="DOC_TBL00116_1_1"/>
            <w:bookmarkEnd w:id="269"/>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Institutions3Payments"/>
              <w:rPr>
                <w:rFonts w:ascii="Verdana" w:eastAsia="Verdana" w:hAnsi="Verdana" w:cs="Verdana"/>
                <w:noProof/>
                <w:color w:val="000000"/>
                <w:sz w:val="16"/>
              </w:rPr>
            </w:pP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rPr>
        <w:tc>
          <w:tcPr>
            <w:tcW w:w="1957"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Institutions3Payments"/>
              <w:jc w:val="center"/>
              <w:rPr>
                <w:rFonts w:ascii="Verdana" w:eastAsia="Verdana" w:hAnsi="Verdana" w:cs="Verdana"/>
                <w:noProof/>
                <w:color w:val="FFFFFF"/>
                <w:sz w:val="16"/>
              </w:rPr>
            </w:pPr>
          </w:p>
        </w:tc>
        <w:tc>
          <w:tcPr>
            <w:tcW w:w="917" w:type="dxa"/>
            <w:vMerge w:val="restart"/>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Dostępne</w:t>
            </w:r>
          </w:p>
          <w:p w:rsidR="0043277E" w:rsidRDefault="000F2348">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środki</w:t>
            </w:r>
          </w:p>
          <w:p w:rsidR="0043277E" w:rsidRDefault="000F2348">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ogółem</w:t>
            </w: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Dokonane płatności</w:t>
            </w:r>
          </w:p>
        </w:tc>
        <w:tc>
          <w:tcPr>
            <w:tcW w:w="960"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Środki przeniesione na 2020 r.</w:t>
            </w:r>
          </w:p>
        </w:tc>
        <w:tc>
          <w:tcPr>
            <w:tcW w:w="845" w:type="dxa"/>
            <w:gridSpan w:val="4"/>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Środki wygasające</w:t>
            </w:r>
          </w:p>
        </w:tc>
      </w:tr>
      <w:tr w:rsidR="0043277E">
        <w:trPr>
          <w:trHeight w:val="340"/>
        </w:trPr>
        <w:tc>
          <w:tcPr>
            <w:tcW w:w="195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Instytucja</w:t>
            </w:r>
          </w:p>
        </w:tc>
        <w:tc>
          <w:tcPr>
            <w:tcW w:w="1080" w:type="dxa"/>
            <w:vMerge/>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Institutions3Payments"/>
              <w:jc w:val="center"/>
              <w:rPr>
                <w:rFonts w:ascii="Verdana" w:eastAsia="Verdana" w:hAnsi="Verdana" w:cs="Verdana"/>
                <w:b/>
                <w:noProof/>
                <w:color w:val="FFFFFF"/>
                <w:sz w:val="16"/>
              </w:rPr>
            </w:pPr>
          </w:p>
        </w:tc>
        <w:tc>
          <w:tcPr>
            <w:tcW w:w="97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Z</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ostatecznego</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przyjętego</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budżetu</w:t>
            </w:r>
          </w:p>
        </w:tc>
        <w:tc>
          <w:tcPr>
            <w:tcW w:w="72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Ze</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środków</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przeniesionych</w:t>
            </w:r>
          </w:p>
        </w:tc>
        <w:tc>
          <w:tcPr>
            <w:tcW w:w="84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Z</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dochodów</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przeznaczonych na określony cel</w:t>
            </w:r>
          </w:p>
        </w:tc>
        <w:tc>
          <w:tcPr>
            <w:tcW w:w="95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Ogółem</w:t>
            </w:r>
          </w:p>
        </w:tc>
        <w:tc>
          <w:tcPr>
            <w:tcW w:w="62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w:t>
            </w:r>
          </w:p>
        </w:tc>
        <w:tc>
          <w:tcPr>
            <w:tcW w:w="960"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Środki</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przeniesione automatycznie</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Środki</w:t>
            </w:r>
          </w:p>
          <w:p w:rsidR="0043277E" w:rsidRDefault="0043277E">
            <w:pPr>
              <w:pStyle w:val="DMETW17256BIPInstitutions3Payments"/>
              <w:jc w:val="center"/>
              <w:rPr>
                <w:rFonts w:ascii="Verdana" w:eastAsia="Verdana" w:hAnsi="Verdana" w:cs="Verdana"/>
                <w:noProof/>
                <w:color w:val="FFFFFF"/>
                <w:sz w:val="16"/>
              </w:rPr>
            </w:pP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przeniesione</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decyzją</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Z dochodów przeznaczonych na określony cel</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Ogółem</w:t>
            </w:r>
          </w:p>
        </w:tc>
        <w:tc>
          <w:tcPr>
            <w:tcW w:w="84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Z</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ostatecznego</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przyjętego</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budżetu</w:t>
            </w:r>
          </w:p>
        </w:tc>
        <w:tc>
          <w:tcPr>
            <w:tcW w:w="69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Ze</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środków</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w:t>
            </w:r>
            <w:r>
              <w:rPr>
                <w:rFonts w:ascii="Verdana" w:hAnsi="Verdana"/>
                <w:noProof/>
                <w:color w:val="FFFFFF"/>
                <w:sz w:val="16"/>
              </w:rPr>
              <w:t>rzeniesionych</w:t>
            </w:r>
          </w:p>
        </w:tc>
        <w:tc>
          <w:tcPr>
            <w:tcW w:w="819"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Z</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dochodów</w:t>
            </w:r>
          </w:p>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przeznaczonych na określony cel</w:t>
            </w:r>
          </w:p>
        </w:tc>
        <w:tc>
          <w:tcPr>
            <w:tcW w:w="111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Ogółem</w:t>
            </w:r>
          </w:p>
        </w:tc>
      </w:tr>
      <w:tr w:rsidR="0043277E">
        <w:trPr>
          <w:trHeight w:val="340"/>
        </w:trPr>
        <w:tc>
          <w:tcPr>
            <w:tcW w:w="1957" w:type="dxa"/>
            <w:tcBorders>
              <w:top w:val="nil"/>
              <w:left w:val="nil"/>
              <w:bottom w:val="nil"/>
              <w:right w:val="nil"/>
              <w:tl2br w:val="nil"/>
              <w:tr2bl w:val="nil"/>
            </w:tcBorders>
            <w:shd w:val="solid" w:color="3486A9" w:fill="FFFFFF"/>
            <w:tcMar>
              <w:left w:w="60" w:type="dxa"/>
              <w:right w:w="60" w:type="dxa"/>
            </w:tcMar>
            <w:vAlign w:val="center"/>
          </w:tcPr>
          <w:p w:rsidR="0043277E" w:rsidRDefault="0043277E">
            <w:pPr>
              <w:pStyle w:val="DMETW17256BIPInstitutions3Payments"/>
              <w:jc w:val="center"/>
              <w:rPr>
                <w:rFonts w:ascii="Verdana" w:eastAsia="Verdana" w:hAnsi="Verdana" w:cs="Verdana"/>
                <w:noProof/>
                <w:color w:val="FFFFFF"/>
                <w:sz w:val="16"/>
              </w:rPr>
            </w:pPr>
          </w:p>
        </w:tc>
        <w:tc>
          <w:tcPr>
            <w:tcW w:w="917"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1</w:t>
            </w:r>
          </w:p>
        </w:tc>
        <w:tc>
          <w:tcPr>
            <w:tcW w:w="97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2</w:t>
            </w:r>
          </w:p>
        </w:tc>
        <w:tc>
          <w:tcPr>
            <w:tcW w:w="72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3</w:t>
            </w:r>
          </w:p>
        </w:tc>
        <w:tc>
          <w:tcPr>
            <w:tcW w:w="846"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4</w:t>
            </w:r>
          </w:p>
        </w:tc>
        <w:tc>
          <w:tcPr>
            <w:tcW w:w="957"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5=2+3+4</w:t>
            </w:r>
          </w:p>
        </w:tc>
        <w:tc>
          <w:tcPr>
            <w:tcW w:w="623"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6=5/1</w:t>
            </w:r>
          </w:p>
        </w:tc>
        <w:tc>
          <w:tcPr>
            <w:tcW w:w="960"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7</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8</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9</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10=7+8+9</w:t>
            </w:r>
          </w:p>
        </w:tc>
        <w:tc>
          <w:tcPr>
            <w:tcW w:w="845"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11</w:t>
            </w:r>
          </w:p>
        </w:tc>
        <w:tc>
          <w:tcPr>
            <w:tcW w:w="69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12</w:t>
            </w:r>
          </w:p>
        </w:tc>
        <w:tc>
          <w:tcPr>
            <w:tcW w:w="819"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13</w:t>
            </w:r>
          </w:p>
        </w:tc>
        <w:tc>
          <w:tcPr>
            <w:tcW w:w="1112" w:type="dxa"/>
            <w:tcBorders>
              <w:top w:val="nil"/>
              <w:left w:val="nil"/>
              <w:bottom w:val="nil"/>
              <w:right w:val="nil"/>
              <w:tl2br w:val="nil"/>
              <w:tr2bl w:val="nil"/>
            </w:tcBorders>
            <w:shd w:val="solid" w:color="3486A9" w:fill="FFFFFF"/>
            <w:tcMar>
              <w:left w:w="60" w:type="dxa"/>
              <w:right w:w="60" w:type="dxa"/>
            </w:tcMar>
            <w:vAlign w:val="center"/>
          </w:tcPr>
          <w:p w:rsidR="0043277E" w:rsidRDefault="000F2348">
            <w:pPr>
              <w:pStyle w:val="DMETW17256BIPInstitutions3Payments"/>
              <w:jc w:val="center"/>
              <w:rPr>
                <w:rFonts w:ascii="Verdana" w:eastAsia="Verdana" w:hAnsi="Verdana" w:cs="Verdana"/>
                <w:noProof/>
                <w:color w:val="FFFFFF"/>
                <w:sz w:val="16"/>
              </w:rPr>
            </w:pPr>
            <w:r>
              <w:rPr>
                <w:rFonts w:ascii="Verdana" w:hAnsi="Verdana"/>
                <w:noProof/>
                <w:color w:val="FFFFFF"/>
                <w:sz w:val="16"/>
              </w:rPr>
              <w:t>14=11+12+13</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Parlament Europejski</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2 382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1 699</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284</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52</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2 035</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85 %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274</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305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24</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41</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Rada Europejska i Rada</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682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484</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24</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562</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82 %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45</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Komisja</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165 573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142 633</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1 152</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10 934</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154 719</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682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470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9 001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10 154</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592</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86</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700</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Trybunał Sprawiedliwości</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452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399</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418</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Trybunał Obrachunkowy</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155</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144</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Komitet Ekonomiczno-Społeczny</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128</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Komitet Regionów</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110</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88</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97</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88 %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Rzecznik Praw Obywatelskich</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r>
      <w:tr w:rsidR="0043277E">
        <w:trPr>
          <w:trHeight w:val="485"/>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Europejski Inspektor Ochrony Danych</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81 %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r>
      <w:tr w:rsidR="0043277E">
        <w:trPr>
          <w:trHeight w:val="340"/>
        </w:trPr>
        <w:tc>
          <w:tcPr>
            <w:tcW w:w="1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rPr>
                <w:rFonts w:ascii="Verdana" w:eastAsia="Verdana" w:hAnsi="Verdana" w:cs="Verdana"/>
                <w:noProof/>
                <w:color w:val="000000"/>
                <w:sz w:val="16"/>
              </w:rPr>
            </w:pPr>
            <w:r>
              <w:rPr>
                <w:rFonts w:ascii="Verdana" w:hAnsi="Verdana"/>
                <w:noProof/>
                <w:color w:val="000000"/>
                <w:sz w:val="16"/>
              </w:rPr>
              <w:t>Europejska Służba Działań Zewnętrznych</w:t>
            </w:r>
          </w:p>
        </w:tc>
        <w:tc>
          <w:tcPr>
            <w:tcW w:w="91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1 143</w:t>
            </w:r>
          </w:p>
        </w:tc>
        <w:tc>
          <w:tcPr>
            <w:tcW w:w="97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610</w:t>
            </w:r>
          </w:p>
        </w:tc>
        <w:tc>
          <w:tcPr>
            <w:tcW w:w="72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135</w:t>
            </w:r>
          </w:p>
        </w:tc>
        <w:tc>
          <w:tcPr>
            <w:tcW w:w="8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210</w:t>
            </w:r>
          </w:p>
        </w:tc>
        <w:tc>
          <w:tcPr>
            <w:tcW w:w="95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956</w:t>
            </w:r>
          </w:p>
        </w:tc>
        <w:tc>
          <w:tcPr>
            <w:tcW w:w="62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84 %</w:t>
            </w:r>
          </w:p>
        </w:tc>
        <w:tc>
          <w:tcPr>
            <w:tcW w:w="960"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84</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177</w:t>
            </w:r>
          </w:p>
        </w:tc>
        <w:tc>
          <w:tcPr>
            <w:tcW w:w="84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6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19"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1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r>
      <w:tr w:rsidR="0043277E">
        <w:trPr>
          <w:trHeight w:val="340"/>
        </w:trPr>
        <w:tc>
          <w:tcPr>
            <w:tcW w:w="195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rPr>
                <w:rFonts w:ascii="Verdana" w:eastAsia="Verdana" w:hAnsi="Verdana" w:cs="Verdana"/>
                <w:b/>
                <w:noProof/>
                <w:color w:val="000000"/>
                <w:sz w:val="16"/>
              </w:rPr>
            </w:pPr>
            <w:r>
              <w:rPr>
                <w:rFonts w:ascii="Verdana" w:hAnsi="Verdana"/>
                <w:b/>
                <w:noProof/>
                <w:color w:val="000000"/>
                <w:sz w:val="16"/>
              </w:rPr>
              <w:t>Ogółem</w:t>
            </w:r>
          </w:p>
        </w:tc>
        <w:tc>
          <w:tcPr>
            <w:tcW w:w="91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170 679</w:t>
            </w:r>
          </w:p>
        </w:tc>
        <w:tc>
          <w:tcPr>
            <w:tcW w:w="97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146 203</w:t>
            </w:r>
          </w:p>
        </w:tc>
        <w:tc>
          <w:tcPr>
            <w:tcW w:w="72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1 667</w:t>
            </w:r>
          </w:p>
        </w:tc>
        <w:tc>
          <w:tcPr>
            <w:tcW w:w="84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11 225</w:t>
            </w:r>
          </w:p>
        </w:tc>
        <w:tc>
          <w:tcPr>
            <w:tcW w:w="95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159 096</w:t>
            </w:r>
          </w:p>
        </w:tc>
        <w:tc>
          <w:tcPr>
            <w:tcW w:w="62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93 %</w:t>
            </w:r>
          </w:p>
        </w:tc>
        <w:tc>
          <w:tcPr>
            <w:tcW w:w="960"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1 145</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9 144</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10 759</w:t>
            </w:r>
          </w:p>
        </w:tc>
        <w:tc>
          <w:tcPr>
            <w:tcW w:w="84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69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819"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111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rsidR="0043277E" w:rsidRDefault="0043277E">
      <w:pPr>
        <w:pStyle w:val="DGTextstand-alone"/>
      </w:pPr>
    </w:p>
    <w:bookmarkEnd w:id="262"/>
    <w:p w:rsidR="0043277E" w:rsidRDefault="0043277E">
      <w:pPr>
        <w:pStyle w:val="DGTextstand-alone"/>
        <w:sectPr w:rsidR="0043277E">
          <w:headerReference w:type="even" r:id="rId408"/>
          <w:headerReference w:type="default" r:id="rId409"/>
          <w:footerReference w:type="even" r:id="rId410"/>
          <w:footerReference w:type="default" r:id="rId411"/>
          <w:headerReference w:type="first" r:id="rId412"/>
          <w:footerReference w:type="first" r:id="rId413"/>
          <w:type w:val="nextColumn"/>
          <w:pgSz w:w="16840" w:h="11907" w:orient="landscape" w:code="9"/>
          <w:pgMar w:top="1134" w:right="1134" w:bottom="1134" w:left="1134" w:header="709" w:footer="709" w:gutter="0"/>
          <w:cols w:space="708"/>
          <w:docGrid w:linePitch="360"/>
        </w:sectPr>
      </w:pPr>
    </w:p>
    <w:p w:rsidR="0043277E" w:rsidRDefault="000F2348">
      <w:pPr>
        <w:pStyle w:val="HEADER1PartBUDG"/>
        <w:rPr>
          <w:noProof/>
        </w:rPr>
      </w:pPr>
      <w:bookmarkStart w:id="270" w:name="_DMBM_17270"/>
      <w:r>
        <w:rPr>
          <w:noProof/>
        </w:rPr>
        <w:lastRenderedPageBreak/>
        <w:t xml:space="preserve"> </w:t>
      </w:r>
      <w:bookmarkStart w:id="271" w:name="_Toc49418854"/>
      <w:r>
        <w:rPr>
          <w:noProof/>
        </w:rPr>
        <w:t>WYKONANIE BUDŻETU AGENCJI</w:t>
      </w:r>
      <w:bookmarkEnd w:id="271"/>
    </w:p>
    <w:p w:rsidR="0043277E" w:rsidRDefault="000F2348">
      <w:pPr>
        <w:pStyle w:val="DGTextstand-alone"/>
      </w:pPr>
      <w:r>
        <w:t xml:space="preserve">Konsolidacja w ramach budżetu UE jako taka, jak wynika ze sprawozdań przedstawionych </w:t>
      </w:r>
      <w:r>
        <w:t>poniżej w pkt 6.1 i 6.2, nie obejmuje przychodów ani wydatków agencji. W niniejszej części budżetowej rocznego sprawozdania finansowego wzięto pod uwagę tylko dotację wypłaconą agencjom z budżetu Komisji.</w:t>
      </w:r>
    </w:p>
    <w:p w:rsidR="0043277E" w:rsidRDefault="000F2348">
      <w:pPr>
        <w:pStyle w:val="DGTextstand-alone"/>
      </w:pPr>
      <w:r>
        <w:t>W sprawozdaniach z wykonania budżetu UE, w stosowny</w:t>
      </w:r>
      <w:r>
        <w:t>ch przypadkach, faktycznie uwzględniono dotację wypłaconą agencjom z budżetu UE jako środki na zobowiązania i płatności.</w:t>
      </w:r>
    </w:p>
    <w:p w:rsidR="0043277E" w:rsidRDefault="000F2348">
      <w:pPr>
        <w:pStyle w:val="DGTextstand-alone"/>
      </w:pPr>
      <w:r>
        <w:t>W poniższych sprawozdaniach agencji przedstawiono przegląd agencji – zarówno agencji zdecentralizowanych (zwanych także agencjami trady</w:t>
      </w:r>
      <w:r>
        <w:t>cyjnymi), jak i agencji wykonawczych – oraz ich przychodów (6.1) i wydatków (6.2).</w:t>
      </w:r>
    </w:p>
    <w:p w:rsidR="0043277E" w:rsidRDefault="000F2348">
      <w:pPr>
        <w:pStyle w:val="DGTextstand-alone"/>
      </w:pPr>
      <w:r>
        <w:t>Inne źródła przychodów i związanych z nimi wydatków nie są uwzględniane w sprawozdaniu finansowym z wykonania budżetu UE. Każda agencja przedstawia własny zestaw rocznych sp</w:t>
      </w:r>
      <w:r>
        <w:t>rawozdań finansowych.</w:t>
      </w:r>
    </w:p>
    <w:p w:rsidR="0043277E" w:rsidRDefault="000F2348">
      <w:pPr>
        <w:pStyle w:val="HEADER2PartBUDG"/>
        <w:rPr>
          <w:noProof/>
        </w:rPr>
      </w:pPr>
      <w:bookmarkStart w:id="272" w:name="_Toc49418855"/>
      <w:r>
        <w:rPr>
          <w:noProof/>
        </w:rPr>
        <w:t>DOCHODY BUDŻETOWE</w:t>
      </w:r>
      <w:bookmarkEnd w:id="272"/>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6"/>
        <w:gridCol w:w="1275"/>
        <w:gridCol w:w="1214"/>
        <w:gridCol w:w="1107"/>
      </w:tblGrid>
      <w:tr w:rsidR="0043277E">
        <w:trPr>
          <w:trHeight w:val="284"/>
          <w:tblHeader/>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1Revenue"/>
              <w:rPr>
                <w:rFonts w:ascii="Verdana" w:eastAsia="Verdana" w:hAnsi="Verdana" w:cs="Verdana"/>
                <w:noProof/>
                <w:color w:val="000000"/>
                <w:sz w:val="16"/>
              </w:rPr>
            </w:pPr>
            <w:bookmarkStart w:id="273" w:name="DOC_TBL00117_1_1"/>
            <w:bookmarkEnd w:id="273"/>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1Revenue"/>
              <w:rPr>
                <w:rFonts w:ascii="Verdana" w:eastAsia="Verdana" w:hAnsi="Verdana" w:cs="Verdana"/>
                <w:noProof/>
                <w:color w:val="000000"/>
                <w:sz w:val="16"/>
              </w:rPr>
            </w:pP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1Revenue"/>
              <w:rPr>
                <w:rFonts w:ascii="Verdana" w:eastAsia="Verdana" w:hAnsi="Verdana" w:cs="Verdana"/>
                <w:noProof/>
                <w:color w:val="000000"/>
                <w:sz w:val="16"/>
              </w:rPr>
            </w:pP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284"/>
          <w:tblHeader/>
        </w:trPr>
        <w:tc>
          <w:tcPr>
            <w:tcW w:w="615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1Revenue"/>
              <w:jc w:val="center"/>
              <w:rPr>
                <w:rFonts w:ascii="Verdana" w:eastAsia="Verdana" w:hAnsi="Verdana" w:cs="Verdana"/>
                <w:noProof/>
                <w:color w:val="FFFFFF"/>
                <w:sz w:val="16"/>
              </w:rPr>
            </w:pPr>
            <w:r>
              <w:rPr>
                <w:rFonts w:ascii="Verdana" w:hAnsi="Verdana"/>
                <w:noProof/>
                <w:color w:val="FFFFFF"/>
                <w:sz w:val="16"/>
              </w:rPr>
              <w:t>Agencja</w:t>
            </w:r>
          </w:p>
        </w:tc>
        <w:tc>
          <w:tcPr>
            <w:tcW w:w="127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1Revenue"/>
              <w:jc w:val="center"/>
              <w:rPr>
                <w:rFonts w:ascii="Verdana" w:eastAsia="Verdana" w:hAnsi="Verdana" w:cs="Verdana"/>
                <w:noProof/>
                <w:color w:val="FFFFFF"/>
                <w:sz w:val="16"/>
              </w:rPr>
            </w:pPr>
            <w:r>
              <w:rPr>
                <w:rFonts w:ascii="Verdana" w:hAnsi="Verdana"/>
                <w:noProof/>
                <w:color w:val="FFFFFF"/>
                <w:sz w:val="16"/>
              </w:rPr>
              <w:t>Finansowanie w ramach podpozycji WRF</w:t>
            </w:r>
          </w:p>
        </w:tc>
        <w:tc>
          <w:tcPr>
            <w:tcW w:w="121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1Revenue"/>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1107"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1Revenue"/>
              <w:jc w:val="center"/>
              <w:rPr>
                <w:rFonts w:ascii="Verdana" w:eastAsia="Verdana" w:hAnsi="Verdana" w:cs="Verdana"/>
                <w:noProof/>
                <w:color w:val="FFFFFF"/>
                <w:sz w:val="16"/>
              </w:rPr>
            </w:pPr>
            <w:r>
              <w:rPr>
                <w:rFonts w:ascii="Verdana" w:hAnsi="Verdana"/>
                <w:noProof/>
                <w:color w:val="FFFFFF"/>
                <w:sz w:val="16"/>
              </w:rPr>
              <w:t>Przychód otrzymany</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ds. Zarządzania Operacyjnego Wielkoskalowymi Systemami Informatycznymi</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138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140</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 xml:space="preserve">Agencja ds. </w:t>
            </w:r>
            <w:r>
              <w:rPr>
                <w:rFonts w:ascii="Verdana" w:hAnsi="Verdana"/>
                <w:noProof/>
                <w:color w:val="000000"/>
                <w:sz w:val="16"/>
              </w:rPr>
              <w:t>Współpracy Organów Regulacji Energetyki</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Organ Europejskich Regulatorów Łączności Elektronicznej</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6</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Wspólnotowy Urząd Ochrony Odmian Roślin</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nie dotyczy</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Wykonawcza ds. Konsumentów, Zdrowia, Rolnictwa i Żywności</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Wykonawcza ds. Edukacji, Kultury i Sektora Audiowizualnego</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 3, 4</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51</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Agencja Bezpieczeństwa i Zdrowia w Pracy</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 Urząd Wsparcia w dziedzinie Azylu</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103</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103</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 Urząd Nadzoru Bankowego</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46</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Agencja Straży Granicznej i Przybrzeżnej</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333</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350</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Europejskie Centrum ds. Zapobiegania i Kontroli Chorób</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59</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Europejskie Centrum Rozwoju Kształcenia Zawodowego</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Agencja Chemikaliów</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 2</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112</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 xml:space="preserve">Europejska </w:t>
            </w:r>
            <w:r>
              <w:rPr>
                <w:rFonts w:ascii="Verdana" w:hAnsi="Verdana"/>
                <w:noProof/>
                <w:color w:val="000000"/>
                <w:sz w:val="16"/>
              </w:rPr>
              <w:t>Agencja Środowiska</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2</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Agencja Kontroli Rybołówstwa</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2</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 Urząd ds. Bezpieczeństwa Żywności</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80</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80</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Europejskiego GNSS</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768</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 Instytut ds. Równości Kobiet i Mężczyzn</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 Instytut</w:t>
            </w:r>
            <w:r>
              <w:rPr>
                <w:rFonts w:ascii="Verdana" w:hAnsi="Verdana"/>
                <w:noProof/>
                <w:color w:val="000000"/>
                <w:sz w:val="16"/>
              </w:rPr>
              <w:t xml:space="preserve"> Innowacji i Technologii</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416</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 Urząd Nadzoru Ubezpieczeń i Pracowniczych Programów Emerytalnych</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27</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Agencja Bezpieczeństwa Morskiego</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97</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Agencja Leków</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347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340</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 xml:space="preserve">Europejskie Centrum Monitorowania </w:t>
            </w:r>
            <w:r>
              <w:rPr>
                <w:rFonts w:ascii="Verdana" w:hAnsi="Verdana"/>
                <w:noProof/>
                <w:color w:val="000000"/>
                <w:sz w:val="16"/>
              </w:rPr>
              <w:t>Narkotyków i Narkomanii</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Rada ds. Badań Naukowych</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Europejski Urząd Nadzoru Giełd i Papierów Wartościowych</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47</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Europejska Fundacja Kształcenia</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4</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 xml:space="preserve">Agencja Unii Europejskiej ds. Współpracy Wymiarów </w:t>
            </w:r>
            <w:r>
              <w:rPr>
                <w:rFonts w:ascii="Verdana" w:hAnsi="Verdana"/>
                <w:noProof/>
                <w:color w:val="000000"/>
                <w:sz w:val="16"/>
              </w:rPr>
              <w:t>Sprawiedliwości w Sprawach Karnych</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40</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Unii Europejskiej ds. Cyberbezpieczeństwa</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Unii Europejskiej ds. Współpracy Organów Ścigania</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138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143</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Unii Europejskiej ds. Szkolenia w Dziedzinie Ścigania</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lastRenderedPageBreak/>
              <w:t>Agencja Kolejowa Unii Europejskiej</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28</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Unii Europejskiej ds. Bezpieczeństwa Lotniczego</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171</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Praw Podstawowych Unii Europejskiej</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23</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Urząd Unii Europejskiej ds. Własności Intelektualnej</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nie dotyczy</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252</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259</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 xml:space="preserve">Agencja </w:t>
            </w:r>
            <w:r>
              <w:rPr>
                <w:rFonts w:ascii="Verdana" w:hAnsi="Verdana"/>
                <w:noProof/>
                <w:color w:val="000000"/>
                <w:sz w:val="16"/>
              </w:rPr>
              <w:t>Wykonawcza ds. Małych i Średnich Przedsiębiorstw</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49</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Fundacja na rzecz Poprawy Warunków Życia i Pracy</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22</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Wspólne przedsięwzięcie Fusion for Energy</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576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729</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Agencja Wykonawcza ds. Innowacyjności i Sieci</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1a</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 xml:space="preserve">Agencja Wykonawcza </w:t>
            </w:r>
            <w:r>
              <w:rPr>
                <w:rFonts w:ascii="Verdana" w:hAnsi="Verdana"/>
                <w:noProof/>
                <w:color w:val="000000"/>
                <w:sz w:val="16"/>
              </w:rPr>
              <w:t>ds. Badań Naukowych</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5</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w:t>
            </w:r>
          </w:p>
        </w:tc>
      </w:tr>
      <w:tr w:rsidR="0043277E">
        <w:trPr>
          <w:trHeight w:val="284"/>
        </w:trPr>
        <w:tc>
          <w:tcPr>
            <w:tcW w:w="615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Centrum Tłumaczeń dla Organów Unii Europejskiej</w:t>
            </w:r>
          </w:p>
        </w:tc>
        <w:tc>
          <w:tcPr>
            <w:tcW w:w="127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rPr>
                <w:rFonts w:ascii="Verdana" w:eastAsia="Verdana" w:hAnsi="Verdana" w:cs="Verdana"/>
                <w:noProof/>
                <w:color w:val="000000"/>
                <w:sz w:val="16"/>
              </w:rPr>
            </w:pPr>
            <w:r>
              <w:rPr>
                <w:rFonts w:ascii="Verdana" w:hAnsi="Verdana"/>
                <w:noProof/>
                <w:color w:val="000000"/>
                <w:sz w:val="16"/>
              </w:rPr>
              <w:t>5</w:t>
            </w:r>
          </w:p>
        </w:tc>
        <w:tc>
          <w:tcPr>
            <w:tcW w:w="121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47</w:t>
            </w:r>
          </w:p>
        </w:tc>
        <w:tc>
          <w:tcPr>
            <w:tcW w:w="1107"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37</w:t>
            </w:r>
          </w:p>
        </w:tc>
      </w:tr>
      <w:tr w:rsidR="0043277E">
        <w:trPr>
          <w:trHeight w:val="284"/>
        </w:trPr>
        <w:tc>
          <w:tcPr>
            <w:tcW w:w="615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1Revenue"/>
              <w:rPr>
                <w:rFonts w:ascii="Verdana" w:eastAsia="Verdana" w:hAnsi="Verdana" w:cs="Verdana"/>
                <w:b/>
                <w:noProof/>
                <w:color w:val="000000"/>
                <w:sz w:val="16"/>
              </w:rPr>
            </w:pPr>
            <w:r>
              <w:rPr>
                <w:rFonts w:ascii="Verdana" w:hAnsi="Verdana"/>
                <w:b/>
                <w:noProof/>
                <w:color w:val="000000"/>
                <w:sz w:val="16"/>
              </w:rPr>
              <w:t>Ogółem</w:t>
            </w:r>
          </w:p>
        </w:tc>
        <w:tc>
          <w:tcPr>
            <w:tcW w:w="1275"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56BIPAgencies1Revenue"/>
              <w:rPr>
                <w:rFonts w:ascii="Verdana" w:eastAsia="Verdana" w:hAnsi="Verdana" w:cs="Verdana"/>
                <w:b/>
                <w:noProof/>
                <w:color w:val="000000"/>
                <w:sz w:val="16"/>
              </w:rPr>
            </w:pPr>
          </w:p>
        </w:tc>
        <w:tc>
          <w:tcPr>
            <w:tcW w:w="121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1Revenue"/>
              <w:jc w:val="right"/>
              <w:rPr>
                <w:rFonts w:ascii="Verdana" w:eastAsia="Verdana" w:hAnsi="Verdana" w:cs="Verdana"/>
                <w:b/>
                <w:noProof/>
                <w:color w:val="000000"/>
                <w:sz w:val="16"/>
              </w:rPr>
            </w:pPr>
            <w:r>
              <w:rPr>
                <w:rFonts w:ascii="Verdana" w:hAnsi="Verdana"/>
                <w:b/>
                <w:noProof/>
                <w:color w:val="000000"/>
                <w:sz w:val="16"/>
              </w:rPr>
              <w:t>3 626</w:t>
            </w:r>
          </w:p>
        </w:tc>
        <w:tc>
          <w:tcPr>
            <w:tcW w:w="1107"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1Revenue"/>
              <w:jc w:val="right"/>
              <w:rPr>
                <w:rFonts w:ascii="Verdana" w:eastAsia="Verdana" w:hAnsi="Verdana" w:cs="Verdana"/>
                <w:b/>
                <w:noProof/>
                <w:color w:val="000000"/>
                <w:sz w:val="16"/>
              </w:rPr>
            </w:pPr>
            <w:r>
              <w:rPr>
                <w:rFonts w:ascii="Verdana" w:hAnsi="Verdana"/>
                <w:b/>
                <w:noProof/>
                <w:color w:val="000000"/>
                <w:sz w:val="16"/>
              </w:rPr>
              <w:t>4 533</w:t>
            </w:r>
          </w:p>
        </w:tc>
      </w:tr>
    </w:tbl>
    <w:p w:rsidR="0043277E" w:rsidRDefault="0043277E">
      <w:pPr>
        <w:pStyle w:val="DGTextstand-alone"/>
        <w:rPr>
          <w:lang w:bidi="en-GB"/>
        </w:rPr>
      </w:pPr>
    </w:p>
    <w:p w:rsidR="0043277E" w:rsidRDefault="0043277E">
      <w:pPr>
        <w:pStyle w:val="DGTextstand-alone"/>
      </w:pPr>
    </w:p>
    <w:tbl>
      <w:tblPr>
        <w:tblW w:w="957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6"/>
        <w:gridCol w:w="3260"/>
        <w:gridCol w:w="1276"/>
        <w:gridCol w:w="992"/>
      </w:tblGrid>
      <w:tr w:rsidR="0043277E">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2TypeofRevenue"/>
              <w:rPr>
                <w:rFonts w:ascii="Verdana" w:eastAsia="Verdana" w:hAnsi="Verdana" w:cs="Verdana"/>
                <w:noProof/>
                <w:color w:val="000000"/>
                <w:sz w:val="16"/>
              </w:rPr>
            </w:pPr>
            <w:bookmarkStart w:id="274" w:name="DOC_TBL00118_1_1"/>
            <w:bookmarkEnd w:id="274"/>
          </w:p>
        </w:tc>
        <w:tc>
          <w:tcPr>
            <w:tcW w:w="32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2TypeofRevenue"/>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2TypeofRevenue"/>
              <w:jc w:val="right"/>
              <w:rPr>
                <w:rFonts w:ascii="Verdana" w:eastAsia="Verdana" w:hAnsi="Verdana" w:cs="Verdana"/>
                <w:i/>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2TypeofRevenue"/>
              <w:jc w:val="right"/>
              <w:rPr>
                <w:rFonts w:ascii="Verdana" w:eastAsia="Verdana" w:hAnsi="Verdana" w:cs="Verdana"/>
                <w:i/>
                <w:noProof/>
                <w:color w:val="000000"/>
                <w:sz w:val="16"/>
                <w:lang w:bidi="en-GB"/>
              </w:rPr>
            </w:pPr>
          </w:p>
        </w:tc>
      </w:tr>
      <w:tr w:rsidR="0043277E">
        <w:trPr>
          <w:trHeight w:val="284"/>
        </w:trPr>
        <w:tc>
          <w:tcPr>
            <w:tcW w:w="404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2TypeofRevenue"/>
              <w:jc w:val="center"/>
              <w:rPr>
                <w:rFonts w:ascii="Verdana" w:eastAsia="Verdana" w:hAnsi="Verdana" w:cs="Verdana"/>
                <w:noProof/>
                <w:color w:val="FFFFFF"/>
                <w:sz w:val="16"/>
              </w:rPr>
            </w:pPr>
            <w:r>
              <w:rPr>
                <w:rFonts w:ascii="Verdana" w:hAnsi="Verdana"/>
                <w:noProof/>
                <w:color w:val="FFFFFF"/>
                <w:sz w:val="16"/>
              </w:rPr>
              <w:t>Rodzaj dochodów</w:t>
            </w:r>
          </w:p>
        </w:tc>
        <w:tc>
          <w:tcPr>
            <w:tcW w:w="3260"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Agencies2TypeofRevenue"/>
              <w:jc w:val="center"/>
              <w:rPr>
                <w:rFonts w:ascii="Verdana" w:eastAsia="Verdana" w:hAnsi="Verdana" w:cs="Verdana"/>
                <w:noProof/>
                <w:color w:val="FFFFFF"/>
                <w:sz w:val="16"/>
              </w:rPr>
            </w:pPr>
          </w:p>
        </w:tc>
        <w:tc>
          <w:tcPr>
            <w:tcW w:w="1276"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2TypeofRevenue"/>
              <w:jc w:val="center"/>
              <w:rPr>
                <w:rFonts w:ascii="Verdana" w:eastAsia="Verdana" w:hAnsi="Verdana" w:cs="Verdana"/>
                <w:noProof/>
                <w:color w:val="FFFFFF"/>
                <w:sz w:val="16"/>
              </w:rPr>
            </w:pPr>
            <w:r>
              <w:rPr>
                <w:rFonts w:ascii="Verdana" w:hAnsi="Verdana"/>
                <w:noProof/>
                <w:color w:val="FFFFFF"/>
                <w:sz w:val="16"/>
              </w:rPr>
              <w:t>Ostateczny przyjęty budżet</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2TypeofRevenue"/>
              <w:jc w:val="center"/>
              <w:rPr>
                <w:rFonts w:ascii="Verdana" w:eastAsia="Verdana" w:hAnsi="Verdana" w:cs="Verdana"/>
                <w:noProof/>
                <w:color w:val="FFFFFF"/>
                <w:sz w:val="16"/>
              </w:rPr>
            </w:pPr>
            <w:r>
              <w:rPr>
                <w:rFonts w:ascii="Verdana" w:hAnsi="Verdana"/>
                <w:noProof/>
                <w:color w:val="FFFFFF"/>
                <w:sz w:val="16"/>
              </w:rPr>
              <w:t>Otrzymane kwoty</w:t>
            </w:r>
          </w:p>
        </w:tc>
      </w:tr>
      <w:tr w:rsidR="0043277E">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rPr>
                <w:rFonts w:ascii="Verdana" w:eastAsia="Verdana" w:hAnsi="Verdana" w:cs="Verdana"/>
                <w:noProof/>
                <w:color w:val="000000"/>
                <w:sz w:val="16"/>
              </w:rPr>
            </w:pPr>
            <w:r>
              <w:rPr>
                <w:rFonts w:ascii="Verdana" w:hAnsi="Verdana"/>
                <w:noProof/>
                <w:color w:val="000000"/>
                <w:sz w:val="16"/>
              </w:rPr>
              <w:t>Dotacja Komisji</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jc w:val="right"/>
              <w:rPr>
                <w:rFonts w:ascii="Verdana" w:eastAsia="Verdana" w:hAnsi="Verdana" w:cs="Verdana"/>
                <w:noProof/>
                <w:color w:val="000000"/>
                <w:sz w:val="16"/>
              </w:rPr>
            </w:pPr>
            <w:r>
              <w:rPr>
                <w:rFonts w:ascii="Verdana" w:hAnsi="Verdana"/>
                <w:noProof/>
                <w:color w:val="000000"/>
                <w:sz w:val="16"/>
              </w:rPr>
              <w:t>1 459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jc w:val="right"/>
              <w:rPr>
                <w:rFonts w:ascii="Verdana" w:eastAsia="Verdana" w:hAnsi="Verdana" w:cs="Verdana"/>
                <w:noProof/>
                <w:color w:val="000000"/>
                <w:sz w:val="16"/>
              </w:rPr>
            </w:pPr>
            <w:r>
              <w:rPr>
                <w:rFonts w:ascii="Verdana" w:hAnsi="Verdana"/>
                <w:noProof/>
                <w:color w:val="000000"/>
                <w:sz w:val="16"/>
              </w:rPr>
              <w:t>1 471</w:t>
            </w:r>
          </w:p>
        </w:tc>
      </w:tr>
      <w:tr w:rsidR="0043277E">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rPr>
                <w:rFonts w:ascii="Verdana" w:eastAsia="Verdana" w:hAnsi="Verdana" w:cs="Verdana"/>
                <w:noProof/>
                <w:color w:val="000000"/>
                <w:sz w:val="16"/>
              </w:rPr>
            </w:pPr>
            <w:r>
              <w:rPr>
                <w:rFonts w:ascii="Verdana" w:hAnsi="Verdana"/>
                <w:noProof/>
                <w:color w:val="000000"/>
                <w:sz w:val="16"/>
              </w:rPr>
              <w:t>Dochody z opłat</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jc w:val="right"/>
              <w:rPr>
                <w:rFonts w:ascii="Verdana" w:eastAsia="Verdana" w:hAnsi="Verdana" w:cs="Verdana"/>
                <w:noProof/>
                <w:color w:val="000000"/>
                <w:sz w:val="16"/>
              </w:rPr>
            </w:pPr>
            <w:r>
              <w:rPr>
                <w:rFonts w:ascii="Verdana" w:hAnsi="Verdana"/>
                <w:noProof/>
                <w:color w:val="000000"/>
                <w:sz w:val="16"/>
              </w:rPr>
              <w:t xml:space="preserve"> 726</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jc w:val="right"/>
              <w:rPr>
                <w:rFonts w:ascii="Verdana" w:eastAsia="Verdana" w:hAnsi="Verdana" w:cs="Verdana"/>
                <w:noProof/>
                <w:color w:val="000000"/>
                <w:sz w:val="16"/>
              </w:rPr>
            </w:pPr>
            <w:r>
              <w:rPr>
                <w:rFonts w:ascii="Verdana" w:hAnsi="Verdana"/>
                <w:noProof/>
                <w:color w:val="000000"/>
                <w:sz w:val="16"/>
              </w:rPr>
              <w:t xml:space="preserve"> 732</w:t>
            </w:r>
          </w:p>
        </w:tc>
      </w:tr>
      <w:tr w:rsidR="0043277E">
        <w:trPr>
          <w:trHeight w:val="284"/>
        </w:trPr>
        <w:tc>
          <w:tcPr>
            <w:tcW w:w="404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rPr>
                <w:rFonts w:ascii="Verdana" w:eastAsia="Verdana" w:hAnsi="Verdana" w:cs="Verdana"/>
                <w:noProof/>
                <w:color w:val="000000"/>
                <w:sz w:val="16"/>
              </w:rPr>
            </w:pPr>
            <w:r>
              <w:rPr>
                <w:rFonts w:ascii="Verdana" w:hAnsi="Verdana"/>
                <w:noProof/>
                <w:color w:val="000000"/>
                <w:sz w:val="16"/>
              </w:rPr>
              <w:t>Pozostałe dochody</w:t>
            </w:r>
          </w:p>
        </w:tc>
        <w:tc>
          <w:tcPr>
            <w:tcW w:w="3260"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jc w:val="right"/>
              <w:rPr>
                <w:rFonts w:ascii="Verdana" w:eastAsia="Verdana" w:hAnsi="Verdana" w:cs="Verdana"/>
                <w:noProof/>
                <w:color w:val="000000"/>
                <w:sz w:val="16"/>
              </w:rPr>
            </w:pPr>
            <w:r>
              <w:rPr>
                <w:rFonts w:ascii="Verdana" w:hAnsi="Verdana"/>
                <w:noProof/>
                <w:color w:val="000000"/>
                <w:sz w:val="16"/>
              </w:rPr>
              <w:t>1 441</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2TypeofRevenue"/>
              <w:jc w:val="right"/>
              <w:rPr>
                <w:rFonts w:ascii="Verdana" w:eastAsia="Verdana" w:hAnsi="Verdana" w:cs="Verdana"/>
                <w:noProof/>
                <w:color w:val="000000"/>
                <w:sz w:val="16"/>
              </w:rPr>
            </w:pPr>
            <w:r>
              <w:rPr>
                <w:rFonts w:ascii="Verdana" w:hAnsi="Verdana"/>
                <w:noProof/>
                <w:color w:val="000000"/>
                <w:sz w:val="16"/>
              </w:rPr>
              <w:t>2 331</w:t>
            </w:r>
          </w:p>
        </w:tc>
      </w:tr>
      <w:tr w:rsidR="0043277E">
        <w:trPr>
          <w:trHeight w:val="284"/>
        </w:trPr>
        <w:tc>
          <w:tcPr>
            <w:tcW w:w="404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2TypeofRevenue"/>
              <w:rPr>
                <w:rFonts w:ascii="Verdana" w:eastAsia="Verdana" w:hAnsi="Verdana" w:cs="Verdana"/>
                <w:b/>
                <w:noProof/>
                <w:color w:val="000000"/>
                <w:sz w:val="16"/>
              </w:rPr>
            </w:pPr>
            <w:r>
              <w:rPr>
                <w:rFonts w:ascii="Verdana" w:hAnsi="Verdana"/>
                <w:b/>
                <w:noProof/>
                <w:color w:val="000000"/>
                <w:sz w:val="16"/>
              </w:rPr>
              <w:t>Ogółem</w:t>
            </w:r>
          </w:p>
        </w:tc>
        <w:tc>
          <w:tcPr>
            <w:tcW w:w="3260" w:type="dxa"/>
            <w:tcBorders>
              <w:top w:val="nil"/>
              <w:left w:val="nil"/>
              <w:bottom w:val="nil"/>
              <w:right w:val="nil"/>
              <w:tl2br w:val="nil"/>
              <w:tr2bl w:val="nil"/>
            </w:tcBorders>
            <w:shd w:val="solid" w:color="CCE1EA" w:fill="FFFFFF"/>
            <w:tcMar>
              <w:left w:w="60" w:type="dxa"/>
              <w:right w:w="60" w:type="dxa"/>
            </w:tcMar>
            <w:vAlign w:val="center"/>
          </w:tcPr>
          <w:p w:rsidR="0043277E" w:rsidRDefault="0043277E">
            <w:pPr>
              <w:pStyle w:val="DMETW17256BIPAgencies2TypeofRevenue"/>
              <w:jc w:val="right"/>
              <w:rPr>
                <w:rFonts w:ascii="Verdana" w:eastAsia="Verdana" w:hAnsi="Verdana" w:cs="Verdana"/>
                <w:b/>
                <w:noProof/>
                <w:color w:val="000000"/>
                <w:sz w:val="16"/>
              </w:rPr>
            </w:pPr>
          </w:p>
        </w:tc>
        <w:tc>
          <w:tcPr>
            <w:tcW w:w="1276"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2TypeofRevenue"/>
              <w:jc w:val="right"/>
              <w:rPr>
                <w:rFonts w:ascii="Verdana" w:eastAsia="Verdana" w:hAnsi="Verdana" w:cs="Verdana"/>
                <w:b/>
                <w:noProof/>
                <w:color w:val="000000"/>
                <w:sz w:val="16"/>
              </w:rPr>
            </w:pPr>
            <w:r>
              <w:rPr>
                <w:rFonts w:ascii="Verdana" w:hAnsi="Verdana"/>
                <w:b/>
                <w:noProof/>
                <w:color w:val="000000"/>
                <w:sz w:val="16"/>
              </w:rPr>
              <w:t>3 626</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2TypeofRevenue"/>
              <w:jc w:val="right"/>
              <w:rPr>
                <w:rFonts w:ascii="Verdana" w:eastAsia="Verdana" w:hAnsi="Verdana" w:cs="Verdana"/>
                <w:b/>
                <w:noProof/>
                <w:color w:val="000000"/>
                <w:sz w:val="16"/>
              </w:rPr>
            </w:pPr>
            <w:r>
              <w:rPr>
                <w:rFonts w:ascii="Verdana" w:hAnsi="Verdana"/>
                <w:b/>
                <w:noProof/>
                <w:color w:val="000000"/>
                <w:sz w:val="16"/>
              </w:rPr>
              <w:t>4 533</w:t>
            </w:r>
          </w:p>
        </w:tc>
      </w:tr>
    </w:tbl>
    <w:p w:rsidR="0043277E" w:rsidRDefault="0043277E">
      <w:pPr>
        <w:pStyle w:val="DGTextstand-alone"/>
      </w:pPr>
    </w:p>
    <w:p w:rsidR="0043277E" w:rsidRDefault="000F2348">
      <w:pPr>
        <w:pStyle w:val="DGTextstand-alone"/>
      </w:pPr>
      <w:r>
        <w:br w:type="page"/>
      </w:r>
    </w:p>
    <w:p w:rsidR="0043277E" w:rsidRDefault="000F2348">
      <w:pPr>
        <w:pStyle w:val="HEADER2PartBUDG"/>
        <w:rPr>
          <w:noProof/>
        </w:rPr>
      </w:pPr>
      <w:bookmarkStart w:id="275" w:name="_Toc49418856"/>
      <w:r>
        <w:rPr>
          <w:noProof/>
        </w:rPr>
        <w:lastRenderedPageBreak/>
        <w:t xml:space="preserve">ŚRODKI NA ZOBOWIĄZANIA I ŚRODKI NA PŁATNOŚCI W PODZIALE NA </w:t>
      </w:r>
      <w:r>
        <w:rPr>
          <w:noProof/>
        </w:rPr>
        <w:tab/>
        <w:t>AGENCJE</w:t>
      </w:r>
      <w:bookmarkEnd w:id="275"/>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5"/>
        <w:gridCol w:w="1038"/>
        <w:gridCol w:w="1043"/>
        <w:gridCol w:w="1043"/>
        <w:gridCol w:w="1043"/>
      </w:tblGrid>
      <w:tr w:rsidR="0043277E">
        <w:trPr>
          <w:trHeight w:val="340"/>
          <w:tblHeader/>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3CommitmentsPayments"/>
              <w:rPr>
                <w:rFonts w:ascii="Verdana" w:eastAsia="Verdana" w:hAnsi="Verdana" w:cs="Verdana"/>
                <w:noProof/>
                <w:color w:val="000000"/>
                <w:sz w:val="16"/>
              </w:rPr>
            </w:pPr>
            <w:bookmarkStart w:id="276" w:name="DOC_TBL00119_1_1"/>
            <w:bookmarkEnd w:id="276"/>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340"/>
          <w:tblHeader/>
        </w:trPr>
        <w:tc>
          <w:tcPr>
            <w:tcW w:w="5585"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Agencies3CommitmentsPayments"/>
              <w:jc w:val="center"/>
              <w:rPr>
                <w:rFonts w:ascii="Verdana" w:eastAsia="Verdana" w:hAnsi="Verdana" w:cs="Verdana"/>
                <w:noProof/>
                <w:color w:val="FFFFFF"/>
                <w:sz w:val="16"/>
              </w:rPr>
            </w:pPr>
          </w:p>
        </w:tc>
        <w:tc>
          <w:tcPr>
            <w:tcW w:w="1038"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3CommitmentsPayments"/>
              <w:jc w:val="center"/>
              <w:rPr>
                <w:rFonts w:ascii="Verdana" w:eastAsia="Verdana" w:hAnsi="Verdana" w:cs="Verdana"/>
                <w:b/>
                <w:noProof/>
                <w:color w:val="FFFFFF"/>
                <w:sz w:val="16"/>
              </w:rPr>
            </w:pPr>
            <w:r>
              <w:rPr>
                <w:rFonts w:ascii="Verdana" w:hAnsi="Verdana"/>
                <w:b/>
                <w:noProof/>
                <w:color w:val="FFFFFF"/>
                <w:sz w:val="16"/>
              </w:rPr>
              <w:t>Środki na zobowiązania</w:t>
            </w:r>
          </w:p>
        </w:tc>
        <w:tc>
          <w:tcPr>
            <w:tcW w:w="1043"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3CommitmentsPayments"/>
              <w:jc w:val="center"/>
              <w:rPr>
                <w:rFonts w:ascii="Verdana" w:eastAsia="Verdana" w:hAnsi="Verdana" w:cs="Verdana"/>
                <w:b/>
                <w:noProof/>
                <w:color w:val="FFFFFF"/>
                <w:sz w:val="16"/>
              </w:rPr>
            </w:pPr>
            <w:r>
              <w:rPr>
                <w:rFonts w:ascii="Verdana" w:hAnsi="Verdana"/>
                <w:b/>
                <w:noProof/>
                <w:color w:val="FFFFFF"/>
                <w:sz w:val="16"/>
              </w:rPr>
              <w:t>Środki na płatności</w:t>
            </w:r>
          </w:p>
        </w:tc>
      </w:tr>
      <w:tr w:rsidR="0043277E">
        <w:trPr>
          <w:trHeight w:val="340"/>
          <w:tblHeader/>
        </w:trPr>
        <w:tc>
          <w:tcPr>
            <w:tcW w:w="5585"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Agencja</w:t>
            </w:r>
          </w:p>
        </w:tc>
        <w:tc>
          <w:tcPr>
            <w:tcW w:w="103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Dostępne środki ogółem</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Zaciągnięte zobowiązania</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Dostępne środki ogółem</w:t>
            </w:r>
          </w:p>
        </w:tc>
        <w:tc>
          <w:tcPr>
            <w:tcW w:w="1043"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 xml:space="preserve">Dokonane </w:t>
            </w:r>
            <w:r>
              <w:rPr>
                <w:rFonts w:ascii="Verdana" w:hAnsi="Verdana"/>
                <w:noProof/>
                <w:color w:val="FFFFFF"/>
                <w:sz w:val="16"/>
              </w:rPr>
              <w:t>płatności</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ds. Zarządzania Operacyjnego Wielkoskalowymi Systemami Informatycznymi</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133</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ds. Współpracy Organów Regulacji Energetyki</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Organ Europejskich Regulatorów Łączności Elektronicznej</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Wspólnotowy Urząd Ochrony Odmian Roślin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Wykonawcza ds. Konsumentów, Zdrowia, Rolnictwa i Żywności</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Wykonawcza ds. Edukacji, Kultury i Sektora Audiowizualnego</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Europejska Agencja </w:t>
            </w:r>
            <w:r>
              <w:rPr>
                <w:rFonts w:ascii="Verdana" w:hAnsi="Verdana"/>
                <w:noProof/>
                <w:color w:val="000000"/>
                <w:sz w:val="16"/>
              </w:rPr>
              <w:t>Bezpieczeństwa i Zdrowia w Pracy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 Urząd Wsparcia w dziedzinie Azylu</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96</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 Urząd Nadzoru Bankowego</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Europejska Agencja Straży Granicznej i Przybrzeżnej</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357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318</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Europejskie </w:t>
            </w:r>
            <w:r>
              <w:rPr>
                <w:rFonts w:ascii="Verdana" w:hAnsi="Verdana"/>
                <w:noProof/>
                <w:color w:val="000000"/>
                <w:sz w:val="16"/>
              </w:rPr>
              <w:t>Centrum ds. Zapobiegania i Kontroli Chorób</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58</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Europejskie Centrum Rozwoju Kształcenia Zawodowego</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Europejska Agencja Chemikaliów</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110</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Europejska Agencja Środowiska</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Europejska Agencja Kontroli </w:t>
            </w:r>
            <w:r>
              <w:rPr>
                <w:rFonts w:ascii="Verdana" w:hAnsi="Verdana"/>
                <w:noProof/>
                <w:color w:val="000000"/>
                <w:sz w:val="16"/>
              </w:rPr>
              <w:t>Rybołówstwa</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 Urząd ds. Bezpieczeństwa Żywności</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79</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Europejskiego GNSS</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1 164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325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1 211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560</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 Instytut ds. Równości Kobiet i Mężczyzn</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 Instytut Innowacji i Technologii</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558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425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415</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 Urząd Nadzoru Ubezpieczeń i Pracowniczych Programów Emerytalnych</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Europejska Agencja Bezpieczeństwa Morskiego</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98</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Europejska Agencja Leków</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375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362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345</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Europejskie Centrum Monitorowania </w:t>
            </w:r>
            <w:r>
              <w:rPr>
                <w:rFonts w:ascii="Verdana" w:hAnsi="Verdana"/>
                <w:noProof/>
                <w:color w:val="000000"/>
                <w:sz w:val="16"/>
              </w:rPr>
              <w:t>Narkotyków i Narkomanii</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Europejska Rada ds. Badań Naukowych</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Europejski Urząd Nadzoru Giełd i Papierów Wartościowych</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Europejska Fundacja Kształcenia</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Unii Europejskiej ds. Współpracy</w:t>
            </w:r>
            <w:r>
              <w:rPr>
                <w:rFonts w:ascii="Verdana" w:hAnsi="Verdana"/>
                <w:noProof/>
                <w:color w:val="000000"/>
                <w:sz w:val="16"/>
              </w:rPr>
              <w:t xml:space="preserve"> Wymiarów Sprawiedliwości w Sprawach Karnych</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Unii Europejskiej ds. Cyberbezpieczeństwa</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Unii Europejskiej ds. Współpracy Organów Ścigania</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144</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Agencja Unii Europejskiej ds. Szkolenia w </w:t>
            </w:r>
            <w:r>
              <w:rPr>
                <w:rFonts w:ascii="Verdana" w:hAnsi="Verdana"/>
                <w:noProof/>
                <w:color w:val="000000"/>
                <w:sz w:val="16"/>
              </w:rPr>
              <w:t>Dziedzinie Ścigania</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Kolejowa Unii Europejskiej</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Unii Europejskiej ds. Bezpieczeństwa Lotniczego</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256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267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163</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Praw Podstawowych Unii Europejskiej</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 xml:space="preserve">Urząd Unii Europejskiej ds. </w:t>
            </w:r>
            <w:r>
              <w:rPr>
                <w:rFonts w:ascii="Verdana" w:hAnsi="Verdana"/>
                <w:noProof/>
                <w:color w:val="000000"/>
                <w:sz w:val="16"/>
              </w:rPr>
              <w:t>Własności Intelektualnej</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455</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477</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240</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lastRenderedPageBreak/>
              <w:t>Agencja Wykonawcza ds. Małych i Średnich Przedsiębiorstw</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Fundacja na rzecz Poprawy Warunków Życia i Pracy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Wspólne przedsięwzięcie Fusion for Energy</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728</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761</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739</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w:t>
            </w:r>
            <w:r>
              <w:rPr>
                <w:rFonts w:ascii="Verdana" w:hAnsi="Verdana"/>
                <w:noProof/>
                <w:color w:val="000000"/>
                <w:sz w:val="16"/>
              </w:rPr>
              <w:t xml:space="preserve"> Wykonawcza ds. Innowacyjności i Sieci</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Agencja Wykonawcza ds. Badań Naukowych</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82</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75</w:t>
            </w:r>
          </w:p>
        </w:tc>
      </w:tr>
      <w:tr w:rsidR="0043277E">
        <w:trPr>
          <w:trHeight w:val="340"/>
        </w:trPr>
        <w:tc>
          <w:tcPr>
            <w:tcW w:w="5585"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rPr>
                <w:rFonts w:ascii="Verdana" w:eastAsia="Verdana" w:hAnsi="Verdana" w:cs="Verdana"/>
                <w:noProof/>
                <w:color w:val="000000"/>
                <w:sz w:val="16"/>
              </w:rPr>
            </w:pPr>
            <w:r>
              <w:rPr>
                <w:rFonts w:ascii="Verdana" w:hAnsi="Verdana"/>
                <w:noProof/>
                <w:color w:val="000000"/>
                <w:sz w:val="16"/>
              </w:rPr>
              <w:t>Centrum Tłumaczeń dla Organów Unii Europejskiej</w:t>
            </w:r>
          </w:p>
        </w:tc>
        <w:tc>
          <w:tcPr>
            <w:tcW w:w="103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43</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43"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42</w:t>
            </w:r>
          </w:p>
        </w:tc>
      </w:tr>
      <w:tr w:rsidR="0043277E">
        <w:trPr>
          <w:trHeight w:val="340"/>
        </w:trPr>
        <w:tc>
          <w:tcPr>
            <w:tcW w:w="5585"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3CommitmentsPayments"/>
              <w:rPr>
                <w:rFonts w:ascii="Verdana" w:eastAsia="Verdana" w:hAnsi="Verdana" w:cs="Verdana"/>
                <w:b/>
                <w:noProof/>
                <w:color w:val="000000"/>
                <w:sz w:val="16"/>
              </w:rPr>
            </w:pPr>
            <w:r>
              <w:rPr>
                <w:rFonts w:ascii="Verdana" w:hAnsi="Verdana"/>
                <w:b/>
                <w:noProof/>
                <w:color w:val="000000"/>
                <w:sz w:val="16"/>
              </w:rPr>
              <w:t>Ogółem</w:t>
            </w:r>
          </w:p>
        </w:tc>
        <w:tc>
          <w:tcPr>
            <w:tcW w:w="103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5 678</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4 225</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5 806</w:t>
            </w:r>
          </w:p>
        </w:tc>
        <w:tc>
          <w:tcPr>
            <w:tcW w:w="1043"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4 253</w:t>
            </w:r>
          </w:p>
        </w:tc>
      </w:tr>
    </w:tbl>
    <w:p w:rsidR="0043277E" w:rsidRDefault="0043277E">
      <w:pPr>
        <w:pStyle w:val="DGTextstand-alone"/>
        <w:rPr>
          <w:lang w:bidi="en-GB"/>
        </w:rPr>
      </w:pPr>
    </w:p>
    <w:tbl>
      <w:tblPr>
        <w:tblW w:w="963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8"/>
        <w:gridCol w:w="851"/>
        <w:gridCol w:w="992"/>
        <w:gridCol w:w="1134"/>
        <w:gridCol w:w="992"/>
      </w:tblGrid>
      <w:tr w:rsidR="0043277E">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4TypeofExpenditure"/>
              <w:rPr>
                <w:rFonts w:ascii="Verdana" w:eastAsia="Verdana" w:hAnsi="Verdana" w:cs="Verdana"/>
                <w:noProof/>
                <w:color w:val="000000"/>
                <w:sz w:val="16"/>
              </w:rPr>
            </w:pPr>
            <w:bookmarkStart w:id="277" w:name="DOC_TBL00120_1_1"/>
            <w:bookmarkEnd w:id="277"/>
          </w:p>
        </w:tc>
        <w:tc>
          <w:tcPr>
            <w:tcW w:w="851"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4TypeofExpenditure"/>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43277E">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i/>
                <w:noProof/>
                <w:color w:val="000000"/>
                <w:sz w:val="16"/>
              </w:rPr>
            </w:pPr>
            <w:r>
              <w:rPr>
                <w:rFonts w:ascii="Verdana" w:hAnsi="Verdana"/>
                <w:i/>
                <w:noProof/>
                <w:color w:val="000000"/>
                <w:sz w:val="16"/>
              </w:rPr>
              <w:t>w mln EUR</w:t>
            </w:r>
          </w:p>
        </w:tc>
      </w:tr>
      <w:tr w:rsidR="0043277E">
        <w:trPr>
          <w:trHeight w:val="544"/>
        </w:trPr>
        <w:tc>
          <w:tcPr>
            <w:tcW w:w="5668" w:type="dxa"/>
            <w:tcBorders>
              <w:top w:val="nil"/>
              <w:left w:val="nil"/>
              <w:bottom w:val="nil"/>
              <w:right w:val="nil"/>
              <w:tl2br w:val="nil"/>
              <w:tr2bl w:val="nil"/>
            </w:tcBorders>
            <w:shd w:val="solid" w:color="016794" w:fill="FFFFFF"/>
            <w:tcMar>
              <w:left w:w="60" w:type="dxa"/>
              <w:right w:w="60" w:type="dxa"/>
            </w:tcMar>
            <w:vAlign w:val="center"/>
          </w:tcPr>
          <w:p w:rsidR="0043277E" w:rsidRDefault="0043277E">
            <w:pPr>
              <w:pStyle w:val="DMETW17256BIPAgencies4TypeofExpenditure"/>
              <w:jc w:val="center"/>
              <w:rPr>
                <w:rFonts w:ascii="Verdana" w:eastAsia="Verdana" w:hAnsi="Verdana" w:cs="Verdana"/>
                <w:noProof/>
                <w:color w:val="FFFFFF"/>
                <w:sz w:val="16"/>
              </w:rPr>
            </w:pPr>
          </w:p>
        </w:tc>
        <w:tc>
          <w:tcPr>
            <w:tcW w:w="851"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4TypeofExpenditure"/>
              <w:jc w:val="center"/>
              <w:rPr>
                <w:rFonts w:ascii="Verdana" w:eastAsia="Verdana" w:hAnsi="Verdana" w:cs="Verdana"/>
                <w:b/>
                <w:noProof/>
                <w:color w:val="FFFFFF"/>
                <w:sz w:val="16"/>
              </w:rPr>
            </w:pPr>
            <w:r>
              <w:rPr>
                <w:rFonts w:ascii="Verdana" w:hAnsi="Verdana"/>
                <w:b/>
                <w:noProof/>
                <w:color w:val="FFFFFF"/>
                <w:sz w:val="16"/>
              </w:rPr>
              <w:t>Środki na zobowiązania</w:t>
            </w:r>
          </w:p>
        </w:tc>
        <w:tc>
          <w:tcPr>
            <w:tcW w:w="1134" w:type="dxa"/>
            <w:gridSpan w:val="2"/>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4TypeofExpenditure"/>
              <w:jc w:val="center"/>
              <w:rPr>
                <w:rFonts w:ascii="Verdana" w:eastAsia="Verdana" w:hAnsi="Verdana" w:cs="Verdana"/>
                <w:b/>
                <w:noProof/>
                <w:color w:val="FFFFFF"/>
                <w:sz w:val="16"/>
              </w:rPr>
            </w:pPr>
            <w:r>
              <w:rPr>
                <w:rFonts w:ascii="Verdana" w:hAnsi="Verdana"/>
                <w:b/>
                <w:noProof/>
                <w:color w:val="FFFFFF"/>
                <w:sz w:val="16"/>
              </w:rPr>
              <w:t xml:space="preserve">Środki </w:t>
            </w:r>
            <w:r>
              <w:rPr>
                <w:rFonts w:ascii="Verdana" w:hAnsi="Verdana"/>
                <w:b/>
                <w:noProof/>
                <w:color w:val="FFFFFF"/>
                <w:sz w:val="16"/>
              </w:rPr>
              <w:t>na płatności</w:t>
            </w:r>
          </w:p>
        </w:tc>
      </w:tr>
      <w:tr w:rsidR="0043277E">
        <w:trPr>
          <w:trHeight w:val="340"/>
        </w:trPr>
        <w:tc>
          <w:tcPr>
            <w:tcW w:w="5668"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4TypeofExpenditure"/>
              <w:jc w:val="center"/>
              <w:rPr>
                <w:rFonts w:ascii="Verdana" w:eastAsia="Verdana" w:hAnsi="Verdana" w:cs="Verdana"/>
                <w:noProof/>
                <w:color w:val="FFFFFF"/>
                <w:sz w:val="16"/>
              </w:rPr>
            </w:pPr>
            <w:r>
              <w:rPr>
                <w:rFonts w:ascii="Verdana" w:hAnsi="Verdana"/>
                <w:noProof/>
                <w:color w:val="FFFFFF"/>
                <w:sz w:val="16"/>
              </w:rPr>
              <w:t>Rodzaje wydatków</w:t>
            </w:r>
          </w:p>
        </w:tc>
        <w:tc>
          <w:tcPr>
            <w:tcW w:w="851"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4TypeofExpenditure"/>
              <w:jc w:val="center"/>
              <w:rPr>
                <w:rFonts w:ascii="Verdana" w:eastAsia="Verdana" w:hAnsi="Verdana" w:cs="Verdana"/>
                <w:noProof/>
                <w:color w:val="FFFFFF"/>
                <w:sz w:val="16"/>
              </w:rPr>
            </w:pPr>
            <w:r>
              <w:rPr>
                <w:rFonts w:ascii="Verdana" w:hAnsi="Verdana"/>
                <w:noProof/>
                <w:color w:val="FFFFFF"/>
                <w:sz w:val="16"/>
              </w:rPr>
              <w:t>Dostępne środki ogółem</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4TypeofExpenditure"/>
              <w:jc w:val="center"/>
              <w:rPr>
                <w:rFonts w:ascii="Verdana" w:eastAsia="Verdana" w:hAnsi="Verdana" w:cs="Verdana"/>
                <w:noProof/>
                <w:color w:val="FFFFFF"/>
                <w:sz w:val="16"/>
              </w:rPr>
            </w:pPr>
            <w:r>
              <w:rPr>
                <w:rFonts w:ascii="Verdana" w:hAnsi="Verdana"/>
                <w:noProof/>
                <w:color w:val="FFFFFF"/>
                <w:sz w:val="16"/>
              </w:rPr>
              <w:t>Zaciągnięte zobowiązania</w:t>
            </w:r>
          </w:p>
        </w:tc>
        <w:tc>
          <w:tcPr>
            <w:tcW w:w="1134"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4TypeofExpenditure"/>
              <w:jc w:val="center"/>
              <w:rPr>
                <w:rFonts w:ascii="Verdana" w:eastAsia="Verdana" w:hAnsi="Verdana" w:cs="Verdana"/>
                <w:noProof/>
                <w:color w:val="FFFFFF"/>
                <w:sz w:val="16"/>
              </w:rPr>
            </w:pPr>
            <w:r>
              <w:rPr>
                <w:rFonts w:ascii="Verdana" w:hAnsi="Verdana"/>
                <w:noProof/>
                <w:color w:val="FFFFFF"/>
                <w:sz w:val="16"/>
              </w:rPr>
              <w:t>Dostępne środki ogółem</w:t>
            </w:r>
          </w:p>
        </w:tc>
        <w:tc>
          <w:tcPr>
            <w:tcW w:w="992" w:type="dxa"/>
            <w:tcBorders>
              <w:top w:val="nil"/>
              <w:left w:val="nil"/>
              <w:bottom w:val="nil"/>
              <w:right w:val="nil"/>
              <w:tl2br w:val="nil"/>
              <w:tr2bl w:val="nil"/>
            </w:tcBorders>
            <w:shd w:val="solid" w:color="016794" w:fill="FFFFFF"/>
            <w:tcMar>
              <w:left w:w="60" w:type="dxa"/>
              <w:right w:w="60" w:type="dxa"/>
            </w:tcMar>
            <w:vAlign w:val="center"/>
          </w:tcPr>
          <w:p w:rsidR="0043277E" w:rsidRDefault="000F2348">
            <w:pPr>
              <w:pStyle w:val="DMETW17256BIPAgencies4TypeofExpenditure"/>
              <w:jc w:val="center"/>
              <w:rPr>
                <w:rFonts w:ascii="Verdana" w:eastAsia="Verdana" w:hAnsi="Verdana" w:cs="Verdana"/>
                <w:noProof/>
                <w:color w:val="FFFFFF"/>
                <w:sz w:val="16"/>
              </w:rPr>
            </w:pPr>
            <w:r>
              <w:rPr>
                <w:rFonts w:ascii="Verdana" w:hAnsi="Verdana"/>
                <w:noProof/>
                <w:color w:val="FFFFFF"/>
                <w:sz w:val="16"/>
              </w:rPr>
              <w:t>Dokonane płatności</w:t>
            </w:r>
          </w:p>
        </w:tc>
      </w:tr>
      <w:tr w:rsidR="0043277E">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rPr>
                <w:rFonts w:ascii="Verdana" w:eastAsia="Verdana" w:hAnsi="Verdana" w:cs="Verdana"/>
                <w:noProof/>
                <w:color w:val="000000"/>
                <w:sz w:val="16"/>
              </w:rPr>
            </w:pPr>
            <w:r>
              <w:rPr>
                <w:rFonts w:ascii="Verdana" w:hAnsi="Verdana"/>
                <w:noProof/>
                <w:color w:val="000000"/>
                <w:sz w:val="16"/>
              </w:rPr>
              <w:t>Personel</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1 269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1 251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1 288</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1 246</w:t>
            </w:r>
          </w:p>
        </w:tc>
      </w:tr>
      <w:tr w:rsidR="0043277E">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rPr>
                <w:rFonts w:ascii="Verdana" w:eastAsia="Verdana" w:hAnsi="Verdana" w:cs="Verdana"/>
                <w:noProof/>
                <w:color w:val="000000"/>
                <w:sz w:val="16"/>
              </w:rPr>
            </w:pPr>
            <w:r>
              <w:rPr>
                <w:rFonts w:ascii="Verdana" w:hAnsi="Verdana"/>
                <w:noProof/>
                <w:color w:val="000000"/>
                <w:sz w:val="16"/>
              </w:rPr>
              <w:t>Administracyjne</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430</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414</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502</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387</w:t>
            </w:r>
          </w:p>
        </w:tc>
      </w:tr>
      <w:tr w:rsidR="0043277E">
        <w:trPr>
          <w:trHeight w:val="340"/>
        </w:trPr>
        <w:tc>
          <w:tcPr>
            <w:tcW w:w="5668"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rPr>
                <w:rFonts w:ascii="Verdana" w:eastAsia="Verdana" w:hAnsi="Verdana" w:cs="Verdana"/>
                <w:noProof/>
                <w:color w:val="000000"/>
                <w:sz w:val="16"/>
              </w:rPr>
            </w:pPr>
            <w:r>
              <w:rPr>
                <w:rFonts w:ascii="Verdana" w:hAnsi="Verdana"/>
                <w:noProof/>
                <w:color w:val="000000"/>
                <w:sz w:val="16"/>
              </w:rPr>
              <w:t>Operacyjne</w:t>
            </w:r>
          </w:p>
        </w:tc>
        <w:tc>
          <w:tcPr>
            <w:tcW w:w="851"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3 979</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2 561</w:t>
            </w:r>
          </w:p>
        </w:tc>
        <w:tc>
          <w:tcPr>
            <w:tcW w:w="1134"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4 016</w:t>
            </w:r>
          </w:p>
        </w:tc>
        <w:tc>
          <w:tcPr>
            <w:tcW w:w="992" w:type="dxa"/>
            <w:tcBorders>
              <w:top w:val="nil"/>
              <w:left w:val="nil"/>
              <w:bottom w:val="nil"/>
              <w:right w:val="nil"/>
              <w:tl2br w:val="nil"/>
              <w:tr2bl w:val="nil"/>
            </w:tcBorders>
            <w:shd w:val="clear" w:color="auto" w:fill="auto"/>
            <w:tcMar>
              <w:left w:w="60" w:type="dxa"/>
              <w:right w:w="60" w:type="dxa"/>
            </w:tcMar>
            <w:vAlign w:val="center"/>
          </w:tcPr>
          <w:p w:rsidR="0043277E" w:rsidRDefault="000F2348">
            <w:pPr>
              <w:pStyle w:val="DMETW17256BIPAgencies4TypeofExpenditure"/>
              <w:jc w:val="right"/>
              <w:rPr>
                <w:rFonts w:ascii="Verdana" w:eastAsia="Verdana" w:hAnsi="Verdana" w:cs="Verdana"/>
                <w:noProof/>
                <w:color w:val="000000"/>
                <w:sz w:val="16"/>
              </w:rPr>
            </w:pPr>
            <w:r>
              <w:rPr>
                <w:rFonts w:ascii="Verdana" w:hAnsi="Verdana"/>
                <w:noProof/>
                <w:color w:val="000000"/>
                <w:sz w:val="16"/>
              </w:rPr>
              <w:t>2 621</w:t>
            </w:r>
          </w:p>
        </w:tc>
      </w:tr>
      <w:tr w:rsidR="0043277E">
        <w:trPr>
          <w:trHeight w:val="340"/>
        </w:trPr>
        <w:tc>
          <w:tcPr>
            <w:tcW w:w="5668"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4TypeofExpenditure"/>
              <w:rPr>
                <w:rFonts w:ascii="Verdana" w:eastAsia="Verdana" w:hAnsi="Verdana" w:cs="Verdana"/>
                <w:b/>
                <w:noProof/>
                <w:color w:val="000000"/>
                <w:sz w:val="16"/>
              </w:rPr>
            </w:pPr>
            <w:r>
              <w:rPr>
                <w:rFonts w:ascii="Verdana" w:hAnsi="Verdana"/>
                <w:b/>
                <w:noProof/>
                <w:color w:val="000000"/>
                <w:sz w:val="16"/>
              </w:rPr>
              <w:t>Ogółem</w:t>
            </w:r>
          </w:p>
        </w:tc>
        <w:tc>
          <w:tcPr>
            <w:tcW w:w="851"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5 678</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4 225</w:t>
            </w:r>
          </w:p>
        </w:tc>
        <w:tc>
          <w:tcPr>
            <w:tcW w:w="1134"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5 806</w:t>
            </w:r>
          </w:p>
        </w:tc>
        <w:tc>
          <w:tcPr>
            <w:tcW w:w="992" w:type="dxa"/>
            <w:tcBorders>
              <w:top w:val="nil"/>
              <w:left w:val="nil"/>
              <w:bottom w:val="nil"/>
              <w:right w:val="nil"/>
              <w:tl2br w:val="nil"/>
              <w:tr2bl w:val="nil"/>
            </w:tcBorders>
            <w:shd w:val="solid" w:color="CCE1EA" w:fill="FFFFFF"/>
            <w:tcMar>
              <w:left w:w="60" w:type="dxa"/>
              <w:right w:w="60" w:type="dxa"/>
            </w:tcMar>
            <w:vAlign w:val="center"/>
          </w:tcPr>
          <w:p w:rsidR="0043277E" w:rsidRDefault="000F2348">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 xml:space="preserve">4 </w:t>
            </w:r>
            <w:r>
              <w:rPr>
                <w:rFonts w:ascii="Verdana" w:hAnsi="Verdana"/>
                <w:b/>
                <w:noProof/>
                <w:color w:val="000000"/>
                <w:sz w:val="16"/>
              </w:rPr>
              <w:t>253</w:t>
            </w:r>
          </w:p>
        </w:tc>
      </w:tr>
    </w:tbl>
    <w:p w:rsidR="0043277E" w:rsidRDefault="0043277E">
      <w:pPr>
        <w:pStyle w:val="DGTextstand-alone"/>
        <w:rPr>
          <w:lang w:bidi="en-GB"/>
        </w:rPr>
      </w:pPr>
    </w:p>
    <w:bookmarkEnd w:id="270"/>
    <w:p w:rsidR="0043277E" w:rsidRDefault="0043277E">
      <w:pPr>
        <w:pStyle w:val="DGTextstand-alone"/>
        <w:rPr>
          <w:lang w:bidi="en-GB"/>
        </w:rPr>
        <w:sectPr w:rsidR="0043277E">
          <w:headerReference w:type="even" r:id="rId414"/>
          <w:headerReference w:type="default" r:id="rId415"/>
          <w:footerReference w:type="even" r:id="rId416"/>
          <w:footerReference w:type="default" r:id="rId417"/>
          <w:headerReference w:type="first" r:id="rId418"/>
          <w:footerReference w:type="first" r:id="rId419"/>
          <w:pgSz w:w="11900" w:h="16840"/>
          <w:pgMar w:top="1134" w:right="1134" w:bottom="1134" w:left="1134" w:header="709" w:footer="709" w:gutter="0"/>
          <w:cols w:space="720"/>
        </w:sectPr>
      </w:pPr>
    </w:p>
    <w:p w:rsidR="0043277E" w:rsidRDefault="000F2348">
      <w:pPr>
        <w:pStyle w:val="FIRSTCHAPTERPAGE"/>
        <w:rPr>
          <w:noProof/>
        </w:rPr>
      </w:pPr>
      <w:bookmarkStart w:id="278" w:name="_Toc49418130"/>
      <w:bookmarkStart w:id="279" w:name="_DMBM_17258"/>
      <w:r>
        <w:rPr>
          <w:noProof/>
        </w:rPr>
        <w:lastRenderedPageBreak/>
        <w:t>GLOSARIUSZ</w:t>
      </w:r>
      <w:bookmarkEnd w:id="278"/>
    </w:p>
    <w:p w:rsidR="0043277E" w:rsidRDefault="000F2348">
      <w:pPr>
        <w:pStyle w:val="HEADER5"/>
        <w:rPr>
          <w:noProof/>
        </w:rPr>
      </w:pPr>
      <w:r>
        <w:rPr>
          <w:noProof/>
        </w:rPr>
        <w:t>Założenia aktuarialne</w:t>
      </w:r>
    </w:p>
    <w:p w:rsidR="0043277E" w:rsidRDefault="000F2348">
      <w:pPr>
        <w:pStyle w:val="DGTextstand-alone"/>
      </w:pPr>
      <w:r>
        <w:t>Założenia stosowane na potrzeby obliczania kosztów przyszłych zdarzeń, które wpływają na zobowiązania</w:t>
      </w:r>
      <w:r>
        <w:t xml:space="preserve"> emerytalne.</w:t>
      </w:r>
    </w:p>
    <w:p w:rsidR="0043277E" w:rsidRDefault="000F2348">
      <w:pPr>
        <w:pStyle w:val="HEADER5"/>
        <w:rPr>
          <w:noProof/>
        </w:rPr>
      </w:pPr>
      <w:r>
        <w:rPr>
          <w:noProof/>
        </w:rPr>
        <w:t>Zyski i straty aktuarialne</w:t>
      </w:r>
    </w:p>
    <w:p w:rsidR="0043277E" w:rsidRDefault="000F2348">
      <w:pPr>
        <w:pStyle w:val="DGTextstand-alone"/>
      </w:pPr>
      <w:r>
        <w:t>W przypadku programu o zdefiniowanym świadczeniu zmiany w deficytach lub nadwyżkach aktuarialnych. Powstają w wyniku różnic między poprzednimi założeniami aktuarialnymi a tym, co faktycznie nastąpiło, oraz w wyniku z</w:t>
      </w:r>
      <w:r>
        <w:t>mian wprowadzanych w założeniach aktuarialnych.</w:t>
      </w:r>
    </w:p>
    <w:p w:rsidR="0043277E" w:rsidRDefault="000F2348">
      <w:pPr>
        <w:pStyle w:val="HEADER5"/>
        <w:rPr>
          <w:noProof/>
        </w:rPr>
      </w:pPr>
      <w:r>
        <w:rPr>
          <w:noProof/>
        </w:rPr>
        <w:t>Środki na wydatki administracyjne</w:t>
      </w:r>
    </w:p>
    <w:p w:rsidR="0043277E" w:rsidRDefault="000F2348">
      <w:pPr>
        <w:pStyle w:val="DGTextstand-alone"/>
      </w:pPr>
      <w:r>
        <w:t>Środki na wydatki administracyjne służą do pokrywania bieżących kosztów instytucji i podmiotów (personelu, budynków, wyposażenia biurowego).</w:t>
      </w:r>
    </w:p>
    <w:p w:rsidR="0043277E" w:rsidRDefault="000F2348">
      <w:pPr>
        <w:pStyle w:val="HEADER5"/>
        <w:rPr>
          <w:noProof/>
        </w:rPr>
      </w:pPr>
      <w:r>
        <w:rPr>
          <w:noProof/>
        </w:rPr>
        <w:t>Przyjęty budżet</w:t>
      </w:r>
    </w:p>
    <w:p w:rsidR="0043277E" w:rsidRDefault="000F2348">
      <w:pPr>
        <w:pStyle w:val="DGTextstand-alone"/>
      </w:pPr>
      <w:r>
        <w:t>Projekt budżetu s</w:t>
      </w:r>
      <w:r>
        <w:t>taje się przyjętym budżetem, gdy tylko zostanie zatwierdzony przez władzę budżetową.</w:t>
      </w:r>
    </w:p>
    <w:p w:rsidR="0043277E" w:rsidRDefault="000F2348">
      <w:pPr>
        <w:pStyle w:val="HEADER5"/>
        <w:rPr>
          <w:noProof/>
        </w:rPr>
      </w:pPr>
      <w:r>
        <w:rPr>
          <w:noProof/>
        </w:rPr>
        <w:t>Budżety korygujące</w:t>
      </w:r>
    </w:p>
    <w:p w:rsidR="0043277E" w:rsidRDefault="000F2348">
      <w:pPr>
        <w:pStyle w:val="DGTextstand-alone"/>
      </w:pPr>
      <w:r>
        <w:t>Decyzja przyjęta w trakcie roku budżetowego w celu zmiany (zwiększenia, zmniejszenia, przeniesienia) aspektów przyjętego budżetu na dany rok.</w:t>
      </w:r>
    </w:p>
    <w:p w:rsidR="0043277E" w:rsidRDefault="000F2348">
      <w:pPr>
        <w:pStyle w:val="HEADER5"/>
        <w:rPr>
          <w:noProof/>
        </w:rPr>
      </w:pPr>
      <w:r>
        <w:rPr>
          <w:noProof/>
        </w:rPr>
        <w:t xml:space="preserve">Kwoty, do </w:t>
      </w:r>
      <w:r>
        <w:rPr>
          <w:noProof/>
        </w:rPr>
        <w:t>wniesienia których należy wezwać państwa członkowskie</w:t>
      </w:r>
    </w:p>
    <w:p w:rsidR="0043277E" w:rsidRDefault="000F2348">
      <w:pPr>
        <w:pStyle w:val="DGTextstand-alone"/>
      </w:pPr>
      <w:r>
        <w:t>Są to koszty poniesione w okresie sprawozdawczym, które będą musiały zostać sfinansowane z przyszłych budżetów, tj. przez państwa członkowskie UE. Wynika to z współistnienia sprawozdań finansowych opart</w:t>
      </w:r>
      <w:r>
        <w:t>ych na zasadzie memoriałowej i budżetu opartego na ujęciu kasowym.</w:t>
      </w:r>
    </w:p>
    <w:p w:rsidR="0043277E" w:rsidRDefault="000F2348">
      <w:pPr>
        <w:pStyle w:val="HEADER5"/>
        <w:rPr>
          <w:noProof/>
        </w:rPr>
      </w:pPr>
      <w:r>
        <w:rPr>
          <w:noProof/>
        </w:rPr>
        <w:t>Roczne sprawozdanie z działalności</w:t>
      </w:r>
    </w:p>
    <w:p w:rsidR="0043277E" w:rsidRDefault="000F2348">
      <w:pPr>
        <w:pStyle w:val="DGTextstand-alone"/>
      </w:pPr>
      <w:r>
        <w:t>Roczne sprawozdania z działalności pokazują wyniki operacji w odniesieniu do m.in. ustalonych celów, powiązanego ryzyka oraz struktury kontroli wewnętrzne</w:t>
      </w:r>
      <w:r>
        <w:t xml:space="preserve">j. Od budżetu na 2001 r. w przypadku Komisji i budżetu na 2003 r. w przypadku wszystkich instytucji Unii Europejskiej delegowany urzędnik zatwierdzający musi przedłożyć swojej instytucji roczne sprawozdanie z działalności na temat wywiązania się ze swoich </w:t>
      </w:r>
      <w:r>
        <w:t>obowiązków wraz z informacjami dotyczącymi finansów i zarządzania.</w:t>
      </w:r>
    </w:p>
    <w:p w:rsidR="0043277E" w:rsidRDefault="000F2348">
      <w:pPr>
        <w:pStyle w:val="HEADER5"/>
        <w:rPr>
          <w:noProof/>
        </w:rPr>
      </w:pPr>
      <w:r>
        <w:rPr>
          <w:noProof/>
        </w:rPr>
        <w:t>Środki</w:t>
      </w:r>
    </w:p>
    <w:p w:rsidR="0043277E" w:rsidRDefault="000F2348">
      <w:pPr>
        <w:pStyle w:val="DGTextstand-alone"/>
      </w:pPr>
      <w:r>
        <w:t>Środki budżetowe. Budżet obejmuje prognozę zarówno zobowiązań, jak i płatności (płatności na rzecz beneficjentów – w gotówce lub przelewem bankowym). Środki na zobowiązania i płatnoś</w:t>
      </w:r>
      <w:r>
        <w:t>ci często się różnią (środki zróżnicowane), ponieważ zazwyczaj zobowiązania dotyczące wieloletnich programów i projektów są w całości zaciągane w roku, w którym podjęto decyzję w ich sprawie, i są opłacane przez lata, w miarę realizacji programu i projektu</w:t>
      </w:r>
      <w:r>
        <w:t>. Środki niezróżnicowane mają zastosowanie do wydatków administracyjnych, wsparcia rynku rolnego i płatności bezpośrednich oraz środków na zobowiązania równych środkom na płatności.</w:t>
      </w:r>
    </w:p>
    <w:p w:rsidR="0043277E" w:rsidRDefault="000F2348">
      <w:pPr>
        <w:pStyle w:val="HEADER5"/>
        <w:rPr>
          <w:noProof/>
        </w:rPr>
      </w:pPr>
      <w:r>
        <w:rPr>
          <w:noProof/>
        </w:rPr>
        <w:t>Dochody przeznaczone na określony cel</w:t>
      </w:r>
    </w:p>
    <w:p w:rsidR="0043277E" w:rsidRDefault="000F2348">
      <w:pPr>
        <w:pStyle w:val="DGTextstand-alone"/>
      </w:pPr>
      <w:r>
        <w:t>Dedykowane dochody otrzymane na sfin</w:t>
      </w:r>
      <w:r>
        <w:t>ansowanie określonych pozycji wydatków. Głównym źródłem zewnętrznych dochodów przeznaczonych na określony cel są wkłady finansowe państw trzecich w programy finansowane przez Unię. Głównym źródłem wewnętrznych dochodów przeznaczonych na określony cel są do</w:t>
      </w:r>
      <w:r>
        <w:t>chody uzyskane od osób trzecich w związku z towarami, usługami lub pracami dostarczonymi na ich żądanie; dochody pochodzące ze zwrotu nienależnie wypłaconych kwot i dochody ze sprzedaży publikacji i filmów.</w:t>
      </w:r>
    </w:p>
    <w:p w:rsidR="0043277E" w:rsidRDefault="0043277E">
      <w:pPr>
        <w:pStyle w:val="DGTextstand-alone"/>
      </w:pPr>
    </w:p>
    <w:p w:rsidR="0043277E" w:rsidRDefault="0043277E">
      <w:pPr>
        <w:pStyle w:val="DGTextstand-alone"/>
      </w:pPr>
    </w:p>
    <w:p w:rsidR="0043277E" w:rsidRDefault="000F2348">
      <w:pPr>
        <w:pStyle w:val="HEADER5"/>
        <w:rPr>
          <w:noProof/>
        </w:rPr>
      </w:pPr>
      <w:r>
        <w:rPr>
          <w:noProof/>
        </w:rPr>
        <w:t>Aktywa finansowe dostępne do sprzedaży</w:t>
      </w:r>
    </w:p>
    <w:p w:rsidR="0043277E" w:rsidRDefault="000F2348">
      <w:pPr>
        <w:pStyle w:val="DGTextstand-alone"/>
      </w:pPr>
      <w:r>
        <w:t>Wszystkie aktywa finansowe (z wyjątkiem instrumentów pochodnych), które są zgodne z Międzynarodowymi Standardami Rachunkowości Sektora Publicznego, wycenione według wartości godziwej i w przypadku których zmiany wartości godziwej są ujmowane jako rezerwa w</w:t>
      </w:r>
      <w:r>
        <w:t xml:space="preserve"> aktywach netto do czasu ich usunięcia z bilansu (lub utraty przez nie wartości).</w:t>
      </w:r>
    </w:p>
    <w:p w:rsidR="0043277E" w:rsidRDefault="000F2348">
      <w:pPr>
        <w:pStyle w:val="HEADER5"/>
        <w:rPr>
          <w:noProof/>
        </w:rPr>
      </w:pPr>
      <w:r>
        <w:rPr>
          <w:noProof/>
        </w:rPr>
        <w:t>Linia budżetowa</w:t>
      </w:r>
    </w:p>
    <w:p w:rsidR="0043277E" w:rsidRDefault="000F2348">
      <w:pPr>
        <w:pStyle w:val="DGTextstand-alone"/>
      </w:pPr>
      <w:r>
        <w:t>Jeżeli chodzi o strukturę budżetu, dochody i wydatki przedstawia się w budżecie zgodnie z obowiązującą nomenklaturą nałożoną przez władzę budżetową, która odz</w:t>
      </w:r>
      <w:r>
        <w:t>wierciedla charakter i cel każdej pozycji. Poszczególne działy (tytuł, rozdział, artykuł lub linia) zawierają oficjalny opis nomenklatury.</w:t>
      </w:r>
    </w:p>
    <w:p w:rsidR="0043277E" w:rsidRDefault="000F2348">
      <w:pPr>
        <w:pStyle w:val="HEADER5"/>
        <w:rPr>
          <w:noProof/>
        </w:rPr>
      </w:pPr>
      <w:r>
        <w:rPr>
          <w:noProof/>
        </w:rPr>
        <w:t>Anulowanie środków</w:t>
      </w:r>
    </w:p>
    <w:p w:rsidR="0043277E" w:rsidRDefault="000F2348">
      <w:pPr>
        <w:pStyle w:val="DGTextstand-alone"/>
      </w:pPr>
      <w:r>
        <w:t>Niewykorzystane środki, z których nie można dłużej korzystać.</w:t>
      </w:r>
    </w:p>
    <w:p w:rsidR="0043277E" w:rsidRDefault="000F2348">
      <w:pPr>
        <w:pStyle w:val="HEADER5"/>
        <w:rPr>
          <w:noProof/>
        </w:rPr>
      </w:pPr>
      <w:r>
        <w:rPr>
          <w:noProof/>
        </w:rPr>
        <w:t>Przeniesienie środków budżetowych</w:t>
      </w:r>
    </w:p>
    <w:p w:rsidR="0043277E" w:rsidRDefault="000F2348">
      <w:pPr>
        <w:pStyle w:val="DGTextstand-alone"/>
      </w:pPr>
      <w:r>
        <w:t>Wy</w:t>
      </w:r>
      <w:r>
        <w:t>jątek od zasady jednoroczności w zakresie, w jakim środki, których nie można wykorzystać w danym roku budżetowym, mogą, w ściśle określonych warunkach, zostać przeniesione w celu wykorzystania ich w przyszłym roku.</w:t>
      </w:r>
    </w:p>
    <w:p w:rsidR="0043277E" w:rsidRDefault="000F2348">
      <w:pPr>
        <w:pStyle w:val="HEADER5"/>
        <w:rPr>
          <w:noProof/>
        </w:rPr>
      </w:pPr>
      <w:r>
        <w:rPr>
          <w:noProof/>
        </w:rPr>
        <w:t>Zobowiązanie</w:t>
      </w:r>
    </w:p>
    <w:p w:rsidR="0043277E" w:rsidRDefault="000F2348">
      <w:pPr>
        <w:pStyle w:val="DGTextstand-alone"/>
      </w:pPr>
      <w:r>
        <w:t xml:space="preserve">Prawne zobowiązanie do </w:t>
      </w:r>
      <w:r>
        <w:t>zapewnienia środków finansowych pod warunkiem spełnienia określonych warunków. UE zobowiązuje się do zwrotu swojego udziału w kosztach projektu finansowanego przez UE. Dzisiejsze zobowiązania to przyszłe płatności. Dzisiejsze płatności to wcześniejsze zobo</w:t>
      </w:r>
      <w:r>
        <w:t>wiązania.</w:t>
      </w:r>
    </w:p>
    <w:p w:rsidR="0043277E" w:rsidRDefault="000F2348">
      <w:pPr>
        <w:pStyle w:val="HEADER5"/>
        <w:rPr>
          <w:noProof/>
        </w:rPr>
      </w:pPr>
      <w:r>
        <w:rPr>
          <w:noProof/>
        </w:rPr>
        <w:t>Środki na zobowiązania</w:t>
      </w:r>
    </w:p>
    <w:p w:rsidR="0043277E" w:rsidRDefault="000F2348">
      <w:pPr>
        <w:pStyle w:val="DGTextstand-alone"/>
      </w:pPr>
      <w:r>
        <w:t>Środki na zobowiązania pokrywają łączny koszt zobowiązań prawnych (umów, umów o udzielenie dotacji/decyzji o udzielenie dotacji), które można podpisać w bieżącym roku budżetowym.</w:t>
      </w:r>
    </w:p>
    <w:p w:rsidR="0043277E" w:rsidRDefault="000F2348">
      <w:pPr>
        <w:pStyle w:val="HEADER5"/>
        <w:rPr>
          <w:noProof/>
        </w:rPr>
      </w:pPr>
      <w:r>
        <w:rPr>
          <w:noProof/>
        </w:rPr>
        <w:t>Koszty bieżącego zatrudnienia</w:t>
      </w:r>
    </w:p>
    <w:p w:rsidR="0043277E" w:rsidRDefault="000F2348">
      <w:pPr>
        <w:pStyle w:val="DGTextstand-alone"/>
      </w:pPr>
      <w:r>
        <w:t>Wzrost zobowią</w:t>
      </w:r>
      <w:r>
        <w:t>zań programowych wynikających z obsługi w bieżącym roku budżetowym.</w:t>
      </w:r>
    </w:p>
    <w:p w:rsidR="0043277E" w:rsidRDefault="000F2348">
      <w:pPr>
        <w:pStyle w:val="HEADER5"/>
        <w:rPr>
          <w:noProof/>
        </w:rPr>
      </w:pPr>
      <w:r>
        <w:rPr>
          <w:noProof/>
        </w:rPr>
        <w:t>Umorzenie</w:t>
      </w:r>
    </w:p>
    <w:p w:rsidR="0043277E" w:rsidRDefault="000F2348">
      <w:pPr>
        <w:pStyle w:val="DGTextstand-alone"/>
      </w:pPr>
      <w:r>
        <w:t>Czynność, wskutek której wcześniejsze zobowiązanie (lub część tego zobowiązania) zostaje anulowane.</w:t>
      </w:r>
    </w:p>
    <w:p w:rsidR="0043277E" w:rsidRDefault="000F2348">
      <w:pPr>
        <w:pStyle w:val="HEADER5"/>
        <w:rPr>
          <w:noProof/>
        </w:rPr>
      </w:pPr>
      <w:r>
        <w:rPr>
          <w:noProof/>
        </w:rPr>
        <w:t>Program o zdefiniowanym świadczeniu</w:t>
      </w:r>
    </w:p>
    <w:p w:rsidR="0043277E" w:rsidRDefault="000F2348">
      <w:pPr>
        <w:pStyle w:val="DGTextstand-alone"/>
      </w:pPr>
      <w:r>
        <w:t xml:space="preserve">System emerytalno-rentowy lub inny system </w:t>
      </w:r>
      <w:r>
        <w:t>świadczeń emerytalnych, gdy zasady danego systemu określają świadczenia niezależne od wpłacanych składek, a świadczenia nie są bezpośrednio związane z inwestycjami prowadzonymi w ramach systemu. System może być finansowany bądź nie.</w:t>
      </w:r>
    </w:p>
    <w:p w:rsidR="0043277E" w:rsidRDefault="000F2348">
      <w:pPr>
        <w:pStyle w:val="HEADER5"/>
        <w:rPr>
          <w:noProof/>
        </w:rPr>
      </w:pPr>
      <w:r>
        <w:rPr>
          <w:noProof/>
        </w:rPr>
        <w:t>Instrumenty pochodne</w:t>
      </w:r>
    </w:p>
    <w:p w:rsidR="0043277E" w:rsidRDefault="000F2348">
      <w:pPr>
        <w:pStyle w:val="DGTextstand-alone"/>
      </w:pPr>
      <w:r>
        <w:t>In</w:t>
      </w:r>
      <w:r>
        <w:t>strumenty finansowe, których wartość jest powiązana ze zmianą wartości innego instrumentu finansowego, wskaźnika lub towaru. W przeciwieństwie do posiadacza pierwotnego instrumentu finansowego (np. obligacji skarbowych), który posiada bezwarunkowe prawo do</w:t>
      </w:r>
      <w:r>
        <w:t xml:space="preserve"> otrzymywania środków pieniężnych (lub innej korzyści ekonomicznej) w przyszłości, posiadacz instrumentu pochodnego posiada tylko warunkowe prawo do otrzymywania takiej korzyści. Przykładowym instrumentem pochodnym jest walutowy kontrakt terminowy typu for</w:t>
      </w:r>
      <w:r>
        <w:t>ward.</w:t>
      </w:r>
    </w:p>
    <w:p w:rsidR="0043277E" w:rsidRDefault="000F2348">
      <w:pPr>
        <w:pStyle w:val="HEADER5"/>
        <w:rPr>
          <w:noProof/>
        </w:rPr>
      </w:pPr>
      <w:r>
        <w:rPr>
          <w:noProof/>
        </w:rPr>
        <w:t>Zarządzanie bezpośrednie</w:t>
      </w:r>
    </w:p>
    <w:p w:rsidR="0043277E" w:rsidRDefault="000F2348">
      <w:pPr>
        <w:pStyle w:val="DGTextstand-alone"/>
      </w:pPr>
      <w:r>
        <w:t>Tryb wykonania budżetu. W ramach zarządzania bezpośredniego budżet jest wykonywany bezpośrednio przez służby Komisji, agencje wykonawcze lub fundusze powiernicze.</w:t>
      </w:r>
    </w:p>
    <w:p w:rsidR="0043277E" w:rsidRDefault="000F2348">
      <w:pPr>
        <w:pStyle w:val="HEADER5"/>
        <w:rPr>
          <w:noProof/>
        </w:rPr>
      </w:pPr>
      <w:r>
        <w:rPr>
          <w:noProof/>
        </w:rPr>
        <w:lastRenderedPageBreak/>
        <w:t>Stopa dyskontowa</w:t>
      </w:r>
    </w:p>
    <w:p w:rsidR="0043277E" w:rsidRDefault="000F2348">
      <w:pPr>
        <w:pStyle w:val="DGTextstand-alone"/>
      </w:pPr>
      <w:r>
        <w:t>Stopa wykorzystywana do dostosowania wartości</w:t>
      </w:r>
      <w:r>
        <w:t xml:space="preserve"> pieniądza w czasie. Dyskontowanie jest techniką stosowaną do porównania kosztów i korzyści występujących w różnych okresach.</w:t>
      </w:r>
    </w:p>
    <w:p w:rsidR="0043277E" w:rsidRDefault="000F2348">
      <w:pPr>
        <w:pStyle w:val="HEADER5"/>
        <w:rPr>
          <w:noProof/>
        </w:rPr>
      </w:pPr>
      <w:r>
        <w:rPr>
          <w:noProof/>
        </w:rPr>
        <w:t>Efektywna stopa procentowa</w:t>
      </w:r>
    </w:p>
    <w:p w:rsidR="0043277E" w:rsidRDefault="000F2348">
      <w:pPr>
        <w:pStyle w:val="DGTextstand-alone"/>
      </w:pPr>
      <w:r>
        <w:t>Stopa, która dyskontuje oszacowane przyszłe wpływy gotówkowe lub płatności w ciągu przewidywanego okres</w:t>
      </w:r>
      <w:r>
        <w:t xml:space="preserve">u użytkowania aktywów lub zobowiązań finansowych do wartości bilansowej netto aktywów lub zobowiązania. </w:t>
      </w:r>
    </w:p>
    <w:p w:rsidR="0043277E" w:rsidRDefault="000F2348">
      <w:pPr>
        <w:pStyle w:val="HEADER5"/>
        <w:rPr>
          <w:noProof/>
        </w:rPr>
      </w:pPr>
      <w:r>
        <w:rPr>
          <w:noProof/>
        </w:rPr>
        <w:t>Aktywa lub zobowiązania finansowe wyceniane według wartości godziwej przez nadwyżkę lub deficyt</w:t>
      </w:r>
    </w:p>
    <w:p w:rsidR="0043277E" w:rsidRDefault="000F2348">
      <w:pPr>
        <w:pStyle w:val="DGTextstand-alone"/>
      </w:pPr>
      <w:r>
        <w:t>Wszystkie aktywa lub zobowiązania finansowe, które są z</w:t>
      </w:r>
      <w:r>
        <w:t>godne z Międzynarodowymi Standardami Rachunkowości Sektora Publicznego, wycenione według wartości godziwej i w przypadku których zmiany wartości godziwej są wykazywane jako nadwyżka lub deficyt w danym okresie (tj. instrumenty pochodne).</w:t>
      </w:r>
    </w:p>
    <w:p w:rsidR="0043277E" w:rsidRDefault="000F2348">
      <w:pPr>
        <w:pStyle w:val="HEADER5"/>
        <w:rPr>
          <w:noProof/>
        </w:rPr>
      </w:pPr>
      <w:r>
        <w:rPr>
          <w:noProof/>
        </w:rPr>
        <w:t>Korekta finansowa</w:t>
      </w:r>
    </w:p>
    <w:p w:rsidR="0043277E" w:rsidRDefault="000F2348">
      <w:pPr>
        <w:pStyle w:val="DGTextstand-alone"/>
      </w:pPr>
      <w:r>
        <w:t>Korekty finansowe służą do ochrony budżetu UE przed obciążeniem błędnymi lub nieprawidłowymi wydatkami. W przypadku wydatków objętych zarządzaniem dzielonym za odzyskanie nieprawidłowych płatności odpowiada przede wszystkim państwo członkowskie.</w:t>
      </w:r>
    </w:p>
    <w:p w:rsidR="0043277E" w:rsidRDefault="000F2348">
      <w:pPr>
        <w:pStyle w:val="DGTextstand-alone"/>
      </w:pPr>
      <w:r>
        <w:t>„Potwierdz</w:t>
      </w:r>
      <w:r>
        <w:t>ona” korekta finansowa została zaakceptowana przez dane państwo członkowskie. „Stwierdzona” korekta finansowa została przyjęta decyzją Komisji i zawsze jest korektą netto, w przypadku której państwo członkowskie ma obowiązek zwrócić nieprawidłowo wykorzyst</w:t>
      </w:r>
      <w:r>
        <w:t>ane środki do budżetu UE, co doprowadzi do ostatecznego zmniejszenia puli środków finansowych przyznanych danemu państwu członkowskiemu. Potwierdzone i stwierdzone korekty finansowe opisuje się w niniejszej publikacji jako jedną kategorię.</w:t>
      </w:r>
    </w:p>
    <w:p w:rsidR="0043277E" w:rsidRDefault="000F2348">
      <w:pPr>
        <w:pStyle w:val="DGTextstand-alone"/>
      </w:pPr>
      <w:r>
        <w:t>„Wykonana” korek</w:t>
      </w:r>
      <w:r>
        <w:t>ta finansowa skorygowała odnotowaną nieprawidłowość.</w:t>
      </w:r>
    </w:p>
    <w:p w:rsidR="0043277E" w:rsidRDefault="000F2348">
      <w:pPr>
        <w:pStyle w:val="HEADER5"/>
        <w:rPr>
          <w:noProof/>
        </w:rPr>
      </w:pPr>
      <w:r>
        <w:rPr>
          <w:noProof/>
        </w:rPr>
        <w:t>Zarządzanie pośrednie</w:t>
      </w:r>
    </w:p>
    <w:p w:rsidR="0043277E" w:rsidRDefault="000F2348">
      <w:pPr>
        <w:pStyle w:val="DGTextstand-alone"/>
      </w:pPr>
      <w:r>
        <w:t>Tryb wykonania budżetu. W ramach zarządzania pośredniego Komisja powierza zadania związane z wykonaniem budżetu organom przewidzianym prawem UE lub prawem krajowym.</w:t>
      </w:r>
    </w:p>
    <w:p w:rsidR="0043277E" w:rsidRDefault="000F2348">
      <w:pPr>
        <w:pStyle w:val="HEADER5"/>
        <w:rPr>
          <w:noProof/>
        </w:rPr>
      </w:pPr>
      <w:r>
        <w:rPr>
          <w:noProof/>
        </w:rPr>
        <w:t>Wstrzymania i za</w:t>
      </w:r>
      <w:r>
        <w:rPr>
          <w:noProof/>
        </w:rPr>
        <w:t>wieszenia</w:t>
      </w:r>
    </w:p>
    <w:p w:rsidR="0043277E" w:rsidRDefault="000F2348">
      <w:pPr>
        <w:pStyle w:val="DGTextstand-alone"/>
      </w:pPr>
      <w:r>
        <w:t>Jeżeli Komisja stwierdzi, na podstawie własnych prac lub informacji przekazanych przez instytucje audytowe, że państwo członkowskie nie usunęło poważnych uchybień w systemach zarządzania i kontroli lub nie skorygowało nieprawidłowych wydatków, kt</w:t>
      </w:r>
      <w:r>
        <w:t>óre zostały zadeklarowane i poświadczone, może wstrzymać lub zawiesić płatności.</w:t>
      </w:r>
    </w:p>
    <w:p w:rsidR="0043277E" w:rsidRDefault="000F2348">
      <w:pPr>
        <w:pStyle w:val="HEADER5"/>
        <w:rPr>
          <w:noProof/>
        </w:rPr>
      </w:pPr>
      <w:r>
        <w:rPr>
          <w:noProof/>
        </w:rPr>
        <w:t>Nieprawidłowość</w:t>
      </w:r>
    </w:p>
    <w:p w:rsidR="0043277E" w:rsidRDefault="000F2348">
      <w:pPr>
        <w:pStyle w:val="DGTextstand-alone"/>
      </w:pPr>
      <w:r>
        <w:t>Nieprawidłowość jest czynnością niezgodną z zasadami UE, która może niekorzystnie wpłynąć na interesy finansowe UE, ale może być wynikiem błędów, które nie nos</w:t>
      </w:r>
      <w:r>
        <w:t>zą znamion oszustwa, popełnionych przez beneficjentów ubiegających się o środki lub przez organy odpowiedzialne za dokonywanie płatności. Jeżeli dany podmiot świadomie dopuszcza się nieprawidłowości, stanowi to nadużycie finansowe.</w:t>
      </w:r>
    </w:p>
    <w:p w:rsidR="0043277E" w:rsidRDefault="000F2348">
      <w:pPr>
        <w:pStyle w:val="HEADER5"/>
        <w:rPr>
          <w:noProof/>
        </w:rPr>
      </w:pPr>
      <w:r>
        <w:rPr>
          <w:noProof/>
        </w:rPr>
        <w:t>Wygasające środki</w:t>
      </w:r>
    </w:p>
    <w:p w:rsidR="0043277E" w:rsidRDefault="000F2348">
      <w:pPr>
        <w:pStyle w:val="DGTextstand-alone"/>
      </w:pPr>
      <w:r>
        <w:t xml:space="preserve">Na </w:t>
      </w:r>
      <w:r>
        <w:t>koniec roku budżetowego niewykorzystane środki zostają anulowane. Wygaśnięcie oznacza unieważnienie całego lub części zezwolenia na ponoszenie wydatków lub zaciąganie zobowiązań, które jest reprezentowane przez środki. Zgodnie z zasadami finansowymi, które</w:t>
      </w:r>
      <w:r>
        <w:t xml:space="preserve"> dotyczą wspólnych przedsięwzięć, jedynie w ich przypadku wszelkie niewykorzystane środki mogą zostać ujęte w preliminarzu dochodów i wydatków na następne trzy lata budżetowe (tzw. zasada „N+3”). Zatem niewykorzystane środki na wspólne przedsięwzięcia mogą</w:t>
      </w:r>
      <w:r>
        <w:t xml:space="preserve"> zostać ponownie uruchomione w roku budżetowym „N+3”.</w:t>
      </w:r>
    </w:p>
    <w:p w:rsidR="0043277E" w:rsidRDefault="000F2348">
      <w:pPr>
        <w:pStyle w:val="HEADER5"/>
        <w:rPr>
          <w:noProof/>
        </w:rPr>
      </w:pPr>
      <w:r>
        <w:rPr>
          <w:noProof/>
        </w:rPr>
        <w:t>Zobowiązania pozostające do spłaty</w:t>
      </w:r>
    </w:p>
    <w:p w:rsidR="0043277E" w:rsidRDefault="000F2348">
      <w:pPr>
        <w:pStyle w:val="DGTextstand-alone"/>
      </w:pPr>
      <w:r>
        <w:lastRenderedPageBreak/>
        <w:t>Zobowiązania pozostające do spłaty (RAL) oznaczają kwotę, w przypadku której zobowiązanie budżetowe zostało podjęte, ale kolejne płatności nie zostały jeszcze wykonane</w:t>
      </w:r>
      <w:r>
        <w:t>. Oznaczają zobowiązania płatnicze UE na przyszłe lata i wynikają bezpośrednio z istnienia programów wieloletnich i rozbieżności między środkami na zobowiązania a środkami na płatności.</w:t>
      </w:r>
    </w:p>
    <w:p w:rsidR="0043277E" w:rsidRDefault="0043277E">
      <w:pPr>
        <w:pStyle w:val="DGTextstand-alone"/>
      </w:pPr>
    </w:p>
    <w:p w:rsidR="0043277E" w:rsidRDefault="0043277E">
      <w:pPr>
        <w:pStyle w:val="DGTextstand-alone"/>
      </w:pPr>
    </w:p>
    <w:p w:rsidR="0043277E" w:rsidRDefault="000F2348">
      <w:pPr>
        <w:pStyle w:val="HEADER5"/>
        <w:rPr>
          <w:noProof/>
        </w:rPr>
      </w:pPr>
      <w:r>
        <w:rPr>
          <w:noProof/>
        </w:rPr>
        <w:t>Zasoby własne</w:t>
      </w:r>
    </w:p>
    <w:p w:rsidR="0043277E" w:rsidRDefault="000F2348">
      <w:pPr>
        <w:pStyle w:val="DGTextstand-alone"/>
      </w:pPr>
      <w:r>
        <w:t>Oznaczają główne środki finansowe instytucji i organów</w:t>
      </w:r>
      <w:r>
        <w:t xml:space="preserve"> unijnych oraz zostały określone w rozporządzeniu nr 609/2014 w sprawie zasobów własnych. Zasoby własne obejmują zasoby oparte na DNB, zasoby oparte na VAT i tradycyjne zasoby własne.</w:t>
      </w:r>
    </w:p>
    <w:p w:rsidR="0043277E" w:rsidRDefault="000F2348">
      <w:pPr>
        <w:pStyle w:val="HEADER5"/>
        <w:rPr>
          <w:noProof/>
        </w:rPr>
      </w:pPr>
      <w:r>
        <w:rPr>
          <w:noProof/>
        </w:rPr>
        <w:t>Środki na płatności</w:t>
      </w:r>
    </w:p>
    <w:p w:rsidR="0043277E" w:rsidRDefault="000F2348">
      <w:pPr>
        <w:pStyle w:val="DGTextstand-alone"/>
      </w:pPr>
      <w:r>
        <w:t>Środki na płatności pokrywają wydatki wymagalne w bi</w:t>
      </w:r>
      <w:r>
        <w:t>eżącym roku budżetowym, wynikające z zobowiązań prawnych zaciągniętych w bieżącym roku lub w ubiegłych latach.</w:t>
      </w:r>
    </w:p>
    <w:p w:rsidR="0043277E" w:rsidRDefault="000F2348">
      <w:pPr>
        <w:pStyle w:val="HEADER5"/>
        <w:rPr>
          <w:noProof/>
        </w:rPr>
      </w:pPr>
      <w:r>
        <w:rPr>
          <w:noProof/>
        </w:rPr>
        <w:t>Płatności zaliczkowe</w:t>
      </w:r>
    </w:p>
    <w:p w:rsidR="0043277E" w:rsidRDefault="000F2348">
      <w:pPr>
        <w:pStyle w:val="DGTextstand-alone"/>
      </w:pPr>
      <w:r>
        <w:t xml:space="preserve">Płatność mająca na celu zapewnienie beneficjentowi płynności. Może być ona rozbita na szereg płatności zgodnie z przepisami </w:t>
      </w:r>
      <w:r>
        <w:t>danej umowy, decyzji, porozumienia lub podstawowego aktu prawnego. Płatność lub zaliczka musi zostać wykorzystana na cele, na które była przeznaczona, w okresie wskazanym w umowie albo podlega zwrotowi.</w:t>
      </w:r>
    </w:p>
    <w:p w:rsidR="0043277E" w:rsidRDefault="000F2348">
      <w:pPr>
        <w:pStyle w:val="HEADER5"/>
        <w:rPr>
          <w:noProof/>
        </w:rPr>
      </w:pPr>
      <w:r>
        <w:rPr>
          <w:noProof/>
        </w:rPr>
        <w:t>Środek zapobiegawczy</w:t>
      </w:r>
    </w:p>
    <w:p w:rsidR="0043277E" w:rsidRDefault="000F2348">
      <w:pPr>
        <w:pStyle w:val="DGTextstand-alone"/>
      </w:pPr>
      <w:r>
        <w:t>Środki zapobiegawcze, którymi dy</w:t>
      </w:r>
      <w:r>
        <w:t>sponuje Komisja w celu ochrony budżetu UE, gdy jest świadoma potencjalnych braków, obejmują zawieszenia i wstrzymania płatności z budżetu UE na rzecz programu operacyjnego.</w:t>
      </w:r>
    </w:p>
    <w:p w:rsidR="0043277E" w:rsidRDefault="000F2348">
      <w:pPr>
        <w:pStyle w:val="HEADER5"/>
        <w:rPr>
          <w:noProof/>
        </w:rPr>
      </w:pPr>
      <w:r>
        <w:rPr>
          <w:noProof/>
        </w:rPr>
        <w:t xml:space="preserve">Zobowiązania pozostające do spłaty (RAL) </w:t>
      </w:r>
    </w:p>
    <w:p w:rsidR="0043277E" w:rsidRDefault="000F2348">
      <w:pPr>
        <w:pStyle w:val="DGTextstand-alone"/>
      </w:pPr>
      <w:r>
        <w:t>Tak jak zobowiązania pozostające do spłat</w:t>
      </w:r>
      <w:r>
        <w:t>y oznaczają kwotę, w przypadku której zobowiązanie budżetowe zostało podjęte, ale kolejne płatności nie zostały jeszcze wykonane. Oznaczają zobowiązania płatnicze UE na przyszłe lata i wynikają bezpośrednio z istnienia programów wieloletnich i rozbieżności</w:t>
      </w:r>
      <w:r>
        <w:t xml:space="preserve"> między środkami na zobowiązania a środkami na płatności.</w:t>
      </w:r>
    </w:p>
    <w:p w:rsidR="0043277E" w:rsidRDefault="000F2348">
      <w:pPr>
        <w:pStyle w:val="HEADER5"/>
        <w:rPr>
          <w:noProof/>
        </w:rPr>
      </w:pPr>
      <w:r>
        <w:rPr>
          <w:noProof/>
        </w:rPr>
        <w:t>Zarządzanie dzielone</w:t>
      </w:r>
    </w:p>
    <w:p w:rsidR="0043277E" w:rsidRDefault="000F2348">
      <w:pPr>
        <w:pStyle w:val="DGTextstand-alone"/>
      </w:pPr>
      <w:r>
        <w:t>Tryb wykonania budżetu. W ramach zarządzania dzielonego realizację zadań w zakresie wykonania budżetu powierza się państwom członkowskim. Ok. 80 % wydatków UE podlega właśnie te</w:t>
      </w:r>
      <w:r>
        <w:t>j metodzie wykonania budżetu.</w:t>
      </w:r>
    </w:p>
    <w:p w:rsidR="0043277E" w:rsidRDefault="000F2348">
      <w:pPr>
        <w:pStyle w:val="HEADER5"/>
        <w:rPr>
          <w:noProof/>
        </w:rPr>
      </w:pPr>
      <w:r>
        <w:rPr>
          <w:noProof/>
        </w:rPr>
        <w:t>Tradycyjne zasoby własne</w:t>
      </w:r>
    </w:p>
    <w:p w:rsidR="0043277E" w:rsidRDefault="000F2348">
      <w:pPr>
        <w:pStyle w:val="DGTextstand-alone"/>
      </w:pPr>
      <w:r>
        <w:t>Oznaczają dochód UE i stanowią część „zasobów własnych”, z których finansowana jest działalność UE. Tradycyjne zasoby własne zostały zdefiniowane w rozporządzeniu nr 609/2014 w sprawie zasobów własnych</w:t>
      </w:r>
      <w:r>
        <w:t xml:space="preserve"> i obejmują cła i opłaty wyrównawcze od cukru.</w:t>
      </w:r>
    </w:p>
    <w:p w:rsidR="0043277E" w:rsidRDefault="000F2348">
      <w:pPr>
        <w:pStyle w:val="HEADER5"/>
        <w:rPr>
          <w:noProof/>
        </w:rPr>
      </w:pPr>
      <w:r>
        <w:rPr>
          <w:noProof/>
        </w:rPr>
        <w:t>Przeniesienia (między liniami budżetowymi)</w:t>
      </w:r>
    </w:p>
    <w:p w:rsidR="0043277E" w:rsidRDefault="000F2348">
      <w:pPr>
        <w:pStyle w:val="DGTextstand-alone"/>
      </w:pPr>
      <w:r>
        <w:t>Przeniesienia między liniami budżetowymi oznaczają przeniesienie środków z jednej linii budżetowej do drugiej, w trakcie roku budżetowego, i tym samym stanowią wyjąte</w:t>
      </w:r>
      <w:r>
        <w:t>k od budżetowej zasady specyfikacji. Zostały jednak wyraźnie dozwolone w Traktacie o funkcjonowaniu Unii Europejskiej zgodnie z warunkami określonymi w rozporządzeniu finansowym (RF). W rozporządzeniu finansowym określono różne rodzaje przeniesień w zależn</w:t>
      </w:r>
      <w:r>
        <w:t>ości od tego, czy odbywają się one między tytułami, rozdziałami, artykułami lub działami budżetu, czy też w ich obrębie, oraz w zależności od tego, czy wymagają różnych poziomów autoryzacji.</w:t>
      </w:r>
    </w:p>
    <w:p w:rsidR="0043277E" w:rsidRDefault="0043277E">
      <w:pPr>
        <w:pStyle w:val="DGTextstand-alone"/>
      </w:pPr>
    </w:p>
    <w:bookmarkEnd w:id="279"/>
    <w:p w:rsidR="0043277E" w:rsidRDefault="0043277E">
      <w:pPr>
        <w:pStyle w:val="DGTextstand-alone"/>
        <w:sectPr w:rsidR="0043277E">
          <w:headerReference w:type="even" r:id="rId420"/>
          <w:headerReference w:type="default" r:id="rId421"/>
          <w:footerReference w:type="even" r:id="rId422"/>
          <w:footerReference w:type="default" r:id="rId423"/>
          <w:headerReference w:type="first" r:id="rId424"/>
          <w:footerReference w:type="first" r:id="rId425"/>
          <w:pgSz w:w="11906" w:h="16838"/>
          <w:pgMar w:top="1134" w:right="1134" w:bottom="1134" w:left="1134" w:header="709" w:footer="709" w:gutter="0"/>
          <w:cols w:space="708"/>
          <w:docGrid w:linePitch="360"/>
        </w:sectPr>
      </w:pPr>
    </w:p>
    <w:p w:rsidR="0043277E" w:rsidRDefault="000F2348">
      <w:pPr>
        <w:pStyle w:val="FIRSTCHAPTERPAGE"/>
        <w:rPr>
          <w:noProof/>
        </w:rPr>
      </w:pPr>
      <w:bookmarkStart w:id="280" w:name="_Toc49418131"/>
      <w:bookmarkStart w:id="281" w:name="_DMBM_17267"/>
      <w:r>
        <w:rPr>
          <w:noProof/>
        </w:rPr>
        <w:lastRenderedPageBreak/>
        <w:t>WYKAZ SKRÓTÓW</w:t>
      </w:r>
      <w:bookmarkEnd w:id="280"/>
      <w:r>
        <w:rPr>
          <w:noProof/>
        </w:rPr>
        <w:t xml:space="preserve"> </w:t>
      </w:r>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AAR</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Roczne sprawozdanie z działalności</w:t>
            </w:r>
          </w:p>
        </w:tc>
      </w:tr>
      <w:tr w:rsidR="0043277E">
        <w:tc>
          <w:tcPr>
            <w:tcW w:w="1526" w:type="dxa"/>
          </w:tcPr>
          <w:p w:rsidR="0043277E" w:rsidRDefault="000F2348">
            <w:pPr>
              <w:pStyle w:val="DGTextstand-alone"/>
              <w:spacing w:before="0"/>
            </w:pPr>
            <w:r>
              <w:rPr>
                <w:color w:val="016794"/>
              </w:rPr>
              <w:t>FAMI</w:t>
            </w:r>
            <w:r>
              <w:t xml:space="preserve"> </w:t>
            </w:r>
          </w:p>
        </w:tc>
        <w:tc>
          <w:tcPr>
            <w:tcW w:w="8328" w:type="dxa"/>
          </w:tcPr>
          <w:p w:rsidR="0043277E" w:rsidRDefault="000F2348">
            <w:pPr>
              <w:pStyle w:val="DGTextstand-alone"/>
              <w:spacing w:before="0"/>
            </w:pPr>
            <w:r>
              <w:t>Fundusz Azylu, Migracji i Integracji</w:t>
            </w:r>
          </w:p>
        </w:tc>
      </w:tr>
      <w:tr w:rsidR="0043277E">
        <w:tc>
          <w:tcPr>
            <w:tcW w:w="1526" w:type="dxa"/>
          </w:tcPr>
          <w:p w:rsidR="0043277E" w:rsidRDefault="000F2348">
            <w:pPr>
              <w:pStyle w:val="DGTextstand-alone"/>
              <w:spacing w:before="0"/>
            </w:pPr>
            <w:r>
              <w:rPr>
                <w:color w:val="016794"/>
              </w:rPr>
              <w:t>AOD</w:t>
            </w:r>
            <w:r>
              <w:t xml:space="preserve"> </w:t>
            </w:r>
          </w:p>
        </w:tc>
        <w:tc>
          <w:tcPr>
            <w:tcW w:w="8328" w:type="dxa"/>
          </w:tcPr>
          <w:p w:rsidR="0043277E" w:rsidRDefault="000F2348">
            <w:pPr>
              <w:pStyle w:val="DGTextstand-alone"/>
              <w:spacing w:before="0"/>
            </w:pPr>
            <w:r>
              <w:t>delegowany urzędnik zatwierdzający</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Zarządzanie ruchem lotniczym</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Wsparcie bilansu płatniczego</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Bilans płatniczy</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Fundusz</w:t>
            </w:r>
            <w:r>
              <w:t xml:space="preserve"> </w:t>
            </w:r>
            <w:r>
              <w:rPr>
                <w:color w:val="016794"/>
              </w:rPr>
              <w:t>BUFI</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Fundusz „grzywien budżetowych”</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WPR</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Wspólna polityka rolna</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System poręczeń na rzecz sektora kultury i sektora kreatywnego</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Instrument „Łącząc Europę”</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Instrument dłużny instrumentu „Łącząc Europę”</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FS</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Fundusz Spójności</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 ramowy na rzecz konkurencyjności i innowacji</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Komisja Europejska</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Konkurencyjność przedsiębiorstw oraz małych i średnich przedsiębiorstw</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Komitet Organizacji Sponsorujących Komisję Treadwaya</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RWP</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Rozporządzenie w sprawie wspólnych przepisów</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D&amp;WM</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Likwidacja i gospodarowanie odpadami</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EFRROW</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Europejski Fundusz Rolny na rzecz Rozwoju Obszarów Wiejskich</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EFRG</w:t>
            </w:r>
            <w:r>
              <w:t xml:space="preserve"> </w:t>
            </w:r>
            <w:r>
              <w:tab/>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Europejski Fundusz Rolniczy Gwarancji</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EAR</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Reguła rachunkowości UE</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Zatrudnienie i </w:t>
            </w:r>
            <w:r>
              <w:t>innowacje społeczne</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EBOR</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Europejski Bank Odbudowy i Rozwoju</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ETO</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Europejski Trybunał Obrachunkowy</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EBC </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Europejski Bank Centralny</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Rada do Spraw Gospodarczych i Finansowych</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EWWiS w likwidacji</w:t>
            </w:r>
            <w:r>
              <w:t xml:space="preserve"> </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Europejska Wspólnota Węgla i Stali w likwidacji</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EFR</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Europejski Fundusz Rozwoju</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lastRenderedPageBreak/>
              <w:t>EDIF</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Instrument gwarancyjny dla Bałkanów Zachodnich</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EOG</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Europejski Obszar Gospodarczy</w:t>
            </w:r>
          </w:p>
        </w:tc>
      </w:tr>
      <w:tr w:rsidR="0043277E">
        <w:tc>
          <w:tcPr>
            <w:tcW w:w="1526"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ESDZ</w:t>
            </w:r>
          </w:p>
        </w:tc>
        <w:tc>
          <w:tcPr>
            <w:tcW w:w="8328" w:type="dxa"/>
          </w:tcPr>
          <w:p w:rsidR="0043277E" w:rsidRDefault="000F2348">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Europejska Służba Działań Zewnętrznych</w:t>
            </w:r>
          </w:p>
        </w:tc>
      </w:tr>
      <w:tr w:rsidR="0043277E">
        <w:tc>
          <w:tcPr>
            <w:tcW w:w="1526" w:type="dxa"/>
          </w:tcPr>
          <w:p w:rsidR="0043277E" w:rsidRDefault="000F2348">
            <w:pPr>
              <w:pStyle w:val="DGTextstand-alone"/>
              <w:spacing w:before="0"/>
            </w:pPr>
            <w:r>
              <w:rPr>
                <w:color w:val="016794"/>
              </w:rPr>
              <w:t>EFZR</w:t>
            </w:r>
          </w:p>
        </w:tc>
        <w:tc>
          <w:tcPr>
            <w:tcW w:w="8328" w:type="dxa"/>
          </w:tcPr>
          <w:p w:rsidR="0043277E" w:rsidRDefault="000F2348">
            <w:pPr>
              <w:pStyle w:val="DGTextstand-alone"/>
              <w:spacing w:before="0"/>
            </w:pPr>
            <w:r>
              <w:t>Europejski Fundusz na rzecz Zrównoważonego Rozwoju</w:t>
            </w:r>
          </w:p>
        </w:tc>
      </w:tr>
      <w:tr w:rsidR="0043277E">
        <w:tc>
          <w:tcPr>
            <w:tcW w:w="1526" w:type="dxa"/>
          </w:tcPr>
          <w:p w:rsidR="0043277E" w:rsidRDefault="000F2348">
            <w:pPr>
              <w:pStyle w:val="DGTextstand-alone"/>
              <w:spacing w:before="0"/>
            </w:pPr>
            <w:r>
              <w:rPr>
                <w:color w:val="016794"/>
              </w:rPr>
              <w:t>EFSE</w:t>
            </w:r>
            <w:r>
              <w:t xml:space="preserve"> </w:t>
            </w:r>
          </w:p>
        </w:tc>
        <w:tc>
          <w:tcPr>
            <w:tcW w:w="8328" w:type="dxa"/>
          </w:tcPr>
          <w:p w:rsidR="0043277E" w:rsidRDefault="000F2348">
            <w:pPr>
              <w:pStyle w:val="DGTextstand-alone"/>
              <w:spacing w:before="0"/>
            </w:pPr>
            <w:r>
              <w:t xml:space="preserve">Europejski Fundusz na rzecz </w:t>
            </w:r>
            <w:r>
              <w:t>Europy Południowo-Wschodniej</w:t>
            </w:r>
          </w:p>
        </w:tc>
      </w:tr>
      <w:tr w:rsidR="0043277E">
        <w:tc>
          <w:tcPr>
            <w:tcW w:w="1526" w:type="dxa"/>
          </w:tcPr>
          <w:p w:rsidR="0043277E" w:rsidRDefault="000F2348">
            <w:pPr>
              <w:pStyle w:val="DGTextstand-alone"/>
              <w:spacing w:before="0"/>
            </w:pPr>
            <w:r>
              <w:rPr>
                <w:color w:val="016794"/>
              </w:rPr>
              <w:t>EFSF</w:t>
            </w:r>
            <w:r>
              <w:t xml:space="preserve"> </w:t>
            </w:r>
          </w:p>
        </w:tc>
        <w:tc>
          <w:tcPr>
            <w:tcW w:w="8328" w:type="dxa"/>
          </w:tcPr>
          <w:p w:rsidR="0043277E" w:rsidRDefault="000F2348">
            <w:pPr>
              <w:pStyle w:val="DGTextstand-alone"/>
              <w:spacing w:before="0"/>
            </w:pPr>
            <w:r>
              <w:t>Europejski Instrument Stabilności Finansowej</w:t>
            </w:r>
          </w:p>
        </w:tc>
      </w:tr>
      <w:tr w:rsidR="0043277E">
        <w:tc>
          <w:tcPr>
            <w:tcW w:w="1526" w:type="dxa"/>
          </w:tcPr>
          <w:p w:rsidR="0043277E" w:rsidRDefault="000F2348">
            <w:pPr>
              <w:pStyle w:val="DGTextstand-alone"/>
              <w:spacing w:before="0"/>
            </w:pPr>
            <w:r>
              <w:rPr>
                <w:color w:val="016794"/>
              </w:rPr>
              <w:t>EFIS</w:t>
            </w:r>
          </w:p>
        </w:tc>
        <w:tc>
          <w:tcPr>
            <w:tcW w:w="8328" w:type="dxa"/>
          </w:tcPr>
          <w:p w:rsidR="0043277E" w:rsidRDefault="000F2348">
            <w:pPr>
              <w:pStyle w:val="DGTextstand-alone"/>
              <w:spacing w:before="0"/>
            </w:pPr>
            <w:r>
              <w:t>Europejski Fundusz na rzecz Inwestycji Strategicznych</w:t>
            </w:r>
          </w:p>
        </w:tc>
      </w:tr>
      <w:tr w:rsidR="0043277E">
        <w:tc>
          <w:tcPr>
            <w:tcW w:w="1526" w:type="dxa"/>
          </w:tcPr>
          <w:p w:rsidR="0043277E" w:rsidRDefault="000F2348">
            <w:pPr>
              <w:pStyle w:val="DGTextstand-alone"/>
              <w:spacing w:before="0"/>
            </w:pPr>
            <w:r>
              <w:rPr>
                <w:color w:val="016794"/>
              </w:rPr>
              <w:t>EFSM</w:t>
            </w:r>
          </w:p>
        </w:tc>
        <w:tc>
          <w:tcPr>
            <w:tcW w:w="8328" w:type="dxa"/>
          </w:tcPr>
          <w:p w:rsidR="0043277E" w:rsidRDefault="000F2348">
            <w:pPr>
              <w:pStyle w:val="DGTextstand-alone"/>
              <w:spacing w:before="0"/>
            </w:pPr>
            <w:r>
              <w:t>Europejski mechanizm stabilizacji finansowej</w:t>
            </w:r>
          </w:p>
        </w:tc>
      </w:tr>
      <w:tr w:rsidR="0043277E">
        <w:tc>
          <w:tcPr>
            <w:tcW w:w="1526" w:type="dxa"/>
          </w:tcPr>
          <w:p w:rsidR="0043277E" w:rsidRDefault="000F2348">
            <w:pPr>
              <w:pStyle w:val="DGTextstand-alone"/>
              <w:spacing w:before="0"/>
            </w:pPr>
            <w:r>
              <w:rPr>
                <w:color w:val="016794"/>
              </w:rPr>
              <w:t>EFTA</w:t>
            </w:r>
            <w:r>
              <w:t xml:space="preserve"> </w:t>
            </w:r>
          </w:p>
        </w:tc>
        <w:tc>
          <w:tcPr>
            <w:tcW w:w="8328" w:type="dxa"/>
          </w:tcPr>
          <w:p w:rsidR="0043277E" w:rsidRDefault="000F2348">
            <w:pPr>
              <w:pStyle w:val="DGTextstand-alone"/>
              <w:spacing w:before="0"/>
            </w:pPr>
            <w:r>
              <w:t>Europejskie Stowarzyszenie Wolnego Handlu</w:t>
            </w:r>
          </w:p>
        </w:tc>
      </w:tr>
      <w:tr w:rsidR="0043277E">
        <w:tc>
          <w:tcPr>
            <w:tcW w:w="1526" w:type="dxa"/>
          </w:tcPr>
          <w:p w:rsidR="0043277E" w:rsidRDefault="000F2348">
            <w:pPr>
              <w:pStyle w:val="DGTextstand-alone"/>
              <w:spacing w:before="0"/>
            </w:pPr>
            <w:r>
              <w:rPr>
                <w:color w:val="016794"/>
              </w:rPr>
              <w:t>EGNOS</w:t>
            </w:r>
            <w:r>
              <w:t xml:space="preserve"> </w:t>
            </w:r>
          </w:p>
        </w:tc>
        <w:tc>
          <w:tcPr>
            <w:tcW w:w="8328" w:type="dxa"/>
          </w:tcPr>
          <w:p w:rsidR="0043277E" w:rsidRDefault="000F2348">
            <w:pPr>
              <w:pStyle w:val="DGTextstand-alone"/>
              <w:spacing w:before="0"/>
            </w:pPr>
            <w:r>
              <w:t>Europejski system wspomagania satelitarnego</w:t>
            </w:r>
          </w:p>
        </w:tc>
      </w:tr>
      <w:tr w:rsidR="0043277E">
        <w:tc>
          <w:tcPr>
            <w:tcW w:w="1526" w:type="dxa"/>
          </w:tcPr>
          <w:p w:rsidR="0043277E" w:rsidRDefault="000F2348">
            <w:pPr>
              <w:pStyle w:val="DGTextstand-alone"/>
              <w:spacing w:before="0"/>
            </w:pPr>
            <w:r>
              <w:rPr>
                <w:color w:val="016794"/>
              </w:rPr>
              <w:t>EBI</w:t>
            </w:r>
            <w:r>
              <w:t xml:space="preserve"> </w:t>
            </w:r>
          </w:p>
        </w:tc>
        <w:tc>
          <w:tcPr>
            <w:tcW w:w="8328" w:type="dxa"/>
          </w:tcPr>
          <w:p w:rsidR="0043277E" w:rsidRDefault="000F2348">
            <w:pPr>
              <w:pStyle w:val="DGTextstand-alone"/>
              <w:spacing w:before="0"/>
            </w:pPr>
            <w:r>
              <w:t>Europejski Bank Inwestycyjny</w:t>
            </w:r>
          </w:p>
        </w:tc>
      </w:tr>
      <w:tr w:rsidR="0043277E">
        <w:tc>
          <w:tcPr>
            <w:tcW w:w="1526" w:type="dxa"/>
          </w:tcPr>
          <w:p w:rsidR="0043277E" w:rsidRDefault="000F2348">
            <w:pPr>
              <w:pStyle w:val="DGTextstand-alone"/>
              <w:spacing w:before="0"/>
            </w:pPr>
            <w:r>
              <w:rPr>
                <w:color w:val="016794"/>
              </w:rPr>
              <w:t>EFI</w:t>
            </w:r>
            <w:r>
              <w:t xml:space="preserve"> </w:t>
            </w:r>
          </w:p>
        </w:tc>
        <w:tc>
          <w:tcPr>
            <w:tcW w:w="8328" w:type="dxa"/>
          </w:tcPr>
          <w:p w:rsidR="0043277E" w:rsidRDefault="000F2348">
            <w:pPr>
              <w:pStyle w:val="DGTextstand-alone"/>
              <w:spacing w:before="0"/>
            </w:pPr>
            <w:r>
              <w:t>Europejski Fundusz Inwestycyjny</w:t>
            </w:r>
          </w:p>
        </w:tc>
      </w:tr>
      <w:tr w:rsidR="0043277E">
        <w:tc>
          <w:tcPr>
            <w:tcW w:w="1526" w:type="dxa"/>
          </w:tcPr>
          <w:p w:rsidR="0043277E" w:rsidRDefault="000F2348">
            <w:pPr>
              <w:pStyle w:val="DGTextstand-alone"/>
              <w:spacing w:before="0"/>
            </w:pPr>
            <w:r>
              <w:rPr>
                <w:color w:val="016794"/>
              </w:rPr>
              <w:t>ElectriFI</w:t>
            </w:r>
          </w:p>
        </w:tc>
        <w:tc>
          <w:tcPr>
            <w:tcW w:w="8328" w:type="dxa"/>
          </w:tcPr>
          <w:p w:rsidR="0043277E" w:rsidRDefault="000F2348">
            <w:pPr>
              <w:pStyle w:val="DGTextstand-alone"/>
              <w:spacing w:before="0"/>
              <w:rPr>
                <w:b/>
              </w:rPr>
            </w:pPr>
            <w:r>
              <w:t>Inicjatywa</w:t>
            </w:r>
            <w:r>
              <w:rPr>
                <w:rStyle w:val="st1"/>
                <w:b/>
              </w:rPr>
              <w:t xml:space="preserve"> </w:t>
            </w:r>
            <w:r>
              <w:rPr>
                <w:rStyle w:val="st1"/>
              </w:rPr>
              <w:t xml:space="preserve">finansowania elektryfikacji </w:t>
            </w:r>
          </w:p>
        </w:tc>
      </w:tr>
      <w:tr w:rsidR="0043277E">
        <w:tc>
          <w:tcPr>
            <w:tcW w:w="1526" w:type="dxa"/>
          </w:tcPr>
          <w:p w:rsidR="0043277E" w:rsidRDefault="000F2348">
            <w:pPr>
              <w:pStyle w:val="DGTextstand-alone"/>
              <w:spacing w:before="0"/>
              <w:rPr>
                <w:color w:val="016794"/>
              </w:rPr>
            </w:pPr>
            <w:r>
              <w:rPr>
                <w:color w:val="016794"/>
              </w:rPr>
              <w:t>ELM</w:t>
            </w:r>
          </w:p>
          <w:p w:rsidR="0043277E" w:rsidRDefault="000F2348">
            <w:pPr>
              <w:pStyle w:val="DGTextstand-alone"/>
              <w:spacing w:before="0"/>
            </w:pPr>
            <w:r>
              <w:rPr>
                <w:color w:val="016794"/>
              </w:rPr>
              <w:t>EFMR</w:t>
            </w:r>
            <w:r>
              <w:t xml:space="preserve"> </w:t>
            </w:r>
          </w:p>
        </w:tc>
        <w:tc>
          <w:tcPr>
            <w:tcW w:w="8328" w:type="dxa"/>
          </w:tcPr>
          <w:p w:rsidR="0043277E" w:rsidRDefault="000F2348">
            <w:pPr>
              <w:pStyle w:val="DGTextstand-alone"/>
              <w:spacing w:before="0"/>
            </w:pPr>
            <w:r>
              <w:t>upoważnienie EBI do udzielania pożyczek na rzecz państw trzecich</w:t>
            </w:r>
          </w:p>
          <w:p w:rsidR="0043277E" w:rsidRDefault="000F2348">
            <w:pPr>
              <w:pStyle w:val="DGTextstand-alone"/>
              <w:spacing w:before="0"/>
            </w:pPr>
            <w:r>
              <w:t xml:space="preserve">Europejski </w:t>
            </w:r>
            <w:r>
              <w:t>Fundusz Morski i Rybacki</w:t>
            </w:r>
          </w:p>
        </w:tc>
      </w:tr>
      <w:tr w:rsidR="0043277E">
        <w:tc>
          <w:tcPr>
            <w:tcW w:w="1526" w:type="dxa"/>
          </w:tcPr>
          <w:p w:rsidR="0043277E" w:rsidRDefault="000F2348">
            <w:pPr>
              <w:pStyle w:val="DGTextstand-alone"/>
              <w:spacing w:before="0"/>
            </w:pPr>
            <w:r>
              <w:rPr>
                <w:color w:val="016794"/>
              </w:rPr>
              <w:t>UGW</w:t>
            </w:r>
            <w:r>
              <w:t xml:space="preserve"> </w:t>
            </w:r>
          </w:p>
        </w:tc>
        <w:tc>
          <w:tcPr>
            <w:tcW w:w="8328" w:type="dxa"/>
          </w:tcPr>
          <w:p w:rsidR="0043277E" w:rsidRDefault="000F2348">
            <w:pPr>
              <w:pStyle w:val="DGTextstand-alone"/>
              <w:spacing w:before="0"/>
            </w:pPr>
            <w:r>
              <w:t>Unia gospodarcza i walutowa</w:t>
            </w:r>
          </w:p>
        </w:tc>
      </w:tr>
      <w:tr w:rsidR="0043277E">
        <w:tc>
          <w:tcPr>
            <w:tcW w:w="1526" w:type="dxa"/>
          </w:tcPr>
          <w:p w:rsidR="0043277E" w:rsidRDefault="000F2348">
            <w:pPr>
              <w:pStyle w:val="DGTextstand-alone"/>
              <w:spacing w:before="0"/>
            </w:pPr>
            <w:r>
              <w:rPr>
                <w:color w:val="016794"/>
              </w:rPr>
              <w:t>ENEF</w:t>
            </w:r>
            <w:r>
              <w:t xml:space="preserve"> </w:t>
            </w:r>
          </w:p>
        </w:tc>
        <w:tc>
          <w:tcPr>
            <w:tcW w:w="8328" w:type="dxa"/>
          </w:tcPr>
          <w:p w:rsidR="0043277E" w:rsidRDefault="000F2348">
            <w:pPr>
              <w:pStyle w:val="DGTextstand-alone"/>
              <w:spacing w:before="0"/>
            </w:pPr>
            <w:r>
              <w:t>Fundusz rozwoju przedsiębiorczości</w:t>
            </w:r>
          </w:p>
        </w:tc>
      </w:tr>
      <w:tr w:rsidR="0043277E">
        <w:tc>
          <w:tcPr>
            <w:tcW w:w="1526" w:type="dxa"/>
          </w:tcPr>
          <w:p w:rsidR="0043277E" w:rsidRDefault="000F2348">
            <w:pPr>
              <w:pStyle w:val="DGTextstand-alone"/>
              <w:spacing w:before="0"/>
            </w:pPr>
            <w:r>
              <w:rPr>
                <w:color w:val="016794"/>
              </w:rPr>
              <w:t>ENIF</w:t>
            </w:r>
            <w:r>
              <w:t xml:space="preserve"> </w:t>
            </w:r>
          </w:p>
        </w:tc>
        <w:tc>
          <w:tcPr>
            <w:tcW w:w="8328" w:type="dxa"/>
          </w:tcPr>
          <w:p w:rsidR="0043277E" w:rsidRDefault="000F2348">
            <w:pPr>
              <w:pStyle w:val="DGTextstand-alone"/>
              <w:spacing w:before="0"/>
            </w:pPr>
            <w:r>
              <w:t>Fundusz wspierania innowacji w przedsiębiorstwach</w:t>
            </w:r>
          </w:p>
        </w:tc>
      </w:tr>
      <w:tr w:rsidR="0043277E">
        <w:tc>
          <w:tcPr>
            <w:tcW w:w="1526" w:type="dxa"/>
          </w:tcPr>
          <w:p w:rsidR="0043277E" w:rsidRDefault="000F2348">
            <w:pPr>
              <w:pStyle w:val="DGTextstand-alone"/>
              <w:spacing w:before="0"/>
            </w:pPr>
            <w:r>
              <w:rPr>
                <w:color w:val="016794"/>
              </w:rPr>
              <w:t>ENPI</w:t>
            </w:r>
            <w:r>
              <w:t xml:space="preserve"> </w:t>
            </w:r>
          </w:p>
        </w:tc>
        <w:tc>
          <w:tcPr>
            <w:tcW w:w="8328" w:type="dxa"/>
          </w:tcPr>
          <w:p w:rsidR="0043277E" w:rsidRDefault="000F2348">
            <w:pPr>
              <w:pStyle w:val="DGTextstand-alone"/>
              <w:spacing w:before="0"/>
            </w:pPr>
            <w:r>
              <w:t>Europejski Instrument Sąsiedztwa i Partnerstwa</w:t>
            </w:r>
          </w:p>
        </w:tc>
      </w:tr>
      <w:tr w:rsidR="0043277E">
        <w:tc>
          <w:tcPr>
            <w:tcW w:w="1526" w:type="dxa"/>
          </w:tcPr>
          <w:p w:rsidR="0043277E" w:rsidRDefault="000F2348">
            <w:pPr>
              <w:pStyle w:val="DGTextstand-alone"/>
              <w:spacing w:before="0"/>
            </w:pPr>
            <w:r>
              <w:rPr>
                <w:color w:val="016794"/>
              </w:rPr>
              <w:t>PE</w:t>
            </w:r>
            <w:r>
              <w:t xml:space="preserve"> </w:t>
            </w:r>
          </w:p>
        </w:tc>
        <w:tc>
          <w:tcPr>
            <w:tcW w:w="8328" w:type="dxa"/>
          </w:tcPr>
          <w:p w:rsidR="0043277E" w:rsidRDefault="000F2348">
            <w:pPr>
              <w:pStyle w:val="DGTextstand-alone"/>
              <w:spacing w:before="0"/>
            </w:pPr>
            <w:r>
              <w:t>Parlament Europejski</w:t>
            </w:r>
          </w:p>
        </w:tc>
      </w:tr>
      <w:tr w:rsidR="0043277E">
        <w:tc>
          <w:tcPr>
            <w:tcW w:w="1526" w:type="dxa"/>
          </w:tcPr>
          <w:p w:rsidR="0043277E" w:rsidRDefault="000F2348">
            <w:pPr>
              <w:pStyle w:val="DGTextstand-alone"/>
              <w:spacing w:before="0"/>
            </w:pPr>
            <w:r>
              <w:rPr>
                <w:color w:val="016794"/>
              </w:rPr>
              <w:t>EFRR</w:t>
            </w:r>
            <w:r>
              <w:t xml:space="preserve"> </w:t>
            </w:r>
          </w:p>
        </w:tc>
        <w:tc>
          <w:tcPr>
            <w:tcW w:w="8328" w:type="dxa"/>
          </w:tcPr>
          <w:p w:rsidR="0043277E" w:rsidRDefault="000F2348">
            <w:pPr>
              <w:pStyle w:val="DGTextstand-alone"/>
              <w:spacing w:before="0"/>
            </w:pPr>
            <w:r>
              <w:t xml:space="preserve">Europejski </w:t>
            </w:r>
            <w:r>
              <w:t>Fundusz Rozwoju Regionalnego</w:t>
            </w:r>
          </w:p>
        </w:tc>
      </w:tr>
      <w:tr w:rsidR="0043277E">
        <w:tc>
          <w:tcPr>
            <w:tcW w:w="1526" w:type="dxa"/>
          </w:tcPr>
          <w:p w:rsidR="0043277E" w:rsidRDefault="000F2348">
            <w:pPr>
              <w:pStyle w:val="DGTextstand-alone"/>
              <w:spacing w:before="0"/>
              <w:rPr>
                <w:color w:val="016794"/>
              </w:rPr>
            </w:pPr>
            <w:r>
              <w:rPr>
                <w:color w:val="016794"/>
              </w:rPr>
              <w:t>ERI</w:t>
            </w:r>
          </w:p>
          <w:p w:rsidR="0043277E" w:rsidRDefault="000F2348">
            <w:pPr>
              <w:pStyle w:val="DGTextstand-alone"/>
              <w:spacing w:before="0"/>
            </w:pPr>
            <w:r>
              <w:rPr>
                <w:color w:val="016794"/>
              </w:rPr>
              <w:t>ESA</w:t>
            </w:r>
            <w:r>
              <w:t xml:space="preserve"> </w:t>
            </w:r>
          </w:p>
        </w:tc>
        <w:tc>
          <w:tcPr>
            <w:tcW w:w="8328" w:type="dxa"/>
          </w:tcPr>
          <w:p w:rsidR="0043277E" w:rsidRDefault="000F2348">
            <w:pPr>
              <w:pStyle w:val="DGTextstand-alone"/>
              <w:spacing w:before="0"/>
            </w:pPr>
            <w:r>
              <w:t>Inicjatywa EBI na rzecz budowania odporności</w:t>
            </w:r>
          </w:p>
          <w:p w:rsidR="0043277E" w:rsidRDefault="000F2348">
            <w:pPr>
              <w:pStyle w:val="DGTextstand-alone"/>
              <w:spacing w:before="0"/>
            </w:pPr>
            <w:r>
              <w:t>Europejska Agencja Kosmiczna</w:t>
            </w:r>
          </w:p>
        </w:tc>
      </w:tr>
      <w:tr w:rsidR="0043277E">
        <w:tc>
          <w:tcPr>
            <w:tcW w:w="1526" w:type="dxa"/>
          </w:tcPr>
          <w:p w:rsidR="0043277E" w:rsidRDefault="000F2348">
            <w:pPr>
              <w:pStyle w:val="DGTextstand-alone"/>
              <w:spacing w:before="0"/>
            </w:pPr>
            <w:r>
              <w:rPr>
                <w:color w:val="016794"/>
              </w:rPr>
              <w:t>EFS</w:t>
            </w:r>
            <w:r>
              <w:t xml:space="preserve"> </w:t>
            </w:r>
          </w:p>
        </w:tc>
        <w:tc>
          <w:tcPr>
            <w:tcW w:w="8328" w:type="dxa"/>
          </w:tcPr>
          <w:p w:rsidR="0043277E" w:rsidRDefault="000F2348">
            <w:pPr>
              <w:pStyle w:val="DGTextstand-alone"/>
              <w:spacing w:before="0"/>
            </w:pPr>
            <w:r>
              <w:t>Europejski Fundusz Społeczny</w:t>
            </w:r>
          </w:p>
        </w:tc>
      </w:tr>
      <w:tr w:rsidR="0043277E">
        <w:tc>
          <w:tcPr>
            <w:tcW w:w="1526" w:type="dxa"/>
          </w:tcPr>
          <w:p w:rsidR="0043277E" w:rsidRDefault="000F2348">
            <w:pPr>
              <w:pStyle w:val="DGTextstand-alone"/>
              <w:spacing w:before="0"/>
            </w:pPr>
            <w:r>
              <w:rPr>
                <w:color w:val="016794"/>
              </w:rPr>
              <w:t>EFSI</w:t>
            </w:r>
            <w:r>
              <w:t xml:space="preserve"> </w:t>
            </w:r>
          </w:p>
        </w:tc>
        <w:tc>
          <w:tcPr>
            <w:tcW w:w="8328" w:type="dxa"/>
          </w:tcPr>
          <w:p w:rsidR="0043277E" w:rsidRDefault="000F2348">
            <w:pPr>
              <w:pStyle w:val="DGTextstand-alone"/>
              <w:spacing w:before="0"/>
            </w:pPr>
            <w:r>
              <w:t>Europejskie fundusze strukturalne i inwestycyjne</w:t>
            </w:r>
          </w:p>
        </w:tc>
      </w:tr>
      <w:tr w:rsidR="0043277E">
        <w:tc>
          <w:tcPr>
            <w:tcW w:w="1526" w:type="dxa"/>
          </w:tcPr>
          <w:p w:rsidR="0043277E" w:rsidRDefault="000F2348">
            <w:pPr>
              <w:pStyle w:val="DGTextstand-alone"/>
              <w:spacing w:before="0"/>
            </w:pPr>
            <w:r>
              <w:rPr>
                <w:color w:val="016794"/>
              </w:rPr>
              <w:t>EMS</w:t>
            </w:r>
            <w:r>
              <w:t xml:space="preserve"> </w:t>
            </w:r>
          </w:p>
        </w:tc>
        <w:tc>
          <w:tcPr>
            <w:tcW w:w="8328" w:type="dxa"/>
          </w:tcPr>
          <w:p w:rsidR="0043277E" w:rsidRDefault="000F2348">
            <w:pPr>
              <w:pStyle w:val="DGTextstand-alone"/>
              <w:spacing w:before="0"/>
            </w:pPr>
            <w:r>
              <w:t>Europejski Mechanizm Stabilności</w:t>
            </w:r>
          </w:p>
        </w:tc>
      </w:tr>
      <w:tr w:rsidR="0043277E">
        <w:tc>
          <w:tcPr>
            <w:tcW w:w="1526" w:type="dxa"/>
          </w:tcPr>
          <w:p w:rsidR="0043277E" w:rsidRDefault="000F2348">
            <w:pPr>
              <w:pStyle w:val="DGTextstand-alone"/>
              <w:spacing w:before="0"/>
            </w:pPr>
            <w:r>
              <w:rPr>
                <w:color w:val="016794"/>
              </w:rPr>
              <w:t>ETF</w:t>
            </w:r>
            <w:r>
              <w:t xml:space="preserve"> </w:t>
            </w:r>
          </w:p>
        </w:tc>
        <w:tc>
          <w:tcPr>
            <w:tcW w:w="8328" w:type="dxa"/>
          </w:tcPr>
          <w:p w:rsidR="0043277E" w:rsidRDefault="000F2348">
            <w:pPr>
              <w:pStyle w:val="DGTextstand-alone"/>
              <w:spacing w:before="0"/>
            </w:pPr>
            <w:r>
              <w:t>Mechani</w:t>
            </w:r>
            <w:r>
              <w:t>zm finansowania początkowego Europejskiego Systemu Technologii z 1998 r.</w:t>
            </w:r>
          </w:p>
        </w:tc>
      </w:tr>
      <w:tr w:rsidR="0043277E">
        <w:tc>
          <w:tcPr>
            <w:tcW w:w="1526" w:type="dxa"/>
          </w:tcPr>
          <w:p w:rsidR="0043277E" w:rsidRDefault="000F2348">
            <w:pPr>
              <w:pStyle w:val="DGTextstand-alone"/>
              <w:spacing w:before="0"/>
            </w:pPr>
            <w:r>
              <w:rPr>
                <w:color w:val="016794"/>
              </w:rPr>
              <w:t>UE</w:t>
            </w:r>
            <w:r>
              <w:t xml:space="preserve"> </w:t>
            </w:r>
          </w:p>
        </w:tc>
        <w:tc>
          <w:tcPr>
            <w:tcW w:w="8328" w:type="dxa"/>
          </w:tcPr>
          <w:p w:rsidR="0043277E" w:rsidRDefault="000F2348">
            <w:pPr>
              <w:pStyle w:val="DGTextstand-alone"/>
              <w:spacing w:before="0"/>
            </w:pPr>
            <w:r>
              <w:t>Unia Europejska</w:t>
            </w:r>
          </w:p>
        </w:tc>
      </w:tr>
      <w:tr w:rsidR="0043277E">
        <w:tc>
          <w:tcPr>
            <w:tcW w:w="1526" w:type="dxa"/>
          </w:tcPr>
          <w:p w:rsidR="0043277E" w:rsidRDefault="000F2348">
            <w:pPr>
              <w:pStyle w:val="DGTextstand-alone"/>
              <w:spacing w:before="0"/>
            </w:pPr>
            <w:r>
              <w:rPr>
                <w:color w:val="016794"/>
              </w:rPr>
              <w:t>EUMETSAT</w:t>
            </w:r>
            <w:r>
              <w:t xml:space="preserve"> </w:t>
            </w:r>
          </w:p>
        </w:tc>
        <w:tc>
          <w:tcPr>
            <w:tcW w:w="8328" w:type="dxa"/>
          </w:tcPr>
          <w:p w:rsidR="0043277E" w:rsidRDefault="000F2348">
            <w:pPr>
              <w:pStyle w:val="DGTextstand-alone"/>
              <w:spacing w:before="0"/>
              <w:rPr>
                <w:highlight w:val="yellow"/>
              </w:rPr>
            </w:pPr>
            <w:r>
              <w:t>Europejska Organizacja Eksploatacji Satelitów Meteorologicznych</w:t>
            </w:r>
          </w:p>
        </w:tc>
      </w:tr>
      <w:tr w:rsidR="0043277E">
        <w:tc>
          <w:tcPr>
            <w:tcW w:w="1526" w:type="dxa"/>
          </w:tcPr>
          <w:p w:rsidR="0043277E" w:rsidRDefault="000F2348">
            <w:pPr>
              <w:pStyle w:val="DGTextstand-alone"/>
              <w:spacing w:before="0"/>
            </w:pPr>
            <w:r>
              <w:rPr>
                <w:color w:val="016794"/>
              </w:rPr>
              <w:t>Euratom</w:t>
            </w:r>
          </w:p>
        </w:tc>
        <w:tc>
          <w:tcPr>
            <w:tcW w:w="8328" w:type="dxa"/>
          </w:tcPr>
          <w:p w:rsidR="0043277E" w:rsidRDefault="000F2348">
            <w:pPr>
              <w:pStyle w:val="DGTextstand-alone"/>
              <w:spacing w:before="0"/>
            </w:pPr>
            <w:r>
              <w:t>Europejska Wspólnota Energii Atomowej</w:t>
            </w:r>
          </w:p>
        </w:tc>
      </w:tr>
      <w:tr w:rsidR="0043277E">
        <w:tc>
          <w:tcPr>
            <w:tcW w:w="1526" w:type="dxa"/>
          </w:tcPr>
          <w:p w:rsidR="0043277E" w:rsidRDefault="000F2348">
            <w:pPr>
              <w:pStyle w:val="DGTextstand-alone"/>
              <w:spacing w:before="0"/>
              <w:rPr>
                <w:rStyle w:val="st1"/>
                <w:rFonts w:cs="Arial"/>
              </w:rPr>
            </w:pPr>
            <w:r>
              <w:rPr>
                <w:color w:val="016794"/>
              </w:rPr>
              <w:t>FIFO</w:t>
            </w:r>
          </w:p>
        </w:tc>
        <w:tc>
          <w:tcPr>
            <w:tcW w:w="8328" w:type="dxa"/>
          </w:tcPr>
          <w:p w:rsidR="0043277E" w:rsidRDefault="000F2348">
            <w:pPr>
              <w:pStyle w:val="DGTextstand-alone"/>
              <w:spacing w:before="0"/>
              <w:rPr>
                <w:rStyle w:val="st1"/>
                <w:rFonts w:cs="Arial"/>
              </w:rPr>
            </w:pPr>
            <w:r>
              <w:rPr>
                <w:rStyle w:val="st1"/>
              </w:rPr>
              <w:t>Pierwsze weszło, pierwsze wyszło</w:t>
            </w:r>
          </w:p>
        </w:tc>
      </w:tr>
      <w:tr w:rsidR="0043277E">
        <w:tc>
          <w:tcPr>
            <w:tcW w:w="1526" w:type="dxa"/>
          </w:tcPr>
          <w:p w:rsidR="0043277E" w:rsidRDefault="000F2348">
            <w:pPr>
              <w:pStyle w:val="DGTextstand-alone"/>
              <w:spacing w:before="0"/>
            </w:pPr>
            <w:r>
              <w:rPr>
                <w:color w:val="016794"/>
              </w:rPr>
              <w:lastRenderedPageBreak/>
              <w:t>FP7</w:t>
            </w:r>
            <w:r>
              <w:t xml:space="preserve"> </w:t>
            </w:r>
          </w:p>
        </w:tc>
        <w:tc>
          <w:tcPr>
            <w:tcW w:w="8328" w:type="dxa"/>
          </w:tcPr>
          <w:p w:rsidR="0043277E" w:rsidRDefault="000F2348">
            <w:pPr>
              <w:pStyle w:val="DGTextstand-alone"/>
              <w:spacing w:before="0"/>
            </w:pPr>
            <w:r>
              <w:t>Siódmy program ramowy w zakresie badań i rozwoju technologicznego</w:t>
            </w:r>
          </w:p>
        </w:tc>
      </w:tr>
      <w:tr w:rsidR="0043277E">
        <w:tc>
          <w:tcPr>
            <w:tcW w:w="1526" w:type="dxa"/>
          </w:tcPr>
          <w:p w:rsidR="0043277E" w:rsidRDefault="000F2348">
            <w:pPr>
              <w:pStyle w:val="DGTextstand-alone"/>
              <w:spacing w:before="0"/>
            </w:pPr>
            <w:r>
              <w:rPr>
                <w:color w:val="016794"/>
              </w:rPr>
              <w:t>RF</w:t>
            </w:r>
            <w:r>
              <w:t xml:space="preserve"> </w:t>
            </w:r>
          </w:p>
        </w:tc>
        <w:tc>
          <w:tcPr>
            <w:tcW w:w="8328" w:type="dxa"/>
          </w:tcPr>
          <w:p w:rsidR="0043277E" w:rsidRDefault="000F2348">
            <w:pPr>
              <w:pStyle w:val="DGTextstand-alone"/>
              <w:spacing w:before="0"/>
            </w:pPr>
            <w:r>
              <w:t>Rozporządzenie finansowe UE</w:t>
            </w:r>
          </w:p>
        </w:tc>
      </w:tr>
      <w:tr w:rsidR="0043277E">
        <w:tc>
          <w:tcPr>
            <w:tcW w:w="1526" w:type="dxa"/>
          </w:tcPr>
          <w:p w:rsidR="0043277E" w:rsidRDefault="000F2348">
            <w:pPr>
              <w:pStyle w:val="DGTextstand-alone"/>
              <w:spacing w:before="0"/>
            </w:pPr>
            <w:r>
              <w:rPr>
                <w:color w:val="016794"/>
              </w:rPr>
              <w:t>FSDA</w:t>
            </w:r>
            <w:r>
              <w:t xml:space="preserve"> </w:t>
            </w:r>
            <w:r>
              <w:tab/>
            </w:r>
          </w:p>
        </w:tc>
        <w:tc>
          <w:tcPr>
            <w:tcW w:w="8328" w:type="dxa"/>
          </w:tcPr>
          <w:p w:rsidR="0043277E" w:rsidRDefault="000F2348">
            <w:pPr>
              <w:pStyle w:val="DGTextstand-alone"/>
              <w:spacing w:before="0"/>
            </w:pPr>
            <w:r>
              <w:t>Omówienie i analiza sprawozdania finansowego</w:t>
            </w:r>
          </w:p>
        </w:tc>
      </w:tr>
      <w:tr w:rsidR="0043277E">
        <w:tc>
          <w:tcPr>
            <w:tcW w:w="1526" w:type="dxa"/>
          </w:tcPr>
          <w:p w:rsidR="0043277E" w:rsidRDefault="000F2348">
            <w:pPr>
              <w:pStyle w:val="DGTextstand-alone"/>
              <w:spacing w:before="0"/>
              <w:rPr>
                <w:b/>
              </w:rPr>
            </w:pPr>
            <w:r>
              <w:rPr>
                <w:color w:val="016794"/>
              </w:rPr>
              <w:t>PKB</w:t>
            </w:r>
          </w:p>
        </w:tc>
        <w:tc>
          <w:tcPr>
            <w:tcW w:w="8328" w:type="dxa"/>
          </w:tcPr>
          <w:p w:rsidR="0043277E" w:rsidRDefault="000F2348">
            <w:pPr>
              <w:pStyle w:val="DGTextstand-alone"/>
              <w:spacing w:before="0"/>
            </w:pPr>
            <w:r>
              <w:t>produkt krajowy brutto</w:t>
            </w:r>
          </w:p>
        </w:tc>
      </w:tr>
      <w:tr w:rsidR="0043277E">
        <w:tc>
          <w:tcPr>
            <w:tcW w:w="1526" w:type="dxa"/>
          </w:tcPr>
          <w:p w:rsidR="0043277E" w:rsidRDefault="000F2348">
            <w:pPr>
              <w:pStyle w:val="DGTextstand-alone"/>
              <w:spacing w:before="0"/>
            </w:pPr>
            <w:r>
              <w:rPr>
                <w:color w:val="016794"/>
              </w:rPr>
              <w:t>DNB</w:t>
            </w:r>
            <w:r>
              <w:t xml:space="preserve"> </w:t>
            </w:r>
          </w:p>
        </w:tc>
        <w:tc>
          <w:tcPr>
            <w:tcW w:w="8328" w:type="dxa"/>
          </w:tcPr>
          <w:p w:rsidR="0043277E" w:rsidRDefault="000F2348">
            <w:pPr>
              <w:pStyle w:val="DGTextstand-alone"/>
              <w:spacing w:before="0"/>
            </w:pPr>
            <w:r>
              <w:t>Dochód narodowy brutto</w:t>
            </w:r>
          </w:p>
        </w:tc>
      </w:tr>
      <w:tr w:rsidR="0043277E">
        <w:tc>
          <w:tcPr>
            <w:tcW w:w="1526" w:type="dxa"/>
          </w:tcPr>
          <w:p w:rsidR="0043277E" w:rsidRDefault="000F2348">
            <w:pPr>
              <w:pStyle w:val="DGTextstand-alone"/>
              <w:spacing w:before="0"/>
            </w:pPr>
            <w:r>
              <w:rPr>
                <w:color w:val="016794"/>
              </w:rPr>
              <w:t>GNSS</w:t>
            </w:r>
            <w:r>
              <w:t xml:space="preserve"> </w:t>
            </w:r>
          </w:p>
        </w:tc>
        <w:tc>
          <w:tcPr>
            <w:tcW w:w="8328" w:type="dxa"/>
          </w:tcPr>
          <w:p w:rsidR="0043277E" w:rsidRDefault="000F2348">
            <w:pPr>
              <w:pStyle w:val="DGTextstand-alone"/>
              <w:spacing w:before="0"/>
            </w:pPr>
            <w:r>
              <w:t xml:space="preserve">Globalny system nawigacji </w:t>
            </w:r>
            <w:r>
              <w:t>satelitarnej</w:t>
            </w:r>
          </w:p>
        </w:tc>
      </w:tr>
      <w:tr w:rsidR="0043277E">
        <w:tc>
          <w:tcPr>
            <w:tcW w:w="1526" w:type="dxa"/>
          </w:tcPr>
          <w:p w:rsidR="0043277E" w:rsidRDefault="000F2348">
            <w:pPr>
              <w:pStyle w:val="DGTextstand-alone"/>
              <w:spacing w:before="0"/>
            </w:pPr>
            <w:r>
              <w:rPr>
                <w:color w:val="016794"/>
              </w:rPr>
              <w:t>H2020</w:t>
            </w:r>
            <w:r>
              <w:t xml:space="preserve"> </w:t>
            </w:r>
          </w:p>
        </w:tc>
        <w:tc>
          <w:tcPr>
            <w:tcW w:w="8328" w:type="dxa"/>
          </w:tcPr>
          <w:p w:rsidR="0043277E" w:rsidRDefault="000F2348">
            <w:pPr>
              <w:pStyle w:val="DGTextstand-alone"/>
              <w:spacing w:before="0"/>
            </w:pPr>
            <w:r>
              <w:t>„Horyzont 2020”</w:t>
            </w:r>
          </w:p>
        </w:tc>
      </w:tr>
      <w:tr w:rsidR="0043277E">
        <w:tc>
          <w:tcPr>
            <w:tcW w:w="1526" w:type="dxa"/>
          </w:tcPr>
          <w:p w:rsidR="0043277E" w:rsidRDefault="000F2348">
            <w:pPr>
              <w:pStyle w:val="DGTextstand-alone"/>
              <w:spacing w:before="0"/>
            </w:pPr>
            <w:r>
              <w:rPr>
                <w:color w:val="016794"/>
              </w:rPr>
              <w:t>IIW</w:t>
            </w:r>
            <w:r>
              <w:t xml:space="preserve"> </w:t>
            </w:r>
          </w:p>
        </w:tc>
        <w:tc>
          <w:tcPr>
            <w:tcW w:w="8328" w:type="dxa"/>
          </w:tcPr>
          <w:p w:rsidR="0043277E" w:rsidRDefault="000F2348">
            <w:pPr>
              <w:pStyle w:val="DGTextstand-alone"/>
              <w:spacing w:before="0"/>
            </w:pPr>
            <w:r>
              <w:t>Obszar infrastruktury i innowacji</w:t>
            </w:r>
          </w:p>
        </w:tc>
      </w:tr>
      <w:tr w:rsidR="0043277E">
        <w:tc>
          <w:tcPr>
            <w:tcW w:w="1526" w:type="dxa"/>
          </w:tcPr>
          <w:p w:rsidR="0043277E" w:rsidRDefault="000F2348">
            <w:pPr>
              <w:pStyle w:val="DGTextstand-alone"/>
              <w:spacing w:before="0"/>
            </w:pPr>
            <w:r>
              <w:rPr>
                <w:color w:val="016794"/>
              </w:rPr>
              <w:t>MFW</w:t>
            </w:r>
            <w:r>
              <w:t xml:space="preserve"> </w:t>
            </w:r>
          </w:p>
        </w:tc>
        <w:tc>
          <w:tcPr>
            <w:tcW w:w="8328" w:type="dxa"/>
          </w:tcPr>
          <w:p w:rsidR="0043277E" w:rsidRDefault="000F2348">
            <w:pPr>
              <w:pStyle w:val="DGTextstand-alone"/>
              <w:spacing w:before="0"/>
            </w:pPr>
            <w:r>
              <w:t>Międzynarodowy Fundusz Walutowy</w:t>
            </w:r>
          </w:p>
        </w:tc>
      </w:tr>
      <w:tr w:rsidR="0043277E">
        <w:tc>
          <w:tcPr>
            <w:tcW w:w="1526" w:type="dxa"/>
          </w:tcPr>
          <w:p w:rsidR="0043277E" w:rsidRDefault="000F2348">
            <w:pPr>
              <w:pStyle w:val="DGTextstand-alone"/>
              <w:spacing w:before="0"/>
              <w:rPr>
                <w:color w:val="016794"/>
              </w:rPr>
            </w:pPr>
            <w:r>
              <w:rPr>
                <w:color w:val="016794"/>
              </w:rPr>
              <w:t>MSRSP</w:t>
            </w:r>
          </w:p>
        </w:tc>
        <w:tc>
          <w:tcPr>
            <w:tcW w:w="8328" w:type="dxa"/>
          </w:tcPr>
          <w:p w:rsidR="0043277E" w:rsidRDefault="000F2348">
            <w:pPr>
              <w:pStyle w:val="DGTextstand-alone"/>
              <w:spacing w:before="0"/>
            </w:pPr>
            <w:r>
              <w:t>Międzynarodowe Standardy Rachunkowości Sektora Publicznego</w:t>
            </w:r>
          </w:p>
        </w:tc>
      </w:tr>
      <w:tr w:rsidR="0043277E">
        <w:tc>
          <w:tcPr>
            <w:tcW w:w="1526" w:type="dxa"/>
          </w:tcPr>
          <w:p w:rsidR="0043277E" w:rsidRDefault="000F2348">
            <w:pPr>
              <w:pStyle w:val="DGTextstand-alone"/>
              <w:spacing w:before="0"/>
              <w:rPr>
                <w:rFonts w:cs="Calibri"/>
              </w:rPr>
            </w:pPr>
            <w:r>
              <w:rPr>
                <w:color w:val="016794"/>
              </w:rPr>
              <w:t>IT</w:t>
            </w:r>
            <w:r>
              <w:t xml:space="preserve"> </w:t>
            </w:r>
          </w:p>
        </w:tc>
        <w:tc>
          <w:tcPr>
            <w:tcW w:w="8328" w:type="dxa"/>
          </w:tcPr>
          <w:p w:rsidR="0043277E" w:rsidRDefault="000F2348">
            <w:pPr>
              <w:pStyle w:val="DGTextstand-alone"/>
              <w:spacing w:before="0"/>
              <w:rPr>
                <w:rFonts w:cs="Calibri"/>
              </w:rPr>
            </w:pPr>
            <w:r>
              <w:t>Technologia informacyjna</w:t>
            </w:r>
          </w:p>
        </w:tc>
      </w:tr>
      <w:tr w:rsidR="0043277E">
        <w:tc>
          <w:tcPr>
            <w:tcW w:w="1526" w:type="dxa"/>
          </w:tcPr>
          <w:p w:rsidR="0043277E" w:rsidRDefault="000F2348">
            <w:pPr>
              <w:pStyle w:val="DGTextstand-alone"/>
              <w:spacing w:before="0"/>
            </w:pPr>
            <w:r>
              <w:rPr>
                <w:color w:val="016794"/>
              </w:rPr>
              <w:t>ITER</w:t>
            </w:r>
            <w:r>
              <w:t xml:space="preserve"> </w:t>
            </w:r>
          </w:p>
        </w:tc>
        <w:tc>
          <w:tcPr>
            <w:tcW w:w="8328" w:type="dxa"/>
          </w:tcPr>
          <w:p w:rsidR="0043277E" w:rsidRDefault="000F2348">
            <w:pPr>
              <w:pStyle w:val="DGTextstand-alone"/>
              <w:spacing w:before="0"/>
            </w:pPr>
            <w:r>
              <w:t>Międzynarodowy eksperymentalny reaktor</w:t>
            </w:r>
            <w:r>
              <w:t xml:space="preserve"> termojądrowy</w:t>
            </w:r>
          </w:p>
        </w:tc>
      </w:tr>
      <w:tr w:rsidR="0043277E">
        <w:tc>
          <w:tcPr>
            <w:tcW w:w="1526" w:type="dxa"/>
          </w:tcPr>
          <w:p w:rsidR="0043277E" w:rsidRDefault="000F2348">
            <w:pPr>
              <w:pStyle w:val="DGTextstand-alone"/>
              <w:spacing w:before="0"/>
            </w:pPr>
            <w:r>
              <w:rPr>
                <w:color w:val="016794"/>
              </w:rPr>
              <w:t>JRC</w:t>
            </w:r>
            <w:r>
              <w:t xml:space="preserve"> </w:t>
            </w:r>
          </w:p>
        </w:tc>
        <w:tc>
          <w:tcPr>
            <w:tcW w:w="8328" w:type="dxa"/>
          </w:tcPr>
          <w:p w:rsidR="0043277E" w:rsidRDefault="000F2348">
            <w:pPr>
              <w:pStyle w:val="DGTextstand-alone"/>
              <w:spacing w:before="0"/>
            </w:pPr>
            <w:r>
              <w:t>Wspólne Centrum Badawcze</w:t>
            </w:r>
          </w:p>
        </w:tc>
      </w:tr>
      <w:tr w:rsidR="0043277E">
        <w:tc>
          <w:tcPr>
            <w:tcW w:w="1526" w:type="dxa"/>
          </w:tcPr>
          <w:p w:rsidR="0043277E" w:rsidRDefault="000F2348">
            <w:pPr>
              <w:pStyle w:val="DGTextstand-alone"/>
              <w:spacing w:before="0"/>
              <w:rPr>
                <w:rFonts w:cs="Calibri"/>
              </w:rPr>
            </w:pPr>
            <w:r>
              <w:rPr>
                <w:color w:val="016794"/>
              </w:rPr>
              <w:t>JU</w:t>
            </w:r>
            <w:r>
              <w:t xml:space="preserve"> </w:t>
            </w:r>
          </w:p>
        </w:tc>
        <w:tc>
          <w:tcPr>
            <w:tcW w:w="8328" w:type="dxa"/>
          </w:tcPr>
          <w:p w:rsidR="0043277E" w:rsidRDefault="000F2348">
            <w:pPr>
              <w:pStyle w:val="DGTextstand-alone"/>
              <w:spacing w:before="0"/>
              <w:rPr>
                <w:rFonts w:cs="Calibri"/>
              </w:rPr>
            </w:pPr>
            <w:r>
              <w:t>Wspólne przedsiębiorstwo/przedsięwzięcie</w:t>
            </w:r>
          </w:p>
        </w:tc>
      </w:tr>
      <w:tr w:rsidR="0043277E">
        <w:tc>
          <w:tcPr>
            <w:tcW w:w="1526" w:type="dxa"/>
          </w:tcPr>
          <w:p w:rsidR="0043277E" w:rsidRDefault="000F2348">
            <w:pPr>
              <w:pStyle w:val="DGTextstand-alone"/>
              <w:spacing w:before="0"/>
            </w:pPr>
            <w:r>
              <w:rPr>
                <w:color w:val="016794"/>
              </w:rPr>
              <w:t>LGTT</w:t>
            </w:r>
            <w:r>
              <w:t xml:space="preserve"> </w:t>
            </w:r>
          </w:p>
        </w:tc>
        <w:tc>
          <w:tcPr>
            <w:tcW w:w="8328" w:type="dxa"/>
          </w:tcPr>
          <w:p w:rsidR="0043277E" w:rsidRDefault="000F2348">
            <w:pPr>
              <w:pStyle w:val="DGTextstand-alone"/>
              <w:spacing w:before="0"/>
            </w:pPr>
            <w:r>
              <w:t>Instrument gwarancji kredytowych dla projektów TEN-T</w:t>
            </w:r>
          </w:p>
        </w:tc>
      </w:tr>
      <w:tr w:rsidR="0043277E">
        <w:tc>
          <w:tcPr>
            <w:tcW w:w="1526" w:type="dxa"/>
          </w:tcPr>
          <w:p w:rsidR="0043277E" w:rsidRDefault="000F2348">
            <w:pPr>
              <w:pStyle w:val="DGTextstand-alone"/>
              <w:spacing w:before="0"/>
            </w:pPr>
            <w:r>
              <w:rPr>
                <w:color w:val="016794"/>
              </w:rPr>
              <w:t>MAP</w:t>
            </w:r>
            <w:r>
              <w:t xml:space="preserve"> </w:t>
            </w:r>
          </w:p>
        </w:tc>
        <w:tc>
          <w:tcPr>
            <w:tcW w:w="8328" w:type="dxa"/>
          </w:tcPr>
          <w:p w:rsidR="0043277E" w:rsidRDefault="000F2348">
            <w:pPr>
              <w:pStyle w:val="DGTextstand-alone"/>
              <w:spacing w:before="0"/>
            </w:pPr>
            <w:r>
              <w:t>Program wieloletni – Program włączenia finansowego skierowany do średnich przedsiębiorstw</w:t>
            </w:r>
          </w:p>
        </w:tc>
      </w:tr>
      <w:tr w:rsidR="0043277E">
        <w:tc>
          <w:tcPr>
            <w:tcW w:w="1526" w:type="dxa"/>
          </w:tcPr>
          <w:p w:rsidR="0043277E" w:rsidRDefault="000F2348">
            <w:pPr>
              <w:pStyle w:val="DGTextstand-alone"/>
              <w:spacing w:before="0"/>
            </w:pPr>
            <w:r>
              <w:rPr>
                <w:color w:val="016794"/>
              </w:rPr>
              <w:t>MEP</w:t>
            </w:r>
            <w:r>
              <w:t xml:space="preserve"> </w:t>
            </w:r>
          </w:p>
        </w:tc>
        <w:tc>
          <w:tcPr>
            <w:tcW w:w="8328" w:type="dxa"/>
          </w:tcPr>
          <w:p w:rsidR="0043277E" w:rsidRDefault="000F2348">
            <w:pPr>
              <w:pStyle w:val="DGTextstand-alone"/>
              <w:spacing w:before="0"/>
            </w:pPr>
            <w:r>
              <w:t>Poseł do Parlamentu Europejskiego</w:t>
            </w:r>
          </w:p>
        </w:tc>
      </w:tr>
      <w:tr w:rsidR="0043277E">
        <w:tc>
          <w:tcPr>
            <w:tcW w:w="1526" w:type="dxa"/>
          </w:tcPr>
          <w:p w:rsidR="0043277E" w:rsidRDefault="000F2348">
            <w:pPr>
              <w:pStyle w:val="DGTextstand-alone"/>
              <w:spacing w:before="0"/>
              <w:rPr>
                <w:iCs/>
              </w:rPr>
            </w:pPr>
            <w:r>
              <w:rPr>
                <w:color w:val="016794"/>
              </w:rPr>
              <w:t>MFA</w:t>
            </w:r>
            <w:r>
              <w:t xml:space="preserve"> </w:t>
            </w:r>
          </w:p>
        </w:tc>
        <w:tc>
          <w:tcPr>
            <w:tcW w:w="8328" w:type="dxa"/>
          </w:tcPr>
          <w:p w:rsidR="0043277E" w:rsidRDefault="000F2348">
            <w:pPr>
              <w:pStyle w:val="DGTextstand-alone"/>
              <w:spacing w:before="0"/>
              <w:rPr>
                <w:iCs/>
              </w:rPr>
            </w:pPr>
            <w:r>
              <w:t>Pomoc makrofinansowa</w:t>
            </w:r>
          </w:p>
        </w:tc>
      </w:tr>
      <w:tr w:rsidR="0043277E">
        <w:tc>
          <w:tcPr>
            <w:tcW w:w="1526" w:type="dxa"/>
          </w:tcPr>
          <w:p w:rsidR="0043277E" w:rsidRDefault="000F2348">
            <w:pPr>
              <w:pStyle w:val="DGTextstand-alone"/>
              <w:spacing w:before="0"/>
            </w:pPr>
            <w:r>
              <w:rPr>
                <w:color w:val="016794"/>
              </w:rPr>
              <w:t>WRF</w:t>
            </w:r>
            <w:r>
              <w:t xml:space="preserve"> </w:t>
            </w:r>
          </w:p>
        </w:tc>
        <w:tc>
          <w:tcPr>
            <w:tcW w:w="8328" w:type="dxa"/>
          </w:tcPr>
          <w:p w:rsidR="0043277E" w:rsidRDefault="000F2348">
            <w:pPr>
              <w:pStyle w:val="DGTextstand-alone"/>
              <w:spacing w:before="0"/>
            </w:pPr>
            <w:r>
              <w:t>Wieloletnie ramy finansowe</w:t>
            </w:r>
          </w:p>
        </w:tc>
      </w:tr>
      <w:tr w:rsidR="0043277E">
        <w:tc>
          <w:tcPr>
            <w:tcW w:w="1526" w:type="dxa"/>
          </w:tcPr>
          <w:p w:rsidR="0043277E" w:rsidRDefault="000F2348">
            <w:pPr>
              <w:pStyle w:val="DGTextstand-alone"/>
              <w:spacing w:before="0"/>
              <w:rPr>
                <w:rFonts w:cs="DejaVuSansCondensed-Bold"/>
                <w:bCs/>
              </w:rPr>
            </w:pPr>
            <w:r>
              <w:rPr>
                <w:color w:val="016794"/>
              </w:rPr>
              <w:t>MMŚP</w:t>
            </w:r>
          </w:p>
        </w:tc>
        <w:tc>
          <w:tcPr>
            <w:tcW w:w="8328" w:type="dxa"/>
          </w:tcPr>
          <w:p w:rsidR="0043277E" w:rsidRDefault="000F2348">
            <w:pPr>
              <w:pStyle w:val="DGTextstand-alone"/>
              <w:spacing w:before="0"/>
              <w:rPr>
                <w:rFonts w:cs="DejaVuSansCondensed-Bold"/>
                <w:bCs/>
              </w:rPr>
            </w:pPr>
            <w:r>
              <w:t>Mikro- małe i średnie przedsiębiorstwa</w:t>
            </w:r>
          </w:p>
        </w:tc>
      </w:tr>
      <w:tr w:rsidR="0043277E">
        <w:tc>
          <w:tcPr>
            <w:tcW w:w="1526" w:type="dxa"/>
          </w:tcPr>
          <w:p w:rsidR="0043277E" w:rsidRDefault="000F2348">
            <w:pPr>
              <w:pStyle w:val="DGTextstand-alone"/>
              <w:spacing w:before="0"/>
            </w:pPr>
            <w:r>
              <w:rPr>
                <w:color w:val="016794"/>
              </w:rPr>
              <w:t>DZW</w:t>
            </w:r>
            <w:r>
              <w:t xml:space="preserve"> </w:t>
            </w:r>
          </w:p>
        </w:tc>
        <w:tc>
          <w:tcPr>
            <w:tcW w:w="8328" w:type="dxa"/>
          </w:tcPr>
          <w:p w:rsidR="0043277E" w:rsidRDefault="000F2348">
            <w:pPr>
              <w:pStyle w:val="DGTextstand-alone"/>
              <w:spacing w:before="0"/>
            </w:pPr>
            <w:r>
              <w:t>Decyzja w sprawie systemu zasobów własnych</w:t>
            </w:r>
          </w:p>
        </w:tc>
      </w:tr>
      <w:tr w:rsidR="0043277E">
        <w:tc>
          <w:tcPr>
            <w:tcW w:w="1526" w:type="dxa"/>
          </w:tcPr>
          <w:p w:rsidR="0043277E" w:rsidRDefault="000F2348">
            <w:pPr>
              <w:pStyle w:val="DGTextstand-alone"/>
              <w:spacing w:before="0"/>
            </w:pPr>
            <w:r>
              <w:rPr>
                <w:color w:val="016794"/>
              </w:rPr>
              <w:t>PBI</w:t>
            </w:r>
            <w:r>
              <w:t xml:space="preserve"> </w:t>
            </w:r>
          </w:p>
        </w:tc>
        <w:tc>
          <w:tcPr>
            <w:tcW w:w="8328" w:type="dxa"/>
          </w:tcPr>
          <w:p w:rsidR="0043277E" w:rsidRDefault="000F2348">
            <w:pPr>
              <w:pStyle w:val="DGTextstand-alone"/>
              <w:spacing w:before="0"/>
            </w:pPr>
            <w:r>
              <w:t>Inicjatywa w zakresie obligacji projektowych</w:t>
            </w:r>
          </w:p>
        </w:tc>
      </w:tr>
      <w:tr w:rsidR="0043277E">
        <w:tc>
          <w:tcPr>
            <w:tcW w:w="1526" w:type="dxa"/>
          </w:tcPr>
          <w:p w:rsidR="0043277E" w:rsidRDefault="000F2348">
            <w:pPr>
              <w:pStyle w:val="DGTextstand-alone"/>
              <w:spacing w:before="0"/>
            </w:pPr>
            <w:r>
              <w:rPr>
                <w:color w:val="016794"/>
              </w:rPr>
              <w:t>PF4EE</w:t>
            </w:r>
            <w:r>
              <w:t xml:space="preserve"> </w:t>
            </w:r>
          </w:p>
        </w:tc>
        <w:tc>
          <w:tcPr>
            <w:tcW w:w="8328" w:type="dxa"/>
          </w:tcPr>
          <w:p w:rsidR="0043277E" w:rsidRDefault="000F2348">
            <w:pPr>
              <w:pStyle w:val="DGTextstand-alone"/>
              <w:spacing w:before="0"/>
            </w:pPr>
            <w:r>
              <w:t>Instrument finansowania prywatnego na rzecz efektywności energetycznej</w:t>
            </w:r>
          </w:p>
        </w:tc>
      </w:tr>
      <w:tr w:rsidR="0043277E">
        <w:tc>
          <w:tcPr>
            <w:tcW w:w="1526" w:type="dxa"/>
          </w:tcPr>
          <w:p w:rsidR="0043277E" w:rsidRDefault="000F2348">
            <w:pPr>
              <w:pStyle w:val="DGTextstand-alone"/>
              <w:spacing w:before="0"/>
            </w:pPr>
            <w:r>
              <w:rPr>
                <w:color w:val="016794"/>
              </w:rPr>
              <w:t>PGF</w:t>
            </w:r>
            <w:r>
              <w:t xml:space="preserve"> </w:t>
            </w:r>
          </w:p>
        </w:tc>
        <w:tc>
          <w:tcPr>
            <w:tcW w:w="8328" w:type="dxa"/>
          </w:tcPr>
          <w:p w:rsidR="0043277E" w:rsidRDefault="000F2348">
            <w:pPr>
              <w:pStyle w:val="DGTextstand-alone"/>
              <w:spacing w:before="0"/>
            </w:pPr>
            <w:r>
              <w:t>Fundusz gwarancyjny dla uczestników</w:t>
            </w:r>
          </w:p>
        </w:tc>
      </w:tr>
      <w:tr w:rsidR="0043277E">
        <w:tc>
          <w:tcPr>
            <w:tcW w:w="1526" w:type="dxa"/>
          </w:tcPr>
          <w:p w:rsidR="0043277E" w:rsidRDefault="000F2348">
            <w:pPr>
              <w:pStyle w:val="DGTextstand-alone"/>
              <w:spacing w:before="0"/>
            </w:pPr>
            <w:r>
              <w:rPr>
                <w:color w:val="016794"/>
              </w:rPr>
              <w:t>PPP</w:t>
            </w:r>
            <w:r>
              <w:t xml:space="preserve"> </w:t>
            </w:r>
          </w:p>
        </w:tc>
        <w:tc>
          <w:tcPr>
            <w:tcW w:w="8328" w:type="dxa"/>
          </w:tcPr>
          <w:p w:rsidR="0043277E" w:rsidRDefault="000F2348">
            <w:pPr>
              <w:pStyle w:val="DGTextstand-alone"/>
              <w:spacing w:before="0"/>
            </w:pPr>
            <w:r>
              <w:t>Partnerstwo publiczno-prywatne</w:t>
            </w:r>
          </w:p>
        </w:tc>
      </w:tr>
      <w:tr w:rsidR="0043277E">
        <w:tc>
          <w:tcPr>
            <w:tcW w:w="1526" w:type="dxa"/>
          </w:tcPr>
          <w:p w:rsidR="0043277E" w:rsidRDefault="000F2348">
            <w:pPr>
              <w:pStyle w:val="DGTextstand-alone"/>
              <w:spacing w:before="0"/>
            </w:pPr>
            <w:r>
              <w:rPr>
                <w:color w:val="016794"/>
              </w:rPr>
              <w:t>PSEO</w:t>
            </w:r>
            <w:r>
              <w:t xml:space="preserve"> </w:t>
            </w:r>
          </w:p>
        </w:tc>
        <w:tc>
          <w:tcPr>
            <w:tcW w:w="8328" w:type="dxa"/>
          </w:tcPr>
          <w:p w:rsidR="0043277E" w:rsidRDefault="000F2348">
            <w:pPr>
              <w:pStyle w:val="DGTextstand-alone"/>
              <w:spacing w:before="0"/>
            </w:pPr>
            <w:r>
              <w:t xml:space="preserve">System emerytalno-rentowy urzędników europejskich </w:t>
            </w:r>
          </w:p>
        </w:tc>
      </w:tr>
      <w:tr w:rsidR="0043277E">
        <w:tc>
          <w:tcPr>
            <w:tcW w:w="1526" w:type="dxa"/>
          </w:tcPr>
          <w:p w:rsidR="0043277E" w:rsidRDefault="000F2348">
            <w:pPr>
              <w:pStyle w:val="DGTextstand-alone"/>
              <w:spacing w:before="0"/>
            </w:pPr>
            <w:r>
              <w:rPr>
                <w:color w:val="016794"/>
              </w:rPr>
              <w:t>RAL</w:t>
            </w:r>
          </w:p>
        </w:tc>
        <w:tc>
          <w:tcPr>
            <w:tcW w:w="8328" w:type="dxa"/>
          </w:tcPr>
          <w:p w:rsidR="0043277E" w:rsidRDefault="000F2348">
            <w:pPr>
              <w:pStyle w:val="DGTextstand-alone"/>
              <w:spacing w:before="0"/>
            </w:pPr>
            <w:r>
              <w:t>„Reste à Liquider” (zobowiązanie pozostając</w:t>
            </w:r>
            <w:r>
              <w:t>e do spłaty)</w:t>
            </w:r>
          </w:p>
        </w:tc>
      </w:tr>
      <w:tr w:rsidR="0043277E">
        <w:tc>
          <w:tcPr>
            <w:tcW w:w="1526" w:type="dxa"/>
          </w:tcPr>
          <w:p w:rsidR="0043277E" w:rsidRDefault="000F2348">
            <w:pPr>
              <w:pStyle w:val="DGTextstand-alone"/>
              <w:spacing w:before="0"/>
            </w:pPr>
            <w:r>
              <w:rPr>
                <w:color w:val="016794"/>
              </w:rPr>
              <w:t>RSFF</w:t>
            </w:r>
            <w:r>
              <w:t xml:space="preserve"> </w:t>
            </w:r>
          </w:p>
        </w:tc>
        <w:tc>
          <w:tcPr>
            <w:tcW w:w="8328" w:type="dxa"/>
          </w:tcPr>
          <w:p w:rsidR="0043277E" w:rsidRDefault="000F2348">
            <w:pPr>
              <w:pStyle w:val="DGTextstand-alone"/>
              <w:spacing w:before="0"/>
            </w:pPr>
            <w:r>
              <w:t>Program finansowania zgodnie z systemem podziału ryzyka</w:t>
            </w:r>
          </w:p>
        </w:tc>
      </w:tr>
      <w:tr w:rsidR="0043277E">
        <w:tc>
          <w:tcPr>
            <w:tcW w:w="1526" w:type="dxa"/>
          </w:tcPr>
          <w:p w:rsidR="0043277E" w:rsidRDefault="000F2348">
            <w:pPr>
              <w:pStyle w:val="DGTextstand-alone"/>
              <w:spacing w:before="0"/>
            </w:pPr>
            <w:r>
              <w:rPr>
                <w:color w:val="016794"/>
              </w:rPr>
              <w:t>RTD</w:t>
            </w:r>
            <w:r>
              <w:t xml:space="preserve"> </w:t>
            </w:r>
          </w:p>
        </w:tc>
        <w:tc>
          <w:tcPr>
            <w:tcW w:w="8328" w:type="dxa"/>
          </w:tcPr>
          <w:p w:rsidR="0043277E" w:rsidRDefault="000F2348">
            <w:pPr>
              <w:pStyle w:val="DGTextstand-alone"/>
              <w:spacing w:before="0"/>
            </w:pPr>
            <w:r>
              <w:t>Badania, rozwój technologiczny i demonstracja</w:t>
            </w:r>
          </w:p>
        </w:tc>
      </w:tr>
      <w:tr w:rsidR="0043277E" w:rsidRPr="000F2348">
        <w:tc>
          <w:tcPr>
            <w:tcW w:w="1526" w:type="dxa"/>
          </w:tcPr>
          <w:p w:rsidR="0043277E" w:rsidRDefault="000F2348">
            <w:pPr>
              <w:pStyle w:val="DGTextstand-alone"/>
              <w:spacing w:before="0"/>
            </w:pPr>
            <w:r>
              <w:rPr>
                <w:color w:val="016794"/>
              </w:rPr>
              <w:t>S&amp;P</w:t>
            </w:r>
            <w:r>
              <w:t xml:space="preserve"> </w:t>
            </w:r>
          </w:p>
        </w:tc>
        <w:tc>
          <w:tcPr>
            <w:tcW w:w="8328" w:type="dxa"/>
          </w:tcPr>
          <w:p w:rsidR="0043277E" w:rsidRPr="000F2348" w:rsidRDefault="000F2348">
            <w:pPr>
              <w:pStyle w:val="DGTextstand-alone"/>
              <w:spacing w:before="0"/>
              <w:rPr>
                <w:lang w:val="en-IE"/>
              </w:rPr>
            </w:pPr>
            <w:r w:rsidRPr="000F2348">
              <w:rPr>
                <w:lang w:val="en-IE"/>
              </w:rPr>
              <w:t>Standard &amp; Poor's Financial Services LLC</w:t>
            </w:r>
          </w:p>
        </w:tc>
      </w:tr>
      <w:tr w:rsidR="0043277E">
        <w:tc>
          <w:tcPr>
            <w:tcW w:w="1526" w:type="dxa"/>
          </w:tcPr>
          <w:p w:rsidR="0043277E" w:rsidRDefault="000F2348">
            <w:pPr>
              <w:pStyle w:val="DGTextstand-alone"/>
              <w:spacing w:before="0"/>
            </w:pPr>
            <w:r>
              <w:rPr>
                <w:color w:val="016794"/>
              </w:rPr>
              <w:lastRenderedPageBreak/>
              <w:t>SANAD</w:t>
            </w:r>
            <w:r>
              <w:t xml:space="preserve"> </w:t>
            </w:r>
          </w:p>
        </w:tc>
        <w:tc>
          <w:tcPr>
            <w:tcW w:w="8328" w:type="dxa"/>
          </w:tcPr>
          <w:p w:rsidR="0043277E" w:rsidRDefault="000F2348">
            <w:pPr>
              <w:pStyle w:val="DGTextstand-alone"/>
              <w:spacing w:before="0"/>
            </w:pPr>
            <w:r>
              <w:t xml:space="preserve">Fundusz na rzecz mikro-, małych i średnich przedsiębiorstw w regionie </w:t>
            </w:r>
            <w:r>
              <w:t>Bliskiego Wschodu i Afryki Północnej</w:t>
            </w:r>
          </w:p>
        </w:tc>
      </w:tr>
      <w:tr w:rsidR="0043277E">
        <w:tc>
          <w:tcPr>
            <w:tcW w:w="1526" w:type="dxa"/>
          </w:tcPr>
          <w:p w:rsidR="0043277E" w:rsidRDefault="000F2348">
            <w:pPr>
              <w:pStyle w:val="DGTextstand-alone"/>
              <w:spacing w:before="0"/>
              <w:rPr>
                <w:iCs/>
              </w:rPr>
            </w:pPr>
            <w:r>
              <w:rPr>
                <w:color w:val="016794"/>
              </w:rPr>
              <w:t>SAPARD</w:t>
            </w:r>
            <w:r>
              <w:t xml:space="preserve"> </w:t>
            </w:r>
          </w:p>
        </w:tc>
        <w:tc>
          <w:tcPr>
            <w:tcW w:w="8328" w:type="dxa"/>
          </w:tcPr>
          <w:p w:rsidR="0043277E" w:rsidRDefault="000F2348">
            <w:pPr>
              <w:pStyle w:val="DGTextstand-alone"/>
              <w:spacing w:before="0"/>
            </w:pPr>
            <w:r>
              <w:t xml:space="preserve">Specjalny Program Akcesyjny na rzecz Rozwoju Rolnictwa i Obszarów Wiejskich </w:t>
            </w:r>
          </w:p>
        </w:tc>
      </w:tr>
      <w:tr w:rsidR="0043277E">
        <w:tc>
          <w:tcPr>
            <w:tcW w:w="1526" w:type="dxa"/>
          </w:tcPr>
          <w:p w:rsidR="0043277E" w:rsidRDefault="000F2348">
            <w:pPr>
              <w:pStyle w:val="DGTextstand-alone"/>
              <w:spacing w:before="0"/>
            </w:pPr>
            <w:r>
              <w:rPr>
                <w:color w:val="016794"/>
              </w:rPr>
              <w:t>SEMED</w:t>
            </w:r>
            <w:r>
              <w:t xml:space="preserve"> </w:t>
            </w:r>
          </w:p>
        </w:tc>
        <w:tc>
          <w:tcPr>
            <w:tcW w:w="8328" w:type="dxa"/>
          </w:tcPr>
          <w:p w:rsidR="0043277E" w:rsidRDefault="000F2348">
            <w:pPr>
              <w:pStyle w:val="DGTextstand-alone"/>
              <w:spacing w:before="0"/>
            </w:pPr>
            <w:r>
              <w:t>Program włączenia finansowego skierowany do MMŚP w państwach południowego i wschodniego regionu basenu Morza Śródziemnego</w:t>
            </w:r>
          </w:p>
        </w:tc>
      </w:tr>
      <w:tr w:rsidR="0043277E">
        <w:tc>
          <w:tcPr>
            <w:tcW w:w="1526" w:type="dxa"/>
          </w:tcPr>
          <w:p w:rsidR="0043277E" w:rsidRDefault="000F2348">
            <w:pPr>
              <w:pStyle w:val="DGTextstand-alone"/>
              <w:spacing w:before="0"/>
              <w:rPr>
                <w:iCs/>
              </w:rPr>
            </w:pPr>
            <w:r>
              <w:rPr>
                <w:color w:val="016794"/>
              </w:rPr>
              <w:t>SI</w:t>
            </w:r>
            <w:r>
              <w:rPr>
                <w:color w:val="016794"/>
              </w:rPr>
              <w:t>UGI</w:t>
            </w:r>
            <w:r>
              <w:t xml:space="preserve"> </w:t>
            </w:r>
          </w:p>
        </w:tc>
        <w:tc>
          <w:tcPr>
            <w:tcW w:w="8328" w:type="dxa"/>
          </w:tcPr>
          <w:p w:rsidR="0043277E" w:rsidRDefault="000F2348">
            <w:pPr>
              <w:pStyle w:val="DGTextstand-alone"/>
              <w:spacing w:before="0"/>
              <w:rPr>
                <w:iCs/>
              </w:rPr>
            </w:pPr>
            <w:r>
              <w:t>Instrument gwarancji nieograniczonych co do kwoty w inicjatywie dotyczącej MŚP</w:t>
            </w:r>
          </w:p>
        </w:tc>
      </w:tr>
      <w:tr w:rsidR="0043277E">
        <w:tc>
          <w:tcPr>
            <w:tcW w:w="1526" w:type="dxa"/>
          </w:tcPr>
          <w:p w:rsidR="0043277E" w:rsidRDefault="000F2348">
            <w:pPr>
              <w:pStyle w:val="DGTextstand-alone"/>
              <w:spacing w:before="0"/>
            </w:pPr>
            <w:r>
              <w:rPr>
                <w:color w:val="016794"/>
              </w:rPr>
              <w:t>MŚP</w:t>
            </w:r>
          </w:p>
        </w:tc>
        <w:tc>
          <w:tcPr>
            <w:tcW w:w="8328" w:type="dxa"/>
          </w:tcPr>
          <w:p w:rsidR="0043277E" w:rsidRDefault="000F2348">
            <w:pPr>
              <w:pStyle w:val="DGTextstand-alone"/>
              <w:spacing w:before="0"/>
            </w:pPr>
            <w:r>
              <w:rPr>
                <w:rStyle w:val="st1"/>
              </w:rPr>
              <w:t>Małe i średnie przedsiębiorstwa</w:t>
            </w:r>
          </w:p>
        </w:tc>
      </w:tr>
      <w:tr w:rsidR="0043277E">
        <w:tc>
          <w:tcPr>
            <w:tcW w:w="1526" w:type="dxa"/>
          </w:tcPr>
          <w:p w:rsidR="0043277E" w:rsidRDefault="000F2348">
            <w:pPr>
              <w:pStyle w:val="DGTextstand-alone"/>
              <w:spacing w:before="0"/>
            </w:pPr>
            <w:r>
              <w:rPr>
                <w:color w:val="016794"/>
              </w:rPr>
              <w:t>SMEW</w:t>
            </w:r>
            <w:r>
              <w:t xml:space="preserve"> </w:t>
            </w:r>
          </w:p>
        </w:tc>
        <w:tc>
          <w:tcPr>
            <w:tcW w:w="8328" w:type="dxa"/>
          </w:tcPr>
          <w:p w:rsidR="0043277E" w:rsidRDefault="000F2348">
            <w:pPr>
              <w:pStyle w:val="DGTextstand-alone"/>
              <w:spacing w:before="0"/>
            </w:pPr>
            <w:r>
              <w:t>segment MŚP (segment małych i średnich przedsiębiorstw)</w:t>
            </w:r>
          </w:p>
        </w:tc>
      </w:tr>
      <w:tr w:rsidR="0043277E">
        <w:tc>
          <w:tcPr>
            <w:tcW w:w="1526" w:type="dxa"/>
          </w:tcPr>
          <w:p w:rsidR="0043277E" w:rsidRDefault="000F2348">
            <w:pPr>
              <w:pStyle w:val="DGTextstand-alone"/>
              <w:spacing w:before="0"/>
            </w:pPr>
            <w:r>
              <w:rPr>
                <w:color w:val="016794"/>
              </w:rPr>
              <w:t>TFUE</w:t>
            </w:r>
            <w:r>
              <w:t xml:space="preserve"> </w:t>
            </w:r>
          </w:p>
        </w:tc>
        <w:tc>
          <w:tcPr>
            <w:tcW w:w="8328" w:type="dxa"/>
          </w:tcPr>
          <w:p w:rsidR="0043277E" w:rsidRDefault="000F2348">
            <w:pPr>
              <w:pStyle w:val="DGTextstand-alone"/>
              <w:spacing w:before="0"/>
            </w:pPr>
            <w:r>
              <w:t>Traktat o funkcjonowaniu Unii Europejskiej</w:t>
            </w:r>
          </w:p>
        </w:tc>
      </w:tr>
      <w:tr w:rsidR="0043277E">
        <w:tc>
          <w:tcPr>
            <w:tcW w:w="1526" w:type="dxa"/>
          </w:tcPr>
          <w:p w:rsidR="0043277E" w:rsidRDefault="000F2348">
            <w:pPr>
              <w:pStyle w:val="DGTextstand-alone"/>
              <w:spacing w:before="0"/>
            </w:pPr>
            <w:r>
              <w:rPr>
                <w:color w:val="016794"/>
              </w:rPr>
              <w:t>TZW</w:t>
            </w:r>
            <w:r>
              <w:t xml:space="preserve"> </w:t>
            </w:r>
          </w:p>
        </w:tc>
        <w:tc>
          <w:tcPr>
            <w:tcW w:w="8328" w:type="dxa"/>
          </w:tcPr>
          <w:p w:rsidR="0043277E" w:rsidRDefault="000F2348">
            <w:pPr>
              <w:pStyle w:val="DGTextstand-alone"/>
              <w:spacing w:before="0"/>
            </w:pPr>
            <w:r>
              <w:t xml:space="preserve">Tradycyjne </w:t>
            </w:r>
            <w:r>
              <w:t>zasoby własne</w:t>
            </w:r>
          </w:p>
        </w:tc>
      </w:tr>
      <w:tr w:rsidR="0043277E">
        <w:tc>
          <w:tcPr>
            <w:tcW w:w="1526" w:type="dxa"/>
          </w:tcPr>
          <w:p w:rsidR="0043277E" w:rsidRDefault="000F2348">
            <w:pPr>
              <w:pStyle w:val="DGTextstand-alone"/>
              <w:spacing w:before="0"/>
              <w:rPr>
                <w:iCs/>
              </w:rPr>
            </w:pPr>
            <w:r>
              <w:rPr>
                <w:color w:val="016794"/>
              </w:rPr>
              <w:t>TRDI</w:t>
            </w:r>
            <w:r>
              <w:t xml:space="preserve"> </w:t>
            </w:r>
          </w:p>
        </w:tc>
        <w:tc>
          <w:tcPr>
            <w:tcW w:w="8328" w:type="dxa"/>
          </w:tcPr>
          <w:p w:rsidR="0043277E" w:rsidRDefault="000F2348">
            <w:pPr>
              <w:pStyle w:val="DGTextstand-alone"/>
              <w:spacing w:before="0"/>
              <w:rPr>
                <w:iCs/>
              </w:rPr>
            </w:pPr>
            <w:r>
              <w:t>Przejściowy Instrument Rozwoju Obszarów Wiejskich</w:t>
            </w:r>
          </w:p>
        </w:tc>
      </w:tr>
      <w:tr w:rsidR="0043277E">
        <w:tc>
          <w:tcPr>
            <w:tcW w:w="1526" w:type="dxa"/>
          </w:tcPr>
          <w:p w:rsidR="0043277E" w:rsidRDefault="000F2348">
            <w:pPr>
              <w:pStyle w:val="DGTextstand-alone"/>
              <w:spacing w:before="0"/>
            </w:pPr>
            <w:r>
              <w:rPr>
                <w:color w:val="016794"/>
              </w:rPr>
              <w:t>VAT</w:t>
            </w:r>
            <w:r>
              <w:t xml:space="preserve"> </w:t>
            </w:r>
          </w:p>
        </w:tc>
        <w:tc>
          <w:tcPr>
            <w:tcW w:w="8328" w:type="dxa"/>
          </w:tcPr>
          <w:p w:rsidR="0043277E" w:rsidRDefault="000F2348">
            <w:pPr>
              <w:pStyle w:val="DGTextstand-alone"/>
              <w:spacing w:before="0"/>
            </w:pPr>
            <w:r>
              <w:t>Podatek od wartości dodanej</w:t>
            </w:r>
          </w:p>
        </w:tc>
      </w:tr>
    </w:tbl>
    <w:p w:rsidR="0043277E" w:rsidRDefault="000F2348">
      <w:pPr>
        <w:pStyle w:val="DGTextstand-alone"/>
        <w:spacing w:after="0"/>
      </w:pPr>
      <w:r>
        <w:tab/>
        <w:t xml:space="preserve"> </w:t>
      </w:r>
      <w:bookmarkEnd w:id="281"/>
      <w:bookmarkEnd w:id="2"/>
    </w:p>
    <w:sectPr w:rsidR="0043277E">
      <w:headerReference w:type="even" r:id="rId426"/>
      <w:headerReference w:type="default" r:id="rId427"/>
      <w:footerReference w:type="even" r:id="rId428"/>
      <w:footerReference w:type="default" r:id="rId429"/>
      <w:headerReference w:type="first" r:id="rId430"/>
      <w:footerReference w:type="first" r:id="rId431"/>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77E" w:rsidRDefault="000F2348">
      <w:r>
        <w:separator/>
      </w:r>
    </w:p>
  </w:endnote>
  <w:endnote w:type="continuationSeparator" w:id="0">
    <w:p w:rsidR="0043277E" w:rsidRDefault="000F2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C Square Sans Cond Pro">
    <w:panose1 w:val="020B0506040000020004"/>
    <w:charset w:val="00"/>
    <w:family w:val="swiss"/>
    <w:pitch w:val="variable"/>
    <w:sig w:usb0="A00002BF" w:usb1="500000D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531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01388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FF677C4" id="Rectangle 3" o:spid="_x0000_s1026" style="position:absolute;margin-left:225.1pt;margin-top:.35pt;width:31.75pt;height:6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PfWQIAALg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uQFz31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5630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962731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E639021" id="Rectangle 3" o:spid="_x0000_s1026" style="position:absolute;margin-left:225.1pt;margin-top:.35pt;width:31.75pt;height:6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OZWQIAALg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PH9D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color w:val="FFFFFF"/>
        <w:sz w:val="18"/>
        <w:szCs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5947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962633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9609FB2" id="Rectangle 3" o:spid="_x0000_s1026" style="position:absolute;margin-left:225.1pt;margin-top:.35pt;width:31.75pt;height:6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jMFXV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7243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46736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E1D6595" id="Rectangle 3" o:spid="_x0000_s1026" style="position:absolute;margin-left:225.1pt;margin-top:.35pt;width:31.75pt;height:62.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dD20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6295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24205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66354EC" id="Rectangle 3" o:spid="_x0000_s1026" style="position:absolute;margin-left:225.1pt;margin-top:.35pt;width:31.75pt;height:6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VQJg2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color w:val="FFFFFF"/>
        <w:sz w:val="18"/>
        <w:szCs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6643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036473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F1D53FD" id="Rectangle 3" o:spid="_x0000_s1026" style="position:absolute;margin-left:225.1pt;margin-top:.35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57WQIAALk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Q5ee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6992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124500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A3E7E20" id="Rectangle 3" o:spid="_x0000_s1026" style="position:absolute;margin-left:225.1pt;margin-top:.35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8ZFC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83</w:t>
    </w:r>
    <w:r>
      <w:rPr>
        <w:rFonts w:ascii="Verdana" w:hAnsi="Verdana"/>
        <w:b/>
        <w:color w:val="FFFFFF"/>
        <w:sz w:val="18"/>
        <w:szCs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7329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501677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E163180" id="Rectangle 3" o:spid="_x0000_s1026" style="position:absolute;margin-left:225.1pt;margin-top:.3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EJpL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color w:val="FFFFF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76883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1518134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5D4CEC7" id="Rectangle 3" o:spid="_x0000_s1026" style="position:absolute;margin-left:350.05pt;margin-top:6.5pt;width:31.75pt;height:62.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1D2r0WAIAALk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color w:val="FFFFFF"/>
        <w:sz w:val="18"/>
        <w:szCs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8036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8866808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E29CBB7" id="Rectangle 3" o:spid="_x0000_s1026" style="position:absolute;margin-left:225.1pt;margin-top:.35pt;width:31.75pt;height:6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l+snc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92</w:t>
    </w:r>
    <w:r>
      <w:rPr>
        <w:rFonts w:ascii="Verdana" w:hAnsi="Verdana"/>
        <w:b/>
        <w:color w:val="FFFFFF"/>
        <w:sz w:val="18"/>
        <w:szCs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8384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79321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7F3631A" id="Rectangle 3" o:spid="_x0000_s1026" style="position:absolute;margin-left:225.1pt;margin-top:.35pt;width:31.75pt;height:62.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AFmOL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color w:val="FFFFFF"/>
        <w:sz w:val="18"/>
        <w:szCs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8732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203612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CAF94B9" id="Rectangle 3" o:spid="_x0000_s1026" style="position:absolute;margin-left:225.1pt;margin-top:.35pt;width:31.75pt;height:62.6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NLCWY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113</w:t>
    </w:r>
    <w:r>
      <w:rPr>
        <w:rFonts w:ascii="Verdana" w:hAnsi="Verdana"/>
        <w:b/>
        <w:color w:val="FFFFFF"/>
        <w:sz w:val="18"/>
        <w:szCs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9080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069783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9D59405" id="Rectangle 3" o:spid="_x0000_s1026" style="position:absolute;margin-left:225.1pt;margin-top:.35pt;width:31.75pt;height:62.6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Cz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LDOsL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116</w:t>
    </w:r>
    <w:r>
      <w:rPr>
        <w:rFonts w:ascii="Verdana" w:hAnsi="Verdana"/>
        <w:b/>
        <w:color w:val="FFFFFF"/>
        <w:sz w:val="18"/>
        <w:szCs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9429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122849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1BF817F" id="Rectangle 3" o:spid="_x0000_s1026" style="position:absolute;margin-left:225.1pt;margin-top:.35pt;width:31.75pt;height:62.6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WQIAALk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Gvtv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119</w:t>
    </w:r>
    <w:r>
      <w:rPr>
        <w:rFonts w:ascii="Verdana" w:hAnsi="Verdana"/>
        <w:b/>
        <w:color w:val="FFFFFF"/>
        <w:sz w:val="18"/>
        <w:szCs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3709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5B45BE0" id="Rectangle 3" o:spid="_x0000_s1026" style="position:absolute;margin-left:225.1pt;margin-top:.35pt;width:31.75pt;height:62.6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6k74g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5</w:t>
    </w:r>
    <w:r>
      <w:rPr>
        <w:rFonts w:ascii="Verdana" w:hAnsi="Verdana"/>
        <w:b/>
        <w:color w:val="FFFFFF"/>
        <w:sz w:val="18"/>
        <w:szCs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9756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5861377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CA65F4A" id="Rectangle 3" o:spid="_x0000_s1026" style="position:absolute;margin-left:225.1pt;margin-top:.35pt;width:31.75pt;height:62.6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oM2T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122</w:t>
    </w:r>
    <w:r>
      <w:rPr>
        <w:rFonts w:ascii="Verdana" w:hAnsi="Verdana"/>
        <w:b/>
        <w:color w:val="FFFFFF"/>
        <w:sz w:val="18"/>
        <w:szCs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0074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9551726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A2825F8" id="Rectangle 3" o:spid="_x0000_s1026" style="position:absolute;margin-left:225.1pt;margin-top:.35pt;width:31.75pt;height:62.6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G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ycGvh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139</w:t>
    </w:r>
    <w:r>
      <w:rPr>
        <w:rFonts w:ascii="Verdana" w:hAnsi="Verdana"/>
        <w:b/>
        <w:color w:val="FFFFFF"/>
        <w:sz w:val="18"/>
        <w:szCs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039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954727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661DB06" id="Rectangle 3" o:spid="_x0000_s1026" style="position:absolute;margin-left:225.1pt;margin-top:.35pt;width:31.75pt;height:62.6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5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KAPg+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140</w:t>
    </w:r>
    <w:r>
      <w:rPr>
        <w:rFonts w:ascii="Verdana" w:hAnsi="Verdana"/>
        <w:b/>
        <w:color w:val="FFFFFF"/>
        <w:sz w:val="18"/>
        <w:szCs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0688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77109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E66E2B4" id="Rectangle 3" o:spid="_x0000_s1026" style="position:absolute;margin-left:225.1pt;margin-top:.35pt;width:31.75pt;height:62.6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lo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SNpa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142</w:t>
    </w:r>
    <w:r>
      <w:rPr>
        <w:rFonts w:ascii="Verdana" w:hAnsi="Verdana"/>
        <w:b/>
        <w:color w:val="FFFFF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0985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887429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BDE30CA" id="Rectangle 3" o:spid="_x0000_s1026" style="position:absolute;margin-left:225.1pt;margin-top:.35pt;width:31.75pt;height:62.6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T5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iUE+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color w:val="FFFFFF"/>
        <w:sz w:val="18"/>
        <w:szCs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1282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869657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4EFF3A9" id="Rectangle 3" o:spid="_x0000_s1026" style="position:absolute;margin-left:225.1pt;margin-top:.35pt;width:31.75pt;height:62.6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HwRPNR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149</w:t>
    </w:r>
    <w:r>
      <w:rPr>
        <w:rFonts w:ascii="Verdana" w:hAnsi="Verdana"/>
        <w:b/>
        <w:color w:val="FFFFFF"/>
        <w:sz w:val="18"/>
        <w:szCs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1579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958378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08A742B" id="Rectangle 3" o:spid="_x0000_s1026" style="position:absolute;margin-left:225.1pt;margin-top:.35pt;width:31.75pt;height:62.6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OyWQIAALg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ogTs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153</w:t>
    </w:r>
    <w:r>
      <w:rPr>
        <w:rFonts w:ascii="Verdana" w:hAnsi="Verdana"/>
        <w:b/>
        <w:color w:val="FFFFFF"/>
        <w:sz w:val="18"/>
        <w:szCs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1866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923241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3C12909" id="Rectangle 3" o:spid="_x0000_s1026" style="position:absolute;margin-left:225.1pt;margin-top:.35pt;width:31.75pt;height:62.6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NOtqe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color w:val="FFFFFF"/>
        <w:sz w:val="18"/>
        <w:szCs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2152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935187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AF4885A" id="Rectangle 3" o:spid="_x0000_s1026" style="position:absolute;margin-left:350.05pt;margin-top:6.5pt;width:31.75pt;height:62.6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9VWQIAALg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7M4/VV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157</w:t>
    </w:r>
    <w:r>
      <w:rPr>
        <w:rFonts w:ascii="Verdana" w:hAnsi="Verdana"/>
        <w:b/>
        <w:color w:val="FFFFFF"/>
        <w:sz w:val="18"/>
        <w:szCs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2480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61817520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9F483A0" id="Rectangle 3" o:spid="_x0000_s1026" style="position:absolute;margin-left:350.05pt;margin-top:6.5pt;width:31.75pt;height:62.6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D/WQIAALg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OjIw/1kCAAC4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159</w:t>
    </w:r>
    <w:r>
      <w:rPr>
        <w:rFonts w:ascii="Verdana" w:hAnsi="Verdana"/>
        <w:b/>
        <w:color w:val="FFFFFF"/>
        <w:sz w:val="18"/>
        <w:szCs w:val="18"/>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3985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 name="Rectangle 10"/>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0D678C2" id="Rectangle 10" o:spid="_x0000_s1026" style="position:absolute;margin-left:225.1pt;margin-top:.35pt;width:31.75pt;height:62.65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DiJyCHUgIAALI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5</w:t>
    </w:r>
    <w:r>
      <w:rPr>
        <w:rFonts w:ascii="Verdana" w:hAnsi="Verdana"/>
        <w:b/>
        <w:color w:val="FFFFFF"/>
        <w:sz w:val="18"/>
        <w:szCs w:val="18"/>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4313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5559246" id="Rectangle 3" o:spid="_x0000_s1026" style="position:absolute;margin-left:350.05pt;margin-top:6.5pt;width:31.75pt;height:62.65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cQ8N+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161</w:t>
    </w:r>
    <w:r>
      <w:rPr>
        <w:rFonts w:ascii="Verdana" w:hAnsi="Verdana"/>
        <w:b/>
        <w:color w:val="FFFFFF"/>
        <w:sz w:val="18"/>
        <w:szCs w:val="18"/>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46412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5258933" id="Rectangle 3" o:spid="_x0000_s1026" style="position:absolute;margin-left:350.05pt;margin-top:6.5pt;width:31.75pt;height:62.65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FBPI/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163</w:t>
    </w:r>
    <w:r>
      <w:rPr>
        <w:rFonts w:ascii="Verdana" w:hAnsi="Verdana"/>
        <w:b/>
        <w:color w:val="FFFFFF"/>
        <w:sz w:val="18"/>
        <w:szCs w:val="18"/>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49689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5AEC2AE" id="Rectangle 3" o:spid="_x0000_s1026" style="position:absolute;margin-left:350.05pt;margin-top:6.5pt;width:31.75pt;height:62.65pt;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J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COVbSV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164</w:t>
    </w:r>
    <w:r>
      <w:rPr>
        <w:rFonts w:ascii="Verdana" w:hAnsi="Verdana"/>
        <w:b/>
        <w:color w:val="FFFFFF"/>
        <w:sz w:val="18"/>
        <w:szCs w:val="18"/>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52966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4185A93" id="Rectangle 3" o:spid="_x0000_s1026" style="position:absolute;margin-left:350.05pt;margin-top:6.5pt;width:31.75pt;height:62.65pt;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3itC8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w:instrText>
    </w:r>
    <w:r>
      <w:rPr>
        <w:rFonts w:ascii="Verdana" w:hAnsi="Verdana"/>
        <w:b/>
        <w:color w:val="FFFFFF"/>
        <w:sz w:val="18"/>
        <w:szCs w:val="18"/>
      </w:rPr>
      <w:instrText xml:space="preserve">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color w:val="FFFFF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56243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D6A74F3" id="Rectangle 3" o:spid="_x0000_s1026" style="position:absolute;margin-left:350.05pt;margin-top:6.5pt;width:31.75pt;height:62.65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wt3RRF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175</w:t>
    </w:r>
    <w:r>
      <w:rPr>
        <w:rFonts w:ascii="Verdana" w:hAnsi="Verdana"/>
        <w:b/>
        <w:color w:val="FFFFFF"/>
        <w:sz w:val="18"/>
        <w:szCs w:val="18"/>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588032"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AAE5A4C" id="Rectangle 3" o:spid="_x0000_s1026" style="position:absolute;margin-left:350.05pt;margin-top:6.5pt;width:31.75pt;height:62.65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p8EUQ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200</w:t>
    </w:r>
    <w:r>
      <w:rPr>
        <w:rFonts w:ascii="Verdana" w:hAnsi="Verdana"/>
        <w:b/>
        <w:color w:val="FFFFFF"/>
        <w:sz w:val="18"/>
        <w:szCs w:val="18"/>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27776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211171168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E334FD9" id="Rectangle 3" o:spid="_x0000_s1026" style="position:absolute;margin-left:350.05pt;margin-top:6.5pt;width:31.75pt;height:62.65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LBWQ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&#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xB5iwVkCAAC5BAAADgAAAAAAAAAAAAAAAAAuAgAAZHJzL2Uyb0RvYy54bWxQ&#10;SwECLQAUAAYACAAAACEA5awaEt4AAAAK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201</w:t>
    </w:r>
    <w:r>
      <w:rPr>
        <w:rFonts w:ascii="Verdana" w:hAnsi="Verdana"/>
        <w:b/>
        <w:color w:val="FFFFFF"/>
        <w:sz w:val="18"/>
        <w:szCs w:val="18"/>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617728"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968A835" id="Rectangle 3" o:spid="_x0000_s1026" style="position:absolute;margin-left:350.05pt;margin-top:6.5pt;width:31.75pt;height:62.65pt;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uzeH9l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202</w:t>
    </w:r>
    <w:r>
      <w:rPr>
        <w:rFonts w:ascii="Verdana" w:hAnsi="Verdana"/>
        <w:b/>
        <w:color w:val="FFFFFF"/>
        <w:sz w:val="18"/>
        <w:szCs w:val="18"/>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640256"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EAF48C9" id="Rectangle 3" o:spid="_x0000_s1026" style="position:absolute;margin-left:350.05pt;margin-top:6.5pt;width:31.75pt;height:62.65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203</w:t>
    </w:r>
    <w:r>
      <w:rPr>
        <w:rFonts w:ascii="Verdana" w:hAnsi="Verdana"/>
        <w:b/>
        <w:color w:val="FFFFFF"/>
        <w:sz w:val="18"/>
        <w:szCs w:val="18"/>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2972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7481198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E5D58E7" id="Rectangle 3" o:spid="_x0000_s1026" style="position:absolute;margin-left:225.1pt;margin-top:.35pt;width:31.75pt;height:62.6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GA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Hmxg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206</w:t>
    </w:r>
    <w:r>
      <w:rPr>
        <w:rFonts w:ascii="Verdana" w:hAnsi="Verdana"/>
        <w:b/>
        <w:color w:val="FFFFFF"/>
        <w:sz w:val="18"/>
        <w:szCs w:val="18"/>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tab/>
    </w:r>
    <w:r>
      <w:rPr>
        <w:rFonts w:ascii="Arial" w:hAnsi="Arial" w:cs="Arial"/>
        <w:b/>
        <w:sz w:val="48"/>
      </w:rPr>
      <w:t>PL</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7479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66487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8913616" id="Rectangle 3" o:spid="_x0000_s1026" style="position:absolute;margin-left:225.1pt;margin-top:.35pt;width:31.75pt;height:62.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GYMZ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3125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475915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E4C7377" id="Rectangle 3" o:spid="_x0000_s1026" style="position:absolute;margin-left:225.1pt;margin-top:.35pt;width:31.75pt;height:62.6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rlWQIAALg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g8q5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211</w:t>
    </w:r>
    <w:r>
      <w:rPr>
        <w:rFonts w:ascii="Verdana" w:hAnsi="Verdana"/>
        <w:b/>
        <w:color w:val="FFFFFF"/>
        <w:sz w:val="18"/>
        <w:szCs w:val="18"/>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8272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38990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EAB9DC2" id="Rectangle 3" o:spid="_x0000_s1026" style="position:absolute;margin-left:225.1pt;margin-top:.35pt;width:31.75pt;height:62.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DS1b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214</w:t>
    </w:r>
    <w:r>
      <w:rPr>
        <w:rFonts w:ascii="Verdana" w:hAnsi="Verdana"/>
        <w:b/>
        <w:color w:val="FFFFFF"/>
        <w:sz w:val="18"/>
        <w:szCs w:val="18"/>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773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560380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501CE6A" id="Rectangle 3" o:spid="_x0000_s1026" style="position:absolute;margin-left:225.1pt;margin-top:.35pt;width:31.75pt;height:62.6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1I1J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w:instrText>
    </w:r>
    <w:r>
      <w:rPr>
        <w:rFonts w:ascii="Verdana" w:hAnsi="Verdana"/>
        <w:b/>
        <w:color w:val="FFFFFF"/>
        <w:sz w:val="18"/>
        <w:szCs w:val="18"/>
      </w:rPr>
      <w:instrText xml:space="preserve">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color w:val="FFFFF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7991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18101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8246F09" id="Rectangle 3" o:spid="_x0000_s1026" style="position:absolute;margin-left:225.1pt;margin-top:.35pt;width:31.75pt;height:62.6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mZ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C4J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color w:val="FFFFFF"/>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8247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65296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0B63A68" id="Rectangle 3" o:spid="_x0000_s1026" style="position:absolute;margin-left:225.1pt;margin-top:.35pt;width:31.75pt;height:62.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P5p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color w:val="FFFFF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850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781079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BF783EA" id="Rectangle 3" o:spid="_x0000_s1026" style="position:absolute;margin-left:225.1pt;margin-top:.35pt;width:31.75pt;height:62.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tWQIAALg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TV/r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color w:val="FFFFFF"/>
        <w:sz w:val="18"/>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8759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89626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47846CA" id="Rectangle 3" o:spid="_x0000_s1026" style="position:absolute;margin-left:225.1pt;margin-top:.35pt;width:31.75pt;height:62.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C98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color w:val="FFFFFF"/>
        <w:sz w:val="18"/>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9035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673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76D10C7" id="Rectangle 3" o:spid="_x0000_s1026" style="position:absolute;margin-left:225.1pt;margin-top:.35pt;width:31.75pt;height:62.6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btu+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color w:val="FFFFFF"/>
        <w:sz w:val="18"/>
        <w:szCs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9312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415363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B199E92" id="Rectangle 3" o:spid="_x0000_s1026" style="position:absolute;margin-left:225.1pt;margin-top:.35pt;width:31.75pt;height:62.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jszV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color w:val="FFFFFF"/>
        <w:sz w:val="18"/>
        <w:szCs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961920"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05647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E8BE014" id="Rectangle 3" o:spid="_x0000_s1026" style="position:absolute;margin-left:350.05pt;margin-top:6.5pt;width:31.75pt;height:62.6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8VWAIAALk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eFR8VWAIAALk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color w:val="FFFFFF"/>
        <w:sz w:val="18"/>
        <w:szCs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992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9365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F868C4A" id="Rectangle 3" o:spid="_x0000_s1026" style="position:absolute;margin-left:225.1pt;margin-top:.35pt;width:31.75pt;height:62.6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UT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3Qy&#10;G43zJBtT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j+VE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0233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12820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46884DE" id="Rectangle 3" o:spid="_x0000_s1026" style="position:absolute;margin-left:225.1pt;margin-top:.35pt;width:31.75pt;height:62.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g8WAIAALg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8PRg8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color w:val="FFFFFF"/>
        <w:sz w:val="18"/>
        <w:szCs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054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26772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A9E95D2" id="Rectangle 3" o:spid="_x0000_s1026" style="position:absolute;margin-left:225.1pt;margin-top:.35pt;width:31.75pt;height:62.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gGWQIAALg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muIB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color w:val="FFFFFF"/>
        <w:sz w:val="18"/>
        <w:szCs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0848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1144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9C7E5CE" id="Rectangle 3" o:spid="_x0000_s1026" style="position:absolute;margin-left:225.1pt;margin-top:.35pt;width:31.75pt;height:62.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w4WA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uyuw4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6587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24912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9FC607F" id="Rectangle 3" o:spid="_x0000_s1026" style="position:absolute;margin-left:225.1pt;margin-top:.35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S5KE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36</w:t>
    </w:r>
    <w:r>
      <w:rPr>
        <w:rFonts w:ascii="Verdana" w:hAnsi="Verdana"/>
        <w:b/>
        <w:color w:val="FFFFF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2343296" behindDoc="1" locked="0" layoutInCell="1" allowOverlap="1">
              <wp:simplePos x="0" y="0"/>
              <wp:positionH relativeFrom="page">
                <wp:align>center</wp:align>
              </wp:positionH>
              <wp:positionV relativeFrom="paragraph">
                <wp:posOffset>4445</wp:posOffset>
              </wp:positionV>
              <wp:extent cx="403200" cy="795600"/>
              <wp:effectExtent l="0" t="0" r="16510" b="24130"/>
              <wp:wrapNone/>
              <wp:docPr id="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298CA5D" id="Rectangle 3" o:spid="_x0000_s1026" style="position:absolute;margin-left:0;margin-top:.35pt;width:31.75pt;height:62.65pt;z-index:-250973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3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E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" fillcolor="#016794" strokecolor="#385d8a" strokeweight="2pt">
              <v:textbox inset=",1.3mm"/>
              <w10:wrap anchorx="page"/>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color w:val="FFFFFF"/>
        <w:sz w:val="18"/>
        <w:szCs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1503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49698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4C55DD4" id="Rectangle 3" o:spid="_x0000_s1026" style="position:absolute;margin-left:225.1pt;margin-top:.35pt;width:31.75pt;height:62.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Qhm5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color w:val="FFFFFF"/>
        <w:sz w:val="18"/>
        <w:szCs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18208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2EB7EFF" id="Rectangle 3" o:spid="_x0000_s1026" style="position:absolute;margin-left:225.1pt;margin-top:.35pt;width:31.75pt;height:62.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RZWQ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QBkW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49</w:t>
    </w:r>
    <w:r>
      <w:rPr>
        <w:rFonts w:ascii="Verdana" w:hAnsi="Verdana"/>
        <w:b/>
        <w:color w:val="FFFFFF"/>
        <w:sz w:val="18"/>
        <w:szCs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213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23704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9D847DA" id="Rectangle 3" o:spid="_x0000_s1026" style="position:absolute;margin-left:225.1pt;margin-top:.35pt;width:31.75pt;height:62.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mWQIAALk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MviZ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color w:val="FFFFFF"/>
        <w:sz w:val="18"/>
        <w:szCs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2455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72082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FC288FF" id="Rectangle 3" o:spid="_x0000_s1026" style="position:absolute;margin-left:225.1pt;margin-top:.35pt;width:31.75pt;height:62.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ZWQ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kNn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58</w:t>
    </w:r>
    <w:r>
      <w:rPr>
        <w:rFonts w:ascii="Verdana" w:hAnsi="Verdana"/>
        <w:b/>
        <w:color w:val="FFFFFF"/>
        <w:sz w:val="18"/>
        <w:szCs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2773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5622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B117912" id="Rectangle 3" o:spid="_x0000_s1026" style="position:absolute;margin-left:225.1pt;margin-top:.35pt;width:31.75pt;height:62.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2VwIAALg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D52SXZ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49</w:t>
    </w:r>
    <w:r>
      <w:rPr>
        <w:rFonts w:ascii="Verdana" w:hAnsi="Verdana"/>
        <w:b/>
        <w:color w:val="FFFFFF"/>
        <w:sz w:val="18"/>
        <w:szCs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06967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C51EDB6" id="Rectangle 3" o:spid="_x0000_s1026" style="position:absolute;margin-left:225.1pt;margin-top:.35pt;width:31.75pt;height:62.6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3090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9138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16211C3" id="Rectangle 3" o:spid="_x0000_s1026" style="position:absolute;margin-left:225.1pt;margin-top:.35pt;width:31.75pt;height:62.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en5wd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color w:val="FFFFFF"/>
        <w:sz w:val="18"/>
        <w:szCs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3408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747624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EBB74C4" id="Rectangle 3" o:spid="_x0000_s1026" style="position:absolute;margin-left:225.1pt;margin-top:.35pt;width:31.75pt;height:62.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tw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yArc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color w:val="FFFFFF"/>
        <w:sz w:val="18"/>
        <w:szCs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3725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7052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04F1364" id="Rectangle 3" o:spid="_x0000_s1026" style="position:absolute;margin-left:225.1pt;margin-top:.35pt;width:31.75pt;height:62.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C307kZXAgAAtw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color w:val="FFFFFF"/>
        <w:sz w:val="18"/>
        <w:szCs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4042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8291523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5168F08" id="Rectangle 3" o:spid="_x0000_s1026" style="position:absolute;margin-left:225.1pt;margin-top:.35pt;width:31.75pt;height:6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MIWQIAALg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usjC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436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50701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D9A0101" id="Rectangle 3" o:spid="_x0000_s1026" style="position:absolute;margin-left:225.1pt;margin-top:.35pt;width:31.75pt;height:62.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y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s2Us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color w:val="FFFFFF"/>
        <w:sz w:val="18"/>
        <w:szCs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4677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17030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5326FBF" id="Rectangle 3" o:spid="_x0000_s1026" style="position:absolute;margin-left:225.1pt;margin-top:.35pt;width:31.75pt;height:62.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VQ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OclU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color w:val="FFFFFF"/>
        <w:sz w:val="18"/>
        <w:szCs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Footer"/>
      <w:jc w:val="center"/>
      <w:rPr>
        <w:rFonts w:ascii="Verdana" w:hAnsi="Verdana"/>
        <w:b/>
        <w:color w:val="FFFFFF"/>
        <w:sz w:val="18"/>
        <w:szCs w:val="18"/>
      </w:rPr>
    </w:pPr>
    <w:r>
      <w:rPr>
        <w:noProof/>
        <w:lang w:eastAsia="pl-PL"/>
      </w:rPr>
      <mc:AlternateContent>
        <mc:Choice Requires="wps">
          <w:drawing>
            <wp:anchor distT="0" distB="0" distL="114300" distR="114300" simplePos="0" relativeHeight="2514995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6092647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96A0D61" id="Rectangle 3" o:spid="_x0000_s1026" style="position:absolute;margin-left:225.1pt;margin-top:.35pt;width:31.75pt;height:62.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69rF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rsidR="0043277E" w:rsidRDefault="000F2348">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60</w:t>
    </w:r>
    <w:r>
      <w:rPr>
        <w:rFonts w:ascii="Verdana" w:hAnsi="Verdana"/>
        <w:b/>
        <w:color w:val="FFFFFF"/>
        <w:sz w:val="18"/>
        <w:szCs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77E" w:rsidRDefault="000F2348">
      <w:r>
        <w:separator/>
      </w:r>
    </w:p>
  </w:footnote>
  <w:footnote w:type="continuationSeparator" w:id="0">
    <w:p w:rsidR="0043277E" w:rsidRDefault="000F2348">
      <w:r>
        <w:continuationSeparator/>
      </w:r>
    </w:p>
  </w:footnote>
  <w:footnote w:id="1">
    <w:p w:rsidR="0043277E" w:rsidRDefault="000F2348">
      <w:pPr>
        <w:pStyle w:val="FootnoteText"/>
        <w:tabs>
          <w:tab w:val="left" w:pos="284"/>
        </w:tabs>
        <w:spacing w:after="120"/>
        <w:ind w:left="284" w:hanging="284"/>
        <w:jc w:val="both"/>
      </w:pPr>
      <w:r>
        <w:rPr>
          <w:rStyle w:val="FootnoteReference"/>
        </w:rPr>
        <w:footnoteRef/>
      </w:r>
      <w:r>
        <w:rPr>
          <w:rFonts w:ascii="Verdana" w:hAnsi="Verdana"/>
          <w:sz w:val="16"/>
          <w:szCs w:val="16"/>
        </w:rPr>
        <w:tab/>
        <w:t>Zgodnie z zasadą pomocniczości Unia podejmuje</w:t>
      </w:r>
      <w:r>
        <w:rPr>
          <w:rFonts w:ascii="Verdana" w:hAnsi="Verdana"/>
          <w:sz w:val="16"/>
          <w:szCs w:val="16"/>
        </w:rPr>
        <w:t xml:space="preserve"> działania tylko wówczas i tylko w takim zakresie, w jakim cele zamierzonego działania nie mogą zostać osiągnięte w sposób wystarczający przez państwa członkowskie, i jeśli ze względu na rozmiary lub skutki proponowanego działania możliwe jest lepsze ich o</w:t>
      </w:r>
      <w:r>
        <w:rPr>
          <w:rFonts w:ascii="Verdana" w:hAnsi="Verdana"/>
          <w:sz w:val="16"/>
          <w:szCs w:val="16"/>
        </w:rPr>
        <w:t>siągnięcie na poziomie Unii. Zgodnie z zasadą proporcjonalności zakres i forma działania Unii nie wykraczają poza to, co jest konieczne do osiągnięcia celów Traktatów (zob. art. 5 TUE).</w:t>
      </w:r>
    </w:p>
  </w:footnote>
  <w:footnote w:id="2">
    <w:p w:rsidR="0043277E" w:rsidRDefault="000F2348">
      <w:pPr>
        <w:pStyle w:val="Footnote"/>
      </w:pPr>
      <w:r>
        <w:rPr>
          <w:rStyle w:val="FootnoteReference"/>
          <w:sz w:val="18"/>
        </w:rPr>
        <w:footnoteRef/>
      </w:r>
      <w:r>
        <w:t xml:space="preserve"> </w:t>
      </w:r>
      <w:r>
        <w:tab/>
        <w:t>Porozumienie międzyinstytucjonalne z dnia 2 grudnia 2013 r. pomiędz</w:t>
      </w:r>
      <w:r>
        <w:t>y Parlamentem Europejskim, Radą i Komisją w sprawie dyscypliny budżetowej, współpracy w kwestiach budżetowych i należytego zarządzania finansami (2013/C 373/01).</w:t>
      </w:r>
    </w:p>
  </w:footnote>
  <w:footnote w:id="3">
    <w:p w:rsidR="0043277E" w:rsidRDefault="000F2348">
      <w:pPr>
        <w:pStyle w:val="Footnote"/>
      </w:pPr>
      <w:r>
        <w:rPr>
          <w:rStyle w:val="FootnoteReference"/>
          <w:sz w:val="18"/>
        </w:rPr>
        <w:footnoteRef/>
      </w:r>
      <w:r>
        <w:t xml:space="preserve"> </w:t>
      </w:r>
      <w:r>
        <w:tab/>
        <w:t>Rozporządzenie Parlamentu Europejskiego i Rady (UE, Euratom) 2018/1046 z dnia 18 lipca 2018</w:t>
      </w:r>
      <w:r>
        <w:t> r. w sprawie zasad finansowych mających zastosowanie do budżetu ogólnego Unii, a także uchylające rozporządzenie (UE, Euratom) nr 966/2012, Dz.U. L 193 z 30.7.2018, s. 1.</w:t>
      </w:r>
    </w:p>
  </w:footnote>
  <w:footnote w:id="4">
    <w:p w:rsidR="0043277E" w:rsidRDefault="000F2348">
      <w:pPr>
        <w:pStyle w:val="Footnote"/>
      </w:pPr>
      <w:r>
        <w:rPr>
          <w:rStyle w:val="FootnoteReference"/>
          <w:sz w:val="18"/>
        </w:rPr>
        <w:footnoteRef/>
      </w:r>
      <w:r>
        <w:t xml:space="preserve"> </w:t>
      </w:r>
      <w:r>
        <w:tab/>
        <w:t>Zob. art. 317 TFUE.</w:t>
      </w:r>
    </w:p>
  </w:footnote>
  <w:footnote w:id="5">
    <w:p w:rsidR="0043277E" w:rsidRDefault="000F2348">
      <w:pPr>
        <w:pStyle w:val="Footnote"/>
        <w:rPr>
          <w:sz w:val="12"/>
        </w:rPr>
      </w:pPr>
      <w:r>
        <w:rPr>
          <w:rStyle w:val="FootnoteReference"/>
          <w:sz w:val="18"/>
        </w:rPr>
        <w:footnoteRef/>
      </w:r>
      <w:r>
        <w:t xml:space="preserve"> </w:t>
      </w:r>
      <w:r>
        <w:tab/>
        <w:t>Więcej informacji można znaleźć w komunikacie przewodniczą</w:t>
      </w:r>
      <w:r>
        <w:t xml:space="preserve">cego Junckera i pierwszego wiceprzewodniczącego Timmermansa do Komisji: Governance in the European Commission, C(2017) 6915 final z dnia 11 października 2017 r., adres URL: </w:t>
      </w:r>
      <w:hyperlink r:id="rId1" w:history="1">
        <w:r>
          <w:t>https://ec.europa.eu/info/sites/info/files/c_2017_6915_final_en.pdf</w:t>
        </w:r>
      </w:hyperlink>
      <w:r>
        <w:t>.</w:t>
      </w:r>
    </w:p>
  </w:footnote>
  <w:footnote w:id="6">
    <w:p w:rsidR="0043277E" w:rsidRDefault="000F2348">
      <w:pPr>
        <w:pStyle w:val="Footnote"/>
      </w:pPr>
      <w:r>
        <w:rPr>
          <w:rStyle w:val="FootnoteReference"/>
          <w:sz w:val="20"/>
        </w:rPr>
        <w:footnoteRef/>
      </w:r>
      <w:r>
        <w:rPr>
          <w:rStyle w:val="FootnoteReference"/>
          <w:sz w:val="20"/>
        </w:rPr>
        <w:t xml:space="preserve"> </w:t>
      </w:r>
      <w:r>
        <w:rPr>
          <w:sz w:val="18"/>
        </w:rPr>
        <w:tab/>
      </w:r>
      <w:r>
        <w:t>W rezultacie pojęcie „Komisja Europejska” oznacza zarówno instytucję – kolegium – tworzoną przez członków Komisji, jak i administrację kierowaną przez dyrektorów generalnych jej depar</w:t>
      </w:r>
      <w:r>
        <w:t>tamentów (oraz szefów innych struktur administracyjnych, takich jak służby, biura i agencje wykonawcze).</w:t>
      </w:r>
    </w:p>
  </w:footnote>
  <w:footnote w:id="7">
    <w:p w:rsidR="0043277E" w:rsidRDefault="000F2348">
      <w:pPr>
        <w:pStyle w:val="FootnoteText"/>
        <w:tabs>
          <w:tab w:val="left" w:pos="284"/>
        </w:tabs>
        <w:rPr>
          <w:rFonts w:ascii="Verdana" w:hAnsi="Verdana"/>
          <w:sz w:val="16"/>
        </w:rPr>
      </w:pPr>
      <w:r>
        <w:rPr>
          <w:rStyle w:val="FootnoteReference"/>
        </w:rPr>
        <w:footnoteRef/>
      </w:r>
      <w:r>
        <w:t xml:space="preserve"> </w:t>
      </w:r>
      <w:r>
        <w:tab/>
      </w:r>
      <w:r>
        <w:rPr>
          <w:rFonts w:ascii="Verdana" w:hAnsi="Verdana"/>
          <w:sz w:val="16"/>
        </w:rPr>
        <w:t>Zob. decyzja Komisji z dnia 21 listopada 2018 r. w sprawie Rady Zarządzania Korporacyjnego, C(2018) 7706.</w:t>
      </w:r>
    </w:p>
  </w:footnote>
  <w:footnote w:id="8">
    <w:p w:rsidR="0043277E" w:rsidRDefault="000F2348">
      <w:pPr>
        <w:pStyle w:val="Footnote"/>
      </w:pPr>
      <w:r>
        <w:rPr>
          <w:rStyle w:val="FootnoteReference"/>
          <w:sz w:val="18"/>
        </w:rPr>
        <w:footnoteRef/>
      </w:r>
      <w:r>
        <w:t xml:space="preserve"> </w:t>
      </w:r>
      <w:r>
        <w:tab/>
        <w:t>Np. stosowane przez Komisję zasady kont</w:t>
      </w:r>
      <w:r>
        <w:t>roli wewnętrznej opierają się na zasadach kontroli wewnętrznej COSO.</w:t>
      </w:r>
    </w:p>
  </w:footnote>
  <w:footnote w:id="9">
    <w:p w:rsidR="0043277E" w:rsidRDefault="000F2348">
      <w:pPr>
        <w:pStyle w:val="Footnote"/>
      </w:pPr>
      <w:r>
        <w:rPr>
          <w:rStyle w:val="FootnoteReference"/>
          <w:sz w:val="18"/>
        </w:rPr>
        <w:footnoteRef/>
      </w:r>
      <w:r>
        <w:t xml:space="preserve"> </w:t>
      </w:r>
      <w:r>
        <w:tab/>
      </w:r>
      <w:hyperlink r:id="rId2" w:history="1">
        <w:r>
          <w:t>https://ec.europa.eu/info/publications/governance-in-the-commission_en</w:t>
        </w:r>
      </w:hyperlink>
      <w:r>
        <w:t>. Więcej informacji można z</w:t>
      </w:r>
      <w:r>
        <w:t xml:space="preserve">naleźć w komunikacie do Komisji C(2018) 7704 „Streamlining and strengthening corporate governance within the European Commission” [„Usprawnianie i wzmacnianie ładu korporacyjnego w Komisji Europejskiej”], </w:t>
      </w:r>
      <w:hyperlink r:id="rId3" w:history="1">
        <w:r>
          <w:t>https://ec.europa.eu/info/sites/info/files/file_import/streamlining-strengthening-corporate-governan-ce-european-commission_en.pdf</w:t>
        </w:r>
      </w:hyperlink>
      <w:r>
        <w:t>.</w:t>
      </w:r>
    </w:p>
  </w:footnote>
  <w:footnote w:id="10">
    <w:p w:rsidR="0043277E" w:rsidRDefault="000F2348">
      <w:pPr>
        <w:pStyle w:val="FootnoteText"/>
        <w:tabs>
          <w:tab w:val="left" w:pos="284"/>
        </w:tabs>
        <w:rPr>
          <w:rFonts w:ascii="Verdana" w:hAnsi="Verdana"/>
          <w:sz w:val="16"/>
        </w:rPr>
      </w:pPr>
      <w:r>
        <w:rPr>
          <w:rStyle w:val="FootnoteReference"/>
          <w:rFonts w:ascii="Verdana" w:hAnsi="Verdana"/>
          <w:sz w:val="18"/>
        </w:rPr>
        <w:footnoteRef/>
      </w:r>
      <w:r w:rsidRPr="000F2348">
        <w:rPr>
          <w:rFonts w:ascii="Verdana" w:hAnsi="Verdana"/>
          <w:sz w:val="16"/>
          <w:lang w:val="en-IE"/>
        </w:rPr>
        <w:tab/>
        <w:t>Sprawozdanie specjalne nr 2</w:t>
      </w:r>
      <w:r w:rsidRPr="000F2348">
        <w:rPr>
          <w:rFonts w:ascii="Verdana" w:hAnsi="Verdana"/>
          <w:sz w:val="16"/>
          <w:lang w:val="en-IE"/>
        </w:rPr>
        <w:t xml:space="preserve">7/2016 – „Governance at the European Commission – best practice?” </w:t>
      </w:r>
      <w:r>
        <w:rPr>
          <w:rFonts w:ascii="Verdana" w:hAnsi="Verdana"/>
          <w:sz w:val="16"/>
        </w:rPr>
        <w:t>[„Czy administracja w Komisji Europejskiej stanowi przykład najlepszej praktyki?”].</w:t>
      </w:r>
    </w:p>
  </w:footnote>
  <w:footnote w:id="11">
    <w:p w:rsidR="0043277E" w:rsidRDefault="000F2348">
      <w:pPr>
        <w:pStyle w:val="FootnoteText"/>
        <w:tabs>
          <w:tab w:val="left" w:pos="284"/>
        </w:tabs>
        <w:spacing w:after="60"/>
        <w:ind w:left="284" w:hanging="284"/>
        <w:jc w:val="both"/>
      </w:pPr>
      <w:r>
        <w:rPr>
          <w:rStyle w:val="FootnoteReference"/>
          <w:rFonts w:ascii="Verdana" w:hAnsi="Verdana"/>
        </w:rPr>
        <w:footnoteRef/>
      </w:r>
      <w:r>
        <w:tab/>
      </w:r>
      <w:r>
        <w:rPr>
          <w:rFonts w:ascii="Verdana" w:hAnsi="Verdana"/>
          <w:sz w:val="16"/>
        </w:rPr>
        <w:t>Od połowy 2019 r. (w następstwie zmiany art. 12 regulaminu wewnętrznego) zarządzanie Europejskim Fundusz</w:t>
      </w:r>
      <w:r>
        <w:rPr>
          <w:rFonts w:ascii="Verdana" w:hAnsi="Verdana"/>
          <w:sz w:val="16"/>
        </w:rPr>
        <w:t>em Rozwoju (EFR) powierzono wspólnie pięciu departamentom (DEVCO, ECHO, EAC, EACEA, JRC).</w:t>
      </w:r>
    </w:p>
  </w:footnote>
  <w:footnote w:id="12">
    <w:p w:rsidR="0043277E" w:rsidRDefault="000F2348">
      <w:pPr>
        <w:pStyle w:val="Text6pNormalLeft"/>
        <w:tabs>
          <w:tab w:val="left" w:pos="284"/>
        </w:tabs>
        <w:ind w:left="284" w:hanging="284"/>
        <w:jc w:val="both"/>
        <w:rPr>
          <w:noProof w:val="0"/>
          <w:sz w:val="16"/>
          <w:szCs w:val="16"/>
        </w:rPr>
      </w:pPr>
      <w:r>
        <w:rPr>
          <w:rStyle w:val="FootnoteReference"/>
          <w:noProof w:val="0"/>
          <w:sz w:val="16"/>
          <w:szCs w:val="16"/>
        </w:rPr>
        <w:footnoteRef/>
      </w:r>
      <w:r>
        <w:rPr>
          <w:noProof w:val="0"/>
          <w:sz w:val="16"/>
          <w:szCs w:val="16"/>
        </w:rPr>
        <w:tab/>
        <w:t>System emerytalno-rentowy urzędników europejskich jest umownym (wirtualnym) funduszem o zdefiniowanych świadczeniach, w ramach którego składki pracowników wykorzyst</w:t>
      </w:r>
      <w:r>
        <w:rPr>
          <w:noProof w:val="0"/>
          <w:sz w:val="16"/>
          <w:szCs w:val="16"/>
        </w:rPr>
        <w:t>uje się do sfinansowania ich przyszłych emerytur. Chociaż nie istnieje żaden faktyczny fundusz inwestycyjny, uznaje się, że kwotę, jaka zostałaby pobrana przez taki fundusz, zainwestowano w obligacje długoterminowe państw członkowskich oraz że kwotę tę odz</w:t>
      </w:r>
      <w:r>
        <w:rPr>
          <w:noProof w:val="0"/>
          <w:sz w:val="16"/>
          <w:szCs w:val="16"/>
        </w:rPr>
        <w:t>wierciedlają zobowiązania emerytalne odnotowane w rocznych sprawozdaniach finansowych Unii Europejskiej. Państwa członkowskie wspólnie gwarantują wypłatę tych świadczeń zgodnie z art. 83 regulaminu pracowniczego oraz art. 4 ust. 3 Traktatu UE (w celu zapoz</w:t>
      </w:r>
      <w:r>
        <w:rPr>
          <w:noProof w:val="0"/>
          <w:sz w:val="16"/>
          <w:szCs w:val="16"/>
        </w:rPr>
        <w:t>nania się ze szczegółowym opisem programu zob. COM(2018) 829).</w:t>
      </w:r>
    </w:p>
  </w:footnote>
  <w:footnote w:id="13">
    <w:p w:rsidR="0043277E" w:rsidRDefault="000F2348">
      <w:pPr>
        <w:pStyle w:val="FootnoteText"/>
        <w:rPr>
          <w:sz w:val="16"/>
        </w:rPr>
      </w:pPr>
      <w:r>
        <w:rPr>
          <w:rStyle w:val="FootnoteReference"/>
        </w:rPr>
        <w:footnoteRef/>
      </w:r>
      <w:r>
        <w:t xml:space="preserve"> </w:t>
      </w:r>
      <w:r>
        <w:rPr>
          <w:sz w:val="16"/>
        </w:rPr>
        <w:t>https://ec.europa.eu/info/strategy/eu-budget/eu-long-term-budget/2021-2027_en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 xml:space="preserve">Roczne sprawozdanie </w:t>
    </w:r>
    <w:r>
      <w:rPr>
        <w:rFonts w:ascii="Verdana" w:hAnsi="Verdana"/>
        <w:i/>
        <w:iCs/>
        <w:color w:val="016794"/>
        <w:sz w:val="16"/>
        <w:szCs w:val="16"/>
      </w:rPr>
      <w:t>finansowe Unii Europejskiej za rok 2019</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w:t>
    </w:r>
    <w:r>
      <w:rPr>
        <w:rFonts w:ascii="Verdana" w:hAnsi="Verdana"/>
        <w:i/>
        <w:iCs/>
        <w:color w:val="016794"/>
        <w:sz w:val="16"/>
        <w:szCs w:val="16"/>
      </w:rPr>
      <w:t>9</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 xml:space="preserve">Roczne sprawozdanie finansowe Unii </w:t>
    </w:r>
    <w:r>
      <w:rPr>
        <w:rFonts w:ascii="Verdana" w:hAnsi="Verdana"/>
        <w:i/>
        <w:iCs/>
        <w:color w:val="016794"/>
        <w:sz w:val="16"/>
        <w:szCs w:val="16"/>
      </w:rPr>
      <w:t>Europejskiej za rok 2019</w: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 xml:space="preserve">Roczne </w:t>
    </w:r>
    <w:r>
      <w:rPr>
        <w:rFonts w:ascii="Verdana" w:hAnsi="Verdana"/>
        <w:i/>
        <w:iCs/>
        <w:color w:val="016794"/>
        <w:sz w:val="16"/>
        <w:szCs w:val="16"/>
      </w:rPr>
      <w:t>sprawozdanie finansowe Unii Europejskiej za rok 2019</w: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Roczne sprawozdanie </w:t>
    </w:r>
    <w:r>
      <w:rPr>
        <w:rFonts w:ascii="Verdana" w:hAnsi="Verdana"/>
        <w:i/>
        <w:color w:val="016794"/>
        <w:sz w:val="16"/>
        <w:szCs w:val="14"/>
      </w:rPr>
      <w:t>finansowe Unii Europejskiej za rok 2019</w: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w:t>
    </w:r>
    <w:r>
      <w:rPr>
        <w:rFonts w:ascii="Verdana" w:hAnsi="Verdana"/>
        <w:i/>
        <w:color w:val="016794"/>
        <w:sz w:val="16"/>
        <w:szCs w:val="14"/>
      </w:rPr>
      <w:t>e sprawozdanie finansowe Unii Europejskiej za rok 2019</w: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Roczne sprawozdanie finansowe Unii Europejskiej za </w:t>
    </w:r>
    <w:r>
      <w:rPr>
        <w:rFonts w:ascii="Verdana" w:hAnsi="Verdana"/>
        <w:i/>
        <w:color w:val="016794"/>
        <w:sz w:val="16"/>
        <w:szCs w:val="14"/>
      </w:rPr>
      <w:t>rok 2019</w: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Roczne sprawozdanie finansowe Unii Europejskiej za rok 2019</w: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w:t>
    </w:r>
    <w:r>
      <w:rPr>
        <w:rFonts w:ascii="Verdana" w:hAnsi="Verdana"/>
        <w:i/>
        <w:iCs/>
        <w:color w:val="016794"/>
        <w:sz w:val="16"/>
        <w:szCs w:val="16"/>
      </w:rPr>
      <w:t>ejskiej za rok 2019</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 xml:space="preserve">Roczne sprawozdanie finansowe Unii </w:t>
    </w:r>
    <w:r>
      <w:rPr>
        <w:rFonts w:ascii="Verdana" w:hAnsi="Verdana"/>
        <w:i/>
        <w:color w:val="016794"/>
        <w:sz w:val="16"/>
        <w:szCs w:val="14"/>
      </w:rPr>
      <w:t>Europejskiej za rok 2019</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 xml:space="preserve">Roczne sprawozdanie finansowe </w:t>
    </w:r>
    <w:r>
      <w:rPr>
        <w:rFonts w:ascii="Verdana" w:hAnsi="Verdana"/>
        <w:i/>
        <w:iCs/>
        <w:color w:val="016794"/>
        <w:sz w:val="16"/>
        <w:szCs w:val="16"/>
      </w:rPr>
      <w:t>Unii Europejskiej za rok 2019</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w:t>
    </w:r>
    <w:r>
      <w:rPr>
        <w:rFonts w:ascii="Verdana" w:hAnsi="Verdana"/>
        <w:i/>
        <w:iCs/>
        <w:color w:val="016794"/>
        <w:sz w:val="16"/>
        <w:szCs w:val="16"/>
      </w:rPr>
      <w:t>uropejskiej za rok 2019</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 xml:space="preserve">Roczne sprawozdanie </w:t>
    </w:r>
    <w:r>
      <w:rPr>
        <w:rFonts w:ascii="Verdana" w:hAnsi="Verdana"/>
        <w:i/>
        <w:iCs/>
        <w:color w:val="016794"/>
        <w:sz w:val="16"/>
        <w:szCs w:val="16"/>
      </w:rPr>
      <w:t>finansowe Unii Europejskiej za rok 2019</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0F2348">
    <w:pPr>
      <w:tabs>
        <w:tab w:val="center" w:pos="4819"/>
        <w:tab w:val="right" w:pos="9638"/>
      </w:tabs>
      <w:autoSpaceDE w:val="0"/>
      <w:autoSpaceDN w:val="0"/>
      <w:adjustRightInd w:val="0"/>
      <w:jc w:val="center"/>
    </w:pPr>
    <w:r>
      <w:rPr>
        <w:rFonts w:ascii="Verdana" w:hAnsi="Verdana"/>
        <w:i/>
        <w:iCs/>
        <w:color w:val="016794"/>
        <w:sz w:val="16"/>
        <w:szCs w:val="16"/>
      </w:rPr>
      <w:t>Roczne sprawozdanie finansowe Unii Europejskiej za rok 2019</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7E" w:rsidRDefault="00432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8AD6A118">
      <w:start w:val="1"/>
      <w:numFmt w:val="lowerLetter"/>
      <w:pStyle w:val="Textstand-alonenumberingLetters"/>
      <w:lvlText w:val="%1)"/>
      <w:lvlJc w:val="left"/>
      <w:pPr>
        <w:ind w:left="720" w:hanging="360"/>
      </w:pPr>
      <w:rPr>
        <w:rFonts w:hint="default"/>
      </w:rPr>
    </w:lvl>
    <w:lvl w:ilvl="1" w:tplc="8182D49C" w:tentative="1">
      <w:start w:val="1"/>
      <w:numFmt w:val="lowerLetter"/>
      <w:lvlText w:val="%2."/>
      <w:lvlJc w:val="left"/>
      <w:pPr>
        <w:ind w:left="1440" w:hanging="360"/>
      </w:pPr>
    </w:lvl>
    <w:lvl w:ilvl="2" w:tplc="03A41660" w:tentative="1">
      <w:start w:val="1"/>
      <w:numFmt w:val="lowerRoman"/>
      <w:lvlText w:val="%3."/>
      <w:lvlJc w:val="right"/>
      <w:pPr>
        <w:ind w:left="2160" w:hanging="180"/>
      </w:pPr>
    </w:lvl>
    <w:lvl w:ilvl="3" w:tplc="BCEE8BF0" w:tentative="1">
      <w:start w:val="1"/>
      <w:numFmt w:val="decimal"/>
      <w:lvlText w:val="%4."/>
      <w:lvlJc w:val="left"/>
      <w:pPr>
        <w:ind w:left="2880" w:hanging="360"/>
      </w:pPr>
    </w:lvl>
    <w:lvl w:ilvl="4" w:tplc="D63E8A18" w:tentative="1">
      <w:start w:val="1"/>
      <w:numFmt w:val="lowerLetter"/>
      <w:lvlText w:val="%5."/>
      <w:lvlJc w:val="left"/>
      <w:pPr>
        <w:ind w:left="3600" w:hanging="360"/>
      </w:pPr>
    </w:lvl>
    <w:lvl w:ilvl="5" w:tplc="1C9260F8" w:tentative="1">
      <w:start w:val="1"/>
      <w:numFmt w:val="lowerRoman"/>
      <w:lvlText w:val="%6."/>
      <w:lvlJc w:val="right"/>
      <w:pPr>
        <w:ind w:left="4320" w:hanging="180"/>
      </w:pPr>
    </w:lvl>
    <w:lvl w:ilvl="6" w:tplc="A9244EF4" w:tentative="1">
      <w:start w:val="1"/>
      <w:numFmt w:val="decimal"/>
      <w:lvlText w:val="%7."/>
      <w:lvlJc w:val="left"/>
      <w:pPr>
        <w:ind w:left="5040" w:hanging="360"/>
      </w:pPr>
    </w:lvl>
    <w:lvl w:ilvl="7" w:tplc="802444B0" w:tentative="1">
      <w:start w:val="1"/>
      <w:numFmt w:val="lowerLetter"/>
      <w:lvlText w:val="%8."/>
      <w:lvlJc w:val="left"/>
      <w:pPr>
        <w:ind w:left="5760" w:hanging="360"/>
      </w:pPr>
    </w:lvl>
    <w:lvl w:ilvl="8" w:tplc="642C69F4" w:tentative="1">
      <w:start w:val="1"/>
      <w:numFmt w:val="lowerRoman"/>
      <w:lvlText w:val="%9."/>
      <w:lvlJc w:val="right"/>
      <w:pPr>
        <w:ind w:left="6480" w:hanging="180"/>
      </w:pPr>
    </w:lvl>
  </w:abstractNum>
  <w:abstractNum w:abstractNumId="2" w15:restartNumberingAfterBreak="0">
    <w:nsid w:val="00000004"/>
    <w:multiLevelType w:val="hybridMultilevel"/>
    <w:tmpl w:val="7CB6E1C4"/>
    <w:lvl w:ilvl="0" w:tplc="5AF6F32A">
      <w:start w:val="1"/>
      <w:numFmt w:val="decimal"/>
      <w:pStyle w:val="DGTextstand-alonenumbering"/>
      <w:lvlText w:val="(%1)"/>
      <w:lvlJc w:val="left"/>
      <w:pPr>
        <w:ind w:left="720" w:hanging="360"/>
      </w:pPr>
      <w:rPr>
        <w:rFonts w:hint="default"/>
      </w:rPr>
    </w:lvl>
    <w:lvl w:ilvl="1" w:tplc="38D25BA6" w:tentative="1">
      <w:start w:val="1"/>
      <w:numFmt w:val="lowerLetter"/>
      <w:lvlText w:val="%2."/>
      <w:lvlJc w:val="left"/>
      <w:pPr>
        <w:ind w:left="1440" w:hanging="360"/>
      </w:pPr>
    </w:lvl>
    <w:lvl w:ilvl="2" w:tplc="4B323E20" w:tentative="1">
      <w:start w:val="1"/>
      <w:numFmt w:val="lowerRoman"/>
      <w:lvlText w:val="%3."/>
      <w:lvlJc w:val="right"/>
      <w:pPr>
        <w:ind w:left="2160" w:hanging="180"/>
      </w:pPr>
    </w:lvl>
    <w:lvl w:ilvl="3" w:tplc="CDE0A406" w:tentative="1">
      <w:start w:val="1"/>
      <w:numFmt w:val="decimal"/>
      <w:lvlText w:val="%4."/>
      <w:lvlJc w:val="left"/>
      <w:pPr>
        <w:ind w:left="2880" w:hanging="360"/>
      </w:pPr>
    </w:lvl>
    <w:lvl w:ilvl="4" w:tplc="FFCAA046" w:tentative="1">
      <w:start w:val="1"/>
      <w:numFmt w:val="lowerLetter"/>
      <w:lvlText w:val="%5."/>
      <w:lvlJc w:val="left"/>
      <w:pPr>
        <w:ind w:left="3600" w:hanging="360"/>
      </w:pPr>
    </w:lvl>
    <w:lvl w:ilvl="5" w:tplc="3C282AC6" w:tentative="1">
      <w:start w:val="1"/>
      <w:numFmt w:val="lowerRoman"/>
      <w:lvlText w:val="%6."/>
      <w:lvlJc w:val="right"/>
      <w:pPr>
        <w:ind w:left="4320" w:hanging="180"/>
      </w:pPr>
    </w:lvl>
    <w:lvl w:ilvl="6" w:tplc="67F8ED02" w:tentative="1">
      <w:start w:val="1"/>
      <w:numFmt w:val="decimal"/>
      <w:lvlText w:val="%7."/>
      <w:lvlJc w:val="left"/>
      <w:pPr>
        <w:ind w:left="5040" w:hanging="360"/>
      </w:pPr>
    </w:lvl>
    <w:lvl w:ilvl="7" w:tplc="EFF8B878" w:tentative="1">
      <w:start w:val="1"/>
      <w:numFmt w:val="lowerLetter"/>
      <w:lvlText w:val="%8."/>
      <w:lvlJc w:val="left"/>
      <w:pPr>
        <w:ind w:left="5760" w:hanging="360"/>
      </w:pPr>
    </w:lvl>
    <w:lvl w:ilvl="8" w:tplc="4E64DA06" w:tentative="1">
      <w:start w:val="1"/>
      <w:numFmt w:val="lowerRoman"/>
      <w:lvlText w:val="%9."/>
      <w:lvlJc w:val="right"/>
      <w:pPr>
        <w:ind w:left="6480" w:hanging="180"/>
      </w:pPr>
    </w:lvl>
  </w:abstractNum>
  <w:abstractNum w:abstractNumId="3" w15:restartNumberingAfterBreak="0">
    <w:nsid w:val="00000006"/>
    <w:multiLevelType w:val="hybridMultilevel"/>
    <w:tmpl w:val="42FC2B20"/>
    <w:lvl w:ilvl="0" w:tplc="F6DE5582">
      <w:start w:val="1"/>
      <w:numFmt w:val="lowerRoman"/>
      <w:pStyle w:val="TextSubtitlenumberingRCItalic"/>
      <w:lvlText w:val="(%1)"/>
      <w:lvlJc w:val="left"/>
      <w:pPr>
        <w:ind w:left="720" w:hanging="360"/>
      </w:pPr>
      <w:rPr>
        <w:rFonts w:hint="default"/>
      </w:rPr>
    </w:lvl>
    <w:lvl w:ilvl="1" w:tplc="CA245858">
      <w:start w:val="1"/>
      <w:numFmt w:val="lowerLetter"/>
      <w:lvlText w:val="%2."/>
      <w:lvlJc w:val="left"/>
      <w:pPr>
        <w:ind w:left="1440" w:hanging="360"/>
      </w:pPr>
    </w:lvl>
    <w:lvl w:ilvl="2" w:tplc="9B8E16BE" w:tentative="1">
      <w:start w:val="1"/>
      <w:numFmt w:val="lowerRoman"/>
      <w:lvlText w:val="%3."/>
      <w:lvlJc w:val="right"/>
      <w:pPr>
        <w:ind w:left="2160" w:hanging="180"/>
      </w:pPr>
    </w:lvl>
    <w:lvl w:ilvl="3" w:tplc="EF622EAA" w:tentative="1">
      <w:start w:val="1"/>
      <w:numFmt w:val="decimal"/>
      <w:lvlText w:val="%4."/>
      <w:lvlJc w:val="left"/>
      <w:pPr>
        <w:ind w:left="2880" w:hanging="360"/>
      </w:pPr>
    </w:lvl>
    <w:lvl w:ilvl="4" w:tplc="B5DE7F9E" w:tentative="1">
      <w:start w:val="1"/>
      <w:numFmt w:val="lowerLetter"/>
      <w:lvlText w:val="%5."/>
      <w:lvlJc w:val="left"/>
      <w:pPr>
        <w:ind w:left="3600" w:hanging="360"/>
      </w:pPr>
    </w:lvl>
    <w:lvl w:ilvl="5" w:tplc="601C6EAE" w:tentative="1">
      <w:start w:val="1"/>
      <w:numFmt w:val="lowerRoman"/>
      <w:lvlText w:val="%6."/>
      <w:lvlJc w:val="right"/>
      <w:pPr>
        <w:ind w:left="4320" w:hanging="180"/>
      </w:pPr>
    </w:lvl>
    <w:lvl w:ilvl="6" w:tplc="A58A0A92" w:tentative="1">
      <w:start w:val="1"/>
      <w:numFmt w:val="decimal"/>
      <w:lvlText w:val="%7."/>
      <w:lvlJc w:val="left"/>
      <w:pPr>
        <w:ind w:left="5040" w:hanging="360"/>
      </w:pPr>
    </w:lvl>
    <w:lvl w:ilvl="7" w:tplc="CD6AD78C" w:tentative="1">
      <w:start w:val="1"/>
      <w:numFmt w:val="lowerLetter"/>
      <w:lvlText w:val="%8."/>
      <w:lvlJc w:val="left"/>
      <w:pPr>
        <w:ind w:left="5760" w:hanging="360"/>
      </w:pPr>
    </w:lvl>
    <w:lvl w:ilvl="8" w:tplc="B21EB1D2" w:tentative="1">
      <w:start w:val="1"/>
      <w:numFmt w:val="lowerRoman"/>
      <w:lvlText w:val="%9."/>
      <w:lvlJc w:val="right"/>
      <w:pPr>
        <w:ind w:left="6480" w:hanging="180"/>
      </w:pPr>
    </w:lvl>
  </w:abstractNum>
  <w:abstractNum w:abstractNumId="4" w15:restartNumberingAfterBreak="0">
    <w:nsid w:val="00000007"/>
    <w:multiLevelType w:val="hybridMultilevel"/>
    <w:tmpl w:val="5DD0517A"/>
    <w:lvl w:ilvl="0" w:tplc="89C4BFD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59D6CE06" w:tentative="1">
      <w:start w:val="1"/>
      <w:numFmt w:val="lowerLetter"/>
      <w:lvlText w:val="%2."/>
      <w:lvlJc w:val="left"/>
      <w:pPr>
        <w:ind w:left="1797" w:hanging="360"/>
      </w:pPr>
    </w:lvl>
    <w:lvl w:ilvl="2" w:tplc="6A244588" w:tentative="1">
      <w:start w:val="1"/>
      <w:numFmt w:val="lowerRoman"/>
      <w:lvlText w:val="%3."/>
      <w:lvlJc w:val="right"/>
      <w:pPr>
        <w:ind w:left="2517" w:hanging="180"/>
      </w:pPr>
    </w:lvl>
    <w:lvl w:ilvl="3" w:tplc="EA78C2A0" w:tentative="1">
      <w:start w:val="1"/>
      <w:numFmt w:val="decimal"/>
      <w:lvlText w:val="%4."/>
      <w:lvlJc w:val="left"/>
      <w:pPr>
        <w:ind w:left="3237" w:hanging="360"/>
      </w:pPr>
    </w:lvl>
    <w:lvl w:ilvl="4" w:tplc="F2A6589A" w:tentative="1">
      <w:start w:val="1"/>
      <w:numFmt w:val="lowerLetter"/>
      <w:lvlText w:val="%5."/>
      <w:lvlJc w:val="left"/>
      <w:pPr>
        <w:ind w:left="3957" w:hanging="360"/>
      </w:pPr>
    </w:lvl>
    <w:lvl w:ilvl="5" w:tplc="60E8033C" w:tentative="1">
      <w:start w:val="1"/>
      <w:numFmt w:val="lowerRoman"/>
      <w:lvlText w:val="%6."/>
      <w:lvlJc w:val="right"/>
      <w:pPr>
        <w:ind w:left="4677" w:hanging="180"/>
      </w:pPr>
    </w:lvl>
    <w:lvl w:ilvl="6" w:tplc="72349ADE" w:tentative="1">
      <w:start w:val="1"/>
      <w:numFmt w:val="decimal"/>
      <w:lvlText w:val="%7."/>
      <w:lvlJc w:val="left"/>
      <w:pPr>
        <w:ind w:left="5397" w:hanging="360"/>
      </w:pPr>
    </w:lvl>
    <w:lvl w:ilvl="7" w:tplc="D0BC5C94" w:tentative="1">
      <w:start w:val="1"/>
      <w:numFmt w:val="lowerLetter"/>
      <w:lvlText w:val="%8."/>
      <w:lvlJc w:val="left"/>
      <w:pPr>
        <w:ind w:left="6117" w:hanging="360"/>
      </w:pPr>
    </w:lvl>
    <w:lvl w:ilvl="8" w:tplc="0E1A41B2" w:tentative="1">
      <w:start w:val="1"/>
      <w:numFmt w:val="lowerRoman"/>
      <w:lvlText w:val="%9."/>
      <w:lvlJc w:val="right"/>
      <w:pPr>
        <w:ind w:left="6837" w:hanging="180"/>
      </w:pPr>
    </w:lvl>
  </w:abstractNum>
  <w:abstractNum w:abstractNumId="5" w15:restartNumberingAfterBreak="0">
    <w:nsid w:val="00000008"/>
    <w:multiLevelType w:val="multilevel"/>
    <w:tmpl w:val="D47069DE"/>
    <w:lvl w:ilvl="0">
      <w:start w:val="1"/>
      <w:numFmt w:val="lowerLetter"/>
      <w:pStyle w:val="TextSubtitleItalicnumberinglettera"/>
      <w:lvlText w:val="%1)"/>
      <w:lvlJc w:val="left"/>
      <w:pPr>
        <w:ind w:left="0" w:firstLine="0"/>
      </w:pPr>
      <w:rPr>
        <w:rFonts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2D84663"/>
    <w:multiLevelType w:val="hybridMultilevel"/>
    <w:tmpl w:val="2C8AF8BE"/>
    <w:lvl w:ilvl="0" w:tplc="34F63086">
      <w:start w:val="1"/>
      <w:numFmt w:val="bullet"/>
      <w:lvlText w:val=""/>
      <w:lvlJc w:val="left"/>
      <w:pPr>
        <w:ind w:left="720" w:hanging="360"/>
      </w:pPr>
      <w:rPr>
        <w:rFonts w:ascii="Symbol" w:hAnsi="Symbol" w:hint="default"/>
      </w:rPr>
    </w:lvl>
    <w:lvl w:ilvl="1" w:tplc="ED881280" w:tentative="1">
      <w:start w:val="1"/>
      <w:numFmt w:val="bullet"/>
      <w:lvlText w:val="o"/>
      <w:lvlJc w:val="left"/>
      <w:pPr>
        <w:ind w:left="1440" w:hanging="360"/>
      </w:pPr>
      <w:rPr>
        <w:rFonts w:ascii="Courier New" w:hAnsi="Courier New" w:cs="Courier New" w:hint="default"/>
      </w:rPr>
    </w:lvl>
    <w:lvl w:ilvl="2" w:tplc="25ACA470" w:tentative="1">
      <w:start w:val="1"/>
      <w:numFmt w:val="bullet"/>
      <w:lvlText w:val=""/>
      <w:lvlJc w:val="left"/>
      <w:pPr>
        <w:ind w:left="2160" w:hanging="360"/>
      </w:pPr>
      <w:rPr>
        <w:rFonts w:ascii="Wingdings" w:hAnsi="Wingdings" w:hint="default"/>
      </w:rPr>
    </w:lvl>
    <w:lvl w:ilvl="3" w:tplc="D310BC08" w:tentative="1">
      <w:start w:val="1"/>
      <w:numFmt w:val="bullet"/>
      <w:lvlText w:val=""/>
      <w:lvlJc w:val="left"/>
      <w:pPr>
        <w:ind w:left="2880" w:hanging="360"/>
      </w:pPr>
      <w:rPr>
        <w:rFonts w:ascii="Symbol" w:hAnsi="Symbol" w:hint="default"/>
      </w:rPr>
    </w:lvl>
    <w:lvl w:ilvl="4" w:tplc="F81CE998" w:tentative="1">
      <w:start w:val="1"/>
      <w:numFmt w:val="bullet"/>
      <w:lvlText w:val="o"/>
      <w:lvlJc w:val="left"/>
      <w:pPr>
        <w:ind w:left="3600" w:hanging="360"/>
      </w:pPr>
      <w:rPr>
        <w:rFonts w:ascii="Courier New" w:hAnsi="Courier New" w:cs="Courier New" w:hint="default"/>
      </w:rPr>
    </w:lvl>
    <w:lvl w:ilvl="5" w:tplc="FC0E5428" w:tentative="1">
      <w:start w:val="1"/>
      <w:numFmt w:val="bullet"/>
      <w:lvlText w:val=""/>
      <w:lvlJc w:val="left"/>
      <w:pPr>
        <w:ind w:left="4320" w:hanging="360"/>
      </w:pPr>
      <w:rPr>
        <w:rFonts w:ascii="Wingdings" w:hAnsi="Wingdings" w:hint="default"/>
      </w:rPr>
    </w:lvl>
    <w:lvl w:ilvl="6" w:tplc="0DC2459A" w:tentative="1">
      <w:start w:val="1"/>
      <w:numFmt w:val="bullet"/>
      <w:lvlText w:val=""/>
      <w:lvlJc w:val="left"/>
      <w:pPr>
        <w:ind w:left="5040" w:hanging="360"/>
      </w:pPr>
      <w:rPr>
        <w:rFonts w:ascii="Symbol" w:hAnsi="Symbol" w:hint="default"/>
      </w:rPr>
    </w:lvl>
    <w:lvl w:ilvl="7" w:tplc="8BF6D738" w:tentative="1">
      <w:start w:val="1"/>
      <w:numFmt w:val="bullet"/>
      <w:lvlText w:val="o"/>
      <w:lvlJc w:val="left"/>
      <w:pPr>
        <w:ind w:left="5760" w:hanging="360"/>
      </w:pPr>
      <w:rPr>
        <w:rFonts w:ascii="Courier New" w:hAnsi="Courier New" w:cs="Courier New" w:hint="default"/>
      </w:rPr>
    </w:lvl>
    <w:lvl w:ilvl="8" w:tplc="1DBE7BDA" w:tentative="1">
      <w:start w:val="1"/>
      <w:numFmt w:val="bullet"/>
      <w:lvlText w:val=""/>
      <w:lvlJc w:val="left"/>
      <w:pPr>
        <w:ind w:left="6480" w:hanging="360"/>
      </w:pPr>
      <w:rPr>
        <w:rFonts w:ascii="Wingdings" w:hAnsi="Wingdings" w:hint="default"/>
      </w:rPr>
    </w:lvl>
  </w:abstractNum>
  <w:abstractNum w:abstractNumId="8" w15:restartNumberingAfterBreak="0">
    <w:nsid w:val="044A29A5"/>
    <w:multiLevelType w:val="hybridMultilevel"/>
    <w:tmpl w:val="BBAA02F4"/>
    <w:lvl w:ilvl="0" w:tplc="C1741F28">
      <w:start w:val="1"/>
      <w:numFmt w:val="bullet"/>
      <w:lvlText w:val=""/>
      <w:lvlJc w:val="left"/>
      <w:pPr>
        <w:ind w:left="720" w:hanging="360"/>
      </w:pPr>
      <w:rPr>
        <w:rFonts w:ascii="Symbol" w:hAnsi="Symbol" w:hint="default"/>
        <w:color w:val="auto"/>
        <w:u w:color="FFFF00"/>
      </w:rPr>
    </w:lvl>
    <w:lvl w:ilvl="1" w:tplc="C4C8B3FC" w:tentative="1">
      <w:start w:val="1"/>
      <w:numFmt w:val="bullet"/>
      <w:lvlText w:val="o"/>
      <w:lvlJc w:val="left"/>
      <w:pPr>
        <w:ind w:left="1440" w:hanging="360"/>
      </w:pPr>
      <w:rPr>
        <w:rFonts w:ascii="Courier New" w:hAnsi="Courier New" w:cs="Courier New" w:hint="default"/>
      </w:rPr>
    </w:lvl>
    <w:lvl w:ilvl="2" w:tplc="36E08982" w:tentative="1">
      <w:start w:val="1"/>
      <w:numFmt w:val="bullet"/>
      <w:lvlText w:val=""/>
      <w:lvlJc w:val="left"/>
      <w:pPr>
        <w:ind w:left="2160" w:hanging="360"/>
      </w:pPr>
      <w:rPr>
        <w:rFonts w:ascii="Wingdings" w:hAnsi="Wingdings" w:hint="default"/>
      </w:rPr>
    </w:lvl>
    <w:lvl w:ilvl="3" w:tplc="A00A3FEA" w:tentative="1">
      <w:start w:val="1"/>
      <w:numFmt w:val="bullet"/>
      <w:lvlText w:val=""/>
      <w:lvlJc w:val="left"/>
      <w:pPr>
        <w:ind w:left="2880" w:hanging="360"/>
      </w:pPr>
      <w:rPr>
        <w:rFonts w:ascii="Symbol" w:hAnsi="Symbol" w:hint="default"/>
      </w:rPr>
    </w:lvl>
    <w:lvl w:ilvl="4" w:tplc="646E5680" w:tentative="1">
      <w:start w:val="1"/>
      <w:numFmt w:val="bullet"/>
      <w:lvlText w:val="o"/>
      <w:lvlJc w:val="left"/>
      <w:pPr>
        <w:ind w:left="3600" w:hanging="360"/>
      </w:pPr>
      <w:rPr>
        <w:rFonts w:ascii="Courier New" w:hAnsi="Courier New" w:cs="Courier New" w:hint="default"/>
      </w:rPr>
    </w:lvl>
    <w:lvl w:ilvl="5" w:tplc="D26ABDDA" w:tentative="1">
      <w:start w:val="1"/>
      <w:numFmt w:val="bullet"/>
      <w:lvlText w:val=""/>
      <w:lvlJc w:val="left"/>
      <w:pPr>
        <w:ind w:left="4320" w:hanging="360"/>
      </w:pPr>
      <w:rPr>
        <w:rFonts w:ascii="Wingdings" w:hAnsi="Wingdings" w:hint="default"/>
      </w:rPr>
    </w:lvl>
    <w:lvl w:ilvl="6" w:tplc="0494E82E" w:tentative="1">
      <w:start w:val="1"/>
      <w:numFmt w:val="bullet"/>
      <w:lvlText w:val=""/>
      <w:lvlJc w:val="left"/>
      <w:pPr>
        <w:ind w:left="5040" w:hanging="360"/>
      </w:pPr>
      <w:rPr>
        <w:rFonts w:ascii="Symbol" w:hAnsi="Symbol" w:hint="default"/>
      </w:rPr>
    </w:lvl>
    <w:lvl w:ilvl="7" w:tplc="F020A912" w:tentative="1">
      <w:start w:val="1"/>
      <w:numFmt w:val="bullet"/>
      <w:lvlText w:val="o"/>
      <w:lvlJc w:val="left"/>
      <w:pPr>
        <w:ind w:left="5760" w:hanging="360"/>
      </w:pPr>
      <w:rPr>
        <w:rFonts w:ascii="Courier New" w:hAnsi="Courier New" w:cs="Courier New" w:hint="default"/>
      </w:rPr>
    </w:lvl>
    <w:lvl w:ilvl="8" w:tplc="8E142074" w:tentative="1">
      <w:start w:val="1"/>
      <w:numFmt w:val="bullet"/>
      <w:lvlText w:val=""/>
      <w:lvlJc w:val="left"/>
      <w:pPr>
        <w:ind w:left="6480" w:hanging="360"/>
      </w:pPr>
      <w:rPr>
        <w:rFonts w:ascii="Wingdings" w:hAnsi="Wingdings" w:hint="default"/>
      </w:rPr>
    </w:lvl>
  </w:abstractNum>
  <w:abstractNum w:abstractNumId="9" w15:restartNumberingAfterBreak="0">
    <w:nsid w:val="05524CF5"/>
    <w:multiLevelType w:val="hybridMultilevel"/>
    <w:tmpl w:val="A0B81E40"/>
    <w:lvl w:ilvl="0" w:tplc="8B104F28">
      <w:start w:val="1"/>
      <w:numFmt w:val="bullet"/>
      <w:lvlText w:val=""/>
      <w:lvlJc w:val="left"/>
      <w:pPr>
        <w:ind w:left="720" w:hanging="360"/>
      </w:pPr>
      <w:rPr>
        <w:rFonts w:ascii="Symbol" w:hAnsi="Symbol" w:hint="default"/>
        <w:color w:val="016794"/>
        <w:u w:color="016794"/>
      </w:rPr>
    </w:lvl>
    <w:lvl w:ilvl="1" w:tplc="1F4283E2" w:tentative="1">
      <w:start w:val="1"/>
      <w:numFmt w:val="bullet"/>
      <w:lvlText w:val="o"/>
      <w:lvlJc w:val="left"/>
      <w:pPr>
        <w:ind w:left="1440" w:hanging="360"/>
      </w:pPr>
      <w:rPr>
        <w:rFonts w:ascii="Courier New" w:hAnsi="Courier New" w:cs="Courier New" w:hint="default"/>
      </w:rPr>
    </w:lvl>
    <w:lvl w:ilvl="2" w:tplc="DD50CFEC" w:tentative="1">
      <w:start w:val="1"/>
      <w:numFmt w:val="bullet"/>
      <w:lvlText w:val=""/>
      <w:lvlJc w:val="left"/>
      <w:pPr>
        <w:ind w:left="2160" w:hanging="360"/>
      </w:pPr>
      <w:rPr>
        <w:rFonts w:ascii="Wingdings" w:hAnsi="Wingdings" w:hint="default"/>
      </w:rPr>
    </w:lvl>
    <w:lvl w:ilvl="3" w:tplc="0F4EA338" w:tentative="1">
      <w:start w:val="1"/>
      <w:numFmt w:val="bullet"/>
      <w:lvlText w:val=""/>
      <w:lvlJc w:val="left"/>
      <w:pPr>
        <w:ind w:left="2880" w:hanging="360"/>
      </w:pPr>
      <w:rPr>
        <w:rFonts w:ascii="Symbol" w:hAnsi="Symbol" w:hint="default"/>
      </w:rPr>
    </w:lvl>
    <w:lvl w:ilvl="4" w:tplc="27681D92" w:tentative="1">
      <w:start w:val="1"/>
      <w:numFmt w:val="bullet"/>
      <w:lvlText w:val="o"/>
      <w:lvlJc w:val="left"/>
      <w:pPr>
        <w:ind w:left="3600" w:hanging="360"/>
      </w:pPr>
      <w:rPr>
        <w:rFonts w:ascii="Courier New" w:hAnsi="Courier New" w:cs="Courier New" w:hint="default"/>
      </w:rPr>
    </w:lvl>
    <w:lvl w:ilvl="5" w:tplc="E292C02E" w:tentative="1">
      <w:start w:val="1"/>
      <w:numFmt w:val="bullet"/>
      <w:lvlText w:val=""/>
      <w:lvlJc w:val="left"/>
      <w:pPr>
        <w:ind w:left="4320" w:hanging="360"/>
      </w:pPr>
      <w:rPr>
        <w:rFonts w:ascii="Wingdings" w:hAnsi="Wingdings" w:hint="default"/>
      </w:rPr>
    </w:lvl>
    <w:lvl w:ilvl="6" w:tplc="3B3CE1E2" w:tentative="1">
      <w:start w:val="1"/>
      <w:numFmt w:val="bullet"/>
      <w:lvlText w:val=""/>
      <w:lvlJc w:val="left"/>
      <w:pPr>
        <w:ind w:left="5040" w:hanging="360"/>
      </w:pPr>
      <w:rPr>
        <w:rFonts w:ascii="Symbol" w:hAnsi="Symbol" w:hint="default"/>
      </w:rPr>
    </w:lvl>
    <w:lvl w:ilvl="7" w:tplc="4156158E" w:tentative="1">
      <w:start w:val="1"/>
      <w:numFmt w:val="bullet"/>
      <w:lvlText w:val="o"/>
      <w:lvlJc w:val="left"/>
      <w:pPr>
        <w:ind w:left="5760" w:hanging="360"/>
      </w:pPr>
      <w:rPr>
        <w:rFonts w:ascii="Courier New" w:hAnsi="Courier New" w:cs="Courier New" w:hint="default"/>
      </w:rPr>
    </w:lvl>
    <w:lvl w:ilvl="8" w:tplc="45DA2DE6" w:tentative="1">
      <w:start w:val="1"/>
      <w:numFmt w:val="bullet"/>
      <w:lvlText w:val=""/>
      <w:lvlJc w:val="left"/>
      <w:pPr>
        <w:ind w:left="6480" w:hanging="360"/>
      </w:pPr>
      <w:rPr>
        <w:rFonts w:ascii="Wingdings" w:hAnsi="Wingdings" w:hint="default"/>
      </w:rPr>
    </w:lvl>
  </w:abstractNum>
  <w:abstractNum w:abstractNumId="10" w15:restartNumberingAfterBreak="0">
    <w:nsid w:val="098A3198"/>
    <w:multiLevelType w:val="hybridMultilevel"/>
    <w:tmpl w:val="A99C3C74"/>
    <w:lvl w:ilvl="0" w:tplc="D1D2DEEE">
      <w:start w:val="1"/>
      <w:numFmt w:val="decimal"/>
      <w:pStyle w:val="HEADER4Part3"/>
      <w:lvlText w:val="%1.1.1.1"/>
      <w:lvlJc w:val="left"/>
      <w:pPr>
        <w:ind w:left="720" w:hanging="360"/>
      </w:pPr>
      <w:rPr>
        <w:rFonts w:ascii="Verdana" w:hAnsi="Verdana" w:hint="default"/>
        <w:sz w:val="18"/>
        <w:szCs w:val="18"/>
      </w:rPr>
    </w:lvl>
    <w:lvl w:ilvl="1" w:tplc="DCB6D718" w:tentative="1">
      <w:start w:val="1"/>
      <w:numFmt w:val="lowerLetter"/>
      <w:lvlText w:val="%2."/>
      <w:lvlJc w:val="left"/>
      <w:pPr>
        <w:ind w:left="1440" w:hanging="360"/>
      </w:pPr>
    </w:lvl>
    <w:lvl w:ilvl="2" w:tplc="456814AE" w:tentative="1">
      <w:start w:val="1"/>
      <w:numFmt w:val="lowerRoman"/>
      <w:lvlText w:val="%3."/>
      <w:lvlJc w:val="right"/>
      <w:pPr>
        <w:ind w:left="2160" w:hanging="180"/>
      </w:pPr>
    </w:lvl>
    <w:lvl w:ilvl="3" w:tplc="B4CED25E">
      <w:start w:val="1"/>
      <w:numFmt w:val="decimal"/>
      <w:lvlText w:val="%4."/>
      <w:lvlJc w:val="left"/>
      <w:pPr>
        <w:ind w:left="2880" w:hanging="360"/>
      </w:pPr>
    </w:lvl>
    <w:lvl w:ilvl="4" w:tplc="21DAF1C8" w:tentative="1">
      <w:start w:val="1"/>
      <w:numFmt w:val="lowerLetter"/>
      <w:lvlText w:val="%5."/>
      <w:lvlJc w:val="left"/>
      <w:pPr>
        <w:ind w:left="3600" w:hanging="360"/>
      </w:pPr>
    </w:lvl>
    <w:lvl w:ilvl="5" w:tplc="1AD260FC" w:tentative="1">
      <w:start w:val="1"/>
      <w:numFmt w:val="lowerRoman"/>
      <w:lvlText w:val="%6."/>
      <w:lvlJc w:val="right"/>
      <w:pPr>
        <w:ind w:left="4320" w:hanging="180"/>
      </w:pPr>
    </w:lvl>
    <w:lvl w:ilvl="6" w:tplc="1CB84764" w:tentative="1">
      <w:start w:val="1"/>
      <w:numFmt w:val="decimal"/>
      <w:lvlText w:val="%7."/>
      <w:lvlJc w:val="left"/>
      <w:pPr>
        <w:ind w:left="5040" w:hanging="360"/>
      </w:pPr>
    </w:lvl>
    <w:lvl w:ilvl="7" w:tplc="5A82CA26" w:tentative="1">
      <w:start w:val="1"/>
      <w:numFmt w:val="lowerLetter"/>
      <w:lvlText w:val="%8."/>
      <w:lvlJc w:val="left"/>
      <w:pPr>
        <w:ind w:left="5760" w:hanging="360"/>
      </w:pPr>
    </w:lvl>
    <w:lvl w:ilvl="8" w:tplc="C9C29392" w:tentative="1">
      <w:start w:val="1"/>
      <w:numFmt w:val="lowerRoman"/>
      <w:lvlText w:val="%9."/>
      <w:lvlJc w:val="right"/>
      <w:pPr>
        <w:ind w:left="6480" w:hanging="180"/>
      </w:pPr>
    </w:lvl>
  </w:abstractNum>
  <w:abstractNum w:abstractNumId="11" w15:restartNumberingAfterBreak="0">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15:restartNumberingAfterBreak="0">
    <w:nsid w:val="0FEB6FFB"/>
    <w:multiLevelType w:val="hybridMultilevel"/>
    <w:tmpl w:val="6B423194"/>
    <w:lvl w:ilvl="0" w:tplc="2738D6D4">
      <w:start w:val="1"/>
      <w:numFmt w:val="bullet"/>
      <w:lvlText w:val=""/>
      <w:lvlJc w:val="left"/>
      <w:pPr>
        <w:ind w:left="720" w:hanging="360"/>
      </w:pPr>
      <w:rPr>
        <w:rFonts w:ascii="Symbol" w:hAnsi="Symbol" w:hint="default"/>
      </w:rPr>
    </w:lvl>
    <w:lvl w:ilvl="1" w:tplc="1C7630B0" w:tentative="1">
      <w:start w:val="1"/>
      <w:numFmt w:val="bullet"/>
      <w:lvlText w:val="o"/>
      <w:lvlJc w:val="left"/>
      <w:pPr>
        <w:ind w:left="1440" w:hanging="360"/>
      </w:pPr>
      <w:rPr>
        <w:rFonts w:ascii="Courier New" w:hAnsi="Courier New" w:cs="Courier New" w:hint="default"/>
      </w:rPr>
    </w:lvl>
    <w:lvl w:ilvl="2" w:tplc="3760DDC6" w:tentative="1">
      <w:start w:val="1"/>
      <w:numFmt w:val="bullet"/>
      <w:lvlText w:val=""/>
      <w:lvlJc w:val="left"/>
      <w:pPr>
        <w:ind w:left="2160" w:hanging="360"/>
      </w:pPr>
      <w:rPr>
        <w:rFonts w:ascii="Wingdings" w:hAnsi="Wingdings" w:hint="default"/>
      </w:rPr>
    </w:lvl>
    <w:lvl w:ilvl="3" w:tplc="7166DB06" w:tentative="1">
      <w:start w:val="1"/>
      <w:numFmt w:val="bullet"/>
      <w:lvlText w:val=""/>
      <w:lvlJc w:val="left"/>
      <w:pPr>
        <w:ind w:left="2880" w:hanging="360"/>
      </w:pPr>
      <w:rPr>
        <w:rFonts w:ascii="Symbol" w:hAnsi="Symbol" w:hint="default"/>
      </w:rPr>
    </w:lvl>
    <w:lvl w:ilvl="4" w:tplc="0556F6F0" w:tentative="1">
      <w:start w:val="1"/>
      <w:numFmt w:val="bullet"/>
      <w:lvlText w:val="o"/>
      <w:lvlJc w:val="left"/>
      <w:pPr>
        <w:ind w:left="3600" w:hanging="360"/>
      </w:pPr>
      <w:rPr>
        <w:rFonts w:ascii="Courier New" w:hAnsi="Courier New" w:cs="Courier New" w:hint="default"/>
      </w:rPr>
    </w:lvl>
    <w:lvl w:ilvl="5" w:tplc="1D9687A4" w:tentative="1">
      <w:start w:val="1"/>
      <w:numFmt w:val="bullet"/>
      <w:lvlText w:val=""/>
      <w:lvlJc w:val="left"/>
      <w:pPr>
        <w:ind w:left="4320" w:hanging="360"/>
      </w:pPr>
      <w:rPr>
        <w:rFonts w:ascii="Wingdings" w:hAnsi="Wingdings" w:hint="default"/>
      </w:rPr>
    </w:lvl>
    <w:lvl w:ilvl="6" w:tplc="017C348E" w:tentative="1">
      <w:start w:val="1"/>
      <w:numFmt w:val="bullet"/>
      <w:lvlText w:val=""/>
      <w:lvlJc w:val="left"/>
      <w:pPr>
        <w:ind w:left="5040" w:hanging="360"/>
      </w:pPr>
      <w:rPr>
        <w:rFonts w:ascii="Symbol" w:hAnsi="Symbol" w:hint="default"/>
      </w:rPr>
    </w:lvl>
    <w:lvl w:ilvl="7" w:tplc="91AE2862" w:tentative="1">
      <w:start w:val="1"/>
      <w:numFmt w:val="bullet"/>
      <w:lvlText w:val="o"/>
      <w:lvlJc w:val="left"/>
      <w:pPr>
        <w:ind w:left="5760" w:hanging="360"/>
      </w:pPr>
      <w:rPr>
        <w:rFonts w:ascii="Courier New" w:hAnsi="Courier New" w:cs="Courier New" w:hint="default"/>
      </w:rPr>
    </w:lvl>
    <w:lvl w:ilvl="8" w:tplc="89DE970A" w:tentative="1">
      <w:start w:val="1"/>
      <w:numFmt w:val="bullet"/>
      <w:lvlText w:val=""/>
      <w:lvlJc w:val="left"/>
      <w:pPr>
        <w:ind w:left="6480" w:hanging="360"/>
      </w:pPr>
      <w:rPr>
        <w:rFonts w:ascii="Wingdings" w:hAnsi="Wingdings" w:hint="default"/>
      </w:rPr>
    </w:lvl>
  </w:abstractNum>
  <w:abstractNum w:abstractNumId="13" w15:restartNumberingAfterBreak="0">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12865EF8"/>
    <w:multiLevelType w:val="hybridMultilevel"/>
    <w:tmpl w:val="7A1604BC"/>
    <w:lvl w:ilvl="0" w:tplc="FAE23EAC">
      <w:start w:val="1"/>
      <w:numFmt w:val="lowerLetter"/>
      <w:lvlText w:val="%1)"/>
      <w:lvlJc w:val="left"/>
      <w:pPr>
        <w:ind w:left="717" w:hanging="360"/>
      </w:pPr>
      <w:rPr>
        <w:rFonts w:hint="default"/>
      </w:rPr>
    </w:lvl>
    <w:lvl w:ilvl="1" w:tplc="9BB63E76" w:tentative="1">
      <w:start w:val="1"/>
      <w:numFmt w:val="lowerLetter"/>
      <w:lvlText w:val="%2."/>
      <w:lvlJc w:val="left"/>
      <w:pPr>
        <w:ind w:left="1437" w:hanging="360"/>
      </w:pPr>
    </w:lvl>
    <w:lvl w:ilvl="2" w:tplc="A2287562" w:tentative="1">
      <w:start w:val="1"/>
      <w:numFmt w:val="lowerRoman"/>
      <w:lvlText w:val="%3."/>
      <w:lvlJc w:val="right"/>
      <w:pPr>
        <w:ind w:left="2157" w:hanging="180"/>
      </w:pPr>
    </w:lvl>
    <w:lvl w:ilvl="3" w:tplc="BCA81016" w:tentative="1">
      <w:start w:val="1"/>
      <w:numFmt w:val="decimal"/>
      <w:lvlText w:val="%4."/>
      <w:lvlJc w:val="left"/>
      <w:pPr>
        <w:ind w:left="2877" w:hanging="360"/>
      </w:pPr>
    </w:lvl>
    <w:lvl w:ilvl="4" w:tplc="A1360C66" w:tentative="1">
      <w:start w:val="1"/>
      <w:numFmt w:val="lowerLetter"/>
      <w:lvlText w:val="%5."/>
      <w:lvlJc w:val="left"/>
      <w:pPr>
        <w:ind w:left="3597" w:hanging="360"/>
      </w:pPr>
    </w:lvl>
    <w:lvl w:ilvl="5" w:tplc="1338973C" w:tentative="1">
      <w:start w:val="1"/>
      <w:numFmt w:val="lowerRoman"/>
      <w:lvlText w:val="%6."/>
      <w:lvlJc w:val="right"/>
      <w:pPr>
        <w:ind w:left="4317" w:hanging="180"/>
      </w:pPr>
    </w:lvl>
    <w:lvl w:ilvl="6" w:tplc="526E9C1C" w:tentative="1">
      <w:start w:val="1"/>
      <w:numFmt w:val="decimal"/>
      <w:lvlText w:val="%7."/>
      <w:lvlJc w:val="left"/>
      <w:pPr>
        <w:ind w:left="5037" w:hanging="360"/>
      </w:pPr>
    </w:lvl>
    <w:lvl w:ilvl="7" w:tplc="4540F972" w:tentative="1">
      <w:start w:val="1"/>
      <w:numFmt w:val="lowerLetter"/>
      <w:lvlText w:val="%8."/>
      <w:lvlJc w:val="left"/>
      <w:pPr>
        <w:ind w:left="5757" w:hanging="360"/>
      </w:pPr>
    </w:lvl>
    <w:lvl w:ilvl="8" w:tplc="45E6E3E6" w:tentative="1">
      <w:start w:val="1"/>
      <w:numFmt w:val="lowerRoman"/>
      <w:lvlText w:val="%9."/>
      <w:lvlJc w:val="right"/>
      <w:pPr>
        <w:ind w:left="6477" w:hanging="180"/>
      </w:pPr>
    </w:lvl>
  </w:abstractNum>
  <w:abstractNum w:abstractNumId="15" w15:restartNumberingAfterBreak="0">
    <w:nsid w:val="161C77D2"/>
    <w:multiLevelType w:val="hybridMultilevel"/>
    <w:tmpl w:val="0318EF0E"/>
    <w:lvl w:ilvl="0" w:tplc="DE76EB10">
      <w:start w:val="1"/>
      <w:numFmt w:val="bullet"/>
      <w:lvlText w:val=""/>
      <w:lvlJc w:val="left"/>
      <w:pPr>
        <w:ind w:left="720" w:hanging="360"/>
      </w:pPr>
      <w:rPr>
        <w:rFonts w:ascii="Symbol" w:hAnsi="Symbol" w:hint="default"/>
      </w:rPr>
    </w:lvl>
    <w:lvl w:ilvl="1" w:tplc="8D4AD8AC" w:tentative="1">
      <w:start w:val="1"/>
      <w:numFmt w:val="bullet"/>
      <w:lvlText w:val="o"/>
      <w:lvlJc w:val="left"/>
      <w:pPr>
        <w:ind w:left="1440" w:hanging="360"/>
      </w:pPr>
      <w:rPr>
        <w:rFonts w:ascii="Courier New" w:hAnsi="Courier New" w:cs="Courier New" w:hint="default"/>
      </w:rPr>
    </w:lvl>
    <w:lvl w:ilvl="2" w:tplc="E80490E4" w:tentative="1">
      <w:start w:val="1"/>
      <w:numFmt w:val="bullet"/>
      <w:lvlText w:val=""/>
      <w:lvlJc w:val="left"/>
      <w:pPr>
        <w:ind w:left="2160" w:hanging="360"/>
      </w:pPr>
      <w:rPr>
        <w:rFonts w:ascii="Wingdings" w:hAnsi="Wingdings" w:hint="default"/>
      </w:rPr>
    </w:lvl>
    <w:lvl w:ilvl="3" w:tplc="1E7CE806" w:tentative="1">
      <w:start w:val="1"/>
      <w:numFmt w:val="bullet"/>
      <w:lvlText w:val=""/>
      <w:lvlJc w:val="left"/>
      <w:pPr>
        <w:ind w:left="2880" w:hanging="360"/>
      </w:pPr>
      <w:rPr>
        <w:rFonts w:ascii="Symbol" w:hAnsi="Symbol" w:hint="default"/>
      </w:rPr>
    </w:lvl>
    <w:lvl w:ilvl="4" w:tplc="C3DEAD88" w:tentative="1">
      <w:start w:val="1"/>
      <w:numFmt w:val="bullet"/>
      <w:lvlText w:val="o"/>
      <w:lvlJc w:val="left"/>
      <w:pPr>
        <w:ind w:left="3600" w:hanging="360"/>
      </w:pPr>
      <w:rPr>
        <w:rFonts w:ascii="Courier New" w:hAnsi="Courier New" w:cs="Courier New" w:hint="default"/>
      </w:rPr>
    </w:lvl>
    <w:lvl w:ilvl="5" w:tplc="D012D63C" w:tentative="1">
      <w:start w:val="1"/>
      <w:numFmt w:val="bullet"/>
      <w:lvlText w:val=""/>
      <w:lvlJc w:val="left"/>
      <w:pPr>
        <w:ind w:left="4320" w:hanging="360"/>
      </w:pPr>
      <w:rPr>
        <w:rFonts w:ascii="Wingdings" w:hAnsi="Wingdings" w:hint="default"/>
      </w:rPr>
    </w:lvl>
    <w:lvl w:ilvl="6" w:tplc="658E8216" w:tentative="1">
      <w:start w:val="1"/>
      <w:numFmt w:val="bullet"/>
      <w:lvlText w:val=""/>
      <w:lvlJc w:val="left"/>
      <w:pPr>
        <w:ind w:left="5040" w:hanging="360"/>
      </w:pPr>
      <w:rPr>
        <w:rFonts w:ascii="Symbol" w:hAnsi="Symbol" w:hint="default"/>
      </w:rPr>
    </w:lvl>
    <w:lvl w:ilvl="7" w:tplc="1A464B72" w:tentative="1">
      <w:start w:val="1"/>
      <w:numFmt w:val="bullet"/>
      <w:lvlText w:val="o"/>
      <w:lvlJc w:val="left"/>
      <w:pPr>
        <w:ind w:left="5760" w:hanging="360"/>
      </w:pPr>
      <w:rPr>
        <w:rFonts w:ascii="Courier New" w:hAnsi="Courier New" w:cs="Courier New" w:hint="default"/>
      </w:rPr>
    </w:lvl>
    <w:lvl w:ilvl="8" w:tplc="B1BE5A1C" w:tentative="1">
      <w:start w:val="1"/>
      <w:numFmt w:val="bullet"/>
      <w:lvlText w:val=""/>
      <w:lvlJc w:val="left"/>
      <w:pPr>
        <w:ind w:left="6480" w:hanging="360"/>
      </w:pPr>
      <w:rPr>
        <w:rFonts w:ascii="Wingdings" w:hAnsi="Wingdings" w:hint="default"/>
      </w:rPr>
    </w:lvl>
  </w:abstractNum>
  <w:abstractNum w:abstractNumId="16" w15:restartNumberingAfterBreak="0">
    <w:nsid w:val="16807242"/>
    <w:multiLevelType w:val="hybridMultilevel"/>
    <w:tmpl w:val="F462088C"/>
    <w:lvl w:ilvl="0" w:tplc="D39A7622">
      <w:start w:val="1"/>
      <w:numFmt w:val="bullet"/>
      <w:lvlText w:val=""/>
      <w:lvlJc w:val="left"/>
      <w:pPr>
        <w:ind w:left="720" w:hanging="360"/>
      </w:pPr>
      <w:rPr>
        <w:rFonts w:ascii="Symbol" w:hAnsi="Symbol" w:hint="default"/>
      </w:rPr>
    </w:lvl>
    <w:lvl w:ilvl="1" w:tplc="6BAE6A4E" w:tentative="1">
      <w:start w:val="1"/>
      <w:numFmt w:val="bullet"/>
      <w:lvlText w:val="o"/>
      <w:lvlJc w:val="left"/>
      <w:pPr>
        <w:ind w:left="1440" w:hanging="360"/>
      </w:pPr>
      <w:rPr>
        <w:rFonts w:ascii="Courier New" w:hAnsi="Courier New" w:cs="Courier New" w:hint="default"/>
      </w:rPr>
    </w:lvl>
    <w:lvl w:ilvl="2" w:tplc="CA1AFEAE" w:tentative="1">
      <w:start w:val="1"/>
      <w:numFmt w:val="bullet"/>
      <w:lvlText w:val=""/>
      <w:lvlJc w:val="left"/>
      <w:pPr>
        <w:ind w:left="2160" w:hanging="360"/>
      </w:pPr>
      <w:rPr>
        <w:rFonts w:ascii="Wingdings" w:hAnsi="Wingdings" w:hint="default"/>
      </w:rPr>
    </w:lvl>
    <w:lvl w:ilvl="3" w:tplc="FBE411DC" w:tentative="1">
      <w:start w:val="1"/>
      <w:numFmt w:val="bullet"/>
      <w:lvlText w:val=""/>
      <w:lvlJc w:val="left"/>
      <w:pPr>
        <w:ind w:left="2880" w:hanging="360"/>
      </w:pPr>
      <w:rPr>
        <w:rFonts w:ascii="Symbol" w:hAnsi="Symbol" w:hint="default"/>
      </w:rPr>
    </w:lvl>
    <w:lvl w:ilvl="4" w:tplc="A2923BFA" w:tentative="1">
      <w:start w:val="1"/>
      <w:numFmt w:val="bullet"/>
      <w:lvlText w:val="o"/>
      <w:lvlJc w:val="left"/>
      <w:pPr>
        <w:ind w:left="3600" w:hanging="360"/>
      </w:pPr>
      <w:rPr>
        <w:rFonts w:ascii="Courier New" w:hAnsi="Courier New" w:cs="Courier New" w:hint="default"/>
      </w:rPr>
    </w:lvl>
    <w:lvl w:ilvl="5" w:tplc="568CC41A" w:tentative="1">
      <w:start w:val="1"/>
      <w:numFmt w:val="bullet"/>
      <w:lvlText w:val=""/>
      <w:lvlJc w:val="left"/>
      <w:pPr>
        <w:ind w:left="4320" w:hanging="360"/>
      </w:pPr>
      <w:rPr>
        <w:rFonts w:ascii="Wingdings" w:hAnsi="Wingdings" w:hint="default"/>
      </w:rPr>
    </w:lvl>
    <w:lvl w:ilvl="6" w:tplc="A24CABA8" w:tentative="1">
      <w:start w:val="1"/>
      <w:numFmt w:val="bullet"/>
      <w:lvlText w:val=""/>
      <w:lvlJc w:val="left"/>
      <w:pPr>
        <w:ind w:left="5040" w:hanging="360"/>
      </w:pPr>
      <w:rPr>
        <w:rFonts w:ascii="Symbol" w:hAnsi="Symbol" w:hint="default"/>
      </w:rPr>
    </w:lvl>
    <w:lvl w:ilvl="7" w:tplc="FDC892CA" w:tentative="1">
      <w:start w:val="1"/>
      <w:numFmt w:val="bullet"/>
      <w:lvlText w:val="o"/>
      <w:lvlJc w:val="left"/>
      <w:pPr>
        <w:ind w:left="5760" w:hanging="360"/>
      </w:pPr>
      <w:rPr>
        <w:rFonts w:ascii="Courier New" w:hAnsi="Courier New" w:cs="Courier New" w:hint="default"/>
      </w:rPr>
    </w:lvl>
    <w:lvl w:ilvl="8" w:tplc="E6B2FCE6" w:tentative="1">
      <w:start w:val="1"/>
      <w:numFmt w:val="bullet"/>
      <w:lvlText w:val=""/>
      <w:lvlJc w:val="left"/>
      <w:pPr>
        <w:ind w:left="6480" w:hanging="360"/>
      </w:pPr>
      <w:rPr>
        <w:rFonts w:ascii="Wingdings" w:hAnsi="Wingdings" w:hint="default"/>
      </w:rPr>
    </w:lvl>
  </w:abstractNum>
  <w:abstractNum w:abstractNumId="17" w15:restartNumberingAfterBreak="0">
    <w:nsid w:val="1959315C"/>
    <w:multiLevelType w:val="hybridMultilevel"/>
    <w:tmpl w:val="D3562B64"/>
    <w:lvl w:ilvl="0" w:tplc="B3FA2C6C">
      <w:start w:val="1"/>
      <w:numFmt w:val="bullet"/>
      <w:lvlText w:val=""/>
      <w:lvlJc w:val="left"/>
      <w:pPr>
        <w:ind w:left="720" w:hanging="360"/>
      </w:pPr>
      <w:rPr>
        <w:rFonts w:ascii="Symbol" w:hAnsi="Symbol" w:hint="default"/>
      </w:rPr>
    </w:lvl>
    <w:lvl w:ilvl="1" w:tplc="908251DE" w:tentative="1">
      <w:start w:val="1"/>
      <w:numFmt w:val="bullet"/>
      <w:lvlText w:val="o"/>
      <w:lvlJc w:val="left"/>
      <w:pPr>
        <w:ind w:left="1440" w:hanging="360"/>
      </w:pPr>
      <w:rPr>
        <w:rFonts w:ascii="Courier New" w:hAnsi="Courier New" w:cs="Courier New" w:hint="default"/>
      </w:rPr>
    </w:lvl>
    <w:lvl w:ilvl="2" w:tplc="3D647A28" w:tentative="1">
      <w:start w:val="1"/>
      <w:numFmt w:val="bullet"/>
      <w:lvlText w:val=""/>
      <w:lvlJc w:val="left"/>
      <w:pPr>
        <w:ind w:left="2160" w:hanging="360"/>
      </w:pPr>
      <w:rPr>
        <w:rFonts w:ascii="Wingdings" w:hAnsi="Wingdings" w:hint="default"/>
      </w:rPr>
    </w:lvl>
    <w:lvl w:ilvl="3" w:tplc="E19C9EB2" w:tentative="1">
      <w:start w:val="1"/>
      <w:numFmt w:val="bullet"/>
      <w:lvlText w:val=""/>
      <w:lvlJc w:val="left"/>
      <w:pPr>
        <w:ind w:left="2880" w:hanging="360"/>
      </w:pPr>
      <w:rPr>
        <w:rFonts w:ascii="Symbol" w:hAnsi="Symbol" w:hint="default"/>
      </w:rPr>
    </w:lvl>
    <w:lvl w:ilvl="4" w:tplc="9C26DC30" w:tentative="1">
      <w:start w:val="1"/>
      <w:numFmt w:val="bullet"/>
      <w:lvlText w:val="o"/>
      <w:lvlJc w:val="left"/>
      <w:pPr>
        <w:ind w:left="3600" w:hanging="360"/>
      </w:pPr>
      <w:rPr>
        <w:rFonts w:ascii="Courier New" w:hAnsi="Courier New" w:cs="Courier New" w:hint="default"/>
      </w:rPr>
    </w:lvl>
    <w:lvl w:ilvl="5" w:tplc="C1EAA506" w:tentative="1">
      <w:start w:val="1"/>
      <w:numFmt w:val="bullet"/>
      <w:lvlText w:val=""/>
      <w:lvlJc w:val="left"/>
      <w:pPr>
        <w:ind w:left="4320" w:hanging="360"/>
      </w:pPr>
      <w:rPr>
        <w:rFonts w:ascii="Wingdings" w:hAnsi="Wingdings" w:hint="default"/>
      </w:rPr>
    </w:lvl>
    <w:lvl w:ilvl="6" w:tplc="5D249F58" w:tentative="1">
      <w:start w:val="1"/>
      <w:numFmt w:val="bullet"/>
      <w:lvlText w:val=""/>
      <w:lvlJc w:val="left"/>
      <w:pPr>
        <w:ind w:left="5040" w:hanging="360"/>
      </w:pPr>
      <w:rPr>
        <w:rFonts w:ascii="Symbol" w:hAnsi="Symbol" w:hint="default"/>
      </w:rPr>
    </w:lvl>
    <w:lvl w:ilvl="7" w:tplc="784C744C" w:tentative="1">
      <w:start w:val="1"/>
      <w:numFmt w:val="bullet"/>
      <w:lvlText w:val="o"/>
      <w:lvlJc w:val="left"/>
      <w:pPr>
        <w:ind w:left="5760" w:hanging="360"/>
      </w:pPr>
      <w:rPr>
        <w:rFonts w:ascii="Courier New" w:hAnsi="Courier New" w:cs="Courier New" w:hint="default"/>
      </w:rPr>
    </w:lvl>
    <w:lvl w:ilvl="8" w:tplc="2AC29DE2" w:tentative="1">
      <w:start w:val="1"/>
      <w:numFmt w:val="bullet"/>
      <w:lvlText w:val=""/>
      <w:lvlJc w:val="left"/>
      <w:pPr>
        <w:ind w:left="6480" w:hanging="360"/>
      </w:pPr>
      <w:rPr>
        <w:rFonts w:ascii="Wingdings" w:hAnsi="Wingdings" w:hint="default"/>
      </w:rPr>
    </w:lvl>
  </w:abstractNum>
  <w:abstractNum w:abstractNumId="18" w15:restartNumberingAfterBreak="0">
    <w:nsid w:val="199F1DAA"/>
    <w:multiLevelType w:val="hybridMultilevel"/>
    <w:tmpl w:val="1248AB5A"/>
    <w:lvl w:ilvl="0" w:tplc="AA8C3EB6">
      <w:start w:val="1"/>
      <w:numFmt w:val="decimal"/>
      <w:pStyle w:val="Textstand-alonenumberingJustified"/>
      <w:lvlText w:val="(%1)"/>
      <w:lvlJc w:val="left"/>
      <w:pPr>
        <w:ind w:left="720" w:hanging="360"/>
      </w:pPr>
      <w:rPr>
        <w:rFonts w:ascii="Verdana" w:hAnsi="Verdana" w:hint="default"/>
        <w:b w:val="0"/>
        <w:i w:val="0"/>
        <w:sz w:val="18"/>
      </w:rPr>
    </w:lvl>
    <w:lvl w:ilvl="1" w:tplc="5192B06A" w:tentative="1">
      <w:start w:val="1"/>
      <w:numFmt w:val="lowerLetter"/>
      <w:lvlText w:val="%2."/>
      <w:lvlJc w:val="left"/>
      <w:pPr>
        <w:ind w:left="1440" w:hanging="360"/>
      </w:pPr>
    </w:lvl>
    <w:lvl w:ilvl="2" w:tplc="6CE87ABE" w:tentative="1">
      <w:start w:val="1"/>
      <w:numFmt w:val="lowerRoman"/>
      <w:lvlText w:val="%3."/>
      <w:lvlJc w:val="right"/>
      <w:pPr>
        <w:ind w:left="2160" w:hanging="180"/>
      </w:pPr>
    </w:lvl>
    <w:lvl w:ilvl="3" w:tplc="57361FBE" w:tentative="1">
      <w:start w:val="1"/>
      <w:numFmt w:val="decimal"/>
      <w:lvlText w:val="%4."/>
      <w:lvlJc w:val="left"/>
      <w:pPr>
        <w:ind w:left="2880" w:hanging="360"/>
      </w:pPr>
    </w:lvl>
    <w:lvl w:ilvl="4" w:tplc="2C40E5C0" w:tentative="1">
      <w:start w:val="1"/>
      <w:numFmt w:val="lowerLetter"/>
      <w:lvlText w:val="%5."/>
      <w:lvlJc w:val="left"/>
      <w:pPr>
        <w:ind w:left="3600" w:hanging="360"/>
      </w:pPr>
    </w:lvl>
    <w:lvl w:ilvl="5" w:tplc="9B9C3C54" w:tentative="1">
      <w:start w:val="1"/>
      <w:numFmt w:val="lowerRoman"/>
      <w:lvlText w:val="%6."/>
      <w:lvlJc w:val="right"/>
      <w:pPr>
        <w:ind w:left="4320" w:hanging="180"/>
      </w:pPr>
    </w:lvl>
    <w:lvl w:ilvl="6" w:tplc="DA42B26A" w:tentative="1">
      <w:start w:val="1"/>
      <w:numFmt w:val="decimal"/>
      <w:lvlText w:val="%7."/>
      <w:lvlJc w:val="left"/>
      <w:pPr>
        <w:ind w:left="5040" w:hanging="360"/>
      </w:pPr>
    </w:lvl>
    <w:lvl w:ilvl="7" w:tplc="3F20F7DC" w:tentative="1">
      <w:start w:val="1"/>
      <w:numFmt w:val="lowerLetter"/>
      <w:lvlText w:val="%8."/>
      <w:lvlJc w:val="left"/>
      <w:pPr>
        <w:ind w:left="5760" w:hanging="360"/>
      </w:pPr>
    </w:lvl>
    <w:lvl w:ilvl="8" w:tplc="37341072" w:tentative="1">
      <w:start w:val="1"/>
      <w:numFmt w:val="lowerRoman"/>
      <w:lvlText w:val="%9."/>
      <w:lvlJc w:val="right"/>
      <w:pPr>
        <w:ind w:left="6480" w:hanging="180"/>
      </w:pPr>
    </w:lvl>
  </w:abstractNum>
  <w:abstractNum w:abstractNumId="19" w15:restartNumberingAfterBreak="0">
    <w:nsid w:val="214F78CA"/>
    <w:multiLevelType w:val="hybridMultilevel"/>
    <w:tmpl w:val="43686B9E"/>
    <w:lvl w:ilvl="0" w:tplc="37E6052E">
      <w:start w:val="1"/>
      <w:numFmt w:val="bullet"/>
      <w:lvlText w:val=""/>
      <w:lvlJc w:val="left"/>
      <w:pPr>
        <w:ind w:left="720" w:hanging="360"/>
      </w:pPr>
      <w:rPr>
        <w:rFonts w:ascii="Symbol" w:hAnsi="Symbol" w:hint="default"/>
      </w:rPr>
    </w:lvl>
    <w:lvl w:ilvl="1" w:tplc="0750E6F2" w:tentative="1">
      <w:start w:val="1"/>
      <w:numFmt w:val="bullet"/>
      <w:lvlText w:val="o"/>
      <w:lvlJc w:val="left"/>
      <w:pPr>
        <w:ind w:left="1440" w:hanging="360"/>
      </w:pPr>
      <w:rPr>
        <w:rFonts w:ascii="Courier New" w:hAnsi="Courier New" w:cs="Courier New" w:hint="default"/>
      </w:rPr>
    </w:lvl>
    <w:lvl w:ilvl="2" w:tplc="6D0A9A42" w:tentative="1">
      <w:start w:val="1"/>
      <w:numFmt w:val="bullet"/>
      <w:lvlText w:val=""/>
      <w:lvlJc w:val="left"/>
      <w:pPr>
        <w:ind w:left="2160" w:hanging="360"/>
      </w:pPr>
      <w:rPr>
        <w:rFonts w:ascii="Wingdings" w:hAnsi="Wingdings" w:hint="default"/>
      </w:rPr>
    </w:lvl>
    <w:lvl w:ilvl="3" w:tplc="68D89C30" w:tentative="1">
      <w:start w:val="1"/>
      <w:numFmt w:val="bullet"/>
      <w:lvlText w:val=""/>
      <w:lvlJc w:val="left"/>
      <w:pPr>
        <w:ind w:left="2880" w:hanging="360"/>
      </w:pPr>
      <w:rPr>
        <w:rFonts w:ascii="Symbol" w:hAnsi="Symbol" w:hint="default"/>
      </w:rPr>
    </w:lvl>
    <w:lvl w:ilvl="4" w:tplc="53DA391A" w:tentative="1">
      <w:start w:val="1"/>
      <w:numFmt w:val="bullet"/>
      <w:lvlText w:val="o"/>
      <w:lvlJc w:val="left"/>
      <w:pPr>
        <w:ind w:left="3600" w:hanging="360"/>
      </w:pPr>
      <w:rPr>
        <w:rFonts w:ascii="Courier New" w:hAnsi="Courier New" w:cs="Courier New" w:hint="default"/>
      </w:rPr>
    </w:lvl>
    <w:lvl w:ilvl="5" w:tplc="1CFEA06E" w:tentative="1">
      <w:start w:val="1"/>
      <w:numFmt w:val="bullet"/>
      <w:lvlText w:val=""/>
      <w:lvlJc w:val="left"/>
      <w:pPr>
        <w:ind w:left="4320" w:hanging="360"/>
      </w:pPr>
      <w:rPr>
        <w:rFonts w:ascii="Wingdings" w:hAnsi="Wingdings" w:hint="default"/>
      </w:rPr>
    </w:lvl>
    <w:lvl w:ilvl="6" w:tplc="38AEB93E" w:tentative="1">
      <w:start w:val="1"/>
      <w:numFmt w:val="bullet"/>
      <w:lvlText w:val=""/>
      <w:lvlJc w:val="left"/>
      <w:pPr>
        <w:ind w:left="5040" w:hanging="360"/>
      </w:pPr>
      <w:rPr>
        <w:rFonts w:ascii="Symbol" w:hAnsi="Symbol" w:hint="default"/>
      </w:rPr>
    </w:lvl>
    <w:lvl w:ilvl="7" w:tplc="28C6A750" w:tentative="1">
      <w:start w:val="1"/>
      <w:numFmt w:val="bullet"/>
      <w:lvlText w:val="o"/>
      <w:lvlJc w:val="left"/>
      <w:pPr>
        <w:ind w:left="5760" w:hanging="360"/>
      </w:pPr>
      <w:rPr>
        <w:rFonts w:ascii="Courier New" w:hAnsi="Courier New" w:cs="Courier New" w:hint="default"/>
      </w:rPr>
    </w:lvl>
    <w:lvl w:ilvl="8" w:tplc="244E26C2" w:tentative="1">
      <w:start w:val="1"/>
      <w:numFmt w:val="bullet"/>
      <w:lvlText w:val=""/>
      <w:lvlJc w:val="left"/>
      <w:pPr>
        <w:ind w:left="6480" w:hanging="360"/>
      </w:pPr>
      <w:rPr>
        <w:rFonts w:ascii="Wingdings" w:hAnsi="Wingdings" w:hint="default"/>
      </w:rPr>
    </w:lvl>
  </w:abstractNum>
  <w:abstractNum w:abstractNumId="20" w15:restartNumberingAfterBreak="0">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1" w15:restartNumberingAfterBreak="0">
    <w:nsid w:val="26C620F3"/>
    <w:multiLevelType w:val="hybridMultilevel"/>
    <w:tmpl w:val="A81E17F6"/>
    <w:lvl w:ilvl="0" w:tplc="CBC4C5FE">
      <w:start w:val="1"/>
      <w:numFmt w:val="bullet"/>
      <w:lvlText w:val=""/>
      <w:lvlJc w:val="left"/>
      <w:pPr>
        <w:ind w:left="720" w:hanging="360"/>
      </w:pPr>
      <w:rPr>
        <w:rFonts w:ascii="Symbol" w:hAnsi="Symbol" w:hint="default"/>
      </w:rPr>
    </w:lvl>
    <w:lvl w:ilvl="1" w:tplc="569E7352" w:tentative="1">
      <w:start w:val="1"/>
      <w:numFmt w:val="bullet"/>
      <w:lvlText w:val="o"/>
      <w:lvlJc w:val="left"/>
      <w:pPr>
        <w:ind w:left="1440" w:hanging="360"/>
      </w:pPr>
      <w:rPr>
        <w:rFonts w:ascii="Courier New" w:hAnsi="Courier New" w:cs="Courier New" w:hint="default"/>
      </w:rPr>
    </w:lvl>
    <w:lvl w:ilvl="2" w:tplc="9C2834B2" w:tentative="1">
      <w:start w:val="1"/>
      <w:numFmt w:val="bullet"/>
      <w:lvlText w:val=""/>
      <w:lvlJc w:val="left"/>
      <w:pPr>
        <w:ind w:left="2160" w:hanging="360"/>
      </w:pPr>
      <w:rPr>
        <w:rFonts w:ascii="Wingdings" w:hAnsi="Wingdings" w:hint="default"/>
      </w:rPr>
    </w:lvl>
    <w:lvl w:ilvl="3" w:tplc="F38E2FC2" w:tentative="1">
      <w:start w:val="1"/>
      <w:numFmt w:val="bullet"/>
      <w:lvlText w:val=""/>
      <w:lvlJc w:val="left"/>
      <w:pPr>
        <w:ind w:left="2880" w:hanging="360"/>
      </w:pPr>
      <w:rPr>
        <w:rFonts w:ascii="Symbol" w:hAnsi="Symbol" w:hint="default"/>
      </w:rPr>
    </w:lvl>
    <w:lvl w:ilvl="4" w:tplc="6AC69DFC" w:tentative="1">
      <w:start w:val="1"/>
      <w:numFmt w:val="bullet"/>
      <w:lvlText w:val="o"/>
      <w:lvlJc w:val="left"/>
      <w:pPr>
        <w:ind w:left="3600" w:hanging="360"/>
      </w:pPr>
      <w:rPr>
        <w:rFonts w:ascii="Courier New" w:hAnsi="Courier New" w:cs="Courier New" w:hint="default"/>
      </w:rPr>
    </w:lvl>
    <w:lvl w:ilvl="5" w:tplc="4F3AD9FC" w:tentative="1">
      <w:start w:val="1"/>
      <w:numFmt w:val="bullet"/>
      <w:lvlText w:val=""/>
      <w:lvlJc w:val="left"/>
      <w:pPr>
        <w:ind w:left="4320" w:hanging="360"/>
      </w:pPr>
      <w:rPr>
        <w:rFonts w:ascii="Wingdings" w:hAnsi="Wingdings" w:hint="default"/>
      </w:rPr>
    </w:lvl>
    <w:lvl w:ilvl="6" w:tplc="3F84F5B0" w:tentative="1">
      <w:start w:val="1"/>
      <w:numFmt w:val="bullet"/>
      <w:lvlText w:val=""/>
      <w:lvlJc w:val="left"/>
      <w:pPr>
        <w:ind w:left="5040" w:hanging="360"/>
      </w:pPr>
      <w:rPr>
        <w:rFonts w:ascii="Symbol" w:hAnsi="Symbol" w:hint="default"/>
      </w:rPr>
    </w:lvl>
    <w:lvl w:ilvl="7" w:tplc="2C38C890" w:tentative="1">
      <w:start w:val="1"/>
      <w:numFmt w:val="bullet"/>
      <w:lvlText w:val="o"/>
      <w:lvlJc w:val="left"/>
      <w:pPr>
        <w:ind w:left="5760" w:hanging="360"/>
      </w:pPr>
      <w:rPr>
        <w:rFonts w:ascii="Courier New" w:hAnsi="Courier New" w:cs="Courier New" w:hint="default"/>
      </w:rPr>
    </w:lvl>
    <w:lvl w:ilvl="8" w:tplc="BD946602" w:tentative="1">
      <w:start w:val="1"/>
      <w:numFmt w:val="bullet"/>
      <w:lvlText w:val=""/>
      <w:lvlJc w:val="left"/>
      <w:pPr>
        <w:ind w:left="6480" w:hanging="360"/>
      </w:pPr>
      <w:rPr>
        <w:rFonts w:ascii="Wingdings" w:hAnsi="Wingdings" w:hint="default"/>
      </w:rPr>
    </w:lvl>
  </w:abstractNum>
  <w:abstractNum w:abstractNumId="22" w15:restartNumberingAfterBreak="0">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31D31BBD"/>
    <w:multiLevelType w:val="hybridMultilevel"/>
    <w:tmpl w:val="AB545582"/>
    <w:lvl w:ilvl="0" w:tplc="3A60FDC8">
      <w:start w:val="1"/>
      <w:numFmt w:val="bullet"/>
      <w:pStyle w:val="Textstand-alonebulletpointJustified"/>
      <w:lvlText w:val=""/>
      <w:lvlJc w:val="left"/>
      <w:pPr>
        <w:ind w:left="1080" w:hanging="360"/>
      </w:pPr>
      <w:rPr>
        <w:rFonts w:ascii="Verdana" w:hAnsi="Verdana" w:hint="default"/>
      </w:rPr>
    </w:lvl>
    <w:lvl w:ilvl="1" w:tplc="924A9C90" w:tentative="1">
      <w:start w:val="1"/>
      <w:numFmt w:val="bullet"/>
      <w:lvlText w:val="o"/>
      <w:lvlJc w:val="left"/>
      <w:pPr>
        <w:ind w:left="1800" w:hanging="360"/>
      </w:pPr>
      <w:rPr>
        <w:rFonts w:ascii="Courier New" w:hAnsi="Courier New" w:cs="Courier New" w:hint="default"/>
      </w:rPr>
    </w:lvl>
    <w:lvl w:ilvl="2" w:tplc="EC58A7FC" w:tentative="1">
      <w:start w:val="1"/>
      <w:numFmt w:val="bullet"/>
      <w:lvlText w:val=""/>
      <w:lvlJc w:val="left"/>
      <w:pPr>
        <w:ind w:left="2520" w:hanging="360"/>
      </w:pPr>
      <w:rPr>
        <w:rFonts w:ascii="Wingdings" w:hAnsi="Wingdings" w:hint="default"/>
      </w:rPr>
    </w:lvl>
    <w:lvl w:ilvl="3" w:tplc="E404FBEA" w:tentative="1">
      <w:start w:val="1"/>
      <w:numFmt w:val="bullet"/>
      <w:lvlText w:val=""/>
      <w:lvlJc w:val="left"/>
      <w:pPr>
        <w:ind w:left="3240" w:hanging="360"/>
      </w:pPr>
      <w:rPr>
        <w:rFonts w:ascii="Symbol" w:hAnsi="Symbol" w:hint="default"/>
      </w:rPr>
    </w:lvl>
    <w:lvl w:ilvl="4" w:tplc="0246AD06" w:tentative="1">
      <w:start w:val="1"/>
      <w:numFmt w:val="bullet"/>
      <w:lvlText w:val="o"/>
      <w:lvlJc w:val="left"/>
      <w:pPr>
        <w:ind w:left="3960" w:hanging="360"/>
      </w:pPr>
      <w:rPr>
        <w:rFonts w:ascii="Courier New" w:hAnsi="Courier New" w:cs="Courier New" w:hint="default"/>
      </w:rPr>
    </w:lvl>
    <w:lvl w:ilvl="5" w:tplc="703E6502" w:tentative="1">
      <w:start w:val="1"/>
      <w:numFmt w:val="bullet"/>
      <w:lvlText w:val=""/>
      <w:lvlJc w:val="left"/>
      <w:pPr>
        <w:ind w:left="4680" w:hanging="360"/>
      </w:pPr>
      <w:rPr>
        <w:rFonts w:ascii="Wingdings" w:hAnsi="Wingdings" w:hint="default"/>
      </w:rPr>
    </w:lvl>
    <w:lvl w:ilvl="6" w:tplc="66C2B9CE" w:tentative="1">
      <w:start w:val="1"/>
      <w:numFmt w:val="bullet"/>
      <w:lvlText w:val=""/>
      <w:lvlJc w:val="left"/>
      <w:pPr>
        <w:ind w:left="5400" w:hanging="360"/>
      </w:pPr>
      <w:rPr>
        <w:rFonts w:ascii="Symbol" w:hAnsi="Symbol" w:hint="default"/>
      </w:rPr>
    </w:lvl>
    <w:lvl w:ilvl="7" w:tplc="B2D292D6" w:tentative="1">
      <w:start w:val="1"/>
      <w:numFmt w:val="bullet"/>
      <w:lvlText w:val="o"/>
      <w:lvlJc w:val="left"/>
      <w:pPr>
        <w:ind w:left="6120" w:hanging="360"/>
      </w:pPr>
      <w:rPr>
        <w:rFonts w:ascii="Courier New" w:hAnsi="Courier New" w:cs="Courier New" w:hint="default"/>
      </w:rPr>
    </w:lvl>
    <w:lvl w:ilvl="8" w:tplc="B6684DF8" w:tentative="1">
      <w:start w:val="1"/>
      <w:numFmt w:val="bullet"/>
      <w:lvlText w:val=""/>
      <w:lvlJc w:val="left"/>
      <w:pPr>
        <w:ind w:left="6840" w:hanging="360"/>
      </w:pPr>
      <w:rPr>
        <w:rFonts w:ascii="Wingdings" w:hAnsi="Wingdings" w:hint="default"/>
      </w:rPr>
    </w:lvl>
  </w:abstractNum>
  <w:abstractNum w:abstractNumId="24" w15:restartNumberingAfterBreak="0">
    <w:nsid w:val="32A22287"/>
    <w:multiLevelType w:val="hybridMultilevel"/>
    <w:tmpl w:val="53B48AA0"/>
    <w:lvl w:ilvl="0" w:tplc="A642C08A">
      <w:start w:val="1"/>
      <w:numFmt w:val="bullet"/>
      <w:lvlText w:val=""/>
      <w:lvlJc w:val="left"/>
      <w:pPr>
        <w:ind w:left="1440" w:hanging="360"/>
      </w:pPr>
      <w:rPr>
        <w:rFonts w:ascii="Symbol" w:hAnsi="Symbol" w:hint="default"/>
        <w:color w:val="auto"/>
        <w:u w:color="FFFF00"/>
      </w:rPr>
    </w:lvl>
    <w:lvl w:ilvl="1" w:tplc="1D62A3D4" w:tentative="1">
      <w:start w:val="1"/>
      <w:numFmt w:val="bullet"/>
      <w:lvlText w:val="o"/>
      <w:lvlJc w:val="left"/>
      <w:pPr>
        <w:ind w:left="2160" w:hanging="360"/>
      </w:pPr>
      <w:rPr>
        <w:rFonts w:ascii="Courier New" w:hAnsi="Courier New" w:cs="Courier New" w:hint="default"/>
      </w:rPr>
    </w:lvl>
    <w:lvl w:ilvl="2" w:tplc="94920B78" w:tentative="1">
      <w:start w:val="1"/>
      <w:numFmt w:val="bullet"/>
      <w:lvlText w:val=""/>
      <w:lvlJc w:val="left"/>
      <w:pPr>
        <w:ind w:left="2880" w:hanging="360"/>
      </w:pPr>
      <w:rPr>
        <w:rFonts w:ascii="Wingdings" w:hAnsi="Wingdings" w:hint="default"/>
      </w:rPr>
    </w:lvl>
    <w:lvl w:ilvl="3" w:tplc="3CCA9A9E" w:tentative="1">
      <w:start w:val="1"/>
      <w:numFmt w:val="bullet"/>
      <w:lvlText w:val=""/>
      <w:lvlJc w:val="left"/>
      <w:pPr>
        <w:ind w:left="3600" w:hanging="360"/>
      </w:pPr>
      <w:rPr>
        <w:rFonts w:ascii="Symbol" w:hAnsi="Symbol" w:hint="default"/>
      </w:rPr>
    </w:lvl>
    <w:lvl w:ilvl="4" w:tplc="37760D76" w:tentative="1">
      <w:start w:val="1"/>
      <w:numFmt w:val="bullet"/>
      <w:lvlText w:val="o"/>
      <w:lvlJc w:val="left"/>
      <w:pPr>
        <w:ind w:left="4320" w:hanging="360"/>
      </w:pPr>
      <w:rPr>
        <w:rFonts w:ascii="Courier New" w:hAnsi="Courier New" w:cs="Courier New" w:hint="default"/>
      </w:rPr>
    </w:lvl>
    <w:lvl w:ilvl="5" w:tplc="C130FF42" w:tentative="1">
      <w:start w:val="1"/>
      <w:numFmt w:val="bullet"/>
      <w:lvlText w:val=""/>
      <w:lvlJc w:val="left"/>
      <w:pPr>
        <w:ind w:left="5040" w:hanging="360"/>
      </w:pPr>
      <w:rPr>
        <w:rFonts w:ascii="Wingdings" w:hAnsi="Wingdings" w:hint="default"/>
      </w:rPr>
    </w:lvl>
    <w:lvl w:ilvl="6" w:tplc="51EE66DE" w:tentative="1">
      <w:start w:val="1"/>
      <w:numFmt w:val="bullet"/>
      <w:lvlText w:val=""/>
      <w:lvlJc w:val="left"/>
      <w:pPr>
        <w:ind w:left="5760" w:hanging="360"/>
      </w:pPr>
      <w:rPr>
        <w:rFonts w:ascii="Symbol" w:hAnsi="Symbol" w:hint="default"/>
      </w:rPr>
    </w:lvl>
    <w:lvl w:ilvl="7" w:tplc="EAF8CDF0" w:tentative="1">
      <w:start w:val="1"/>
      <w:numFmt w:val="bullet"/>
      <w:lvlText w:val="o"/>
      <w:lvlJc w:val="left"/>
      <w:pPr>
        <w:ind w:left="6480" w:hanging="360"/>
      </w:pPr>
      <w:rPr>
        <w:rFonts w:ascii="Courier New" w:hAnsi="Courier New" w:cs="Courier New" w:hint="default"/>
      </w:rPr>
    </w:lvl>
    <w:lvl w:ilvl="8" w:tplc="FABE084A" w:tentative="1">
      <w:start w:val="1"/>
      <w:numFmt w:val="bullet"/>
      <w:lvlText w:val=""/>
      <w:lvlJc w:val="left"/>
      <w:pPr>
        <w:ind w:left="7200" w:hanging="360"/>
      </w:pPr>
      <w:rPr>
        <w:rFonts w:ascii="Wingdings" w:hAnsi="Wingdings" w:hint="default"/>
      </w:rPr>
    </w:lvl>
  </w:abstractNum>
  <w:abstractNum w:abstractNumId="25" w15:restartNumberingAfterBreak="0">
    <w:nsid w:val="43B2382C"/>
    <w:multiLevelType w:val="hybridMultilevel"/>
    <w:tmpl w:val="96F23E50"/>
    <w:lvl w:ilvl="0" w:tplc="20DCDD02">
      <w:start w:val="1"/>
      <w:numFmt w:val="bullet"/>
      <w:lvlText w:val=""/>
      <w:lvlJc w:val="left"/>
      <w:pPr>
        <w:ind w:left="720" w:hanging="360"/>
      </w:pPr>
      <w:rPr>
        <w:rFonts w:ascii="Symbol" w:hAnsi="Symbol" w:hint="default"/>
      </w:rPr>
    </w:lvl>
    <w:lvl w:ilvl="1" w:tplc="1F1E4708" w:tentative="1">
      <w:start w:val="1"/>
      <w:numFmt w:val="bullet"/>
      <w:lvlText w:val="o"/>
      <w:lvlJc w:val="left"/>
      <w:pPr>
        <w:ind w:left="1440" w:hanging="360"/>
      </w:pPr>
      <w:rPr>
        <w:rFonts w:ascii="Courier New" w:hAnsi="Courier New" w:cs="Courier New" w:hint="default"/>
      </w:rPr>
    </w:lvl>
    <w:lvl w:ilvl="2" w:tplc="50B009B2" w:tentative="1">
      <w:start w:val="1"/>
      <w:numFmt w:val="bullet"/>
      <w:lvlText w:val=""/>
      <w:lvlJc w:val="left"/>
      <w:pPr>
        <w:ind w:left="2160" w:hanging="360"/>
      </w:pPr>
      <w:rPr>
        <w:rFonts w:ascii="Wingdings" w:hAnsi="Wingdings" w:hint="default"/>
      </w:rPr>
    </w:lvl>
    <w:lvl w:ilvl="3" w:tplc="43F0A57E" w:tentative="1">
      <w:start w:val="1"/>
      <w:numFmt w:val="bullet"/>
      <w:lvlText w:val=""/>
      <w:lvlJc w:val="left"/>
      <w:pPr>
        <w:ind w:left="2880" w:hanging="360"/>
      </w:pPr>
      <w:rPr>
        <w:rFonts w:ascii="Symbol" w:hAnsi="Symbol" w:hint="default"/>
      </w:rPr>
    </w:lvl>
    <w:lvl w:ilvl="4" w:tplc="46628D2A" w:tentative="1">
      <w:start w:val="1"/>
      <w:numFmt w:val="bullet"/>
      <w:lvlText w:val="o"/>
      <w:lvlJc w:val="left"/>
      <w:pPr>
        <w:ind w:left="3600" w:hanging="360"/>
      </w:pPr>
      <w:rPr>
        <w:rFonts w:ascii="Courier New" w:hAnsi="Courier New" w:cs="Courier New" w:hint="default"/>
      </w:rPr>
    </w:lvl>
    <w:lvl w:ilvl="5" w:tplc="15328520" w:tentative="1">
      <w:start w:val="1"/>
      <w:numFmt w:val="bullet"/>
      <w:lvlText w:val=""/>
      <w:lvlJc w:val="left"/>
      <w:pPr>
        <w:ind w:left="4320" w:hanging="360"/>
      </w:pPr>
      <w:rPr>
        <w:rFonts w:ascii="Wingdings" w:hAnsi="Wingdings" w:hint="default"/>
      </w:rPr>
    </w:lvl>
    <w:lvl w:ilvl="6" w:tplc="8D4E86D4" w:tentative="1">
      <w:start w:val="1"/>
      <w:numFmt w:val="bullet"/>
      <w:lvlText w:val=""/>
      <w:lvlJc w:val="left"/>
      <w:pPr>
        <w:ind w:left="5040" w:hanging="360"/>
      </w:pPr>
      <w:rPr>
        <w:rFonts w:ascii="Symbol" w:hAnsi="Symbol" w:hint="default"/>
      </w:rPr>
    </w:lvl>
    <w:lvl w:ilvl="7" w:tplc="EE166A58" w:tentative="1">
      <w:start w:val="1"/>
      <w:numFmt w:val="bullet"/>
      <w:lvlText w:val="o"/>
      <w:lvlJc w:val="left"/>
      <w:pPr>
        <w:ind w:left="5760" w:hanging="360"/>
      </w:pPr>
      <w:rPr>
        <w:rFonts w:ascii="Courier New" w:hAnsi="Courier New" w:cs="Courier New" w:hint="default"/>
      </w:rPr>
    </w:lvl>
    <w:lvl w:ilvl="8" w:tplc="27D43740" w:tentative="1">
      <w:start w:val="1"/>
      <w:numFmt w:val="bullet"/>
      <w:lvlText w:val=""/>
      <w:lvlJc w:val="left"/>
      <w:pPr>
        <w:ind w:left="6480" w:hanging="360"/>
      </w:pPr>
      <w:rPr>
        <w:rFonts w:ascii="Wingdings" w:hAnsi="Wingdings" w:hint="default"/>
      </w:rPr>
    </w:lvl>
  </w:abstractNum>
  <w:abstractNum w:abstractNumId="26" w15:restartNumberingAfterBreak="0">
    <w:nsid w:val="46DD467A"/>
    <w:multiLevelType w:val="hybridMultilevel"/>
    <w:tmpl w:val="487E9FC6"/>
    <w:lvl w:ilvl="0" w:tplc="D9D41C3E">
      <w:start w:val="1"/>
      <w:numFmt w:val="bullet"/>
      <w:lvlText w:val=""/>
      <w:lvlJc w:val="left"/>
      <w:pPr>
        <w:ind w:left="720" w:hanging="360"/>
      </w:pPr>
      <w:rPr>
        <w:rFonts w:ascii="Symbol" w:hAnsi="Symbol" w:hint="default"/>
      </w:rPr>
    </w:lvl>
    <w:lvl w:ilvl="1" w:tplc="BA00087A" w:tentative="1">
      <w:start w:val="1"/>
      <w:numFmt w:val="bullet"/>
      <w:lvlText w:val="o"/>
      <w:lvlJc w:val="left"/>
      <w:pPr>
        <w:ind w:left="1440" w:hanging="360"/>
      </w:pPr>
      <w:rPr>
        <w:rFonts w:ascii="Courier New" w:hAnsi="Courier New" w:cs="Courier New" w:hint="default"/>
      </w:rPr>
    </w:lvl>
    <w:lvl w:ilvl="2" w:tplc="A0C65FE8" w:tentative="1">
      <w:start w:val="1"/>
      <w:numFmt w:val="bullet"/>
      <w:lvlText w:val=""/>
      <w:lvlJc w:val="left"/>
      <w:pPr>
        <w:ind w:left="2160" w:hanging="360"/>
      </w:pPr>
      <w:rPr>
        <w:rFonts w:ascii="Wingdings" w:hAnsi="Wingdings" w:hint="default"/>
      </w:rPr>
    </w:lvl>
    <w:lvl w:ilvl="3" w:tplc="E07EFA2C" w:tentative="1">
      <w:start w:val="1"/>
      <w:numFmt w:val="bullet"/>
      <w:lvlText w:val=""/>
      <w:lvlJc w:val="left"/>
      <w:pPr>
        <w:ind w:left="2880" w:hanging="360"/>
      </w:pPr>
      <w:rPr>
        <w:rFonts w:ascii="Symbol" w:hAnsi="Symbol" w:hint="default"/>
      </w:rPr>
    </w:lvl>
    <w:lvl w:ilvl="4" w:tplc="22E612D8" w:tentative="1">
      <w:start w:val="1"/>
      <w:numFmt w:val="bullet"/>
      <w:lvlText w:val="o"/>
      <w:lvlJc w:val="left"/>
      <w:pPr>
        <w:ind w:left="3600" w:hanging="360"/>
      </w:pPr>
      <w:rPr>
        <w:rFonts w:ascii="Courier New" w:hAnsi="Courier New" w:cs="Courier New" w:hint="default"/>
      </w:rPr>
    </w:lvl>
    <w:lvl w:ilvl="5" w:tplc="5BA06E56" w:tentative="1">
      <w:start w:val="1"/>
      <w:numFmt w:val="bullet"/>
      <w:lvlText w:val=""/>
      <w:lvlJc w:val="left"/>
      <w:pPr>
        <w:ind w:left="4320" w:hanging="360"/>
      </w:pPr>
      <w:rPr>
        <w:rFonts w:ascii="Wingdings" w:hAnsi="Wingdings" w:hint="default"/>
      </w:rPr>
    </w:lvl>
    <w:lvl w:ilvl="6" w:tplc="37982E74" w:tentative="1">
      <w:start w:val="1"/>
      <w:numFmt w:val="bullet"/>
      <w:lvlText w:val=""/>
      <w:lvlJc w:val="left"/>
      <w:pPr>
        <w:ind w:left="5040" w:hanging="360"/>
      </w:pPr>
      <w:rPr>
        <w:rFonts w:ascii="Symbol" w:hAnsi="Symbol" w:hint="default"/>
      </w:rPr>
    </w:lvl>
    <w:lvl w:ilvl="7" w:tplc="702A7890" w:tentative="1">
      <w:start w:val="1"/>
      <w:numFmt w:val="bullet"/>
      <w:lvlText w:val="o"/>
      <w:lvlJc w:val="left"/>
      <w:pPr>
        <w:ind w:left="5760" w:hanging="360"/>
      </w:pPr>
      <w:rPr>
        <w:rFonts w:ascii="Courier New" w:hAnsi="Courier New" w:cs="Courier New" w:hint="default"/>
      </w:rPr>
    </w:lvl>
    <w:lvl w:ilvl="8" w:tplc="A4BADB84" w:tentative="1">
      <w:start w:val="1"/>
      <w:numFmt w:val="bullet"/>
      <w:lvlText w:val=""/>
      <w:lvlJc w:val="left"/>
      <w:pPr>
        <w:ind w:left="6480" w:hanging="360"/>
      </w:pPr>
      <w:rPr>
        <w:rFonts w:ascii="Wingdings" w:hAnsi="Wingdings" w:hint="default"/>
      </w:rPr>
    </w:lvl>
  </w:abstractNum>
  <w:abstractNum w:abstractNumId="27" w15:restartNumberingAfterBreak="0">
    <w:nsid w:val="48AC237C"/>
    <w:multiLevelType w:val="hybridMultilevel"/>
    <w:tmpl w:val="25BE3B7A"/>
    <w:lvl w:ilvl="0" w:tplc="8C923118">
      <w:start w:val="1"/>
      <w:numFmt w:val="lowerRoman"/>
      <w:lvlText w:val="%1."/>
      <w:lvlJc w:val="right"/>
      <w:pPr>
        <w:ind w:left="720" w:hanging="360"/>
      </w:pPr>
    </w:lvl>
    <w:lvl w:ilvl="1" w:tplc="DEF4DCB8" w:tentative="1">
      <w:start w:val="1"/>
      <w:numFmt w:val="lowerLetter"/>
      <w:lvlText w:val="%2."/>
      <w:lvlJc w:val="left"/>
      <w:pPr>
        <w:ind w:left="1440" w:hanging="360"/>
      </w:pPr>
    </w:lvl>
    <w:lvl w:ilvl="2" w:tplc="3A821CE8" w:tentative="1">
      <w:start w:val="1"/>
      <w:numFmt w:val="lowerRoman"/>
      <w:lvlText w:val="%3."/>
      <w:lvlJc w:val="right"/>
      <w:pPr>
        <w:ind w:left="2160" w:hanging="180"/>
      </w:pPr>
    </w:lvl>
    <w:lvl w:ilvl="3" w:tplc="5E8A70D2" w:tentative="1">
      <w:start w:val="1"/>
      <w:numFmt w:val="decimal"/>
      <w:lvlText w:val="%4."/>
      <w:lvlJc w:val="left"/>
      <w:pPr>
        <w:ind w:left="2880" w:hanging="360"/>
      </w:pPr>
    </w:lvl>
    <w:lvl w:ilvl="4" w:tplc="96107EDE" w:tentative="1">
      <w:start w:val="1"/>
      <w:numFmt w:val="lowerLetter"/>
      <w:lvlText w:val="%5."/>
      <w:lvlJc w:val="left"/>
      <w:pPr>
        <w:ind w:left="3600" w:hanging="360"/>
      </w:pPr>
    </w:lvl>
    <w:lvl w:ilvl="5" w:tplc="68F63372" w:tentative="1">
      <w:start w:val="1"/>
      <w:numFmt w:val="lowerRoman"/>
      <w:lvlText w:val="%6."/>
      <w:lvlJc w:val="right"/>
      <w:pPr>
        <w:ind w:left="4320" w:hanging="180"/>
      </w:pPr>
    </w:lvl>
    <w:lvl w:ilvl="6" w:tplc="EA5C5938" w:tentative="1">
      <w:start w:val="1"/>
      <w:numFmt w:val="decimal"/>
      <w:lvlText w:val="%7."/>
      <w:lvlJc w:val="left"/>
      <w:pPr>
        <w:ind w:left="5040" w:hanging="360"/>
      </w:pPr>
    </w:lvl>
    <w:lvl w:ilvl="7" w:tplc="3E42DCE4" w:tentative="1">
      <w:start w:val="1"/>
      <w:numFmt w:val="lowerLetter"/>
      <w:lvlText w:val="%8."/>
      <w:lvlJc w:val="left"/>
      <w:pPr>
        <w:ind w:left="5760" w:hanging="360"/>
      </w:pPr>
    </w:lvl>
    <w:lvl w:ilvl="8" w:tplc="A5761714" w:tentative="1">
      <w:start w:val="1"/>
      <w:numFmt w:val="lowerRoman"/>
      <w:lvlText w:val="%9."/>
      <w:lvlJc w:val="right"/>
      <w:pPr>
        <w:ind w:left="6480" w:hanging="180"/>
      </w:pPr>
    </w:lvl>
  </w:abstractNum>
  <w:abstractNum w:abstractNumId="28" w15:restartNumberingAfterBreak="0">
    <w:nsid w:val="4DAE4191"/>
    <w:multiLevelType w:val="hybridMultilevel"/>
    <w:tmpl w:val="551A35FE"/>
    <w:lvl w:ilvl="0" w:tplc="B53C4C76">
      <w:start w:val="1"/>
      <w:numFmt w:val="bullet"/>
      <w:lvlText w:val=""/>
      <w:lvlJc w:val="left"/>
      <w:pPr>
        <w:ind w:left="720" w:hanging="360"/>
      </w:pPr>
      <w:rPr>
        <w:rFonts w:ascii="Symbol" w:hAnsi="Symbol" w:hint="default"/>
      </w:rPr>
    </w:lvl>
    <w:lvl w:ilvl="1" w:tplc="DD14D19E" w:tentative="1">
      <w:start w:val="1"/>
      <w:numFmt w:val="bullet"/>
      <w:lvlText w:val="o"/>
      <w:lvlJc w:val="left"/>
      <w:pPr>
        <w:ind w:left="1440" w:hanging="360"/>
      </w:pPr>
      <w:rPr>
        <w:rFonts w:ascii="Courier New" w:hAnsi="Courier New" w:cs="Courier New" w:hint="default"/>
      </w:rPr>
    </w:lvl>
    <w:lvl w:ilvl="2" w:tplc="3A645986" w:tentative="1">
      <w:start w:val="1"/>
      <w:numFmt w:val="bullet"/>
      <w:lvlText w:val=""/>
      <w:lvlJc w:val="left"/>
      <w:pPr>
        <w:ind w:left="2160" w:hanging="360"/>
      </w:pPr>
      <w:rPr>
        <w:rFonts w:ascii="Wingdings" w:hAnsi="Wingdings" w:hint="default"/>
      </w:rPr>
    </w:lvl>
    <w:lvl w:ilvl="3" w:tplc="D924E406" w:tentative="1">
      <w:start w:val="1"/>
      <w:numFmt w:val="bullet"/>
      <w:lvlText w:val=""/>
      <w:lvlJc w:val="left"/>
      <w:pPr>
        <w:ind w:left="2880" w:hanging="360"/>
      </w:pPr>
      <w:rPr>
        <w:rFonts w:ascii="Symbol" w:hAnsi="Symbol" w:hint="default"/>
      </w:rPr>
    </w:lvl>
    <w:lvl w:ilvl="4" w:tplc="501EED30" w:tentative="1">
      <w:start w:val="1"/>
      <w:numFmt w:val="bullet"/>
      <w:lvlText w:val="o"/>
      <w:lvlJc w:val="left"/>
      <w:pPr>
        <w:ind w:left="3600" w:hanging="360"/>
      </w:pPr>
      <w:rPr>
        <w:rFonts w:ascii="Courier New" w:hAnsi="Courier New" w:cs="Courier New" w:hint="default"/>
      </w:rPr>
    </w:lvl>
    <w:lvl w:ilvl="5" w:tplc="142E73A6" w:tentative="1">
      <w:start w:val="1"/>
      <w:numFmt w:val="bullet"/>
      <w:lvlText w:val=""/>
      <w:lvlJc w:val="left"/>
      <w:pPr>
        <w:ind w:left="4320" w:hanging="360"/>
      </w:pPr>
      <w:rPr>
        <w:rFonts w:ascii="Wingdings" w:hAnsi="Wingdings" w:hint="default"/>
      </w:rPr>
    </w:lvl>
    <w:lvl w:ilvl="6" w:tplc="49967E74" w:tentative="1">
      <w:start w:val="1"/>
      <w:numFmt w:val="bullet"/>
      <w:lvlText w:val=""/>
      <w:lvlJc w:val="left"/>
      <w:pPr>
        <w:ind w:left="5040" w:hanging="360"/>
      </w:pPr>
      <w:rPr>
        <w:rFonts w:ascii="Symbol" w:hAnsi="Symbol" w:hint="default"/>
      </w:rPr>
    </w:lvl>
    <w:lvl w:ilvl="7" w:tplc="972298BE" w:tentative="1">
      <w:start w:val="1"/>
      <w:numFmt w:val="bullet"/>
      <w:lvlText w:val="o"/>
      <w:lvlJc w:val="left"/>
      <w:pPr>
        <w:ind w:left="5760" w:hanging="360"/>
      </w:pPr>
      <w:rPr>
        <w:rFonts w:ascii="Courier New" w:hAnsi="Courier New" w:cs="Courier New" w:hint="default"/>
      </w:rPr>
    </w:lvl>
    <w:lvl w:ilvl="8" w:tplc="2374984E" w:tentative="1">
      <w:start w:val="1"/>
      <w:numFmt w:val="bullet"/>
      <w:lvlText w:val=""/>
      <w:lvlJc w:val="left"/>
      <w:pPr>
        <w:ind w:left="6480" w:hanging="360"/>
      </w:pPr>
      <w:rPr>
        <w:rFonts w:ascii="Wingdings" w:hAnsi="Wingdings" w:hint="default"/>
      </w:rPr>
    </w:lvl>
  </w:abstractNum>
  <w:abstractNum w:abstractNumId="29" w15:restartNumberingAfterBreak="0">
    <w:nsid w:val="4F6804A1"/>
    <w:multiLevelType w:val="hybridMultilevel"/>
    <w:tmpl w:val="BFF0D1CA"/>
    <w:lvl w:ilvl="0" w:tplc="464EAC8A">
      <w:start w:val="1"/>
      <w:numFmt w:val="bullet"/>
      <w:lvlText w:val=""/>
      <w:lvlJc w:val="left"/>
      <w:pPr>
        <w:ind w:left="720" w:hanging="360"/>
      </w:pPr>
      <w:rPr>
        <w:rFonts w:ascii="Symbol" w:hAnsi="Symbol" w:hint="default"/>
      </w:rPr>
    </w:lvl>
    <w:lvl w:ilvl="1" w:tplc="D736E650" w:tentative="1">
      <w:start w:val="1"/>
      <w:numFmt w:val="bullet"/>
      <w:lvlText w:val="o"/>
      <w:lvlJc w:val="left"/>
      <w:pPr>
        <w:ind w:left="1440" w:hanging="360"/>
      </w:pPr>
      <w:rPr>
        <w:rFonts w:ascii="Courier New" w:hAnsi="Courier New" w:cs="Courier New" w:hint="default"/>
      </w:rPr>
    </w:lvl>
    <w:lvl w:ilvl="2" w:tplc="0C568DFE" w:tentative="1">
      <w:start w:val="1"/>
      <w:numFmt w:val="bullet"/>
      <w:lvlText w:val=""/>
      <w:lvlJc w:val="left"/>
      <w:pPr>
        <w:ind w:left="2160" w:hanging="360"/>
      </w:pPr>
      <w:rPr>
        <w:rFonts w:ascii="Wingdings" w:hAnsi="Wingdings" w:hint="default"/>
      </w:rPr>
    </w:lvl>
    <w:lvl w:ilvl="3" w:tplc="F4DEB4B0" w:tentative="1">
      <w:start w:val="1"/>
      <w:numFmt w:val="bullet"/>
      <w:lvlText w:val=""/>
      <w:lvlJc w:val="left"/>
      <w:pPr>
        <w:ind w:left="2880" w:hanging="360"/>
      </w:pPr>
      <w:rPr>
        <w:rFonts w:ascii="Symbol" w:hAnsi="Symbol" w:hint="default"/>
      </w:rPr>
    </w:lvl>
    <w:lvl w:ilvl="4" w:tplc="5010DBEC" w:tentative="1">
      <w:start w:val="1"/>
      <w:numFmt w:val="bullet"/>
      <w:lvlText w:val="o"/>
      <w:lvlJc w:val="left"/>
      <w:pPr>
        <w:ind w:left="3600" w:hanging="360"/>
      </w:pPr>
      <w:rPr>
        <w:rFonts w:ascii="Courier New" w:hAnsi="Courier New" w:cs="Courier New" w:hint="default"/>
      </w:rPr>
    </w:lvl>
    <w:lvl w:ilvl="5" w:tplc="8A464272" w:tentative="1">
      <w:start w:val="1"/>
      <w:numFmt w:val="bullet"/>
      <w:lvlText w:val=""/>
      <w:lvlJc w:val="left"/>
      <w:pPr>
        <w:ind w:left="4320" w:hanging="360"/>
      </w:pPr>
      <w:rPr>
        <w:rFonts w:ascii="Wingdings" w:hAnsi="Wingdings" w:hint="default"/>
      </w:rPr>
    </w:lvl>
    <w:lvl w:ilvl="6" w:tplc="6ABACB74" w:tentative="1">
      <w:start w:val="1"/>
      <w:numFmt w:val="bullet"/>
      <w:lvlText w:val=""/>
      <w:lvlJc w:val="left"/>
      <w:pPr>
        <w:ind w:left="5040" w:hanging="360"/>
      </w:pPr>
      <w:rPr>
        <w:rFonts w:ascii="Symbol" w:hAnsi="Symbol" w:hint="default"/>
      </w:rPr>
    </w:lvl>
    <w:lvl w:ilvl="7" w:tplc="B004303C" w:tentative="1">
      <w:start w:val="1"/>
      <w:numFmt w:val="bullet"/>
      <w:lvlText w:val="o"/>
      <w:lvlJc w:val="left"/>
      <w:pPr>
        <w:ind w:left="5760" w:hanging="360"/>
      </w:pPr>
      <w:rPr>
        <w:rFonts w:ascii="Courier New" w:hAnsi="Courier New" w:cs="Courier New" w:hint="default"/>
      </w:rPr>
    </w:lvl>
    <w:lvl w:ilvl="8" w:tplc="EE2CB05E" w:tentative="1">
      <w:start w:val="1"/>
      <w:numFmt w:val="bullet"/>
      <w:lvlText w:val=""/>
      <w:lvlJc w:val="left"/>
      <w:pPr>
        <w:ind w:left="6480" w:hanging="360"/>
      </w:pPr>
      <w:rPr>
        <w:rFonts w:ascii="Wingdings" w:hAnsi="Wingdings" w:hint="default"/>
      </w:rPr>
    </w:lvl>
  </w:abstractNum>
  <w:abstractNum w:abstractNumId="30" w15:restartNumberingAfterBreak="0">
    <w:nsid w:val="52F542F7"/>
    <w:multiLevelType w:val="hybridMultilevel"/>
    <w:tmpl w:val="6B704140"/>
    <w:lvl w:ilvl="0" w:tplc="8A50AED8">
      <w:start w:val="1"/>
      <w:numFmt w:val="bullet"/>
      <w:lvlText w:val=""/>
      <w:lvlJc w:val="left"/>
      <w:pPr>
        <w:ind w:left="720" w:hanging="360"/>
      </w:pPr>
      <w:rPr>
        <w:rFonts w:ascii="Symbol" w:hAnsi="Symbol" w:hint="default"/>
      </w:rPr>
    </w:lvl>
    <w:lvl w:ilvl="1" w:tplc="242C307C" w:tentative="1">
      <w:start w:val="1"/>
      <w:numFmt w:val="bullet"/>
      <w:lvlText w:val="o"/>
      <w:lvlJc w:val="left"/>
      <w:pPr>
        <w:ind w:left="1440" w:hanging="360"/>
      </w:pPr>
      <w:rPr>
        <w:rFonts w:ascii="Courier New" w:hAnsi="Courier New" w:cs="Courier New" w:hint="default"/>
      </w:rPr>
    </w:lvl>
    <w:lvl w:ilvl="2" w:tplc="6DB2C788" w:tentative="1">
      <w:start w:val="1"/>
      <w:numFmt w:val="bullet"/>
      <w:lvlText w:val=""/>
      <w:lvlJc w:val="left"/>
      <w:pPr>
        <w:ind w:left="2160" w:hanging="360"/>
      </w:pPr>
      <w:rPr>
        <w:rFonts w:ascii="Wingdings" w:hAnsi="Wingdings" w:hint="default"/>
      </w:rPr>
    </w:lvl>
    <w:lvl w:ilvl="3" w:tplc="665C3930" w:tentative="1">
      <w:start w:val="1"/>
      <w:numFmt w:val="bullet"/>
      <w:lvlText w:val=""/>
      <w:lvlJc w:val="left"/>
      <w:pPr>
        <w:ind w:left="2880" w:hanging="360"/>
      </w:pPr>
      <w:rPr>
        <w:rFonts w:ascii="Symbol" w:hAnsi="Symbol" w:hint="default"/>
      </w:rPr>
    </w:lvl>
    <w:lvl w:ilvl="4" w:tplc="56A8F4F2" w:tentative="1">
      <w:start w:val="1"/>
      <w:numFmt w:val="bullet"/>
      <w:lvlText w:val="o"/>
      <w:lvlJc w:val="left"/>
      <w:pPr>
        <w:ind w:left="3600" w:hanging="360"/>
      </w:pPr>
      <w:rPr>
        <w:rFonts w:ascii="Courier New" w:hAnsi="Courier New" w:cs="Courier New" w:hint="default"/>
      </w:rPr>
    </w:lvl>
    <w:lvl w:ilvl="5" w:tplc="94CA6C9C" w:tentative="1">
      <w:start w:val="1"/>
      <w:numFmt w:val="bullet"/>
      <w:lvlText w:val=""/>
      <w:lvlJc w:val="left"/>
      <w:pPr>
        <w:ind w:left="4320" w:hanging="360"/>
      </w:pPr>
      <w:rPr>
        <w:rFonts w:ascii="Wingdings" w:hAnsi="Wingdings" w:hint="default"/>
      </w:rPr>
    </w:lvl>
    <w:lvl w:ilvl="6" w:tplc="FC4A2BD6" w:tentative="1">
      <w:start w:val="1"/>
      <w:numFmt w:val="bullet"/>
      <w:lvlText w:val=""/>
      <w:lvlJc w:val="left"/>
      <w:pPr>
        <w:ind w:left="5040" w:hanging="360"/>
      </w:pPr>
      <w:rPr>
        <w:rFonts w:ascii="Symbol" w:hAnsi="Symbol" w:hint="default"/>
      </w:rPr>
    </w:lvl>
    <w:lvl w:ilvl="7" w:tplc="F5069914" w:tentative="1">
      <w:start w:val="1"/>
      <w:numFmt w:val="bullet"/>
      <w:lvlText w:val="o"/>
      <w:lvlJc w:val="left"/>
      <w:pPr>
        <w:ind w:left="5760" w:hanging="360"/>
      </w:pPr>
      <w:rPr>
        <w:rFonts w:ascii="Courier New" w:hAnsi="Courier New" w:cs="Courier New" w:hint="default"/>
      </w:rPr>
    </w:lvl>
    <w:lvl w:ilvl="8" w:tplc="2252E47A" w:tentative="1">
      <w:start w:val="1"/>
      <w:numFmt w:val="bullet"/>
      <w:lvlText w:val=""/>
      <w:lvlJc w:val="left"/>
      <w:pPr>
        <w:ind w:left="6480" w:hanging="360"/>
      </w:pPr>
      <w:rPr>
        <w:rFonts w:ascii="Wingdings" w:hAnsi="Wingdings" w:hint="default"/>
      </w:rPr>
    </w:lvl>
  </w:abstractNum>
  <w:abstractNum w:abstractNumId="31" w15:restartNumberingAfterBreak="0">
    <w:nsid w:val="53E40607"/>
    <w:multiLevelType w:val="hybridMultilevel"/>
    <w:tmpl w:val="E328F9F2"/>
    <w:lvl w:ilvl="0" w:tplc="1B6C6422">
      <w:start w:val="1"/>
      <w:numFmt w:val="bullet"/>
      <w:lvlText w:val=""/>
      <w:lvlJc w:val="left"/>
      <w:pPr>
        <w:ind w:left="360" w:hanging="360"/>
      </w:pPr>
      <w:rPr>
        <w:rFonts w:ascii="Symbol" w:hAnsi="Symbol" w:hint="default"/>
      </w:rPr>
    </w:lvl>
    <w:lvl w:ilvl="1" w:tplc="DE38970E" w:tentative="1">
      <w:start w:val="1"/>
      <w:numFmt w:val="bullet"/>
      <w:lvlText w:val="o"/>
      <w:lvlJc w:val="left"/>
      <w:pPr>
        <w:ind w:left="1080" w:hanging="360"/>
      </w:pPr>
      <w:rPr>
        <w:rFonts w:ascii="Courier New" w:hAnsi="Courier New" w:cs="Courier New" w:hint="default"/>
      </w:rPr>
    </w:lvl>
    <w:lvl w:ilvl="2" w:tplc="712C1EC4" w:tentative="1">
      <w:start w:val="1"/>
      <w:numFmt w:val="bullet"/>
      <w:lvlText w:val=""/>
      <w:lvlJc w:val="left"/>
      <w:pPr>
        <w:ind w:left="1800" w:hanging="360"/>
      </w:pPr>
      <w:rPr>
        <w:rFonts w:ascii="Wingdings" w:hAnsi="Wingdings" w:hint="default"/>
      </w:rPr>
    </w:lvl>
    <w:lvl w:ilvl="3" w:tplc="9D96001C" w:tentative="1">
      <w:start w:val="1"/>
      <w:numFmt w:val="bullet"/>
      <w:lvlText w:val=""/>
      <w:lvlJc w:val="left"/>
      <w:pPr>
        <w:ind w:left="2520" w:hanging="360"/>
      </w:pPr>
      <w:rPr>
        <w:rFonts w:ascii="Symbol" w:hAnsi="Symbol" w:hint="default"/>
      </w:rPr>
    </w:lvl>
    <w:lvl w:ilvl="4" w:tplc="AA2CFD24" w:tentative="1">
      <w:start w:val="1"/>
      <w:numFmt w:val="bullet"/>
      <w:lvlText w:val="o"/>
      <w:lvlJc w:val="left"/>
      <w:pPr>
        <w:ind w:left="3240" w:hanging="360"/>
      </w:pPr>
      <w:rPr>
        <w:rFonts w:ascii="Courier New" w:hAnsi="Courier New" w:cs="Courier New" w:hint="default"/>
      </w:rPr>
    </w:lvl>
    <w:lvl w:ilvl="5" w:tplc="01EC1A8E" w:tentative="1">
      <w:start w:val="1"/>
      <w:numFmt w:val="bullet"/>
      <w:lvlText w:val=""/>
      <w:lvlJc w:val="left"/>
      <w:pPr>
        <w:ind w:left="3960" w:hanging="360"/>
      </w:pPr>
      <w:rPr>
        <w:rFonts w:ascii="Wingdings" w:hAnsi="Wingdings" w:hint="default"/>
      </w:rPr>
    </w:lvl>
    <w:lvl w:ilvl="6" w:tplc="3EB4F096" w:tentative="1">
      <w:start w:val="1"/>
      <w:numFmt w:val="bullet"/>
      <w:lvlText w:val=""/>
      <w:lvlJc w:val="left"/>
      <w:pPr>
        <w:ind w:left="4680" w:hanging="360"/>
      </w:pPr>
      <w:rPr>
        <w:rFonts w:ascii="Symbol" w:hAnsi="Symbol" w:hint="default"/>
      </w:rPr>
    </w:lvl>
    <w:lvl w:ilvl="7" w:tplc="2C4CAC3E" w:tentative="1">
      <w:start w:val="1"/>
      <w:numFmt w:val="bullet"/>
      <w:lvlText w:val="o"/>
      <w:lvlJc w:val="left"/>
      <w:pPr>
        <w:ind w:left="5400" w:hanging="360"/>
      </w:pPr>
      <w:rPr>
        <w:rFonts w:ascii="Courier New" w:hAnsi="Courier New" w:cs="Courier New" w:hint="default"/>
      </w:rPr>
    </w:lvl>
    <w:lvl w:ilvl="8" w:tplc="67F22C36" w:tentative="1">
      <w:start w:val="1"/>
      <w:numFmt w:val="bullet"/>
      <w:lvlText w:val=""/>
      <w:lvlJc w:val="left"/>
      <w:pPr>
        <w:ind w:left="6120" w:hanging="360"/>
      </w:pPr>
      <w:rPr>
        <w:rFonts w:ascii="Wingdings" w:hAnsi="Wingdings" w:hint="default"/>
      </w:rPr>
    </w:lvl>
  </w:abstractNum>
  <w:abstractNum w:abstractNumId="32" w15:restartNumberingAfterBreak="0">
    <w:nsid w:val="569843EB"/>
    <w:multiLevelType w:val="hybridMultilevel"/>
    <w:tmpl w:val="0A107A4A"/>
    <w:lvl w:ilvl="0" w:tplc="BE8EC650">
      <w:start w:val="1"/>
      <w:numFmt w:val="bullet"/>
      <w:lvlText w:val=""/>
      <w:lvlJc w:val="left"/>
      <w:pPr>
        <w:ind w:left="720" w:hanging="360"/>
      </w:pPr>
      <w:rPr>
        <w:rFonts w:ascii="Symbol" w:hAnsi="Symbol" w:hint="default"/>
      </w:rPr>
    </w:lvl>
    <w:lvl w:ilvl="1" w:tplc="81BED154" w:tentative="1">
      <w:start w:val="1"/>
      <w:numFmt w:val="bullet"/>
      <w:lvlText w:val="o"/>
      <w:lvlJc w:val="left"/>
      <w:pPr>
        <w:ind w:left="1440" w:hanging="360"/>
      </w:pPr>
      <w:rPr>
        <w:rFonts w:ascii="Courier New" w:hAnsi="Courier New" w:cs="Courier New" w:hint="default"/>
      </w:rPr>
    </w:lvl>
    <w:lvl w:ilvl="2" w:tplc="3A4493D4" w:tentative="1">
      <w:start w:val="1"/>
      <w:numFmt w:val="bullet"/>
      <w:lvlText w:val=""/>
      <w:lvlJc w:val="left"/>
      <w:pPr>
        <w:ind w:left="2160" w:hanging="360"/>
      </w:pPr>
      <w:rPr>
        <w:rFonts w:ascii="Wingdings" w:hAnsi="Wingdings" w:hint="default"/>
      </w:rPr>
    </w:lvl>
    <w:lvl w:ilvl="3" w:tplc="BB7C378C" w:tentative="1">
      <w:start w:val="1"/>
      <w:numFmt w:val="bullet"/>
      <w:lvlText w:val=""/>
      <w:lvlJc w:val="left"/>
      <w:pPr>
        <w:ind w:left="2880" w:hanging="360"/>
      </w:pPr>
      <w:rPr>
        <w:rFonts w:ascii="Symbol" w:hAnsi="Symbol" w:hint="default"/>
      </w:rPr>
    </w:lvl>
    <w:lvl w:ilvl="4" w:tplc="792C0A0E" w:tentative="1">
      <w:start w:val="1"/>
      <w:numFmt w:val="bullet"/>
      <w:lvlText w:val="o"/>
      <w:lvlJc w:val="left"/>
      <w:pPr>
        <w:ind w:left="3600" w:hanging="360"/>
      </w:pPr>
      <w:rPr>
        <w:rFonts w:ascii="Courier New" w:hAnsi="Courier New" w:cs="Courier New" w:hint="default"/>
      </w:rPr>
    </w:lvl>
    <w:lvl w:ilvl="5" w:tplc="217E2E8E" w:tentative="1">
      <w:start w:val="1"/>
      <w:numFmt w:val="bullet"/>
      <w:lvlText w:val=""/>
      <w:lvlJc w:val="left"/>
      <w:pPr>
        <w:ind w:left="4320" w:hanging="360"/>
      </w:pPr>
      <w:rPr>
        <w:rFonts w:ascii="Wingdings" w:hAnsi="Wingdings" w:hint="default"/>
      </w:rPr>
    </w:lvl>
    <w:lvl w:ilvl="6" w:tplc="6044815E" w:tentative="1">
      <w:start w:val="1"/>
      <w:numFmt w:val="bullet"/>
      <w:lvlText w:val=""/>
      <w:lvlJc w:val="left"/>
      <w:pPr>
        <w:ind w:left="5040" w:hanging="360"/>
      </w:pPr>
      <w:rPr>
        <w:rFonts w:ascii="Symbol" w:hAnsi="Symbol" w:hint="default"/>
      </w:rPr>
    </w:lvl>
    <w:lvl w:ilvl="7" w:tplc="6D9C90C0" w:tentative="1">
      <w:start w:val="1"/>
      <w:numFmt w:val="bullet"/>
      <w:lvlText w:val="o"/>
      <w:lvlJc w:val="left"/>
      <w:pPr>
        <w:ind w:left="5760" w:hanging="360"/>
      </w:pPr>
      <w:rPr>
        <w:rFonts w:ascii="Courier New" w:hAnsi="Courier New" w:cs="Courier New" w:hint="default"/>
      </w:rPr>
    </w:lvl>
    <w:lvl w:ilvl="8" w:tplc="8CD8D9BC" w:tentative="1">
      <w:start w:val="1"/>
      <w:numFmt w:val="bullet"/>
      <w:lvlText w:val=""/>
      <w:lvlJc w:val="left"/>
      <w:pPr>
        <w:ind w:left="6480" w:hanging="360"/>
      </w:pPr>
      <w:rPr>
        <w:rFonts w:ascii="Wingdings" w:hAnsi="Wingdings" w:hint="default"/>
      </w:rPr>
    </w:lvl>
  </w:abstractNum>
  <w:abstractNum w:abstractNumId="33" w15:restartNumberingAfterBreak="0">
    <w:nsid w:val="57EA7EB0"/>
    <w:multiLevelType w:val="hybridMultilevel"/>
    <w:tmpl w:val="E6387B90"/>
    <w:lvl w:ilvl="0" w:tplc="B0A2B1D2">
      <w:start w:val="1"/>
      <w:numFmt w:val="bullet"/>
      <w:lvlText w:val=""/>
      <w:lvlJc w:val="left"/>
      <w:pPr>
        <w:ind w:left="720" w:hanging="360"/>
      </w:pPr>
      <w:rPr>
        <w:rFonts w:ascii="Symbol" w:hAnsi="Symbol" w:hint="default"/>
      </w:rPr>
    </w:lvl>
    <w:lvl w:ilvl="1" w:tplc="56EE7728" w:tentative="1">
      <w:start w:val="1"/>
      <w:numFmt w:val="bullet"/>
      <w:lvlText w:val="o"/>
      <w:lvlJc w:val="left"/>
      <w:pPr>
        <w:ind w:left="1440" w:hanging="360"/>
      </w:pPr>
      <w:rPr>
        <w:rFonts w:ascii="Courier New" w:hAnsi="Courier New" w:cs="Courier New" w:hint="default"/>
      </w:rPr>
    </w:lvl>
    <w:lvl w:ilvl="2" w:tplc="BCF0CCAA" w:tentative="1">
      <w:start w:val="1"/>
      <w:numFmt w:val="bullet"/>
      <w:lvlText w:val=""/>
      <w:lvlJc w:val="left"/>
      <w:pPr>
        <w:ind w:left="2160" w:hanging="360"/>
      </w:pPr>
      <w:rPr>
        <w:rFonts w:ascii="Wingdings" w:hAnsi="Wingdings" w:hint="default"/>
      </w:rPr>
    </w:lvl>
    <w:lvl w:ilvl="3" w:tplc="4990861C" w:tentative="1">
      <w:start w:val="1"/>
      <w:numFmt w:val="bullet"/>
      <w:lvlText w:val=""/>
      <w:lvlJc w:val="left"/>
      <w:pPr>
        <w:ind w:left="2880" w:hanging="360"/>
      </w:pPr>
      <w:rPr>
        <w:rFonts w:ascii="Symbol" w:hAnsi="Symbol" w:hint="default"/>
      </w:rPr>
    </w:lvl>
    <w:lvl w:ilvl="4" w:tplc="88CA2432" w:tentative="1">
      <w:start w:val="1"/>
      <w:numFmt w:val="bullet"/>
      <w:lvlText w:val="o"/>
      <w:lvlJc w:val="left"/>
      <w:pPr>
        <w:ind w:left="3600" w:hanging="360"/>
      </w:pPr>
      <w:rPr>
        <w:rFonts w:ascii="Courier New" w:hAnsi="Courier New" w:cs="Courier New" w:hint="default"/>
      </w:rPr>
    </w:lvl>
    <w:lvl w:ilvl="5" w:tplc="F992F282" w:tentative="1">
      <w:start w:val="1"/>
      <w:numFmt w:val="bullet"/>
      <w:lvlText w:val=""/>
      <w:lvlJc w:val="left"/>
      <w:pPr>
        <w:ind w:left="4320" w:hanging="360"/>
      </w:pPr>
      <w:rPr>
        <w:rFonts w:ascii="Wingdings" w:hAnsi="Wingdings" w:hint="default"/>
      </w:rPr>
    </w:lvl>
    <w:lvl w:ilvl="6" w:tplc="08EC9CE8" w:tentative="1">
      <w:start w:val="1"/>
      <w:numFmt w:val="bullet"/>
      <w:lvlText w:val=""/>
      <w:lvlJc w:val="left"/>
      <w:pPr>
        <w:ind w:left="5040" w:hanging="360"/>
      </w:pPr>
      <w:rPr>
        <w:rFonts w:ascii="Symbol" w:hAnsi="Symbol" w:hint="default"/>
      </w:rPr>
    </w:lvl>
    <w:lvl w:ilvl="7" w:tplc="FB4AF402" w:tentative="1">
      <w:start w:val="1"/>
      <w:numFmt w:val="bullet"/>
      <w:lvlText w:val="o"/>
      <w:lvlJc w:val="left"/>
      <w:pPr>
        <w:ind w:left="5760" w:hanging="360"/>
      </w:pPr>
      <w:rPr>
        <w:rFonts w:ascii="Courier New" w:hAnsi="Courier New" w:cs="Courier New" w:hint="default"/>
      </w:rPr>
    </w:lvl>
    <w:lvl w:ilvl="8" w:tplc="93D0378C" w:tentative="1">
      <w:start w:val="1"/>
      <w:numFmt w:val="bullet"/>
      <w:lvlText w:val=""/>
      <w:lvlJc w:val="left"/>
      <w:pPr>
        <w:ind w:left="6480" w:hanging="360"/>
      </w:pPr>
      <w:rPr>
        <w:rFonts w:ascii="Wingdings" w:hAnsi="Wingdings" w:hint="default"/>
      </w:rPr>
    </w:lvl>
  </w:abstractNum>
  <w:abstractNum w:abstractNumId="34" w15:restartNumberingAfterBreak="0">
    <w:nsid w:val="5EA07653"/>
    <w:multiLevelType w:val="hybridMultilevel"/>
    <w:tmpl w:val="549C48F2"/>
    <w:lvl w:ilvl="0" w:tplc="5B0A21EE">
      <w:start w:val="1"/>
      <w:numFmt w:val="bullet"/>
      <w:pStyle w:val="Textstand-aloneBulletpoint"/>
      <w:lvlText w:val="-"/>
      <w:lvlJc w:val="left"/>
      <w:pPr>
        <w:ind w:left="1080" w:hanging="360"/>
      </w:pPr>
      <w:rPr>
        <w:rFonts w:ascii="Verdana" w:hAnsi="Verdana" w:hint="default"/>
      </w:rPr>
    </w:lvl>
    <w:lvl w:ilvl="1" w:tplc="32566E20" w:tentative="1">
      <w:start w:val="1"/>
      <w:numFmt w:val="bullet"/>
      <w:lvlText w:val="o"/>
      <w:lvlJc w:val="left"/>
      <w:pPr>
        <w:ind w:left="1800" w:hanging="360"/>
      </w:pPr>
      <w:rPr>
        <w:rFonts w:ascii="Courier New" w:hAnsi="Courier New" w:cs="Courier New" w:hint="default"/>
      </w:rPr>
    </w:lvl>
    <w:lvl w:ilvl="2" w:tplc="31480828" w:tentative="1">
      <w:start w:val="1"/>
      <w:numFmt w:val="bullet"/>
      <w:lvlText w:val=""/>
      <w:lvlJc w:val="left"/>
      <w:pPr>
        <w:ind w:left="2520" w:hanging="360"/>
      </w:pPr>
      <w:rPr>
        <w:rFonts w:ascii="Wingdings" w:hAnsi="Wingdings" w:hint="default"/>
      </w:rPr>
    </w:lvl>
    <w:lvl w:ilvl="3" w:tplc="43663324" w:tentative="1">
      <w:start w:val="1"/>
      <w:numFmt w:val="bullet"/>
      <w:lvlText w:val=""/>
      <w:lvlJc w:val="left"/>
      <w:pPr>
        <w:ind w:left="3240" w:hanging="360"/>
      </w:pPr>
      <w:rPr>
        <w:rFonts w:ascii="Symbol" w:hAnsi="Symbol" w:hint="default"/>
      </w:rPr>
    </w:lvl>
    <w:lvl w:ilvl="4" w:tplc="491AC260" w:tentative="1">
      <w:start w:val="1"/>
      <w:numFmt w:val="bullet"/>
      <w:lvlText w:val="o"/>
      <w:lvlJc w:val="left"/>
      <w:pPr>
        <w:ind w:left="3960" w:hanging="360"/>
      </w:pPr>
      <w:rPr>
        <w:rFonts w:ascii="Courier New" w:hAnsi="Courier New" w:cs="Courier New" w:hint="default"/>
      </w:rPr>
    </w:lvl>
    <w:lvl w:ilvl="5" w:tplc="64EC0B1A" w:tentative="1">
      <w:start w:val="1"/>
      <w:numFmt w:val="bullet"/>
      <w:lvlText w:val=""/>
      <w:lvlJc w:val="left"/>
      <w:pPr>
        <w:ind w:left="4680" w:hanging="360"/>
      </w:pPr>
      <w:rPr>
        <w:rFonts w:ascii="Wingdings" w:hAnsi="Wingdings" w:hint="default"/>
      </w:rPr>
    </w:lvl>
    <w:lvl w:ilvl="6" w:tplc="528424F2" w:tentative="1">
      <w:start w:val="1"/>
      <w:numFmt w:val="bullet"/>
      <w:lvlText w:val=""/>
      <w:lvlJc w:val="left"/>
      <w:pPr>
        <w:ind w:left="5400" w:hanging="360"/>
      </w:pPr>
      <w:rPr>
        <w:rFonts w:ascii="Symbol" w:hAnsi="Symbol" w:hint="default"/>
      </w:rPr>
    </w:lvl>
    <w:lvl w:ilvl="7" w:tplc="E3C2271E" w:tentative="1">
      <w:start w:val="1"/>
      <w:numFmt w:val="bullet"/>
      <w:lvlText w:val="o"/>
      <w:lvlJc w:val="left"/>
      <w:pPr>
        <w:ind w:left="6120" w:hanging="360"/>
      </w:pPr>
      <w:rPr>
        <w:rFonts w:ascii="Courier New" w:hAnsi="Courier New" w:cs="Courier New" w:hint="default"/>
      </w:rPr>
    </w:lvl>
    <w:lvl w:ilvl="8" w:tplc="21FAF7A0" w:tentative="1">
      <w:start w:val="1"/>
      <w:numFmt w:val="bullet"/>
      <w:lvlText w:val=""/>
      <w:lvlJc w:val="left"/>
      <w:pPr>
        <w:ind w:left="6840" w:hanging="360"/>
      </w:pPr>
      <w:rPr>
        <w:rFonts w:ascii="Wingdings" w:hAnsi="Wingdings" w:hint="default"/>
      </w:rPr>
    </w:lvl>
  </w:abstractNum>
  <w:abstractNum w:abstractNumId="35" w15:restartNumberingAfterBreak="0">
    <w:nsid w:val="6189026D"/>
    <w:multiLevelType w:val="hybridMultilevel"/>
    <w:tmpl w:val="3EC20C2E"/>
    <w:lvl w:ilvl="0" w:tplc="F95013C8">
      <w:start w:val="1"/>
      <w:numFmt w:val="bullet"/>
      <w:lvlText w:val=""/>
      <w:lvlJc w:val="left"/>
      <w:pPr>
        <w:ind w:left="720" w:hanging="360"/>
      </w:pPr>
      <w:rPr>
        <w:rFonts w:ascii="Symbol" w:hAnsi="Symbol" w:hint="default"/>
      </w:rPr>
    </w:lvl>
    <w:lvl w:ilvl="1" w:tplc="39CA8DDA" w:tentative="1">
      <w:start w:val="1"/>
      <w:numFmt w:val="bullet"/>
      <w:lvlText w:val="o"/>
      <w:lvlJc w:val="left"/>
      <w:pPr>
        <w:ind w:left="1440" w:hanging="360"/>
      </w:pPr>
      <w:rPr>
        <w:rFonts w:ascii="Courier New" w:hAnsi="Courier New" w:cs="Courier New" w:hint="default"/>
      </w:rPr>
    </w:lvl>
    <w:lvl w:ilvl="2" w:tplc="51B05918" w:tentative="1">
      <w:start w:val="1"/>
      <w:numFmt w:val="bullet"/>
      <w:lvlText w:val=""/>
      <w:lvlJc w:val="left"/>
      <w:pPr>
        <w:ind w:left="2160" w:hanging="360"/>
      </w:pPr>
      <w:rPr>
        <w:rFonts w:ascii="Wingdings" w:hAnsi="Wingdings" w:hint="default"/>
      </w:rPr>
    </w:lvl>
    <w:lvl w:ilvl="3" w:tplc="5366D294" w:tentative="1">
      <w:start w:val="1"/>
      <w:numFmt w:val="bullet"/>
      <w:lvlText w:val=""/>
      <w:lvlJc w:val="left"/>
      <w:pPr>
        <w:ind w:left="2880" w:hanging="360"/>
      </w:pPr>
      <w:rPr>
        <w:rFonts w:ascii="Symbol" w:hAnsi="Symbol" w:hint="default"/>
      </w:rPr>
    </w:lvl>
    <w:lvl w:ilvl="4" w:tplc="11C07426" w:tentative="1">
      <w:start w:val="1"/>
      <w:numFmt w:val="bullet"/>
      <w:lvlText w:val="o"/>
      <w:lvlJc w:val="left"/>
      <w:pPr>
        <w:ind w:left="3600" w:hanging="360"/>
      </w:pPr>
      <w:rPr>
        <w:rFonts w:ascii="Courier New" w:hAnsi="Courier New" w:cs="Courier New" w:hint="default"/>
      </w:rPr>
    </w:lvl>
    <w:lvl w:ilvl="5" w:tplc="4ABA18CC" w:tentative="1">
      <w:start w:val="1"/>
      <w:numFmt w:val="bullet"/>
      <w:lvlText w:val=""/>
      <w:lvlJc w:val="left"/>
      <w:pPr>
        <w:ind w:left="4320" w:hanging="360"/>
      </w:pPr>
      <w:rPr>
        <w:rFonts w:ascii="Wingdings" w:hAnsi="Wingdings" w:hint="default"/>
      </w:rPr>
    </w:lvl>
    <w:lvl w:ilvl="6" w:tplc="B14086DC" w:tentative="1">
      <w:start w:val="1"/>
      <w:numFmt w:val="bullet"/>
      <w:lvlText w:val=""/>
      <w:lvlJc w:val="left"/>
      <w:pPr>
        <w:ind w:left="5040" w:hanging="360"/>
      </w:pPr>
      <w:rPr>
        <w:rFonts w:ascii="Symbol" w:hAnsi="Symbol" w:hint="default"/>
      </w:rPr>
    </w:lvl>
    <w:lvl w:ilvl="7" w:tplc="43882CAE" w:tentative="1">
      <w:start w:val="1"/>
      <w:numFmt w:val="bullet"/>
      <w:lvlText w:val="o"/>
      <w:lvlJc w:val="left"/>
      <w:pPr>
        <w:ind w:left="5760" w:hanging="360"/>
      </w:pPr>
      <w:rPr>
        <w:rFonts w:ascii="Courier New" w:hAnsi="Courier New" w:cs="Courier New" w:hint="default"/>
      </w:rPr>
    </w:lvl>
    <w:lvl w:ilvl="8" w:tplc="6BD8B8A2" w:tentative="1">
      <w:start w:val="1"/>
      <w:numFmt w:val="bullet"/>
      <w:lvlText w:val=""/>
      <w:lvlJc w:val="left"/>
      <w:pPr>
        <w:ind w:left="6480" w:hanging="360"/>
      </w:pPr>
      <w:rPr>
        <w:rFonts w:ascii="Wingdings" w:hAnsi="Wingdings" w:hint="default"/>
      </w:rPr>
    </w:lvl>
  </w:abstractNum>
  <w:abstractNum w:abstractNumId="36" w15:restartNumberingAfterBreak="0">
    <w:nsid w:val="64AF4E6A"/>
    <w:multiLevelType w:val="hybridMultilevel"/>
    <w:tmpl w:val="F7122C9E"/>
    <w:lvl w:ilvl="0" w:tplc="C28C19F8">
      <w:start w:val="1"/>
      <w:numFmt w:val="bullet"/>
      <w:lvlText w:val=""/>
      <w:lvlJc w:val="left"/>
      <w:pPr>
        <w:ind w:left="720" w:hanging="360"/>
      </w:pPr>
      <w:rPr>
        <w:rFonts w:ascii="Symbol" w:hAnsi="Symbol" w:hint="default"/>
      </w:rPr>
    </w:lvl>
    <w:lvl w:ilvl="1" w:tplc="847C306A" w:tentative="1">
      <w:start w:val="1"/>
      <w:numFmt w:val="bullet"/>
      <w:lvlText w:val="o"/>
      <w:lvlJc w:val="left"/>
      <w:pPr>
        <w:ind w:left="1440" w:hanging="360"/>
      </w:pPr>
      <w:rPr>
        <w:rFonts w:ascii="Courier New" w:hAnsi="Courier New" w:cs="Courier New" w:hint="default"/>
      </w:rPr>
    </w:lvl>
    <w:lvl w:ilvl="2" w:tplc="9F02A604" w:tentative="1">
      <w:start w:val="1"/>
      <w:numFmt w:val="bullet"/>
      <w:lvlText w:val=""/>
      <w:lvlJc w:val="left"/>
      <w:pPr>
        <w:ind w:left="2160" w:hanging="360"/>
      </w:pPr>
      <w:rPr>
        <w:rFonts w:ascii="Wingdings" w:hAnsi="Wingdings" w:hint="default"/>
      </w:rPr>
    </w:lvl>
    <w:lvl w:ilvl="3" w:tplc="58A8B77E" w:tentative="1">
      <w:start w:val="1"/>
      <w:numFmt w:val="bullet"/>
      <w:lvlText w:val=""/>
      <w:lvlJc w:val="left"/>
      <w:pPr>
        <w:ind w:left="2880" w:hanging="360"/>
      </w:pPr>
      <w:rPr>
        <w:rFonts w:ascii="Symbol" w:hAnsi="Symbol" w:hint="default"/>
      </w:rPr>
    </w:lvl>
    <w:lvl w:ilvl="4" w:tplc="D66C9688" w:tentative="1">
      <w:start w:val="1"/>
      <w:numFmt w:val="bullet"/>
      <w:lvlText w:val="o"/>
      <w:lvlJc w:val="left"/>
      <w:pPr>
        <w:ind w:left="3600" w:hanging="360"/>
      </w:pPr>
      <w:rPr>
        <w:rFonts w:ascii="Courier New" w:hAnsi="Courier New" w:cs="Courier New" w:hint="default"/>
      </w:rPr>
    </w:lvl>
    <w:lvl w:ilvl="5" w:tplc="7A7456E0" w:tentative="1">
      <w:start w:val="1"/>
      <w:numFmt w:val="bullet"/>
      <w:lvlText w:val=""/>
      <w:lvlJc w:val="left"/>
      <w:pPr>
        <w:ind w:left="4320" w:hanging="360"/>
      </w:pPr>
      <w:rPr>
        <w:rFonts w:ascii="Wingdings" w:hAnsi="Wingdings" w:hint="default"/>
      </w:rPr>
    </w:lvl>
    <w:lvl w:ilvl="6" w:tplc="32400BBE" w:tentative="1">
      <w:start w:val="1"/>
      <w:numFmt w:val="bullet"/>
      <w:lvlText w:val=""/>
      <w:lvlJc w:val="left"/>
      <w:pPr>
        <w:ind w:left="5040" w:hanging="360"/>
      </w:pPr>
      <w:rPr>
        <w:rFonts w:ascii="Symbol" w:hAnsi="Symbol" w:hint="default"/>
      </w:rPr>
    </w:lvl>
    <w:lvl w:ilvl="7" w:tplc="BF628260" w:tentative="1">
      <w:start w:val="1"/>
      <w:numFmt w:val="bullet"/>
      <w:lvlText w:val="o"/>
      <w:lvlJc w:val="left"/>
      <w:pPr>
        <w:ind w:left="5760" w:hanging="360"/>
      </w:pPr>
      <w:rPr>
        <w:rFonts w:ascii="Courier New" w:hAnsi="Courier New" w:cs="Courier New" w:hint="default"/>
      </w:rPr>
    </w:lvl>
    <w:lvl w:ilvl="8" w:tplc="26BC5B12" w:tentative="1">
      <w:start w:val="1"/>
      <w:numFmt w:val="bullet"/>
      <w:lvlText w:val=""/>
      <w:lvlJc w:val="left"/>
      <w:pPr>
        <w:ind w:left="6480" w:hanging="360"/>
      </w:pPr>
      <w:rPr>
        <w:rFonts w:ascii="Wingdings" w:hAnsi="Wingdings" w:hint="default"/>
      </w:rPr>
    </w:lvl>
  </w:abstractNum>
  <w:abstractNum w:abstractNumId="37" w15:restartNumberingAfterBreak="0">
    <w:nsid w:val="6E2E225E"/>
    <w:multiLevelType w:val="hybridMultilevel"/>
    <w:tmpl w:val="39804DFE"/>
    <w:lvl w:ilvl="0" w:tplc="6B82D1CA">
      <w:start w:val="1"/>
      <w:numFmt w:val="bullet"/>
      <w:lvlText w:val=""/>
      <w:lvlJc w:val="left"/>
      <w:pPr>
        <w:ind w:left="720" w:hanging="360"/>
      </w:pPr>
      <w:rPr>
        <w:rFonts w:ascii="Symbol" w:hAnsi="Symbol" w:hint="default"/>
      </w:rPr>
    </w:lvl>
    <w:lvl w:ilvl="1" w:tplc="ED069670" w:tentative="1">
      <w:start w:val="1"/>
      <w:numFmt w:val="bullet"/>
      <w:lvlText w:val="o"/>
      <w:lvlJc w:val="left"/>
      <w:pPr>
        <w:ind w:left="1440" w:hanging="360"/>
      </w:pPr>
      <w:rPr>
        <w:rFonts w:ascii="Courier New" w:hAnsi="Courier New" w:cs="Courier New" w:hint="default"/>
      </w:rPr>
    </w:lvl>
    <w:lvl w:ilvl="2" w:tplc="DFE0365E" w:tentative="1">
      <w:start w:val="1"/>
      <w:numFmt w:val="bullet"/>
      <w:lvlText w:val=""/>
      <w:lvlJc w:val="left"/>
      <w:pPr>
        <w:ind w:left="2160" w:hanging="360"/>
      </w:pPr>
      <w:rPr>
        <w:rFonts w:ascii="Wingdings" w:hAnsi="Wingdings" w:hint="default"/>
      </w:rPr>
    </w:lvl>
    <w:lvl w:ilvl="3" w:tplc="07F47DD8" w:tentative="1">
      <w:start w:val="1"/>
      <w:numFmt w:val="bullet"/>
      <w:lvlText w:val=""/>
      <w:lvlJc w:val="left"/>
      <w:pPr>
        <w:ind w:left="2880" w:hanging="360"/>
      </w:pPr>
      <w:rPr>
        <w:rFonts w:ascii="Symbol" w:hAnsi="Symbol" w:hint="default"/>
      </w:rPr>
    </w:lvl>
    <w:lvl w:ilvl="4" w:tplc="41944ADA" w:tentative="1">
      <w:start w:val="1"/>
      <w:numFmt w:val="bullet"/>
      <w:lvlText w:val="o"/>
      <w:lvlJc w:val="left"/>
      <w:pPr>
        <w:ind w:left="3600" w:hanging="360"/>
      </w:pPr>
      <w:rPr>
        <w:rFonts w:ascii="Courier New" w:hAnsi="Courier New" w:cs="Courier New" w:hint="default"/>
      </w:rPr>
    </w:lvl>
    <w:lvl w:ilvl="5" w:tplc="E2B02B3E" w:tentative="1">
      <w:start w:val="1"/>
      <w:numFmt w:val="bullet"/>
      <w:lvlText w:val=""/>
      <w:lvlJc w:val="left"/>
      <w:pPr>
        <w:ind w:left="4320" w:hanging="360"/>
      </w:pPr>
      <w:rPr>
        <w:rFonts w:ascii="Wingdings" w:hAnsi="Wingdings" w:hint="default"/>
      </w:rPr>
    </w:lvl>
    <w:lvl w:ilvl="6" w:tplc="5C64E568" w:tentative="1">
      <w:start w:val="1"/>
      <w:numFmt w:val="bullet"/>
      <w:lvlText w:val=""/>
      <w:lvlJc w:val="left"/>
      <w:pPr>
        <w:ind w:left="5040" w:hanging="360"/>
      </w:pPr>
      <w:rPr>
        <w:rFonts w:ascii="Symbol" w:hAnsi="Symbol" w:hint="default"/>
      </w:rPr>
    </w:lvl>
    <w:lvl w:ilvl="7" w:tplc="812E4BC2" w:tentative="1">
      <w:start w:val="1"/>
      <w:numFmt w:val="bullet"/>
      <w:lvlText w:val="o"/>
      <w:lvlJc w:val="left"/>
      <w:pPr>
        <w:ind w:left="5760" w:hanging="360"/>
      </w:pPr>
      <w:rPr>
        <w:rFonts w:ascii="Courier New" w:hAnsi="Courier New" w:cs="Courier New" w:hint="default"/>
      </w:rPr>
    </w:lvl>
    <w:lvl w:ilvl="8" w:tplc="D1FE760C" w:tentative="1">
      <w:start w:val="1"/>
      <w:numFmt w:val="bullet"/>
      <w:lvlText w:val=""/>
      <w:lvlJc w:val="left"/>
      <w:pPr>
        <w:ind w:left="6480" w:hanging="360"/>
      </w:pPr>
      <w:rPr>
        <w:rFonts w:ascii="Wingdings" w:hAnsi="Wingdings" w:hint="default"/>
      </w:rPr>
    </w:lvl>
  </w:abstractNum>
  <w:abstractNum w:abstractNumId="38" w15:restartNumberingAfterBreak="0">
    <w:nsid w:val="6E866C12"/>
    <w:multiLevelType w:val="hybridMultilevel"/>
    <w:tmpl w:val="D4901814"/>
    <w:lvl w:ilvl="0" w:tplc="3E583C88">
      <w:start w:val="1"/>
      <w:numFmt w:val="bullet"/>
      <w:lvlText w:val=""/>
      <w:lvlJc w:val="left"/>
      <w:pPr>
        <w:ind w:left="720" w:hanging="360"/>
      </w:pPr>
      <w:rPr>
        <w:rFonts w:ascii="Symbol" w:hAnsi="Symbol" w:hint="default"/>
      </w:rPr>
    </w:lvl>
    <w:lvl w:ilvl="1" w:tplc="8C5E5B7C" w:tentative="1">
      <w:start w:val="1"/>
      <w:numFmt w:val="bullet"/>
      <w:lvlText w:val="o"/>
      <w:lvlJc w:val="left"/>
      <w:pPr>
        <w:ind w:left="1440" w:hanging="360"/>
      </w:pPr>
      <w:rPr>
        <w:rFonts w:ascii="Courier New" w:hAnsi="Courier New" w:cs="Courier New" w:hint="default"/>
      </w:rPr>
    </w:lvl>
    <w:lvl w:ilvl="2" w:tplc="30D23826" w:tentative="1">
      <w:start w:val="1"/>
      <w:numFmt w:val="bullet"/>
      <w:lvlText w:val=""/>
      <w:lvlJc w:val="left"/>
      <w:pPr>
        <w:ind w:left="2160" w:hanging="360"/>
      </w:pPr>
      <w:rPr>
        <w:rFonts w:ascii="Wingdings" w:hAnsi="Wingdings" w:hint="default"/>
      </w:rPr>
    </w:lvl>
    <w:lvl w:ilvl="3" w:tplc="9D36C2AC" w:tentative="1">
      <w:start w:val="1"/>
      <w:numFmt w:val="bullet"/>
      <w:lvlText w:val=""/>
      <w:lvlJc w:val="left"/>
      <w:pPr>
        <w:ind w:left="2880" w:hanging="360"/>
      </w:pPr>
      <w:rPr>
        <w:rFonts w:ascii="Symbol" w:hAnsi="Symbol" w:hint="default"/>
      </w:rPr>
    </w:lvl>
    <w:lvl w:ilvl="4" w:tplc="FCA00C56" w:tentative="1">
      <w:start w:val="1"/>
      <w:numFmt w:val="bullet"/>
      <w:lvlText w:val="o"/>
      <w:lvlJc w:val="left"/>
      <w:pPr>
        <w:ind w:left="3600" w:hanging="360"/>
      </w:pPr>
      <w:rPr>
        <w:rFonts w:ascii="Courier New" w:hAnsi="Courier New" w:cs="Courier New" w:hint="default"/>
      </w:rPr>
    </w:lvl>
    <w:lvl w:ilvl="5" w:tplc="B17EAA3A" w:tentative="1">
      <w:start w:val="1"/>
      <w:numFmt w:val="bullet"/>
      <w:lvlText w:val=""/>
      <w:lvlJc w:val="left"/>
      <w:pPr>
        <w:ind w:left="4320" w:hanging="360"/>
      </w:pPr>
      <w:rPr>
        <w:rFonts w:ascii="Wingdings" w:hAnsi="Wingdings" w:hint="default"/>
      </w:rPr>
    </w:lvl>
    <w:lvl w:ilvl="6" w:tplc="FEB0348A" w:tentative="1">
      <w:start w:val="1"/>
      <w:numFmt w:val="bullet"/>
      <w:lvlText w:val=""/>
      <w:lvlJc w:val="left"/>
      <w:pPr>
        <w:ind w:left="5040" w:hanging="360"/>
      </w:pPr>
      <w:rPr>
        <w:rFonts w:ascii="Symbol" w:hAnsi="Symbol" w:hint="default"/>
      </w:rPr>
    </w:lvl>
    <w:lvl w:ilvl="7" w:tplc="1EB68616" w:tentative="1">
      <w:start w:val="1"/>
      <w:numFmt w:val="bullet"/>
      <w:lvlText w:val="o"/>
      <w:lvlJc w:val="left"/>
      <w:pPr>
        <w:ind w:left="5760" w:hanging="360"/>
      </w:pPr>
      <w:rPr>
        <w:rFonts w:ascii="Courier New" w:hAnsi="Courier New" w:cs="Courier New" w:hint="default"/>
      </w:rPr>
    </w:lvl>
    <w:lvl w:ilvl="8" w:tplc="6AB05B2E" w:tentative="1">
      <w:start w:val="1"/>
      <w:numFmt w:val="bullet"/>
      <w:lvlText w:val=""/>
      <w:lvlJc w:val="left"/>
      <w:pPr>
        <w:ind w:left="6480" w:hanging="360"/>
      </w:pPr>
      <w:rPr>
        <w:rFonts w:ascii="Wingdings" w:hAnsi="Wingdings" w:hint="default"/>
      </w:rPr>
    </w:lvl>
  </w:abstractNum>
  <w:abstractNum w:abstractNumId="39" w15:restartNumberingAfterBreak="0">
    <w:nsid w:val="6F351A53"/>
    <w:multiLevelType w:val="hybridMultilevel"/>
    <w:tmpl w:val="A22E4046"/>
    <w:lvl w:ilvl="0" w:tplc="F59C28CC">
      <w:start w:val="1"/>
      <w:numFmt w:val="lowerRoman"/>
      <w:pStyle w:val="Textstand-alonenumberingRCIndentJustified"/>
      <w:lvlText w:val="(%1)"/>
      <w:lvlJc w:val="left"/>
      <w:pPr>
        <w:ind w:left="720" w:hanging="360"/>
      </w:pPr>
      <w:rPr>
        <w:rFonts w:hint="default"/>
      </w:rPr>
    </w:lvl>
    <w:lvl w:ilvl="1" w:tplc="9D88F4B0" w:tentative="1">
      <w:start w:val="1"/>
      <w:numFmt w:val="lowerLetter"/>
      <w:lvlText w:val="%2."/>
      <w:lvlJc w:val="left"/>
      <w:pPr>
        <w:ind w:left="1440" w:hanging="360"/>
      </w:pPr>
    </w:lvl>
    <w:lvl w:ilvl="2" w:tplc="B0728648" w:tentative="1">
      <w:start w:val="1"/>
      <w:numFmt w:val="lowerRoman"/>
      <w:lvlText w:val="%3."/>
      <w:lvlJc w:val="right"/>
      <w:pPr>
        <w:ind w:left="2160" w:hanging="180"/>
      </w:pPr>
    </w:lvl>
    <w:lvl w:ilvl="3" w:tplc="210AD984" w:tentative="1">
      <w:start w:val="1"/>
      <w:numFmt w:val="decimal"/>
      <w:lvlText w:val="%4."/>
      <w:lvlJc w:val="left"/>
      <w:pPr>
        <w:ind w:left="2880" w:hanging="360"/>
      </w:pPr>
    </w:lvl>
    <w:lvl w:ilvl="4" w:tplc="36302F1E" w:tentative="1">
      <w:start w:val="1"/>
      <w:numFmt w:val="lowerLetter"/>
      <w:lvlText w:val="%5."/>
      <w:lvlJc w:val="left"/>
      <w:pPr>
        <w:ind w:left="3600" w:hanging="360"/>
      </w:pPr>
    </w:lvl>
    <w:lvl w:ilvl="5" w:tplc="201C25B6" w:tentative="1">
      <w:start w:val="1"/>
      <w:numFmt w:val="lowerRoman"/>
      <w:lvlText w:val="%6."/>
      <w:lvlJc w:val="right"/>
      <w:pPr>
        <w:ind w:left="4320" w:hanging="180"/>
      </w:pPr>
    </w:lvl>
    <w:lvl w:ilvl="6" w:tplc="044417B8" w:tentative="1">
      <w:start w:val="1"/>
      <w:numFmt w:val="decimal"/>
      <w:lvlText w:val="%7."/>
      <w:lvlJc w:val="left"/>
      <w:pPr>
        <w:ind w:left="5040" w:hanging="360"/>
      </w:pPr>
    </w:lvl>
    <w:lvl w:ilvl="7" w:tplc="450ADC6E" w:tentative="1">
      <w:start w:val="1"/>
      <w:numFmt w:val="lowerLetter"/>
      <w:lvlText w:val="%8."/>
      <w:lvlJc w:val="left"/>
      <w:pPr>
        <w:ind w:left="5760" w:hanging="360"/>
      </w:pPr>
    </w:lvl>
    <w:lvl w:ilvl="8" w:tplc="12EEB068" w:tentative="1">
      <w:start w:val="1"/>
      <w:numFmt w:val="lowerRoman"/>
      <w:lvlText w:val="%9."/>
      <w:lvlJc w:val="right"/>
      <w:pPr>
        <w:ind w:left="6480" w:hanging="180"/>
      </w:pPr>
    </w:lvl>
  </w:abstractNum>
  <w:abstractNum w:abstractNumId="40" w15:restartNumberingAfterBreak="0">
    <w:nsid w:val="6F351A54"/>
    <w:multiLevelType w:val="hybridMultilevel"/>
    <w:tmpl w:val="0C4AF42A"/>
    <w:lvl w:ilvl="0" w:tplc="7EB0A3BC">
      <w:start w:val="1"/>
      <w:numFmt w:val="bullet"/>
      <w:lvlText w:val=""/>
      <w:lvlJc w:val="left"/>
      <w:pPr>
        <w:ind w:left="720" w:hanging="360"/>
      </w:pPr>
      <w:rPr>
        <w:rFonts w:ascii="Symbol" w:hAnsi="Symbol" w:hint="default"/>
      </w:rPr>
    </w:lvl>
    <w:lvl w:ilvl="1" w:tplc="FD88D8D2" w:tentative="1">
      <w:start w:val="1"/>
      <w:numFmt w:val="bullet"/>
      <w:lvlText w:val="o"/>
      <w:lvlJc w:val="left"/>
      <w:pPr>
        <w:ind w:left="1440" w:hanging="360"/>
      </w:pPr>
      <w:rPr>
        <w:rFonts w:ascii="Courier New" w:hAnsi="Courier New" w:cs="Courier New" w:hint="default"/>
      </w:rPr>
    </w:lvl>
    <w:lvl w:ilvl="2" w:tplc="9342F524" w:tentative="1">
      <w:start w:val="1"/>
      <w:numFmt w:val="bullet"/>
      <w:lvlText w:val=""/>
      <w:lvlJc w:val="left"/>
      <w:pPr>
        <w:ind w:left="2160" w:hanging="360"/>
      </w:pPr>
      <w:rPr>
        <w:rFonts w:ascii="Wingdings" w:hAnsi="Wingdings" w:hint="default"/>
      </w:rPr>
    </w:lvl>
    <w:lvl w:ilvl="3" w:tplc="230248AA" w:tentative="1">
      <w:start w:val="1"/>
      <w:numFmt w:val="bullet"/>
      <w:lvlText w:val=""/>
      <w:lvlJc w:val="left"/>
      <w:pPr>
        <w:ind w:left="2880" w:hanging="360"/>
      </w:pPr>
      <w:rPr>
        <w:rFonts w:ascii="Symbol" w:hAnsi="Symbol" w:hint="default"/>
      </w:rPr>
    </w:lvl>
    <w:lvl w:ilvl="4" w:tplc="0BD65C34" w:tentative="1">
      <w:start w:val="1"/>
      <w:numFmt w:val="bullet"/>
      <w:lvlText w:val="o"/>
      <w:lvlJc w:val="left"/>
      <w:pPr>
        <w:ind w:left="3600" w:hanging="360"/>
      </w:pPr>
      <w:rPr>
        <w:rFonts w:ascii="Courier New" w:hAnsi="Courier New" w:cs="Courier New" w:hint="default"/>
      </w:rPr>
    </w:lvl>
    <w:lvl w:ilvl="5" w:tplc="C9DA2B8C" w:tentative="1">
      <w:start w:val="1"/>
      <w:numFmt w:val="bullet"/>
      <w:lvlText w:val=""/>
      <w:lvlJc w:val="left"/>
      <w:pPr>
        <w:ind w:left="4320" w:hanging="360"/>
      </w:pPr>
      <w:rPr>
        <w:rFonts w:ascii="Wingdings" w:hAnsi="Wingdings" w:hint="default"/>
      </w:rPr>
    </w:lvl>
    <w:lvl w:ilvl="6" w:tplc="097ACAD2" w:tentative="1">
      <w:start w:val="1"/>
      <w:numFmt w:val="bullet"/>
      <w:lvlText w:val=""/>
      <w:lvlJc w:val="left"/>
      <w:pPr>
        <w:ind w:left="5040" w:hanging="360"/>
      </w:pPr>
      <w:rPr>
        <w:rFonts w:ascii="Symbol" w:hAnsi="Symbol" w:hint="default"/>
      </w:rPr>
    </w:lvl>
    <w:lvl w:ilvl="7" w:tplc="73A60C64" w:tentative="1">
      <w:start w:val="1"/>
      <w:numFmt w:val="bullet"/>
      <w:lvlText w:val="o"/>
      <w:lvlJc w:val="left"/>
      <w:pPr>
        <w:ind w:left="5760" w:hanging="360"/>
      </w:pPr>
      <w:rPr>
        <w:rFonts w:ascii="Courier New" w:hAnsi="Courier New" w:cs="Courier New" w:hint="default"/>
      </w:rPr>
    </w:lvl>
    <w:lvl w:ilvl="8" w:tplc="9ABC8A1C" w:tentative="1">
      <w:start w:val="1"/>
      <w:numFmt w:val="bullet"/>
      <w:lvlText w:val=""/>
      <w:lvlJc w:val="left"/>
      <w:pPr>
        <w:ind w:left="6480" w:hanging="360"/>
      </w:pPr>
      <w:rPr>
        <w:rFonts w:ascii="Wingdings" w:hAnsi="Wingdings" w:hint="default"/>
      </w:rPr>
    </w:lvl>
  </w:abstractNum>
  <w:abstractNum w:abstractNumId="41" w15:restartNumberingAfterBreak="0">
    <w:nsid w:val="6F351A55"/>
    <w:multiLevelType w:val="hybridMultilevel"/>
    <w:tmpl w:val="1B526418"/>
    <w:lvl w:ilvl="0" w:tplc="01E0423C">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68307B22">
      <w:start w:val="1"/>
      <w:numFmt w:val="bullet"/>
      <w:lvlText w:val="o"/>
      <w:lvlJc w:val="left"/>
      <w:pPr>
        <w:ind w:left="1440" w:hanging="360"/>
      </w:pPr>
      <w:rPr>
        <w:rFonts w:ascii="Courier New" w:hAnsi="Courier New" w:cs="Courier New" w:hint="default"/>
      </w:rPr>
    </w:lvl>
    <w:lvl w:ilvl="2" w:tplc="44E42ED4" w:tentative="1">
      <w:start w:val="1"/>
      <w:numFmt w:val="bullet"/>
      <w:lvlText w:val=""/>
      <w:lvlJc w:val="left"/>
      <w:pPr>
        <w:ind w:left="2160" w:hanging="360"/>
      </w:pPr>
      <w:rPr>
        <w:rFonts w:ascii="Wingdings" w:hAnsi="Wingdings" w:hint="default"/>
      </w:rPr>
    </w:lvl>
    <w:lvl w:ilvl="3" w:tplc="FB40543E" w:tentative="1">
      <w:start w:val="1"/>
      <w:numFmt w:val="bullet"/>
      <w:lvlText w:val=""/>
      <w:lvlJc w:val="left"/>
      <w:pPr>
        <w:ind w:left="2880" w:hanging="360"/>
      </w:pPr>
      <w:rPr>
        <w:rFonts w:ascii="Symbol" w:hAnsi="Symbol" w:hint="default"/>
      </w:rPr>
    </w:lvl>
    <w:lvl w:ilvl="4" w:tplc="37BA41E4" w:tentative="1">
      <w:start w:val="1"/>
      <w:numFmt w:val="bullet"/>
      <w:lvlText w:val="o"/>
      <w:lvlJc w:val="left"/>
      <w:pPr>
        <w:ind w:left="3600" w:hanging="360"/>
      </w:pPr>
      <w:rPr>
        <w:rFonts w:ascii="Courier New" w:hAnsi="Courier New" w:cs="Courier New" w:hint="default"/>
      </w:rPr>
    </w:lvl>
    <w:lvl w:ilvl="5" w:tplc="12AA6048" w:tentative="1">
      <w:start w:val="1"/>
      <w:numFmt w:val="bullet"/>
      <w:lvlText w:val=""/>
      <w:lvlJc w:val="left"/>
      <w:pPr>
        <w:ind w:left="4320" w:hanging="360"/>
      </w:pPr>
      <w:rPr>
        <w:rFonts w:ascii="Wingdings" w:hAnsi="Wingdings" w:hint="default"/>
      </w:rPr>
    </w:lvl>
    <w:lvl w:ilvl="6" w:tplc="3CD8AA38" w:tentative="1">
      <w:start w:val="1"/>
      <w:numFmt w:val="bullet"/>
      <w:lvlText w:val=""/>
      <w:lvlJc w:val="left"/>
      <w:pPr>
        <w:ind w:left="5040" w:hanging="360"/>
      </w:pPr>
      <w:rPr>
        <w:rFonts w:ascii="Symbol" w:hAnsi="Symbol" w:hint="default"/>
      </w:rPr>
    </w:lvl>
    <w:lvl w:ilvl="7" w:tplc="B7640C1A" w:tentative="1">
      <w:start w:val="1"/>
      <w:numFmt w:val="bullet"/>
      <w:lvlText w:val="o"/>
      <w:lvlJc w:val="left"/>
      <w:pPr>
        <w:ind w:left="5760" w:hanging="360"/>
      </w:pPr>
      <w:rPr>
        <w:rFonts w:ascii="Courier New" w:hAnsi="Courier New" w:cs="Courier New" w:hint="default"/>
      </w:rPr>
    </w:lvl>
    <w:lvl w:ilvl="8" w:tplc="BE400FA8" w:tentative="1">
      <w:start w:val="1"/>
      <w:numFmt w:val="bullet"/>
      <w:lvlText w:val=""/>
      <w:lvlJc w:val="left"/>
      <w:pPr>
        <w:ind w:left="6480" w:hanging="360"/>
      </w:pPr>
      <w:rPr>
        <w:rFonts w:ascii="Wingdings" w:hAnsi="Wingdings" w:hint="default"/>
      </w:rPr>
    </w:lvl>
  </w:abstractNum>
  <w:abstractNum w:abstractNumId="42" w15:restartNumberingAfterBreak="0">
    <w:nsid w:val="6F351A61"/>
    <w:multiLevelType w:val="hybridMultilevel"/>
    <w:tmpl w:val="7200EC64"/>
    <w:lvl w:ilvl="0" w:tplc="96386C1A">
      <w:start w:val="1"/>
      <w:numFmt w:val="bullet"/>
      <w:lvlText w:val=""/>
      <w:lvlJc w:val="left"/>
      <w:pPr>
        <w:ind w:left="720" w:hanging="360"/>
      </w:pPr>
      <w:rPr>
        <w:rFonts w:ascii="Symbol" w:hAnsi="Symbol" w:hint="default"/>
      </w:rPr>
    </w:lvl>
    <w:lvl w:ilvl="1" w:tplc="A3047FF0" w:tentative="1">
      <w:start w:val="1"/>
      <w:numFmt w:val="bullet"/>
      <w:lvlText w:val="o"/>
      <w:lvlJc w:val="left"/>
      <w:pPr>
        <w:ind w:left="1440" w:hanging="360"/>
      </w:pPr>
      <w:rPr>
        <w:rFonts w:ascii="Courier New" w:hAnsi="Courier New" w:cs="Courier New" w:hint="default"/>
      </w:rPr>
    </w:lvl>
    <w:lvl w:ilvl="2" w:tplc="77FC98CE" w:tentative="1">
      <w:start w:val="1"/>
      <w:numFmt w:val="bullet"/>
      <w:lvlText w:val=""/>
      <w:lvlJc w:val="left"/>
      <w:pPr>
        <w:ind w:left="2160" w:hanging="360"/>
      </w:pPr>
      <w:rPr>
        <w:rFonts w:ascii="Wingdings" w:hAnsi="Wingdings" w:hint="default"/>
      </w:rPr>
    </w:lvl>
    <w:lvl w:ilvl="3" w:tplc="9F983C7A" w:tentative="1">
      <w:start w:val="1"/>
      <w:numFmt w:val="bullet"/>
      <w:lvlText w:val=""/>
      <w:lvlJc w:val="left"/>
      <w:pPr>
        <w:ind w:left="2880" w:hanging="360"/>
      </w:pPr>
      <w:rPr>
        <w:rFonts w:ascii="Symbol" w:hAnsi="Symbol" w:hint="default"/>
      </w:rPr>
    </w:lvl>
    <w:lvl w:ilvl="4" w:tplc="9A2880E4" w:tentative="1">
      <w:start w:val="1"/>
      <w:numFmt w:val="bullet"/>
      <w:lvlText w:val="o"/>
      <w:lvlJc w:val="left"/>
      <w:pPr>
        <w:ind w:left="3600" w:hanging="360"/>
      </w:pPr>
      <w:rPr>
        <w:rFonts w:ascii="Courier New" w:hAnsi="Courier New" w:cs="Courier New" w:hint="default"/>
      </w:rPr>
    </w:lvl>
    <w:lvl w:ilvl="5" w:tplc="3356E9FE" w:tentative="1">
      <w:start w:val="1"/>
      <w:numFmt w:val="bullet"/>
      <w:lvlText w:val=""/>
      <w:lvlJc w:val="left"/>
      <w:pPr>
        <w:ind w:left="4320" w:hanging="360"/>
      </w:pPr>
      <w:rPr>
        <w:rFonts w:ascii="Wingdings" w:hAnsi="Wingdings" w:hint="default"/>
      </w:rPr>
    </w:lvl>
    <w:lvl w:ilvl="6" w:tplc="7DB4D120" w:tentative="1">
      <w:start w:val="1"/>
      <w:numFmt w:val="bullet"/>
      <w:lvlText w:val=""/>
      <w:lvlJc w:val="left"/>
      <w:pPr>
        <w:ind w:left="5040" w:hanging="360"/>
      </w:pPr>
      <w:rPr>
        <w:rFonts w:ascii="Symbol" w:hAnsi="Symbol" w:hint="default"/>
      </w:rPr>
    </w:lvl>
    <w:lvl w:ilvl="7" w:tplc="375E5990" w:tentative="1">
      <w:start w:val="1"/>
      <w:numFmt w:val="bullet"/>
      <w:lvlText w:val="o"/>
      <w:lvlJc w:val="left"/>
      <w:pPr>
        <w:ind w:left="5760" w:hanging="360"/>
      </w:pPr>
      <w:rPr>
        <w:rFonts w:ascii="Courier New" w:hAnsi="Courier New" w:cs="Courier New" w:hint="default"/>
      </w:rPr>
    </w:lvl>
    <w:lvl w:ilvl="8" w:tplc="476A1B9C" w:tentative="1">
      <w:start w:val="1"/>
      <w:numFmt w:val="bullet"/>
      <w:lvlText w:val=""/>
      <w:lvlJc w:val="left"/>
      <w:pPr>
        <w:ind w:left="6480" w:hanging="360"/>
      </w:pPr>
      <w:rPr>
        <w:rFonts w:ascii="Wingdings" w:hAnsi="Wingdings" w:hint="default"/>
      </w:rPr>
    </w:lvl>
  </w:abstractNum>
  <w:abstractNum w:abstractNumId="43" w15:restartNumberingAfterBreak="0">
    <w:nsid w:val="6F351A62"/>
    <w:multiLevelType w:val="hybridMultilevel"/>
    <w:tmpl w:val="E9BA324C"/>
    <w:lvl w:ilvl="0" w:tplc="C362041E">
      <w:start w:val="1"/>
      <w:numFmt w:val="bullet"/>
      <w:lvlText w:val=""/>
      <w:lvlJc w:val="left"/>
      <w:pPr>
        <w:ind w:left="720" w:hanging="360"/>
      </w:pPr>
      <w:rPr>
        <w:rFonts w:ascii="Symbol" w:hAnsi="Symbol" w:hint="default"/>
      </w:rPr>
    </w:lvl>
    <w:lvl w:ilvl="1" w:tplc="65F60AEA" w:tentative="1">
      <w:start w:val="1"/>
      <w:numFmt w:val="bullet"/>
      <w:lvlText w:val="o"/>
      <w:lvlJc w:val="left"/>
      <w:pPr>
        <w:ind w:left="1440" w:hanging="360"/>
      </w:pPr>
      <w:rPr>
        <w:rFonts w:ascii="Courier New" w:hAnsi="Courier New" w:cs="Courier New" w:hint="default"/>
      </w:rPr>
    </w:lvl>
    <w:lvl w:ilvl="2" w:tplc="1FB4B970" w:tentative="1">
      <w:start w:val="1"/>
      <w:numFmt w:val="bullet"/>
      <w:lvlText w:val=""/>
      <w:lvlJc w:val="left"/>
      <w:pPr>
        <w:ind w:left="2160" w:hanging="360"/>
      </w:pPr>
      <w:rPr>
        <w:rFonts w:ascii="Wingdings" w:hAnsi="Wingdings" w:hint="default"/>
      </w:rPr>
    </w:lvl>
    <w:lvl w:ilvl="3" w:tplc="6E369CB6" w:tentative="1">
      <w:start w:val="1"/>
      <w:numFmt w:val="bullet"/>
      <w:lvlText w:val=""/>
      <w:lvlJc w:val="left"/>
      <w:pPr>
        <w:ind w:left="2880" w:hanging="360"/>
      </w:pPr>
      <w:rPr>
        <w:rFonts w:ascii="Symbol" w:hAnsi="Symbol" w:hint="default"/>
      </w:rPr>
    </w:lvl>
    <w:lvl w:ilvl="4" w:tplc="91282020" w:tentative="1">
      <w:start w:val="1"/>
      <w:numFmt w:val="bullet"/>
      <w:lvlText w:val="o"/>
      <w:lvlJc w:val="left"/>
      <w:pPr>
        <w:ind w:left="3600" w:hanging="360"/>
      </w:pPr>
      <w:rPr>
        <w:rFonts w:ascii="Courier New" w:hAnsi="Courier New" w:cs="Courier New" w:hint="default"/>
      </w:rPr>
    </w:lvl>
    <w:lvl w:ilvl="5" w:tplc="AC4EC358" w:tentative="1">
      <w:start w:val="1"/>
      <w:numFmt w:val="bullet"/>
      <w:lvlText w:val=""/>
      <w:lvlJc w:val="left"/>
      <w:pPr>
        <w:ind w:left="4320" w:hanging="360"/>
      </w:pPr>
      <w:rPr>
        <w:rFonts w:ascii="Wingdings" w:hAnsi="Wingdings" w:hint="default"/>
      </w:rPr>
    </w:lvl>
    <w:lvl w:ilvl="6" w:tplc="BE58D264" w:tentative="1">
      <w:start w:val="1"/>
      <w:numFmt w:val="bullet"/>
      <w:lvlText w:val=""/>
      <w:lvlJc w:val="left"/>
      <w:pPr>
        <w:ind w:left="5040" w:hanging="360"/>
      </w:pPr>
      <w:rPr>
        <w:rFonts w:ascii="Symbol" w:hAnsi="Symbol" w:hint="default"/>
      </w:rPr>
    </w:lvl>
    <w:lvl w:ilvl="7" w:tplc="DD967B5C" w:tentative="1">
      <w:start w:val="1"/>
      <w:numFmt w:val="bullet"/>
      <w:lvlText w:val="o"/>
      <w:lvlJc w:val="left"/>
      <w:pPr>
        <w:ind w:left="5760" w:hanging="360"/>
      </w:pPr>
      <w:rPr>
        <w:rFonts w:ascii="Courier New" w:hAnsi="Courier New" w:cs="Courier New" w:hint="default"/>
      </w:rPr>
    </w:lvl>
    <w:lvl w:ilvl="8" w:tplc="F89E718C" w:tentative="1">
      <w:start w:val="1"/>
      <w:numFmt w:val="bullet"/>
      <w:lvlText w:val=""/>
      <w:lvlJc w:val="left"/>
      <w:pPr>
        <w:ind w:left="6480" w:hanging="360"/>
      </w:pPr>
      <w:rPr>
        <w:rFonts w:ascii="Wingdings" w:hAnsi="Wingdings" w:hint="default"/>
      </w:rPr>
    </w:lvl>
  </w:abstractNum>
  <w:abstractNum w:abstractNumId="44" w15:restartNumberingAfterBreak="0">
    <w:nsid w:val="6F351A66"/>
    <w:multiLevelType w:val="hybridMultilevel"/>
    <w:tmpl w:val="14BE167C"/>
    <w:lvl w:ilvl="0" w:tplc="BA1C7A9E">
      <w:start w:val="1"/>
      <w:numFmt w:val="bullet"/>
      <w:lvlText w:val=""/>
      <w:lvlJc w:val="left"/>
      <w:pPr>
        <w:ind w:left="720" w:hanging="360"/>
      </w:pPr>
      <w:rPr>
        <w:rFonts w:ascii="Symbol" w:hAnsi="Symbol" w:hint="default"/>
      </w:rPr>
    </w:lvl>
    <w:lvl w:ilvl="1" w:tplc="5C5838B6" w:tentative="1">
      <w:start w:val="1"/>
      <w:numFmt w:val="bullet"/>
      <w:lvlText w:val="o"/>
      <w:lvlJc w:val="left"/>
      <w:pPr>
        <w:ind w:left="1440" w:hanging="360"/>
      </w:pPr>
      <w:rPr>
        <w:rFonts w:ascii="Courier New" w:hAnsi="Courier New" w:cs="Courier New" w:hint="default"/>
      </w:rPr>
    </w:lvl>
    <w:lvl w:ilvl="2" w:tplc="FCE218C4" w:tentative="1">
      <w:start w:val="1"/>
      <w:numFmt w:val="bullet"/>
      <w:lvlText w:val=""/>
      <w:lvlJc w:val="left"/>
      <w:pPr>
        <w:ind w:left="2160" w:hanging="360"/>
      </w:pPr>
      <w:rPr>
        <w:rFonts w:ascii="Wingdings" w:hAnsi="Wingdings" w:hint="default"/>
      </w:rPr>
    </w:lvl>
    <w:lvl w:ilvl="3" w:tplc="848C4FFA" w:tentative="1">
      <w:start w:val="1"/>
      <w:numFmt w:val="bullet"/>
      <w:lvlText w:val=""/>
      <w:lvlJc w:val="left"/>
      <w:pPr>
        <w:ind w:left="2880" w:hanging="360"/>
      </w:pPr>
      <w:rPr>
        <w:rFonts w:ascii="Symbol" w:hAnsi="Symbol" w:hint="default"/>
      </w:rPr>
    </w:lvl>
    <w:lvl w:ilvl="4" w:tplc="7D405C8C" w:tentative="1">
      <w:start w:val="1"/>
      <w:numFmt w:val="bullet"/>
      <w:lvlText w:val="o"/>
      <w:lvlJc w:val="left"/>
      <w:pPr>
        <w:ind w:left="3600" w:hanging="360"/>
      </w:pPr>
      <w:rPr>
        <w:rFonts w:ascii="Courier New" w:hAnsi="Courier New" w:cs="Courier New" w:hint="default"/>
      </w:rPr>
    </w:lvl>
    <w:lvl w:ilvl="5" w:tplc="B92093CA" w:tentative="1">
      <w:start w:val="1"/>
      <w:numFmt w:val="bullet"/>
      <w:lvlText w:val=""/>
      <w:lvlJc w:val="left"/>
      <w:pPr>
        <w:ind w:left="4320" w:hanging="360"/>
      </w:pPr>
      <w:rPr>
        <w:rFonts w:ascii="Wingdings" w:hAnsi="Wingdings" w:hint="default"/>
      </w:rPr>
    </w:lvl>
    <w:lvl w:ilvl="6" w:tplc="33828D66" w:tentative="1">
      <w:start w:val="1"/>
      <w:numFmt w:val="bullet"/>
      <w:lvlText w:val=""/>
      <w:lvlJc w:val="left"/>
      <w:pPr>
        <w:ind w:left="5040" w:hanging="360"/>
      </w:pPr>
      <w:rPr>
        <w:rFonts w:ascii="Symbol" w:hAnsi="Symbol" w:hint="default"/>
      </w:rPr>
    </w:lvl>
    <w:lvl w:ilvl="7" w:tplc="FD52F46C" w:tentative="1">
      <w:start w:val="1"/>
      <w:numFmt w:val="bullet"/>
      <w:lvlText w:val="o"/>
      <w:lvlJc w:val="left"/>
      <w:pPr>
        <w:ind w:left="5760" w:hanging="360"/>
      </w:pPr>
      <w:rPr>
        <w:rFonts w:ascii="Courier New" w:hAnsi="Courier New" w:cs="Courier New" w:hint="default"/>
      </w:rPr>
    </w:lvl>
    <w:lvl w:ilvl="8" w:tplc="7B722BF6" w:tentative="1">
      <w:start w:val="1"/>
      <w:numFmt w:val="bullet"/>
      <w:lvlText w:val=""/>
      <w:lvlJc w:val="left"/>
      <w:pPr>
        <w:ind w:left="6480" w:hanging="360"/>
      </w:pPr>
      <w:rPr>
        <w:rFonts w:ascii="Wingdings" w:hAnsi="Wingdings" w:hint="default"/>
      </w:rPr>
    </w:lvl>
  </w:abstractNum>
  <w:abstractNum w:abstractNumId="45" w15:restartNumberingAfterBreak="0">
    <w:nsid w:val="6F351A6D"/>
    <w:multiLevelType w:val="hybridMultilevel"/>
    <w:tmpl w:val="6CE4E562"/>
    <w:lvl w:ilvl="0" w:tplc="B6A8EEC0">
      <w:start w:val="1"/>
      <w:numFmt w:val="bullet"/>
      <w:lvlText w:val=""/>
      <w:lvlJc w:val="left"/>
      <w:pPr>
        <w:ind w:left="720" w:hanging="360"/>
      </w:pPr>
      <w:rPr>
        <w:rFonts w:ascii="Symbol" w:hAnsi="Symbol" w:hint="default"/>
      </w:rPr>
    </w:lvl>
    <w:lvl w:ilvl="1" w:tplc="DEB8C336">
      <w:start w:val="1"/>
      <w:numFmt w:val="bullet"/>
      <w:lvlText w:val="o"/>
      <w:lvlJc w:val="left"/>
      <w:pPr>
        <w:ind w:left="1440" w:hanging="360"/>
      </w:pPr>
      <w:rPr>
        <w:rFonts w:ascii="Courier New" w:hAnsi="Courier New" w:cs="Courier New" w:hint="default"/>
      </w:rPr>
    </w:lvl>
    <w:lvl w:ilvl="2" w:tplc="95B275C6">
      <w:start w:val="1"/>
      <w:numFmt w:val="bullet"/>
      <w:lvlText w:val=""/>
      <w:lvlJc w:val="left"/>
      <w:pPr>
        <w:ind w:left="2160" w:hanging="360"/>
      </w:pPr>
      <w:rPr>
        <w:rFonts w:ascii="Wingdings" w:hAnsi="Wingdings" w:hint="default"/>
      </w:rPr>
    </w:lvl>
    <w:lvl w:ilvl="3" w:tplc="AA5E42AE">
      <w:start w:val="1"/>
      <w:numFmt w:val="bullet"/>
      <w:lvlText w:val=""/>
      <w:lvlJc w:val="left"/>
      <w:pPr>
        <w:ind w:left="2880" w:hanging="360"/>
      </w:pPr>
      <w:rPr>
        <w:rFonts w:ascii="Symbol" w:hAnsi="Symbol" w:hint="default"/>
      </w:rPr>
    </w:lvl>
    <w:lvl w:ilvl="4" w:tplc="72E2DF18">
      <w:start w:val="1"/>
      <w:numFmt w:val="bullet"/>
      <w:lvlText w:val="o"/>
      <w:lvlJc w:val="left"/>
      <w:pPr>
        <w:ind w:left="3600" w:hanging="360"/>
      </w:pPr>
      <w:rPr>
        <w:rFonts w:ascii="Courier New" w:hAnsi="Courier New" w:cs="Courier New" w:hint="default"/>
      </w:rPr>
    </w:lvl>
    <w:lvl w:ilvl="5" w:tplc="5F90ADB6">
      <w:start w:val="1"/>
      <w:numFmt w:val="bullet"/>
      <w:lvlText w:val=""/>
      <w:lvlJc w:val="left"/>
      <w:pPr>
        <w:ind w:left="4320" w:hanging="360"/>
      </w:pPr>
      <w:rPr>
        <w:rFonts w:ascii="Wingdings" w:hAnsi="Wingdings" w:hint="default"/>
      </w:rPr>
    </w:lvl>
    <w:lvl w:ilvl="6" w:tplc="C582C62A">
      <w:start w:val="1"/>
      <w:numFmt w:val="bullet"/>
      <w:lvlText w:val=""/>
      <w:lvlJc w:val="left"/>
      <w:pPr>
        <w:ind w:left="5040" w:hanging="360"/>
      </w:pPr>
      <w:rPr>
        <w:rFonts w:ascii="Symbol" w:hAnsi="Symbol" w:hint="default"/>
      </w:rPr>
    </w:lvl>
    <w:lvl w:ilvl="7" w:tplc="AC12B730">
      <w:start w:val="1"/>
      <w:numFmt w:val="bullet"/>
      <w:lvlText w:val="o"/>
      <w:lvlJc w:val="left"/>
      <w:pPr>
        <w:ind w:left="5760" w:hanging="360"/>
      </w:pPr>
      <w:rPr>
        <w:rFonts w:ascii="Courier New" w:hAnsi="Courier New" w:cs="Courier New" w:hint="default"/>
      </w:rPr>
    </w:lvl>
    <w:lvl w:ilvl="8" w:tplc="62C0C4CE">
      <w:start w:val="1"/>
      <w:numFmt w:val="bullet"/>
      <w:lvlText w:val=""/>
      <w:lvlJc w:val="left"/>
      <w:pPr>
        <w:ind w:left="6480" w:hanging="360"/>
      </w:pPr>
      <w:rPr>
        <w:rFonts w:ascii="Wingdings" w:hAnsi="Wingdings" w:hint="default"/>
      </w:rPr>
    </w:lvl>
  </w:abstractNum>
  <w:abstractNum w:abstractNumId="46" w15:restartNumberingAfterBreak="0">
    <w:nsid w:val="6F351A70"/>
    <w:multiLevelType w:val="hybridMultilevel"/>
    <w:tmpl w:val="7A0489D2"/>
    <w:lvl w:ilvl="0" w:tplc="15A84938">
      <w:start w:val="1"/>
      <w:numFmt w:val="bullet"/>
      <w:lvlText w:val=""/>
      <w:lvlJc w:val="left"/>
      <w:pPr>
        <w:ind w:left="720" w:hanging="360"/>
      </w:pPr>
      <w:rPr>
        <w:rFonts w:ascii="Symbol" w:hAnsi="Symbol" w:hint="default"/>
      </w:rPr>
    </w:lvl>
    <w:lvl w:ilvl="1" w:tplc="6B34277E">
      <w:start w:val="1"/>
      <w:numFmt w:val="bullet"/>
      <w:lvlText w:val="o"/>
      <w:lvlJc w:val="left"/>
      <w:pPr>
        <w:ind w:left="1440" w:hanging="360"/>
      </w:pPr>
      <w:rPr>
        <w:rFonts w:ascii="Courier New" w:hAnsi="Courier New" w:cs="Courier New" w:hint="default"/>
      </w:rPr>
    </w:lvl>
    <w:lvl w:ilvl="2" w:tplc="74F431DE">
      <w:start w:val="1"/>
      <w:numFmt w:val="bullet"/>
      <w:lvlText w:val=""/>
      <w:lvlJc w:val="left"/>
      <w:pPr>
        <w:ind w:left="2160" w:hanging="360"/>
      </w:pPr>
      <w:rPr>
        <w:rFonts w:ascii="Wingdings" w:hAnsi="Wingdings" w:hint="default"/>
      </w:rPr>
    </w:lvl>
    <w:lvl w:ilvl="3" w:tplc="81E25848">
      <w:start w:val="1"/>
      <w:numFmt w:val="bullet"/>
      <w:lvlText w:val=""/>
      <w:lvlJc w:val="left"/>
      <w:pPr>
        <w:ind w:left="2880" w:hanging="360"/>
      </w:pPr>
      <w:rPr>
        <w:rFonts w:ascii="Symbol" w:hAnsi="Symbol" w:hint="default"/>
      </w:rPr>
    </w:lvl>
    <w:lvl w:ilvl="4" w:tplc="5B0EA004">
      <w:start w:val="1"/>
      <w:numFmt w:val="bullet"/>
      <w:lvlText w:val="o"/>
      <w:lvlJc w:val="left"/>
      <w:pPr>
        <w:ind w:left="3600" w:hanging="360"/>
      </w:pPr>
      <w:rPr>
        <w:rFonts w:ascii="Courier New" w:hAnsi="Courier New" w:cs="Courier New" w:hint="default"/>
      </w:rPr>
    </w:lvl>
    <w:lvl w:ilvl="5" w:tplc="41A828BE">
      <w:start w:val="1"/>
      <w:numFmt w:val="bullet"/>
      <w:lvlText w:val=""/>
      <w:lvlJc w:val="left"/>
      <w:pPr>
        <w:ind w:left="4320" w:hanging="360"/>
      </w:pPr>
      <w:rPr>
        <w:rFonts w:ascii="Wingdings" w:hAnsi="Wingdings" w:hint="default"/>
      </w:rPr>
    </w:lvl>
    <w:lvl w:ilvl="6" w:tplc="7786E11A">
      <w:start w:val="1"/>
      <w:numFmt w:val="bullet"/>
      <w:lvlText w:val=""/>
      <w:lvlJc w:val="left"/>
      <w:pPr>
        <w:ind w:left="5040" w:hanging="360"/>
      </w:pPr>
      <w:rPr>
        <w:rFonts w:ascii="Symbol" w:hAnsi="Symbol" w:hint="default"/>
      </w:rPr>
    </w:lvl>
    <w:lvl w:ilvl="7" w:tplc="4FC4A9DC">
      <w:start w:val="1"/>
      <w:numFmt w:val="bullet"/>
      <w:lvlText w:val="o"/>
      <w:lvlJc w:val="left"/>
      <w:pPr>
        <w:ind w:left="5760" w:hanging="360"/>
      </w:pPr>
      <w:rPr>
        <w:rFonts w:ascii="Courier New" w:hAnsi="Courier New" w:cs="Courier New" w:hint="default"/>
      </w:rPr>
    </w:lvl>
    <w:lvl w:ilvl="8" w:tplc="D4A2FE40">
      <w:start w:val="1"/>
      <w:numFmt w:val="bullet"/>
      <w:lvlText w:val=""/>
      <w:lvlJc w:val="left"/>
      <w:pPr>
        <w:ind w:left="6480" w:hanging="360"/>
      </w:pPr>
      <w:rPr>
        <w:rFonts w:ascii="Wingdings" w:hAnsi="Wingdings" w:hint="default"/>
      </w:rPr>
    </w:lvl>
  </w:abstractNum>
  <w:abstractNum w:abstractNumId="47" w15:restartNumberingAfterBreak="0">
    <w:nsid w:val="6FC76223"/>
    <w:multiLevelType w:val="hybridMultilevel"/>
    <w:tmpl w:val="2A682C6A"/>
    <w:lvl w:ilvl="0" w:tplc="E17286A0">
      <w:start w:val="1"/>
      <w:numFmt w:val="lowerLetter"/>
      <w:lvlText w:val="%1)"/>
      <w:lvlJc w:val="left"/>
      <w:pPr>
        <w:ind w:left="720" w:hanging="360"/>
      </w:pPr>
    </w:lvl>
    <w:lvl w:ilvl="1" w:tplc="1806FE34" w:tentative="1">
      <w:start w:val="1"/>
      <w:numFmt w:val="lowerLetter"/>
      <w:lvlText w:val="%2."/>
      <w:lvlJc w:val="left"/>
      <w:pPr>
        <w:ind w:left="1440" w:hanging="360"/>
      </w:pPr>
    </w:lvl>
    <w:lvl w:ilvl="2" w:tplc="BA8C452E" w:tentative="1">
      <w:start w:val="1"/>
      <w:numFmt w:val="lowerRoman"/>
      <w:lvlText w:val="%3."/>
      <w:lvlJc w:val="right"/>
      <w:pPr>
        <w:ind w:left="2160" w:hanging="180"/>
      </w:pPr>
    </w:lvl>
    <w:lvl w:ilvl="3" w:tplc="778820BA" w:tentative="1">
      <w:start w:val="1"/>
      <w:numFmt w:val="decimal"/>
      <w:lvlText w:val="%4."/>
      <w:lvlJc w:val="left"/>
      <w:pPr>
        <w:ind w:left="2880" w:hanging="360"/>
      </w:pPr>
    </w:lvl>
    <w:lvl w:ilvl="4" w:tplc="BFC46920" w:tentative="1">
      <w:start w:val="1"/>
      <w:numFmt w:val="lowerLetter"/>
      <w:lvlText w:val="%5."/>
      <w:lvlJc w:val="left"/>
      <w:pPr>
        <w:ind w:left="3600" w:hanging="360"/>
      </w:pPr>
    </w:lvl>
    <w:lvl w:ilvl="5" w:tplc="4A50724A" w:tentative="1">
      <w:start w:val="1"/>
      <w:numFmt w:val="lowerRoman"/>
      <w:lvlText w:val="%6."/>
      <w:lvlJc w:val="right"/>
      <w:pPr>
        <w:ind w:left="4320" w:hanging="180"/>
      </w:pPr>
    </w:lvl>
    <w:lvl w:ilvl="6" w:tplc="EF4E3E48" w:tentative="1">
      <w:start w:val="1"/>
      <w:numFmt w:val="decimal"/>
      <w:lvlText w:val="%7."/>
      <w:lvlJc w:val="left"/>
      <w:pPr>
        <w:ind w:left="5040" w:hanging="360"/>
      </w:pPr>
    </w:lvl>
    <w:lvl w:ilvl="7" w:tplc="C3900D8E" w:tentative="1">
      <w:start w:val="1"/>
      <w:numFmt w:val="lowerLetter"/>
      <w:lvlText w:val="%8."/>
      <w:lvlJc w:val="left"/>
      <w:pPr>
        <w:ind w:left="5760" w:hanging="360"/>
      </w:pPr>
    </w:lvl>
    <w:lvl w:ilvl="8" w:tplc="73AACE3A" w:tentative="1">
      <w:start w:val="1"/>
      <w:numFmt w:val="lowerRoman"/>
      <w:lvlText w:val="%9."/>
      <w:lvlJc w:val="right"/>
      <w:pPr>
        <w:ind w:left="6480" w:hanging="180"/>
      </w:pPr>
    </w:lvl>
  </w:abstractNum>
  <w:abstractNum w:abstractNumId="48" w15:restartNumberingAfterBreak="0">
    <w:nsid w:val="740BC42C"/>
    <w:multiLevelType w:val="multilevel"/>
    <w:tmpl w:val="160E8EBC"/>
    <w:lvl w:ilvl="0">
      <w:start w:val="1"/>
      <w:numFmt w:val="decimal"/>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180" w:hanging="180"/>
      </w:pPr>
      <w:rPr>
        <w:rFonts w:hint="default"/>
      </w:rPr>
    </w:lvl>
    <w:lvl w:ilvl="3">
      <w:start w:val="1"/>
      <w:numFmt w:val="decima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15:restartNumberingAfterBreak="0">
    <w:nsid w:val="7C342F4E"/>
    <w:multiLevelType w:val="multilevel"/>
    <w:tmpl w:val="E46A7BD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5"/>
  </w:num>
  <w:num w:numId="4">
    <w:abstractNumId w:val="6"/>
  </w:num>
  <w:num w:numId="5">
    <w:abstractNumId w:val="0"/>
  </w:num>
  <w:num w:numId="6">
    <w:abstractNumId w:val="18"/>
  </w:num>
  <w:num w:numId="7">
    <w:abstractNumId w:val="23"/>
  </w:num>
  <w:num w:numId="8">
    <w:abstractNumId w:val="4"/>
  </w:num>
  <w:num w:numId="9">
    <w:abstractNumId w:val="34"/>
  </w:num>
  <w:num w:numId="10">
    <w:abstractNumId w:val="20"/>
  </w:num>
  <w:num w:numId="11">
    <w:abstractNumId w:val="39"/>
  </w:num>
  <w:num w:numId="12">
    <w:abstractNumId w:val="2"/>
  </w:num>
  <w:num w:numId="13">
    <w:abstractNumId w:val="10"/>
  </w:num>
  <w:num w:numId="14">
    <w:abstractNumId w:val="22"/>
  </w:num>
  <w:num w:numId="15">
    <w:abstractNumId w:val="11"/>
  </w:num>
  <w:num w:numId="16">
    <w:abstractNumId w:val="13"/>
  </w:num>
  <w:num w:numId="17">
    <w:abstractNumId w:val="8"/>
  </w:num>
  <w:num w:numId="18">
    <w:abstractNumId w:val="9"/>
  </w:num>
  <w:num w:numId="19">
    <w:abstractNumId w:val="24"/>
  </w:num>
  <w:num w:numId="20">
    <w:abstractNumId w:val="38"/>
  </w:num>
  <w:num w:numId="21">
    <w:abstractNumId w:val="17"/>
  </w:num>
  <w:num w:numId="22">
    <w:abstractNumId w:val="31"/>
  </w:num>
  <w:num w:numId="23">
    <w:abstractNumId w:val="29"/>
  </w:num>
  <w:num w:numId="24">
    <w:abstractNumId w:val="35"/>
  </w:num>
  <w:num w:numId="25">
    <w:abstractNumId w:val="47"/>
  </w:num>
  <w:num w:numId="26">
    <w:abstractNumId w:val="27"/>
  </w:num>
  <w:num w:numId="27">
    <w:abstractNumId w:val="14"/>
  </w:num>
  <w:num w:numId="28">
    <w:abstractNumId w:val="37"/>
  </w:num>
  <w:num w:numId="29">
    <w:abstractNumId w:val="15"/>
  </w:num>
  <w:num w:numId="30">
    <w:abstractNumId w:val="33"/>
  </w:num>
  <w:num w:numId="31">
    <w:abstractNumId w:val="42"/>
  </w:num>
  <w:num w:numId="32">
    <w:abstractNumId w:val="43"/>
  </w:num>
  <w:num w:numId="33">
    <w:abstractNumId w:val="7"/>
  </w:num>
  <w:num w:numId="34">
    <w:abstractNumId w:val="19"/>
  </w:num>
  <w:num w:numId="35">
    <w:abstractNumId w:val="21"/>
  </w:num>
  <w:num w:numId="36">
    <w:abstractNumId w:val="44"/>
  </w:num>
  <w:num w:numId="37">
    <w:abstractNumId w:val="25"/>
  </w:num>
  <w:num w:numId="38">
    <w:abstractNumId w:val="28"/>
  </w:num>
  <w:num w:numId="39">
    <w:abstractNumId w:val="26"/>
  </w:num>
  <w:num w:numId="40">
    <w:abstractNumId w:val="16"/>
  </w:num>
  <w:num w:numId="41">
    <w:abstractNumId w:val="30"/>
  </w:num>
  <w:num w:numId="42">
    <w:abstractNumId w:val="12"/>
  </w:num>
  <w:num w:numId="43">
    <w:abstractNumId w:val="45"/>
  </w:num>
  <w:num w:numId="44">
    <w:abstractNumId w:val="36"/>
  </w:num>
  <w:num w:numId="45">
    <w:abstractNumId w:val="46"/>
  </w:num>
  <w:num w:numId="46">
    <w:abstractNumId w:val="32"/>
  </w:num>
  <w:num w:numId="47">
    <w:abstractNumId w:val="49"/>
  </w:num>
  <w:num w:numId="48">
    <w:abstractNumId w:val="40"/>
  </w:num>
  <w:num w:numId="49">
    <w:abstractNumId w:val="41"/>
  </w:num>
  <w:num w:numId="50">
    <w:abstractNumId w:val="48"/>
  </w:num>
  <w:num w:numId="51">
    <w:abstractNumId w:val="11"/>
  </w:num>
  <w:num w:numId="52">
    <w:abstractNumId w:val="13"/>
  </w:num>
  <w:num w:numId="53">
    <w:abstractNumId w:val="13"/>
  </w:num>
  <w:num w:numId="54">
    <w:abstractNumId w:val="13"/>
  </w:num>
  <w:num w:numId="55">
    <w:abstractNumId w:val="13"/>
  </w:num>
  <w:num w:numId="56">
    <w:abstractNumId w:val="13"/>
  </w:num>
  <w:num w:numId="57">
    <w:abstractNumId w:val="13"/>
  </w:num>
  <w:num w:numId="58">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revisionView w:markup="0"/>
  <w:defaultTabStop w:val="907"/>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1:51:04&lt;/DYNAMIZEDON&gt;&lt;LASTUPDATEDBY&gt;kythrst&lt;/LASTUPDATEDBY&gt;&lt;LASTUPDATEDON&gt;6/16/2020 2:21:49 PM&lt;/LASTUPDATEDON&gt;&lt;UTC&gt;1&lt;/UTC&gt;&lt;/UPDATE&gt;&lt;QUERIES bbk=&quot;17213&quot; bbkdesc=&quot;2019 Annual Accounts/EU Annual Accounts/DC - Balance Sheet&quot; datapro=&quot;BIP_BS&quot; tdatapro=&quot;BIP_BS&quot; author=&quot;&quot; modtime=&quot;6/16/2020 2:21:45 PM&quot; moduser=&quot;kythrst&quot; rolluptime=&quot;&quot; syuser=&quot;kythrst&quot; syuzeit=&quot;6/16/2020 2:21:45 PM&quot; root=&quot;/BBOOK/DATAPROVIDER[./META/PROPS/ID='BIP_BS']/DATA&quot; colcount=&quot;4&quot; rowcount=&quot;37&quot; url=&quot;&quot; dynamizeds=&quot;SAP Disclosure Management - Production&quot; dynamizedstype=&quot;9&quot; refreshds=&quot;&quot; viewtype=&quot;1&quot;&gt;&lt;QUERY reftype=&quot;ABS&quot; elmntsel=&quot;TABLE&quot; bbk=&quot;17213&quot; bbkdesc=&quot;2019 Annual Accounts/EU Annual Accounts/DC - Balance Sheet&quot; datapro=&quot;BIP_BS&quot; infos=&quot;&quot; iscomment=&quot;0&quot;&gt;&lt;SELECT&gt;/BBOOK/DATAPROVIDER[./META/PROPS/ID='BIP_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03:47&lt;/DYNAMIZEDON&gt;&lt;LASTUPDATEDBY&gt;Ruberla&lt;/LASTUPDATEDBY&gt;&lt;LASTUPDATEDON&gt;6/11/2020 4:58:06 PM&lt;/LASTUPDATEDON&gt;&lt;UTC&gt;1&lt;/UTC&gt;&lt;/UPDATE&gt;&lt;QUERIES bbk=&quot;17229&quot; bbkdesc=&quot;2019 Annual Accounts/EU Annual Accounts/DC - Statement of Financial Performance&quot; datapro=&quot;BIP_SOFP&quot; tdatapro=&quot;BIP_SOFP&quot; author=&quot;&quot; modtime=&quot;6/9/2020 8:52:51 AM&quot; moduser=&quot;Ruberla&quot; rolluptime=&quot;&quot; syuser=&quot;Ruberla&quot; syuzeit=&quot;6/9/2020 8:52:51 AM&quot; root=&quot;/BBOOK/DATAPROVIDER[./META/PROPS/ID='BIP_SOFP']/DATA&quot; colcount=&quot;4&quot; rowcount=&quot;32&quot; url=&quot;&quot; dynamizeds=&quot;SAP Disclosure Management - Production&quot; dynamizedstype=&quot;9&quot; refreshds=&quot;&quot; viewtype=&quot;1&quot;&gt;&lt;QUERY reftype=&quot;ABS&quot; elmntsel=&quot;TABLE&quot; bbk=&quot;17229&quot; bbkdesc=&quot;2019 Annual Accounts/EU Annual Accounts/DC - Statement of Financial Performance&quot; datapro=&quot;BIP_SOFP&quot; infos=&quot;&quot; iscomment=&quot;0&quot;&gt;&lt;SELECT&gt;/BBOOK/DATAPROVIDER[./META/PROPS/ID='BIP_SO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16:26&lt;/DYNAMIZEDON&gt;&lt;LASTUPDATEDBY&gt;kythrst&lt;/LASTUPDATEDBY&gt;&lt;LASTUPDATEDON&gt;6/16/2020 2:23:11 PM&lt;/LASTUPDATEDON&gt;&lt;UTC&gt;1&lt;/UTC&gt;&lt;/UPDATE&gt;&lt;QUERIES bbk=&quot;17230&quot; bbkdesc=&quot;2019 Annual Accounts/EU Annual Accounts/DC - Cashflow statement&quot; datapro=&quot;BIP_CF&quot; tdatapro=&quot;BIP_CF&quot; author=&quot;&quot; modtime=&quot;6/16/2020 2:23:03 PM&quot; moduser=&quot;kythrst&quot; rolluptime=&quot;&quot; syuser=&quot;kythrst&quot; syuzeit=&quot;6/16/2020 2:23:03 PM&quot; root=&quot;/BBOOK/DATAPROVIDER[./META/PROPS/ID='BIP_CF']/DATA&quot; colcount=&quot;3&quot; rowcount=&quot;28&quot; url=&quot;&quot; dynamizeds=&quot;SAP Disclosure Management - Production&quot; dynamizedstype=&quot;9&quot; refreshds=&quot;&quot; viewtype=&quot;1&quot;&gt;&lt;QUERY reftype=&quot;ABS&quot; elmntsel=&quot;TABLE&quot; bbk=&quot;17230&quot; bbkdesc=&quot;2019 Annual Accounts/EU Annual Accounts/DC - Cashflow statement&quot; datapro=&quot;BIP_CF&quot; infos=&quot;&quot; iscomment=&quot;0&quot;&gt;&lt;SELECT&gt;/BBOOK/DATAPROVIDER[./META/PROPS/ID='BIP_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24:25&lt;/DYNAMIZEDON&gt;&lt;LASTUPDATEDBY&gt;Ruberla&lt;/LASTUPDATEDBY&gt;&lt;LASTUPDATEDON&gt;6/11/2020 4:58:06 PM&lt;/LASTUPDATEDON&gt;&lt;UTC&gt;1&lt;/UTC&gt;&lt;/UPDATE&gt;&lt;QUERIES bbk=&quot;17201&quot; bbkdesc=&quot;2019 Annual Accounts/EU Annual Accounts/DC - Statement of changes in net assets EU&quot; datapro=&quot;BIP_SCNA&quot; tdatapro=&quot;BIP_SCNA&quot; author=&quot;&quot; modtime=&quot;6/8/2020 1:16:04 PM&quot; moduser=&quot;kythrst&quot; rolluptime=&quot;&quot; syuser=&quot;kythrst&quot; syuzeit=&quot;6/8/2020 1:16:04 PM&quot; root=&quot;/BBOOK/DATAPROVIDER[./META/PROPS/ID='BIP_SCNA']/DATA&quot; colcount=&quot;5&quot; rowcount=&quot;17&quot; url=&quot;&quot; dynamizeds=&quot;SAP Disclosure Management - Production&quot; dynamizedstype=&quot;9&quot; refreshds=&quot;&quot; viewtype=&quot;1&quot;&gt;&lt;QUERY reftype=&quot;ABS&quot; elmntsel=&quot;TABLE&quot; bbk=&quot;17201&quot; bbkdesc=&quot;2019 Annual Accounts/EU Annual Accounts/DC - Statement of changes in net assets EU&quot; datapro=&quot;BIP_SCNA&quot; infos=&quot;&quot; iscomment=&quot;0&quot;&gt;&lt;SELECT&gt;/BBOOK/DATAPROVIDER[./META/PROPS/ID='BIP_S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7/30/2019 11:27:04 AM&lt;/DYNAMIZEDON&gt;&lt;LASTUPDATEDBY&gt;kythrst&lt;/LASTUPDATEDBY&gt;&lt;LASTUPDATEDON&gt;6/16/2020 2:24:48 PM&lt;/LASTUPDATEDON&gt;&lt;UTC&gt;1&lt;/UTC&gt;&lt;/UPDATE&gt;&lt;QUERIES bbk=&quot;17185&quot; bbkdesc=&quot;2019 Annual Accounts/EU Annual Accounts/DC - Currency table and Deprec. Rates&quot; datapro=&quot;BIP_CURR&quot; tdatapro=&quot;BIP_CURR&quot; author=&quot;&quot; modtime=&quot;6/16/2020 2:23:22 PM&quot; moduser=&quot;kythrst&quot; rolluptime=&quot;&quot; syuser=&quot;kythrst&quot; syuzeit=&quot;6/16/2020 2:23:22 P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quot; datapro=&quot;BIP_CURR&quot; infos=&quot;&quot; iscomment=&quot;0&quot;&gt;&lt;SELECT&gt;/BBOOK/DATAPROVIDER[./META/PROPS/ID='BIP_CURR']/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ruberla&lt;/DYNAMIZEDBY&gt;&lt;DYNAMIZEDON&gt;24-01-2020 12:26:20&lt;/DYNAMIZEDON&gt;&lt;LASTUPDATEDBY&gt;kythrst&lt;/LASTUPDATEDBY&gt;&lt;LASTUPDATEDON&gt;6/16/2020 2:24:48 PM&lt;/LASTUPDATEDON&gt;&lt;UTC&gt;1&lt;/UTC&gt;&lt;/UPDATE&gt;&lt;QUERIES bbk=&quot;17185&quot; bbkdesc=&quot;2019 Annual Accounts/EU Annual Accounts/DC - Currency table and Deprec. Rates&quot; datapro=&quot;BIP_DR&quot; tdatapro=&quot;BIP_DR&quot; author=&quot;&quot; modtime=&quot;6/16/2020 2:23:22 PM&quot; moduser=&quot;kythrst&quot; rolluptime=&quot;&quot; syuser=&quot;kythrst&quot; syuzeit=&quot;6/16/2020 2:23:22 PM&quot; root=&quot;/BBOOK/DATAPROVIDER[./META/PROPS/ID='BIP_DR']/DATA&quot; colcount=&quot;2&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quot; infos=&quot;&quot; iscomment=&quot;0&quot;&gt;&lt;SELECT&gt;/BBOOK/DATAPROVIDER[./META/PROPS/ID='BIP_DR']/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7:09&lt;/DYNAMIZEDON&gt;&lt;LASTUPDATEDBY&gt;kythrst&lt;/LASTUPDATEDBY&gt;&lt;LASTUPDATEDON&gt;6/16/2020 2:22:04 PM&lt;/LASTUPDATEDON&gt;&lt;UTC&gt;1&lt;/UTC&gt;&lt;/UPDATE&gt;&lt;QUERIES bbk=&quot;17202&quot; bbkdesc=&quot;2019 Annual Accounts/EU Annual Accounts/DC - Intangible assets and PPE&quot; datapro=&quot;BIP_INFA&quot; tdatapro=&quot;BIP_INFA&quot; author=&quot;&quot; modtime=&quot;6/16/2020 2:22:00 PM&quot; moduser=&quot;kythrst&quot; rolluptime=&quot;&quot; syuser=&quot;kythrst&quot; syuzeit=&quot;6/16/2020 2:22:00 PM&quot; root=&quot;/BBOOK/DATAPROVIDER[./META/PROPS/ID='BIP_INFA']/DATA&quot; colcount=&quot;2&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INFA&quot; infos=&quot;&quot; iscomment=&quot;0&quot;&gt;&lt;SELECT&gt;/BBOOK/DATAPROVIDER[./META/PROPS/ID='BIP_IN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8:24&lt;/DYNAMIZEDON&gt;&lt;LASTUPDATEDBY&gt;kythrst&lt;/LASTUPDATEDBY&gt;&lt;LASTUPDATEDON&gt;6/16/2020 2:22:04 PM&lt;/LASTUPDATEDON&gt;&lt;UTC&gt;1&lt;/UTC&gt;&lt;/UPDATE&gt;&lt;QUERIES bbk=&quot;17202&quot; bbkdesc=&quot;2019 Annual Accounts/EU Annual Accounts/DC - Intangible assets and PPE&quot; datapro=&quot;BIP_EUPPE&quot; tdatapro=&quot;BIP_EUPPE&quot; author=&quot;&quot; modtime=&quot;6/16/2020 2:22:00 PM&quot; moduser=&quot;kythrst&quot; rolluptime=&quot;&quot; syuser=&quot;kythrst&quot; syuzeit=&quot;6/16/2020 2:22:00 PM&quot; root=&quot;/BBOOK/DATAPROVIDER[./META/PROPS/ID='BIP_EUPPE']/DATA&quot; colcount=&quot;10&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EUPPE&quot; infos=&quot;&quot; iscomment=&quot;0&quot;&gt;&lt;SELECT&gt;/BBOOK/DATAPROVIDER[./META/PROPS/ID='BIP_EU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0:1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1&quot; tdatapro=&quot;BIP_PARTASS1&quot; author=&quot;&quot; modtime=&quot;6/4/2020 3:29:38 PM&quot; moduser=&quot;kythrst&quot; rolluptime=&quot;&quot; syuser=&quot;kythrst&quot; syuzeit=&quot;6/4/2020 3:29:38 PM&quot; root=&quot;/BBOOK/DATAPROVIDER[./META/PROPS/ID='BIP_PARTASS1']/DATA&quot; colcount=&quot;2&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1&quot; infos=&quot;&quot; iscomment=&quot;0&quot;&gt;&lt;SELECT&gt;/BBOOK/DATAPROVIDER[./META/PROPS/ID='BIP_PARTASS1']/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4:0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2&quot; tdatapro=&quot;BIP_PARTASS2&quot; author=&quot;&quot; modtime=&quot;6/4/2020 3:29:38 PM&quot; moduser=&quot;kythrst&quot; rolluptime=&quot;&quot; syuser=&quot;kythrst&quot; syuzeit=&quot;6/4/2020 3:29:38 PM&quot; root=&quot;/BBOOK/DATAPROVIDER[./META/PROPS/ID='BIP_PARTASS2']/DATA&quot; colcount=&quot;3&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2&quot; infos=&quot;&quot; iscomment=&quot;0&quot;&gt;&lt;SELECT&gt;/BBOOK/DATAPROVIDER[./META/PROPS/ID='BIP_PARTASS2']/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9:55&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2&quot; tdatapro=&quot;BIP_EIF2&quot; author=&quot;&quot; modtime=&quot;6/4/2020 3:29:38 PM&quot; moduser=&quot;kythrst&quot; rolluptime=&quot;&quot; syuser=&quot;kythrst&quot; syuzeit=&quot;6/4/2020 3:29:38 PM&quot; root=&quot;/BBOOK/DATAPROVIDER[./META/PROPS/ID='BIP_EIF2']/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2&quot; infos=&quot;&quot; iscomment=&quot;0&quot;&gt;&lt;SELECT&gt;/BBOOK/DATAPROVIDER[./META/PROPS/ID='BIP_EIF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40:56&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1&quot; tdatapro=&quot;BIP_EIF1&quot; author=&quot;&quot; modtime=&quot;6/4/2020 3:29:38 PM&quot; moduser=&quot;kythrst&quot; rolluptime=&quot;&quot; syuser=&quot;kythrst&quot; syuzeit=&quot;6/4/2020 3:29:38 PM&quot; root=&quot;/BBOOK/DATAPROVIDER[./META/PROPS/ID='BIP_EIF1']/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1&quot; infos=&quot;&quot; iscomment=&quot;0&quot;&gt;&lt;SELECT&gt;/BBOOK/DATAPROVIDER[./META/PROPS/ID='BIP_EIF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6:44&lt;/DYNAMIZEDON&gt;&lt;LASTUPDATEDBY&gt;kythrst&lt;/LASTUPDATEDBY&gt;&lt;LASTUPDATEDON&gt;6/16/2020 2:21:42 PM&lt;/LASTUPDATEDON&gt;&lt;UTC&gt;1&lt;/UTC&gt;&lt;/UPDATE&gt;&lt;QUERIES bbk=&quot;17240&quot; bbkdesc=&quot;2019 Annual Accounts/EU Annual Accounts/DC - Financial assets&quot; datapro=&quot;BIP_FINA&quot; tdatapro=&quot;BIP_FINA&quot; author=&quot;&quot; modtime=&quot;6/16/2020 2:21:37 PM&quot; moduser=&quot;kythrst&quot; rolluptime=&quot;&quot; syuser=&quot;kythrst&quot; syuzeit=&quot;6/16/2020 2:21:37 PM&quot; root=&quot;/BBOOK/DATAPROVIDER[./META/PROPS/ID='BIP_FINA']/DATA&quot; colcount=&quot;4&quot; rowcount=&quot;13&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INA&quot; infos=&quot;&quot; iscomment=&quot;0&quot;&gt;&lt;SELECT&gt;/BBOOK/DATAPROVIDER[./META/PROPS/ID='BIP_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7:54&lt;/DYNAMIZEDON&gt;&lt;LASTUPDATEDBY&gt;kythrst&lt;/LASTUPDATEDBY&gt;&lt;LASTUPDATEDON&gt;6/16/2020 2:21:43 PM&lt;/LASTUPDATEDON&gt;&lt;UTC&gt;1&lt;/UTC&gt;&lt;/UPDATE&gt;&lt;QUERIES bbk=&quot;17240&quot; bbkdesc=&quot;2019 Annual Accounts/EU Annual Accounts/DC - Financial assets&quot; datapro=&quot;BIP_AFS&quot; tdatapro=&quot;BIP_AFS&quot; author=&quot;&quot; modtime=&quot;6/16/2020 2:21:37 PM&quot; moduser=&quot;kythrst&quot; rolluptime=&quot;&quot; syuser=&quot;kythrst&quot; syuzeit=&quot;6/16/2020 2:21:37 PM&quot; root=&quot;/BBOOK/DATAPROVIDER[./META/PROPS/ID='BIP_AFS']/DATA&quot; colcount=&quot;3&quot; rowcount=&quot;2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AFS&quot; infos=&quot;&quot; iscomment=&quot;0&quot;&gt;&lt;SELECT&gt;/BBOOK/DATAPROVIDER[./META/PROPS/ID='BIP_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00:18&lt;/DYNAMIZEDON&gt;&lt;LASTUPDATEDBY&gt;kythrst&lt;/LASTUPDATEDBY&gt;&lt;LASTUPDATEDON&gt;6/16/2020 2:21:42 PM&lt;/LASTUPDATEDON&gt;&lt;UTC&gt;1&lt;/UTC&gt;&lt;/UPDATE&gt;&lt;QUERIES bbk=&quot;17240&quot; bbkdesc=&quot;2019 Annual Accounts/EU Annual Accounts/DC - Financial assets&quot; datapro=&quot;BIP_FAFVTSD&quot; tdatapro=&quot;BIP_FAFVTSD&quot; author=&quot;&quot; modtime=&quot;6/16/2020 2:21:37 PM&quot; moduser=&quot;kythrst&quot; rolluptime=&quot;&quot; syuser=&quot;kythrst&quot; syuzeit=&quot;6/16/2020 2:21:37 PM&quot; root=&quot;/BBOOK/DATAPROVIDER[./META/PROPS/ID='BIP_FAFVTSD']/DATA&quot; colcount=&quot;5&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AFVTSD&quot; infos=&quot;&quot; iscomment=&quot;0&quot;&gt;&lt;SELECT&gt;/BBOOK/DATAPROVIDER[./META/PROPS/ID='BIP_FAFVTSD']/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3:17&lt;/DYNAMIZEDON&gt;&lt;LASTUPDATEDBY&gt;kythrst&lt;/LASTUPDATEDBY&gt;&lt;LASTUPDATEDON&gt;6/16/2020 2:21:42 PM&lt;/LASTUPDATEDON&gt;&lt;UTC&gt;1&lt;/UTC&gt;&lt;/UPDATE&gt;&lt;QUERIES bbk=&quot;17240&quot; bbkdesc=&quot;2019 Annual Accounts/EU Annual Accounts/DC - Financial assets&quot; datapro=&quot;BIP_FVH&quot; tdatapro=&quot;BIP_FVH&quot; author=&quot;&quot; modtime=&quot;6/16/2020 2:21:37 PM&quot; moduser=&quot;kythrst&quot; rolluptime=&quot;&quot; syuser=&quot;kythrst&quot; syuzeit=&quot;6/16/2020 2:21: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VH&quot; infos=&quot;&quot; iscomment=&quot;0&quot;&gt;&lt;SELECT&gt;/BBOOK/DATAPROVIDER[./META/PROPS/ID='BIP_FVH']/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6:39&lt;/DYNAMIZEDON&gt;&lt;LASTUPDATEDBY&gt;kythrst&lt;/LASTUPDATEDBY&gt;&lt;LASTUPDATEDON&gt;6/16/2020 2:21:42 PM&lt;/LASTUPDATEDON&gt;&lt;UTC&gt;1&lt;/UTC&gt;&lt;/UPDATE&gt;&lt;QUERIES bbk=&quot;16545&quot; bbkdesc=&quot;2019 Annual Accounts/EC Annual Accounts/DC - Financial assets&quot; datapro=&quot;BIP_RECOFINA&quot; tdatapro=&quot;BIP_RECOFINA&quot; author=&quot;&quot; modtime=&quot;6/16/2020 2:16:58 PM&quot; moduser=&quot;kythrst&quot; rolluptime=&quot;&quot; syuser=&quot;kythrst&quot; syuzeit=&quot;6/16/2020 2:16:58 PM&quot; root=&quot;/BBOOK/DATAPROVIDER[./META/PROPS/ID='BIP_RECOFINA']/DATA&quot; colcount=&quot;2&quot; rowcount=&quot;10&quot; url=&quot;&quot; dynamizeds=&quot;SAP Disclosure Management - Production&quot; dynamizedstype=&quot;9&quot; refreshds=&quot;&quot; viewtype=&quot;1&quot;&gt;&lt;QUERY reftype=&quot;ABS&quot; elmntsel=&quot;TABLE&quot; bbk=&quot;16545&quot; bbkdesc=&quot;2019 Annual Accounts/EC Annual Accounts/DC - Financial assets&quot; datapro=&quot;BIP_RECOFINA&quot; infos=&quot;&quot; iscomment=&quot;0&quot;&gt;&lt;SELECT&gt;/BBOOK/DATAPROVIDER[./META/PROPS/ID='BIP_RECOFINA']/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08:35&lt;/DYNAMIZEDON&gt;&lt;LASTUPDATEDBY&gt;kythrst&lt;/LASTUPDATEDBY&gt;&lt;LASTUPDATEDON&gt;6/16/2020 2:21:42 PM&lt;/LASTUPDATEDON&gt;&lt;UTC&gt;1&lt;/UTC&gt;&lt;/UPDATE&gt;&lt;QUERIES bbk=&quot;17240&quot; bbkdesc=&quot;2019 Annual Accounts/EU Annual Accounts/DC - Financial assets&quot; datapro=&quot;BIP_LO&quot; tdatapro=&quot;BIP_LO&quot; author=&quot;&quot; modtime=&quot;6/16/2020 2:21:37 PM&quot; moduser=&quot;kythrst&quot; rolluptime=&quot;&quot; syuser=&quot;kythrst&quot; syuzeit=&quot;6/16/2020 2:21:37 PM&quot; root=&quot;/BBOOK/DATAPROVIDER[./META/PROPS/ID='BIP_LO']/DATA&quot; colcount=&quot;4&quot; rowcount=&quot;7&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quot; infos=&quot;&quot; iscomment=&quot;0&quot;&gt;&lt;SELECT&gt;/BBOOK/DATAPROVIDER[./META/PROPS/ID='BIP_L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9:36&lt;/DYNAMIZEDON&gt;&lt;LASTUPDATEDBY&gt;kythrst&lt;/LASTUPDATEDBY&gt;&lt;LASTUPDATEDON&gt;6/16/2020 2:21:42 PM&lt;/LASTUPDATEDON&gt;&lt;UTC&gt;1&lt;/UTC&gt;&lt;/UPDATE&gt;&lt;QUERIES bbk=&quot;17240&quot; bbkdesc=&quot;2019 Annual Accounts/EU Annual Accounts/DC - Financial assets&quot; datapro=&quot;BIP_LGFBF&quot; tdatapro=&quot;BIP_LGFBF&quot; author=&quot;&quot; modtime=&quot;6/16/2020 2:21:37 PM&quot; moduser=&quot;kythrst&quot; rolluptime=&quot;&quot; syuser=&quot;kythrst&quot; syuzeit=&quot;6/16/2020 2:21:37 PM&quot; root=&quot;/BBOOK/DATAPROVIDER[./META/PROPS/ID='BIP_LGFBF']/DATA&quot; colcount=&quot;7&quot; rowcount=&quot;11&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GFBF&quot; infos=&quot;&quot; iscomment=&quot;0&quot;&gt;&lt;SELECT&gt;/BBOOK/DATAPROVIDER[./META/PROPS/ID='BIP_LGFBF']/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11:47&lt;/DYNAMIZEDON&gt;&lt;LASTUPDATEDBY&gt;kythrst&lt;/LASTUPDATEDBY&gt;&lt;LASTUPDATEDON&gt;6/16/2020 2:21:42 PM&lt;/LASTUPDATEDON&gt;&lt;UTC&gt;1&lt;/UTC&gt;&lt;/UPDATE&gt;&lt;QUERIES bbk=&quot;17240&quot; bbkdesc=&quot;2019 Annual Accounts/EU Annual Accounts/DC - Financial assets&quot; datapro=&quot;BIP_BORR2&quot; tdatapro=&quot;BIP_BORR2&quot; author=&quot;&quot; modtime=&quot;6/16/2020 2:21:37 PM&quot; moduser=&quot;kythrst&quot; rolluptime=&quot;&quot; syuser=&quot;kythrst&quot; syuzeit=&quot;6/16/2020 2:21:37 PM&quot; root=&quot;/BBOOK/DATAPROVIDER[./META/PROPS/ID='BIP_BORR2']/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BORR2&quot; infos=&quot;&quot; iscomment=&quot;0&quot;&gt;&lt;SELECT&gt;/BBOOK/DATAPROVIDER[./META/PROPS/ID='BIP_BORR2']/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13:12&lt;/DYNAMIZEDON&gt;&lt;LASTUPDATEDBY&gt;kythrst&lt;/LASTUPDATEDBY&gt;&lt;LASTUPDATEDON&gt;6/16/2020 2:21:42 PM&lt;/LASTUPDATEDON&gt;&lt;UTC&gt;1&lt;/UTC&gt;&lt;/UPDATE&gt;&lt;QUERIES bbk=&quot;17240&quot; bbkdesc=&quot;2019 Annual Accounts/EU Annual Accounts/DC - Financial assets&quot; datapro=&quot;BIP_LOBUDG&quot; tdatapro=&quot;BIP_LOBUDG&quot; author=&quot;&quot; modtime=&quot;6/16/2020 2:21:37 PM&quot; moduser=&quot;kythrst&quot; rolluptime=&quot;&quot; syuser=&quot;kythrst&quot; syuzeit=&quot;6/16/2020 2:21:37 PM&quot; root=&quot;/BBOOK/DATAPROVIDER[./META/PROPS/ID='BIP_LOBUDG']/DATA&quot; colcount=&quot;3&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BUDG&quot; infos=&quot;&quot; iscomment=&quot;0&quot;&gt;&lt;SELECT&gt;/BBOOK/DATAPROVIDER[./META/PROPS/ID='BIP_LOBUDG']/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14:05&lt;/DYNAMIZEDON&gt;&lt;LASTUPDATEDBY&gt;kythrst&lt;/LASTUPDATEDBY&gt;&lt;LASTUPDATEDON&gt;6/16/2020 2:21:42 PM&lt;/LASTUPDATEDON&gt;&lt;UTC&gt;1&lt;/UTC&gt;&lt;/UPDATE&gt;&lt;QUERIES bbk=&quot;17240&quot; bbkdesc=&quot;2019 Annual Accounts/EU Annual Accounts/DC - Financial assets&quot; datapro=&quot;BIP_IMP&quot; tdatapro=&quot;BIP_IMP&quot; author=&quot;&quot; modtime=&quot;6/16/2020 2:21:37 PM&quot; moduser=&quot;kythrst&quot; rolluptime=&quot;&quot; syuser=&quot;kythrst&quot; syuzeit=&quot;6/16/2020 2:21:37 PM&quot; root=&quot;/BBOOK/DATAPROVIDER[./META/PROPS/ID='BIP_IMP']/DATA&quot; colcount=&quot;7&quot; rowcount=&quot;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IMP&quot; infos=&quot;&quot; iscomment=&quot;0&quot;&gt;&lt;SELECT&gt;/BBOOK/DATAPROVIDER[./META/PROPS/ID='BIP_IM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13:00&lt;/DYNAMIZEDON&gt;&lt;LASTUPDATEDBY&gt;Ruberla&lt;/LASTUPDATEDBY&gt;&lt;LASTUPDATEDON&gt;6/11/2020 4:58:01 PM&lt;/LASTUPDATEDON&gt;&lt;UTC&gt;1&lt;/UTC&gt;&lt;/UPDATE&gt;&lt;QUERIES bbk=&quot;17241&quot; bbkdesc=&quot;2019 Annual Accounts/EU Annual Accounts/DC - Pre-financing&quot; datapro=&quot;BIP_PF&quot; tdatapro=&quot;BIP_PF&quot; author=&quot;&quot; modtime=&quot;6/10/2020 2:58:02 PM&quot; moduser=&quot;Ruberla&quot; rolluptime=&quot;&quot; syuser=&quot;Ruberla&quot; syuzeit=&quot;6/10/2020 2:58:02 PM&quot; root=&quot;/BBOOK/DATAPROVIDER[./META/PROPS/ID='BIP_PF']/DATA&quot; colcount=&quot;4&quot; rowcount=&quot;12&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quot; infos=&quot;&quot; iscomment=&quot;0&quot;&gt;&lt;SELECT&gt;/BBOOK/DATAPROVIDER[./META/PROPS/ID='BIP_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8/09/2019 08:02:06&lt;/DYNAMIZEDON&gt;&lt;LASTUPDATEDBY&gt;Ruberla&lt;/LASTUPDATEDBY&gt;&lt;LASTUPDATEDON&gt;6/11/2020 4:58:01 PM&lt;/LASTUPDATEDON&gt;&lt;UTC&gt;1&lt;/UTC&gt;&lt;/UPDATE&gt;&lt;QUERIES bbk=&quot;17241&quot; bbkdesc=&quot;2019 Annual Accounts/EU Annual Accounts/DC - Pre-financing&quot; datapro=&quot;BIP_PFD&quot; tdatapro=&quot;BIP_PFD&quot; author=&quot;&quot; modtime=&quot;6/10/2020 2:58:02 PM&quot; moduser=&quot;Ruberla&quot; rolluptime=&quot;&quot; syuser=&quot;Ruberla&quot; syuzeit=&quot;6/10/2020 2:58:02 PM&quot; root=&quot;/BBOOK/DATAPROVIDER[./META/PROPS/ID='BIP_PFD']/DATA&quot; colcount=&quot;7&quot; rowcount=&quot;24&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D&quot; infos=&quot;&quot; iscomment=&quot;0&quot;&gt;&lt;SELECT&gt;/BBOOK/DATAPROVIDER[./META/PROPS/ID='BIP_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20:58&lt;/DYNAMIZEDON&gt;&lt;LASTUPDATEDBY&gt;Ruberla&lt;/LASTUPDATEDBY&gt;&lt;LASTUPDATEDON&gt;6/11/2020 4:58:01 PM&lt;/LASTUPDATEDON&gt;&lt;UTC&gt;1&lt;/UTC&gt;&lt;/UPDATE&gt;&lt;QUERIES bbk=&quot;16547&quot; bbkdesc=&quot;2019 Annual Accounts/EC Annual Accounts/DC - Pre-financing&quot; datapro=&quot;BIP_FEIAS&quot; tdatapro=&quot;BIP_FEIAS&quot; author=&quot;&quot; modtime=&quot;6/4/2020 3:30:58 PM&quot; moduser=&quot;kythrst&quot; rolluptime=&quot;&quot; syuser=&quot;kythrst&quot; syuzeit=&quot;6/4/2020 3:30:58 PM&quot; root=&quot;/BBOOK/DATAPROVIDER[./META/PROPS/ID='BIP_FEIAS']/DATA&quot; colcount=&quot;3&quot; rowcount=&quot;7&quot; url=&quot;&quot; dynamizeds=&quot;SAP Disclosure Management - Production&quot; dynamizedstype=&quot;9&quot; refreshds=&quot;&quot; viewtype=&quot;1&quot;&gt;&lt;QUERY reftype=&quot;ABS&quot; elmntsel=&quot;TABLE&quot; bbk=&quot;16547&quot; bbkdesc=&quot;2019 Annual Accounts/EC Annual Accounts/DC - Pre-financing&quot; datapro=&quot;BIP_FEIAS&quot; infos=&quot;&quot; iscomment=&quot;0&quot;&gt;&lt;SELECT&gt;/BBOOK/DATAPROVIDER[./META/PROPS/ID='BIP_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8:10&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ERNER&quot; tdatapro=&quot;BIP_ERNER&quot; author=&quot;&quot; modtime=&quot;6/16/2020 2:23:23 PM&quot; moduser=&quot;kythrst&quot; rolluptime=&quot;&quot; syuser=&quot;kythrst&quot; syuzeit=&quot;6/16/2020 2:23:23 PM&quot; root=&quot;/BBOOK/DATAPROVIDER[./META/PROPS/ID='BIP_ERNER']/DATA&quot; colcount=&quot;4&quot; rowcount=&quot;11&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ERNER&quot; infos=&quot;&quot; iscomment=&quot;0&quot;&gt;&lt;SELECT&gt;/BBOOK/DATAPROVIDER[./META/PROPS/ID='BIP_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9:26&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NET&quot; tdatapro=&quot;BIP_RNET&quot; author=&quot;&quot; modtime=&quot;6/16/2020 2:23:23 PM&quot; moduser=&quot;kythrst&quot; rolluptime=&quot;&quot; syuser=&quot;kythrst&quot; syuzeit=&quot;6/16/2020 2:23:23 PM&quot; root=&quot;/BBOOK/DATAPROVIDER[./META/PROPS/ID='BIP_RNET']/DATA&quot; colcount=&quot;4&quot; rowcount=&quot;12&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NET&quot; infos=&quot;&quot; iscomment=&quot;0&quot;&gt;&lt;SELECT&gt;/BBOOK/DATAPROVIDER[./META/PROPS/ID='BIP_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54:02&lt;/DYNAMIZEDON&gt;&lt;LASTUPDATEDBY&gt;kythrst&lt;/LASTUPDATEDBY&gt;&lt;LASTUPDATEDON&gt;6/16/2020 2:23:39 PM&lt;/LASTUPDATEDON&gt;&lt;UTC&gt;1&lt;/UTC&gt;&lt;/UPDATE&gt;&lt;QUERIES bbk=&quot;17218&quot; bbkdesc=&quot;2019 Annual Accounts/EU Annual Accounts/DC - Recoverables from Member States&quot; datapro=&quot;BIP_RMS&quot; tdatapro=&quot;BIP_RMS&quot; author=&quot;&quot; modtime=&quot;6/16/2020 2:23:24 PM&quot; moduser=&quot;kythrst&quot; rolluptime=&quot;&quot; syuser=&quot;kythrst&quot; syuzeit=&quot;6/16/2020 2:23:24 PM&quot; root=&quot;/BBOOK/DATAPROVIDER[./META/PROPS/ID='BIP_RMS']/DATA&quot; colcount=&quot;3&quot; rowcount=&quot;18&quot; url=&quot;&quot; dynamizeds=&quot;SAP Disclosure Management - Production&quot; dynamizedstype=&quot;9&quot; refreshds=&quot;&quot; viewtype=&quot;1&quot;&gt;&lt;QUERY reftype=&quot;ABS&quot; elmntsel=&quot;TABLE&quot; bbk=&quot;17218&quot; bbkdesc=&quot;2019 Annual Accounts/EU Annual Accounts/DC - Recoverables from Member States&quot; datapro=&quot;BIP_RMS&quot; infos=&quot;&quot; iscomment=&quot;0&quot;&gt;&lt;SELECT&gt;/BBOOK/DATAPROVIDER[./META/PROPS/ID='BIP_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09:40:29&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FINES&quot; tdatapro=&quot;BIP_FINES&quot; author=&quot;&quot; modtime=&quot;6/16/2020 2:23:23 PM&quot; moduser=&quot;kythrst&quot; rolluptime=&quot;&quot; syuser=&quot;kythrst&quot; syuzeit=&quot;6/16/2020 2:23:23 PM&quot; root=&quot;/BBOOK/DATAPROVIDER[./META/PROPS/ID='BIP_FINES']/DATA&quot; colcount=&quot;3&quot; rowcount=&quot;8&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FINES&quot; infos=&quot;&quot; iscomment=&quot;0&quot;&gt;&lt;SELECT&gt;/BBOOK/DATAPROVIDER[./META/PROPS/ID='BIP_FIN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01:09&lt;/DYNAMIZEDON&gt;&lt;LASTUPDATEDBY&gt;kythrst&lt;/LASTUPDATEDBY&gt;&lt;LASTUPDATEDON&gt;6/16/2020 2:23:39 PM&lt;/LASTUPDATEDON&gt;&lt;UTC&gt;1&lt;/UTC&gt;&lt;/UPDATE&gt;&lt;QUERIES bbk=&quot;17219&quot; bbkdesc=&quot;2019 Annual Accounts/EU Annual Accounts/DC - Accrued income and Deferred charges&quot; datapro=&quot;BIP_AIDC&quot; tdatapro=&quot;BIP_AIDC&quot; author=&quot;&quot; modtime=&quot;6/16/2020 2:23:25 PM&quot; moduser=&quot;kythrst&quot; rolluptime=&quot;&quot; syuser=&quot;kythrst&quot; syuzeit=&quot;6/16/2020 2:23:25 PM&quot; root=&quot;/BBOOK/DATAPROVIDER[./META/PROPS/ID='BIP_AIDC']/DATA&quot; colcount=&quot;3&quot; rowcount=&quot;7&quot; url=&quot;&quot; dynamizeds=&quot;SAP Disclosure Management - Production&quot; dynamizedstype=&quot;9&quot; refreshds=&quot;&quot; viewtype=&quot;1&quot;&gt;&lt;QUERY reftype=&quot;ABS&quot; elmntsel=&quot;TABLE&quot; bbk=&quot;17219&quot; bbkdesc=&quot;2019 Annual Accounts/EU Annual Accounts/DC - Accrued income and Deferred charges&quot; datapro=&quot;BIP_AIDC&quot; infos=&quot;&quot; iscomment=&quot;0&quot;&gt;&lt;SELECT&gt;/BBOOK/DATAPROVIDER[./META/PROPS/ID='BIP_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41:32&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ET&quot; tdatapro=&quot;BIP_RET&quot; author=&quot;&quot; modtime=&quot;6/16/2020 2:23:23 PM&quot; moduser=&quot;kythrst&quot; rolluptime=&quot;&quot; syuser=&quot;kythrst&quot; syuzeit=&quot;6/16/2020 2:23:23 PM&quot; root=&quot;/BBOOK/DATAPROVIDER[./META/PROPS/ID='BIP_RET']/DATA&quot; colcount=&quot;3&quot; rowcount=&quot;13&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ET&quot; infos=&quot;&quot; iscomment=&quot;0&quot;&gt;&lt;SELECT&gt;/BBOOK/DATAPROVIDER[./META/PROPS/ID='BIP_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25:51&lt;/DYNAMIZEDON&gt;&lt;LASTUPDATEDBY&gt;kythrst&lt;/LASTUPDATEDBY&gt;&lt;LASTUPDATEDON&gt;6/8/2020 1:18:34 PM&lt;/LASTUPDATEDON&gt;&lt;UTC&gt;1&lt;/UTC&gt;&lt;/UPDATE&gt;&lt;QUERIES bbk=&quot;17242&quot; bbkdesc=&quot;2019 Annual Accounts/EU Annual Accounts/DC - Inventories&quot; datapro=&quot;BIP_INV&quot; tdatapro=&quot;BIP_INV&quot; author=&quot;&quot; modtime=&quot;6/8/2020 1:15:47 PM&quot; moduser=&quot;kythrst&quot; rolluptime=&quot;&quot; syuser=&quot;kythrst&quot; syuzeit=&quot;6/8/2020 1:15:47 PM&quot; root=&quot;/BBOOK/DATAPROVIDER[./META/PROPS/ID='BIP_INV']/DATA&quot; colcount=&quot;3&quot; rowcount=&quot;5&quot; url=&quot;&quot; dynamizeds=&quot;SAP Disclosure Management - Production&quot; dynamizedstype=&quot;9&quot; refreshds=&quot;&quot; viewtype=&quot;1&quot;&gt;&lt;QUERY reftype=&quot;ABS&quot; elmntsel=&quot;TABLE&quot; bbk=&quot;17242&quot; bbkdesc=&quot;2019 Annual Accounts/EU Annual Accounts/DC - Inventories&quot; datapro=&quot;BIP_INV&quot; infos=&quot;&quot; iscomment=&quot;0&quot;&gt;&lt;SELECT&gt;/BBOOK/DATAPROVIDER[./META/PROPS/ID='BIP_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34:46&lt;/DYNAMIZEDON&gt;&lt;LASTUPDATEDBY&gt;kythrst&lt;/LASTUPDATEDBY&gt;&lt;LASTUPDATEDON&gt;6/8/2020 1:13:37 PM&lt;/LASTUPDATEDON&gt;&lt;UTC&gt;1&lt;/UTC&gt;&lt;/UPDATE&gt;&lt;QUERIES bbk=&quot;17243&quot; bbkdesc=&quot;2019 Annual Accounts/EU Annual Accounts/DC - Cash and cash equivalents&quot; datapro=&quot;BIP_CCE&quot; tdatapro=&quot;BIP_CCE&quot; author=&quot;&quot; modtime=&quot;6/8/2020 1:13:32 PM&quot; moduser=&quot;kythrst&quot; rolluptime=&quot;&quot; syuser=&quot;kythrst&quot; syuzeit=&quot;6/8/2020 1:13:32 PM&quot; root=&quot;/BBOOK/DATAPROVIDER[./META/PROPS/ID='BIP_CCE']/DATA&quot; colcount=&quot;4&quot; rowcount=&quot;12&quot; url=&quot;&quot; dynamizeds=&quot;SAP Disclosure Management - Production&quot; dynamizedstype=&quot;9&quot; refreshds=&quot;&quot; viewtype=&quot;1&quot;&gt;&lt;QUERY reftype=&quot;ABS&quot; elmntsel=&quot;TABLE&quot; bbk=&quot;17243&quot; bbkdesc=&quot;2019 Annual Accounts/EU Annual Accounts/DC - Cash and cash equivalents&quot; datapro=&quot;BIP_CCE&quot; infos=&quot;&quot; iscomment=&quot;0&quot;&gt;&lt;SELECT&gt;/BBOOK/DATAPROVIDER[./META/PROPS/ID='BIP_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49:54&lt;/DYNAMIZEDON&gt;&lt;LASTUPDATEDBY&gt;kythrst&lt;/LASTUPDATEDBY&gt;&lt;LASTUPDATEDON&gt;6/16/2020 2:23:54 PM&lt;/LASTUPDATEDON&gt;&lt;UTC&gt;1&lt;/UTC&gt;&lt;/UPDATE&gt;&lt;QUERIES bbk=&quot;17244&quot; bbkdesc=&quot;2019 Annual Accounts/EU Annual Accounts/DC - Pension and other employee benefits&quot; datapro=&quot;BIP_PENS1&quot; tdatapro=&quot;BIP_PENS1&quot; author=&quot;&quot; modtime=&quot;6/16/2020 2:23:45 PM&quot; moduser=&quot;kythrst&quot; rolluptime=&quot;&quot; syuser=&quot;kythrst&quot; syuzeit=&quot;6/16/2020 2:23:45 PM&quot; root=&quot;/BBOOK/DATAPROVIDER[./META/PROPS/ID='BIP_PENS1']/DATA&quot; colcount=&quot;6&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quot; infos=&quot;&quot; iscomment=&quot;0&quot;&gt;&lt;SELECT&gt;/BBOOK/DATAPROVIDER[./META/PROPS/ID='BIP_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1:04&lt;/DYNAMIZEDON&gt;&lt;LASTUPDATEDBY&gt;kythrst&lt;/LASTUPDATEDBY&gt;&lt;LASTUPDATEDON&gt;6/16/2020 2:23:53 PM&lt;/LASTUPDATEDON&gt;&lt;UTC&gt;1&lt;/UTC&gt;&lt;/UPDATE&gt;&lt;QUERIES bbk=&quot;17244&quot; bbkdesc=&quot;2019 Annual Accounts/EU Annual Accounts/DC - Pension and other employee benefits&quot; datapro=&quot;BIP_PENS2&quot; tdatapro=&quot;BIP_PENS2&quot; author=&quot;&quot; modtime=&quot;6/16/2020 2:23:45 PM&quot; moduser=&quot;kythrst&quot; rolluptime=&quot;&quot; syuser=&quot;kythrst&quot; syuzeit=&quot;6/16/2020 2:23:45 PM&quot; root=&quot;/BBOOK/DATAPROVIDER[./META/PROPS/ID='BIP_PENS2']/DATA&quot; colcount=&quot;5&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2&quot; infos=&quot;&quot; iscomment=&quot;0&quot;&gt;&lt;SELECT&gt;/BBOOK/DATAPROVIDER[./META/PROPS/ID='BIP_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7:01&lt;/DYNAMIZEDON&gt;&lt;LASTUPDATEDBY&gt;kythrst&lt;/LASTUPDATEDBY&gt;&lt;LASTUPDATEDON&gt;6/16/2020 2:23:53 PM&lt;/LASTUPDATEDON&gt;&lt;UTC&gt;1&lt;/UTC&gt;&lt;/UPDATE&gt;&lt;QUERIES bbk=&quot;17244&quot; bbkdesc=&quot;2019 Annual Accounts/EU Annual Accounts/DC - Pension and other employee benefits&quot; datapro=&quot;BIP_PENS3&quot; tdatapro=&quot;BIP_PENS3&quot; author=&quot;&quot; modtime=&quot;6/16/2020 2:23:45 PM&quot; moduser=&quot;kythrst&quot; rolluptime=&quot;&quot; syuser=&quot;kythrst&quot; syuzeit=&quot;6/16/2020 2:23:45 PM&quot; root=&quot;/BBOOK/DATAPROVIDER[./META/PROPS/ID='BIP_PENS3']/DATA&quot; colcount=&quot;4&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3&quot; infos=&quot;&quot; iscomment=&quot;0&quot;&gt;&lt;SELECT&gt;/BBOOK/DATAPROVIDER[./META/PROPS/ID='BIP_PENS3']/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8:10&lt;/DYNAMIZEDON&gt;&lt;LASTUPDATEDBY&gt;kythrst&lt;/LASTUPDATEDBY&gt;&lt;LASTUPDATEDON&gt;6/16/2020 2:23:54 PM&lt;/LASTUPDATEDON&gt;&lt;UTC&gt;1&lt;/UTC&gt;&lt;/UPDATE&gt;&lt;QUERIES bbk=&quot;17244&quot; bbkdesc=&quot;2019 Annual Accounts/EU Annual Accounts/DC - Pension and other employee benefits&quot; datapro=&quot;BIP_SPL&quot; tdatapro=&quot;BIP_SPL&quot; author=&quot;&quot; modtime=&quot;6/16/2020 2:23:45 PM&quot; moduser=&quot;kythrst&quot; rolluptime=&quot;&quot; syuser=&quot;kythrst&quot; syuzeit=&quot;6/16/2020 2:23:45 PM&quot; root=&quot;/BBOOK/DATAPROVIDER[./META/PROPS/ID='BIP_SPL']/DATA&quot; colcount=&quot;3&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SPL&quot; infos=&quot;&quot; iscomment=&quot;0&quot;&gt;&lt;SELECT&gt;/BBOOK/DATAPROVIDER[./META/PROPS/ID='BIP_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9:53&lt;/DYNAMIZEDON&gt;&lt;LASTUPDATEDBY&gt;kythrst&lt;/LASTUPDATEDBY&gt;&lt;LASTUPDATEDON&gt;6/16/2020 2:23:53 PM&lt;/LASTUPDATEDON&gt;&lt;UTC&gt;1&lt;/UTC&gt;&lt;/UPDATE&gt;&lt;QUERIES bbk=&quot;17244&quot; bbkdesc=&quot;2019 Annual Accounts/EU Annual Accounts/DC - Pension and other employee benefits&quot; datapro=&quot;BIP_PENS6&quot; tdatapro=&quot;BIP_PENS6&quot; author=&quot;&quot; modtime=&quot;6/16/2020 2:23:45 PM&quot; moduser=&quot;kythrst&quot; rolluptime=&quot;&quot; syuser=&quot;kythrst&quot; syuzeit=&quot;6/16/2020 2:23:45 PM&quot; root=&quot;/BBOOK/DATAPROVIDER[./META/PROPS/ID='BIP_PENS6']/DATA&quot; colcount=&quot;5&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6&quot; infos=&quot;&quot; iscomment=&quot;0&quot;&gt;&lt;SELECT&gt;/BBOOK/DATAPROVIDER[./META/PROPS/ID='BIP_PENS6']/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0:50&lt;/DYNAMIZEDON&gt;&lt;LASTUPDATEDBY&gt;kythrst&lt;/LASTUPDATEDBY&gt;&lt;LASTUPDATEDON&gt;6/16/2020 2:23:54 PM&lt;/LASTUPDATEDON&gt;&lt;UTC&gt;1&lt;/UTC&gt;&lt;/UPDATE&gt;&lt;QUERIES bbk=&quot;17244&quot; bbkdesc=&quot;2019 Annual Accounts/EU Annual Accounts/DC - Pension and other employee benefits&quot; datapro=&quot;BIP_PENS7&quot; tdatapro=&quot;BIP_PENS7&quot; author=&quot;&quot; modtime=&quot;6/16/2020 2:23:45 PM&quot; moduser=&quot;kythrst&quot; rolluptime=&quot;&quot; syuser=&quot;kythrst&quot; syuzeit=&quot;6/16/2020 2:23:45 PM&quot; root=&quot;/BBOOK/DATAPROVIDER[./META/PROPS/ID='BIP_PENS7']/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7&quot; infos=&quot;&quot; iscomment=&quot;0&quot;&gt;&lt;SELECT&gt;/BBOOK/DATAPROVIDER[./META/PROPS/ID='BIP_PENS7']/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1:31&lt;/DYNAMIZEDON&gt;&lt;LASTUPDATEDBY&gt;kythrst&lt;/LASTUPDATEDBY&gt;&lt;LASTUPDATEDON&gt;6/16/2020 2:23:54 PM&lt;/LASTUPDATEDON&gt;&lt;UTC&gt;1&lt;/UTC&gt;&lt;/UPDATE&gt;&lt;QUERIES bbk=&quot;17244&quot; bbkdesc=&quot;2019 Annual Accounts/EU Annual Accounts/DC - Pension and other employee benefits&quot; datapro=&quot;BIP_PENS8&quot; tdatapro=&quot;BIP_PENS8&quot; author=&quot;&quot; modtime=&quot;6/16/2020 2:23:45 PM&quot; moduser=&quot;kythrst&quot; rolluptime=&quot;&quot; syuser=&quot;kythrst&quot; syuzeit=&quot;6/16/2020 2:23:45 PM&quot; root=&quot;/BBOOK/DATAPROVIDER[./META/PROPS/ID='BIP_PENS8']/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8&quot; infos=&quot;&quot; iscomment=&quot;0&quot;&gt;&lt;SELECT&gt;/BBOOK/DATAPROVIDER[./META/PROPS/ID='BIP_PENS8']/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2:15&lt;/DYNAMIZEDON&gt;&lt;LASTUPDATEDBY&gt;kythrst&lt;/LASTUPDATEDBY&gt;&lt;LASTUPDATEDON&gt;6/16/2020 2:23:54 PM&lt;/LASTUPDATEDON&gt;&lt;UTC&gt;1&lt;/UTC&gt;&lt;/UPDATE&gt;&lt;QUERIES bbk=&quot;17244&quot; bbkdesc=&quot;2019 Annual Accounts/EU Annual Accounts/DC - Pension and other employee benefits&quot; datapro=&quot;BIP_PENS9&quot; tdatapro=&quot;BIP_PENS9&quot; author=&quot;&quot; modtime=&quot;6/16/2020 2:23:45 PM&quot; moduser=&quot;kythrst&quot; rolluptime=&quot;&quot; syuser=&quot;kythrst&quot; syuzeit=&quot;6/16/2020 2:23:45 PM&quot; root=&quot;/BBOOK/DATAPROVIDER[./META/PROPS/ID='BIP_PENS9']/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9&quot; infos=&quot;&quot; iscomment=&quot;0&quot;&gt;&lt;SELECT&gt;/BBOOK/DATAPROVIDER[./META/PROPS/ID='BIP_PENS9']/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11&lt;/DYNAMIZEDON&gt;&lt;LASTUPDATEDBY&gt;kythrst&lt;/LASTUPDATEDBY&gt;&lt;LASTUPDATEDON&gt;6/16/2020 2:23:54 PM&lt;/LASTUPDATEDON&gt;&lt;UTC&gt;1&lt;/UTC&gt;&lt;/UPDATE&gt;&lt;QUERIES bbk=&quot;17244&quot; bbkdesc=&quot;2019 Annual Accounts/EU Annual Accounts/DC - Pension and other employee benefits&quot; datapro=&quot;BIP_PENS10&quot; tdatapro=&quot;BIP_PENS10&quot; author=&quot;&quot; modtime=&quot;6/16/2020 2:23:45 PM&quot; moduser=&quot;kythrst&quot; rolluptime=&quot;&quot; syuser=&quot;kythrst&quot; syuzeit=&quot;6/16/2020 2:23:45 PM&quot; root=&quot;/BBOOK/DATAPROVIDER[./META/PROPS/ID='BIP_PENS10']/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0&quot; infos=&quot;&quot; iscomment=&quot;0&quot;&gt;&lt;SELECT&gt;/BBOOK/DATAPROVIDER[./META/PROPS/ID='BIP_PENS10']/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54&lt;/DYNAMIZEDON&gt;&lt;LASTUPDATEDBY&gt;kythrst&lt;/LASTUPDATEDBY&gt;&lt;LASTUPDATEDON&gt;6/16/2020 2:23:53 PM&lt;/LASTUPDATEDON&gt;&lt;UTC&gt;1&lt;/UTC&gt;&lt;/UPDATE&gt;&lt;QUERIES bbk=&quot;17244&quot; bbkdesc=&quot;2019 Annual Accounts/EU Annual Accounts/DC - Pension and other employee benefits&quot; datapro=&quot;BIP_PENS11&quot; tdatapro=&quot;BIP_PENS11&quot; author=&quot;&quot; modtime=&quot;6/16/2020 2:23:45 PM&quot; moduser=&quot;kythrst&quot; rolluptime=&quot;&quot; syuser=&quot;kythrst&quot; syuzeit=&quot;6/16/2020 2:23:45 PM&quot; root=&quot;/BBOOK/DATAPROVIDER[./META/PROPS/ID='BIP_PENS11']/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1&quot; infos=&quot;&quot; iscomment=&quot;0&quot;&gt;&lt;SELECT&gt;/BBOOK/DATAPROVIDER[./META/PROPS/ID='BIP_PENS11']/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7:36&lt;/DYNAMIZEDON&gt;&lt;LASTUPDATEDBY&gt;kythrst&lt;/LASTUPDATEDBY&gt;&lt;LASTUPDATEDON&gt;6/16/2020 2:23:54 PM&lt;/LASTUPDATEDON&gt;&lt;UTC&gt;1&lt;/UTC&gt;&lt;/UPDATE&gt;&lt;QUERIES bbk=&quot;17244&quot; bbkdesc=&quot;2019 Annual Accounts/EU Annual Accounts/DC - Pension and other employee benefits&quot; datapro=&quot;BIP_PENS12&quot; tdatapro=&quot;BIP_PENS12&quot; author=&quot;&quot; modtime=&quot;6/16/2020 2:23:45 PM&quot; moduser=&quot;kythrst&quot; rolluptime=&quot;&quot; syuser=&quot;kythrst&quot; syuzeit=&quot;6/16/2020 2:23:45 PM&quot; root=&quot;/BBOOK/DATAPROVIDER[./META/PROPS/ID='BIP_PENS12']/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2&quot; infos=&quot;&quot; iscomment=&quot;0&quot;&gt;&lt;SELECT&gt;/BBOOK/DATAPROVIDER[./META/PROPS/ID='BIP_PENS12']/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14:47&lt;/DYNAMIZEDON&gt;&lt;LASTUPDATEDBY&gt;Ruberla&lt;/LASTUPDATEDBY&gt;&lt;LASTUPDATEDON&gt;6/11/2020 4:58:02 PM&lt;/LASTUPDATEDON&gt;&lt;UTC&gt;1&lt;/UTC&gt;&lt;/UPDATE&gt;&lt;QUERIES bbk=&quot;17245&quot; bbkdesc=&quot;2019 Annual Accounts/EU Annual Accounts/DC - Provisions&quot; datapro=&quot;BIP_PROV&quot; tdatapro=&quot;BIP_PROV&quot; author=&quot;&quot; modtime=&quot;6/8/2020 1:15:57 PM&quot; moduser=&quot;kythrst&quot; rolluptime=&quot;&quot; syuser=&quot;kythrst&quot; syuzeit=&quot;6/8/2020 1:15:57 PM&quot; root=&quot;/BBOOK/DATAPROVIDER[./META/PROPS/ID='BIP_PROV']/DATA&quot; colcount=&quot;8&quot; rowcount=&quot;12&quot; url=&quot;&quot; dynamizeds=&quot;SAP Disclosure Management - Production&quot; dynamizedstype=&quot;9&quot; refreshds=&quot;&quot; viewtype=&quot;1&quot;&gt;&lt;QUERY reftype=&quot;ABS&quot; elmntsel=&quot;TABLE&quot; bbk=&quot;17245&quot; bbkdesc=&quot;2019 Annual Accounts/EU Annual Accounts/DC - Provisions&quot; datapro=&quot;BIP_PROV&quot; infos=&quot;&quot; iscomment=&quot;0&quot;&gt;&lt;SELECT&gt;/BBOOK/DATAPROVIDER[./META/PROPS/ID='BIP_PROV']/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26:29&lt;/DYNAMIZEDON&gt;&lt;LASTUPDATEDBY&gt;kythrst&lt;/LASTUPDATEDBY&gt;&lt;LASTUPDATEDON&gt;6/8/2020 1:18:17 PM&lt;/LASTUPDATEDON&gt;&lt;UTC&gt;1&lt;/UTC&gt;&lt;/UPDATE&gt;&lt;QUERIES bbk=&quot;17246&quot; bbkdesc=&quot;2019 Annual Accounts/EU Annual Accounts/DC - Financial liabilities&quot; datapro=&quot;BIP_FINL&quot; tdatapro=&quot;BIP_FINL&quot; author=&quot;&quot; modtime=&quot;6/8/2020 1:15:43 PM&quot; moduser=&quot;kythrst&quot; rolluptime=&quot;&quot; syuser=&quot;kythrst&quot; syuzeit=&quot;6/8/2020 1:15:43 PM&quot; root=&quot;/BBOOK/DATAPROVIDER[./META/PROPS/ID='BIP_FINL']/DATA&quot; colcount=&quot;4&quot; rowcount=&quot;12&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INL&quot; infos=&quot;&quot; iscomment=&quot;0&quot;&gt;&lt;SELECT&gt;/BBOOK/DATAPROVIDER[./META/PROPS/ID='BIP_FI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27:23&lt;/DYNAMIZEDON&gt;&lt;LASTUPDATEDBY&gt;kythrst&lt;/LASTUPDATEDBY&gt;&lt;LASTUPDATEDON&gt;6/8/2020 1:18:17 PM&lt;/LASTUPDATEDON&gt;&lt;UTC&gt;1&lt;/UTC&gt;&lt;/UPDATE&gt;&lt;QUERIES bbk=&quot;17246&quot; bbkdesc=&quot;2019 Annual Accounts/EU Annual Accounts/DC - Financial liabilities&quot; datapro=&quot;BIP_FLB&quot; tdatapro=&quot;BIP_FLB&quot; author=&quot;&quot; modtime=&quot;6/8/2020 1:15:43 PM&quot; moduser=&quot;kythrst&quot; rolluptime=&quot;&quot; syuser=&quot;kythrst&quot; syuzeit=&quot;6/8/2020 1:15:43 PM&quot; root=&quot;/BBOOK/DATAPROVIDER[./META/PROPS/ID='BIP_FLB']/DATA&quot; colcount=&quot;4&quot; rowcount=&quot;7&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LB&quot; infos=&quot;&quot; iscomment=&quot;0&quot;&gt;&lt;SELECT&gt;/BBOOK/DATAPROVIDER[./META/PROPS/ID='BIP_FLB']/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09:33:02&lt;/DYNAMIZEDON&gt;&lt;LASTUPDATEDBY&gt;kythrst&lt;/LASTUPDATEDBY&gt;&lt;LASTUPDATEDON&gt;6/8/2020 1:18:17 PM&lt;/LASTUPDATEDON&gt;&lt;UTC&gt;1&lt;/UTC&gt;&lt;/UPDATE&gt;&lt;QUERIES bbk=&quot;17246&quot; bbkdesc=&quot;2019 Annual Accounts/EU Annual Accounts/DC - Financial liabilities&quot; datapro=&quot;BIP_LGFBF&quot; tdatapro=&quot;BIP_LGFBF&quot; author=&quot;&quot; modtime=&quot;6/8/2020 1:15:43 PM&quot; moduser=&quot;kythrst&quot; rolluptime=&quot;&quot; syuser=&quot;kythrst&quot; syuzeit=&quot;6/8/2020 1:15:43 PM&quot; root=&quot;/BBOOK/DATAPROVIDER[./META/PROPS/ID='BIP_LGFBF']/DATA&quot; colcount=&quot;7&quot; rowcount=&quot;10&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LGFBF&quot; infos=&quot;&quot; iscomment=&quot;0&quot;&gt;&lt;SELECT&gt;/BBOOK/DATAPROVIDER[./META/PROPS/ID='BIP_LGFBF']/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54:19&lt;/DYNAMIZEDON&gt;&lt;LASTUPDATEDBY&gt;kythrst&lt;/LASTUPDATEDBY&gt;&lt;LASTUPDATEDON&gt;6/8/2020 1:18:17 PM&lt;/LASTUPDATEDON&gt;&lt;UTC&gt;1&lt;/UTC&gt;&lt;/UPDATE&gt;&lt;QUERIES bbk=&quot;17246&quot; bbkdesc=&quot;2019 Annual Accounts/EU Annual Accounts/DC - Financial liabilities&quot; datapro=&quot;BIP_BORR3&quot; tdatapro=&quot;BIP_BORR3&quot; author=&quot;&quot; modtime=&quot;7/31/2019 8:52:13 AM&quot; moduser=&quot;milemar&quot; rolluptime=&quot;&quot; syuser=&quot;milemar&quot; syuzeit=&quot;7/31/2019 8:52:13 AM&quot; root=&quot;/BBOOK/DATAPROVIDER[./META/PROPS/ID='BIP_Reconciliation']/DATA&quot; colcount=&quot;3&quot; rowcount=&quot;6&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BORR3&quot; infos=&quot;&quot; iscomment=&quot;0&quot;&gt;&lt;SELECT&gt;/BBOOK/DATAPROVIDER[./META/PROPS/ID='BIP_BORR3']/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0:11&lt;/DYNAMIZEDON&gt;&lt;LASTUPDATEDBY&gt;kythrst&lt;/LASTUPDATEDBY&gt;&lt;LASTUPDATEDON&gt;6/8/2020 1:18:17 PM&lt;/LASTUPDATEDON&gt;&lt;UTC&gt;1&lt;/UTC&gt;&lt;/UPDATE&gt;&lt;QUERIES bbk=&quot;17247&quot; bbkdesc=&quot;2019 Annual Accounts/EU Annual Accounts/DC - Other financial liabilities&quot; datapro=&quot;BIP_OFL&quot; tdatapro=&quot;BIP_OFL&quot; author=&quot;&quot; modtime=&quot;6/8/2020 1:15:51 PM&quot; moduser=&quot;kythrst&quot; rolluptime=&quot;&quot; syuser=&quot;kythrst&quot; syuzeit=&quot;6/8/2020 1:15:51 PM&quot; root=&quot;/BBOOK/DATAPROVIDER[./META/PROPS/ID='BIP_OFL']/DATA&quot; colcount=&quot;3&quot; rowcount=&quot;14&quot; url=&quot;&quot; dynamizeds=&quot;SAP Disclosure Management - Production&quot; dynamizedstype=&quot;9&quot; refreshds=&quot;&quot; viewtype=&quot;1&quot;&gt;&lt;QUERY reftype=&quot;ABS&quot; elmntsel=&quot;TABLE&quot; bbk=&quot;17247&quot; bbkdesc=&quot;2019 Annual Accounts/EU Annual Accounts/DC - Other financial liabilities&quot; datapro=&quot;BIP_OFL&quot; infos=&quot;&quot; iscomment=&quot;0&quot;&gt;&lt;SELECT&gt;/BBOOK/DATAPROVIDER[./META/PROPS/ID='BIP_OF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5:47&lt;/DYNAMIZEDON&gt;&lt;LASTUPDATEDBY&gt;kythrst&lt;/LASTUPDATEDBY&gt;&lt;LASTUPDATEDON&gt;6/8/2020 1:18:17 PM&lt;/LASTUPDATEDON&gt;&lt;UTC&gt;1&lt;/UTC&gt;&lt;/UPDATE&gt;&lt;QUERIES bbk=&quot;17248&quot; bbkdesc=&quot;2019 Annual Accounts/EU Annual Accounts/DC - Finance Lease liabilities&quot; datapro=&quot;BIP_FL&quot; tdatapro=&quot;BIP_FL&quot; author=&quot;&quot; modtime=&quot;6/8/2020 1:15:41 PM&quot; moduser=&quot;kythrst&quot; rolluptime=&quot;&quot; syuser=&quot;kythrst&quot; syuzeit=&quot;6/8/2020 1:15:41 PM&quot; root=&quot;/BBOOK/DATAPROVIDER[./META/PROPS/ID='BIP_FL']/DATA&quot; colcount=&quot;5&quot; rowcount=&quot;9&quot; url=&quot;&quot; dynamizeds=&quot;SAP Disclosure Management - Production&quot; dynamizedstype=&quot;9&quot; refreshds=&quot;&quot; viewtype=&quot;1&quot;&gt;&lt;QUERY reftype=&quot;ABS&quot; elmntsel=&quot;TABLE&quot; bbk=&quot;17248&quot; bbkdesc=&quot;2019 Annual Accounts/EU Annual Accounts/DC - Finance Lease liabilities&quot; datapro=&quot;BIP_FL&quot; infos=&quot;&quot; iscomment=&quot;0&quot;&gt;&lt;SELECT&gt;/BBOOK/DATAPROVIDER[./META/PROPS/ID='BIP_FL']/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1:41&lt;/DYNAMIZEDON&gt;&lt;LASTUPDATEDBY&gt;kythrst&lt;/LASTUPDATEDBY&gt;&lt;LASTUPDATEDON&gt;6/8/2020 1:18:17 PM&lt;/LASTUPDATEDON&gt;&lt;UTC&gt;1&lt;/UTC&gt;&lt;/UPDATE&gt;&lt;QUERIES bbk=&quot;16552&quot; bbkdesc=&quot;2019 Annual Accounts/EC Annual Accounts/DC - Financial liabilities&quot; datapro=&quot;BIP_NOTIONALFL&quot; tdatapro=&quot;BIP_NOTIONALFL&quot; author=&quot;&quot; modtime=&quot;6/4/2020 3:28:37 PM&quot; moduser=&quot;kythrst&quot; rolluptime=&quot;&quot; syuser=&quot;kythrst&quot; syuzeit=&quot;6/4/2020 3:28:37 PM&quot; root=&quot;/BBOOK/DATAPROVIDER[./META/PROPS/ID='BIP_NOTIONALFL']/DATA&quot; colcount=&quot;5&quot; rowcount=&quot;8&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NOTIONALFL&quot; infos=&quot;&quot; iscomment=&quot;0&quot;&gt;&lt;SELECT&gt;/BBOOK/DATAPROVIDER[./META/PROPS/ID='BIP_NOTIONALFL']/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2:51&lt;/DYNAMIZEDON&gt;&lt;LASTUPDATEDBY&gt;kythrst&lt;/LASTUPDATEDBY&gt;&lt;LASTUPDATEDON&gt;6/8/2020 1:18:17 PM&lt;/LASTUPDATEDON&gt;&lt;UTC&gt;1&lt;/UTC&gt;&lt;/UPDATE&gt;&lt;QUERIES bbk=&quot;16552&quot; bbkdesc=&quot;2019 Annual Accounts/EC Annual Accounts/DC - Financial liabilities&quot; datapro=&quot;BIP_FVH&quot; tdatapro=&quot;BIP_FVH&quot; author=&quot;&quot; modtime=&quot;6/4/2020 3:28:37 PM&quot; moduser=&quot;kythrst&quot; rolluptime=&quot;&quot; syuser=&quot;kythrst&quot; syuzeit=&quot;6/4/2020 3:28: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FVH&quot; infos=&quot;&quot; iscomment=&quot;0&quot;&gt;&lt;SELECT&gt;/BBOOK/DATAPROVIDER[./META/PROPS/ID='BIP_FVH']/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17:01&lt;/DYNAMIZEDON&gt;&lt;LASTUPDATEDBY&gt;Ruberla&lt;/LASTUPDATEDBY&gt;&lt;LASTUPDATEDON&gt;6/11/2020 4:58:00 PM&lt;/LASTUPDATEDON&gt;&lt;UTC&gt;1&lt;/UTC&gt;&lt;/UPDATE&gt;&lt;QUERIES bbk=&quot;17220&quot; bbkdesc=&quot;2019 Annual Accounts/EU Annual Accounts/DC - Payables&quot; datapro=&quot;BIP_PAYAB&quot; tdatapro=&quot;BIP_PAYAB&quot; author=&quot;&quot; modtime=&quot;6/10/2020 12:52:42 PM&quot; moduser=&quot;Ruberla&quot; rolluptime=&quot;&quot; syuser=&quot;Ruberla&quot; syuzeit=&quot;6/10/2020 12:52:42 PM&quot; root=&quot;/BBOOK/DATAPROVIDER[./META/PROPS/ID='BIP_PAYAB']/DATA&quot; colcount=&quot;7&quot; rowcount=&quot;15&quot; url=&quot;&quot; dynamizeds=&quot;SAP Disclosure Management - Production&quot; dynamizedstype=&quot;9&quot; refreshds=&quot;&quot; viewtype=&quot;1&quot;&gt;&lt;QUERY reftype=&quot;ABS&quot; elmntsel=&quot;TABLE&quot; bbk=&quot;17220&quot; bbkdesc=&quot;2019 Annual Accounts/EU Annual Accounts/DC - Payables&quot; datapro=&quot;BIP_PAYAB&quot; infos=&quot;&quot; iscomment=&quot;0&quot;&gt;&lt;SELECT&gt;/BBOOK/DATAPROVIDER[./META/PROPS/ID='BIP_PAYAB']/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1:24&lt;/DYNAMIZEDON&gt;&lt;LASTUPDATEDBY&gt;kythrst&lt;/LASTUPDATEDBY&gt;&lt;LASTUPDATEDON&gt;6/16/2020 2:24:39 PM&lt;/LASTUPDATEDON&gt;&lt;UTC&gt;1&lt;/UTC&gt;&lt;/UPDATE&gt;&lt;QUERIES bbk=&quot;17249&quot; bbkdesc=&quot;2019 Annual Accounts/EU Annual Accounts/DC - Accrued charges and Deferred income&quot; datapro=&quot;BIP_ACDI&quot; tdatapro=&quot;BIP_ACDI&quot; author=&quot;&quot; modtime=&quot;6/16/2020 2:24:30 PM&quot; moduser=&quot;kythrst&quot; rolluptime=&quot;&quot; syuser=&quot;kythrst&quot; syuzeit=&quot;6/16/2020 2:24:30 PM&quot; root=&quot;/BBOOK/DATAPROVIDER[./META/PROPS/ID='BIP_ACDI']/DATA&quot; colcount=&quot;3&quot; rowcount=&quot;6&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quot; infos=&quot;&quot; iscomment=&quot;0&quot;&gt;&lt;SELECT&gt;/BBOOK/DATAPROVIDER[./META/PROPS/ID='BIP_ACDI']/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2:03&lt;/DYNAMIZEDON&gt;&lt;LASTUPDATEDBY&gt;kythrst&lt;/LASTUPDATEDBY&gt;&lt;LASTUPDATEDON&gt;6/16/2020 2:24:39 PM&lt;/LASTUPDATEDON&gt;&lt;UTC&gt;1&lt;/UTC&gt;&lt;/UPDATE&gt;&lt;QUERIES bbk=&quot;17249&quot; bbkdesc=&quot;2019 Annual Accounts/EU Annual Accounts/DC - Accrued charges and Deferred income&quot; datapro=&quot;BIP_ACDISPLIT&quot; tdatapro=&quot;BIP_ACDISPLIT&quot; author=&quot;&quot; modtime=&quot;6/16/2020 2:24:30 PM&quot; moduser=&quot;kythrst&quot; rolluptime=&quot;&quot; syuser=&quot;kythrst&quot; syuzeit=&quot;6/16/2020 2:24:30 PM&quot; root=&quot;/BBOOK/DATAPROVIDER[./META/PROPS/ID='BIP_ACDISPLIT']/DATA&quot; colcount=&quot;3&quot; rowcount=&quot;8&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SPLIT&quot; infos=&quot;&quot; iscomment=&quot;0&quot;&gt;&lt;SELECT&gt;/BBOOK/DATAPROVIDER[./META/PROPS/ID='BIP_ACDISPLIT']/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1:15&lt;/DYNAMIZEDON&gt;&lt;LASTUPDATEDBY&gt;ruberla&lt;/LASTUPDATEDBY&gt;&lt;LASTUPDATEDON&gt;6/9/2020 10:17:15 AM&lt;/LASTUPDATEDON&gt;&lt;UTC&gt;1&lt;/UTC&gt;&lt;/UPDATE&gt;&lt;QUERIES bbk=&quot;17250&quot; bbkdesc=&quot;2019 Annual Accounts/EU Annual Accounts/DC - Net assets&quot; datapro=&quot;BIP_RES&quot; tdatapro=&quot;BIP_RES&quot; author=&quot;&quot; modtime=&quot;6/9/2020 10:16:00 AM&quot; moduser=&quot;Ruberla&quot; rolluptime=&quot;&quot; syuser=&quot;Ruberla&quot; syuzeit=&quot;6/9/2020 10:16:00 AM&quot; root=&quot;/BBOOK/DATAPROVIDER[./META/PROPS/ID='BIP_RES']/DATA&quot; colcount=&quot;4&quot; rowcount=&quot;6&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RES&quot; infos=&quot;&quot; iscomment=&quot;0&quot;&gt;&lt;SELECT&gt;/BBOOK/DATAPROVIDER[./META/PROPS/ID='BIP_RES']/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2:25&lt;/DYNAMIZEDON&gt;&lt;LASTUPDATEDBY&gt;ruberla&lt;/LASTUPDATEDBY&gt;&lt;LASTUPDATEDON&gt;6/9/2020 10:17:13 AM&lt;/LASTUPDATEDON&gt;&lt;UTC&gt;1&lt;/UTC&gt;&lt;/UPDATE&gt;&lt;QUERIES bbk=&quot;17250&quot; bbkdesc=&quot;2019 Annual Accounts/EU Annual Accounts/DC - Net assets&quot; datapro=&quot;BIP_FVMAFS&quot; tdatapro=&quot;BIP_FVMAFS&quot; author=&quot;&quot; modtime=&quot;6/9/2020 10:16:00 AM&quot; moduser=&quot;Ruberla&quot; rolluptime=&quot;&quot; syuser=&quot;Ruberla&quot; syuzeit=&quot;6/9/2020 10:16:00 A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FVMAFS&quot; infos=&quot;&quot; iscomment=&quot;0&quot;&gt;&lt;SELECT&gt;/BBOOK/DATAPROVIDER[./META/PROPS/ID='BIP_FVMAF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3:37&lt;/DYNAMIZEDON&gt;&lt;LASTUPDATEDBY&gt;ruberla&lt;/LASTUPDATEDBY&gt;&lt;LASTUPDATEDON&gt;6/9/2020 10:17:10 AM&lt;/LASTUPDATEDON&gt;&lt;UTC&gt;1&lt;/UTC&gt;&lt;/UPDATE&gt;&lt;QUERIES bbk=&quot;17250&quot; bbkdesc=&quot;2019 Annual Accounts/EU Annual Accounts/DC - Net assets&quot; datapro=&quot;BIP_MEMST1&quot; tdatapro=&quot;BIP_MEMST1&quot; author=&quot;&quot; modtime=&quot;6/9/2020 10:16:00 AM&quot; moduser=&quot;Ruberla&quot; rolluptime=&quot;&quot; syuser=&quot;Ruberla&quot; syuzeit=&quot;6/9/2020 10:16:00 AM&quot; root=&quot;/BBOOK/DATAPROVIDER[./META/PROPS/ID='BIP_MEMST1']/DATA&quot; colcount=&quot;2&quot; rowcount=&quot;9&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MEMST1&quot; infos=&quot;&quot; iscomment=&quot;0&quot;&gt;&lt;SELECT&gt;/BBOOK/DATAPROVIDER[./META/PROPS/ID='BIP_MEMST1']/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18:42&lt;/DYNAMIZEDON&gt;&lt;LASTUPDATEDBY&gt;kythrst&lt;/LASTUPDATEDBY&gt;&lt;LASTUPDATEDON&gt;6/16/2020 2:24:24 PM&lt;/LASTUPDATEDON&gt;&lt;UTC&gt;1&lt;/UTC&gt;&lt;/UPDATE&gt;&lt;QUERIES bbk=&quot;16562&quot; bbkdesc=&quot;2019 Annual Accounts/EC Annual Accounts/DC - Traditional own resources&quot; datapro=&quot;BIP_TOR&quot; tdatapro=&quot;BIP_TOR&quot; author=&quot;&quot; modtime=&quot;6/16/2020 2:12:55 PM&quot; moduser=&quot;kythrst&quot; rolluptime=&quot;&quot; syuser=&quot;kythrst&quot; syuzeit=&quot;6/16/2020 2:12:55 PM&quot; root=&quot;/BBOOK/DATAPROVIDER[./META/PROPS/ID='BIP_TOR']/DATA&quot; colcount=&quot;3&quot; rowcount=&quot;5&quot; url=&quot;&quot; dynamizeds=&quot;SAP Disclosure Management - Production&quot; dynamizedstype=&quot;9&quot; refreshds=&quot;&quot; viewtype=&quot;1&quot;&gt;&lt;QUERY reftype=&quot;ABS&quot; elmntsel=&quot;TABLE&quot; bbk=&quot;16562&quot; bbkdesc=&quot;2019 Annual Accounts/EC Annual Accounts/DC - Traditional own resources&quot; datapro=&quot;BIP_TOR&quot; infos=&quot;&quot; iscomment=&quot;0&quot;&gt;&lt;SELECT&gt;/BBOOK/DATAPROVIDER[./META/PROPS/ID='BIP_TOR']/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25:53&lt;/DYNAMIZEDON&gt;&lt;LASTUPDATEDBY&gt;kythrst&lt;/LASTUPDATEDBY&gt;&lt;LASTUPDATEDON&gt;6/16/2020 2:24:25 PM&lt;/LASTUPDATEDON&gt;&lt;UTC&gt;1&lt;/UTC&gt;&lt;/UPDATE&gt;&lt;QUERIES bbk=&quot;17252&quot; bbkdesc=&quot;2019 Annual Accounts/EU Annual Accounts/DC - Recovery of expenses&quot; datapro=&quot;BIP_RECOVEXP&quot; tdatapro=&quot;BIP_RECOVEXP&quot; author=&quot;&quot; modtime=&quot;6/16/2020 2:24:07 PM&quot; moduser=&quot;kythrst&quot; rolluptime=&quot;&quot; syuser=&quot;kythrst&quot; syuzeit=&quot;6/16/2020 2:24:07 PM&quot; root=&quot;/BBOOK/DATAPROVIDER[./META/PROPS/ID='BIP_RECOVEXP']/DATA&quot; colcount=&quot;3&quot; rowcount=&quot;6&quot; url=&quot;&quot; dynamizeds=&quot;SAP Disclosure Management - Production&quot; dynamizedstype=&quot;9&quot; refreshds=&quot;&quot; viewtype=&quot;1&quot;&gt;&lt;QUERY reftype=&quot;ABS&quot; elmntsel=&quot;TABLE&quot; bbk=&quot;17252&quot; bbkdesc=&quot;2019 Annual Accounts/EU Annual Accounts/DC - Recovery of expenses&quot; datapro=&quot;BIP_RECOVEXP&quot; infos=&quot;&quot; iscomment=&quot;0&quot;&gt;&lt;SELECT&gt;/BBOOK/DATAPROVIDER[./META/PROPS/ID='BIP_RECOVEX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31/07/2019 13:33:15&lt;/DYNAMIZEDON&gt;&lt;LASTUPDATEDBY&gt;kythrst&lt;/LASTUPDATEDBY&gt;&lt;LASTUPDATEDON&gt;6/16/2020 2:24:24 PM&lt;/LASTUPDATEDON&gt;&lt;UTC&gt;1&lt;/UTC&gt;&lt;/UPDATE&gt;&lt;QUERIES bbk=&quot;17221&quot; bbkdesc=&quot;2019 Annual Accounts/EU Annual Accounts/DC - Other non-exchange revenue&quot; datapro=&quot;BIP_ONER&quot; tdatapro=&quot;BIP_ONER&quot; author=&quot;&quot; modtime=&quot;6/16/2020 2:24:05 PM&quot; moduser=&quot;kythrst&quot; rolluptime=&quot;&quot; syuser=&quot;kythrst&quot; syuzeit=&quot;6/16/2020 2:24:05 PM&quot; root=&quot;/BBOOK/DATAPROVIDER[./META/PROPS/ID='BIP_ONER']/DATA&quot; colcount=&quot;3&quot; rowcount=&quot;11&quot; url=&quot;&quot; dynamizeds=&quot;SAP Disclosure Management - Production&quot; dynamizedstype=&quot;9&quot; refreshds=&quot;&quot; viewtype=&quot;1&quot;&gt;&lt;QUERY reftype=&quot;ABS&quot; elmntsel=&quot;TABLE&quot; bbk=&quot;17221&quot; bbkdesc=&quot;2019 Annual Accounts/EU Annual Accounts/DC - Other non-exchange revenue&quot; datapro=&quot;BIP_ONER&quot; infos=&quot;&quot; iscomment=&quot;0&quot;&gt;&lt;SELECT&gt;/BBOOK/DATAPROVIDER[./META/PROPS/ID='BIP_ONER']/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5:43&lt;/DYNAMIZEDON&gt;&lt;LASTUPDATEDBY&gt;kythrst&lt;/LASTUPDATEDBY&gt;&lt;LASTUPDATEDON&gt;6/16/2020 2:24:25 PM&lt;/LASTUPDATEDON&gt;&lt;UTC&gt;1&lt;/UTC&gt;&lt;/UPDATE&gt;&lt;QUERIES bbk=&quot;17231&quot; bbkdesc=&quot;2019 Annual Accounts/EU Annual Accounts/DC - Financial revenue&quot; datapro=&quot;BIP_FINREV&quot; tdatapro=&quot;BIP_FINREV&quot; author=&quot;&quot; modtime=&quot;6/16/2020 2:24:06 PM&quot; moduser=&quot;kythrst&quot; rolluptime=&quot;&quot; syuser=&quot;kythrst&quot; syuzeit=&quot;6/16/2020 2:24:06 PM&quot; root=&quot;/BBOOK/DATAPROVIDER[./META/PROPS/ID='BIP_FINREV']/DATA&quot; colcount=&quot;3&quot; rowcount=&quot;12&quot; url=&quot;&quot; dynamizeds=&quot;SAP Disclosure Management - Production&quot; dynamizedstype=&quot;9&quot; refreshds=&quot;&quot; viewtype=&quot;1&quot;&gt;&lt;QUERY reftype=&quot;ABS&quot; elmntsel=&quot;TABLE&quot; bbk=&quot;17231&quot; bbkdesc=&quot;2019 Annual Accounts/EU Annual Accounts/DC - Financial revenue&quot; datapro=&quot;BIP_FINREV&quot; infos=&quot;&quot; iscomment=&quot;0&quot;&gt;&lt;SELECT&gt;/BBOOK/DATAPROVIDER[./META/PROPS/ID='BIP_FINR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7:08&lt;/DYNAMIZEDON&gt;&lt;LASTUPDATEDBY&gt;kythrst&lt;/LASTUPDATEDBY&gt;&lt;LASTUPDATEDON&gt;6/16/2020 2:24:25 PM&lt;/LASTUPDATEDON&gt;&lt;UTC&gt;1&lt;/UTC&gt;&lt;/UPDATE&gt;&lt;QUERIES bbk=&quot;17253&quot; bbkdesc=&quot;2019 Annual Accounts/EU Annual Accounts/DC - Other exchange revenue&quot; datapro=&quot;BIP_OER&quot; tdatapro=&quot;BIP_OER&quot; author=&quot;&quot; modtime=&quot;6/16/2020 2:24:08 PM&quot; moduser=&quot;kythrst&quot; rolluptime=&quot;&quot; syuser=&quot;kythrst&quot; syuzeit=&quot;6/16/2020 2:24:08 PM&quot; root=&quot;/BBOOK/DATAPROVIDER[./META/PROPS/ID='BIP_OER']/DATA&quot; colcount=&quot;3&quot; rowcount=&quot;10&quot; url=&quot;&quot; dynamizeds=&quot;SAP Disclosure Management - Production&quot; dynamizedstype=&quot;9&quot; refreshds=&quot;&quot; viewtype=&quot;1&quot;&gt;&lt;QUERY reftype=&quot;ABS&quot; elmntsel=&quot;TABLE&quot; bbk=&quot;17253&quot; bbkdesc=&quot;2019 Annual Accounts/EU Annual Accounts/DC - Other exchange revenue&quot; datapro=&quot;BIP_OER&quot; infos=&quot;&quot; iscomment=&quot;0&quot;&gt;&lt;SELECT&gt;/BBOOK/DATAPROVIDER[./META/PROPS/ID='BIP_OER']/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48:44&lt;/DYNAMIZEDON&gt;&lt;LASTUPDATEDBY&gt;kythrst&lt;/LASTUPDATEDBY&gt;&lt;LASTUPDATEDON&gt;6/16/2020 2:22:59 PM&lt;/LASTUPDATEDON&gt;&lt;UTC&gt;1&lt;/UTC&gt;&lt;/UPDATE&gt;&lt;QUERIES bbk=&quot;16488&quot; bbkdesc=&quot;2019 Annual Accounts/EC Annual Accounts/DC - Shared Direct and Indirect Management&quot; datapro=&quot;BIP_SM&quot; tdatapro=&quot;BIP_SM&quot; author=&quot;&quot; modtime=&quot;6/16/2020 2:14:02 PM&quot; moduser=&quot;kythrst&quot; rolluptime=&quot;&quot; syuser=&quot;kythrst&quot; syuzeit=&quot;6/16/2020 2:14:02 PM&quot; root=&quot;/BBOOK/DATAPROVIDER[./META/PROPS/ID='BIP_SM']/DATA&quot; colcount=&quot;3&quot; rowcount=&quot;8&quot; url=&quot;&quot; dynamizeds=&quot;SAP Disclosure Management - Production&quot; dynamizedstype=&quot;9&quot; refreshds=&quot;&quot; viewtype=&quot;1&quot;&gt;&lt;QUERY reftype=&quot;ABS&quot; elmntsel=&quot;TABLE&quot; bbk=&quot;16488&quot; bbkdesc=&quot;2019 Annual Accounts/EC Annual Accounts/DC - Shared Direct and Indirect Management&quot; datapro=&quot;BIP_SM&quot; infos=&quot;&quot; iscomment=&quot;0&quot;&gt;&lt;SELECT&gt;/BBOOK/DATAPROVIDER[./META/PROPS/ID='BIP_SM']/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7:08&lt;/DYNAMIZEDON&gt;&lt;LASTUPDATEDBY&gt;kythrst&lt;/LASTUPDATEDBY&gt;&lt;LASTUPDATEDON&gt;6/16/2020 2:22:59 PM&lt;/LASTUPDATEDON&gt;&lt;UTC&gt;1&lt;/UTC&gt;&lt;/UPDATE&gt;&lt;QUERIES bbk=&quot;17222&quot; bbkdesc=&quot;2019 Annual Accounts/EU Annual Accounts/DC - Direct and Indirect Management&quot; datapro=&quot;BIP_DM&quot; tdatapro=&quot;BIP_DM&quot; author=&quot;&quot; modtime=&quot;6/16/2020 2:22:53 PM&quot; moduser=&quot;kythrst&quot; rolluptime=&quot;&quot; syuser=&quot;kythrst&quot; syuzeit=&quot;6/16/2020 2:22:53 PM&quot; root=&quot;/BBOOK/DATAPROVIDER[./META/PROPS/ID='BIP_DM']/DATA&quot; colcount=&quot;3&quot; rowcount=&quot;6&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DM&quot; infos=&quot;&quot; iscomment=&quot;0&quot;&gt;&lt;SELECT&gt;/BBOOK/DATAPROVIDER[./META/PROPS/ID='BIP_DM']/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8:42&lt;/DYNAMIZEDON&gt;&lt;LASTUPDATEDBY&gt;kythrst&lt;/LASTUPDATEDBY&gt;&lt;LASTUPDATEDON&gt;6/16/2020 2:22:59 PM&lt;/LASTUPDATEDON&gt;&lt;UTC&gt;1&lt;/UTC&gt;&lt;/UPDATE&gt;&lt;QUERIES bbk=&quot;17222&quot; bbkdesc=&quot;2019 Annual Accounts/EU Annual Accounts/DC - Direct and Indirect Management&quot; datapro=&quot;BIP_IM&quot; tdatapro=&quot;BIP_IM&quot; author=&quot;&quot; modtime=&quot;6/16/2020 2:22:53 PM&quot; moduser=&quot;kythrst&quot; rolluptime=&quot;&quot; syuser=&quot;kythrst&quot; syuzeit=&quot;6/16/2020 2:22:53 PM&quot; root=&quot;/BBOOK/DATAPROVIDER[./META/PROPS/ID='BIP_IM']/DATA&quot; colcount=&quot;3&quot; rowcount=&quot;7&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IM&quot; infos=&quot;&quot; iscomment=&quot;0&quot;&gt;&lt;SELECT&gt;/BBOOK/DATAPROVIDER[./META/PROPS/ID='BIP_IM']/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08:06&lt;/DYNAMIZEDON&gt;&lt;LASTUPDATEDBY&gt;kythrst&lt;/LASTUPDATEDBY&gt;&lt;LASTUPDATEDON&gt;6/16/2020 2:21:56 PM&lt;/LASTUPDATEDON&gt;&lt;UTC&gt;1&lt;/UTC&gt;&lt;/UPDATE&gt;&lt;QUERIES bbk=&quot;17254&quot; bbkdesc=&quot;2019 Annual Accounts/EU Annual Accounts/DC - Staff and Pension costs&quot; datapro=&quot;BIP_SPC&quot; tdatapro=&quot;BIP_SPC&quot; author=&quot;&quot; modtime=&quot;6/16/2020 2:21:52 PM&quot; moduser=&quot;kythrst&quot; rolluptime=&quot;&quot; syuser=&quot;kythrst&quot; syuzeit=&quot;6/16/2020 2:21:52 PM&quot; root=&quot;/BBOOK/DATAPROVIDER[./META/PROPS/ID='BIP_SPC']/DATA&quot; colcount=&quot;3&quot; rowcount=&quot;5&quot; url=&quot;&quot; dynamizeds=&quot;SAP Disclosure Management - Production&quot; dynamizedstype=&quot;9&quot; refreshds=&quot;&quot; viewtype=&quot;1&quot;&gt;&lt;QUERY reftype=&quot;ABS&quot; elmntsel=&quot;TABLE&quot; bbk=&quot;17254&quot; bbkdesc=&quot;2019 Annual Accounts/EU Annual Accounts/DC - Staff and Pension costs&quot; datapro=&quot;BIP_SPC&quot; infos=&quot;&quot; iscomment=&quot;0&quot;&gt;&lt;SELECT&gt;/BBOOK/DATAPROVIDER[./META/PROPS/ID='BIP_SPC']/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1:29&lt;/DYNAMIZEDON&gt;&lt;LASTUPDATEDBY&gt;kythrst&lt;/LASTUPDATEDBY&gt;&lt;LASTUPDATEDON&gt;6/8/2020 1:18:08 PM&lt;/LASTUPDATEDON&gt;&lt;UTC&gt;1&lt;/UTC&gt;&lt;/UPDATE&gt;&lt;QUERIES bbk=&quot;17232&quot; bbkdesc=&quot;2019 Annual Accounts/EU Annual Accounts/DC - Finance costs&quot; datapro=&quot;BIP_FINEXP&quot; tdatapro=&quot;BIP_FINEXP&quot; author=&quot;&quot; modtime=&quot;6/8/2020 1:15:40 PM&quot; moduser=&quot;kythrst&quot; rolluptime=&quot;&quot; syuser=&quot;kythrst&quot; syuzeit=&quot;6/8/2020 1:15:40 PM&quot; root=&quot;/BBOOK/DATAPROVIDER[./META/PROPS/ID='BIP_FINEXP']/DATA&quot; colcount=&quot;3&quot; rowcount=&quot;12&quot; url=&quot;&quot; dynamizeds=&quot;SAP Disclosure Management - Production&quot; dynamizedstype=&quot;9&quot; refreshds=&quot;&quot; viewtype=&quot;1&quot;&gt;&lt;QUERY reftype=&quot;ABS&quot; elmntsel=&quot;TABLE&quot; bbk=&quot;17232&quot; bbkdesc=&quot;2019 Annual Accounts/EU Annual Accounts/DC - Finance costs&quot; datapro=&quot;BIP_FINEXP&quot; infos=&quot;&quot; iscomment=&quot;0&quot;&gt;&lt;SELECT&gt;/BBOOK/DATAPROVIDER[./META/PROPS/ID='BIP_FINEXP']/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3:55&lt;/DYNAMIZEDON&gt;&lt;LASTUPDATEDBY&gt;kythrst&lt;/LASTUPDATEDBY&gt;&lt;LASTUPDATEDON&gt;6/16/2020 2:21:32 PM&lt;/LASTUPDATEDON&gt;&lt;UTC&gt;1&lt;/UTC&gt;&lt;/UPDATE&gt;&lt;QUERIES bbk=&quot;17223&quot; bbkdesc=&quot;2019 Annual Accounts/EU Annual Accounts/DC - Other expenses&quot; datapro=&quot;BIP_OE&quot; tdatapro=&quot;BIP_OE&quot; author=&quot;&quot; modtime=&quot;6/16/2020 2:21:27 PM&quot; moduser=&quot;kythrst&quot; rolluptime=&quot;&quot; syuser=&quot;kythrst&quot; syuzeit=&quot;6/16/2020 2:21:27 PM&quot; root=&quot;/BBOOK/DATAPROVIDER[./META/PROPS/ID='BIP_OE']/DATA&quot; colcount=&quot;3&quot; rowcount=&quot;10&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OE&quot; infos=&quot;&quot; iscomment=&quot;0&quot;&gt;&lt;SELECT&gt;/BBOOK/DATAPROVIDER[./META/PROPS/ID='BIP_OE']/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4:47&lt;/DYNAMIZEDON&gt;&lt;LASTUPDATEDBY&gt;kythrst&lt;/LASTUPDATEDBY&gt;&lt;LASTUPDATEDON&gt;6/16/2020 2:21:32 PM&lt;/LASTUPDATEDON&gt;&lt;UTC&gt;1&lt;/UTC&gt;&lt;/UPDATE&gt;&lt;QUERIES bbk=&quot;17223&quot; bbkdesc=&quot;2019 Annual Accounts/EU Annual Accounts/DC - Other expenses&quot; datapro=&quot;BIP_RD&quot; tdatapro=&quot;BIP_RD&quot; author=&quot;&quot; modtime=&quot;6/16/2020 2:21:27 PM&quot; moduser=&quot;kythrst&quot; rolluptime=&quot;&quot; syuser=&quot;kythrst&quot; syuzeit=&quot;6/16/2020 2:21:27 PM&quot; root=&quot;/BBOOK/DATAPROVIDER[./META/PROPS/ID='BIP_RD']/DATA&quot; colcount=&quot;3&quot; rowcount=&quot;5&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RD&quot; infos=&quot;&quot; iscomment=&quot;0&quot;&gt;&lt;SELECT&gt;/BBOOK/DATAPROVIDER[./META/PROPS/ID='BIP_RD']/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8:04&lt;/DYNAMIZEDON&gt;&lt;LASTUPDATEDBY&gt;kythrst&lt;/LASTUPDATEDBY&gt;&lt;LASTUPDATEDON&gt;6/16/2020 2:22:22 PM&lt;/LASTUPDATEDON&gt;&lt;UTC&gt;1&lt;/UTC&gt;&lt;/UPDATE&gt;&lt;QUERIES bbk=&quot;17224&quot; bbkdesc=&quot;2019 Annual Accounts/EU Annual Accounts/DC - Segment report&quot; datapro=&quot;BIP_SEGREP&quot; tdatapro=&quot;BIP_SEGREP&quot; author=&quot;&quot; modtime=&quot;6/16/2020 2:22:13 PM&quot; moduser=&quot;kythrst&quot; rolluptime=&quot;&quot; syuser=&quot;kythrst&quot; syuzeit=&quot;6/16/2020 2:22:13 PM&quot; root=&quot;/BBOOK/DATAPROVIDER[./META/PROPS/ID='BIP_SEGREP']/DATA&quot; colcount=&quot;8&quot; rowcount=&quot;28&quot; url=&quot;&quot; dynamizeds=&quot;SAP Disclosure Management - Production&quot; dynamizedstype=&quot;9&quot; refreshds=&quot;&quot; viewtype=&quot;1&quot;&gt;&lt;QUERY reftype=&quot;ABS&quot; elmntsel=&quot;TABLE&quot; bbk=&quot;17224&quot; bbkdesc=&quot;2019 Annual Accounts/EU Annual Accounts/DC - Segment report&quot; datapro=&quot;BIP_SEGREP&quot; infos=&quot;&quot; iscomment=&quot;0&quot;&gt;&lt;SELECT&gt;/BBOOK/DATAPROVIDER[./META/PROPS/ID='BIP_SEGREP']/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39:11&lt;/DYNAMIZEDON&gt;&lt;LASTUPDATEDBY&gt;kythrst&lt;/LASTUPDATEDBY&gt;&lt;LASTUPDATEDON&gt;6/16/2020 2:21:24 PM&lt;/LASTUPDATEDON&gt;&lt;UTC&gt;1&lt;/UTC&gt;&lt;/UPDATE&gt;&lt;QUERIES bbk=&quot;16559&quot; bbkdesc=&quot;2019 Annual Accounts/EC Annual Accounts/DC - Guarantees given&quot; datapro=&quot;BIP_GUAR&quot; tdatapro=&quot;BIP_GUAR&quot; author=&quot;&quot; modtime=&quot;6/16/2020 2:14:26 PM&quot; moduser=&quot;kythrst&quot; rolluptime=&quot;&quot; syuser=&quot;kythrst&quot; syuzeit=&quot;6/16/2020 2:14:26 PM&quot; root=&quot;/BBOOK/DATAPROVIDER[./META/PROPS/ID='BIP_GUAR']/DATA&quot; colcount=&quot;7&quot; rowcount=&quot;7&quot; url=&quot;&quot; dynamizeds=&quot;SAP Disclosure Management - Production&quot; dynamizedstype=&quot;9&quot; refreshds=&quot;&quot; viewtype=&quot;1&quot;&gt;&lt;QUERY reftype=&quot;ABS&quot; elmntsel=&quot;TABLE&quot; bbk=&quot;16559&quot; bbkdesc=&quot;2019 Annual Accounts/EC Annual Accounts/DC - Guarantees given&quot; datapro=&quot;BIP_GUAR&quot; infos=&quot;&quot; iscomment=&quot;0&quot;&gt;&lt;SELECT&gt;/BBOOK/DATAPROVIDER[./META/PROPS/ID='BIP_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2:03&lt;/DYNAMIZEDON&gt;&lt;LASTUPDATEDBY&gt;kythrst&lt;/LASTUPDATEDBY&gt;&lt;LASTUPDATEDON&gt;6/16/2020 2:21:24 PM&lt;/LASTUPDATEDON&gt;&lt;UTC&gt;1&lt;/UTC&gt;&lt;/UPDATE&gt;&lt;QUERIES bbk=&quot;16558&quot; bbkdesc=&quot;2019 Annual Accounts/EC Annual Accounts/DC - Contingent liabilities&quot; datapro=&quot;BIP_GUARFA&quot; tdatapro=&quot;BIP_GUARFA&quot; author=&quot;&quot; modtime=&quot;6/16/2020 2:14:25 PM&quot; moduser=&quot;kythrst&quot; rolluptime=&quot;&quot; syuser=&quot;kythrst&quot; syuzeit=&quot;6/16/2020 2:14:25 PM&quot; root=&quot;/BBOOK/DATAPROVIDER[./META/PROPS/ID='BIP_GUARFA']/DATA&quot; colcount=&quot;7&quot; rowcount=&quot;8&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GUARFA&quot; infos=&quot;&quot; iscomment=&quot;0&quot;&gt;&lt;SELECT&gt;/BBOOK/DATAPROVIDER[./META/PROPS/ID='BIP_GUARFA']/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4:05&lt;/DYNAMIZEDON&gt;&lt;LASTUPDATEDBY&gt;kythrst&lt;/LASTUPDATEDBY&gt;&lt;LASTUPDATEDON&gt;6/16/2020 2:21:24 PM&lt;/LASTUPDATEDON&gt;&lt;UTC&gt;1&lt;/UTC&gt;&lt;/UPDATE&gt;&lt;QUERIES bbk=&quot;16558&quot; bbkdesc=&quot;2019 Annual Accounts/EC Annual Accounts/DC - Contingent liabilities&quot; datapro=&quot;BIP_INSGUA&quot; tdatapro=&quot;BIP_INSGUA&quot; author=&quot;&quot; modtime=&quot;6/16/2020 2:14:25 PM&quot; moduser=&quot;kythrst&quot; rolluptime=&quot;&quot; syuser=&quot;kythrst&quot; syuzeit=&quot;6/16/2020 2:14:25 PM&quot; root=&quot;/BBOOK/DATAPROVIDER[./META/PROPS/ID='BIP_INSGUA']/DATA&quot; colcount=&quot;3&quot; rowcount=&quot;7&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INSGUA&quot; infos=&quot;&quot; iscomment=&quot;0&quot;&gt;&lt;SELECT&gt;/BBOOK/DATAPROVIDER[./META/PROPS/ID='BIP_INSGUA']/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2:26&lt;/DYNAMIZEDON&gt;&lt;LASTUPDATEDBY&gt;kythrst&lt;/LASTUPDATEDBY&gt;&lt;LASTUPDATEDON&gt;6/16/2020 2:21:24 PM&lt;/LASTUPDATEDON&gt;&lt;UTC&gt;1&lt;/UTC&gt;&lt;/UPDATE&gt;&lt;QUERIES bbk=&quot;17236&quot; bbkdesc=&quot;2019 Annual Accounts/EU Annual Accounts/DC - Contingent liabilities&quot; datapro=&quot;BIP_CL&quot; tdatapro=&quot;BIP_CL&quot; author=&quot;&quot; modtime=&quot;6/16/2020 2:21:19 PM&quot; moduser=&quot;kythrst&quot; rolluptime=&quot;&quot; syuser=&quot;kythrst&quot; syuzeit=&quot;6/16/2020 2:21:19 PM&quot; root=&quot;/BBOOK/DATAPROVIDER[./META/PROPS/ID='BIP_CL']/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L&quot; infos=&quot;&quot; iscomment=&quot;0&quot;&gt;&lt;SELECT&gt;/BBOOK/DATAPROVIDER[./META/PROPS/ID='BIP_CL']/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4:39&lt;/DYNAMIZEDON&gt;&lt;LASTUPDATEDBY&gt;kythrst&lt;/LASTUPDATEDBY&gt;&lt;LASTUPDATEDON&gt;6/16/2020 2:21:24 PM&lt;/LASTUPDATEDON&gt;&lt;UTC&gt;1&lt;/UTC&gt;&lt;/UPDATE&gt;&lt;QUERIES bbk=&quot;17236&quot; bbkdesc=&quot;2019 Annual Accounts/EU Annual Accounts/DC - Contingent liabilities&quot; datapro=&quot;BIP_CA&quot; tdatapro=&quot;BIP_CA&quot; author=&quot;&quot; modtime=&quot;6/16/2020 2:21:19 PM&quot; moduser=&quot;kythrst&quot; rolluptime=&quot;&quot; syuser=&quot;kythrst&quot; syuzeit=&quot;6/16/2020 2:21:19 PM&quot; root=&quot;/BBOOK/DATAPROVIDER[./META/PROPS/ID='BIP_CA']/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A&quot; infos=&quot;&quot; iscomment=&quot;0&quot;&gt;&lt;SELECT&gt;/BBOOK/DATAPROVIDER[./META/PROPS/ID='BIP_CA']/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5:16&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BULEG&quot; tdatapro=&quot;BIP_OBULEG&quot; author=&quot;&quot; modtime=&quot;6/8/2020 1:13:17 PM&quot; moduser=&quot;kythrst&quot; rolluptime=&quot;&quot; syuser=&quot;kythrst&quot; syuzeit=&quot;6/8/2020 1:13:17 PM&quot; root=&quot;/BBOOK/DATAPROVIDER[./META/PROPS/ID='BIP_OBULEG']/DATA&quot; colcount=&quot;4&quot; rowcount=&quot;6&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BULEG&quot; infos=&quot;&quot; iscomment=&quot;0&quot;&gt;&lt;SELECT&gt;/BBOOK/DATAPROVIDER[./META/PROPS/ID='BIP_OBULEG']/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6:57&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CNYE&quot; tdatapro=&quot;BIP_OCNYE&quot; author=&quot;&quot; modtime=&quot;6/8/2020 1:13:17 PM&quot; moduser=&quot;kythrst&quot; rolluptime=&quot;&quot; syuser=&quot;kythrst&quot; syuzeit=&quot;6/8/2020 1:13:17 PM&quot; root=&quot;/BBOOK/DATAPROVIDER[./META/PROPS/ID='BIP_OCNYE']/DATA&quot; colcount=&quot;3&quot; rowcount=&quot;3&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CNYE&quot; infos=&quot;&quot; iscomment=&quot;0&quot;&gt;&lt;SELECT&gt;/BBOOK/DATAPROVIDER[./META/PROPS/ID='BIP_OCNYE']/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9:08&lt;/DYNAMIZEDON&gt;&lt;LASTUPDATEDBY&gt;kythrst&lt;/LASTUPDATEDBY&gt;&lt;LASTUPDATEDON&gt;6/8/2020 1:13:27 PM&lt;/LASTUPDATEDON&gt;&lt;UTC&gt;1&lt;/UTC&gt;&lt;/UPDATE&gt;&lt;QUERIES bbk=&quot;16561&quot; bbkdesc=&quot;2019 Annual Accounts/EC Annual Accounts/DC - Significant legal commitments&quot; datapro=&quot;BIP_STRUCAC&quot; tdatapro=&quot;BIP_STRUCAC&quot; author=&quot;&quot; modtime=&quot;6/4/2020 3:29:21 PM&quot; moduser=&quot;kythrst&quot; rolluptime=&quot;&quot; syuser=&quot;kythrst&quot; syuzeit=&quot;6/4/2020 3:29:21 PM&quot; root=&quot;/BBOOK/DATAPROVIDER[./META/PROPS/ID='BIP_STRUCAC']/DATA&quot; colcount=&quot;5&quot; rowcount=&quot;15&quot; url=&quot;&quot; dynamizeds=&quot;SAP Disclosure Management - Production&quot; dynamizedstype=&quot;9&quot; refreshds=&quot;&quot; viewtype=&quot;1&quot;&gt;&lt;QUERY reftype=&quot;ABS&quot; elmntsel=&quot;TABLE&quot; bbk=&quot;16561&quot; bbkdesc=&quot;2019 Annual Accounts/EC Annual Accounts/DC - Significant legal commitments&quot; datapro=&quot;BIP_STRUCAC&quot; infos=&quot;&quot; iscomment=&quot;0&quot;&gt;&lt;SELECT&gt;/BBOOK/DATAPROVIDER[./META/PROPS/ID='BIP_STRUCAC']/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6:45&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LEGCOM&quot; tdatapro=&quot;BIP_LEGCOM&quot; author=&quot;&quot; modtime=&quot;6/8/2020 1:13:17 PM&quot; moduser=&quot;kythrst&quot; rolluptime=&quot;&quot; syuser=&quot;kythrst&quot; syuzeit=&quot;6/8/2020 1:13:17 PM&quot; root=&quot;/BBOOK/DATAPROVIDER[./META/PROPS/ID='BIP_LEGCOM']/DATA&quot; colcount=&quot;3&quot; rowcount=&quot;10&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LEGCOM&quot; infos=&quot;&quot; iscomment=&quot;0&quot;&gt;&lt;SELECT&gt;/BBOOK/DATAPROVIDER[./META/PROPS/ID='BIP_LEGCOM']/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8:55&lt;/DYNAMIZEDON&gt;&lt;LASTUPDATEDBY&gt;kythrst&lt;/LASTUPDATEDBY&gt;&lt;LASTUPDATEDON&gt;6/8/2020 1:13:27 PM&lt;/LASTUPDATEDON&gt;&lt;UTC&gt;1&lt;/UTC&gt;&lt;/UPDATE&gt;&lt;QUERIES bbk=&quot;17233&quot; bbkdesc=&quot;2019 Annual Accounts/EU Annual Accounts/DC - Operating lease commitments&quot; datapro=&quot;BIP_PPERE&quot; tdatapro=&quot;BIP_PPERE&quot; author=&quot;&quot; modtime=&quot;6/8/2020 1:13:17 PM&quot; moduser=&quot;kythrst&quot; rolluptime=&quot;&quot; syuser=&quot;kythrst&quot; syuzeit=&quot;6/8/2020 1:13:17 PM&quot; root=&quot;/BBOOK/DATAPROVIDER[./META/PROPS/ID='BIP_PPERE']/DATA&quot; colcount=&quot;5&quot; rowcount=&quot;6&quot; url=&quot;&quot; dynamizeds=&quot;SAP Disclosure Management - Production&quot; dynamizedstype=&quot;9&quot; refreshds=&quot;&quot; viewtype=&quot;1&quot;&gt;&lt;QUERY reftype=&quot;ABS&quot; elmntsel=&quot;TABLE&quot; bbk=&quot;17233&quot; bbkdesc=&quot;2019 Annual Accounts/EU Annual Accounts/DC -Operating lease commitments&quot; datapro=&quot;BIP_PPERE&quot; infos=&quot;&quot; iscomment=&quot;0&quot;&gt;&lt;SELECT&gt;/BBOOK/DATAPROVIDER[./META/PROPS/ID='BIP_PPERE']/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09:12:01&lt;/DYNAMIZEDON&gt;&lt;LASTUPDATEDBY&gt;kythrst&lt;/LASTUPDATEDBY&gt;&lt;LASTUPDATEDON&gt;6/16/2020 2:22:48 PM&lt;/LASTUPDATEDON&gt;&lt;UTC&gt;1&lt;/UTC&gt;&lt;/UPDATE&gt;&lt;QUERIES bbk=&quot;17225&quot; bbkdesc=&quot;2019 Annual Accounts/EU Annual Accounts/DC - Currency risk&quot; datapro=&quot;BIP_CRCY&quot; tdatapro=&quot;BIP_CRCY&quot; author=&quot;&quot; modtime=&quot;6/16/2020 2:22:32 PM&quot; moduser=&quot;kythrst&quot; rolluptime=&quot;&quot; syuser=&quot;kythrst&quot; syuzeit=&quot;6/16/2020 2:22:32 PM&quot; root=&quot;/BBOOK/DATAPROVIDER[./META/PROPS/ID='BIP_CRC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CY&quot; infos=&quot;&quot; iscomment=&quot;0&quot;&gt;&lt;SELECT&gt;/BBOOK/DATAPROVIDER[./META/PROPS/ID='BIP_CRCY']/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10:13:26&lt;/DYNAMIZEDON&gt;&lt;LASTUPDATEDBY&gt;kythrst&lt;/LASTUPDATEDBY&gt;&lt;LASTUPDATEDON&gt;6/16/2020 2:22:48 PM&lt;/LASTUPDATEDON&gt;&lt;UTC&gt;1&lt;/UTC&gt;&lt;/UPDATE&gt;&lt;QUERIES bbk=&quot;17225&quot; bbkdesc=&quot;2019 Annual Accounts/EU Annual Accounts/DC - Currency risk&quot; datapro=&quot;BIP_CRPY&quot; tdatapro=&quot;BIP_CRPY&quot; author=&quot;&quot; modtime=&quot;6/16/2020 2:22:32 PM&quot; moduser=&quot;kythrst&quot; rolluptime=&quot;&quot; syuser=&quot;kythrst&quot; syuzeit=&quot;6/16/2020 2:22:32 PM&quot; root=&quot;/BBOOK/DATAPROVIDER[./META/PROPS/ID='BIP_CRP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PY&quot; infos=&quot;&quot; iscomment=&quot;0&quot;&gt;&lt;SELECT&gt;/BBOOK/DATAPROVIDER[./META/PROPS/ID='BIP_CRPY']/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3:11&lt;/DYNAMIZEDON&gt;&lt;LASTUPDATEDBY&gt;kythrst&lt;/LASTUPDATEDBY&gt;&lt;LASTUPDATEDON&gt;6/16/2020 2:22:48 PM&lt;/LASTUPDATEDON&gt;&lt;UTC&gt;1&lt;/UTC&gt;&lt;/UPDATE&gt;&lt;QUERIES bbk=&quot;17225&quot; bbkdesc=&quot;2019 Annual Accounts/EU Annual Accounts/DC - Currency risk&quot; datapro=&quot;BIP_SDS&quot; tdatapro=&quot;BIP_SDS&quot; author=&quot;&quot; modtime=&quot;6/16/2020 2:22:32 PM&quot; moduser=&quot;kythrst&quot; rolluptime=&quot;&quot; syuser=&quot;kythrst&quot; syuzeit=&quot;6/16/2020 2:22:32 PM&quot; root=&quot;/BBOOK/DATAPROVIDER[./META/PROPS/ID='BIP_SD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S&quot; infos=&quot;&quot; iscomment=&quot;0&quot;&gt;&lt;SELECT&gt;/BBOOK/DATAPROVIDER[./META/PROPS/ID='BIP_SDS']/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4:50 AM&lt;/DYNAMIZEDON&gt;&lt;LASTUPDATEDBY&gt;kythrst&lt;/LASTUPDATEDBY&gt;&lt;LASTUPDATEDON&gt;6/16/2020 2:22:48 PM&lt;/LASTUPDATEDON&gt;&lt;UTC&gt;1&lt;/UTC&gt;&lt;/UPDATE&gt;&lt;QUERIES bbk=&quot;17225&quot; bbkdesc=&quot;2019 Annual Accounts/EU Annual Accounts/DC - Currency risk&quot; datapro=&quot;BIP_NAS&quot; tdatapro=&quot;BIP_NAS&quot; author=&quot;&quot; modtime=&quot;6/16/2020 2:22:32 PM&quot; moduser=&quot;kythrst&quot; rolluptime=&quot;&quot; syuser=&quot;kythrst&quot; syuzeit=&quot;6/16/2020 2:22:32 PM&quot; root=&quot;/BBOOK/DATAPROVIDER[./META/PROPS/ID='BIP_NA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S&quot; infos=&quot;&quot; iscomment=&quot;0&quot;&gt;&lt;SELECT&gt;/BBOOK/DATAPROVIDER[./META/PROPS/ID='BIP_NAS']/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8:04&lt;/DYNAMIZEDON&gt;&lt;LASTUPDATEDBY&gt;kythrst&lt;/LASTUPDATEDBY&gt;&lt;LASTUPDATEDON&gt;6/16/2020 2:22:48 PM&lt;/LASTUPDATEDON&gt;&lt;UTC&gt;1&lt;/UTC&gt;&lt;/UPDATE&gt;&lt;QUERIES bbk=&quot;17225&quot; bbkdesc=&quot;2019 Annual Accounts/EU Annual Accounts/DC - Currency risk&quot; datapro=&quot;BIP_SDW&quot; tdatapro=&quot;BIP_SDW&quot; author=&quot;&quot; modtime=&quot;6/16/2020 2:22:32 PM&quot; moduser=&quot;kythrst&quot; rolluptime=&quot;&quot; syuser=&quot;kythrst&quot; syuzeit=&quot;6/16/2020 2:22:32 PM&quot; root=&quot;/BBOOK/DATAPROVIDER[./META/PROPS/ID='BIP_SD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W&quot; infos=&quot;&quot; iscomment=&quot;0&quot;&gt;&lt;SELECT&gt;/BBOOK/DATAPROVIDER[./META/PROPS/ID='BIP_SDW']/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5:40 AM&lt;/DYNAMIZEDON&gt;&lt;LASTUPDATEDBY&gt;kythrst&lt;/LASTUPDATEDBY&gt;&lt;LASTUPDATEDON&gt;6/16/2020 2:22:48 PM&lt;/LASTUPDATEDON&gt;&lt;UTC&gt;1&lt;/UTC&gt;&lt;/UPDATE&gt;&lt;QUERIES bbk=&quot;17225&quot; bbkdesc=&quot;2019 Annual Accounts/EU Annual Accounts/DC - Currency risk&quot; datapro=&quot;BIP_NAW&quot; tdatapro=&quot;BIP_NAW&quot; author=&quot;&quot; modtime=&quot;6/16/2020 2:22:32 PM&quot; moduser=&quot;kythrst&quot; rolluptime=&quot;&quot; syuser=&quot;kythrst&quot; syuzeit=&quot;6/16/2020 2:22:32 PM&quot; root=&quot;/BBOOK/DATAPROVIDER[./META/PROPS/ID='BIP_NA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W&quot; infos=&quot;&quot; iscomment=&quot;0&quot;&gt;&lt;SELECT&gt;/BBOOK/DATAPROVIDER[./META/PROPS/ID='BIP_NAW']/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05:45&lt;/DYNAMIZEDON&gt;&lt;LASTUPDATEDBY&gt;kythrst&lt;/LASTUPDATEDBY&gt;&lt;LASTUPDATEDON&gt;6/16/2020 2:22:48 PM&lt;/LASTUPDATEDON&gt;&lt;UTC&gt;1&lt;/UTC&gt;&lt;/UPDATE&gt;&lt;QUERIES bbk=&quot;17226&quot; bbkdesc=&quot;2019 Annual Accounts/EU Annual Accounts/DC - Interest rate risk&quot; datapro=&quot;BIP_IRR&quot; tdatapro=&quot;BIP_IRR&quot; author=&quot;&quot; modtime=&quot;6/16/2020 2:22:32 PM&quot; moduser=&quot;kythrst&quot; rolluptime=&quot;&quot; syuser=&quot;kythrst&quot; syuzeit=&quot;6/16/2020 2:22:32 PM&quot; root=&quot;/BBOOK/DATAPROVIDER[./META/PROPS/ID='BIP_IRR']/DATA&quot; colcount=&quot;3&quot; rowcount=&quot;6&quot; url=&quot;&quot; dynamizeds=&quot;SAP Disclosure Management - Production&quot; dynamizedstype=&quot;9&quot; refreshds=&quot;&quot; viewtype=&quot;1&quot;&gt;&lt;QUERY reftype=&quot;ABS&quot; elmntsel=&quot;TABLE&quot; bbk=&quot;17226&quot; bbkdesc=&quot;2019 Annual Accounts/EU Annual Accounts/DC - Interest rate risk&quot; datapro=&quot;BIP_IRR&quot; infos=&quot;&quot; iscomment=&quot;0&quot;&gt;&lt;SELECT&gt;/BBOOK/DATAPROVIDER[./META/PROPS/ID='BIP_IRR']/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15:18&lt;/DYNAMIZEDON&gt;&lt;LASTUPDATEDBY&gt;kythrst&lt;/LASTUPDATEDBY&gt;&lt;LASTUPDATEDON&gt;6/16/2020 2:22:48 PM&lt;/LASTUPDATEDON&gt;&lt;UTC&gt;1&lt;/UTC&gt;&lt;/UPDATE&gt;&lt;QUERIES bbk=&quot;17227&quot; bbkdesc=&quot;2019 Annual Accounts/EU Annual Accounts/DC - Credit risk&quot; datapro=&quot;BIP_CDTR&quot; tdatapro=&quot;BIP_CDTR&quot; author=&quot;&quot; modtime=&quot;6/16/2020 2:22:33 PM&quot; moduser=&quot;kythrst&quot; rolluptime=&quot;&quot; syuser=&quot;kythrst&quot; syuzeit=&quot;6/16/2020 2:22:33 PM&quot; root=&quot;/BBOOK/DATAPROVIDER[./META/PROPS/ID='BIP_CDTR']/DATA&quot; colcount=&quot;6&quot; rowcount=&quot;11&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CDTR&quot; infos=&quot;&quot; iscomment=&quot;0&quot;&gt;&lt;SELECT&gt;/BBOOK/DATAPROVIDER[./META/PROPS/ID='BIP_CDTR']/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4:32&lt;/DYNAMIZEDON&gt;&lt;LASTUPDATEDBY&gt;kythrst&lt;/LASTUPDATEDBY&gt;&lt;LASTUPDATEDON&gt;6/16/2020 2:22:48 PM&lt;/LASTUPDATEDON&gt;&lt;UTC&gt;1&lt;/UTC&gt;&lt;/UPDATE&gt;&lt;QUERIES bbk=&quot;17227&quot; bbkdesc=&quot;2019 Annual Accounts/EU Annual Accounts/DC - Credit risk&quot; datapro=&quot;BIP_FARCCY&quot; tdatapro=&quot;BIP_FARCCY&quot; author=&quot;&quot; modtime=&quot;6/16/2020 2:22:33 PM&quot; moduser=&quot;kythrst&quot; rolluptime=&quot;&quot; syuser=&quot;kythrst&quot; syuzeit=&quot;6/16/2020 2:22:33 PM&quot; root=&quot;/BBOOK/DATAPROVIDER[./META/PROPS/ID='BIP_FARCC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CY&quot; infos=&quot;&quot; iscomment=&quot;0&quot;&gt;&lt;SELECT&gt;/BBOOK/DATAPROVIDER[./META/PROPS/ID='BIP_FARCCY']/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6:49&lt;/DYNAMIZEDON&gt;&lt;LASTUPDATEDBY&gt;kythrst&lt;/LASTUPDATEDBY&gt;&lt;LASTUPDATEDON&gt;6/16/2020 2:22:48 PM&lt;/LASTUPDATEDON&gt;&lt;UTC&gt;1&lt;/UTC&gt;&lt;/UPDATE&gt;&lt;QUERIES bbk=&quot;17227&quot; bbkdesc=&quot;2019 Annual Accounts/EU Annual Accounts/DC - Credit risk&quot; datapro=&quot;BIP_FARCPY&quot; tdatapro=&quot;BIP_FARCPY&quot; author=&quot;&quot; modtime=&quot;6/16/2020 2:22:33 PM&quot; moduser=&quot;kythrst&quot; rolluptime=&quot;&quot; syuser=&quot;kythrst&quot; syuzeit=&quot;6/16/2020 2:22:33 PM&quot; root=&quot;/BBOOK/DATAPROVIDER[./META/PROPS/ID='BIP_FARCP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PY&quot; infos=&quot;&quot; iscomment=&quot;0&quot;&gt;&lt;SELECT&gt;/BBOOK/DATAPROVIDER[./META/PROPS/ID='BIP_FARCPY']/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0:18&lt;/DYNAMIZEDON&gt;&lt;LASTUPDATEDBY&gt;kythrst&lt;/LASTUPDATEDBY&gt;&lt;LASTUPDATEDON&gt;6/16/2020 2:22:48 PM&lt;/LASTUPDATEDON&gt;&lt;UTC&gt;1&lt;/UTC&gt;&lt;/UPDATE&gt;&lt;QUERIES bbk=&quot;17228&quot; bbkdesc=&quot;2019 Annual Accounts/EU Annual Accounts/DC - Liquiduty risk&quot; datapro=&quot;BIP_LR&quot; tdatapro=&quot;BIP_LR&quot; author=&quot;&quot; modtime=&quot;6/16/2020 2:22:34 PM&quot; moduser=&quot;kythrst&quot; rolluptime=&quot;&quot; syuser=&quot;kythrst&quot; syuzeit=&quot;6/16/2020 2:22:34 PM&quot; root=&quot;/BBOOK/DATAPROVIDER[./META/PROPS/ID='BIP_LR']/DATA&quot; colcount=&quot;5&quot; rowcount=&quot;11&quot; url=&quot;&quot; dynamizeds=&quot;SAP Disclosure Management - Production&quot; dynamizedstype=&quot;9&quot; refreshds=&quot;&quot; viewtype=&quot;1&quot;&gt;&lt;QUERY reftype=&quot;ABS&quot; elmntsel=&quot;TABLE&quot; bbk=&quot;17228&quot; bbkdesc=&quot;2019 Annual Accounts/EU Annual Accounts/DC - Maturity analysis of financial liabilities&quot; datapro=&quot;BIP_LR&quot; infos=&quot;&quot; iscomment=&quot;0&quot;&gt;&lt;SELECT&gt;/BBOOK/DATAPROVIDER[./META/PROPS/ID='BIP_LR']/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2:18&lt;/DYNAMIZEDON&gt;&lt;LASTUPDATEDBY&gt;kythrst&lt;/LASTUPDATEDBY&gt;&lt;LASTUPDATEDON&gt;6/16/2020 2:22:48 PM&lt;/LASTUPDATEDON&gt;&lt;UTC&gt;1&lt;/UTC&gt;&lt;/UPDATE&gt;&lt;QUERIES bbk=&quot;16539&quot; bbkdesc=&quot;2019 Annual Accounts/EC Annual Accounts/DC - Liquidity risk&quot; datapro=&quot;BIP_FLA&quot; tdatapro=&quot;BIP_FLA&quot; author=&quot;&quot; modtime=&quot;6/16/2020 2:13:24 PM&quot; moduser=&quot;kythrst&quot; rolluptime=&quot;&quot; syuser=&quot;kythrst&quot; syuzeit=&quot;6/16/2020 2:13:24 PM&quot; root=&quot;/BBOOK/DATAPROVIDER[./META/PROPS/ID='BIP_FLA']/DATA&quot; colcount=&quot;5&quot; rowcount=&quot;8&quot; url=&quot;&quot; dynamizeds=&quot;SAP Disclosure Management - Production&quot; dynamizedstype=&quot;9&quot; refreshds=&quot;&quot; viewtype=&quot;1&quot;&gt;&lt;QUERY reftype=&quot;ABS&quot; elmntsel=&quot;TABLE&quot; bbk=&quot;16539&quot; bbkdesc=&quot;2019 Annual Accounts/EC Annual Accounts/DC - Maturity analysis of financial liabilities&quot; datapro=&quot;BIP_FLA&quot; infos=&quot;&quot; iscomment=&quot;0&quot;&gt;&lt;SELECT&gt;/BBOOK/DATAPROVIDER[./META/PROPS/ID='BIP_FLA']/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3:05:55&lt;/DYNAMIZEDON&gt;&lt;LASTUPDATEDBY&gt;kythrst&lt;/LASTUPDATEDBY&gt;&lt;LASTUPDATEDON&gt;6/16/2020 2:22:10 PM&lt;/LASTUPDATEDON&gt;&lt;UTC&gt;1&lt;/UTC&gt;&lt;/UPDATE&gt;&lt;QUERIES bbk=&quot;17208&quot; bbkdesc=&quot;2019 Annual Accounts/EU Annual Accounts/DC - Related party disclosures&quot; datapro=&quot;BIP_KM&quot; tdatapro=&quot;BIP_KM&quot; author=&quot;&quot; modtime=&quot;6/16/2020 2:22:06 PM&quot; moduser=&quot;kythrst&quot; rolluptime=&quot;&quot; syuser=&quot;kythrst&quot; syuzeit=&quot;6/16/2020 2:22:06 PM&quot; root=&quot;/BBOOK/DATAPROVIDER[./META/PROPS/ID='BIP_KM']/DATA&quot; colcount=&quot;6&quot; rowcount=&quot;45&quot; url=&quot;&quot; dynamizeds=&quot;SAP Disclosure Management - Production&quot; dynamizedstype=&quot;9&quot; refreshds=&quot;&quot; viewtype=&quot;1&quot;&gt;&lt;QUERY reftype=&quot;ABS&quot; elmntsel=&quot;TABLE&quot; bbk=&quot;17208&quot; bbkdesc=&quot;2019 Annual Accounts/EU Annual Accounts/DC - Related party disclosures&quot; datapro=&quot;BIP_KM&quot; infos=&quot;&quot; iscomment=&quot;0&quot;&gt;&lt;SELECT&gt;/BBOOK/DATAPROVIDER[./META/PROPS/ID='BIP_KM']/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3:18:40&lt;/DYNAMIZEDON&gt;&lt;LASTUPDATEDBY&gt;Ruberla&lt;/LASTUPDATEDBY&gt;&lt;LASTUPDATEDON&gt;6/11/2020 4:58:03 PM&lt;/LASTUPDATEDON&gt;&lt;UTC&gt;1&lt;/UTC&gt;&lt;/UPDATE&gt;&lt;QUERIES bbk=&quot;17209&quot; bbkdesc=&quot;2019 Annual Accounts/EU Annual Accounts/DC - Scope of consolidation EU&quot; datapro=&quot;BIP_CE&quot; tdatapro=&quot;BIP_CE&quot; author=&quot;&quot; modtime=&quot;6/8/2020 1:16:00 PM&quot; moduser=&quot;kythrst&quot; rolluptime=&quot;&quot; syuser=&quot;kythrst&quot; syuzeit=&quot;6/8/2020 1:16:00 PM&quot; root=&quot;/BBOOK/DATAPROVIDER[./META/PROPS/ID='BIP_CE']/DATA&quot; colcount=&quot;2&quot; rowcount=&quot;39&quot; url=&quot;&quot; dynamizeds=&quot;SAP Disclosure Management - Production&quot; dynamizedstype=&quot;9&quot; refreshds=&quot;&quot; viewtype=&quot;1&quot;&gt;&lt;QUERY reftype=&quot;ABS&quot; elmntsel=&quot;TABLE&quot; bbk=&quot;17209&quot; bbkdesc=&quot;2019 Annual Accounts/EU Annual Accounts/DC - Scope of consolidation EU&quot; datapro=&quot;BIP_CE&quot; infos=&quot;&quot; iscomment=&quot;0&quot;&gt;&lt;SELECT&gt;/BBOOK/DATAPROVIDER[./META/PROPS/ID='BIP_CE']/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7:57&lt;/DYNAMIZEDON&gt;&lt;LASTUPDATEDBY&gt;kythrst&lt;/LASTUPDATEDBY&gt;&lt;LASTUPDATEDON&gt;6/16/2020 2:24:50 PM&lt;/LASTUPDATEDON&gt;&lt;UTC&gt;1&lt;/UTC&gt;&lt;/UPDATE&gt;&lt;QUERIES bbk=&quot;17140&quot; bbkdesc=&quot;2019 Annual Accounts/EU Annual Accounts/DC - Budget result and Statements of Comparison&quot; datapro=&quot;BIP_Budget_result&quot; tdatapro=&quot;BIP_Budget_result&quot; author=&quot;&quot; modtime=&quot;6/8/2020 1:15:35 PM&quot; moduser=&quot;kythrst&quot; rolluptime=&quot;&quot; syuser=&quot;kythrst&quot; syuzeit=&quot;6/8/2020 1:15:35 PM&quot; root=&quot;/BBOOK/DATAPROVIDER[./META/PROPS/ID='BIP_Budget_result']/DATA&quot; colcount=&quot;4&quot; rowcount=&quot;11&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Budget_result&quot; infos=&quot;&quot; iscomment=&quot;0&quot;&gt;&lt;SELECT&gt;/BBOOK/DATAPROVIDER[./META/PROPS/ID='BIP_Budget_result']/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8:42&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Revenue&quot; tdatapro=&quot;BIP_Statement_of_comparison_Revenue&quot; author=&quot;&quot; modtime=&quot;6/8/2020 1:15:35 PM&quot; moduser=&quot;kythrst&quot; rolluptime=&quot;&quot; syuser=&quot;kythrst&quot; syuzeit=&quot;6/8/2020 1:15:35 PM&quot; root=&quot;/BBOOK/DATAPROVIDER[./META/PROPS/ID='BIP_Statement_of_comparison_Revenue']/DATA&quot; colcount=&quot;6&quot; rowcount=&quot;17&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Revenue&quot; infos=&quot;&quot; iscomment=&quot;0&quot;&gt;&lt;SELECT&gt;/BBOOK/DATAPROVIDER[./META/PROPS/ID='BIP_Statement_of_comparison_Revenue']/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0:0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Commitments&quot; tdatapro=&quot;BIP_Statement_of_comparison_Commitments&quot; author=&quot;&quot; modtime=&quot;6/8/2020 1:15:35 PM&quot; moduser=&quot;kythrst&quot; rolluptime=&quot;&quot; syuser=&quot;kythrst&quot; syuzeit=&quot;6/8/2020 1:15:35 PM&quot; root=&quot;/BBOOK/DATAPROVIDER[./META/PROPS/ID='BIP_Statement_of_comparison_Commit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Commitments&quot; infos=&quot;&quot; iscomment=&quot;0&quot;&gt;&lt;SELECT&gt;/BBOOK/DATAPROVIDER[./META/PROPS/ID='BIP_Statement_of_comparison_Commitments']/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2:3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Payments&quot; tdatapro=&quot;BIP_Statement_of_comparison_Payments&quot; author=&quot;&quot; modtime=&quot;6/8/2020 1:15:35 PM&quot; moduser=&quot;kythrst&quot; rolluptime=&quot;&quot; syuser=&quot;kythrst&quot; syuzeit=&quot;6/8/2020 1:15:35 PM&quot; root=&quot;/BBOOK/DATAPROVIDER[./META/PROPS/ID='BIP_Statement_of_comparison_Pay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Payments&quot; infos=&quot;&quot; iscomment=&quot;0&quot;&gt;&lt;SELECT&gt;/BBOOK/DATAPROVIDER[./META/PROPS/ID='BIP_Statement_of_comparison_Payments']/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bedread&lt;/DYNAMIZEDBY&gt;&lt;DYNAMIZEDON&gt;28/03/2018 08:42:45&lt;/DYNAMIZEDON&gt;&lt;LASTUPDATEDBY&gt;kythrst&lt;/LASTUPDATEDBY&gt;&lt;LASTUPDATEDON&gt;6/16/2020 2:24:40 PM&lt;/LASTUPDATEDON&gt;&lt;UTC&gt;1&lt;/UTC&gt;&lt;/UPDATE&gt;&lt;QUERIES bbk=&quot;17196&quot; bbkdesc=&quot;2019 Annual Accounts/EU Annual Accounts/DC - Financial framework 2014 - 2020&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17196&quot; bbkdesc=&quot;2019 Annual Accounts/EU Annual Accounts/DC - Financial framework 2014 - 2020&quot; datapro=&quot;BIP_FinancialFWK20142020&quot; infos=&quot;&quot; iscomment=&quot;0&quot;&gt;&lt;SELECT&gt;/BBOOK/DATAPROVIDER[./META/PROPS/ID='BIP_FinancialFWK20142020']/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42:07&lt;/DYNAMIZEDON&gt;&lt;LASTUPDATEDBY&gt;kythrst&lt;/LASTUPDATEDBY&gt;&lt;LASTUPDATEDON&gt;6/16/2020 2:25:14 PM&lt;/LASTUPDATEDON&gt;&lt;UTC&gt;1&lt;/UTC&gt;&lt;/UPDATE&gt;&lt;QUERIES bbk=&quot;17108&quot; bbkdesc=&quot;2019 Annual Accounts/EU Annual Accounts/DC - EU Reconciliation of economic result&quot; datapro=&quot;BIP_Reconciliation&quot; tdatapro=&quot;BIP_Reconciliation&quot; author=&quot;&quot; modtime=&quot;6/5/2020 3:55:51 PM&quot; moduser=&quot;canarpa&quot; rolluptime=&quot;&quot; syuser=&quot;canarpa&quot; syuzeit=&quot;6/5/2020 3:55:51 PM&quot; root=&quot;/BBOOK/DATAPROVIDER[./META/PROPS/ID='BIP_Reconciliation']/DATA&quot; colcount=&quot;3&quot; rowcount=&quot;21&quot; url=&quot;&quot; dynamizeds=&quot;SAP Disclosure Management - Production&quot; dynamizedstype=&quot;9&quot; refreshds=&quot;&quot; viewtype=&quot;1&quot;&gt;&lt;QUERY reftype=&quot;ABS&quot; elmntsel=&quot;TABLE&quot; bbk=&quot;17108&quot; bbkdesc=&quot;2019 Annual Accounts/EU Annual Accounts/DC - EU Reconciliation of economic result&quot; datapro=&quot;BIP_Reconciliation&quot; infos=&quot;&quot; iscomment=&quot;0&quot;&gt;&lt;SELECT&gt;/BBOOK/DATAPROVIDER[./META/PROPS/ID='BIP_Reconciliation']/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3/03/2019 08:15:24&lt;/DYNAMIZEDON&gt;&lt;LASTUPDATEDBY&gt;kythrst&lt;/LASTUPDATEDBY&gt;&lt;LASTUPDATEDON&gt;6/16/2020 2:25:17 PM&lt;/LASTUPDATEDON&gt;&lt;UTC&gt;1&lt;/UTC&gt;&lt;/UPDATE&gt;&lt;QUERIES bbk=&quot;17211&quot; bbkdesc=&quot;2019 Annual Accounts/EU Annual Accounts/DC - EU revenues&quot; datapro=&quot;BIP_Implementation_budget_revenue&quot; tdatapro=&quot;BIP_Implementation_budget_revenue&quot; author=&quot;&quot; modtime=&quot;6/16/2020 2:24:52 PM&quot; moduser=&quot;kythrst&quot; rolluptime=&quot;&quot; syuser=&quot;kythrst&quot; syuzeit=&quot;6/16/2020 2:24:52 PM&quot; root=&quot;/BBOOK/DATAPROVIDER[./META/PROPS/ID='BIP_Implementation_budget_revenue']/DATA&quot; colcount=&quot;12&quot; rowcount=&quot;13&quot; url=&quot;&quot; dynamizeds=&quot;SAP Disclosure Management - Production&quot; dynamizedstype=&quot;9&quot; refreshds=&quot;&quot; viewtype=&quot;1&quot;&gt;&lt;QUERY reftype=&quot;ABS&quot; elmntsel=&quot;TABLE&quot; bbk=&quot;17211&quot; bbkdesc=&quot;2019 Annual Accounts/EU Annual Accounts/DC - EU revenues&quot; datapro=&quot;BIP_Implementation_budget_revenue&quot; infos=&quot;&quot; iscomment=&quot;0&quot;&gt;&lt;SELECT&gt;/BBOOK/DATAPROVIDER[./META/PROPS/ID='BIP_Implementation_budget_revenue']/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1:30 AM&lt;/DYNAMIZEDON&gt;&lt;LASTUPDATEDBY&gt;kythrst&lt;/LASTUPDATEDBY&gt;&lt;LASTUPDATEDON&gt;6/16/2020 2:25:13 PM&lt;/LASTUPDATEDON&gt;&lt;UTC&gt;1&lt;/UTC&gt;&lt;/UPDATE&gt;&lt;QUERIES bbk=&quot;17212&quot; bbkdesc=&quot;2019 Annual Accounts/EU Annual Accounts/DC - EU expenditures&quot; datapro=&quot;BIP_MFF_1_Breakdown_Comm_Paym&quot; tdatapro=&quot;BIP_MFF_1_Breakdown_Comm_Paym&quot; author=&quot;&quot; modtime=&quot;6/16/2020 2:24:53 PM&quot; moduser=&quot;kythrst&quot; rolluptime=&quot;&quot; syuser=&quot;kythrst&quot; syuzeit=&quot;6/16/2020 2:24:53 PM&quot; root=&quot;/BBOOK/DATAPROVIDER[./META/PROPS/ID='BIP_MFF_1_Breakdown_Comm_Paym']/DATA&quot; colcount=&quot;14&quot; rowcount=&quot;18&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1_Breakdown_Comm_Paym&quot; infos=&quot;&quot; iscomment=&quot;0&quot;&gt;&lt;SELECT&gt;/BBOOK/DATAPROVIDER[./META/PROPS/ID='BIP_MFF_1_Breakdown_Comm_Paym']/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6:07 AM&lt;/DYNAMIZEDON&gt;&lt;LASTUPDATEDBY&gt;kythrst&lt;/LASTUPDATEDBY&gt;&lt;LASTUPDATEDON&gt;6/16/2020 2:25:12 PM&lt;/LASTUPDATEDON&gt;&lt;UTC&gt;1&lt;/UTC&gt;&lt;/UPDATE&gt;&lt;QUERIES bbk=&quot;17212&quot; bbkdesc=&quot;2019 Annual Accounts/EU Annual Accounts/DC - EU expenditures&quot; datapro=&quot;BIP_MFF_2_Implement_Commitments&quot; tdatapro=&quot;BIP_MFF_2_Implement_Commitments&quot; author=&quot;&quot; modtime=&quot;6/16/2020 2:24:53 PM&quot; moduser=&quot;kythrst&quot; rolluptime=&quot;&quot; syuser=&quot;kythrst&quot; syuzeit=&quot;6/16/2020 2:24:53 PM&quot; root=&quot;/BBOOK/DATAPROVIDER[./META/PROPS/ID='BIP_MFF_2_Implement_Commitments']/DATA&quot; colcount=&quot;15&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2_Implement_Commitments&quot; infos=&quot;&quot; iscomment=&quot;0&quot;&gt;&lt;SELECT&gt;/BBOOK/DATAPROVIDER[./META/PROPS/ID='BIP_MFF_2_Implement_Commitments']/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0:23 AM&lt;/DYNAMIZEDON&gt;&lt;LASTUPDATEDBY&gt;kythrst&lt;/LASTUPDATEDBY&gt;&lt;LASTUPDATEDON&gt;6/16/2020 2:25:12 PM&lt;/LASTUPDATEDON&gt;&lt;UTC&gt;1&lt;/UTC&gt;&lt;/UPDATE&gt;&lt;QUERIES bbk=&quot;17212&quot; bbkdesc=&quot;2019 Annual Accounts/EU Annual Accounts/DC - EU expenditures&quot; datapro=&quot;BIP_MFF_3_Implement_Payments&quot; tdatapro=&quot;BIP_MFF_3_Implement_Payments&quot; author=&quot;&quot; modtime=&quot;6/16/2020 2:24:53 PM&quot; moduser=&quot;kythrst&quot; rolluptime=&quot;&quot; syuser=&quot;kythrst&quot; syuzeit=&quot;6/16/2020 2:24:53 PM&quot; root=&quot;/BBOOK/DATAPROVIDER[./META/PROPS/ID='BIP_MFF_3_Implement_Payments']/DATA&quot; colcount=&quot;16&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3_Implement_Payments&quot; infos=&quot;&quot; iscomment=&quot;0&quot;&gt;&lt;SELECT&gt;/BBOOK/DATAPROVIDER[./META/PROPS/ID='BIP_MFF_3_Implement_Payments']/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7:35 AM&lt;/DYNAMIZEDON&gt;&lt;LASTUPDATEDBY&gt;kythrst&lt;/LASTUPDATEDBY&gt;&lt;LASTUPDATEDON&gt;6/16/2020 2:25:13 PM&lt;/LASTUPDATEDON&gt;&lt;UTC&gt;1&lt;/UTC&gt;&lt;/UPDATE&gt;&lt;QUERIES bbk=&quot;17212&quot; bbkdesc=&quot;2019 Annual Accounts/EU Annual Accounts/DC - EU expenditures&quot; datapro=&quot;BIP_MFF_4_Commitments_oustanding&quot; tdatapro=&quot;BIP_MFF_4_Commitments_oustanding&quot; author=&quot;&quot; modtime=&quot;6/16/2020 2:24:53 PM&quot; moduser=&quot;kythrst&quot; rolluptime=&quot;&quot; syuser=&quot;kythrst&quot; syuzeit=&quot;6/16/2020 2:24:53 PM&quot; root=&quot;/BBOOK/DATAPROVIDER[./META/PROPS/ID='BIP_MFF_4_Commitments_oustanding']/DATA&quot; colcount=&quot;11&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4_Commitments_oustanding&quot; infos=&quot;&quot; iscomment=&quot;0&quot;&gt;&lt;SELECT&gt;/BBOOK/DATAPROVIDER[./META/PROPS/ID='BIP_MFF_4_Commitments_oustanding']/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10:52:11 AM&lt;/DYNAMIZEDON&gt;&lt;LASTUPDATEDBY&gt;kythrst&lt;/LASTUPDATEDBY&gt;&lt;LASTUPDATEDON&gt;6/16/2020 2:25:12 PM&lt;/LASTUPDATEDON&gt;&lt;UTC&gt;1&lt;/UTC&gt;&lt;/UPDATE&gt;&lt;QUERIES bbk=&quot;17212&quot; bbkdesc=&quot;2019 Annual Accounts/EU Annual Accounts/DC - EU expenditures&quot; datapro=&quot;BIP_MFF_5_RAL_YoO&quot; tdatapro=&quot;BIP_MFF_5_RAL_YoO&quot; author=&quot;&quot; modtime=&quot;6/16/2020 2:24:53 PM&quot; moduser=&quot;kythrst&quot; rolluptime=&quot;&quot; syuser=&quot;kythrst&quot; syuzeit=&quot;6/16/2020 2:24:53 PM&quot; root=&quot;/BBOOK/DATAPROVIDER[./META/PROPS/ID='BIP_MFF_5_RAL_YoO']/DATA&quot; colcount=&quot;11&quot; rowcount=&quot;13&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5_RAL_YoO&quot; infos=&quot;&quot; iscomment=&quot;0&quot;&gt;&lt;SELECT&gt;/BBOOK/DATAPROVIDER[./META/PROPS/ID='BIP_MFF_5_RAL_YoO']/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3:14&lt;/DYNAMIZEDON&gt;&lt;LASTUPDATEDBY&gt;kythrst&lt;/LASTUPDATEDBY&gt;&lt;LASTUPDATEDON&gt;6/16/2020 2:25:12 PM&lt;/LASTUPDATEDON&gt;&lt;UTC&gt;1&lt;/UTC&gt;&lt;/UPDATE&gt;&lt;QUERIES bbk=&quot;17212&quot; bbkdesc=&quot;2019 Annual Accounts/EU Annual Accounts/DC - EU expenditures&quot; datapro=&quot;BIP_DetailedMFF_1_Breakdown&quot; tdatapro=&quot;BIP_DetailedMFF_1_Breakdown&quot; author=&quot;&quot; modtime=&quot;6/16/2020 2:24:53 PM&quot; moduser=&quot;kythrst&quot; rolluptime=&quot;&quot; syuser=&quot;kythrst&quot; syuzeit=&quot;6/16/2020 2:24:53 PM&quot; root=&quot;/BBOOK/DATAPROVIDER[./META/PROPS/ID='BIP_DetailedMFF_1_Breakdown']/DATA&quot; colcount=&quot;14&quot; rowcount=&quot;100&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1_Breakdown&quot; infos=&quot;&quot; iscomment=&quot;0&quot;&gt;&lt;SELECT&gt;/BBOOK/DATAPROVIDER[./META/PROPS/ID='BIP_DetailedMFF_1_Breakdow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08:12&lt;/DYNAMIZEDON&gt;&lt;LASTUPDATEDBY&gt;kythrst&lt;/LASTUPDATEDBY&gt;&lt;LASTUPDATEDON&gt;6/16/2020 2:25:11 PM&lt;/LASTUPDATEDON&gt;&lt;UTC&gt;1&lt;/UTC&gt;&lt;/UPDATE&gt;&lt;QUERIES bbk=&quot;17212&quot; bbkdesc=&quot;2019 Annual Accounts/EU Annual Accounts/DC - EU expenditures&quot; datapro=&quot;BIP_DetailedMFF_2_Implement_Commitments&quot; tdatapro=&quot;BIP_DetailedMFF_2_Implement_Commitments&quot; author=&quot;&quot; modtime=&quot;6/16/2020 2:24:53 PM&quot; moduser=&quot;kythrst&quot; rolluptime=&quot;&quot; syuser=&quot;kythrst&quot; syuzeit=&quot;6/16/2020 2:24:53 PM&quot; root=&quot;/BBOOK/DATAPROVIDER[./META/PROPS/ID='BIP_DetailedMFF_2_Implement_Commitments']/DATA&quot; colcount=&quot;15&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2_Implement_Commitments&quot; infos=&quot;&quot; iscomment=&quot;0&quot;&gt;&lt;SELECT&gt;/BBOOK/DATAPROVIDER[./META/PROPS/ID='BIP_DetailedMFF_2_Implement_Commitments']/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5:28&lt;/DYNAMIZEDON&gt;&lt;LASTUPDATEDBY&gt;kythrst&lt;/LASTUPDATEDBY&gt;&lt;LASTUPDATEDON&gt;6/16/2020 2:25:13 PM&lt;/LASTUPDATEDON&gt;&lt;UTC&gt;1&lt;/UTC&gt;&lt;/UPDATE&gt;&lt;QUERIES bbk=&quot;17212&quot; bbkdesc=&quot;2019 Annual Accounts/EU Annual Accounts/DC - EU expenditures&quot; datapro=&quot;BIP_DetailedMFF_3_Implement_Payments&quot; tdatapro=&quot;BIP_DetailedMFF_3_Implement_Payments&quot; author=&quot;&quot; modtime=&quot;6/16/2020 2:24:53 PM&quot; moduser=&quot;kythrst&quot; rolluptime=&quot;&quot; syuser=&quot;kythrst&quot; syuzeit=&quot;6/16/2020 2:24:53 PM&quot; root=&quot;/BBOOK/DATAPROVIDER[./META/PROPS/ID='BIP_DetailedMFF_3_Implement_Payments']/DATA&quot; colcount=&quot;16&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3_Implement_Payments&quot; infos=&quot;&quot; iscomment=&quot;0&quot;&gt;&lt;SELECT&gt;/BBOOK/DATAPROVIDER[./META/PROPS/ID='BIP_DetailedMFF_3_Implement_Payments']/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21:02&lt;/DYNAMIZEDON&gt;&lt;LASTUPDATEDBY&gt;kythrst&lt;/LASTUPDATEDBY&gt;&lt;LASTUPDATEDON&gt;6/16/2020 2:25:12 PM&lt;/LASTUPDATEDON&gt;&lt;UTC&gt;1&lt;/UTC&gt;&lt;/UPDATE&gt;&lt;QUERIES bbk=&quot;17212&quot; bbkdesc=&quot;2019 Annual Accounts/EU Annual Accounts/DC - EU expenditures&quot; datapro=&quot;BIP_DetailedMFF_4_Commitments_oustanding&quot; tdatapro=&quot;BIP_DetailedMFF_4_Commitments_oustanding&quot; author=&quot;&quot; modtime=&quot;6/16/2020 2:24:53 PM&quot; moduser=&quot;kythrst&quot; rolluptime=&quot;&quot; syuser=&quot;kythrst&quot; syuzeit=&quot;6/16/2020 2:24:53 PM&quot; root=&quot;/BBOOK/DATAPROVIDER[./META/PROPS/ID='BIP_DetailedMFF_4_Commitments_oustanding']/DATA&quot; colcount=&quot;11&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4_Commitments_oustanding&quot; infos=&quot;&quot; iscomment=&quot;0&quot;&gt;&lt;SELECT&gt;/BBOOK/DATAPROVIDER[./META/PROPS/ID='BIP_DetailedMFF_4_Commitments_oustanding']/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34:15&lt;/DYNAMIZEDON&gt;&lt;LASTUPDATEDBY&gt;kythrst&lt;/LASTUPDATEDBY&gt;&lt;LASTUPDATEDON&gt;6/16/2020 2:25:11 PM&lt;/LASTUPDATEDON&gt;&lt;UTC&gt;1&lt;/UTC&gt;&lt;/UPDATE&gt;&lt;QUERIES bbk=&quot;17212&quot; bbkdesc=&quot;2019 Annual Accounts/EU Annual Accounts/DC - EU expenditures&quot; datapro=&quot;BIP_DetailedMFF_5_RAL_YoO&quot; tdatapro=&quot;BIP_DetailedMFF_5_RAL_YoO&quot; author=&quot;&quot; modtime=&quot;6/16/2020 2:24:53 PM&quot; moduser=&quot;kythrst&quot; rolluptime=&quot;&quot; syuser=&quot;kythrst&quot; syuzeit=&quot;6/16/2020 2:24:53 PM&quot; root=&quot;/BBOOK/DATAPROVIDER[./META/PROPS/ID='BIP_DetailedMFF_5_RAL_YoO']/DATA&quot; colcount=&quot;11&quot; rowcount=&quot;9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5_RAL_YoO&quot; infos=&quot;&quot; iscomment=&quot;0&quot;&gt;&lt;SELECT&gt;/BBOOK/DATAPROVIDER[./META/PROPS/ID='BIP_DetailedMFF_5_RAL_YoO']/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8:37&lt;/DYNAMIZEDON&gt;&lt;LASTUPDATEDBY&gt;kythrst&lt;/LASTUPDATEDBY&gt;&lt;LASTUPDATEDON&gt;6/16/2020 2:25:18 PM&lt;/LASTUPDATEDON&gt;&lt;UTC&gt;1&lt;/UTC&gt;&lt;/UPDATE&gt;&lt;QUERIES bbk=&quot;17256&quot; bbkdesc=&quot;2019 Annual Accounts/EU Annual Accounts/DC - Institutions and agencies&quot; datapro=&quot;BIP_Institutions_1_Revenue&quot; tdatapro=&quot;BIP_Institutions_1_Revenue&quot; author=&quot;&quot; modtime=&quot;6/16/2020 2:24:54 PM&quot; moduser=&quot;kythrst&quot; rolluptime=&quot;&quot; syuser=&quot;kythrst&quot; syuzeit=&quot;6/16/2020 2:24:54 PM&quot; root=&quot;/BBOOK/DATAPROVIDER[./META/PROPS/ID='BIP_Institutions_1_Revenue']/DATA&quot; colcount=&quot;11&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1_Revenue&quot; infos=&quot;&quot; iscomment=&quot;0&quot;&gt;&lt;SELECT&gt;/BBOOK/DATAPROVIDER[./META/PROPS/ID='BIP_Institutions_1_Revenue']/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9:24&lt;/DYNAMIZEDON&gt;&lt;LASTUPDATEDBY&gt;kythrst&lt;/LASTUPDATEDBY&gt;&lt;LASTUPDATEDON&gt;6/16/2020 2:25:19 PM&lt;/LASTUPDATEDON&gt;&lt;UTC&gt;1&lt;/UTC&gt;&lt;/UPDATE&gt;&lt;QUERIES bbk=&quot;17256&quot; bbkdesc=&quot;2019 Annual Accounts/EU Annual Accounts/DC - Institutions and agencies&quot; datapro=&quot;BIP_Institutions_2_Commitments&quot; tdatapro=&quot;BIP_Institutions_2_Commitments&quot; author=&quot;&quot; modtime=&quot;6/16/2020 2:24:54 PM&quot; moduser=&quot;kythrst&quot; rolluptime=&quot;&quot; syuser=&quot;kythrst&quot; syuzeit=&quot;6/16/2020 2:24:54 PM&quot; root=&quot;/BBOOK/DATAPROVIDER[./META/PROPS/ID='BIP_Institutions_2_Commitments']/DATA&quot; colcount=&quot;14&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2_Commitments&quot; infos=&quot;&quot; iscomment=&quot;0&quot;&gt;&lt;SELECT&gt;/BBOOK/DATAPROVIDER[./META/PROPS/ID='BIP_Institutions_2_Commitments']/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0:09&lt;/DYNAMIZEDON&gt;&lt;LASTUPDATEDBY&gt;kythrst&lt;/LASTUPDATEDBY&gt;&lt;LASTUPDATEDON&gt;6/16/2020 2:25:19 PM&lt;/LASTUPDATEDON&gt;&lt;UTC&gt;1&lt;/UTC&gt;&lt;/UPDATE&gt;&lt;QUERIES bbk=&quot;17256&quot; bbkdesc=&quot;2019 Annual Accounts/EU Annual Accounts/DC - Institutions and agencies&quot; datapro=&quot;BIP_Institutions_3_Payments&quot; tdatapro=&quot;BIP_Institutions_3_Payments&quot; author=&quot;&quot; modtime=&quot;6/16/2020 2:24:54 PM&quot; moduser=&quot;kythrst&quot; rolluptime=&quot;&quot; syuser=&quot;kythrst&quot; syuzeit=&quot;6/16/2020 2:24:54 PM&quot; root=&quot;/BBOOK/DATAPROVIDER[./META/PROPS/ID='BIP_Institutions_3_Payments']/DATA&quot; colcount=&quot;15&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3_Payments&quot; infos=&quot;&quot; iscomment=&quot;0&quot;&gt;&lt;SELECT&gt;/BBOOK/DATAPROVIDER[./META/PROPS/ID='BIP_Institutions_3_Payments']/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2:19&lt;/DYNAMIZEDON&gt;&lt;LASTUPDATEDBY&gt;kythrst&lt;/LASTUPDATEDBY&gt;&lt;LASTUPDATEDON&gt;6/16/2020 2:25:16 PM&lt;/LASTUPDATEDON&gt;&lt;UTC&gt;1&lt;/UTC&gt;&lt;/UPDATE&gt;&lt;QUERIES bbk=&quot;17256&quot; bbkdesc=&quot;2019 Annual Accounts/EU Annual Accounts/DC - Institutions and agencies&quot; datapro=&quot;BIP_Agencies_1_Revenue&quot; tdatapro=&quot;BIP_Agencies_1_Revenue&quot; author=&quot;&quot; modtime=&quot;6/16/2020 2:24:54 PM&quot; moduser=&quot;kythrst&quot; rolluptime=&quot;&quot; syuser=&quot;kythrst&quot; syuzeit=&quot;6/16/2020 2:24:54 PM&quot; root=&quot;/BBOOK/DATAPROVIDER[./META/PROPS/ID='BIP_Agencies_1_Revenue']/DATA&quot; colcount=&quot;4&quot; rowcount=&quot;43&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1_Revenue&quot; infos=&quot;&quot; iscomment=&quot;0&quot;&gt;&lt;SELECT&gt;/BBOOK/DATAPROVIDER[./META/PROPS/ID='BIP_Agencies_1_Revenue']/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5:30&lt;/DYNAMIZEDON&gt;&lt;LASTUPDATEDBY&gt;kythrst&lt;/LASTUPDATEDBY&gt;&lt;LASTUPDATEDON&gt;6/16/2020 2:25:16 PM&lt;/LASTUPDATEDON&gt;&lt;UTC&gt;1&lt;/UTC&gt;&lt;/UPDATE&gt;&lt;QUERIES bbk=&quot;17256&quot; bbkdesc=&quot;2019 Annual Accounts/EU Annual Accounts/DC - Institutions and agencies&quot; datapro=&quot;BIP_Agencies_2_Type_of_Revenue&quot; tdatapro=&quot;BIP_Agencies_2_Type_of_Revenue&quot; author=&quot;&quot; modtime=&quot;6/16/2020 2:24:54 PM&quot; moduser=&quot;kythrst&quot; rolluptime=&quot;&quot; syuser=&quot;kythrst&quot; syuzeit=&quot;6/16/2020 2:24:54 PM&quot; root=&quot;/BBOOK/DATAPROVIDER[./META/PROPS/ID='BIP_Agencies_2_Type_of_Revenue']/DATA&quot; colcount=&quot;4&quot; rowcount=&quot;6&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2_Type_of_Revenue&quot; infos=&quot;&quot; iscomment=&quot;0&quot;&gt;&lt;SELECT&gt;/BBOOK/DATAPROVIDER[./META/PROPS/ID='BIP_Agencies_2_Type_of_Revenue']/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6:11&lt;/DYNAMIZEDON&gt;&lt;LASTUPDATEDBY&gt;kythrst&lt;/LASTUPDATEDBY&gt;&lt;LASTUPDATEDON&gt;6/16/2020 2:25:16 PM&lt;/LASTUPDATEDON&gt;&lt;UTC&gt;1&lt;/UTC&gt;&lt;/UPDATE&gt;&lt;QUERIES bbk=&quot;17256&quot; bbkdesc=&quot;2019 Annual Accounts/EU Annual Accounts/DC - Institutions and agencies&quot; datapro=&quot;BIP_Agencies_3_Commitments_Payments&quot; tdatapro=&quot;BIP_Agencies_3_Commitments_Payments&quot; author=&quot;&quot; modtime=&quot;6/16/2020 2:24:54 PM&quot; moduser=&quot;kythrst&quot; rolluptime=&quot;&quot; syuser=&quot;kythrst&quot; syuzeit=&quot;6/16/2020 2:24:54 PM&quot; root=&quot;/BBOOK/DATAPROVIDER[./META/PROPS/ID='BIP_Agencies_3_Commitments_Payments']/DATA&quot; colcount=&quot;5&quot; rowcount=&quot;44&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3_Commitments_Payments&quot; infos=&quot;&quot; iscomment=&quot;0&quot;&gt;&lt;SELECT&gt;/BBOOK/DATAPROVIDER[./META/PROPS/ID='BIP_Agencies_3_Commitments_Payments']/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7:48&lt;/DYNAMIZEDON&gt;&lt;LASTUPDATEDBY&gt;kythrst&lt;/LASTUPDATEDBY&gt;&lt;LASTUPDATEDON&gt;6/16/2020 2:25:16 PM&lt;/LASTUPDATEDON&gt;&lt;UTC&gt;1&lt;/UTC&gt;&lt;/UPDATE&gt;&lt;QUERIES bbk=&quot;17256&quot; bbkdesc=&quot;2019 Annual Accounts/EU Annual Accounts/DC - Institutions and agencies&quot; datapro=&quot;BIP_Agencies_4_Type_of_Expenditure&quot; tdatapro=&quot;BIP_Agencies_4_Type_of_Expenditure&quot; author=&quot;&quot; modtime=&quot;6/16/2020 2:24:54 PM&quot; moduser=&quot;kythrst&quot; rolluptime=&quot;&quot; syuser=&quot;kythrst&quot; syuzeit=&quot;6/16/2020 2:24:54 PM&quot; root=&quot;/BBOOK/DATAPROVIDER[./META/PROPS/ID='BIP_Agencies_4_Type_of_Expenditure']/DATA&quot; colcount=&quot;5&quot; rowcount=&quot;7&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4_Type_of_Expenditure&quot; infos=&quot;&quot; iscomment=&quot;0&quot;&gt;&lt;SELECT&gt;/BBOOK/DATAPROVIDER[./META/PROPS/ID='BIP_Agencies_4_Type_of_Expenditure']/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17213&quot; bbdesc=&quot;2019 Annual Accounts/EU Annual Accounts/DC - Balance Sheet&quot; dsname=&quot;SAP Disclosure Management - Production&quot;&gt;&lt;VARIABLES /&gt;&lt;/BBOOK&gt;&lt;BBOOK bbname=&quot;17229&quot; bbdesc=&quot;2019 Annual Accounts/EU Annual Accounts/DC - Statement of Financial Performance&quot; dsname=&quot;SAP Disclosure Management - Production&quot;&gt;&lt;VARIABLES /&gt;&lt;/BBOOK&gt;&lt;BBOOK bbname=&quot;17230&quot; bbdesc=&quot;2019 Annual Accounts/EU Annual Accounts/DC - Cashflow statement&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17201&quot; bbdesc=&quot;2019 Annual Accounts/EU Annual Accounts/DC - Statement of changes in net assets EU&quot; dsname=&quot;SAP Disclosure Management - Production&quot;&gt;&lt;VARIABLES /&gt;&lt;/BBOOK&gt;&lt;BBOOK bbname=&quot;15166&quot; bbdesc=&quot;2018 Annual Accounts/MADAD Annual Accounts/DC - Statement of changes in net assets&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17249&quot; bbdesc=&quot;2019 Annual Accounts/EU Annual Accounts/DC - Accrued charges and Deferred income&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17678&quot; bbdesc=&quot;2019 Annual Accounts/Master Report/DC - Financial Statements&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17200&quot; bbdesc=&quot;2019 Annual Accounts/EU Annual Accounts/DC - Intangible fixed assets&quot; dsname=&quot;SAP Disclosure Management - Production&quot;&gt;&lt;VARIABLES /&gt;&lt;/BBOOK&gt;&lt;BBOOK bbname=&quot;17202&quot; bbdesc=&quot;2019 Annual Accounts/EU Annual Accounts/DC - Intangible assets and PPE&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11417&quot; bbdesc=&quot;2017 Annual Accounts/EU Annual Accounts/DC - Investments accounted for using the equity method&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16570&quot; bbdesc=&quot;2019 Annual Accounts/EC Annual Accounts/DC - Investments accounted for using the equity method new&quot; dsname=&quot;SAP Disclosure Management - Production&quot;&gt;&lt;VARIABLES /&gt;&lt;/BBOOK&gt;&lt;BBOOK bbname=&quot;11039&quot; bbdesc=&quot;2017 Annual Accounts/EC Annual Accounts/DC - Accrued charges and Deferred income&quot; dsname=&quot;Disclosure Management - Production&quot;&gt;&lt;VARIABLES /&gt;&lt;/BBOOK&gt;&lt;BBOOK bbname=&quot;10954&quot; bbdesc=&quot;2017 Annual Accounts/EC Annual Accounts/DC - Exposure of the EC to currency risk at year end&quot; dsname=&quot;Disclosure Management - Production&quot;&gt;&lt;VARIABLES /&gt;&lt;/BBOOK&gt;&lt;BBOOK bbname=&quot;2678&quot; bbdesc=&quot;2014 Annual Accounts/EU Annual Accounts/DC - Financial assets (xlsx)&quot; dsname=&quot;SAP Disclosure Management - Production&quot;&gt;&lt;VARIABLES /&gt;&lt;/BBOOK&gt;&lt;BBOOK bbname=&quot;17240&quot; bbdesc=&quot;2019 Annual Accounts/EU Annual Accounts/DC - Financial assets&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17215&quot; bbdesc=&quot;2018 Annual Accounts/EU Annual Accounts/DC - Fair value hierarchy of available for sale financial assets&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17153&quot; bbdesc=&quot;2018 Annual Accounts/EU Annual Accounts/DC - Loans granted from borrowed funds LINKED TO EC&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17207&quot; bbdesc=&quot;2018 Annual Accounts/EU Annual Accounts/DC - Financial Support Mechanisms&quot; dsname=&quot;SAP Disclosure Management - Production&quot;&gt;&lt;VARIABLES /&gt;&lt;/BBOOK&gt;&lt;BBOOK bbname=&quot;16545&quot; bbdesc=&quot;2019 Annual Accounts/EC Annual Accounts/DC - Financial assets&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14029&quot; bbdesc=&quot;2018 Annual Accounts/EC Annual Accounts/DC - Accrued charges and Deferred income&quot; dsname=&quot;SAP Disclosure Management - Production&quot;&gt;&lt;VARIABLES /&gt;&lt;/BBOOK&gt;&lt;BBOOK bbname=&quot;14856&quot; bbdesc=&quot;2018 Annual Accounts/EU Annual Accounts/DC - Accrued charges and Deferred income&quot; dsname=&quot;SAP Disclosure Management - Production&quot;&gt;&lt;VARIABLES /&gt;&lt;/BBOOK&gt;&lt;BBOOK bbname=&quot;17241&quot; bbdesc=&quot;2019 Annual Accounts/EU Annual Accounts/DC - Pre-financing&quot; dsname=&quot;SAP Disclosure Management - Production&quot;&gt;&lt;VARIABLES /&gt;&lt;/BBOOK&gt;&lt;BBOOK bbname=&quot;17216&quot; bbdesc=&quot;2019 Annual Accounts/EU Annual Accounts/DC - Pre-financing detailed&quot; dsname=&quot;SAP Disclosure Management - Production&quot;&gt;&lt;VARIABLES /&gt;&lt;/BBOOK&gt;&lt;BBOOK bbname=&quot;2536&quot; bbdesc=&quot;2014 Annual Accounts/EC Annual Accounts/DC - Pre-financing (xlsx)&quot; dsname=&quot;SAP Disclosure Management - Production&quot;&gt;&lt;VARIABLES /&gt;&lt;/BBOOK&gt;&lt;BBOOK bbname=&quot;16547&quot; bbdesc=&quot;2019 Annual Accounts/EC Annual Accounts/DC - Pre-financing&quot; dsname=&quot;SAP Disclosure Management - Production&quot;&gt;&lt;VARIABLES /&gt;&lt;/BBOOK&gt;&lt;BBOOK bbname=&quot;17217&quot; bbdesc=&quot;2019 Annual Accounts/EU Annual Accounts/DC - Exchange receivables and Non-exchange recoverables&quot; dsname=&quot;SAP Disclosure Management - Production&quot;&gt;&lt;VARIABLES /&gt;&lt;/BBOOK&gt;&lt;BBOOK bbname=&quot;17218&quot; bbdesc=&quot;2019 Annual Accounts/EU Annual Accounts/DC - Recoverables from Member States&quot; dsname=&quot;SAP Disclosure Management - Production&quot;&gt;&lt;VARIABLES /&gt;&lt;/BBOOK&gt;&lt;BBOOK bbname=&quot;17219&quot; bbdesc=&quot;2019 Annual Accounts/EU Annual Accounts/DC - Accrued income and Deferred charges&quot; dsname=&quot;SAP Disclosure Management - Production&quot;&gt;&lt;VARIABLES /&gt;&lt;/BBOOK&gt;&lt;BBOOK bbname=&quot;11427&quot; bbdesc=&quot;2017 Annual Accounts/EU Annual Accounts/DC - Accrued charges and Deferred income&quot; dsname=&quot;SAP Disclosure Management - Production&quot;&gt;&lt;VARIABLES /&gt;&lt;/BBOOK&gt;&lt;BBOOK bbname=&quot;17242&quot; bbdesc=&quot;2019 Annual Accounts/EU Annual Accounts/DC - Inventories&quot; dsname=&quot;SAP Disclosure Management - Production&quot;&gt;&lt;VARIABLES /&gt;&lt;/BBOOK&gt;&lt;BBOOK bbname=&quot;17243&quot; bbdesc=&quot;2019 Annual Accounts/EU Annual Accounts/DC - Cash and cash equivalents&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17244&quot; bbdesc=&quot;2019 Annual Accounts/EU Annual Accounts/DC - Pension and other employee benefits&quot; dsname=&quot;SAP Disclosure Management - Production&quot;&gt;&lt;VARIABLES /&gt;&lt;/BBOOK&gt;&lt;BBOOK bbname=&quot;14848&quot; bbdesc=&quot;2018 Annual Accounts/EU Annual Accounts/DC - Pre-financing&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17245&quot; bbdesc=&quot;2019 Annual Accounts/EU Annual Accounts/DC - Provisions&quot; dsname=&quot;SAP Disclosure Management - Production&quot;&gt;&lt;VARIABLES /&gt;&lt;/BBOOK&gt;&lt;BBOOK bbname=&quot;17246&quot; bbdesc=&quot;2019 Annual Accounts/EU Annual Accounts/DC - Financial liabilities&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17247&quot; bbdesc=&quot;2019 Annual Accounts/EU Annual Accounts/DC - Other financial liabilities&quot; dsname=&quot;SAP Disclosure Management - Production&quot;&gt;&lt;VARIABLES /&gt;&lt;/BBOOK&gt;&lt;BBOOK bbname=&quot;17248&quot; bbdesc=&quot;2019 Annual Accounts/EU Annual Accounts/DC - Finance Lease liabilities&quot; dsname=&quot;SAP Disclosure Management - Production&quot;&gt;&lt;VARIABLES /&gt;&lt;/BBOOK&gt;&lt;BBOOK bbname=&quot;17187&quot; bbdesc=&quot;2018 Annual Accounts/EU Annual Accounts/DC - Borrowings by Financial instruments&quot; dsname=&quot;SAP Disclosure Management - Production&quot;&gt;&lt;VARIABLES /&gt;&lt;/BBOOK&gt;&lt;BBOOK bbname=&quot;2542&quot; bbdesc=&quot;2014 Annual Accounts/EC Annual Accounts/DC - Borrowings (xlsx)&quot; dsname=&quot;SAP Disclosure Management - Production&quot;&gt;&lt;VARIABLES /&gt;&lt;/BBOOK&gt;&lt;BBOOK bbname=&quot;16552&quot; bbdesc=&quot;2019 Annual Accounts/EC Annual Accounts/DC - Financial liabilities&quot; dsname=&quot;SAP Disclosure Management - Production&quot;&gt;&lt;VARIABLES /&gt;&lt;/BBOOK&gt;&lt;BBOOK bbname=&quot;14847&quot; bbdesc=&quot;2018 Annual Accounts/EU Annual Accounts/DC - Financial assets&quot; dsname=&quot;SAP Disclosure Management - Production&quot;&gt;&lt;VARIABLES /&gt;&lt;/BBOOK&gt;&lt;BBOOK bbname=&quot;14822&quot; bbdesc=&quot;2018 Annual Accounts/EU Annual Accounts/DC - Fair value hierarchy of available for sale financial assets&quot; dsname=&quot;SAP Disclosure Management - Production&quot;&gt;&lt;VARIABLES /&gt;&lt;/BBOOK&gt;&lt;BBOOK bbname=&quot;14020&quot; bbdesc=&quot;2018 Annual Accounts/EC Annual Accounts/DC - Financial assets&quot; dsname=&quot;SAP Disclosure Management - Production&quot;&gt;&lt;VARIABLES /&gt;&lt;/BBOOK&gt;&lt;BBOOK bbname=&quot;17220&quot; bbdesc=&quot;2019 Annual Accounts/EU Annual Accounts/DC - Payables&quot; dsname=&quot;SAP Disclosure Management - Production&quot;&gt;&lt;VARIABLES /&gt;&lt;/BBOOK&gt;&lt;BBOOK bbname=&quot;2458&quot; bbdesc=&quot;2014 Annual Accounts/EC Annual Accounts/DC - Payables (xlsx)&quot; dsname=&quot;SAP Disclosure Management - Production&quot;&gt;&lt;VARIABLES /&gt;&lt;/BBOOK&gt;&lt;BBOOK bbname=&quot;17250&quot; bbdesc=&quot;2019 Annual Accounts/EU Annual Accounts/DC - Net assets&quot; dsname=&quot;SAP Disclosure Management - Production&quot;&gt;&lt;VARIABLES /&gt;&lt;/BBOOK&gt;&lt;BBOOK bbname=&quot;17255&quot; bbdesc=&quot;2018 Annual Accounts/EU Annual Accounts/DC - Fair value movements of available for sale financial assets&quot; dsname=&quot;SAP Disclosure Management - Production&quot;&gt;&lt;VARIABLES /&gt;&lt;/BBOOK&gt;&lt;BBOOK bbname=&quot;16562&quot; bbdesc=&quot;2019 Annual Accounts/EC Annual Accounts/DC - Traditional own resources&quot; dsname=&quot;SAP Disclosure Management - Production&quot;&gt;&lt;VARIABLES /&gt;&lt;/BBOOK&gt;&lt;BBOOK bbname=&quot;17252&quot; bbdesc=&quot;2019 Annual Accounts/EU Annual Accounts/DC - Recovery of expenses&quot; dsname=&quot;SAP Disclosure Management - Production&quot;&gt;&lt;VARIABLES /&gt;&lt;/BBOOK&gt;&lt;BBOOK bbname=&quot;17221&quot; bbdesc=&quot;2019 Annual Accounts/EU Annual Accounts/DC - Other non-exchange revenue&quot; dsname=&quot;SAP Disclosure Management - Production&quot;&gt;&lt;VARIABLES /&gt;&lt;/BBOOK&gt;&lt;BBOOK bbname=&quot;17231&quot; bbdesc=&quot;2019 Annual Accounts/EU Annual Accounts/DC - Financial revenue&quot; dsname=&quot;SAP Disclosure Management - Production&quot;&gt;&lt;VARIABLES /&gt;&lt;/BBOOK&gt;&lt;BBOOK bbname=&quot;17253&quot; bbdesc=&quot;2019 Annual Accounts/EU Annual Accounts/DC - Other exchange revenue&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16488&quot; bbdesc=&quot;2019 Annual Accounts/EC Annual Accounts/DC - Shared Direct and Indirect Management&quot; dsname=&quot;SAP Disclosure Management - Production&quot;&gt;&lt;VARIABLES /&gt;&lt;/BBOOK&gt;&lt;BBOOK bbname=&quot;8708&quot; bbdesc=&quot;2016 Annual Accounts/EC Annual Accounts/DC - Accrued charges and Deferred income (xlsx)&quot; dsname=&quot;Disclosure Management - Production&quot;&gt;&lt;VARIABLES /&gt;&lt;/BBOOK&gt;&lt;BBOOK bbname=&quot;17222&quot; bbdesc=&quot;2019 Annual Accounts/EU Annual Accounts/DC - Direct and Indirect Management&quot; dsname=&quot;SAP Disclosure Management - Production&quot;&gt;&lt;VARIABLES /&gt;&lt;/BBOOK&gt;&lt;BBOOK bbname=&quot;17254&quot; bbdesc=&quot;2019 Annual Accounts/EU Annual Accounts/DC - Staff and Pension costs&quot; dsname=&quot;SAP Disclosure Management - Production&quot;&gt;&lt;VARIABLES /&gt;&lt;/BBOOK&gt;&lt;BBOOK bbname=&quot;17232&quot; bbdesc=&quot;2019 Annual Accounts/EU Annual Accounts/DC - Finance costs&quot; dsname=&quot;SAP Disclosure Management - Production&quot;&gt;&lt;VARIABLES /&gt;&lt;/BBOOK&gt;&lt;BBOOK bbname=&quot;17223&quot; bbdesc=&quot;2019 Annual Accounts/EU Annual Accounts/DC - Other expenses&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17234&quot; bbdesc=&quot;2018 Annual Accounts/EU Annual Accounts/DC - Research and Development costs&quot; dsname=&quot;SAP Disclosure Management - Production&quot;&gt;&lt;VARIABLES /&gt;&lt;/BBOOK&gt;&lt;BBOOK bbname=&quot;17224&quot; bbdesc=&quot;2019 Annual Accounts/EU Annual Accounts/DC - Segment report&quot; dsname=&quot;SAP Disclosure Management - Production&quot;&gt;&lt;VARIABLES /&gt;&lt;/BBOOK&gt;&lt;BBOOK bbname=&quot;16559&quot; bbdesc=&quot;2019 Annual Accounts/EC Annual Accounts/DC - Guarantees given&quot; dsname=&quot;SAP Disclosure Management - Production&quot;&gt;&lt;VARIABLES /&gt;&lt;/BBOOK&gt;&lt;BBOOK bbname=&quot;16558&quot; bbdesc=&quot;2019 Annual Accounts/EC Annual Accounts/DC - Contingent liabilities&quot; dsname=&quot;SAP Disclosure Management - Production&quot;&gt;&lt;VARIABLES /&gt;&lt;/BBOOK&gt;&lt;BBOOK bbname=&quot;17236&quot; bbdesc=&quot;2019 Annual Accounts/EU Annual Accounts/DC - Contingent liabilities and assets&quot; dsname=&quot;SAP Disclosure Management - Production&quot;&gt;&lt;VARIABLES /&gt;&lt;/BBOOK&gt;&lt;BBOOK bbname=&quot;17237&quot; bbdesc=&quot;2019 Annual Accounts/EU Annual Accounts/DC - Outstanding commitments not yet expensed - Significant legal commitments&quot; dsname=&quot;SAP Disclosure Management - Production&quot;&gt;&lt;VARIABLES /&gt;&lt;/BBOOK&gt;&lt;BBOOK bbname=&quot;17238&quot; bbdesc=&quot;2018 Annual Accounts/EU Annual Accounts/DC - Significant legal commitments&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16561&quot; bbdesc=&quot;2019 Annual Accounts/EC Annual Accounts/DC - Significant legal commitments&quot; dsname=&quot;SAP Disclosure Management - Production&quot;&gt;&lt;VARIABLES /&gt;&lt;/BBOOK&gt;&lt;BBOOK bbname=&quot;9050&quot; bbdesc=&quot;2016 Annual Accounts/EU Annual Accounts/DC - Other expenses (xlsx)&quot; dsname=&quot;SAP Disclosure Management - Production&quot;&gt;&lt;VARIABLES /&gt;&lt;/BBOOK&gt;&lt;BBOOK bbname=&quot;17233&quot; bbdesc=&quot;2019 Annual Accounts/EU Annual Accounts/DC - Operating lease commitments&quot; dsname=&quot;SAP Disclosure Management - Production&quot;&gt;&lt;VARIABLES /&gt;&lt;/BBOOK&gt;&lt;BBOOK bbname=&quot;17225&quot; bbdesc=&quot;2019 Annual Accounts/EU Annual Accounts/DC - Currency risk&quot; dsname=&quot;SAP Disclosure Management - Production&quot;&gt;&lt;VARIABLES /&gt;&lt;/BBOOK&gt;&lt;BBOOK bbname=&quot;17226&quot; bbdesc=&quot;2019 Annual Accounts/EU Annual Accounts/DC - Interest rate risk&quot; dsname=&quot;SAP Disclosure Management - Production&quot;&gt;&lt;VARIABLES /&gt;&lt;/BBOOK&gt;&lt;BBOOK bbname=&quot;17227&quot; bbdesc=&quot;2019 Annual Accounts/EU Annual Accounts/DC - Credit risk&quot; dsname=&quot;SAP Disclosure Management - Production&quot;&gt;&lt;VARIABLES /&gt;&lt;/BBOOK&gt;&lt;BBOOK bbname=&quot;17228&quot; bbdesc=&quot;2019 Annual Accounts/EU Annual Accounts/DC - Liquiduty risk&quot; dsname=&quot;SAP Disclosure Management - Production&quot;&gt;&lt;VARIABLES /&gt;&lt;/BBOOK&gt;&lt;BBOOK bbname=&quot;16539&quot; bbdesc=&quot;2019 Annual Accounts/EC Annual Accounts/DC - Liquidity risk&quot; dsname=&quot;SAP Disclosure Management - Production&quot;&gt;&lt;VARIABLES /&gt;&lt;/BBOOK&gt;&lt;BBOOK bbname=&quot;17208&quot; bbdesc=&quot;2019 Annual Accounts/EU Annual Accounts/DC - Related party disclosures&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17209&quot; bbdesc=&quot;2019 Annual Accounts/EU Annual Accounts/DC - Scope of consolidation EU&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817&quot; bbdesc=&quot;2017 Annual Accounts/EU Annual Accounts/DC - Result of implementation of the EU budget&quot; dsname=&quot;SAP Disclosure Management - Production&quot;&gt;&lt;VARIABLES /&gt;&lt;/BBOOK&gt;&lt;BBOOK bbname=&quot;17140&quot; bbdesc=&quot;2019 Annual Accounts/EU Annual Accounts/DC - Budget result and Statements of Comparison&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17196&quot; bbdesc=&quot;2017 Annual Accounts/EU Annual Accounts/DC - Financial framework 2014 - 2020&quot; dsname=&quot;SAP Disclosure Management - Production&quot;&gt;&lt;VARIABLES /&gt;&lt;/BBOOK&gt;&lt;BBOOK bbname=&quot;17108&quot; bbdesc=&quot;2019 Annual Accounts/EU Annual Accounts/DC - EU Reconciliation of economic result&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17211&quot; bbdesc=&quot;2019 Annual Accounts/EU Annual Accounts/DC - EU revenues&quot; dsname=&quot;SAP Disclosure Management - Production&quot;&gt;&lt;VARIABLES /&gt;&lt;/BBOOK&gt;&lt;BBOOK bbname=&quot;9035&quot; bbdesc=&quot;2016 Annual Accounts/EU Annual Accounts/DC - EU revenues (xlsx)&quot; dsname=&quot;SAP Disclosure Management - Production&quot;&gt;&lt;VARIABLES /&gt;&lt;/BBOOK&gt;&lt;BBOOK bbname=&quot;17212&quot; bbdesc=&quot;2019 Annual Accounts/EU Annual Accounts/DC - EU expenditures&quot; dsname=&quot;SAP Disclosure Management - Production&quot;&gt;&lt;VARIABLES /&gt;&lt;/BBOOK&gt;&lt;BBOOK bbname=&quot;11446&quot; bbdesc=&quot;2017 Annual Accounts/EU Annual Accounts/Upload budgetarytables EU&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7256&quot; bbdesc=&quot;2019 Annual Accounts/EU Annual Accounts/DC - Institutions and agencies&quot; dsname=&quot;SAP Disclosure Management - Production&quot;&gt;&lt;VARIABLES /&gt;&lt;/BBOOK&gt;&lt;/BBOOKS&gt;"/>
    <w:docVar w:name="DM_WB_C17102_METADATA" w:val="&lt;ChapterMetadata&gt;&lt;ChapterId&gt;17102&lt;/ChapterId&gt;&lt;ChapterName&gt;Liabilities&lt;/ChapterName&gt;&lt;ChapterNoOfPages&gt;-1&lt;/ChapterNoOfPages&gt;&lt;ChapterVersion&gt;1&lt;/ChapterVersion&gt;&lt;/ChapterMetadata&gt;"/>
    <w:docVar w:name="DM_WB_C17106_METADATA" w:val="&lt;ChapterMetadata&gt;&lt;ChapterId&gt;17106&lt;/ChapterId&gt;&lt;ChapterName&gt;Budgetary and legal commitments&lt;/ChapterName&gt;&lt;ChapterNoOfPages&gt;-1&lt;/ChapterNoOfPages&gt;&lt;ChapterVersion&gt;65&lt;/ChapterVersion&gt;&lt;/ChapterMetadata&gt;"/>
    <w:docVar w:name="DM_WB_C17110_METADATA" w:val="&lt;ChapterMetadata&gt;&lt;ChapterId&gt;17110&lt;/ChapterId&gt;&lt;ChapterName&gt;FSDA&lt;/ChapterName&gt;&lt;ChapterNoOfPages&gt;-1&lt;/ChapterNoOfPages&gt;&lt;ChapterVersion&gt;43&lt;/ChapterVersion&gt;&lt;/ChapterMetadata&gt;"/>
    <w:docVar w:name="DM_WB_C17111_METADATA" w:val="&lt;ChapterMetadata&gt;&lt;ChapterId&gt;17111&lt;/ChapterId&gt;&lt;ChapterName&gt;EU political framework governance and accountability&lt;/ChapterName&gt;&lt;ChapterNoOfPages&gt;-1&lt;/ChapterNoOfPages&gt;&lt;ChapterVersion&gt;20&lt;/ChapterVersion&gt;&lt;/ChapterMetadata&gt;"/>
    <w:docVar w:name="DM_WB_C17113_METADATA" w:val="&lt;ChapterMetadata&gt;&lt;ChapterId&gt;17113&lt;/ChapterId&gt;&lt;ChapterName&gt;Pre-financing&lt;/ChapterName&gt;&lt;ChapterNoOfPages&gt;-1&lt;/ChapterNoOfPages&gt;&lt;ChapterVersion&gt;64&lt;/ChapterVersion&gt;&lt;/ChapterMetadata&gt;"/>
    <w:docVar w:name="DM_WB_C17118_METADATA" w:val="&lt;ChapterMetadata&gt;&lt;ChapterId&gt;17118&lt;/ChapterId&gt;&lt;ChapterName&gt;Scope of consolidation&lt;/ChapterName&gt;&lt;ChapterNoOfPages&gt;-1&lt;/ChapterNoOfPages&gt;&lt;ChapterVersion&gt;59&lt;/ChapterVersion&gt;&lt;/ChapterMetadata&gt;"/>
    <w:docVar w:name="DM_WB_C17119_METADATA" w:val="&lt;ChapterMetadata&gt;&lt;ChapterId&gt;17119&lt;/ChapterId&gt;&lt;ChapterName&gt;Consolidated financial statements and explanatory notes&lt;/ChapterName&gt;&lt;ChapterNoOfPages&gt;-1&lt;/ChapterNoOfPages&gt;&lt;ChapterVersion&gt;2&lt;/ChapterVersion&gt;&lt;/ChapterMetadata&gt;"/>
    <w:docVar w:name="DM_WB_C17121_METADATA" w:val="&lt;ChapterMetadata&gt;&lt;ChapterId&gt;17121&lt;/ChapterId&gt;&lt;ChapterName&gt;Inventories&lt;/ChapterName&gt;&lt;ChapterNoOfPages&gt;-1&lt;/ChapterNoOfPages&gt;&lt;ChapterVersion&gt;35&lt;/ChapterVersion&gt;&lt;/ChapterMetadata&gt;"/>
    <w:docVar w:name="DM_WB_C17122_METADATA" w:val="&lt;ChapterMetadata&gt;&lt;ChapterId&gt;17122&lt;/ChapterId&gt;&lt;ChapterName&gt;Finance costs&lt;/ChapterName&gt;&lt;ChapterNoOfPages&gt;-1&lt;/ChapterNoOfPages&gt;&lt;ChapterVersion&gt;35&lt;/ChapterVersion&gt;&lt;/ChapterMetadata&gt;"/>
    <w:docVar w:name="DM_WB_C17125_METADATA" w:val="&lt;ChapterMetadata&gt;&lt;ChapterId&gt;17125&lt;/ChapterId&gt;&lt;ChapterName&gt;Expenses - Transfer payments and subsidies by management mode&lt;/ChapterName&gt;&lt;ChapterNoOfPages&gt;-1&lt;/ChapterNoOfPages&gt;&lt;ChapterVersion&gt;4&lt;/ChapterVersion&gt;&lt;/ChapterMetadata&gt;"/>
    <w:docVar w:name="DM_WB_C17127_METADATA" w:val="&lt;ChapterMetadata&gt;&lt;ChapterId&gt;17127&lt;/ChapterId&gt;&lt;ChapterName&gt;Financial liabilities&lt;/ChapterName&gt;&lt;ChapterNoOfPages&gt;-1&lt;/ChapterNoOfPages&gt;&lt;ChapterVersion&gt;54&lt;/ChapterVersion&gt;&lt;/ChapterMetadata&gt;"/>
    <w:docVar w:name="DM_WB_C17128_METADATA" w:val="&lt;ChapterMetadata&gt;&lt;ChapterId&gt;17128&lt;/ChapterId&gt;&lt;ChapterName&gt;Assets&lt;/ChapterName&gt;&lt;ChapterNoOfPages&gt;-1&lt;/ChapterNoOfPages&gt;&lt;ChapterVersion&gt;3&lt;/ChapterVersion&gt;&lt;/ChapterMetadata&gt;"/>
    <w:docVar w:name="DM_WB_C17129_METADATA" w:val="&lt;ChapterMetadata&gt;&lt;ChapterId&gt;17129&lt;/ChapterId&gt;&lt;ChapterName&gt;Investments accounted for using the equity method&lt;/ChapterName&gt;&lt;ChapterNoOfPages&gt;-1&lt;/ChapterNoOfPages&gt;&lt;ChapterVersion&gt;42&lt;/ChapterVersion&gt;&lt;/ChapterMetadata&gt;"/>
    <w:docVar w:name="DM_WB_C17131_METADATA" w:val="&lt;ChapterMetadata&gt;&lt;ChapterId&gt;17131&lt;/ChapterId&gt;&lt;ChapterName&gt;Provisions&lt;/ChapterName&gt;&lt;ChapterNoOfPages&gt;-1&lt;/ChapterNoOfPages&gt;&lt;ChapterVersion&gt;51&lt;/ChapterVersion&gt;&lt;/ChapterMetadata&gt;"/>
    <w:docVar w:name="DM_WB_C17132_METADATA" w:val="&lt;ChapterMetadata&gt;&lt;ChapterId&gt;17132&lt;/ChapterId&gt;&lt;ChapterName&gt;Notes to the financial statements&lt;/ChapterName&gt;&lt;ChapterNoOfPages&gt;-1&lt;/ChapterNoOfPages&gt;&lt;ChapterVersion&gt;1&lt;/ChapterVersion&gt;&lt;/ChapterMetadata&gt;"/>
    <w:docVar w:name="DM_WB_C17133_METADATA" w:val="&lt;ChapterMetadata&gt;&lt;ChapterId&gt;17133&lt;/ChapterId&gt;&lt;ChapterName&gt;Note accompanying the consolidated accounts&lt;/ChapterName&gt;&lt;ChapterNoOfPages&gt;-1&lt;/ChapterNoOfPages&gt;&lt;ChapterVersion&gt;2&lt;/ChapterVersion&gt;&lt;/ChapterMetadata&gt;"/>
    <w:docVar w:name="DM_WB_C17134_METADATA" w:val="&lt;ChapterMetadata&gt;&lt;ChapterId&gt;17134&lt;/ChapterId&gt;&lt;ChapterName&gt;Statement of changes in net assets&lt;/ChapterName&gt;&lt;ChapterNoOfPages&gt;-1&lt;/ChapterNoOfPages&gt;&lt;ChapterVersion&gt;42&lt;/ChapterVersion&gt;&lt;/ChapterMetadata&gt;"/>
    <w:docVar w:name="DM_WB_C17137_METADATA" w:val="&lt;ChapterMetadata&gt;&lt;ChapterId&gt;17137&lt;/ChapterId&gt;&lt;ChapterName&gt;Payables&lt;/ChapterName&gt;&lt;ChapterNoOfPages&gt;-1&lt;/ChapterNoOfPages&gt;&lt;ChapterVersion&gt;62&lt;/ChapterVersion&gt;&lt;/ChapterMetadata&gt;"/>
    <w:docVar w:name="DM_WB_C17146_METADATA" w:val="&lt;ChapterMetadata&gt;&lt;ChapterId&gt;17146&lt;/ChapterId&gt;&lt;ChapterName&gt;Cash and cash equivalents&lt;/ChapterName&gt;&lt;ChapterNoOfPages&gt;-1&lt;/ChapterNoOfPages&gt;&lt;ChapterVersion&gt;44&lt;/ChapterVersion&gt;&lt;/ChapterMetadata&gt;"/>
    <w:docVar w:name="DM_WB_C17148_METADATA" w:val="&lt;ChapterMetadata&gt;&lt;ChapterId&gt;17148&lt;/ChapterId&gt;&lt;ChapterName&gt;Statement of financial performance&lt;/ChapterName&gt;&lt;ChapterNoOfPages&gt;-1&lt;/ChapterNoOfPages&gt;&lt;ChapterVersion&gt;44&lt;/ChapterVersion&gt;&lt;/ChapterMetadata&gt;"/>
    <w:docVar w:name="DM_WB_C17149_METADATA" w:val="&lt;ChapterMetadata&gt;&lt;ChapterId&gt;17149&lt;/ChapterId&gt;&lt;ChapterName&gt;Net assets&lt;/ChapterName&gt;&lt;ChapterNoOfPages&gt;-1&lt;/ChapterNoOfPages&gt;&lt;ChapterVersion&gt;44&lt;/ChapterVersion&gt;&lt;/ChapterMetadata&gt;"/>
    <w:docVar w:name="DM_WB_C17151_METADATA" w:val="&lt;ChapterMetadata&gt;&lt;ChapterId&gt;17151&lt;/ChapterId&gt;&lt;ChapterName&gt;Contingent liabilities and assets&lt;/ChapterName&gt;&lt;ChapterNoOfPages&gt;-1&lt;/ChapterNoOfPages&gt;&lt;ChapterVersion&gt;68&lt;/ChapterVersion&gt;&lt;/ChapterMetadata&gt;"/>
    <w:docVar w:name="DM_WB_C17155_METADATA" w:val="&lt;ChapterMetadata&gt;&lt;ChapterId&gt;17155&lt;/ChapterId&gt;&lt;ChapterName&gt;Other expenses and Research and Development costs&lt;/ChapterName&gt;&lt;ChapterNoOfPages&gt;-1&lt;/ChapterNoOfPages&gt;&lt;ChapterVersion&gt;45&lt;/ChapterVersion&gt;&lt;/ChapterMetadata&gt;"/>
    <w:docVar w:name="DM_WB_C17156_METADATA" w:val="&lt;ChapterMetadata&gt;&lt;ChapterId&gt;17156&lt;/ChapterId&gt;&lt;ChapterName&gt;Table of contents (2)&lt;/ChapterName&gt;&lt;ChapterNoOfPages&gt;-1&lt;/ChapterNoOfPages&gt;&lt;ChapterVersion&gt;1&lt;/ChapterVersion&gt;&lt;/ChapterMetadata&gt;"/>
    <w:docVar w:name="DM_WB_C17157_METADATA" w:val="&lt;ChapterMetadata&gt;&lt;ChapterId&gt;17157&lt;/ChapterId&gt;&lt;ChapterName&gt;Financial assets&lt;/ChapterName&gt;&lt;ChapterNoOfPages&gt;-1&lt;/ChapterNoOfPages&gt;&lt;ChapterVersion&gt;76&lt;/ChapterVersion&gt;&lt;/ChapterMetadata&gt;"/>
    <w:docVar w:name="DM_WB_C17158_METADATA" w:val="&lt;ChapterMetadata&gt;&lt;ChapterId&gt;17158&lt;/ChapterId&gt;&lt;ChapterName&gt;Balance sheet&lt;/ChapterName&gt;&lt;ChapterNoOfPages&gt;-1&lt;/ChapterNoOfPages&gt;&lt;ChapterVersion&gt;49&lt;/ChapterVersion&gt;&lt;/ChapterMetadata&gt;"/>
    <w:docVar w:name="DM_WB_C17161_METADATA" w:val="&lt;ChapterMetadata&gt;&lt;ChapterId&gt;17161&lt;/ChapterId&gt;&lt;ChapterName&gt;Staff and pension costs - Changes in employee benefits actuarial assumptions&lt;/ChapterName&gt;&lt;ChapterNoOfPages&gt;-1&lt;/ChapterNoOfPages&gt;&lt;ChapterVersion&gt;51&lt;/ChapterVersion&gt;&lt;/ChapterMetadata&gt;"/>
    <w:docVar w:name="DM_WB_C17162_METADATA" w:val="&lt;ChapterMetadata&gt;&lt;ChapterId&gt;17162&lt;/ChapterId&gt;&lt;ChapterName&gt;Intangible assets and PPE&lt;/ChapterName&gt;&lt;ChapterNoOfPages&gt;-1&lt;/ChapterNoOfPages&gt;&lt;ChapterVersion&gt;58&lt;/ChapterVersion&gt;&lt;/ChapterMetadata&gt;"/>
    <w:docVar w:name="DM_WB_C17163_METADATA" w:val="&lt;ChapterMetadata&gt;&lt;ChapterId&gt;17163&lt;/ChapterId&gt;&lt;ChapterName&gt;Related party disclosures&lt;/ChapterName&gt;&lt;ChapterNoOfPages&gt;-1&lt;/ChapterNoOfPages&gt;&lt;ChapterVersion&gt;57&lt;/ChapterVersion&gt;&lt;/ChapterMetadata&gt;"/>
    <w:docVar w:name="DM_WB_C17166_METADATA" w:val="&lt;ChapterMetadata&gt;&lt;ChapterId&gt;17166&lt;/ChapterId&gt;&lt;ChapterName&gt;Notes to the statement of financial performance&lt;/ChapterName&gt;&lt;ChapterNoOfPages&gt;-1&lt;/ChapterNoOfPages&gt;&lt;ChapterVersion&gt;1&lt;/ChapterVersion&gt;&lt;/ChapterMetadata&gt;"/>
    <w:docVar w:name="DM_WB_C17169_METADATA" w:val="&lt;ChapterMetadata&gt;&lt;ChapterId&gt;17169&lt;/ChapterId&gt;&lt;ChapterName&gt;Cover and first page&lt;/ChapterName&gt;&lt;ChapterNoOfPages&gt;-1&lt;/ChapterNoOfPages&gt;&lt;ChapterVersion&gt;3&lt;/ChapterVersion&gt;&lt;/ChapterMetadata&gt;"/>
    <w:docVar w:name="DM_WB_C17171_METADATA" w:val="&lt;ChapterMetadata&gt;&lt;ChapterId&gt;17171&lt;/ChapterId&gt;&lt;ChapterName&gt;Segment Report&lt;/ChapterName&gt;&lt;ChapterNoOfPages&gt;-1&lt;/ChapterNoOfPages&gt;&lt;ChapterVersion&gt;60&lt;/ChapterVersion&gt;&lt;/ChapterMetadata&gt;"/>
    <w:docVar w:name="DM_WB_C17172_METADATA" w:val="&lt;ChapterMetadata&gt;&lt;ChapterId&gt;17172&lt;/ChapterId&gt;&lt;ChapterName&gt;Financial risk management&lt;/ChapterName&gt;&lt;ChapterNoOfPages&gt;-1&lt;/ChapterNoOfPages&gt;&lt;ChapterVersion&gt;110&lt;/ChapterVersion&gt;&lt;/ChapterMetadata&gt;"/>
    <w:docVar w:name="DM_WB_C17174_METADATA" w:val="&lt;ChapterMetadata&gt;&lt;ChapterId&gt;17174&lt;/ChapterId&gt;&lt;ChapterName&gt;Shared Direct and Indirect management&lt;/ChapterName&gt;&lt;ChapterNoOfPages&gt;-1&lt;/ChapterNoOfPages&gt;&lt;ChapterVersion&gt;58&lt;/ChapterVersion&gt;&lt;/ChapterMetadata&gt;"/>
    <w:docVar w:name="DM_WB_C17175_METADATA" w:val="&lt;ChapterMetadata&gt;&lt;ChapterId&gt;17175&lt;/ChapterId&gt;&lt;ChapterName&gt;Table of contents (1)&lt;/ChapterName&gt;&lt;ChapterNoOfPages&gt;-1&lt;/ChapterNoOfPages&gt;&lt;ChapterVersion&gt;1&lt;/ChapterVersion&gt;&lt;/ChapterMetadata&gt;"/>
    <w:docVar w:name="DM_WB_C17183_METADATA" w:val="&lt;ChapterMetadata&gt;&lt;ChapterId&gt;17183&lt;/ChapterId&gt;&lt;ChapterName&gt;Cashflow statement&lt;/ChapterName&gt;&lt;ChapterNoOfPages&gt;-1&lt;/ChapterNoOfPages&gt;&lt;ChapterVersion&gt;50&lt;/ChapterVersion&gt;&lt;/ChapterMetadata&gt;"/>
    <w:docVar w:name="DM_WB_C17188_METADATA" w:val="&lt;ChapterMetadata&gt;&lt;ChapterId&gt;17188&lt;/ChapterId&gt;&lt;ChapterName&gt;Exchange receivables and non-exchange recoverables&lt;/ChapterName&gt;&lt;ChapterNoOfPages&gt;-1&lt;/ChapterNoOfPages&gt;&lt;ChapterVersion&gt;91&lt;/ChapterVersion&gt;&lt;/ChapterMetadata&gt;"/>
    <w:docVar w:name="DM_WB_C17190_METADATA" w:val="&lt;ChapterMetadata&gt;&lt;ChapterId&gt;17190&lt;/ChapterId&gt;&lt;ChapterName&gt;Pension and other employee benefits&lt;/ChapterName&gt;&lt;ChapterNoOfPages&gt;-1&lt;/ChapterNoOfPages&gt;&lt;ChapterVersion&gt;69&lt;/ChapterVersion&gt;&lt;/ChapterMetadata&gt;"/>
    <w:docVar w:name="DM_WB_C17192_METADATA" w:val="&lt;ChapterMetadata&gt;&lt;ChapterId&gt;17192&lt;/ChapterId&gt;&lt;ChapterName&gt;Revenue - Exchange and Non-exchange&lt;/ChapterName&gt;&lt;ChapterNoOfPages&gt;-1&lt;/ChapterNoOfPages&gt;&lt;ChapterVersion&gt;69&lt;/ChapterVersion&gt;&lt;/ChapterMetadata&gt;"/>
    <w:docVar w:name="DM_WB_C17193_METADATA" w:val="&lt;ChapterMetadata&gt;&lt;ChapterId&gt;17193&lt;/ChapterId&gt;&lt;ChapterName&gt;Accrued charges and deferred income&lt;/ChapterName&gt;&lt;ChapterNoOfPages&gt;-1&lt;/ChapterNoOfPages&gt;&lt;ChapterVersion&gt;56&lt;/ChapterVersion&gt;&lt;/ChapterMetadata&gt;"/>
    <w:docVar w:name="DM_WB_C17194_METADATA" w:val="&lt;ChapterMetadata&gt;&lt;ChapterId&gt;17194&lt;/ChapterId&gt;&lt;ChapterName&gt;Events after balance sheet date&lt;/ChapterName&gt;&lt;ChapterNoOfPages&gt;-1&lt;/ChapterNoOfPages&gt;&lt;ChapterVersion&gt;12&lt;/ChapterVersion&gt;&lt;/ChapterMetadata&gt;"/>
    <w:docVar w:name="DM_WB_C17199_METADATA" w:val="&lt;ChapterMetadata&gt;&lt;ChapterId&gt;17199&lt;/ChapterId&gt;&lt;ChapterName&gt;Notes to the balance sheet&lt;/ChapterName&gt;&lt;ChapterNoOfPages&gt;-1&lt;/ChapterNoOfPages&gt;&lt;ChapterVersion&gt;3&lt;/ChapterVersion&gt;&lt;/ChapterMetadata&gt;"/>
    <w:docVar w:name="DM_WB_C17203_METADATA" w:val="&lt;ChapterMetadata&gt;&lt;ChapterId&gt;17203&lt;/ChapterId&gt;&lt;ChapterName&gt;Table of Content 3&lt;/ChapterName&gt;&lt;ChapterNoOfPages&gt;-1&lt;/ChapterNoOfPages&gt;&lt;ChapterVersion&gt;1&lt;/ChapterVersion&gt;&lt;/ChapterMetadata&gt;"/>
    <w:docVar w:name="DM_WB_C17204_METADATA" w:val="&lt;ChapterMetadata&gt;&lt;ChapterId&gt;17204&lt;/ChapterId&gt;&lt;ChapterName&gt;Notes on the implementation of the budget MFF annual budget policy areas&lt;/ChapterName&gt;&lt;ChapterNoOfPages&gt;-1&lt;/ChapterNoOfPages&gt;&lt;ChapterVersion&gt;56&lt;/ChapterVersion&gt;&lt;/ChapterMetadata&gt;"/>
    <w:docVar w:name="DM_WB_C17214_METADATA" w:val="&lt;ChapterMetadata&gt;&lt;ChapterId&gt;17214&lt;/ChapterId&gt;&lt;ChapterName&gt;Budgetary implementation reports and explanatory notes&lt;/ChapterName&gt;&lt;ChapterNoOfPages&gt;-1&lt;/ChapterNoOfPages&gt;&lt;ChapterVersion&gt;2&lt;/ChapterVersion&gt;&lt;/ChapterMetadata&gt;"/>
    <w:docVar w:name="DM_WB_C17257_METADATA" w:val="&lt;ChapterMetadata&gt;&lt;ChapterId&gt;17257&lt;/ChapterId&gt;&lt;ChapterName&gt;Highlights EU&lt;/ChapterName&gt;&lt;ChapterNoOfPages&gt;-1&lt;/ChapterNoOfPages&gt;&lt;ChapterVersion&gt;15&lt;/ChapterVersion&gt;&lt;/ChapterMetadata&gt;"/>
    <w:docVar w:name="DM_WB_C17258_METADATA" w:val="&lt;ChapterMetadata&gt;&lt;ChapterId&gt;17258&lt;/ChapterId&gt;&lt;ChapterName&gt;Glossary EU&lt;/ChapterName&gt;&lt;ChapterNoOfPages&gt;-1&lt;/ChapterNoOfPages&gt;&lt;ChapterVersion&gt;5&lt;/ChapterVersion&gt;&lt;/ChapterMetadata&gt;"/>
    <w:docVar w:name="DM_WB_C17259_METADATA" w:val="&lt;ChapterMetadata&gt;&lt;ChapterId&gt;17259&lt;/ChapterId&gt;&lt;ChapterName&gt;Foreword&lt;/ChapterName&gt;&lt;ChapterNoOfPages&gt;-1&lt;/ChapterNoOfPages&gt;&lt;ChapterVersion&gt;6&lt;/ChapterVersion&gt;&lt;/ChapterMetadata&gt;"/>
    <w:docVar w:name="DM_WB_C17261_METADATA" w:val="&lt;ChapterMetadata&gt;&lt;ChapterId&gt;17261&lt;/ChapterId&gt;&lt;ChapterName&gt;Significant accounting policies&lt;/ChapterName&gt;&lt;ChapterNoOfPages&gt;-1&lt;/ChapterNoOfPages&gt;&lt;ChapterVersion&gt;68&lt;/ChapterVersion&gt;&lt;/ChapterMetadata&gt;"/>
    <w:docVar w:name="DM_WB_C17263_METADATA" w:val="&lt;ChapterMetadata&gt;&lt;ChapterId&gt;17263&lt;/ChapterId&gt;&lt;ChapterName&gt;Notes EU bugdet Revenue Expenditure of year&lt;/ChapterName&gt;&lt;ChapterNoOfPages&gt;-1&lt;/ChapterNoOfPages&gt;&lt;ChapterVersion&gt;7&lt;/ChapterVersion&gt;&lt;/ChapterMetadata&gt;"/>
    <w:docVar w:name="DM_WB_C17265_METADATA" w:val="&lt;ChapterMetadata&gt;&lt;ChapterId&gt;17265&lt;/ChapterId&gt;&lt;ChapterName&gt;EU Budget Result and Statements of Comparison&lt;/ChapterName&gt;&lt;ChapterNoOfPages&gt;-1&lt;/ChapterNoOfPages&gt;&lt;ChapterVersion&gt;56&lt;/ChapterVersion&gt;&lt;/ChapterMetadata&gt;"/>
    <w:docVar w:name="DM_WB_C17267_METADATA" w:val="&lt;ChapterMetadata&gt;&lt;ChapterId&gt;17267&lt;/ChapterId&gt;&lt;ChapterName&gt;List of abbreviations EU&lt;/ChapterName&gt;&lt;ChapterNoOfPages&gt;-1&lt;/ChapterNoOfPages&gt;&lt;ChapterVersion&gt;7&lt;/ChapterVersion&gt;&lt;/ChapterMetadata&gt;"/>
    <w:docVar w:name="DM_WB_C17268_METADATA" w:val="&lt;ChapterMetadata&gt;&lt;ChapterId&gt;17268&lt;/ChapterId&gt;&lt;ChapterName&gt;Implementation of EU budget expenditure&lt;/ChapterName&gt;&lt;ChapterNoOfPages&gt;-1&lt;/ChapterNoOfPages&gt;&lt;ChapterVersion&gt;58&lt;/ChapterVersion&gt;&lt;/ChapterMetadata&gt;"/>
    <w:docVar w:name="DM_WB_C17269_METADATA" w:val="&lt;ChapterMetadata&gt;&lt;ChapterId&gt;17269&lt;/ChapterId&gt;&lt;ChapterName&gt;Notes to the reconciliation of economic result with budget result&lt;/ChapterName&gt;&lt;ChapterNoOfPages&gt;-1&lt;/ChapterNoOfPages&gt;&lt;ChapterVersion&gt;55&lt;/ChapterVersion&gt;&lt;/ChapterMetadata&gt;"/>
    <w:docVar w:name="DM_WB_C17270_METADATA" w:val="&lt;ChapterMetadata&gt;&lt;ChapterId&gt;17270&lt;/ChapterId&gt;&lt;ChapterName&gt;Implementation of the agencies budget&lt;/ChapterName&gt;&lt;ChapterNoOfPages&gt;-1&lt;/ChapterNoOfPages&gt;&lt;ChapterVersion&gt;59&lt;/ChapterVersion&gt;&lt;/ChapterMetadata&gt;"/>
    <w:docVar w:name="DM_WB_C17271_METADATA" w:val="&lt;ChapterMetadata&gt;&lt;ChapterId&gt;17271&lt;/ChapterId&gt;&lt;ChapterName&gt;Implementation of EU budget revenue&lt;/ChapterName&gt;&lt;ChapterNoOfPages&gt;-1&lt;/ChapterNoOfPages&gt;&lt;ChapterVersion&gt;49&lt;/ChapterVersion&gt;&lt;/ChapterMetadata&gt;"/>
    <w:docVar w:name="DM_WB_C17272_METADATA" w:val="&lt;ChapterMetadata&gt;&lt;ChapterId&gt;17272&lt;/ChapterId&gt;&lt;ChapterName&gt;Implementation of the budget by institution&lt;/ChapterName&gt;&lt;ChapterNoOfPages&gt;-1&lt;/ChapterNoOfPages&gt;&lt;ChapterVersion&gt;55&lt;/ChapterVersion&gt;&lt;/ChapterMetadata&gt;"/>
    <w:docVar w:name="DM_WB_C17273_METADATA" w:val="&lt;ChapterMetadata&gt;&lt;ChapterId&gt;17273&lt;/ChapterId&gt;&lt;ChapterName&gt;Notes revenue general and calculation budget result&lt;/ChapterName&gt;&lt;ChapterNoOfPages&gt;-1&lt;/ChapterNoOfPages&gt;&lt;ChapterVersion&gt;7&lt;/ChapterVersion&gt;&lt;/ChapterMetadata&gt;"/>
    <w:docVar w:name="doc_tbl00002_1_1" w:val="|@|1|2057"/>
    <w:docVar w:name="doc_tbl00015_1_1" w:val="|@|1|2057"/>
    <w:docVar w:name="doc_tbl00033_1_1" w:val="|@|1|2057"/>
    <w:docVar w:name="doc_tbl00037_1_1" w:val="|@|1|2057"/>
    <w:docVar w:name="doc_tbl00072_1_1" w:val="|@|1|2057"/>
    <w:docVar w:name="doc_tbl00084_1_1" w:val="|@|1|2057"/>
    <w:docVar w:name="DocStatus" w:val="Green"/>
    <w:docVar w:name="LW_COVERPAGE_EXISTS" w:val="True"/>
    <w:docVar w:name="LW_COVERPAGE_GUID" w:val="BF8DD2E4-275F-46BA-9876-B20171B83810"/>
    <w:docVar w:name="LW_COVERPAGE_TYPE" w:val="1"/>
    <w:docVar w:name="LW_CROSSREFERENCE" w:val="&lt;UNUSED&gt;"/>
    <w:docVar w:name="LW_DocType" w:val="TEMPLATE_BEKOU_2014"/>
    <w:docVar w:name="LW_EMISSION" w:val="26.6.2020"/>
    <w:docVar w:name="LW_EMISSION_ISODATE" w:val="2020-06-26"/>
    <w:docVar w:name="LW_EMISSION_LOCATION" w:val="BRX"/>
    <w:docVar w:name="LW_EMISSION_PREFIX" w:val="Bruksela, dnia "/>
    <w:docVar w:name="LW_EMISSION_SUFFIX" w:val=" r."/>
    <w:docVar w:name="LW_ID_DOCTYPE_NONLW" w:val="CP-040"/>
    <w:docVar w:name="LW_INTERETEEE.CP" w:val="&lt;UNUSED&gt;"/>
    <w:docVar w:name="LW_LANGUE" w:val="PL"/>
    <w:docVar w:name="LW_LANGUESFAISANTFOI.CP" w:val="&lt;UNUSED&gt;"/>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0) 28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KONSOLIDOWANE ROCZNE SPRAWOZDANIE FINANSOWE UNII EUROPEJSKIEJ ZA ROK BUD\u379?ETOWY 2019"/>
    <w:docVar w:name="LW_TYPE.DOC.CP" w:val="KOMUNIKAT KOMISJI DO PARLAMENTU EUROPEJSKIEGO, RADY I EUROPEJSKIEGO TRYBUNA\u321?U OBRACHUNKOWEGO"/>
  </w:docVars>
  <w:rsids>
    <w:rsidRoot w:val="0043277E"/>
    <w:rsid w:val="000F2348"/>
    <w:rsid w:val="00432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4D0630"/>
  <w15:docId w15:val="{15CB1B5C-900C-4CCF-A43E-EF246B146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bdr w:val="nil"/>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styleId="ListParagraph">
    <w:name w:val="List Paragraph"/>
    <w:basedOn w:val="Normal"/>
    <w:uiPriority w:val="34"/>
    <w:qFormat/>
    <w:pPr>
      <w:ind w:left="720"/>
      <w:contextualSpacing/>
    </w:pPr>
  </w:style>
  <w:style w:type="paragraph" w:customStyle="1" w:styleId="Footnote">
    <w:name w:val="Footnote"/>
    <w:basedOn w:val="Normal"/>
    <w:pPr>
      <w:tabs>
        <w:tab w:val="left" w:pos="284"/>
      </w:tabs>
      <w:ind w:left="284" w:hanging="284"/>
      <w:jc w:val="both"/>
    </w:pPr>
    <w:rPr>
      <w:rFonts w:ascii="Verdana" w:hAnsi="Verdana"/>
      <w:sz w:val="16"/>
      <w:szCs w:val="20"/>
    </w:rPr>
  </w:style>
  <w:style w:type="paragraph" w:customStyle="1" w:styleId="DMETW17213BIPBS">
    <w:name w:val="DM_ETW_17213_BIP_BS"/>
    <w:rPr>
      <w:rFonts w:eastAsia="Calibri"/>
    </w:rPr>
  </w:style>
  <w:style w:type="paragraph" w:customStyle="1" w:styleId="DMETW17229BIPSOFP">
    <w:name w:val="DM_ETW_17229_BIP_SOFP"/>
    <w:rPr>
      <w:rFonts w:eastAsia="Calibri"/>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pPr>
      <w:spacing w:after="60"/>
    </w:pPr>
  </w:style>
  <w:style w:type="paragraph" w:customStyle="1" w:styleId="DMETW17230BIPCF">
    <w:name w:val="DM_ETW_17230_BIP_CF"/>
    <w:rPr>
      <w:rFonts w:eastAsia="Calibri"/>
    </w:rPr>
  </w:style>
  <w:style w:type="paragraph" w:customStyle="1" w:styleId="DMETW17201BIPSCNA">
    <w:name w:val="DM_ETW_17201_BIP_SCNA"/>
    <w:rPr>
      <w:rFonts w:eastAsia="Calibri"/>
    </w:rPr>
  </w:style>
  <w:style w:type="paragraph" w:customStyle="1" w:styleId="DMETW17185BIPCURR">
    <w:name w:val="DM_ETW_17185_BIP_CURR"/>
    <w:rPr>
      <w:rFonts w:eastAsia="Calibri"/>
    </w:rPr>
  </w:style>
  <w:style w:type="paragraph" w:customStyle="1" w:styleId="DMETW17185BIPDR">
    <w:name w:val="DM_ETW_17185_BIP_DR"/>
    <w:rPr>
      <w:rFonts w:eastAsia="Calibri"/>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lang w:eastAsia="en-US"/>
    </w:rPr>
  </w:style>
  <w:style w:type="paragraph" w:customStyle="1" w:styleId="DMETW17202BIPINFA">
    <w:name w:val="DM_ETW_17202_BIP_INFA"/>
    <w:rPr>
      <w:rFonts w:eastAsia="Calibri"/>
    </w:rPr>
  </w:style>
  <w:style w:type="paragraph" w:customStyle="1" w:styleId="DMETW17202BIPEUPPE">
    <w:name w:val="DM_ETW_17202_BIP_EUPPE"/>
    <w:rPr>
      <w:rFonts w:eastAsia="Calibri"/>
    </w:rPr>
  </w:style>
  <w:style w:type="paragraph" w:customStyle="1" w:styleId="DMETW16570BIPPARTASS1">
    <w:name w:val="DM_ETW_16570_BIP_PARTASS1"/>
    <w:rPr>
      <w:rFonts w:eastAsia="Calibri"/>
    </w:rPr>
  </w:style>
  <w:style w:type="paragraph" w:customStyle="1" w:styleId="DMETW16570BIPPARTASS2">
    <w:name w:val="DM_ETW_16570_BIP_PARTASS2"/>
    <w:rPr>
      <w:rFonts w:eastAsia="Calibri"/>
    </w:rPr>
  </w:style>
  <w:style w:type="paragraph" w:customStyle="1" w:styleId="DMETW16570BIPEIF2">
    <w:name w:val="DM_ETW_16570_BIP_EIF2"/>
    <w:rPr>
      <w:rFonts w:eastAsia="Calibri"/>
    </w:rPr>
  </w:style>
  <w:style w:type="paragraph" w:customStyle="1" w:styleId="DMETW16570BIPEIF1">
    <w:name w:val="DM_ETW_16570_BIP_EIF1"/>
    <w:rPr>
      <w:rFonts w:eastAsia="Calibri"/>
    </w:rPr>
  </w:style>
  <w:style w:type="paragraph" w:customStyle="1" w:styleId="DMETW17240BIPFINA">
    <w:name w:val="DM_ETW_17240_BIP_FINA"/>
    <w:rPr>
      <w:rFonts w:eastAsia="Calibri"/>
    </w:rPr>
  </w:style>
  <w:style w:type="paragraph" w:customStyle="1" w:styleId="DMETW17240BIPAFS">
    <w:name w:val="DM_ETW_17240_BIP_AFS"/>
    <w:rPr>
      <w:rFonts w:eastAsia="Calibri"/>
    </w:rPr>
  </w:style>
  <w:style w:type="paragraph" w:customStyle="1" w:styleId="DMETW17240BIPFAFVTSD">
    <w:name w:val="DM_ETW_17240_BIP_FAFVTSD"/>
    <w:rPr>
      <w:rFonts w:eastAsia="Calibri"/>
    </w:rPr>
  </w:style>
  <w:style w:type="paragraph" w:customStyle="1" w:styleId="DMETW17240BIPFVH">
    <w:name w:val="DM_ETW_17240_BIP_FVH"/>
    <w:rPr>
      <w:rFonts w:eastAsia="Calibri"/>
    </w:rPr>
  </w:style>
  <w:style w:type="paragraph" w:customStyle="1" w:styleId="DMETW16545BIPRECOFINA">
    <w:name w:val="DM_ETW_16545_BIP_RECOFINA"/>
    <w:rPr>
      <w:rFonts w:eastAsia="Calibri"/>
    </w:rPr>
  </w:style>
  <w:style w:type="paragraph" w:customStyle="1" w:styleId="DMETW17240BIPLO">
    <w:name w:val="DM_ETW_17240_BIP_LO"/>
    <w:rPr>
      <w:rFonts w:eastAsia="Calibri"/>
    </w:rPr>
  </w:style>
  <w:style w:type="paragraph" w:customStyle="1" w:styleId="DMETW17240BIPLGFBF">
    <w:name w:val="DM_ETW_17240_BIP_LGFBF"/>
    <w:rPr>
      <w:rFonts w:eastAsia="Calibri"/>
    </w:rPr>
  </w:style>
  <w:style w:type="paragraph" w:customStyle="1" w:styleId="DMETW17240BIPBORR2">
    <w:name w:val="DM_ETW_17240_BIP_BORR2"/>
    <w:rPr>
      <w:rFonts w:eastAsia="Calibri"/>
    </w:rPr>
  </w:style>
  <w:style w:type="paragraph" w:customStyle="1" w:styleId="DMETW17240BIPLOBUDG">
    <w:name w:val="DM_ETW_17240_BIP_LOBUDG"/>
    <w:rPr>
      <w:rFonts w:eastAsia="Calibri"/>
    </w:rPr>
  </w:style>
  <w:style w:type="paragraph" w:customStyle="1" w:styleId="DMETW17240BIPIMP">
    <w:name w:val="DM_ETW_17240_BIP_IMP"/>
    <w:rPr>
      <w:rFonts w:eastAsia="Calibri"/>
    </w:rPr>
  </w:style>
  <w:style w:type="paragraph" w:customStyle="1" w:styleId="DMETW17241BIPPF">
    <w:name w:val="DM_ETW_17241_BIP_PF"/>
    <w:rPr>
      <w:rFonts w:eastAsia="Calibri"/>
    </w:rPr>
  </w:style>
  <w:style w:type="paragraph" w:customStyle="1" w:styleId="DMETW17241BIPPFD">
    <w:name w:val="DM_ETW_17241_BIP_PFD"/>
    <w:rPr>
      <w:rFonts w:eastAsia="Calibri"/>
    </w:rPr>
  </w:style>
  <w:style w:type="paragraph" w:customStyle="1" w:styleId="DMETW16547BIPFEIAS">
    <w:name w:val="DM_ETW_16547_BIP_FEIAS"/>
    <w:rPr>
      <w:rFonts w:eastAsia="Calibri"/>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DMETW17217BIPERNER">
    <w:name w:val="DM_ETW_17217_BIP_ERNER"/>
    <w:rPr>
      <w:rFonts w:eastAsia="Calibri"/>
    </w:rPr>
  </w:style>
  <w:style w:type="paragraph" w:customStyle="1" w:styleId="DMETW17217BIPRNET">
    <w:name w:val="DM_ETW_17217_BIP_RNET"/>
    <w:rPr>
      <w:rFonts w:eastAsia="Calibri"/>
    </w:rPr>
  </w:style>
  <w:style w:type="paragraph" w:customStyle="1" w:styleId="DMETW17218BIPRMS">
    <w:name w:val="DM_ETW_17218_BIP_RMS"/>
    <w:rPr>
      <w:rFonts w:eastAsia="Calibri"/>
    </w:rPr>
  </w:style>
  <w:style w:type="paragraph" w:customStyle="1" w:styleId="DMETW17217BIPFINES">
    <w:name w:val="DM_ETW_17217_BIP_FINES"/>
    <w:rPr>
      <w:rFonts w:eastAsia="Calibri"/>
    </w:rPr>
  </w:style>
  <w:style w:type="paragraph" w:customStyle="1" w:styleId="DMETW17219BIPAIDC">
    <w:name w:val="DM_ETW_17219_BIP_AIDC"/>
    <w:rPr>
      <w:rFonts w:eastAsia="Calibri"/>
    </w:rPr>
  </w:style>
  <w:style w:type="paragraph" w:customStyle="1" w:styleId="DMETW17217BIPRET">
    <w:name w:val="DM_ETW_17217_BIP_RET"/>
    <w:rPr>
      <w:rFonts w:eastAsia="Calibri"/>
    </w:rPr>
  </w:style>
  <w:style w:type="paragraph" w:customStyle="1" w:styleId="DMETW17242BIPINV">
    <w:name w:val="DM_ETW_17242_BIP_INV"/>
    <w:rPr>
      <w:rFonts w:eastAsia="Calibri"/>
    </w:rPr>
  </w:style>
  <w:style w:type="paragraph" w:customStyle="1" w:styleId="DMETW17243BIPCCE">
    <w:name w:val="DM_ETW_17243_BIP_CCE"/>
    <w:rPr>
      <w:rFonts w:eastAsia="Calibri"/>
    </w:rPr>
  </w:style>
  <w:style w:type="paragraph" w:customStyle="1" w:styleId="DMETW17244BIPPENS1">
    <w:name w:val="DM_ETW_17244_BIP_PENS1"/>
    <w:rPr>
      <w:rFonts w:eastAsia="Calibri"/>
    </w:rPr>
  </w:style>
  <w:style w:type="paragraph" w:customStyle="1" w:styleId="DMETW17244BIPPENS2">
    <w:name w:val="DM_ETW_17244_BIP_PENS2"/>
    <w:rPr>
      <w:rFonts w:eastAsia="Calibri"/>
    </w:rPr>
  </w:style>
  <w:style w:type="paragraph" w:customStyle="1" w:styleId="DMETW17244BIPPENS3">
    <w:name w:val="DM_ETW_17244_BIP_PENS3"/>
    <w:rPr>
      <w:rFonts w:eastAsia="Calibri"/>
    </w:rPr>
  </w:style>
  <w:style w:type="paragraph" w:customStyle="1" w:styleId="DMETW17244BIPSPL">
    <w:name w:val="DM_ETW_17244_BIP_SPL"/>
    <w:rPr>
      <w:rFonts w:eastAsia="Calibri"/>
    </w:rPr>
  </w:style>
  <w:style w:type="paragraph" w:customStyle="1" w:styleId="DMETW17244BIPPENS6">
    <w:name w:val="DM_ETW_17244_BIP_PENS6"/>
    <w:rPr>
      <w:rFonts w:eastAsia="Calibri"/>
    </w:rPr>
  </w:style>
  <w:style w:type="paragraph" w:customStyle="1" w:styleId="DMETW17244BIPPENS7">
    <w:name w:val="DM_ETW_17244_BIP_PENS7"/>
    <w:rPr>
      <w:rFonts w:eastAsia="Calibri"/>
    </w:rPr>
  </w:style>
  <w:style w:type="paragraph" w:customStyle="1" w:styleId="DMETW17244BIPPENS8">
    <w:name w:val="DM_ETW_17244_BIP_PENS8"/>
    <w:rPr>
      <w:rFonts w:eastAsia="Calibri"/>
    </w:rPr>
  </w:style>
  <w:style w:type="paragraph" w:customStyle="1" w:styleId="DMETW17244BIPPENS9">
    <w:name w:val="DM_ETW_17244_BIP_PENS9"/>
    <w:rPr>
      <w:rFonts w:eastAsia="Calibri"/>
    </w:rPr>
  </w:style>
  <w:style w:type="paragraph" w:customStyle="1" w:styleId="DMETW17244BIPPENS10">
    <w:name w:val="DM_ETW_17244_BIP_PENS10"/>
    <w:rPr>
      <w:rFonts w:eastAsia="Calibri"/>
    </w:rPr>
  </w:style>
  <w:style w:type="paragraph" w:customStyle="1" w:styleId="DMETW17244BIPPENS11">
    <w:name w:val="DM_ETW_17244_BIP_PENS11"/>
    <w:rPr>
      <w:rFonts w:eastAsia="Calibri"/>
    </w:rPr>
  </w:style>
  <w:style w:type="paragraph" w:customStyle="1" w:styleId="DMETW17244BIPPENS12">
    <w:name w:val="DM_ETW_17244_BIP_PENS12"/>
    <w:rPr>
      <w:rFonts w:eastAsia="Calibri"/>
    </w:rPr>
  </w:style>
  <w:style w:type="paragraph" w:customStyle="1" w:styleId="DMETW17245BIPPROV">
    <w:name w:val="DM_ETW_17245_BIP_PROV"/>
    <w:rPr>
      <w:rFonts w:eastAsia="Calibri"/>
    </w:rPr>
  </w:style>
  <w:style w:type="paragraph" w:customStyle="1" w:styleId="DMETW17246BIPFINL">
    <w:name w:val="DM_ETW_17246_BIP_FINL"/>
    <w:rPr>
      <w:rFonts w:eastAsia="Calibri"/>
    </w:rPr>
  </w:style>
  <w:style w:type="paragraph" w:customStyle="1" w:styleId="DMETW17246BIPFLB">
    <w:name w:val="DM_ETW_17246_BIP_FLB"/>
    <w:rPr>
      <w:rFonts w:eastAsia="Calibri"/>
    </w:rPr>
  </w:style>
  <w:style w:type="paragraph" w:customStyle="1" w:styleId="DMETW17246BIPLGFBF">
    <w:name w:val="DM_ETW_17246_BIP_LGFBF"/>
    <w:rPr>
      <w:rFonts w:eastAsia="Calibri"/>
    </w:rPr>
  </w:style>
  <w:style w:type="paragraph" w:customStyle="1" w:styleId="DMETW17246BIPBORR3">
    <w:name w:val="DM_ETW_17246_BIP_BORR3"/>
    <w:rPr>
      <w:rFonts w:eastAsia="Calibri"/>
    </w:rPr>
  </w:style>
  <w:style w:type="paragraph" w:customStyle="1" w:styleId="DMETW17247BIPOFL">
    <w:name w:val="DM_ETW_17247_BIP_OFL"/>
    <w:rPr>
      <w:rFonts w:eastAsia="Calibri"/>
    </w:r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9pNormalRight025">
    <w:name w:val="Heading_9p_Normal_Right_0.25"/>
    <w:basedOn w:val="Heading9pNormalCentered"/>
    <w:qFormat/>
    <w:pPr>
      <w:ind w:right="142"/>
      <w:jc w:val="right"/>
    </w:pPr>
  </w:style>
  <w:style w:type="paragraph" w:customStyle="1" w:styleId="DMETW17248BIPFL">
    <w:name w:val="DM_ETW_17248_BIP_FL"/>
    <w:rPr>
      <w:rFonts w:eastAsia="Calibri"/>
    </w:rPr>
  </w:style>
  <w:style w:type="paragraph" w:customStyle="1" w:styleId="DMETW16552BIPNOTIONALFL">
    <w:name w:val="DM_ETW_16552_BIP_NOTIONALFL"/>
    <w:rPr>
      <w:rFonts w:eastAsia="Calibri"/>
    </w:rPr>
  </w:style>
  <w:style w:type="paragraph" w:customStyle="1" w:styleId="DMETW16552BIPFVH">
    <w:name w:val="DM_ETW_16552_BIP_FVH"/>
    <w:rPr>
      <w:rFonts w:eastAsia="Calibri"/>
    </w:rPr>
  </w:style>
  <w:style w:type="paragraph" w:customStyle="1" w:styleId="DMETW17220BIPPAYAB">
    <w:name w:val="DM_ETW_17220_BIP_PAYAB"/>
    <w:rPr>
      <w:rFonts w:eastAsia="Calibri"/>
    </w:rPr>
  </w:style>
  <w:style w:type="paragraph" w:customStyle="1" w:styleId="DMETW17249BIPACDI">
    <w:name w:val="DM_ETW_17249_BIP_ACDI"/>
    <w:rPr>
      <w:rFonts w:eastAsia="Calibri"/>
    </w:rPr>
  </w:style>
  <w:style w:type="paragraph" w:customStyle="1" w:styleId="DMETW17249BIPACDISPLIT">
    <w:name w:val="DM_ETW_17249_BIP_ACDISPLIT"/>
    <w:rPr>
      <w:rFonts w:eastAsia="Calibri"/>
    </w:rPr>
  </w:style>
  <w:style w:type="paragraph" w:customStyle="1" w:styleId="DMETW17250BIPRES">
    <w:name w:val="DM_ETW_17250_BIP_RES"/>
    <w:rPr>
      <w:rFonts w:eastAsia="Calibri"/>
    </w:rPr>
  </w:style>
  <w:style w:type="paragraph" w:customStyle="1" w:styleId="DMETW17250BIPFVMAFS">
    <w:name w:val="DM_ETW_17250_BIP_FVMAFS"/>
    <w:rPr>
      <w:rFonts w:eastAsia="Calibri"/>
    </w:rPr>
  </w:style>
  <w:style w:type="paragraph" w:customStyle="1" w:styleId="DMETW17250BIPMEMST1">
    <w:name w:val="DM_ETW_17250_BIP_MEMST1"/>
    <w:rPr>
      <w:rFonts w:eastAsia="Calibri"/>
    </w:rPr>
  </w:style>
  <w:style w:type="paragraph" w:customStyle="1" w:styleId="DMETW16562BIPTOR">
    <w:name w:val="DM_ETW_16562_BIP_TOR"/>
    <w:rPr>
      <w:rFonts w:eastAsia="Calibri"/>
    </w:rPr>
  </w:style>
  <w:style w:type="paragraph" w:customStyle="1" w:styleId="DMETW17252BIPRECOVEXP">
    <w:name w:val="DM_ETW_17252_BIP_RECOVEXP"/>
    <w:rPr>
      <w:rFonts w:eastAsia="Calibri"/>
    </w:rPr>
  </w:style>
  <w:style w:type="paragraph" w:customStyle="1" w:styleId="DMETW17221BIPONER">
    <w:name w:val="DM_ETW_17221_BIP_ONER"/>
    <w:rPr>
      <w:rFonts w:eastAsia="Calibri"/>
    </w:rPr>
  </w:style>
  <w:style w:type="paragraph" w:customStyle="1" w:styleId="DMETW17231BIPFINREV">
    <w:name w:val="DM_ETW_17231_BIP_FINREV"/>
    <w:rPr>
      <w:rFonts w:eastAsia="Calibri"/>
    </w:rPr>
  </w:style>
  <w:style w:type="paragraph" w:customStyle="1" w:styleId="DMETW17253BIPOER">
    <w:name w:val="DM_ETW_17253_BIP_OER"/>
    <w:rPr>
      <w:rFonts w:eastAsia="Calibri"/>
    </w:rPr>
  </w:style>
  <w:style w:type="paragraph" w:customStyle="1" w:styleId="DMETW16488BIPSM">
    <w:name w:val="DM_ETW_16488_BIP_SM"/>
    <w:rPr>
      <w:rFonts w:eastAsia="Calibri"/>
    </w:rPr>
  </w:style>
  <w:style w:type="paragraph" w:customStyle="1" w:styleId="DMETW17222BIPDM">
    <w:name w:val="DM_ETW_17222_BIP_DM"/>
    <w:rPr>
      <w:rFonts w:eastAsia="Calibri"/>
    </w:rPr>
  </w:style>
  <w:style w:type="paragraph" w:customStyle="1" w:styleId="DMETW17222BIPIM">
    <w:name w:val="DM_ETW_17222_BIP_IM"/>
    <w:rPr>
      <w:rFonts w:eastAsia="Calibri"/>
    </w:rPr>
  </w:style>
  <w:style w:type="paragraph" w:customStyle="1" w:styleId="DMETW17254BIPSPC">
    <w:name w:val="DM_ETW_17254_BIP_SPC"/>
    <w:rPr>
      <w:rFonts w:eastAsia="Calibri"/>
    </w:rPr>
  </w:style>
  <w:style w:type="paragraph" w:customStyle="1" w:styleId="DMETW17232BIPFINEXP">
    <w:name w:val="DM_ETW_17232_BIP_FINEXP"/>
    <w:rPr>
      <w:rFonts w:eastAsia="Calibri"/>
    </w:rPr>
  </w:style>
  <w:style w:type="paragraph" w:customStyle="1" w:styleId="DMETW17223BIPOE">
    <w:name w:val="DM_ETW_17223_BIP_OE"/>
    <w:rPr>
      <w:rFonts w:eastAsia="Calibri"/>
    </w:rPr>
  </w:style>
  <w:style w:type="paragraph" w:customStyle="1" w:styleId="DMETW17223BIPRD">
    <w:name w:val="DM_ETW_17223_BIP_RD"/>
    <w:rPr>
      <w:rFonts w:eastAsia="Calibri"/>
    </w:rPr>
  </w:style>
  <w:style w:type="paragraph" w:customStyle="1" w:styleId="DMETW17224BIPSEGREP">
    <w:name w:val="DM_ETW_17224_BIP_SEGREP"/>
    <w:rPr>
      <w:rFonts w:eastAsia="Calibri"/>
    </w:rPr>
  </w:style>
  <w:style w:type="paragraph" w:customStyle="1" w:styleId="DMETW16559BIPGUAR">
    <w:name w:val="DM_ETW_16559_BIP_GUAR"/>
    <w:rPr>
      <w:rFonts w:eastAsia="Calibri"/>
    </w:rPr>
  </w:style>
  <w:style w:type="paragraph" w:customStyle="1" w:styleId="DMETW16558BIPGUARFA">
    <w:name w:val="DM_ETW_16558_BIP_GUARFA"/>
    <w:rPr>
      <w:rFonts w:eastAsia="Calibri"/>
    </w:rPr>
  </w:style>
  <w:style w:type="paragraph" w:customStyle="1" w:styleId="DMETW16558BIPINSGUA">
    <w:name w:val="DM_ETW_16558_BIP_INSGUA"/>
    <w:rPr>
      <w:rFonts w:eastAsia="Calibri"/>
    </w:rPr>
  </w:style>
  <w:style w:type="paragraph" w:customStyle="1" w:styleId="DMETW17236BIPCL">
    <w:name w:val="DM_ETW_17236_BIP_CL"/>
    <w:rPr>
      <w:rFonts w:eastAsia="Calibri"/>
    </w:rPr>
  </w:style>
  <w:style w:type="paragraph" w:customStyle="1" w:styleId="Heading9pNormalLeft">
    <w:name w:val="Heading_9p_Normal_Left"/>
    <w:basedOn w:val="Heading9pNormalCentered"/>
    <w:qFormat/>
    <w:pPr>
      <w:jc w:val="left"/>
    </w:pPr>
  </w:style>
  <w:style w:type="paragraph" w:customStyle="1" w:styleId="DMETW17236BIPCA">
    <w:name w:val="DM_ETW_17236_BIP_CA"/>
    <w:rPr>
      <w:rFonts w:eastAsia="Calibri"/>
    </w:rPr>
  </w:style>
  <w:style w:type="paragraph" w:customStyle="1" w:styleId="DMETW17237BIPOBULEG">
    <w:name w:val="DM_ETW_17237_BIP_OBULEG"/>
    <w:rPr>
      <w:rFonts w:eastAsia="Calibri"/>
    </w:rPr>
  </w:style>
  <w:style w:type="paragraph" w:customStyle="1" w:styleId="DMETW17237BIPOCNYE">
    <w:name w:val="DM_ETW_17237_BIP_OCNYE"/>
    <w:rPr>
      <w:rFonts w:eastAsia="Calibri"/>
    </w:rPr>
  </w:style>
  <w:style w:type="paragraph" w:customStyle="1" w:styleId="DMETW16561BIPSTRUCAC">
    <w:name w:val="DM_ETW_16561_BIP_STRUCAC"/>
    <w:rPr>
      <w:rFonts w:eastAsia="Calibri"/>
    </w:rPr>
  </w:style>
  <w:style w:type="paragraph" w:customStyle="1" w:styleId="DMETW17237BIPLEGCOM">
    <w:name w:val="DM_ETW_17237_BIP_LEGCOM"/>
    <w:rPr>
      <w:rFonts w:eastAsia="Calibri"/>
    </w:rPr>
  </w:style>
  <w:style w:type="paragraph" w:customStyle="1" w:styleId="DMETW17233BIPPPERE">
    <w:name w:val="DM_ETW_17233_BIP_PPERE"/>
    <w:rPr>
      <w:rFonts w:eastAsia="Calibri"/>
    </w:rPr>
  </w:style>
  <w:style w:type="paragraph" w:customStyle="1" w:styleId="Heading7pNormalCentered">
    <w:name w:val="Heading_7p_Normal_Centered"/>
    <w:basedOn w:val="Heading8pNormalCentered"/>
    <w:qFormat/>
    <w:rPr>
      <w:sz w:val="14"/>
    </w:rPr>
  </w:style>
  <w:style w:type="paragraph" w:customStyle="1" w:styleId="DMETW17225BIPCRCY">
    <w:name w:val="DM_ETW_17225_BIP_CRCY"/>
    <w:rPr>
      <w:rFonts w:eastAsia="Calibri"/>
    </w:rPr>
  </w:style>
  <w:style w:type="paragraph" w:customStyle="1" w:styleId="DMETW17225BIPCRPY">
    <w:name w:val="DM_ETW_17225_BIP_CRPY"/>
    <w:rPr>
      <w:rFonts w:eastAsia="Calibri"/>
    </w:rPr>
  </w:style>
  <w:style w:type="paragraph" w:customStyle="1" w:styleId="DMETW17225BIPSDS">
    <w:name w:val="DM_ETW_17225_BIP_SDS"/>
    <w:rPr>
      <w:rFonts w:eastAsia="Calibri"/>
    </w:rPr>
  </w:style>
  <w:style w:type="paragraph" w:customStyle="1" w:styleId="DMETW17225BIPNAS">
    <w:name w:val="DM_ETW_17225_BIP_NAS"/>
    <w:rPr>
      <w:rFonts w:eastAsia="Calibri"/>
    </w:rPr>
  </w:style>
  <w:style w:type="paragraph" w:customStyle="1" w:styleId="DMETW17225BIPSDW">
    <w:name w:val="DM_ETW_17225_BIP_SDW"/>
    <w:rPr>
      <w:rFonts w:eastAsia="Calibri"/>
    </w:rPr>
  </w:style>
  <w:style w:type="paragraph" w:customStyle="1" w:styleId="DMETW17225BIPNAW">
    <w:name w:val="DM_ETW_17225_BIP_NAW"/>
    <w:rPr>
      <w:rFonts w:eastAsia="Calibri"/>
    </w:rPr>
  </w:style>
  <w:style w:type="paragraph" w:customStyle="1" w:styleId="DMETW17226BIPIRR">
    <w:name w:val="DM_ETW_17226_BIP_IRR"/>
    <w:rPr>
      <w:rFonts w:eastAsia="Calibri"/>
    </w:rPr>
  </w:style>
  <w:style w:type="paragraph" w:customStyle="1" w:styleId="DMETW17227BIPCDTR">
    <w:name w:val="DM_ETW_17227_BIP_CDTR"/>
    <w:rPr>
      <w:rFonts w:eastAsia="Calibri"/>
    </w:rPr>
  </w:style>
  <w:style w:type="paragraph" w:customStyle="1" w:styleId="DMETW17227BIPFARCCY">
    <w:name w:val="DM_ETW_17227_BIP_FARCCY"/>
    <w:rPr>
      <w:rFonts w:eastAsia="Calibri"/>
    </w:rPr>
  </w:style>
  <w:style w:type="paragraph" w:customStyle="1" w:styleId="DMETW17227BIPFARCPY">
    <w:name w:val="DM_ETW_17227_BIP_FARCPY"/>
    <w:rPr>
      <w:rFonts w:eastAsia="Calibri"/>
    </w:rPr>
  </w:style>
  <w:style w:type="paragraph" w:customStyle="1" w:styleId="DMETW17228BIPLR">
    <w:name w:val="DM_ETW_17228_BIP_LR"/>
    <w:rPr>
      <w:rFonts w:eastAsia="Calibri"/>
    </w:rPr>
  </w:style>
  <w:style w:type="paragraph" w:customStyle="1" w:styleId="DMETW16539BIPFLA">
    <w:name w:val="DM_ETW_16539_BIP_FLA"/>
    <w:rPr>
      <w:rFonts w:eastAsia="Calibri"/>
    </w:rPr>
  </w:style>
  <w:style w:type="paragraph" w:customStyle="1" w:styleId="DMETW17208BIPKM">
    <w:name w:val="DM_ETW_17208_BIP_KM"/>
    <w:rPr>
      <w:rFonts w:eastAsia="Calibri"/>
    </w:rPr>
  </w:style>
  <w:style w:type="paragraph" w:customStyle="1" w:styleId="DMETW17209BIPCE">
    <w:name w:val="DM_ETW_17209_BIP_CE"/>
    <w:rPr>
      <w:rFonts w:eastAsia="Calibri"/>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lang w:eastAsia="en-GB"/>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7140BIPBudgetresult">
    <w:name w:val="DM_ETW_17140_BIP_Budget_result"/>
    <w:rPr>
      <w:rFonts w:eastAsia="Calibri"/>
    </w:rPr>
  </w:style>
  <w:style w:type="paragraph" w:customStyle="1" w:styleId="DMETW17140BIPStatementofcomparisonRevenue">
    <w:name w:val="DM_ETW_17140_BIP_Statement_of_comparison_Revenue"/>
    <w:rPr>
      <w:rFonts w:eastAsia="Calibri"/>
    </w:rPr>
  </w:style>
  <w:style w:type="paragraph" w:customStyle="1" w:styleId="DMETW17140BIPStatementofcomparisonCommitments">
    <w:name w:val="DM_ETW_17140_BIP_Statement_of_comparison_Commitments"/>
    <w:rPr>
      <w:rFonts w:eastAsia="Calibri"/>
    </w:rPr>
  </w:style>
  <w:style w:type="paragraph" w:customStyle="1" w:styleId="DMETW17140BIPStatementofcomparisonPayments">
    <w:name w:val="DM_ETW_17140_BIP_Statement_of_comparison_Payments"/>
    <w:rPr>
      <w:rFonts w:eastAsia="Calibri"/>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Figures7pItalicRight025">
    <w:name w:val="Figures_7p_Italic_Right_0.25"/>
    <w:basedOn w:val="Figures8pItalicRight025"/>
    <w:qFormat/>
    <w:rPr>
      <w:sz w:val="14"/>
    </w:rPr>
  </w:style>
  <w:style w:type="paragraph" w:customStyle="1" w:styleId="Figures6pItalicRight01">
    <w:name w:val="Figures_6p_Italic_Right_0.1"/>
    <w:basedOn w:val="Figures7pItalicRight025"/>
    <w:qFormat/>
    <w:pPr>
      <w:ind w:right="57"/>
    </w:pPr>
    <w:rPr>
      <w:sz w:val="12"/>
      <w:szCs w:val="12"/>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DMETW17108BIPReconciliation">
    <w:name w:val="DM_ETW_17108_BIP_Reconciliation"/>
    <w:rPr>
      <w:rFonts w:eastAsia="Calibri"/>
    </w:rPr>
  </w:style>
  <w:style w:type="paragraph" w:customStyle="1" w:styleId="DMETW17211BIPImplementationbudgetrevenue">
    <w:name w:val="DM_ETW_17211_BIP_Implementation_budget_revenue"/>
    <w:rPr>
      <w:rFonts w:eastAsia="Calibri"/>
    </w:rPr>
  </w:style>
  <w:style w:type="paragraph" w:customStyle="1" w:styleId="DMETW17212BIPMFF1BreakdownCommPaym">
    <w:name w:val="DM_ETW_17212_BIP_MFF_1_Breakdown_Comm_Paym"/>
    <w:rPr>
      <w:rFonts w:eastAsia="Calibri"/>
    </w:rPr>
  </w:style>
  <w:style w:type="paragraph" w:customStyle="1" w:styleId="DMETW17212BIPMFF2ImplementCommitments">
    <w:name w:val="DM_ETW_17212_BIP_MFF_2_Implement_Commitments"/>
    <w:rPr>
      <w:rFonts w:eastAsia="Calibri"/>
    </w:rPr>
  </w:style>
  <w:style w:type="paragraph" w:customStyle="1" w:styleId="DMETW17212BIPMFF3ImplementPayments">
    <w:name w:val="DM_ETW_17212_BIP_MFF_3_Implement_Payments"/>
    <w:rPr>
      <w:rFonts w:eastAsia="Calibri"/>
    </w:rPr>
  </w:style>
  <w:style w:type="paragraph" w:customStyle="1" w:styleId="DMETW17212BIPMFF4Commitmentsoustanding">
    <w:name w:val="DM_ETW_17212_BIP_MFF_4_Commitments_oustanding"/>
    <w:rPr>
      <w:rFonts w:eastAsia="Calibri"/>
    </w:rPr>
  </w:style>
  <w:style w:type="paragraph" w:customStyle="1" w:styleId="DMETW17212BIPMFF5RALYoO">
    <w:name w:val="DM_ETW_17212_BIP_MFF_5_RAL_YoO"/>
    <w:rPr>
      <w:rFonts w:eastAsia="Calibri"/>
    </w:rPr>
  </w:style>
  <w:style w:type="paragraph" w:customStyle="1" w:styleId="DMETW17212BIPDetailedMFF1Breakdown">
    <w:name w:val="DM_ETW_17212_BIP_DetailedMFF_1_Breakdown"/>
    <w:rPr>
      <w:rFonts w:eastAsia="Calibri"/>
    </w:rPr>
  </w:style>
  <w:style w:type="paragraph" w:customStyle="1" w:styleId="DMETW17212BIPDetailedMFF2ImplementCommitments">
    <w:name w:val="DM_ETW_17212_BIP_DetailedMFF_2_Implement_Commitments"/>
    <w:rPr>
      <w:rFonts w:eastAsia="Calibri"/>
    </w:rPr>
  </w:style>
  <w:style w:type="paragraph" w:customStyle="1" w:styleId="DMETW17212BIPDetailedMFF3ImplementPayments">
    <w:name w:val="DM_ETW_17212_BIP_DetailedMFF_3_Implement_Payments"/>
    <w:rPr>
      <w:rFonts w:eastAsia="Calibri"/>
    </w:rPr>
  </w:style>
  <w:style w:type="paragraph" w:customStyle="1" w:styleId="DMETW17212BIPDetailedMFF4Commitmentsoustanding">
    <w:name w:val="DM_ETW_17212_BIP_DetailedMFF_4_Commitments_oustanding"/>
    <w:rPr>
      <w:rFonts w:eastAsia="Calibri"/>
    </w:rPr>
  </w:style>
  <w:style w:type="paragraph" w:customStyle="1" w:styleId="DMETW17212BIPDetailedMFF5RALYoO">
    <w:name w:val="DM_ETW_17212_BIP_DetailedMFF_5_RAL_YoO"/>
    <w:rPr>
      <w:rFonts w:eastAsia="Calibri"/>
    </w:rPr>
  </w:style>
  <w:style w:type="paragraph" w:customStyle="1" w:styleId="DMETW17256BIPInstitutions1Revenue">
    <w:name w:val="DM_ETW_17256_BIP_Institutions_1_Revenue"/>
    <w:rPr>
      <w:rFonts w:eastAsia="Calibri"/>
    </w:rPr>
  </w:style>
  <w:style w:type="paragraph" w:customStyle="1" w:styleId="DMETW17256BIPInstitutions2Commitments">
    <w:name w:val="DM_ETW_17256_BIP_Institutions_2_Commitments"/>
    <w:rPr>
      <w:rFonts w:eastAsia="Calibri"/>
    </w:rPr>
  </w:style>
  <w:style w:type="paragraph" w:customStyle="1" w:styleId="DMETW17256BIPInstitutions3Payments">
    <w:name w:val="DM_ETW_17256_BIP_Institutions_3_Payments"/>
    <w:rPr>
      <w:rFonts w:eastAsia="Calibri"/>
    </w:rPr>
  </w:style>
  <w:style w:type="paragraph" w:customStyle="1" w:styleId="DMETW17256BIPAgencies1Revenue">
    <w:name w:val="DM_ETW_17256_BIP_Agencies_1_Revenue"/>
    <w:rPr>
      <w:rFonts w:eastAsia="Calibri"/>
    </w:rPr>
  </w:style>
  <w:style w:type="paragraph" w:customStyle="1" w:styleId="DMETW17256BIPAgencies2TypeofRevenue">
    <w:name w:val="DM_ETW_17256_BIP_Agencies_2_Type_of_Revenue"/>
    <w:rPr>
      <w:rFonts w:eastAsia="Calibri"/>
    </w:rPr>
  </w:style>
  <w:style w:type="paragraph" w:customStyle="1" w:styleId="DMETW17256BIPAgencies3CommitmentsPayments">
    <w:name w:val="DM_ETW_17256_BIP_Agencies_3_Commitments_Payments"/>
    <w:rPr>
      <w:rFonts w:eastAsia="Calibri"/>
    </w:rPr>
  </w:style>
  <w:style w:type="paragraph" w:customStyle="1" w:styleId="DMETW17256BIPAgencies4TypeofExpenditure">
    <w:name w:val="DM_ETW_17256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image" Target="media/image9.emf"/><Relationship Id="rId21" Type="http://schemas.openxmlformats.org/officeDocument/2006/relationships/footer" Target="footer6.xml"/><Relationship Id="rId63" Type="http://schemas.openxmlformats.org/officeDocument/2006/relationships/header" Target="header24.xml"/><Relationship Id="rId159" Type="http://schemas.openxmlformats.org/officeDocument/2006/relationships/header" Target="header72.xml"/><Relationship Id="rId324" Type="http://schemas.openxmlformats.org/officeDocument/2006/relationships/header" Target="header151.xml"/><Relationship Id="rId366" Type="http://schemas.openxmlformats.org/officeDocument/2006/relationships/header" Target="header172.xml"/><Relationship Id="rId170" Type="http://schemas.openxmlformats.org/officeDocument/2006/relationships/footer" Target="footer77.xml"/><Relationship Id="rId226" Type="http://schemas.openxmlformats.org/officeDocument/2006/relationships/footer" Target="footer105.xml"/><Relationship Id="rId433" Type="http://schemas.openxmlformats.org/officeDocument/2006/relationships/theme" Target="theme/theme1.xml"/><Relationship Id="rId268" Type="http://schemas.openxmlformats.org/officeDocument/2006/relationships/footer" Target="footer126.xml"/><Relationship Id="rId32" Type="http://schemas.openxmlformats.org/officeDocument/2006/relationships/image" Target="media/image6.jpeg"/><Relationship Id="rId74" Type="http://schemas.openxmlformats.org/officeDocument/2006/relationships/footer" Target="footer29.xml"/><Relationship Id="rId128" Type="http://schemas.openxmlformats.org/officeDocument/2006/relationships/footer" Target="footer56.xml"/><Relationship Id="rId335" Type="http://schemas.openxmlformats.org/officeDocument/2006/relationships/footer" Target="footer156.xml"/><Relationship Id="rId377" Type="http://schemas.openxmlformats.org/officeDocument/2006/relationships/footer" Target="footer177.xml"/><Relationship Id="rId5" Type="http://schemas.openxmlformats.org/officeDocument/2006/relationships/settings" Target="settings.xml"/><Relationship Id="rId181" Type="http://schemas.openxmlformats.org/officeDocument/2006/relationships/footer" Target="footer82.xml"/><Relationship Id="rId237" Type="http://schemas.openxmlformats.org/officeDocument/2006/relationships/header" Target="header111.xml"/><Relationship Id="rId402" Type="http://schemas.openxmlformats.org/officeDocument/2006/relationships/header" Target="header190.xml"/><Relationship Id="rId279" Type="http://schemas.openxmlformats.org/officeDocument/2006/relationships/header" Target="header132.xml"/><Relationship Id="rId43" Type="http://schemas.openxmlformats.org/officeDocument/2006/relationships/footer" Target="footer13.xml"/><Relationship Id="rId139" Type="http://schemas.openxmlformats.org/officeDocument/2006/relationships/footer" Target="footer61.xml"/><Relationship Id="rId290" Type="http://schemas.openxmlformats.org/officeDocument/2006/relationships/footer" Target="footer137.xml"/><Relationship Id="rId304" Type="http://schemas.openxmlformats.org/officeDocument/2006/relationships/image" Target="media/image14.emf"/><Relationship Id="rId346" Type="http://schemas.openxmlformats.org/officeDocument/2006/relationships/header" Target="header162.xml"/><Relationship Id="rId388" Type="http://schemas.openxmlformats.org/officeDocument/2006/relationships/header" Target="header183.xml"/><Relationship Id="rId85" Type="http://schemas.openxmlformats.org/officeDocument/2006/relationships/footer" Target="footer34.xml"/><Relationship Id="rId150" Type="http://schemas.openxmlformats.org/officeDocument/2006/relationships/header" Target="header68.xml"/><Relationship Id="rId192" Type="http://schemas.openxmlformats.org/officeDocument/2006/relationships/header" Target="header89.xml"/><Relationship Id="rId206" Type="http://schemas.openxmlformats.org/officeDocument/2006/relationships/footer" Target="footer95.xml"/><Relationship Id="rId413" Type="http://schemas.openxmlformats.org/officeDocument/2006/relationships/footer" Target="footer195.xml"/><Relationship Id="rId248" Type="http://schemas.openxmlformats.org/officeDocument/2006/relationships/footer" Target="footer116.xml"/><Relationship Id="rId269" Type="http://schemas.openxmlformats.org/officeDocument/2006/relationships/header" Target="header127.xml"/><Relationship Id="rId12" Type="http://schemas.openxmlformats.org/officeDocument/2006/relationships/footer" Target="footer1.xml"/><Relationship Id="rId33" Type="http://schemas.openxmlformats.org/officeDocument/2006/relationships/image" Target="media/image7.jpeg"/><Relationship Id="rId108" Type="http://schemas.openxmlformats.org/officeDocument/2006/relationships/header" Target="header47.xml"/><Relationship Id="rId129" Type="http://schemas.openxmlformats.org/officeDocument/2006/relationships/header" Target="header57.xml"/><Relationship Id="rId280" Type="http://schemas.openxmlformats.org/officeDocument/2006/relationships/footer" Target="footer132.xml"/><Relationship Id="rId315" Type="http://schemas.openxmlformats.org/officeDocument/2006/relationships/footer" Target="footer146.xml"/><Relationship Id="rId336" Type="http://schemas.openxmlformats.org/officeDocument/2006/relationships/header" Target="header157.xml"/><Relationship Id="rId357" Type="http://schemas.openxmlformats.org/officeDocument/2006/relationships/footer" Target="footer167.xml"/><Relationship Id="rId54" Type="http://schemas.openxmlformats.org/officeDocument/2006/relationships/header" Target="header20.xml"/><Relationship Id="rId75" Type="http://schemas.openxmlformats.org/officeDocument/2006/relationships/header" Target="header30.xml"/><Relationship Id="rId96" Type="http://schemas.openxmlformats.org/officeDocument/2006/relationships/header" Target="header41.xml"/><Relationship Id="rId140" Type="http://schemas.openxmlformats.org/officeDocument/2006/relationships/footer" Target="footer62.xml"/><Relationship Id="rId161" Type="http://schemas.openxmlformats.org/officeDocument/2006/relationships/header" Target="header73.xml"/><Relationship Id="rId182" Type="http://schemas.openxmlformats.org/officeDocument/2006/relationships/footer" Target="footer83.xml"/><Relationship Id="rId217" Type="http://schemas.openxmlformats.org/officeDocument/2006/relationships/footer" Target="footer100.xml"/><Relationship Id="rId378" Type="http://schemas.openxmlformats.org/officeDocument/2006/relationships/header" Target="header178.xml"/><Relationship Id="rId399" Type="http://schemas.openxmlformats.org/officeDocument/2006/relationships/footer" Target="footer188.xml"/><Relationship Id="rId403" Type="http://schemas.openxmlformats.org/officeDocument/2006/relationships/header" Target="header191.xml"/><Relationship Id="rId6" Type="http://schemas.openxmlformats.org/officeDocument/2006/relationships/webSettings" Target="webSettings.xml"/><Relationship Id="rId238" Type="http://schemas.openxmlformats.org/officeDocument/2006/relationships/footer" Target="footer111.xml"/><Relationship Id="rId259" Type="http://schemas.openxmlformats.org/officeDocument/2006/relationships/footer" Target="footer121.xml"/><Relationship Id="rId424" Type="http://schemas.openxmlformats.org/officeDocument/2006/relationships/header" Target="header201.xml"/><Relationship Id="rId23" Type="http://schemas.openxmlformats.org/officeDocument/2006/relationships/header" Target="header7.xml"/><Relationship Id="rId119" Type="http://schemas.openxmlformats.org/officeDocument/2006/relationships/header" Target="header52.xml"/><Relationship Id="rId270" Type="http://schemas.openxmlformats.org/officeDocument/2006/relationships/header" Target="header128.xml"/><Relationship Id="rId291" Type="http://schemas.openxmlformats.org/officeDocument/2006/relationships/header" Target="header138.xml"/><Relationship Id="rId305" Type="http://schemas.openxmlformats.org/officeDocument/2006/relationships/image" Target="media/image15.emf"/><Relationship Id="rId326" Type="http://schemas.openxmlformats.org/officeDocument/2006/relationships/footer" Target="footer151.xml"/><Relationship Id="rId347" Type="http://schemas.openxmlformats.org/officeDocument/2006/relationships/footer" Target="footer162.xml"/><Relationship Id="rId44" Type="http://schemas.openxmlformats.org/officeDocument/2006/relationships/footer" Target="footer14.xml"/><Relationship Id="rId65" Type="http://schemas.openxmlformats.org/officeDocument/2006/relationships/header" Target="header25.xml"/><Relationship Id="rId86" Type="http://schemas.openxmlformats.org/officeDocument/2006/relationships/footer" Target="footer35.xml"/><Relationship Id="rId130" Type="http://schemas.openxmlformats.org/officeDocument/2006/relationships/footer" Target="footer57.xml"/><Relationship Id="rId151" Type="http://schemas.openxmlformats.org/officeDocument/2006/relationships/footer" Target="footer67.xml"/><Relationship Id="rId368" Type="http://schemas.openxmlformats.org/officeDocument/2006/relationships/footer" Target="footer172.xml"/><Relationship Id="rId389" Type="http://schemas.openxmlformats.org/officeDocument/2006/relationships/footer" Target="footer183.xml"/><Relationship Id="rId172" Type="http://schemas.openxmlformats.org/officeDocument/2006/relationships/footer" Target="footer78.xml"/><Relationship Id="rId193" Type="http://schemas.openxmlformats.org/officeDocument/2006/relationships/footer" Target="footer88.xml"/><Relationship Id="rId207" Type="http://schemas.openxmlformats.org/officeDocument/2006/relationships/header" Target="header96.xml"/><Relationship Id="rId228" Type="http://schemas.openxmlformats.org/officeDocument/2006/relationships/header" Target="header107.xml"/><Relationship Id="rId249" Type="http://schemas.openxmlformats.org/officeDocument/2006/relationships/header" Target="header117.xml"/><Relationship Id="rId414" Type="http://schemas.openxmlformats.org/officeDocument/2006/relationships/header" Target="header196.xml"/><Relationship Id="rId13" Type="http://schemas.openxmlformats.org/officeDocument/2006/relationships/footer" Target="footer2.xml"/><Relationship Id="rId109" Type="http://schemas.openxmlformats.org/officeDocument/2006/relationships/footer" Target="footer46.xml"/><Relationship Id="rId260" Type="http://schemas.openxmlformats.org/officeDocument/2006/relationships/footer" Target="footer122.xml"/><Relationship Id="rId281" Type="http://schemas.openxmlformats.org/officeDocument/2006/relationships/header" Target="header133.xml"/><Relationship Id="rId316" Type="http://schemas.openxmlformats.org/officeDocument/2006/relationships/header" Target="header147.xml"/><Relationship Id="rId337" Type="http://schemas.openxmlformats.org/officeDocument/2006/relationships/header" Target="header158.xml"/><Relationship Id="rId34" Type="http://schemas.openxmlformats.org/officeDocument/2006/relationships/image" Target="media/image8.jpeg"/><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footer" Target="footer40.xml"/><Relationship Id="rId120" Type="http://schemas.openxmlformats.org/officeDocument/2006/relationships/header" Target="header53.xml"/><Relationship Id="rId141" Type="http://schemas.openxmlformats.org/officeDocument/2006/relationships/header" Target="header63.xml"/><Relationship Id="rId358" Type="http://schemas.openxmlformats.org/officeDocument/2006/relationships/header" Target="header168.xml"/><Relationship Id="rId379" Type="http://schemas.openxmlformats.org/officeDocument/2006/relationships/header" Target="header179.xml"/><Relationship Id="rId7" Type="http://schemas.openxmlformats.org/officeDocument/2006/relationships/footnotes" Target="footnotes.xml"/><Relationship Id="rId162" Type="http://schemas.openxmlformats.org/officeDocument/2006/relationships/header" Target="header74.xml"/><Relationship Id="rId183" Type="http://schemas.openxmlformats.org/officeDocument/2006/relationships/header" Target="header84.xml"/><Relationship Id="rId218" Type="http://schemas.openxmlformats.org/officeDocument/2006/relationships/footer" Target="footer101.xml"/><Relationship Id="rId239" Type="http://schemas.openxmlformats.org/officeDocument/2006/relationships/header" Target="header112.xml"/><Relationship Id="rId390" Type="http://schemas.openxmlformats.org/officeDocument/2006/relationships/header" Target="header184.xml"/><Relationship Id="rId404" Type="http://schemas.openxmlformats.org/officeDocument/2006/relationships/footer" Target="footer190.xml"/><Relationship Id="rId425" Type="http://schemas.openxmlformats.org/officeDocument/2006/relationships/footer" Target="footer201.xml"/><Relationship Id="rId250" Type="http://schemas.openxmlformats.org/officeDocument/2006/relationships/footer" Target="footer117.xml"/><Relationship Id="rId271" Type="http://schemas.openxmlformats.org/officeDocument/2006/relationships/footer" Target="footer127.xml"/><Relationship Id="rId292" Type="http://schemas.openxmlformats.org/officeDocument/2006/relationships/footer" Target="footer138.xml"/><Relationship Id="rId306" Type="http://schemas.openxmlformats.org/officeDocument/2006/relationships/header" Target="header142.xml"/><Relationship Id="rId24" Type="http://schemas.openxmlformats.org/officeDocument/2006/relationships/header" Target="header8.xml"/><Relationship Id="rId45" Type="http://schemas.openxmlformats.org/officeDocument/2006/relationships/header" Target="header15.xml"/><Relationship Id="rId66" Type="http://schemas.openxmlformats.org/officeDocument/2006/relationships/header" Target="header26.xml"/><Relationship Id="rId87" Type="http://schemas.openxmlformats.org/officeDocument/2006/relationships/header" Target="header36.xml"/><Relationship Id="rId110" Type="http://schemas.openxmlformats.org/officeDocument/2006/relationships/footer" Target="footer47.xml"/><Relationship Id="rId131" Type="http://schemas.openxmlformats.org/officeDocument/2006/relationships/header" Target="header58.xml"/><Relationship Id="rId327" Type="http://schemas.openxmlformats.org/officeDocument/2006/relationships/footer" Target="footer152.xml"/><Relationship Id="rId348" Type="http://schemas.openxmlformats.org/officeDocument/2006/relationships/header" Target="header163.xml"/><Relationship Id="rId369" Type="http://schemas.openxmlformats.org/officeDocument/2006/relationships/footer" Target="footer173.xml"/><Relationship Id="rId152" Type="http://schemas.openxmlformats.org/officeDocument/2006/relationships/footer" Target="footer68.xml"/><Relationship Id="rId173" Type="http://schemas.openxmlformats.org/officeDocument/2006/relationships/header" Target="header79.xml"/><Relationship Id="rId194" Type="http://schemas.openxmlformats.org/officeDocument/2006/relationships/footer" Target="footer89.xml"/><Relationship Id="rId208" Type="http://schemas.openxmlformats.org/officeDocument/2006/relationships/footer" Target="footer96.xml"/><Relationship Id="rId229" Type="http://schemas.openxmlformats.org/officeDocument/2006/relationships/footer" Target="footer106.xml"/><Relationship Id="rId380" Type="http://schemas.openxmlformats.org/officeDocument/2006/relationships/footer" Target="footer178.xml"/><Relationship Id="rId415" Type="http://schemas.openxmlformats.org/officeDocument/2006/relationships/header" Target="header197.xml"/><Relationship Id="rId240" Type="http://schemas.openxmlformats.org/officeDocument/2006/relationships/header" Target="header113.xml"/><Relationship Id="rId261" Type="http://schemas.openxmlformats.org/officeDocument/2006/relationships/header" Target="header123.xml"/><Relationship Id="rId14" Type="http://schemas.openxmlformats.org/officeDocument/2006/relationships/header" Target="header3.xml"/><Relationship Id="rId35" Type="http://schemas.openxmlformats.org/officeDocument/2006/relationships/header" Target="header10.xml"/><Relationship Id="rId56" Type="http://schemas.openxmlformats.org/officeDocument/2006/relationships/footer" Target="footer20.xml"/><Relationship Id="rId77" Type="http://schemas.openxmlformats.org/officeDocument/2006/relationships/header" Target="header31.xml"/><Relationship Id="rId100" Type="http://schemas.openxmlformats.org/officeDocument/2006/relationships/footer" Target="footer42.xml"/><Relationship Id="rId282" Type="http://schemas.openxmlformats.org/officeDocument/2006/relationships/header" Target="header134.xml"/><Relationship Id="rId317" Type="http://schemas.openxmlformats.org/officeDocument/2006/relationships/footer" Target="footer147.xml"/><Relationship Id="rId338" Type="http://schemas.openxmlformats.org/officeDocument/2006/relationships/footer" Target="footer157.xml"/><Relationship Id="rId359" Type="http://schemas.openxmlformats.org/officeDocument/2006/relationships/footer" Target="footer168.xml"/><Relationship Id="rId8" Type="http://schemas.openxmlformats.org/officeDocument/2006/relationships/endnotes" Target="endnotes.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footer" Target="footer63.xml"/><Relationship Id="rId163" Type="http://schemas.openxmlformats.org/officeDocument/2006/relationships/footer" Target="footer73.xml"/><Relationship Id="rId184" Type="http://schemas.openxmlformats.org/officeDocument/2006/relationships/footer" Target="footer84.xml"/><Relationship Id="rId219" Type="http://schemas.openxmlformats.org/officeDocument/2006/relationships/header" Target="header102.xml"/><Relationship Id="rId370" Type="http://schemas.openxmlformats.org/officeDocument/2006/relationships/header" Target="header174.xml"/><Relationship Id="rId391" Type="http://schemas.openxmlformats.org/officeDocument/2006/relationships/header" Target="header185.xml"/><Relationship Id="rId405" Type="http://schemas.openxmlformats.org/officeDocument/2006/relationships/footer" Target="footer191.xml"/><Relationship Id="rId426" Type="http://schemas.openxmlformats.org/officeDocument/2006/relationships/header" Target="header202.xml"/><Relationship Id="rId230" Type="http://schemas.openxmlformats.org/officeDocument/2006/relationships/footer" Target="footer107.xml"/><Relationship Id="rId251" Type="http://schemas.openxmlformats.org/officeDocument/2006/relationships/header" Target="header118.xml"/><Relationship Id="rId25" Type="http://schemas.openxmlformats.org/officeDocument/2006/relationships/footer" Target="footer7.xml"/><Relationship Id="rId46" Type="http://schemas.openxmlformats.org/officeDocument/2006/relationships/footer" Target="footer15.xml"/><Relationship Id="rId67" Type="http://schemas.openxmlformats.org/officeDocument/2006/relationships/footer" Target="footer25.xml"/><Relationship Id="rId272" Type="http://schemas.openxmlformats.org/officeDocument/2006/relationships/footer" Target="footer128.xml"/><Relationship Id="rId293" Type="http://schemas.openxmlformats.org/officeDocument/2006/relationships/header" Target="header139.xml"/><Relationship Id="rId307" Type="http://schemas.openxmlformats.org/officeDocument/2006/relationships/header" Target="header143.xml"/><Relationship Id="rId328" Type="http://schemas.openxmlformats.org/officeDocument/2006/relationships/header" Target="header153.xml"/><Relationship Id="rId349" Type="http://schemas.openxmlformats.org/officeDocument/2006/relationships/header" Target="header164.xml"/><Relationship Id="rId88" Type="http://schemas.openxmlformats.org/officeDocument/2006/relationships/footer" Target="footer36.xml"/><Relationship Id="rId111" Type="http://schemas.openxmlformats.org/officeDocument/2006/relationships/header" Target="header48.xml"/><Relationship Id="rId132" Type="http://schemas.openxmlformats.org/officeDocument/2006/relationships/header" Target="header59.xml"/><Relationship Id="rId153" Type="http://schemas.openxmlformats.org/officeDocument/2006/relationships/header" Target="header69.xml"/><Relationship Id="rId174" Type="http://schemas.openxmlformats.org/officeDocument/2006/relationships/header" Target="header80.xml"/><Relationship Id="rId195" Type="http://schemas.openxmlformats.org/officeDocument/2006/relationships/header" Target="header90.xml"/><Relationship Id="rId209" Type="http://schemas.openxmlformats.org/officeDocument/2006/relationships/header" Target="header97.xml"/><Relationship Id="rId360" Type="http://schemas.openxmlformats.org/officeDocument/2006/relationships/header" Target="header169.xml"/><Relationship Id="rId381" Type="http://schemas.openxmlformats.org/officeDocument/2006/relationships/footer" Target="footer179.xml"/><Relationship Id="rId416" Type="http://schemas.openxmlformats.org/officeDocument/2006/relationships/footer" Target="footer196.xml"/><Relationship Id="rId220" Type="http://schemas.openxmlformats.org/officeDocument/2006/relationships/footer" Target="footer102.xml"/><Relationship Id="rId241" Type="http://schemas.openxmlformats.org/officeDocument/2006/relationships/footer" Target="footer112.xml"/><Relationship Id="rId15" Type="http://schemas.openxmlformats.org/officeDocument/2006/relationships/footer" Target="footer3.xml"/><Relationship Id="rId36" Type="http://schemas.openxmlformats.org/officeDocument/2006/relationships/header" Target="header11.xml"/><Relationship Id="rId57" Type="http://schemas.openxmlformats.org/officeDocument/2006/relationships/header" Target="header21.xml"/><Relationship Id="rId262" Type="http://schemas.openxmlformats.org/officeDocument/2006/relationships/footer" Target="footer123.xml"/><Relationship Id="rId283" Type="http://schemas.openxmlformats.org/officeDocument/2006/relationships/footer" Target="footer133.xml"/><Relationship Id="rId318" Type="http://schemas.openxmlformats.org/officeDocument/2006/relationships/header" Target="header148.xml"/><Relationship Id="rId339" Type="http://schemas.openxmlformats.org/officeDocument/2006/relationships/footer" Target="footer158.xml"/><Relationship Id="rId78" Type="http://schemas.openxmlformats.org/officeDocument/2006/relationships/header" Target="header32.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53.xml"/><Relationship Id="rId143" Type="http://schemas.openxmlformats.org/officeDocument/2006/relationships/header" Target="header64.xml"/><Relationship Id="rId164" Type="http://schemas.openxmlformats.org/officeDocument/2006/relationships/footer" Target="footer74.xml"/><Relationship Id="rId185" Type="http://schemas.openxmlformats.org/officeDocument/2006/relationships/header" Target="header85.xml"/><Relationship Id="rId350" Type="http://schemas.openxmlformats.org/officeDocument/2006/relationships/footer" Target="footer163.xml"/><Relationship Id="rId371" Type="http://schemas.openxmlformats.org/officeDocument/2006/relationships/footer" Target="footer174.xml"/><Relationship Id="rId406" Type="http://schemas.openxmlformats.org/officeDocument/2006/relationships/header" Target="header192.xml"/><Relationship Id="rId9" Type="http://schemas.openxmlformats.org/officeDocument/2006/relationships/image" Target="media/image1.emf"/><Relationship Id="rId210" Type="http://schemas.openxmlformats.org/officeDocument/2006/relationships/header" Target="header98.xml"/><Relationship Id="rId392" Type="http://schemas.openxmlformats.org/officeDocument/2006/relationships/footer" Target="footer184.xml"/><Relationship Id="rId427" Type="http://schemas.openxmlformats.org/officeDocument/2006/relationships/header" Target="header203.xml"/><Relationship Id="rId26" Type="http://schemas.openxmlformats.org/officeDocument/2006/relationships/footer" Target="footer8.xml"/><Relationship Id="rId231" Type="http://schemas.openxmlformats.org/officeDocument/2006/relationships/header" Target="header108.xml"/><Relationship Id="rId252" Type="http://schemas.openxmlformats.org/officeDocument/2006/relationships/header" Target="header119.xml"/><Relationship Id="rId273" Type="http://schemas.openxmlformats.org/officeDocument/2006/relationships/header" Target="header129.xml"/><Relationship Id="rId294" Type="http://schemas.openxmlformats.org/officeDocument/2006/relationships/header" Target="header140.xml"/><Relationship Id="rId308" Type="http://schemas.openxmlformats.org/officeDocument/2006/relationships/footer" Target="footer142.xml"/><Relationship Id="rId329" Type="http://schemas.openxmlformats.org/officeDocument/2006/relationships/footer" Target="footer153.xml"/><Relationship Id="rId47" Type="http://schemas.openxmlformats.org/officeDocument/2006/relationships/header" Target="header16.xml"/><Relationship Id="rId68" Type="http://schemas.openxmlformats.org/officeDocument/2006/relationships/footer" Target="footer26.xml"/><Relationship Id="rId89" Type="http://schemas.openxmlformats.org/officeDocument/2006/relationships/header" Target="header37.xml"/><Relationship Id="rId112" Type="http://schemas.openxmlformats.org/officeDocument/2006/relationships/footer" Target="footer48.xml"/><Relationship Id="rId133" Type="http://schemas.openxmlformats.org/officeDocument/2006/relationships/footer" Target="footer58.xml"/><Relationship Id="rId154" Type="http://schemas.openxmlformats.org/officeDocument/2006/relationships/footer" Target="footer69.xml"/><Relationship Id="rId175" Type="http://schemas.openxmlformats.org/officeDocument/2006/relationships/footer" Target="footer79.xml"/><Relationship Id="rId340" Type="http://schemas.openxmlformats.org/officeDocument/2006/relationships/header" Target="header159.xml"/><Relationship Id="rId361" Type="http://schemas.openxmlformats.org/officeDocument/2006/relationships/header" Target="header170.xml"/><Relationship Id="rId196" Type="http://schemas.openxmlformats.org/officeDocument/2006/relationships/footer" Target="footer90.xml"/><Relationship Id="rId200" Type="http://schemas.openxmlformats.org/officeDocument/2006/relationships/footer" Target="footer92.xml"/><Relationship Id="rId382" Type="http://schemas.openxmlformats.org/officeDocument/2006/relationships/header" Target="header180.xml"/><Relationship Id="rId417" Type="http://schemas.openxmlformats.org/officeDocument/2006/relationships/footer" Target="footer197.xml"/><Relationship Id="rId16" Type="http://schemas.openxmlformats.org/officeDocument/2006/relationships/header" Target="header4.xml"/><Relationship Id="rId221" Type="http://schemas.openxmlformats.org/officeDocument/2006/relationships/header" Target="header103.xml"/><Relationship Id="rId242" Type="http://schemas.openxmlformats.org/officeDocument/2006/relationships/footer" Target="footer113.xml"/><Relationship Id="rId263" Type="http://schemas.openxmlformats.org/officeDocument/2006/relationships/header" Target="header124.xml"/><Relationship Id="rId284" Type="http://schemas.openxmlformats.org/officeDocument/2006/relationships/footer" Target="footer134.xml"/><Relationship Id="rId319" Type="http://schemas.openxmlformats.org/officeDocument/2006/relationships/header" Target="header149.xml"/><Relationship Id="rId37" Type="http://schemas.openxmlformats.org/officeDocument/2006/relationships/footer" Target="footer10.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header" Target="header54.xml"/><Relationship Id="rId144" Type="http://schemas.openxmlformats.org/officeDocument/2006/relationships/header" Target="header65.xml"/><Relationship Id="rId330" Type="http://schemas.openxmlformats.org/officeDocument/2006/relationships/header" Target="header154.xml"/><Relationship Id="rId90" Type="http://schemas.openxmlformats.org/officeDocument/2006/relationships/header" Target="header38.xml"/><Relationship Id="rId165" Type="http://schemas.openxmlformats.org/officeDocument/2006/relationships/header" Target="header75.xml"/><Relationship Id="rId186" Type="http://schemas.openxmlformats.org/officeDocument/2006/relationships/header" Target="header86.xml"/><Relationship Id="rId351" Type="http://schemas.openxmlformats.org/officeDocument/2006/relationships/footer" Target="footer164.xml"/><Relationship Id="rId372" Type="http://schemas.openxmlformats.org/officeDocument/2006/relationships/header" Target="header175.xml"/><Relationship Id="rId393" Type="http://schemas.openxmlformats.org/officeDocument/2006/relationships/footer" Target="footer185.xml"/><Relationship Id="rId407" Type="http://schemas.openxmlformats.org/officeDocument/2006/relationships/footer" Target="footer192.xml"/><Relationship Id="rId428" Type="http://schemas.openxmlformats.org/officeDocument/2006/relationships/footer" Target="footer202.xml"/><Relationship Id="rId211" Type="http://schemas.openxmlformats.org/officeDocument/2006/relationships/footer" Target="footer97.xml"/><Relationship Id="rId232" Type="http://schemas.openxmlformats.org/officeDocument/2006/relationships/footer" Target="footer108.xml"/><Relationship Id="rId253" Type="http://schemas.openxmlformats.org/officeDocument/2006/relationships/footer" Target="footer118.xml"/><Relationship Id="rId274" Type="http://schemas.openxmlformats.org/officeDocument/2006/relationships/footer" Target="footer129.xml"/><Relationship Id="rId295" Type="http://schemas.openxmlformats.org/officeDocument/2006/relationships/footer" Target="footer139.xml"/><Relationship Id="rId309" Type="http://schemas.openxmlformats.org/officeDocument/2006/relationships/footer" Target="footer143.xml"/><Relationship Id="rId27" Type="http://schemas.openxmlformats.org/officeDocument/2006/relationships/header" Target="header9.xml"/><Relationship Id="rId48" Type="http://schemas.openxmlformats.org/officeDocument/2006/relationships/header" Target="header17.xml"/><Relationship Id="rId69" Type="http://schemas.openxmlformats.org/officeDocument/2006/relationships/header" Target="header27.xml"/><Relationship Id="rId113" Type="http://schemas.openxmlformats.org/officeDocument/2006/relationships/header" Target="header49.xml"/><Relationship Id="rId134" Type="http://schemas.openxmlformats.org/officeDocument/2006/relationships/footer" Target="footer59.xml"/><Relationship Id="rId320" Type="http://schemas.openxmlformats.org/officeDocument/2006/relationships/footer" Target="footer148.xml"/><Relationship Id="rId80" Type="http://schemas.openxmlformats.org/officeDocument/2006/relationships/footer" Target="footer32.xml"/><Relationship Id="rId155" Type="http://schemas.openxmlformats.org/officeDocument/2006/relationships/header" Target="header70.xml"/><Relationship Id="rId176" Type="http://schemas.openxmlformats.org/officeDocument/2006/relationships/footer" Target="footer80.xml"/><Relationship Id="rId197" Type="http://schemas.openxmlformats.org/officeDocument/2006/relationships/header" Target="header91.xml"/><Relationship Id="rId341" Type="http://schemas.openxmlformats.org/officeDocument/2006/relationships/footer" Target="footer159.xml"/><Relationship Id="rId362" Type="http://schemas.openxmlformats.org/officeDocument/2006/relationships/footer" Target="footer169.xml"/><Relationship Id="rId383" Type="http://schemas.openxmlformats.org/officeDocument/2006/relationships/footer" Target="footer180.xml"/><Relationship Id="rId418" Type="http://schemas.openxmlformats.org/officeDocument/2006/relationships/header" Target="header198.xml"/><Relationship Id="rId201" Type="http://schemas.openxmlformats.org/officeDocument/2006/relationships/header" Target="header93.xml"/><Relationship Id="rId222" Type="http://schemas.openxmlformats.org/officeDocument/2006/relationships/header" Target="header104.xml"/><Relationship Id="rId243" Type="http://schemas.openxmlformats.org/officeDocument/2006/relationships/header" Target="header114.xml"/><Relationship Id="rId264" Type="http://schemas.openxmlformats.org/officeDocument/2006/relationships/header" Target="header125.xml"/><Relationship Id="rId285" Type="http://schemas.openxmlformats.org/officeDocument/2006/relationships/header" Target="header135.xml"/><Relationship Id="rId17" Type="http://schemas.openxmlformats.org/officeDocument/2006/relationships/header" Target="header5.xml"/><Relationship Id="rId38" Type="http://schemas.openxmlformats.org/officeDocument/2006/relationships/footer" Target="footer11.xml"/><Relationship Id="rId59" Type="http://schemas.openxmlformats.org/officeDocument/2006/relationships/header" Target="header22.xml"/><Relationship Id="rId103" Type="http://schemas.openxmlformats.org/officeDocument/2006/relationships/footer" Target="footer43.xml"/><Relationship Id="rId124" Type="http://schemas.openxmlformats.org/officeDocument/2006/relationships/footer" Target="footer54.xml"/><Relationship Id="rId310" Type="http://schemas.openxmlformats.org/officeDocument/2006/relationships/header" Target="header144.xml"/><Relationship Id="rId70" Type="http://schemas.openxmlformats.org/officeDocument/2006/relationships/footer" Target="footer27.xml"/><Relationship Id="rId91" Type="http://schemas.openxmlformats.org/officeDocument/2006/relationships/footer" Target="footer37.xml"/><Relationship Id="rId145" Type="http://schemas.openxmlformats.org/officeDocument/2006/relationships/footer" Target="footer64.xml"/><Relationship Id="rId166" Type="http://schemas.openxmlformats.org/officeDocument/2006/relationships/footer" Target="footer75.xml"/><Relationship Id="rId187" Type="http://schemas.openxmlformats.org/officeDocument/2006/relationships/footer" Target="footer85.xml"/><Relationship Id="rId331" Type="http://schemas.openxmlformats.org/officeDocument/2006/relationships/header" Target="header155.xml"/><Relationship Id="rId352" Type="http://schemas.openxmlformats.org/officeDocument/2006/relationships/header" Target="header165.xml"/><Relationship Id="rId373" Type="http://schemas.openxmlformats.org/officeDocument/2006/relationships/header" Target="header176.xml"/><Relationship Id="rId394" Type="http://schemas.openxmlformats.org/officeDocument/2006/relationships/header" Target="header186.xml"/><Relationship Id="rId408" Type="http://schemas.openxmlformats.org/officeDocument/2006/relationships/header" Target="header193.xml"/><Relationship Id="rId429" Type="http://schemas.openxmlformats.org/officeDocument/2006/relationships/footer" Target="footer203.xml"/><Relationship Id="rId1" Type="http://schemas.microsoft.com/office/2006/relationships/keyMapCustomizations" Target="customizations.xml"/><Relationship Id="rId212" Type="http://schemas.openxmlformats.org/officeDocument/2006/relationships/footer" Target="footer98.xml"/><Relationship Id="rId233" Type="http://schemas.openxmlformats.org/officeDocument/2006/relationships/header" Target="header109.xml"/><Relationship Id="rId254" Type="http://schemas.openxmlformats.org/officeDocument/2006/relationships/footer" Target="footer119.xml"/><Relationship Id="rId28" Type="http://schemas.openxmlformats.org/officeDocument/2006/relationships/footer" Target="footer9.xml"/><Relationship Id="rId49" Type="http://schemas.openxmlformats.org/officeDocument/2006/relationships/footer" Target="footer16.xml"/><Relationship Id="rId114" Type="http://schemas.openxmlformats.org/officeDocument/2006/relationships/header" Target="header50.xml"/><Relationship Id="rId275" Type="http://schemas.openxmlformats.org/officeDocument/2006/relationships/header" Target="header130.xml"/><Relationship Id="rId296" Type="http://schemas.openxmlformats.org/officeDocument/2006/relationships/footer" Target="footer140.xml"/><Relationship Id="rId300" Type="http://schemas.openxmlformats.org/officeDocument/2006/relationships/image" Target="media/image10.emf"/><Relationship Id="rId60" Type="http://schemas.openxmlformats.org/officeDocument/2006/relationships/header" Target="header23.xml"/><Relationship Id="rId81" Type="http://schemas.openxmlformats.org/officeDocument/2006/relationships/header" Target="header33.xml"/><Relationship Id="rId135" Type="http://schemas.openxmlformats.org/officeDocument/2006/relationships/header" Target="header60.xml"/><Relationship Id="rId156" Type="http://schemas.openxmlformats.org/officeDocument/2006/relationships/header" Target="header71.xml"/><Relationship Id="rId177" Type="http://schemas.openxmlformats.org/officeDocument/2006/relationships/header" Target="header81.xml"/><Relationship Id="rId198" Type="http://schemas.openxmlformats.org/officeDocument/2006/relationships/header" Target="header92.xml"/><Relationship Id="rId321" Type="http://schemas.openxmlformats.org/officeDocument/2006/relationships/footer" Target="footer149.xml"/><Relationship Id="rId342" Type="http://schemas.openxmlformats.org/officeDocument/2006/relationships/header" Target="header160.xml"/><Relationship Id="rId363" Type="http://schemas.openxmlformats.org/officeDocument/2006/relationships/footer" Target="footer170.xml"/><Relationship Id="rId384" Type="http://schemas.openxmlformats.org/officeDocument/2006/relationships/header" Target="header181.xml"/><Relationship Id="rId419" Type="http://schemas.openxmlformats.org/officeDocument/2006/relationships/footer" Target="footer198.xml"/><Relationship Id="rId202" Type="http://schemas.openxmlformats.org/officeDocument/2006/relationships/footer" Target="footer93.xml"/><Relationship Id="rId223" Type="http://schemas.openxmlformats.org/officeDocument/2006/relationships/footer" Target="footer103.xml"/><Relationship Id="rId244" Type="http://schemas.openxmlformats.org/officeDocument/2006/relationships/footer" Target="footer114.xml"/><Relationship Id="rId430" Type="http://schemas.openxmlformats.org/officeDocument/2006/relationships/header" Target="header204.xml"/><Relationship Id="rId18" Type="http://schemas.openxmlformats.org/officeDocument/2006/relationships/footer" Target="footer4.xml"/><Relationship Id="rId39" Type="http://schemas.openxmlformats.org/officeDocument/2006/relationships/header" Target="header12.xml"/><Relationship Id="rId265" Type="http://schemas.openxmlformats.org/officeDocument/2006/relationships/footer" Target="footer124.xml"/><Relationship Id="rId286" Type="http://schemas.openxmlformats.org/officeDocument/2006/relationships/footer" Target="footer135.xml"/><Relationship Id="rId50" Type="http://schemas.openxmlformats.org/officeDocument/2006/relationships/footer" Target="footer17.xml"/><Relationship Id="rId104" Type="http://schemas.openxmlformats.org/officeDocument/2006/relationships/footer" Target="footer44.xml"/><Relationship Id="rId125" Type="http://schemas.openxmlformats.org/officeDocument/2006/relationships/header" Target="header55.xml"/><Relationship Id="rId146" Type="http://schemas.openxmlformats.org/officeDocument/2006/relationships/footer" Target="footer65.xml"/><Relationship Id="rId167" Type="http://schemas.openxmlformats.org/officeDocument/2006/relationships/header" Target="header76.xml"/><Relationship Id="rId188" Type="http://schemas.openxmlformats.org/officeDocument/2006/relationships/footer" Target="footer86.xml"/><Relationship Id="rId311" Type="http://schemas.openxmlformats.org/officeDocument/2006/relationships/footer" Target="footer144.xml"/><Relationship Id="rId332" Type="http://schemas.openxmlformats.org/officeDocument/2006/relationships/footer" Target="footer154.xml"/><Relationship Id="rId353" Type="http://schemas.openxmlformats.org/officeDocument/2006/relationships/footer" Target="footer165.xml"/><Relationship Id="rId374" Type="http://schemas.openxmlformats.org/officeDocument/2006/relationships/footer" Target="footer175.xml"/><Relationship Id="rId395" Type="http://schemas.openxmlformats.org/officeDocument/2006/relationships/footer" Target="footer186.xml"/><Relationship Id="rId409" Type="http://schemas.openxmlformats.org/officeDocument/2006/relationships/header" Target="header194.xml"/><Relationship Id="rId71" Type="http://schemas.openxmlformats.org/officeDocument/2006/relationships/header" Target="header28.xml"/><Relationship Id="rId92" Type="http://schemas.openxmlformats.org/officeDocument/2006/relationships/footer" Target="footer38.xml"/><Relationship Id="rId213" Type="http://schemas.openxmlformats.org/officeDocument/2006/relationships/header" Target="header99.xml"/><Relationship Id="rId234" Type="http://schemas.openxmlformats.org/officeDocument/2006/relationships/header" Target="header110.xml"/><Relationship Id="rId420" Type="http://schemas.openxmlformats.org/officeDocument/2006/relationships/header" Target="header199.xml"/><Relationship Id="rId2" Type="http://schemas.openxmlformats.org/officeDocument/2006/relationships/customXml" Target="../customXml/item1.xml"/><Relationship Id="rId29" Type="http://schemas.openxmlformats.org/officeDocument/2006/relationships/image" Target="media/image3.png"/><Relationship Id="rId255" Type="http://schemas.openxmlformats.org/officeDocument/2006/relationships/header" Target="header120.xml"/><Relationship Id="rId276" Type="http://schemas.openxmlformats.org/officeDocument/2006/relationships/header" Target="header131.xml"/><Relationship Id="rId297" Type="http://schemas.openxmlformats.org/officeDocument/2006/relationships/header" Target="header141.xml"/><Relationship Id="rId40" Type="http://schemas.openxmlformats.org/officeDocument/2006/relationships/footer" Target="footer12.xml"/><Relationship Id="rId115" Type="http://schemas.openxmlformats.org/officeDocument/2006/relationships/footer" Target="footer49.xml"/><Relationship Id="rId136" Type="http://schemas.openxmlformats.org/officeDocument/2006/relationships/footer" Target="footer60.xml"/><Relationship Id="rId157" Type="http://schemas.openxmlformats.org/officeDocument/2006/relationships/footer" Target="footer70.xml"/><Relationship Id="rId178" Type="http://schemas.openxmlformats.org/officeDocument/2006/relationships/footer" Target="footer81.xml"/><Relationship Id="rId301" Type="http://schemas.openxmlformats.org/officeDocument/2006/relationships/image" Target="media/image11.emf"/><Relationship Id="rId322" Type="http://schemas.openxmlformats.org/officeDocument/2006/relationships/header" Target="header150.xml"/><Relationship Id="rId343" Type="http://schemas.openxmlformats.org/officeDocument/2006/relationships/header" Target="header161.xml"/><Relationship Id="rId364" Type="http://schemas.openxmlformats.org/officeDocument/2006/relationships/header" Target="header171.xml"/><Relationship Id="rId61" Type="http://schemas.openxmlformats.org/officeDocument/2006/relationships/footer" Target="footer22.xml"/><Relationship Id="rId82" Type="http://schemas.openxmlformats.org/officeDocument/2006/relationships/footer" Target="footer33.xml"/><Relationship Id="rId199" Type="http://schemas.openxmlformats.org/officeDocument/2006/relationships/footer" Target="footer91.xml"/><Relationship Id="rId203" Type="http://schemas.openxmlformats.org/officeDocument/2006/relationships/header" Target="header94.xml"/><Relationship Id="rId385" Type="http://schemas.openxmlformats.org/officeDocument/2006/relationships/header" Target="header182.xml"/><Relationship Id="rId19" Type="http://schemas.openxmlformats.org/officeDocument/2006/relationships/footer" Target="footer5.xml"/><Relationship Id="rId224" Type="http://schemas.openxmlformats.org/officeDocument/2006/relationships/footer" Target="footer104.xml"/><Relationship Id="rId245" Type="http://schemas.openxmlformats.org/officeDocument/2006/relationships/header" Target="header115.xml"/><Relationship Id="rId266" Type="http://schemas.openxmlformats.org/officeDocument/2006/relationships/footer" Target="footer125.xml"/><Relationship Id="rId287" Type="http://schemas.openxmlformats.org/officeDocument/2006/relationships/header" Target="header136.xml"/><Relationship Id="rId410" Type="http://schemas.openxmlformats.org/officeDocument/2006/relationships/footer" Target="footer193.xml"/><Relationship Id="rId431" Type="http://schemas.openxmlformats.org/officeDocument/2006/relationships/footer" Target="footer204.xml"/><Relationship Id="rId30" Type="http://schemas.openxmlformats.org/officeDocument/2006/relationships/image" Target="media/image4.jpeg"/><Relationship Id="rId105" Type="http://schemas.openxmlformats.org/officeDocument/2006/relationships/header" Target="header45.xml"/><Relationship Id="rId126" Type="http://schemas.openxmlformats.org/officeDocument/2006/relationships/header" Target="header56.xml"/><Relationship Id="rId147" Type="http://schemas.openxmlformats.org/officeDocument/2006/relationships/header" Target="header66.xml"/><Relationship Id="rId168" Type="http://schemas.openxmlformats.org/officeDocument/2006/relationships/header" Target="header77.xml"/><Relationship Id="rId312" Type="http://schemas.openxmlformats.org/officeDocument/2006/relationships/header" Target="header145.xml"/><Relationship Id="rId333" Type="http://schemas.openxmlformats.org/officeDocument/2006/relationships/footer" Target="footer155.xml"/><Relationship Id="rId354" Type="http://schemas.openxmlformats.org/officeDocument/2006/relationships/header" Target="header166.xml"/><Relationship Id="rId51" Type="http://schemas.openxmlformats.org/officeDocument/2006/relationships/header" Target="header18.xml"/><Relationship Id="rId72" Type="http://schemas.openxmlformats.org/officeDocument/2006/relationships/header" Target="header29.xml"/><Relationship Id="rId93" Type="http://schemas.openxmlformats.org/officeDocument/2006/relationships/header" Target="header39.xml"/><Relationship Id="rId189" Type="http://schemas.openxmlformats.org/officeDocument/2006/relationships/header" Target="header87.xml"/><Relationship Id="rId375" Type="http://schemas.openxmlformats.org/officeDocument/2006/relationships/footer" Target="footer176.xml"/><Relationship Id="rId396" Type="http://schemas.openxmlformats.org/officeDocument/2006/relationships/header" Target="header187.xml"/><Relationship Id="rId3" Type="http://schemas.openxmlformats.org/officeDocument/2006/relationships/numbering" Target="numbering.xml"/><Relationship Id="rId214" Type="http://schemas.openxmlformats.org/officeDocument/2006/relationships/footer" Target="footer99.xml"/><Relationship Id="rId235" Type="http://schemas.openxmlformats.org/officeDocument/2006/relationships/footer" Target="footer109.xml"/><Relationship Id="rId256" Type="http://schemas.openxmlformats.org/officeDocument/2006/relationships/footer" Target="footer120.xml"/><Relationship Id="rId277" Type="http://schemas.openxmlformats.org/officeDocument/2006/relationships/footer" Target="footer130.xml"/><Relationship Id="rId298" Type="http://schemas.openxmlformats.org/officeDocument/2006/relationships/footer" Target="footer141.xml"/><Relationship Id="rId400" Type="http://schemas.openxmlformats.org/officeDocument/2006/relationships/header" Target="header189.xml"/><Relationship Id="rId421" Type="http://schemas.openxmlformats.org/officeDocument/2006/relationships/header" Target="header200.xml"/><Relationship Id="rId116" Type="http://schemas.openxmlformats.org/officeDocument/2006/relationships/footer" Target="footer50.xml"/><Relationship Id="rId137" Type="http://schemas.openxmlformats.org/officeDocument/2006/relationships/header" Target="header61.xml"/><Relationship Id="rId158" Type="http://schemas.openxmlformats.org/officeDocument/2006/relationships/footer" Target="footer71.xml"/><Relationship Id="rId302" Type="http://schemas.openxmlformats.org/officeDocument/2006/relationships/image" Target="media/image12.emf"/><Relationship Id="rId323" Type="http://schemas.openxmlformats.org/officeDocument/2006/relationships/footer" Target="footer150.xml"/><Relationship Id="rId344" Type="http://schemas.openxmlformats.org/officeDocument/2006/relationships/footer" Target="footer160.xml"/><Relationship Id="rId20" Type="http://schemas.openxmlformats.org/officeDocument/2006/relationships/header" Target="header6.xml"/><Relationship Id="rId41" Type="http://schemas.openxmlformats.org/officeDocument/2006/relationships/header" Target="header13.xml"/><Relationship Id="rId62" Type="http://schemas.openxmlformats.org/officeDocument/2006/relationships/footer" Target="footer23.xml"/><Relationship Id="rId83" Type="http://schemas.openxmlformats.org/officeDocument/2006/relationships/header" Target="header34.xml"/><Relationship Id="rId179" Type="http://schemas.openxmlformats.org/officeDocument/2006/relationships/header" Target="header82.xml"/><Relationship Id="rId365" Type="http://schemas.openxmlformats.org/officeDocument/2006/relationships/footer" Target="footer171.xml"/><Relationship Id="rId386" Type="http://schemas.openxmlformats.org/officeDocument/2006/relationships/footer" Target="footer181.xml"/><Relationship Id="rId190" Type="http://schemas.openxmlformats.org/officeDocument/2006/relationships/footer" Target="footer87.xml"/><Relationship Id="rId204" Type="http://schemas.openxmlformats.org/officeDocument/2006/relationships/header" Target="header95.xml"/><Relationship Id="rId225" Type="http://schemas.openxmlformats.org/officeDocument/2006/relationships/header" Target="header105.xml"/><Relationship Id="rId246" Type="http://schemas.openxmlformats.org/officeDocument/2006/relationships/header" Target="header116.xml"/><Relationship Id="rId267" Type="http://schemas.openxmlformats.org/officeDocument/2006/relationships/header" Target="header126.xml"/><Relationship Id="rId288" Type="http://schemas.openxmlformats.org/officeDocument/2006/relationships/header" Target="header137.xml"/><Relationship Id="rId411" Type="http://schemas.openxmlformats.org/officeDocument/2006/relationships/footer" Target="footer194.xml"/><Relationship Id="rId432" Type="http://schemas.openxmlformats.org/officeDocument/2006/relationships/fontTable" Target="fontTable.xml"/><Relationship Id="rId106" Type="http://schemas.openxmlformats.org/officeDocument/2006/relationships/footer" Target="footer45.xml"/><Relationship Id="rId127" Type="http://schemas.openxmlformats.org/officeDocument/2006/relationships/footer" Target="footer55.xml"/><Relationship Id="rId313" Type="http://schemas.openxmlformats.org/officeDocument/2006/relationships/header" Target="header146.xml"/><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footer" Target="footer18.xml"/><Relationship Id="rId73" Type="http://schemas.openxmlformats.org/officeDocument/2006/relationships/footer" Target="footer28.xml"/><Relationship Id="rId94" Type="http://schemas.openxmlformats.org/officeDocument/2006/relationships/footer" Target="footer39.xml"/><Relationship Id="rId148" Type="http://schemas.openxmlformats.org/officeDocument/2006/relationships/footer" Target="footer66.xml"/><Relationship Id="rId169" Type="http://schemas.openxmlformats.org/officeDocument/2006/relationships/footer" Target="footer76.xml"/><Relationship Id="rId334" Type="http://schemas.openxmlformats.org/officeDocument/2006/relationships/header" Target="header156.xml"/><Relationship Id="rId355" Type="http://schemas.openxmlformats.org/officeDocument/2006/relationships/header" Target="header167.xml"/><Relationship Id="rId376" Type="http://schemas.openxmlformats.org/officeDocument/2006/relationships/header" Target="header177.xml"/><Relationship Id="rId397" Type="http://schemas.openxmlformats.org/officeDocument/2006/relationships/header" Target="header188.xml"/><Relationship Id="rId4" Type="http://schemas.openxmlformats.org/officeDocument/2006/relationships/styles" Target="styles.xml"/><Relationship Id="rId180" Type="http://schemas.openxmlformats.org/officeDocument/2006/relationships/header" Target="header83.xml"/><Relationship Id="rId215" Type="http://schemas.openxmlformats.org/officeDocument/2006/relationships/header" Target="header100.xml"/><Relationship Id="rId236" Type="http://schemas.openxmlformats.org/officeDocument/2006/relationships/footer" Target="footer110.xml"/><Relationship Id="rId257" Type="http://schemas.openxmlformats.org/officeDocument/2006/relationships/header" Target="header121.xml"/><Relationship Id="rId278" Type="http://schemas.openxmlformats.org/officeDocument/2006/relationships/footer" Target="footer131.xml"/><Relationship Id="rId401" Type="http://schemas.openxmlformats.org/officeDocument/2006/relationships/footer" Target="footer189.xml"/><Relationship Id="rId422" Type="http://schemas.openxmlformats.org/officeDocument/2006/relationships/footer" Target="footer199.xml"/><Relationship Id="rId303" Type="http://schemas.openxmlformats.org/officeDocument/2006/relationships/image" Target="media/image13.emf"/><Relationship Id="rId42" Type="http://schemas.openxmlformats.org/officeDocument/2006/relationships/header" Target="header14.xml"/><Relationship Id="rId84" Type="http://schemas.openxmlformats.org/officeDocument/2006/relationships/header" Target="header35.xml"/><Relationship Id="rId138" Type="http://schemas.openxmlformats.org/officeDocument/2006/relationships/header" Target="header62.xml"/><Relationship Id="rId345" Type="http://schemas.openxmlformats.org/officeDocument/2006/relationships/footer" Target="footer161.xml"/><Relationship Id="rId387" Type="http://schemas.openxmlformats.org/officeDocument/2006/relationships/footer" Target="footer182.xml"/><Relationship Id="rId191" Type="http://schemas.openxmlformats.org/officeDocument/2006/relationships/header" Target="header88.xml"/><Relationship Id="rId205" Type="http://schemas.openxmlformats.org/officeDocument/2006/relationships/footer" Target="footer94.xml"/><Relationship Id="rId247" Type="http://schemas.openxmlformats.org/officeDocument/2006/relationships/footer" Target="footer115.xml"/><Relationship Id="rId412" Type="http://schemas.openxmlformats.org/officeDocument/2006/relationships/header" Target="header195.xml"/><Relationship Id="rId107" Type="http://schemas.openxmlformats.org/officeDocument/2006/relationships/header" Target="header46.xml"/><Relationship Id="rId289" Type="http://schemas.openxmlformats.org/officeDocument/2006/relationships/footer" Target="footer136.xml"/><Relationship Id="rId11" Type="http://schemas.openxmlformats.org/officeDocument/2006/relationships/header" Target="header2.xml"/><Relationship Id="rId53" Type="http://schemas.openxmlformats.org/officeDocument/2006/relationships/header" Target="header19.xml"/><Relationship Id="rId149" Type="http://schemas.openxmlformats.org/officeDocument/2006/relationships/header" Target="header67.xml"/><Relationship Id="rId314" Type="http://schemas.openxmlformats.org/officeDocument/2006/relationships/footer" Target="footer145.xml"/><Relationship Id="rId356" Type="http://schemas.openxmlformats.org/officeDocument/2006/relationships/footer" Target="footer166.xml"/><Relationship Id="rId398" Type="http://schemas.openxmlformats.org/officeDocument/2006/relationships/footer" Target="footer187.xml"/><Relationship Id="rId95" Type="http://schemas.openxmlformats.org/officeDocument/2006/relationships/header" Target="header40.xml"/><Relationship Id="rId160" Type="http://schemas.openxmlformats.org/officeDocument/2006/relationships/footer" Target="footer72.xml"/><Relationship Id="rId216" Type="http://schemas.openxmlformats.org/officeDocument/2006/relationships/header" Target="header101.xml"/><Relationship Id="rId423" Type="http://schemas.openxmlformats.org/officeDocument/2006/relationships/footer" Target="footer200.xml"/><Relationship Id="rId258" Type="http://schemas.openxmlformats.org/officeDocument/2006/relationships/header" Target="header122.xml"/><Relationship Id="rId22" Type="http://schemas.openxmlformats.org/officeDocument/2006/relationships/image" Target="media/image2.png"/><Relationship Id="rId64" Type="http://schemas.openxmlformats.org/officeDocument/2006/relationships/footer" Target="footer24.xml"/><Relationship Id="rId118" Type="http://schemas.openxmlformats.org/officeDocument/2006/relationships/footer" Target="footer51.xml"/><Relationship Id="rId325" Type="http://schemas.openxmlformats.org/officeDocument/2006/relationships/header" Target="header152.xml"/><Relationship Id="rId367" Type="http://schemas.openxmlformats.org/officeDocument/2006/relationships/header" Target="header173.xml"/><Relationship Id="rId171" Type="http://schemas.openxmlformats.org/officeDocument/2006/relationships/header" Target="header78.xml"/><Relationship Id="rId227" Type="http://schemas.openxmlformats.org/officeDocument/2006/relationships/header" Target="header106.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info/files/file_import/streamlining-strengthening-corporate-governance-european-commission_en.pdf" TargetMode="External"/><Relationship Id="rId2" Type="http://schemas.openxmlformats.org/officeDocument/2006/relationships/hyperlink" Target="https://ec.europa.eu/info/publications/governance-in-the-commission_en" TargetMode="External"/><Relationship Id="rId1" Type="http://schemas.openxmlformats.org/officeDocument/2006/relationships/hyperlink" Target="https://ec.europa.eu/info/sites/info/files/c_2017_6915_fin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450D6-BF7A-4E1F-8E60-4FE087D7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216</Pages>
  <Words>66445</Words>
  <Characters>392692</Characters>
  <Application>Microsoft Office Word</Application>
  <DocSecurity>0</DocSecurity>
  <Lines>21816</Lines>
  <Paragraphs>14348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44</cp:revision>
  <dcterms:created xsi:type="dcterms:W3CDTF">2020-06-18T12:43:00Z</dcterms:created>
  <dcterms:modified xsi:type="dcterms:W3CDTF">2020-09-01T07:25:00Z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XgoAAB+LCAAAAAAABAA1louRAzEIQ1sy+F+P++8hemIzc5lLdjEfIYSj93fiZcaLkS/jvN1ethd9vDjt3a0X+039auvFmi9kEOO+nPof98Xtb+nf1qsjk37f0Vu/yRc+qY9Mhp6ul+Od865+Hn1fjhlNlhFPQXPKz5Drg89b3/t0Ive8/lI/MvTBWGdyEOGWn+iOmFSw9HxM57l1bOjVkDll3O+/kkxl0CZVx8JKQBwVRCLdcUK+OLzWEx7hqqm</vt:lpwstr>
  </property>
  <property fmtid="{D5CDD505-2E9C-101B-9397-08002B2CF9AE}" pid="10" name="frecMETA01">
    <vt:lpwstr>L4+N1BX2qM98ej1SbMOOVvOpX3jqhIF2PwtgKxEw5vs2g5lTMPA878pY3ShTEGAihvn1EGB3S6fWVCPGoaBQ4SmFSTiz522Fw3UZhfZwoPVlUo/yHPRFXpmvjGsf3FXJUrzZ114WlSADydg58kw6oiYMUgE6mtEwVqxCD/vc0P8T4r88UWrBiK+mUV3mOoOEU6qTUNRmFEGumHI3Rc0qgi9t/6ogcuS8pCAbdMWfkEWDJL6uDOqTy1LHxhYa931</vt:lpwstr>
  </property>
  <property fmtid="{D5CDD505-2E9C-101B-9397-08002B2CF9AE}" pid="11" name="frecMETA02">
    <vt:lpwstr>clenqRSBQ1S4TGR5BF2hRVqHbI8UTKFKNzgOip760b5vxQWqDRmzmd6dlQw+GF2rYP1IffdkFDzI/pbsRl8PQobeypYDiewFZW0RQhXKXpdCevTSGqgg4CQ7AftyzATLbtQCEB4I5RqLhzmG26G85CfgQc3IC1vNjEkJFO48jVCTNoybQLIOrYwKRnriCIA0HozyzyC4hp7gIlEyorWBD4Bh4Iznkmc5G8OUKGHt0NcoAATVXgMac8qaUGEA5Cg</vt:lpwstr>
  </property>
  <property fmtid="{D5CDD505-2E9C-101B-9397-08002B2CF9AE}" pid="12" name="frecMETA03">
    <vt:lpwstr>wKoKxl9TVIWKPcTEcrspXEp3ina3GYmMrWPXewaTaEKz+VXqTFcZKxCb69AJmqUuAG7kNjd+hRQ5hhMxSnFFJQ6wBMRuzlNsF4mtacUEEBzGwQr24eMOkz1CPQqgbkAWDge1A6eCQtiO9Pp4SdvnfVUyKAXE5QcMVDFvv7NEhaQcRK4lU6pLmqfZlzU6KoVq7TRA04ctdQTAse6kUCwFRoM0T+KYTROaQb6M00X7O3C4qjKS4yN8XL797YH265a</vt:lpwstr>
  </property>
  <property fmtid="{D5CDD505-2E9C-101B-9397-08002B2CF9AE}" pid="13" name="frecMETA04">
    <vt:lpwstr>OJA7EPcsRVCXa2t51g9YeGxgxuh/0XYCsFrl7LKJguk0o8++oCLvoGUgz7R7AkMiRJR20XaybNsJQVZ+9lqgx1QRVOLSWsWEMZwSJ52HoGL4umdL57oJ7oXxtX94hVCzlxijJ87fT+R2uXPLChkKbejypxkeRHczSi0wnOVpfTRAlZgTEm+1FzIt+dGiCPFfqJ6LWaPlISgh30jQ+NbldleRTwKcElVPnzyx5dmgCCftOp+sdDOtkK4RnqdGNQ0</vt:lpwstr>
  </property>
  <property fmtid="{D5CDD505-2E9C-101B-9397-08002B2CF9AE}" pid="14" name="frecMETA05">
    <vt:lpwstr>d86e6BNz8OiBTlDp8vbActBKJ+zz4F87EqtXMk81UFTz5YaEBoiJAo2KkhAWMY+rxuzAKBoiLC9RUiRYU317g3nE7XA1zQ8e+a8iqy0nUZceXEdXAkJO2otEotr4+sxaP+boqV3judk4kMbwYEqFiaIHH5M3aPBnePhB57eK18Q3f2bz3l/ds9pqBXavaT7/LDgvPl4FbBxlmLX7LRF1zEB3fDzTcvuiNWpfuS/cNBMKVFrCTPats7R+/feQaXg</vt:lpwstr>
  </property>
  <property fmtid="{D5CDD505-2E9C-101B-9397-08002B2CF9AE}" pid="15" name="frecMETA06">
    <vt:lpwstr>oAAA==</vt:lpwstr>
  </property>
  <property fmtid="{D5CDD505-2E9C-101B-9397-08002B2CF9AE}" pid="16" name="PeriodId">
    <vt:i4>10</vt:i4>
  </property>
  <property fmtid="{D5CDD505-2E9C-101B-9397-08002B2CF9AE}" pid="17" name="PeriodName">
    <vt:lpwstr>2019 Annual Accounts</vt:lpwstr>
  </property>
  <property fmtid="{D5CDD505-2E9C-101B-9397-08002B2CF9AE}" pid="18" name="ReportId">
    <vt:i4>178</vt:i4>
  </property>
  <property fmtid="{D5CDD505-2E9C-101B-9397-08002B2CF9AE}" pid="19" name="ReportName">
    <vt:lpwstr>EU Annual Accounts</vt:lpwstr>
  </property>
  <property fmtid="{D5CDD505-2E9C-101B-9397-08002B2CF9AE}" pid="20" name="TemplateId">
    <vt:i4>337</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7.0.1, Build 20190916</vt:lpwstr>
  </property>
  <property fmtid="{D5CDD505-2E9C-101B-9397-08002B2CF9AE}" pid="28" name="Created using">
    <vt:lpwstr>LW 7.0, Build 20190717</vt:lpwstr>
  </property>
  <property name="OP_sanitized" fmtid="{D5CDD505-2E9C-101B-9397-08002B2CF9AE}" pid="29">
    <vt:lpwstr>True</vt:lpwstr>
  </property>
</Properties>
</file>