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1E98E605-0756-4780-883C-C1BEF538CCB1" style="width:450.75pt;height:333.7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ManualHeading1"/>
        <w:numPr>
          <w:ilvl w:val="0"/>
          <w:numId w:val="1"/>
        </w:numPr>
        <w:rPr>
          <w:noProof/>
        </w:rPr>
      </w:pPr>
      <w:bookmarkStart w:id="1" w:name="_GoBack"/>
      <w:bookmarkEnd w:id="1"/>
      <w:r>
        <w:rPr>
          <w:noProof/>
        </w:rPr>
        <w:lastRenderedPageBreak/>
        <w:t>Wprowadzenie</w:t>
      </w:r>
    </w:p>
    <w:p>
      <w:pPr>
        <w:pStyle w:val="Text1"/>
        <w:rPr>
          <w:noProof/>
        </w:rPr>
      </w:pPr>
      <w:r>
        <w:rPr>
          <w:noProof/>
        </w:rPr>
        <w:t>Rozporządzenie określające wieloletnie ramy finansowe (rozporządzenie w sprawie WRF) na lata 2014–2020, ostatnio zmienione rozporządzeniem Rady (UE, Euratom) 2017/1123 z dnia 20 czerwca 2017 r.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oraz dostosowane zgodnie z komunikatem w sprawie dostosowania technicznego na 2020 r.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zawiera tabelę określającą ramy finansowe na lata 2014–2020 według cen z 2011 r. (tabela 1). </w:t>
      </w:r>
    </w:p>
    <w:p>
      <w:pPr>
        <w:pStyle w:val="Text1"/>
        <w:rPr>
          <w:noProof/>
        </w:rPr>
      </w:pPr>
      <w:r>
        <w:rPr>
          <w:noProof/>
        </w:rPr>
        <w:t xml:space="preserve">Zgodnie z art. 6 ust. 1 rozporządzenia w sprawie WRF każdego roku, przed rozpoczęciem procedury budżetowej dotyczącej roku n+1, Komisja dokonuje dostosowania technicznego wieloletnich ram finansowych (WRF) stosownie do zmian dochodu narodowego brutto (DNB) w UE i zmian cen oraz powiadamia Radę i Parlament Europejski o wynikach tego dostosowania. Dostosowanie pułapów zgodnie z art. 6 ust. 1 zostało dokonane w dostosowaniu technicznym na 2020 r. w maju 2019 r. i na podstawie art. 6 ust. 4 nie jest aktualizowane. </w:t>
      </w:r>
    </w:p>
    <w:p>
      <w:pPr>
        <w:pStyle w:val="Text1"/>
        <w:rPr>
          <w:noProof/>
        </w:rPr>
      </w:pPr>
      <w:r>
        <w:rPr>
          <w:noProof/>
        </w:rPr>
        <w:t xml:space="preserve">W komunikacie w sprawie dostosowania technicznego na 2020 r. wskazano na dostępność instrumentów szczególnych na lata 2019 i 2020 zgodnie z art. 6 ust. 1 lit. e) i f) rozporządzenia w sprawie WRF w odniesieniu do, odpowiednio, łącznego marginesu na zobowiązania i instrumentu elastyczności, według danych z wiosny 2019 r. Celem niniejszego komunikatu jest przedstawienie Radzie i Parlamentowi Europejskiemu dodatkowej dostępności instrumentów szczególnych zgodnie z art. 6 ust. 1 lit. e) i f) rozporządzenia w sprawie WRF w odniesieniu do łącznego marginesu na zobowiązania i instrumentu elastyczności na 2020 r., które stały się dostępne pod koniec 2019 r. </w:t>
      </w:r>
    </w:p>
    <w:p>
      <w:pPr>
        <w:pStyle w:val="Text1"/>
        <w:rPr>
          <w:noProof/>
        </w:rPr>
      </w:pPr>
      <w:r>
        <w:rPr>
          <w:noProof/>
        </w:rPr>
        <w:t>W komunikacie przedstawiono również do celów informacyjnych dostępne kwoty w ramach wszystkich instrumentów szczególnych i ich wykorzystanie od 2014 r.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Łączny margines na płatności (GMP)</w:t>
      </w:r>
    </w:p>
    <w:p>
      <w:pPr>
        <w:pStyle w:val="Text1"/>
        <w:rPr>
          <w:noProof/>
        </w:rPr>
      </w:pPr>
      <w:r>
        <w:rPr>
          <w:noProof/>
        </w:rPr>
        <w:t>Zgodnie z art. 5 rozporządzenia w sprawie WRF Komisja dostosuje pułap płatności na lata 2015–2020 w górę o kwotę odpowiadającą różnicy między dokonanymi płatnościami a określonym w WRF pułapem płatności na rok n-1. Wszelkie dostosowania w górę zostaną w pełni skompensowane odpowiednim obniżeniem pułapu płatności na rok n-1 według cen stałych z 2011 r.</w:t>
      </w:r>
    </w:p>
    <w:p>
      <w:pPr>
        <w:pStyle w:val="Text1"/>
        <w:rPr>
          <w:noProof/>
        </w:rPr>
      </w:pPr>
      <w:r>
        <w:rPr>
          <w:noProof/>
        </w:rPr>
        <w:t>Nie dokonano ponownego obliczenia GMP w odniesieniu do 2020 r., ponieważ próg określony w art. 5 ust. 2 rozporządzenia w sprawie WRF został osiągnięty w ramach dostosowania technicznego na 2020 r., przyjętego w maju 2019 r.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Instrumenty szczególne</w:t>
      </w:r>
    </w:p>
    <w:p>
      <w:pPr>
        <w:pStyle w:val="Text1"/>
        <w:rPr>
          <w:noProof/>
        </w:rPr>
      </w:pPr>
      <w:r>
        <w:rPr>
          <w:noProof/>
        </w:rPr>
        <w:t>Poza pułapami wydatków uzgodnionymi w ramach finansowych na lata 2014–2020 dostępnych jest kilka instrumentów. Instrumenty te mają na celu umożliwienie szybkiej reakcji na wyjątkowe lub nieprzewidziane zdarzenia oraz zapewnienie elastyczności wykraczającej poza uzgodnione pułapy wydatków z zachowaniem pewnych ograniczeń.</w:t>
      </w:r>
    </w:p>
    <w:p>
      <w:pPr>
        <w:pStyle w:val="ManualHeading2"/>
        <w:rPr>
          <w:noProof/>
        </w:rPr>
      </w:pPr>
      <w:r>
        <w:rPr>
          <w:noProof/>
        </w:rPr>
        <w:lastRenderedPageBreak/>
        <w:t>3.1.</w:t>
      </w:r>
      <w:r>
        <w:rPr>
          <w:noProof/>
        </w:rPr>
        <w:tab/>
        <w:t>Rezerwa na pomoc nadzwyczajną (EAR)</w:t>
      </w:r>
    </w:p>
    <w:p>
      <w:pPr>
        <w:pStyle w:val="Text1"/>
        <w:rPr>
          <w:noProof/>
        </w:rPr>
      </w:pPr>
      <w:r>
        <w:rPr>
          <w:noProof/>
        </w:rPr>
        <w:t xml:space="preserve">Zgodnie z art. 9 zmienionego rozporządzenia w sprawie WRF </w:t>
      </w:r>
      <w:r>
        <w:rPr>
          <w:i/>
          <w:noProof/>
        </w:rPr>
        <w:t>rezerwa na pomoc nadzwyczajną</w:t>
      </w:r>
      <w:r>
        <w:rPr>
          <w:noProof/>
        </w:rPr>
        <w:t xml:space="preserve"> może zostać uruchomiona do kwoty maksymalnej wynoszącej 300 mln EUR rocznie w cenach z 2011 r. lub 358,5 mln EUR w 2020 r. w cenach bieżących (2 301,4 mln EUR na cały okres w cenach bieżących). Część niewykorzystanej kwoty z poprzedniego roku może zostać przeniesiona na następny rok budżetowy. Przeniesienie z 2019 na 2020 r. wynosi 45,6 mln EUR.</w:t>
      </w:r>
    </w:p>
    <w:p>
      <w:pPr>
        <w:pStyle w:val="Text1"/>
        <w:rPr>
          <w:noProof/>
        </w:rPr>
      </w:pPr>
      <w:r>
        <w:rPr>
          <w:noProof/>
        </w:rPr>
        <w:t>Poniższa tabela przedstawia szczegółowe dane na temat dostępnych corocznie kwot i wykorzystania rezerwy na pomoc nadzwyczajną od 2014 r.:</w:t>
      </w: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875"/>
        <w:gridCol w:w="842"/>
        <w:gridCol w:w="809"/>
        <w:gridCol w:w="776"/>
        <w:gridCol w:w="783"/>
        <w:gridCol w:w="803"/>
        <w:gridCol w:w="875"/>
        <w:gridCol w:w="858"/>
        <w:gridCol w:w="9"/>
      </w:tblGrid>
      <w:tr>
        <w:trPr>
          <w:trHeight w:val="240"/>
          <w:jc w:val="center"/>
        </w:trPr>
        <w:tc>
          <w:tcPr>
            <w:tcW w:w="9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Rezerwa na pomoc nadzwyczajną</w:t>
            </w:r>
          </w:p>
        </w:tc>
      </w:tr>
      <w:tr>
        <w:trPr>
          <w:trHeight w:val="240"/>
          <w:jc w:val="center"/>
        </w:trPr>
        <w:tc>
          <w:tcPr>
            <w:tcW w:w="9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Ogółem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z 2011 r.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2 040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bieżących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297,0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303,0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309,0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337,8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344,6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358,5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2 301,4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z poprzedniego roku budżetowego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198,9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219,4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98,6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61,7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45,6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Wykorzystanie w skali roku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98,1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282,5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429,8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374,7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372,2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1 897,3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na następny rok budżetowy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198,9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219,4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98,6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61,7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34,1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gridAfter w:val="1"/>
          <w:wAfter w:w="9" w:type="dxa"/>
          <w:trHeight w:val="24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Wygasłe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0,0</w:t>
            </w:r>
          </w:p>
        </w:tc>
      </w:tr>
    </w:tbl>
    <w:p>
      <w:pPr>
        <w:pStyle w:val="ManualHeading2"/>
        <w:ind w:left="0" w:firstLine="0"/>
        <w:rPr>
          <w:noProof/>
        </w:rPr>
      </w:pPr>
      <w:r>
        <w:rPr>
          <w:noProof/>
        </w:rPr>
        <w:t>3.2.</w:t>
      </w:r>
      <w:r>
        <w:rPr>
          <w:noProof/>
        </w:rPr>
        <w:tab/>
        <w:t>Fundusz Solidarności Unii Europejskiej (FSUE)</w:t>
      </w:r>
    </w:p>
    <w:p>
      <w:pPr>
        <w:pStyle w:val="Text1"/>
        <w:rPr>
          <w:noProof/>
        </w:rPr>
      </w:pPr>
      <w:r>
        <w:rPr>
          <w:noProof/>
        </w:rPr>
        <w:t xml:space="preserve">Zgodnie z art. 10 rozporządzenia w sprawie WRF </w:t>
      </w:r>
      <w:r>
        <w:rPr>
          <w:i/>
          <w:iCs/>
          <w:noProof/>
        </w:rPr>
        <w:t>Fundusz Solidarności UE</w:t>
      </w:r>
      <w:r>
        <w:rPr>
          <w:noProof/>
        </w:rPr>
        <w:t xml:space="preserve"> może zostać uruchomiony do kwoty maksymalnej wynoszącej 500 mln EUR rocznie w cenach z 2011 r. lub 597,5 mln EUR w 2020 r. w cenach bieżących (3 944,7 mln EUR na cały okres w cenach bieżących). Część niewykorzystanej kwoty z poprzedniego roku może zostać przeniesiona na następny rok budżetowy. Przeniesienie z 2019 na 2020 r. wyniosło 553,0 mln EUR. Na koniec 2019 r. nie wygasła żadna kwota.</w:t>
      </w:r>
    </w:p>
    <w:p>
      <w:pPr>
        <w:pStyle w:val="Text1"/>
        <w:rPr>
          <w:noProof/>
        </w:rPr>
      </w:pPr>
      <w:r>
        <w:rPr>
          <w:noProof/>
        </w:rPr>
        <w:t>Poniższa tabela przedstawia szczegółowe dane na temat dostępnych corocznie kwot i wykorzystania FSUE od 2014 r.:</w:t>
      </w:r>
    </w:p>
    <w:tbl>
      <w:tblPr>
        <w:tblW w:w="95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850"/>
        <w:gridCol w:w="930"/>
        <w:gridCol w:w="850"/>
        <w:gridCol w:w="822"/>
        <w:gridCol w:w="850"/>
        <w:gridCol w:w="851"/>
        <w:gridCol w:w="850"/>
        <w:gridCol w:w="796"/>
      </w:tblGrid>
      <w:tr>
        <w:trPr>
          <w:trHeight w:val="240"/>
          <w:jc w:val="center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Fundusz Solidarności Unii Europejskiej</w:t>
            </w:r>
          </w:p>
        </w:tc>
      </w:tr>
      <w:tr>
        <w:trPr>
          <w:trHeight w:val="240"/>
          <w:jc w:val="center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Ogółem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z 2011 r.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3 500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bieżących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530,6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552,0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563,1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574,3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585,8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597,5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3 944,7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z poprzedniego roku budżetowego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541,2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265,3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553,0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Skoncentrowane na wstępie z następnego roku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-294,0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Wykorzystanie w skali roku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126,7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33,1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1 268,3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1 964,9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na następny rok budżetowy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403,9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552,0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40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Wygasłe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321,1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508,1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829,2</w:t>
            </w:r>
          </w:p>
        </w:tc>
      </w:tr>
    </w:tbl>
    <w:p>
      <w:pPr>
        <w:pStyle w:val="ManualHeading2"/>
        <w:rPr>
          <w:noProof/>
        </w:rPr>
      </w:pPr>
      <w:r>
        <w:rPr>
          <w:noProof/>
        </w:rPr>
        <w:t>3.3.</w:t>
      </w:r>
      <w:r>
        <w:rPr>
          <w:noProof/>
        </w:rPr>
        <w:tab/>
        <w:t>Instrument elastyczności</w:t>
      </w:r>
    </w:p>
    <w:p>
      <w:pPr>
        <w:pStyle w:val="Text1"/>
        <w:rPr>
          <w:noProof/>
        </w:rPr>
      </w:pPr>
      <w:r>
        <w:rPr>
          <w:noProof/>
        </w:rPr>
        <w:t xml:space="preserve">Zgodnie z art. 11 zmienionego rozporządzenia w sprawie WRF </w:t>
      </w:r>
      <w:r>
        <w:rPr>
          <w:i/>
          <w:iCs/>
          <w:noProof/>
        </w:rPr>
        <w:t>instrument elastyczności</w:t>
      </w:r>
      <w:r>
        <w:rPr>
          <w:noProof/>
        </w:rPr>
        <w:t xml:space="preserve"> może zostać uruchomiony do kwoty maksymalnej wynoszącej 600 mln EUR rocznie w cenach z 2011 r. lub 717 mln EUR w 2020 r. w cenach bieżących (4 315 mln EUR na cały okres w cenach bieżących). Część niewykorzystanych kwot rocznych za poprzednie 3 lata może zostać przeniesiona.</w:t>
      </w:r>
    </w:p>
    <w:p>
      <w:pPr>
        <w:pStyle w:val="Text1"/>
        <w:rPr>
          <w:noProof/>
        </w:rPr>
      </w:pPr>
      <w:r>
        <w:rPr>
          <w:noProof/>
        </w:rPr>
        <w:t xml:space="preserve">Zgodnie z art. 6 ust. 1 lit. f) w odniesieniu do art. 11 ust. 1 akapit drugi, </w:t>
      </w:r>
      <w:r>
        <w:rPr>
          <w:i/>
          <w:iCs/>
          <w:noProof/>
        </w:rPr>
        <w:t>każdego roku, począwszy od 2017 r.,</w:t>
      </w:r>
      <w:r>
        <w:rPr>
          <w:noProof/>
        </w:rPr>
        <w:t xml:space="preserve"> </w:t>
      </w:r>
      <w:r>
        <w:rPr>
          <w:i/>
          <w:iCs/>
          <w:noProof/>
        </w:rPr>
        <w:t>roczna kwota dostępna na rzecz instrumentu elastyczności będzie zwiększana o </w:t>
      </w:r>
      <w:r>
        <w:rPr>
          <w:noProof/>
        </w:rPr>
        <w:t xml:space="preserve">kwotę równoważną części rocznej kwoty przeznaczonej na Fundusz Solidarności Unii Europejskiej i kwotę równoważną części rocznej kwoty przeznaczonej na Europejski Fundusz Dostosowania do Globalizacji, które wygasły w roku poprzednim. </w:t>
      </w:r>
    </w:p>
    <w:p>
      <w:pPr>
        <w:pStyle w:val="Text1"/>
        <w:rPr>
          <w:noProof/>
        </w:rPr>
      </w:pPr>
      <w:r>
        <w:rPr>
          <w:noProof/>
        </w:rPr>
        <w:t>Poniższa tabela przedstawia szczegółowe dane dotyczące dostępnych corocznie kwot i wykorzystania instrumentu elastyczności od 2014 r.: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889"/>
        <w:gridCol w:w="867"/>
        <w:gridCol w:w="867"/>
        <w:gridCol w:w="745"/>
        <w:gridCol w:w="756"/>
        <w:gridCol w:w="796"/>
        <w:gridCol w:w="819"/>
        <w:gridCol w:w="841"/>
      </w:tblGrid>
      <w:tr>
        <w:trPr>
          <w:trHeight w:val="240"/>
          <w:jc w:val="center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Instrument elastyczności</w:t>
            </w:r>
          </w:p>
        </w:tc>
      </w:tr>
      <w:tr>
        <w:trPr>
          <w:trHeight w:val="104"/>
          <w:jc w:val="center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Ogółem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z 2011 r.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3 813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bieżących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689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4 315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z poprzedniego roku budżetowego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276,0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686,7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1010,0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519,8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202,4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Powiększone o wygasłą kwotę EFG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151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608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Powiększone o wygasłą kwotę FSUE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508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Wykorzystanie w skali roku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89,3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149,4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1 530,0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805,0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837,2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1 164,3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778,1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5 353,4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Przeniesione na następny rok budżetowy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686,7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1 010,0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517,0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Dostępne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316,3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316,3</w:t>
            </w:r>
          </w:p>
        </w:tc>
      </w:tr>
      <w:tr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Wygasłe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37,2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37,2</w:t>
            </w:r>
          </w:p>
        </w:tc>
      </w:tr>
    </w:tbl>
    <w:p>
      <w:pPr>
        <w:pStyle w:val="ManualHeading2"/>
        <w:rPr>
          <w:noProof/>
        </w:rPr>
      </w:pPr>
      <w:r>
        <w:rPr>
          <w:noProof/>
        </w:rPr>
        <w:t>3.4.</w:t>
      </w:r>
      <w:r>
        <w:rPr>
          <w:noProof/>
        </w:rPr>
        <w:tab/>
        <w:t>Europejski Fundusz Dostosowania do Globalizacji (EFG)</w:t>
      </w:r>
    </w:p>
    <w:p>
      <w:pPr>
        <w:pStyle w:val="Text1"/>
        <w:rPr>
          <w:noProof/>
        </w:rPr>
      </w:pPr>
      <w:r>
        <w:rPr>
          <w:noProof/>
        </w:rPr>
        <w:t xml:space="preserve">Zgodnie z art. 12 rozporządzenia w sprawie WRF </w:t>
      </w:r>
      <w:r>
        <w:rPr>
          <w:i/>
          <w:iCs/>
          <w:noProof/>
        </w:rPr>
        <w:t>Europejski Fundusz Dostosowania do Globalizacji</w:t>
      </w:r>
      <w:r>
        <w:rPr>
          <w:noProof/>
        </w:rPr>
        <w:t xml:space="preserve"> może zostać uruchomiony do kwoty maksymalnej wynoszącej 150 mln EUR rocznie w cenach z 2011 r. lub 179,3 mln EUR w 2020 r. w cenach bieżących (1 183,4 mln EUR na cały okres w cenach bieżących). Niewykorzystane kwoty z poprzedniego roku nie mogą zostać przeniesione. Kwota 175,1 mln EUR, która wygasła z końcem 2019 r., zostaje wykorzystana do zwiększenia środków instrumentu elastyczności na 2020 r.</w:t>
      </w:r>
    </w:p>
    <w:p>
      <w:pPr>
        <w:pStyle w:val="Text1"/>
        <w:rPr>
          <w:noProof/>
        </w:rPr>
      </w:pPr>
      <w:r>
        <w:rPr>
          <w:noProof/>
        </w:rPr>
        <w:t xml:space="preserve">Poniższa tabela przedstawia szczegółowe dane na temat dostępnych corocznie kwot i wykorzystania EFG od 2014 r.: </w:t>
      </w:r>
    </w:p>
    <w:tbl>
      <w:tblPr>
        <w:tblW w:w="9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817"/>
        <w:gridCol w:w="870"/>
        <w:gridCol w:w="821"/>
        <w:gridCol w:w="876"/>
        <w:gridCol w:w="766"/>
        <w:gridCol w:w="878"/>
        <w:gridCol w:w="905"/>
        <w:gridCol w:w="969"/>
      </w:tblGrid>
      <w:tr>
        <w:trPr>
          <w:trHeight w:val="240"/>
          <w:jc w:val="center"/>
        </w:trPr>
        <w:tc>
          <w:tcPr>
            <w:tcW w:w="9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Europejski Fundusz Dostosowania do Globalizacji</w:t>
            </w:r>
          </w:p>
        </w:tc>
      </w:tr>
      <w:tr>
        <w:trPr>
          <w:trHeight w:val="240"/>
          <w:jc w:val="center"/>
        </w:trPr>
        <w:tc>
          <w:tcPr>
            <w:tcW w:w="9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trHeight w:val="240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Ogółem</w:t>
            </w:r>
          </w:p>
        </w:tc>
      </w:tr>
      <w:tr>
        <w:trPr>
          <w:trHeight w:val="240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z 2011 r.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1 050</w:t>
            </w:r>
          </w:p>
        </w:tc>
      </w:tr>
      <w:tr>
        <w:trPr>
          <w:trHeight w:val="240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Kwoty roczne w cenach bieżących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159,2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162,4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165,6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168,9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172,3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175,7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179,3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1 183,4</w:t>
            </w:r>
          </w:p>
        </w:tc>
      </w:tr>
      <w:tr>
        <w:trPr>
          <w:trHeight w:val="240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Wykorzystanie w skali roku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81,0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199,1</w:t>
            </w:r>
          </w:p>
        </w:tc>
      </w:tr>
      <w:tr>
        <w:trPr>
          <w:trHeight w:val="240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Wygasłe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78,2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119,0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137,6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150,8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144,3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175,1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629,9</w:t>
            </w:r>
          </w:p>
        </w:tc>
      </w:tr>
    </w:tbl>
    <w:p>
      <w:pPr>
        <w:pStyle w:val="ManualHeading2"/>
        <w:rPr>
          <w:noProof/>
        </w:rPr>
      </w:pPr>
      <w:r>
        <w:rPr>
          <w:noProof/>
        </w:rPr>
        <w:t>3.5.</w:t>
      </w:r>
      <w:r>
        <w:rPr>
          <w:noProof/>
        </w:rPr>
        <w:tab/>
        <w:t>Margines na nieprzewidziane wydatki</w:t>
      </w:r>
    </w:p>
    <w:p>
      <w:pPr>
        <w:pStyle w:val="Text1"/>
        <w:rPr>
          <w:bCs/>
          <w:noProof/>
        </w:rPr>
      </w:pPr>
      <w:r>
        <w:rPr>
          <w:noProof/>
        </w:rPr>
        <w:t>Zgodnie z art. 13 rozporządzenia w sprawie WRF poza pułapami ram finansowych na lata 2014–2020 ustanawia się margines na nieprzewidziane wydatki w wysokości maksymalnie 0,03 % dochodu narodowego brutto Unii.</w:t>
      </w:r>
    </w:p>
    <w:p>
      <w:pPr>
        <w:pStyle w:val="Text1"/>
        <w:rPr>
          <w:bCs/>
          <w:noProof/>
        </w:rPr>
      </w:pPr>
      <w:r>
        <w:rPr>
          <w:noProof/>
        </w:rPr>
        <w:t>Kwota bezwzględna marginesu na nieprzewidziane wydatki na 2020 r. wynosi 5 096,8 mln EUR, jak określono w dostosowaniu technicznym WRF na 2020 r., przyjętym w maju 2019 r.</w:t>
      </w:r>
    </w:p>
    <w:p>
      <w:pPr>
        <w:pStyle w:val="Text1"/>
        <w:rPr>
          <w:bCs/>
          <w:noProof/>
        </w:rPr>
      </w:pPr>
      <w:r>
        <w:rPr>
          <w:noProof/>
        </w:rPr>
        <w:t>Poniższa tabela przedstawia szczegółowe informacje dotyczące dostępnych corocznie kwot i wykorzystania marginesu na nieprzewidziane wydatki od 2014 r.:</w:t>
      </w:r>
    </w:p>
    <w:tbl>
      <w:tblPr>
        <w:tblW w:w="9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925"/>
        <w:gridCol w:w="925"/>
        <w:gridCol w:w="925"/>
        <w:gridCol w:w="1016"/>
        <w:gridCol w:w="925"/>
        <w:gridCol w:w="925"/>
        <w:gridCol w:w="925"/>
        <w:gridCol w:w="1016"/>
        <w:gridCol w:w="11"/>
      </w:tblGrid>
      <w:tr>
        <w:trPr>
          <w:trHeight w:val="255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Margines na nieprzewidziane wydatki</w:t>
            </w:r>
          </w:p>
        </w:tc>
      </w:tr>
      <w:tr>
        <w:trPr>
          <w:trHeight w:val="212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Ogółem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Dostępne roczne kwoty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4 026,7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4 175,4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4 438,2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4 496,8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4 711,3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4 946,7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5 096,8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31 892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Wykorzystanie w skali roku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ind w:firstLineChars="100" w:firstLine="18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 zakresie zobowiązań: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240,1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1 906,2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2 146,3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ind w:firstLineChars="100" w:firstLine="18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 zakresie płatności: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2 818,2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2 818,2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Roczne kompensowanie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ind w:firstLineChars="100" w:firstLine="18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 zakresie zobowiązań: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-240,1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-1 082,3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-318,0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-253,9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-252,0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-2 146,3</w:t>
            </w:r>
          </w:p>
        </w:tc>
      </w:tr>
      <w:tr>
        <w:trPr>
          <w:gridAfter w:val="1"/>
          <w:wAfter w:w="11" w:type="dxa"/>
          <w:trHeight w:val="25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ind w:firstLineChars="100" w:firstLine="18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w zakresie płatności: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-2 818,2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keepNext/>
              <w:keepLines/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-2 818,2</w:t>
            </w:r>
          </w:p>
        </w:tc>
      </w:tr>
    </w:tbl>
    <w:p>
      <w:pPr>
        <w:pStyle w:val="ManualHeading2"/>
        <w:rPr>
          <w:noProof/>
        </w:rPr>
      </w:pPr>
      <w:r>
        <w:rPr>
          <w:noProof/>
        </w:rPr>
        <w:t>3.6.</w:t>
      </w:r>
      <w:r>
        <w:rPr>
          <w:noProof/>
        </w:rPr>
        <w:tab/>
        <w:t>Łączny margines na zobowiązania w zakresie wzrostu gospodarczego i zatrudnienia, w szczególności zatrudnienia młodzieży, oraz w zakresie środków w dziedzinie migracji i bezpieczeństwa (GMC)</w:t>
      </w:r>
    </w:p>
    <w:p>
      <w:pPr>
        <w:pStyle w:val="Text1"/>
        <w:rPr>
          <w:noProof/>
        </w:rPr>
      </w:pPr>
      <w:r>
        <w:rPr>
          <w:noProof/>
        </w:rPr>
        <w:t>Zgodnie z art. 14 rozporządzenia w sprawie WRF zmienionego rozporządzeniem Rady (UE, Euratom) 2017/1123 marginesy pozostawione poniżej pułapów WRF na środki na zobowiązania stanowią łączny margines WRF na zobowiązania, który zostanie udostępniony poza pułapami określonymi w WRF na lata 2016–2020, na cele polityki związane ze wzrostem gospodarczym i zatrudnieniem, w szczególności zatrudnieniem młodzieży oraz z migracją i bezpieczeństwem.</w:t>
      </w:r>
    </w:p>
    <w:p>
      <w:pPr>
        <w:pStyle w:val="Text1"/>
        <w:rPr>
          <w:noProof/>
        </w:rPr>
      </w:pPr>
      <w:r>
        <w:rPr>
          <w:noProof/>
        </w:rPr>
        <w:t>W ostatecznym budżecie na 2019 r. dostępny margines w ramach pułapu zobowiązań wynosi 1 291,1 mln EUR. Zobowiązania na instrumenty szczególne (w tym wykorzystanie GMC i marginesu na nieprzewidziane wydatki) nie są uwzględniane, ponieważ są one realizowane poza pułapami WRF.</w:t>
      </w:r>
    </w:p>
    <w:p>
      <w:pPr>
        <w:pStyle w:val="Text1"/>
        <w:rPr>
          <w:noProof/>
        </w:rPr>
      </w:pPr>
      <w:r>
        <w:rPr>
          <w:noProof/>
        </w:rPr>
        <w:t>Zgodnie z art. 6 ust. 2 rozporządzenia w sprawie WRF do obliczenia GMC stosuje się roczny deflator w wysokości 2 %. Kwota pozostałego marginesu z 2019, która zostanie udostępniona na 2020 r., odpowiada kwocie 1 316,9 mln EUR w cenach bieżących. Kwota GMC w cenach z 2011 r. odpowiada kwocie 1 101,9 mln EUR.</w:t>
      </w:r>
    </w:p>
    <w:p>
      <w:pPr>
        <w:pStyle w:val="Text1"/>
        <w:rPr>
          <w:noProof/>
        </w:rPr>
      </w:pPr>
      <w:r>
        <w:rPr>
          <w:noProof/>
        </w:rPr>
        <w:t>Poniższa tabela przedstawia szczegółowe informacje dotyczące obliczania GMC na 2019 r.:</w:t>
      </w:r>
    </w:p>
    <w:tbl>
      <w:tblPr>
        <w:tblW w:w="5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1076"/>
      </w:tblGrid>
      <w:tr>
        <w:trPr>
          <w:trHeight w:val="270"/>
          <w:jc w:val="center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Łączny margines na zobowiązania – 2019</w:t>
            </w:r>
          </w:p>
        </w:tc>
      </w:tr>
      <w:tr>
        <w:trPr>
          <w:trHeight w:val="270"/>
          <w:jc w:val="center"/>
        </w:trPr>
        <w:tc>
          <w:tcPr>
            <w:tcW w:w="58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 </w:t>
            </w:r>
            <w:r>
              <w:rPr>
                <w:i/>
                <w:iCs/>
                <w:noProof/>
                <w:sz w:val="18"/>
                <w:szCs w:val="18"/>
              </w:rPr>
              <w:t>mln EUR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Pułap środków na zobowiązania 2019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164 123,0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Całkowite zatwierdzone środki – budżet 2019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166 189,2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 tym instrumenty szczególne: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3 357,3</w:t>
            </w:r>
          </w:p>
        </w:tc>
      </w:tr>
      <w:tr>
        <w:trPr>
          <w:trHeight w:val="255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Fundusz Solidarności Unii Europejskiej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343,6</w:t>
            </w:r>
          </w:p>
        </w:tc>
      </w:tr>
      <w:tr>
        <w:trPr>
          <w:trHeight w:val="255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Europejski Fundusz Dostosowania do Globalizacji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175,7</w:t>
            </w:r>
          </w:p>
        </w:tc>
      </w:tr>
      <w:tr>
        <w:trPr>
          <w:trHeight w:val="255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Rezerwa na pomoc nadzwyczajną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351,5</w:t>
            </w:r>
          </w:p>
        </w:tc>
      </w:tr>
      <w:tr>
        <w:trPr>
          <w:trHeight w:val="255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Instrument elastyczności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1 164,3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Margines na nieprzewidziane wydatki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-253,9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GMC uruchomiony w 2019 r.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1 576,0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Łączny margines na zobowiązania 2019 (ceny bieżące)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1 291,1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Łączny margines na zobowiązania 2019 (ceny z 2011 r.)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1 101,9</w:t>
            </w:r>
          </w:p>
        </w:tc>
      </w:tr>
      <w:tr>
        <w:trPr>
          <w:trHeight w:val="270"/>
          <w:jc w:val="center"/>
        </w:trPr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GMC z 2019 r. dostępny w 2020 r. (ceny bieżące)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1 316,9</w:t>
            </w:r>
          </w:p>
        </w:tc>
      </w:tr>
    </w:tbl>
    <w:p>
      <w:pPr>
        <w:pStyle w:val="Text1"/>
        <w:rPr>
          <w:noProof/>
        </w:rPr>
      </w:pPr>
      <w:r>
        <w:rPr>
          <w:noProof/>
        </w:rPr>
        <w:t>Obecnie do dyspozycji pozostaje część GMC z 2018 r. (1 075,5 mln EUR w cenach z 2020 r.). Ogólna dostępność GMC w 2020 r. wynosi zatem 2 392,4 mln EUR (w cenach z 2020 r.).</w:t>
      </w:r>
    </w:p>
    <w:p>
      <w:pPr>
        <w:pStyle w:val="Text1"/>
        <w:rPr>
          <w:noProof/>
        </w:rPr>
      </w:pPr>
      <w:r>
        <w:rPr>
          <w:noProof/>
        </w:rPr>
        <w:t>Poniższa tabela przedstawia szczegółowe dane dotyczące dostępności i wykorzystania GMC od 2014 r.:</w:t>
      </w:r>
    </w:p>
    <w:tbl>
      <w:tblPr>
        <w:tblW w:w="94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0"/>
        <w:gridCol w:w="851"/>
        <w:gridCol w:w="850"/>
        <w:gridCol w:w="851"/>
        <w:gridCol w:w="850"/>
        <w:gridCol w:w="851"/>
        <w:gridCol w:w="850"/>
      </w:tblGrid>
      <w:tr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2020</w:t>
            </w:r>
          </w:p>
        </w:tc>
      </w:tr>
      <w:tr>
        <w:trPr>
          <w:trHeight w:val="27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Margines na zobowiązania dostępny na koniec roku (potwierdzony przez roczne dostosowanie techniczne)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521,9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1 383,2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2 090,2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1 115,5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1 390,9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1 291,1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</w:p>
        </w:tc>
      </w:tr>
      <w:tr>
        <w:trPr>
          <w:trHeight w:val="27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Dostępny roczny GMC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1 953,9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3 571,1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2 802,4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2 894,7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2 662,0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543,0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1 410,9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1 439,1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2 132,0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1 664,6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315,4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1 137,8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1 160,6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1 418,7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1 345,1</w:t>
            </w:r>
          </w:p>
        </w:tc>
      </w:tr>
      <w:tr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1 316,9</w:t>
            </w:r>
          </w:p>
        </w:tc>
      </w:tr>
      <w:tr>
        <w:trPr>
          <w:trHeight w:val="27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Roczne wykorzystanie GMC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-543,0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-1 939,1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-1 355,6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-1 576,0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-269,6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-543,0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-1 439,1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-500,0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-1 355,6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-315,4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-1 160,6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-269,6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Pozostały GMC na koniec roku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1 410,9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1 632,0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1 446,8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1 318,7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2 392,4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1 410,9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1 632,0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309,0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1 137,8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0,0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1 318,7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1 075,5</w:t>
            </w:r>
          </w:p>
        </w:tc>
      </w:tr>
      <w:tr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GMC 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1 316,9</w:t>
            </w:r>
          </w:p>
        </w:tc>
      </w:tr>
    </w:tbl>
    <w:p>
      <w:pPr>
        <w:pStyle w:val="Text1"/>
        <w:ind w:left="0"/>
        <w:rPr>
          <w:noProof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7144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Dz.U. L 163 z 24.6.2017, s. 1.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COM(2019) 310 final z 15.5.2019.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B8B29F9"/>
    <w:multiLevelType w:val="hybridMultilevel"/>
    <w:tmpl w:val="32229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1E98E605-0756-4780-883C-C1BEF538CCB1"/>
    <w:docVar w:name="LW_COVERPAGE_TYPE" w:val="1"/>
    <w:docVar w:name="LW_CROSSREFERENCE" w:val="&lt;UNUSED&gt;"/>
    <w:docVar w:name="LW_DocType" w:val="NORMAL"/>
    <w:docVar w:name="LW_EMISSION" w:val="2.4.2020"/>
    <w:docVar w:name="LW_EMISSION_ISODATE" w:val="2020-04-02"/>
    <w:docVar w:name="LW_EMISSION_LOCATION" w:val="BRX"/>
    <w:docVar w:name="LW_EMISSION_PREFIX" w:val="Bruksela, dnia "/>
    <w:docVar w:name="LW_EMISSION_SUFFIX" w:val=" r."/>
    <w:docVar w:name="LW_ID_DOCTYPE_NONLW" w:val="CP-011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17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ostosowanie techniczne dotycz\u261?ce instrumentów szczególnych na 2020 r. _x000d_(art. 6 ust. 1 lit. e) i f) rozporz\u261?dzenia Rady nr 1311/2013 okre\u347?laj\u261?cego wieloletnie ramy finansowe na lata 2014\u8211?2020)_x000d_"/>
    <w:docVar w:name="LW_TYPE.DOC.CP" w:val="KOMUNIKAT KOMISJI DO RADY I PARLAMENTU EUROPEJSKIEGO"/>
    <w:docVar w:name="LW_TYPE.DOC.CP.USERTEXT" w:val="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ManualHeading1">
    <w:name w:val="Manual Heading 1"/>
    <w:basedOn w:val="Normal"/>
    <w:next w:val="Text1"/>
    <w:link w:val="ManualHeading1Char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  <w:rPr>
      <w:rFonts w:eastAsiaTheme="minorHAnsi"/>
      <w:lang w:eastAsia="en-US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ManualHeading1Char">
    <w:name w:val="Manual Heading 1 Char"/>
    <w:basedOn w:val="DefaultParagraphFont"/>
    <w:link w:val="ManualHeading1"/>
    <w:rPr>
      <w:rFonts w:ascii="Times New Roman" w:eastAsia="Times New Roman" w:hAnsi="Times New Roman" w:cs="Times New Roman"/>
      <w:b/>
      <w:smallCaps/>
      <w:sz w:val="24"/>
      <w:lang w:eastAsia="en-GB"/>
    </w:rPr>
  </w:style>
  <w:style w:type="character" w:customStyle="1" w:styleId="FooterCoverPageChar">
    <w:name w:val="Footer Cover Page Char"/>
    <w:basedOn w:val="ManualHeading1Char"/>
    <w:link w:val="FooterCoverPage"/>
    <w:rPr>
      <w:rFonts w:ascii="Times New Roman" w:eastAsia="Times New Roman" w:hAnsi="Times New Roman" w:cs="Times New Roman"/>
      <w:b w:val="0"/>
      <w:smallCaps w:val="0"/>
      <w:sz w:val="24"/>
      <w:lang w:eastAsia="en-GB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ManualHeading1Char"/>
    <w:link w:val="FooterSensitivity"/>
    <w:rPr>
      <w:rFonts w:ascii="Times New Roman" w:eastAsia="Times New Roman" w:hAnsi="Times New Roman" w:cs="Times New Roman"/>
      <w:b/>
      <w:smallCaps w:val="0"/>
      <w:sz w:val="32"/>
      <w:lang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ManualHeading1Char"/>
    <w:link w:val="HeaderCoverPage"/>
    <w:rPr>
      <w:rFonts w:ascii="Times New Roman" w:eastAsia="Times New Roman" w:hAnsi="Times New Roman" w:cs="Times New Roman"/>
      <w:b w:val="0"/>
      <w:smallCaps w:val="0"/>
      <w:sz w:val="24"/>
      <w:lang w:eastAsia="en-GB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ManualHeading1Char"/>
    <w:link w:val="HeaderSensitivity"/>
    <w:rPr>
      <w:rFonts w:ascii="Times New Roman" w:eastAsia="Times New Roman" w:hAnsi="Times New Roman" w:cs="Times New Roman"/>
      <w:b/>
      <w:smallCaps w:val="0"/>
      <w:sz w:val="32"/>
      <w:lang w:eastAsia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rFonts w:eastAsiaTheme="minorHAnsi"/>
      <w:sz w:val="28"/>
      <w:lang w:eastAsia="en-US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rFonts w:eastAsiaTheme="minorHAnsi"/>
      <w:i/>
      <w:sz w:val="28"/>
      <w:lang w:eastAsia="en-US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rFonts w:eastAsiaTheme="minorHAnsi"/>
      <w:i/>
      <w:sz w:val="28"/>
      <w:lang w:eastAsia="en-US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LegalNumPar">
    <w:name w:val="LegalNumPar"/>
    <w:basedOn w:val="Normal"/>
    <w:pPr>
      <w:numPr>
        <w:numId w:val="4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4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4"/>
      </w:numPr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ManualHeading1">
    <w:name w:val="Manual Heading 1"/>
    <w:basedOn w:val="Normal"/>
    <w:next w:val="Text1"/>
    <w:link w:val="ManualHeading1Char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  <w:rPr>
      <w:rFonts w:eastAsiaTheme="minorHAnsi"/>
      <w:lang w:eastAsia="en-US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ManualHeading1Char">
    <w:name w:val="Manual Heading 1 Char"/>
    <w:basedOn w:val="DefaultParagraphFont"/>
    <w:link w:val="ManualHeading1"/>
    <w:rPr>
      <w:rFonts w:ascii="Times New Roman" w:eastAsia="Times New Roman" w:hAnsi="Times New Roman" w:cs="Times New Roman"/>
      <w:b/>
      <w:smallCaps/>
      <w:sz w:val="24"/>
      <w:lang w:eastAsia="en-GB"/>
    </w:rPr>
  </w:style>
  <w:style w:type="character" w:customStyle="1" w:styleId="FooterCoverPageChar">
    <w:name w:val="Footer Cover Page Char"/>
    <w:basedOn w:val="ManualHeading1Char"/>
    <w:link w:val="FooterCoverPage"/>
    <w:rPr>
      <w:rFonts w:ascii="Times New Roman" w:eastAsia="Times New Roman" w:hAnsi="Times New Roman" w:cs="Times New Roman"/>
      <w:b w:val="0"/>
      <w:smallCaps w:val="0"/>
      <w:sz w:val="24"/>
      <w:lang w:eastAsia="en-GB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ManualHeading1Char"/>
    <w:link w:val="FooterSensitivity"/>
    <w:rPr>
      <w:rFonts w:ascii="Times New Roman" w:eastAsia="Times New Roman" w:hAnsi="Times New Roman" w:cs="Times New Roman"/>
      <w:b/>
      <w:smallCaps w:val="0"/>
      <w:sz w:val="32"/>
      <w:lang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ManualHeading1Char"/>
    <w:link w:val="HeaderCoverPage"/>
    <w:rPr>
      <w:rFonts w:ascii="Times New Roman" w:eastAsia="Times New Roman" w:hAnsi="Times New Roman" w:cs="Times New Roman"/>
      <w:b w:val="0"/>
      <w:smallCaps w:val="0"/>
      <w:sz w:val="24"/>
      <w:lang w:eastAsia="en-GB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ManualHeading1Char"/>
    <w:link w:val="HeaderSensitivity"/>
    <w:rPr>
      <w:rFonts w:ascii="Times New Roman" w:eastAsia="Times New Roman" w:hAnsi="Times New Roman" w:cs="Times New Roman"/>
      <w:b/>
      <w:smallCaps w:val="0"/>
      <w:sz w:val="32"/>
      <w:lang w:eastAsia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rFonts w:eastAsiaTheme="minorHAnsi"/>
      <w:sz w:val="28"/>
      <w:lang w:eastAsia="en-US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rFonts w:eastAsiaTheme="minorHAnsi"/>
      <w:i/>
      <w:sz w:val="28"/>
      <w:lang w:eastAsia="en-US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rFonts w:eastAsiaTheme="minorHAnsi"/>
      <w:i/>
      <w:sz w:val="28"/>
      <w:lang w:eastAsia="en-US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LegalNumPar">
    <w:name w:val="LegalNumPar"/>
    <w:basedOn w:val="Normal"/>
    <w:pPr>
      <w:numPr>
        <w:numId w:val="4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4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4"/>
      </w:num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307C93-09D2-45E7-ABBF-9544F4FC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1987</Words>
  <Characters>10075</Characters>
  <Application>Microsoft Office Word</Application>
  <DocSecurity>0</DocSecurity>
  <Lines>719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22</cp:revision>
  <cp:lastPrinted>2019-04-11T08:28:00Z</cp:lastPrinted>
  <dcterms:created xsi:type="dcterms:W3CDTF">2020-03-30T14:53:00Z</dcterms:created>
  <dcterms:modified xsi:type="dcterms:W3CDTF">2020-04-06T16:28:00Z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Last edited using">
    <vt:lpwstr>LW 7.0, Build 20190717</vt:lpwstr>
  </property>
  <property fmtid="{D5CDD505-2E9C-101B-9397-08002B2CF9AE}" pid="7" name="Created using">
    <vt:lpwstr>LW 6.0.1, Build 20180503</vt:lpwstr>
  </property>
  <property fmtid="{D5CDD505-2E9C-101B-9397-08002B2CF9AE}" pid="8" name="CPTemplateID">
    <vt:lpwstr>CP-011</vt:lpwstr>
  </property>
  <property name="OP_sanitized" fmtid="{D5CDD505-2E9C-101B-9397-08002B2CF9AE}" pid="9">
    <vt:lpwstr>True</vt:lpwstr>
  </property>
</Properties>
</file>