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alt="5CBA979F-B3CA-49DB-94FA-4477A617B5B7" style="width:450.75pt;height:351.75pt">
            <v:imagedata r:id="rId9" o:title=""/>
          </v:shape>
        </w:pict>
      </w:r>
    </w:p>
    <w:p>
      <w:pPr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UZASADNIENIE</w:t>
      </w:r>
    </w:p>
    <w:p>
      <w:pPr>
        <w:rPr>
          <w:noProof/>
        </w:rPr>
      </w:pPr>
      <w:r>
        <w:rPr>
          <w:noProof/>
        </w:rPr>
        <w:t>Rozporządzenie Rady (UE, EURATOM) nr 1311/2013 z dnia 2 grudnia 2013 r. określające wieloletnie ramy finansowe na lata 2014–2020</w:t>
      </w:r>
      <w:r>
        <w:rPr>
          <w:rStyle w:val="FootnoteReference"/>
          <w:noProof/>
        </w:rPr>
        <w:footnoteReference w:id="1"/>
      </w:r>
      <w:r>
        <w:rPr>
          <w:noProof/>
        </w:rPr>
        <w:t xml:space="preserve"> przewiduje uruchomienie instrumentu elastyczności w celu umożliwienia finansowania jasno określonych wydatków, których nie można pokryć w ramach pułapów dostępnych w jednym lub kilku działach wieloletnich ram finansowych.</w:t>
      </w:r>
    </w:p>
    <w:p>
      <w:pPr>
        <w:rPr>
          <w:noProof/>
        </w:rPr>
      </w:pPr>
      <w:r>
        <w:rPr>
          <w:noProof/>
        </w:rPr>
        <w:t>Zgodnie z art. 11 rozporządzenia Rady nr 1311/2013 oraz pkt 12 Porozumienia międzyinstytucjonalnego z dnia 2 grudnia 2013 r. pomiędzy Parlamentem Europejskim, Radą i Komisją w sprawie dyscypliny budżetowej, współpracy w kwestiach budżetowych i należytego zarządzania finansami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 – po zbadaniu wszelkich możliwości realokacji środków i wyczerpaniu wszelkich nieprzydzielonych marginesów w ramach działu wydatków „Bezpieczeństwo i obywatelstwo” (dział 3) – Komisja wnosi o uruchomienie instrumentu elastyczności w 2020 r. Roczna dostępna kwota wynosi 600 mln EUR (w cenach z 2011 r.), co odpowiada 717 mln EUR w cenach bieżących. W puli środków przeznaczonych na 2019 r. dostępna jest ponadto kwota 202 mln EUR. </w:t>
      </w:r>
    </w:p>
    <w:p>
      <w:pPr>
        <w:rPr>
          <w:noProof/>
        </w:rPr>
      </w:pPr>
      <w:r>
        <w:rPr>
          <w:noProof/>
        </w:rPr>
        <w:t>Uruchomienie dotyczy kwoty 778,1 mln EUR powyżej pułapu w dziale 3 wieloletnich ram finansowych, która to kwota zostanie przeznaczona na finansowanie działań wspierających zarządzanie kryzysem związanym z migracją, uchodźcami i bezpieczeństwem.</w:t>
      </w:r>
    </w:p>
    <w:p>
      <w:pPr>
        <w:rPr>
          <w:noProof/>
        </w:rPr>
      </w:pPr>
      <w:r>
        <w:rPr>
          <w:noProof/>
        </w:rPr>
        <w:t>Szacunkowe środki na płatności odpowiadające proponowanemu uruchomieniu instrumentu elastyczności obliczono według zasad stosowanych do płatności zaliczkowych, rozliczania płatności zaliczkowych i płatności salda końcowego w odniesieniu do poszczególnych rodzajów finansowanych działań, co przedstawiono w poniższej tabeli:</w:t>
      </w:r>
    </w:p>
    <w:p>
      <w:pPr>
        <w:ind w:left="5040" w:firstLine="720"/>
        <w:jc w:val="left"/>
        <w:rPr>
          <w:noProof/>
        </w:rPr>
      </w:pPr>
      <w:r>
        <w:rPr>
          <w:i/>
          <w:noProof/>
          <w:sz w:val="16"/>
        </w:rPr>
        <w:t>(w milionach EUR, według cen bieżących)</w:t>
      </w:r>
    </w:p>
    <w:tbl>
      <w:tblPr>
        <w:tblW w:w="7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04"/>
      </w:tblGrid>
      <w:tr>
        <w:trPr>
          <w:jc w:val="center"/>
        </w:trPr>
        <w:tc>
          <w:tcPr>
            <w:tcW w:w="1560" w:type="dxa"/>
            <w:shd w:val="clear" w:color="auto" w:fill="D9D9D9"/>
          </w:tcPr>
          <w:p>
            <w:pPr>
              <w:spacing w:before="30" w:after="30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Rok</w:t>
            </w:r>
          </w:p>
        </w:tc>
        <w:tc>
          <w:tcPr>
            <w:tcW w:w="5604" w:type="dxa"/>
            <w:shd w:val="clear" w:color="auto" w:fill="D9D9D9"/>
          </w:tcPr>
          <w:p>
            <w:pPr>
              <w:spacing w:before="30" w:after="30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Środki na płatności związane z uruchomieniem instrumentu elastyczności w 2020 r.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2020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407,4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2021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312,2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2022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42,4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auto"/>
          </w:tcPr>
          <w:p>
            <w:pPr>
              <w:spacing w:before="30" w:after="3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2023</w:t>
            </w:r>
          </w:p>
        </w:tc>
        <w:tc>
          <w:tcPr>
            <w:tcW w:w="5604" w:type="dxa"/>
            <w:shd w:val="clear" w:color="auto" w:fill="auto"/>
          </w:tcPr>
          <w:p>
            <w:pPr>
              <w:spacing w:before="30" w:after="3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16,1</w:t>
            </w:r>
          </w:p>
        </w:tc>
      </w:tr>
      <w:tr>
        <w:trPr>
          <w:jc w:val="center"/>
        </w:trPr>
        <w:tc>
          <w:tcPr>
            <w:tcW w:w="1560" w:type="dxa"/>
            <w:shd w:val="clear" w:color="auto" w:fill="D9D9D9"/>
          </w:tcPr>
          <w:p>
            <w:pPr>
              <w:spacing w:before="30" w:after="3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Ogółem</w:t>
            </w:r>
          </w:p>
        </w:tc>
        <w:tc>
          <w:tcPr>
            <w:tcW w:w="5604" w:type="dxa"/>
            <w:shd w:val="clear" w:color="auto" w:fill="D9D9D9"/>
          </w:tcPr>
          <w:p>
            <w:pPr>
              <w:spacing w:before="30" w:after="30"/>
              <w:jc w:val="righ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778,1</w:t>
            </w:r>
          </w:p>
        </w:tc>
      </w:tr>
    </w:tbl>
    <w:p>
      <w:pPr>
        <w:rPr>
          <w:noProof/>
        </w:rPr>
        <w:sectPr>
          <w:footerReference w:type="default" r:id="rId16"/>
          <w:footerReference w:type="first" r:id="rId17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Statut"/>
        <w:rPr>
          <w:noProof/>
        </w:rPr>
      </w:pPr>
      <w:r>
        <w:rPr>
          <w:noProof/>
        </w:rPr>
        <w:lastRenderedPageBreak/>
        <w:t>Wniosek</w:t>
      </w:r>
    </w:p>
    <w:p>
      <w:pPr>
        <w:pStyle w:val="Typedudocument"/>
        <w:rPr>
          <w:noProof/>
        </w:rPr>
      </w:pPr>
      <w:r>
        <w:rPr>
          <w:noProof/>
        </w:rPr>
        <w:t>DECYZJA PARLAMENTU EUROPEJSKIEGO I RADY</w:t>
      </w:r>
    </w:p>
    <w:p>
      <w:pPr>
        <w:pStyle w:val="Titreobjet"/>
        <w:rPr>
          <w:noProof/>
        </w:rPr>
      </w:pPr>
      <w:r>
        <w:rPr>
          <w:noProof/>
        </w:rPr>
        <w:t>w sprawie uruchomienia instrumentu elastyczności na sfinansowanie natychmiastowych środków budżetowych służących do rozwiązywania bieżących problemów wynikających z migracji, napływu uchodźców i zagrożeń bezpieczeństwa</w:t>
      </w:r>
    </w:p>
    <w:p>
      <w:pPr>
        <w:pStyle w:val="Institutionquiagit"/>
        <w:rPr>
          <w:noProof/>
        </w:rPr>
      </w:pPr>
      <w:r>
        <w:rPr>
          <w:noProof/>
        </w:rPr>
        <w:t>PARLAMENT EUROPEJSKI I RADA UNII EUROPEJSKIEJ,</w:t>
      </w:r>
    </w:p>
    <w:p>
      <w:pPr>
        <w:rPr>
          <w:noProof/>
        </w:rPr>
      </w:pPr>
      <w:r>
        <w:rPr>
          <w:noProof/>
        </w:rPr>
        <w:t>uwzględniając Traktat o funkcjonowaniu Unii Europejskiej,</w:t>
      </w:r>
    </w:p>
    <w:p>
      <w:pPr>
        <w:rPr>
          <w:noProof/>
        </w:rPr>
      </w:pPr>
      <w:r>
        <w:rPr>
          <w:noProof/>
        </w:rPr>
        <w:t>uwzględniając Porozumienie międzyinstytucjonalne z dnia 2 grudnia 2013 r. pomiędzy Parlamentem Europejskim, Radą i Komisją w sprawie dyscypliny budżetowej, współpracy w sprawach budżetowych i należytego zarządzania finansami</w:t>
      </w:r>
      <w:r>
        <w:rPr>
          <w:rStyle w:val="FootnoteReference"/>
          <w:noProof/>
        </w:rPr>
        <w:footnoteReference w:id="3"/>
      </w:r>
      <w:r>
        <w:rPr>
          <w:noProof/>
        </w:rPr>
        <w:t>, w szczególności jego pkt 12,</w:t>
      </w:r>
    </w:p>
    <w:p>
      <w:pPr>
        <w:rPr>
          <w:noProof/>
        </w:rPr>
      </w:pPr>
      <w:r>
        <w:rPr>
          <w:noProof/>
        </w:rPr>
        <w:t>uwzględniając wniosek Komisji Europejskiej,</w:t>
      </w:r>
    </w:p>
    <w:p>
      <w:pPr>
        <w:rPr>
          <w:noProof/>
        </w:rPr>
      </w:pPr>
      <w:r>
        <w:rPr>
          <w:noProof/>
        </w:rPr>
        <w:t xml:space="preserve">a także mając na uwadze, co następuje, </w:t>
      </w:r>
    </w:p>
    <w:p>
      <w:pPr>
        <w:pStyle w:val="Point0number"/>
        <w:numPr>
          <w:ilvl w:val="0"/>
          <w:numId w:val="5"/>
        </w:numPr>
        <w:spacing w:before="0" w:after="0"/>
        <w:rPr>
          <w:noProof/>
        </w:rPr>
      </w:pPr>
      <w:r>
        <w:rPr>
          <w:noProof/>
        </w:rPr>
        <w:t>Instrument elastyczności ma umożliwiać finansowanie jasno określonych wydatków, które nie mogą zostać pokryte w ramach pułapów dostępnych dla co najmniej jednego działu.</w:t>
      </w:r>
    </w:p>
    <w:p>
      <w:pPr>
        <w:pStyle w:val="Point0number"/>
        <w:numPr>
          <w:ilvl w:val="0"/>
          <w:numId w:val="5"/>
        </w:numPr>
        <w:rPr>
          <w:noProof/>
        </w:rPr>
      </w:pPr>
      <w:r>
        <w:rPr>
          <w:noProof/>
        </w:rPr>
        <w:t>Zgodnie z art. 11 rozporządzenia Rady (UE, Euratom) nr 1311/2013</w:t>
      </w:r>
      <w:r>
        <w:rPr>
          <w:rStyle w:val="FootnoteReference"/>
          <w:noProof/>
        </w:rPr>
        <w:footnoteReference w:id="4"/>
      </w:r>
      <w:r>
        <w:rPr>
          <w:noProof/>
        </w:rPr>
        <w:t xml:space="preserve"> pułap rocznej kwoty dostępnej na instrument elastyczności wynosi 600 000 000 EUR (w cenach z 2011 r.); kwotę tę powiększa się w stosownych przypadkach o niewykorzystane kwoty udostępnione zgodnie z ust. 1 akapit drugi tego artykułu. </w:t>
      </w:r>
    </w:p>
    <w:p>
      <w:pPr>
        <w:pStyle w:val="Point0number"/>
        <w:numPr>
          <w:ilvl w:val="0"/>
          <w:numId w:val="5"/>
        </w:numPr>
        <w:spacing w:before="0" w:after="0"/>
        <w:rPr>
          <w:noProof/>
        </w:rPr>
      </w:pPr>
      <w:r>
        <w:rPr>
          <w:noProof/>
        </w:rPr>
        <w:t>Aby umożliwić rozwiązywanie bieżących problemów wynikających z migracji, napływu uchodźców i zagrożeń bezpieczeństwa, konieczne jest uruchomienie znaczących dodatkowych kwot, które pozwoliłyby na finansowanie takich działań w trybie pilnym.</w:t>
      </w:r>
    </w:p>
    <w:p>
      <w:pPr>
        <w:pStyle w:val="Point0number"/>
        <w:rPr>
          <w:noProof/>
        </w:rPr>
      </w:pPr>
      <w:r>
        <w:rPr>
          <w:noProof/>
        </w:rPr>
        <w:t>Po zbadaniu wszystkich możliwości realokacji środków w ramach pułapów wydatków w dziale 3 („Bezpieczeństwo i obywatelstwo”) konieczne jest uruchomienie instrumentu elastyczności w celu uzupełnienia środków finansowych dostępnych w budżecie ogólnym Unii na rok budżetowy 2020 powyżej pułapu w dziale 3 o kwotę 778 074 489 EUR w celu sfinansowania środków w dziedzinie migracji, uchodźców i bezpieczeństwa.</w:t>
      </w:r>
    </w:p>
    <w:p>
      <w:pPr>
        <w:pStyle w:val="Point0number"/>
        <w:rPr>
          <w:noProof/>
        </w:rPr>
      </w:pPr>
      <w:r>
        <w:rPr>
          <w:noProof/>
        </w:rPr>
        <w:t>W oparciu o spodziewany profil płatności środki na płatności odpowiadające uruchomieniu instrumentu elastyczności powinny zostać rozłożone na kilka lat budżetowych.</w:t>
      </w:r>
    </w:p>
    <w:p>
      <w:pPr>
        <w:pStyle w:val="Point0number"/>
        <w:rPr>
          <w:noProof/>
        </w:rPr>
      </w:pPr>
      <w:r>
        <w:rPr>
          <w:noProof/>
        </w:rPr>
        <w:t>W celu umożliwienia szybkiego wykorzystania środków niniejszą decyzję należy stosować od początku roku budżetowego 2020,</w:t>
      </w:r>
    </w:p>
    <w:p>
      <w:pPr>
        <w:pStyle w:val="Formuledadoption"/>
        <w:rPr>
          <w:noProof/>
        </w:rPr>
      </w:pPr>
      <w:r>
        <w:rPr>
          <w:noProof/>
        </w:rPr>
        <w:lastRenderedPageBreak/>
        <w:t>PRZYJMUJĄ NINIEJSZĄ DECYZJĘ:</w:t>
      </w:r>
    </w:p>
    <w:p>
      <w:pPr>
        <w:pStyle w:val="Titrearticle"/>
        <w:rPr>
          <w:noProof/>
        </w:rPr>
      </w:pPr>
      <w:r>
        <w:rPr>
          <w:noProof/>
        </w:rPr>
        <w:t>Artykuł 1</w:t>
      </w:r>
    </w:p>
    <w:p>
      <w:pPr>
        <w:pStyle w:val="Point0"/>
        <w:rPr>
          <w:noProof/>
        </w:rPr>
      </w:pPr>
      <w:r>
        <w:rPr>
          <w:noProof/>
        </w:rPr>
        <w:t>1)</w:t>
      </w:r>
      <w:r>
        <w:rPr>
          <w:noProof/>
        </w:rPr>
        <w:tab/>
        <w:t>Na potrzeby budżetu ogólnego Unii Europejskiej na rok budżetowy 2020 uruchamia się instrument elastyczności, aby udostępnić kwotę 778 074 489 EUR w postaci środków na zobowiązania w dziale 3 („Bezpieczeństwo i obywatelstwo”).</w:t>
      </w:r>
    </w:p>
    <w:p>
      <w:pPr>
        <w:rPr>
          <w:noProof/>
        </w:rPr>
      </w:pPr>
      <w:r>
        <w:rPr>
          <w:noProof/>
        </w:rPr>
        <w:t>Kwota, o której mowa w akapicie pierwszym, zostanie wykorzystana na finansowanie środków służących do rozwiązywania bieżących problemów wynikających z migracji, napływu uchodźców i zagrożeń bezpieczeństwa.</w:t>
      </w:r>
    </w:p>
    <w:p>
      <w:pPr>
        <w:pStyle w:val="Point0"/>
        <w:rPr>
          <w:noProof/>
        </w:rPr>
      </w:pPr>
      <w:r>
        <w:rPr>
          <w:noProof/>
        </w:rPr>
        <w:t>2)</w:t>
      </w:r>
      <w:r>
        <w:rPr>
          <w:noProof/>
        </w:rPr>
        <w:tab/>
        <w:t>W oparciu o spodziewany profil płatności środki na płatności odpowiadające uruchomieniu instrumentu elastyczności szacowane są w następujący sposób:</w:t>
      </w:r>
    </w:p>
    <w:p>
      <w:pPr>
        <w:pStyle w:val="Point0"/>
        <w:rPr>
          <w:noProof/>
        </w:rPr>
      </w:pPr>
      <w:r>
        <w:rPr>
          <w:noProof/>
        </w:rPr>
        <w:t>a)</w:t>
      </w:r>
      <w:r>
        <w:rPr>
          <w:noProof/>
        </w:rPr>
        <w:tab/>
        <w:t>407 402 108 EUR w 2020 r.;</w:t>
      </w:r>
    </w:p>
    <w:p>
      <w:pPr>
        <w:pStyle w:val="Point0"/>
        <w:rPr>
          <w:noProof/>
        </w:rPr>
      </w:pPr>
      <w:r>
        <w:rPr>
          <w:noProof/>
        </w:rPr>
        <w:t>b)</w:t>
      </w:r>
      <w:r>
        <w:rPr>
          <w:noProof/>
        </w:rPr>
        <w:tab/>
        <w:t>312 205 134 EUR w 2021 r.;</w:t>
      </w:r>
    </w:p>
    <w:p>
      <w:pPr>
        <w:pStyle w:val="Point0"/>
        <w:rPr>
          <w:noProof/>
        </w:rPr>
      </w:pPr>
      <w:r>
        <w:rPr>
          <w:noProof/>
        </w:rPr>
        <w:t>c)</w:t>
      </w:r>
      <w:r>
        <w:rPr>
          <w:noProof/>
        </w:rPr>
        <w:tab/>
        <w:t>42 336 587 EUR w 2022 r.;</w:t>
      </w:r>
    </w:p>
    <w:p>
      <w:pPr>
        <w:pStyle w:val="Point0"/>
        <w:rPr>
          <w:noProof/>
        </w:rPr>
      </w:pPr>
      <w:r>
        <w:rPr>
          <w:noProof/>
        </w:rPr>
        <w:t>d)</w:t>
      </w:r>
      <w:r>
        <w:rPr>
          <w:noProof/>
        </w:rPr>
        <w:tab/>
        <w:t>16 130 660 EUR w 2023 r.;</w:t>
      </w:r>
    </w:p>
    <w:p>
      <w:pPr>
        <w:rPr>
          <w:noProof/>
        </w:rPr>
      </w:pPr>
      <w:r>
        <w:rPr>
          <w:noProof/>
        </w:rPr>
        <w:t>Konkretne kwoty w środkach na płatności na każdy rok budżetowy zatwierdza się zgodnie z roczną procedurą budżetową.</w:t>
      </w:r>
    </w:p>
    <w:p>
      <w:pPr>
        <w:pStyle w:val="Titrearticle"/>
        <w:rPr>
          <w:noProof/>
        </w:rPr>
      </w:pPr>
      <w:r>
        <w:rPr>
          <w:noProof/>
        </w:rPr>
        <w:t>Artykuł 2</w:t>
      </w:r>
    </w:p>
    <w:p>
      <w:pPr>
        <w:rPr>
          <w:i/>
          <w:noProof/>
        </w:rPr>
      </w:pPr>
      <w:r>
        <w:rPr>
          <w:noProof/>
        </w:rPr>
        <w:t>Niniejsza decyzja wchodzi w życie z dniem jej opublikowania w </w:t>
      </w:r>
      <w:r>
        <w:rPr>
          <w:i/>
          <w:noProof/>
        </w:rPr>
        <w:t>Dzienniku Urzędowym Unii Europejskiej</w:t>
      </w:r>
      <w:r>
        <w:rPr>
          <w:noProof/>
        </w:rPr>
        <w:t>.</w:t>
      </w:r>
    </w:p>
    <w:p>
      <w:pPr>
        <w:rPr>
          <w:noProof/>
        </w:rPr>
      </w:pPr>
      <w:r>
        <w:rPr>
          <w:noProof/>
        </w:rPr>
        <w:t>Niniejszą decyzję stosuje się od dnia 1 stycznia 2020 r.</w:t>
      </w:r>
    </w:p>
    <w:p>
      <w:pPr>
        <w:rPr>
          <w:i/>
          <w:noProof/>
        </w:rPr>
      </w:pPr>
    </w:p>
    <w:p>
      <w:pPr>
        <w:pStyle w:val="Fait"/>
        <w:rPr>
          <w:noProof/>
        </w:rPr>
      </w:pPr>
      <w:r>
        <w:t xml:space="preserve">Sporządzono w Brukseli dnia </w:t>
      </w:r>
      <w:r>
        <w:rPr>
          <w:rStyle w:val="Marker"/>
        </w:rPr>
        <w:t>[…]</w:t>
      </w:r>
      <w:r>
        <w:t xml:space="preserve"> r.</w:t>
      </w:r>
    </w:p>
    <w:p>
      <w:pPr>
        <w:pStyle w:val="Institutionquisigne"/>
        <w:rPr>
          <w:noProof/>
        </w:rPr>
      </w:pPr>
      <w:r>
        <w:rPr>
          <w:noProof/>
        </w:rPr>
        <w:t>W imieniu Parlamentu Europejskiego</w:t>
      </w:r>
      <w:r>
        <w:rPr>
          <w:noProof/>
        </w:rPr>
        <w:tab/>
        <w:t>W imieniu Rady</w:t>
      </w:r>
    </w:p>
    <w:p>
      <w:pPr>
        <w:pStyle w:val="Personnequisigne"/>
        <w:rPr>
          <w:noProof/>
        </w:rPr>
      </w:pPr>
      <w:r>
        <w:rPr>
          <w:noProof/>
        </w:rPr>
        <w:t>Przewodniczący</w:t>
      </w:r>
      <w:r>
        <w:rPr>
          <w:noProof/>
        </w:rPr>
        <w:tab/>
        <w:t>Przewodniczący</w:t>
      </w:r>
    </w:p>
    <w:sect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PL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PL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PL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ab/>
        <w:t>Dz.U. L 347 z 20.12.2013, s. 884.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ab/>
        <w:t>Dz.U. C 373 z 20.12.2013, s. 1.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ab/>
        <w:t>Dz.U. C 373 z 20.12.2013, s. 1.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ab/>
        <w:t>Rozporządzenie Rady (UE, Euratom) nr 1311/2013 z dnia 2 grudnia 2013 r. określające wieloletnie ramy finansowe na lata 2014–2020 (Dz.U. L 347 z 20.12.2013, s. 884).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6F5A3E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CB2AA3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7A8E05A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334694D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0C0C6E7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688095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995617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6A8AB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12"/>
  </w:num>
  <w:num w:numId="12">
    <w:abstractNumId w:val="20"/>
  </w:num>
  <w:num w:numId="13">
    <w:abstractNumId w:val="11"/>
  </w:num>
  <w:num w:numId="14">
    <w:abstractNumId w:val="13"/>
  </w:num>
  <w:num w:numId="15">
    <w:abstractNumId w:val="9"/>
  </w:num>
  <w:num w:numId="16">
    <w:abstractNumId w:val="19"/>
  </w:num>
  <w:num w:numId="17">
    <w:abstractNumId w:val="8"/>
  </w:num>
  <w:num w:numId="18">
    <w:abstractNumId w:val="14"/>
  </w:num>
  <w:num w:numId="19">
    <w:abstractNumId w:val="16"/>
  </w:num>
  <w:num w:numId="20">
    <w:abstractNumId w:val="17"/>
  </w:num>
  <w:num w:numId="21">
    <w:abstractNumId w:val="10"/>
  </w:num>
  <w:num w:numId="22">
    <w:abstractNumId w:val="15"/>
  </w:num>
  <w:num w:numId="23">
    <w:abstractNumId w:val="21"/>
  </w:num>
  <w:num w:numId="24">
    <w:abstractNumId w:val="18"/>
  </w:num>
  <w:num w:numId="25">
    <w:abstractNumId w:val="12"/>
  </w:num>
  <w:num w:numId="26">
    <w:abstractNumId w:val="20"/>
  </w:num>
  <w:num w:numId="27">
    <w:abstractNumId w:val="11"/>
  </w:num>
  <w:num w:numId="28">
    <w:abstractNumId w:val="13"/>
  </w:num>
  <w:num w:numId="29">
    <w:abstractNumId w:val="9"/>
  </w:num>
  <w:num w:numId="30">
    <w:abstractNumId w:val="19"/>
  </w:num>
  <w:num w:numId="31">
    <w:abstractNumId w:val="8"/>
  </w:num>
  <w:num w:numId="32">
    <w:abstractNumId w:val="14"/>
  </w:num>
  <w:num w:numId="33">
    <w:abstractNumId w:val="16"/>
  </w:num>
  <w:num w:numId="34">
    <w:abstractNumId w:val="17"/>
  </w:num>
  <w:num w:numId="35">
    <w:abstractNumId w:val="10"/>
  </w:num>
  <w:num w:numId="36">
    <w:abstractNumId w:val="15"/>
  </w:num>
  <w:num w:numId="37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8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19-07-01 09:20:16"/>
    <w:docVar w:name="DQCResult_Distribution" w:val="0;1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1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1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5CBA979F-B3CA-49DB-94FA-4477A617B5B7"/>
    <w:docVar w:name="LW_COVERPAGE_TYPE" w:val="1"/>
    <w:docVar w:name="LW_CROSSREFERENCE" w:val="&lt;UNUSED&gt;"/>
    <w:docVar w:name="LW_DocType" w:val="COM"/>
    <w:docVar w:name="LW_EMISSION" w:val="5.6.2019"/>
    <w:docVar w:name="LW_EMISSION_ISODATE" w:val="2019-06-05"/>
    <w:docVar w:name="LW_EMISSION_LOCATION" w:val="BRX"/>
    <w:docVar w:name="LW_EMISSION_PREFIX" w:val="Bruksela, dnia "/>
    <w:docVar w:name="LW_EMISSION_SUFFIX" w:val="&lt;EMPTY&gt;"/>
    <w:docVar w:name="LW_ID_DOCMODEL" w:val="SJ-026"/>
    <w:docVar w:name="LW_ID_DOCSIGNATURE" w:val="SJ-026"/>
    <w:docVar w:name="LW_ID_DOCSTRUCTURE" w:val="COM/PL/ORG"/>
    <w:docVar w:name="LW_ID_DOCTYPE" w:val="SJ-026"/>
    <w:docVar w:name="LW_ID_EXP.MOTIFS.NEW" w:val="EM_PL_"/>
    <w:docVar w:name="LW_ID_STATUT" w:val="SJ-026"/>
    <w:docVar w:name="LW_INTERETEEE.CP" w:val="&lt;UNUSED&gt;"/>
    <w:docVar w:name="LW_LANGUE" w:val="PL"/>
    <w:docVar w:name="LW_LEVEL_OF_SENSITIVITY" w:val="Standard treatment"/>
    <w:docVar w:name="LW_NOM.INST" w:val="KOMISJA EUROPEJSKA"/>
    <w:docVar w:name="LW_NOM.INST_JOINTDOC" w:val="&lt;EMPTY&gt;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19"/>
    <w:docVar w:name="LW_REF.INST.NEW" w:val="COM"/>
    <w:docVar w:name="LW_REF.INST.NEW_ADOPTED" w:val="final"/>
    <w:docVar w:name="LW_REF.INST.NEW_TEXT" w:val="(2019) 251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TATUT.CP" w:val="Wniosek"/>
    <w:docVar w:name="LW_SUPERTITRE" w:val="&lt;UNUSED&gt;"/>
    <w:docVar w:name="LW_TITRE.OBJ.CP" w:val="w sprawie uruchomienia instrumentu elastyczno\u347?ci na sfinansowanie natychmiastowych \u347?rodków bud\u380?etowych s\u322?u\u380?\u261?cych do rozwi\u261?zywania bie\u380?\u261?cych problemów wynikaj\u261?cych z migracji, nap\u322?ywu uchod\u378?ców i zagro\u380?e\u324? bezpiecze\u324?stwa"/>
    <w:docVar w:name="LW_TYPE.DOC.CP" w:val="DECYZJA PARLAMENTU EUROPEJSKIEGO I RADY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pl-PL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0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0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0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0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pl-PL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pl-PL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pl-P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9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9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9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9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1"/>
      </w:numPr>
    </w:pPr>
  </w:style>
  <w:style w:type="paragraph" w:customStyle="1" w:styleId="Point1number">
    <w:name w:val="Point 1 (number)"/>
    <w:basedOn w:val="Normal"/>
    <w:pPr>
      <w:numPr>
        <w:ilvl w:val="2"/>
        <w:numId w:val="31"/>
      </w:numPr>
    </w:pPr>
  </w:style>
  <w:style w:type="paragraph" w:customStyle="1" w:styleId="Point2number">
    <w:name w:val="Point 2 (number)"/>
    <w:basedOn w:val="Normal"/>
    <w:pPr>
      <w:numPr>
        <w:ilvl w:val="4"/>
        <w:numId w:val="31"/>
      </w:numPr>
    </w:pPr>
  </w:style>
  <w:style w:type="paragraph" w:customStyle="1" w:styleId="Point3number">
    <w:name w:val="Point 3 (number)"/>
    <w:basedOn w:val="Normal"/>
    <w:pPr>
      <w:numPr>
        <w:ilvl w:val="6"/>
        <w:numId w:val="31"/>
      </w:numPr>
    </w:pPr>
  </w:style>
  <w:style w:type="paragraph" w:customStyle="1" w:styleId="Point0letter">
    <w:name w:val="Point 0 (letter)"/>
    <w:basedOn w:val="Normal"/>
    <w:pPr>
      <w:numPr>
        <w:ilvl w:val="1"/>
        <w:numId w:val="31"/>
      </w:numPr>
    </w:pPr>
  </w:style>
  <w:style w:type="paragraph" w:customStyle="1" w:styleId="Point1letter">
    <w:name w:val="Point 1 (letter)"/>
    <w:basedOn w:val="Normal"/>
    <w:pPr>
      <w:numPr>
        <w:ilvl w:val="3"/>
        <w:numId w:val="31"/>
      </w:numPr>
    </w:pPr>
  </w:style>
  <w:style w:type="paragraph" w:customStyle="1" w:styleId="Point2letter">
    <w:name w:val="Point 2 (letter)"/>
    <w:basedOn w:val="Normal"/>
    <w:pPr>
      <w:numPr>
        <w:ilvl w:val="5"/>
        <w:numId w:val="31"/>
      </w:numPr>
    </w:pPr>
  </w:style>
  <w:style w:type="paragraph" w:customStyle="1" w:styleId="Point3letter">
    <w:name w:val="Point 3 (letter)"/>
    <w:basedOn w:val="Normal"/>
    <w:pPr>
      <w:numPr>
        <w:ilvl w:val="7"/>
        <w:numId w:val="31"/>
      </w:numPr>
    </w:pPr>
  </w:style>
  <w:style w:type="paragraph" w:customStyle="1" w:styleId="Point4letter">
    <w:name w:val="Point 4 (letter)"/>
    <w:basedOn w:val="Normal"/>
    <w:pPr>
      <w:numPr>
        <w:ilvl w:val="8"/>
        <w:numId w:val="31"/>
      </w:numPr>
    </w:pPr>
  </w:style>
  <w:style w:type="paragraph" w:customStyle="1" w:styleId="Bullet0">
    <w:name w:val="Bullet 0"/>
    <w:basedOn w:val="Normal"/>
    <w:pPr>
      <w:numPr>
        <w:numId w:val="32"/>
      </w:numPr>
    </w:pPr>
  </w:style>
  <w:style w:type="paragraph" w:customStyle="1" w:styleId="Bullet1">
    <w:name w:val="Bullet 1"/>
    <w:basedOn w:val="Normal"/>
    <w:pPr>
      <w:numPr>
        <w:numId w:val="33"/>
      </w:numPr>
    </w:pPr>
  </w:style>
  <w:style w:type="paragraph" w:customStyle="1" w:styleId="Bullet2">
    <w:name w:val="Bullet 2"/>
    <w:basedOn w:val="Normal"/>
    <w:pPr>
      <w:numPr>
        <w:numId w:val="34"/>
      </w:numPr>
    </w:pPr>
  </w:style>
  <w:style w:type="paragraph" w:customStyle="1" w:styleId="Bullet3">
    <w:name w:val="Bullet 3"/>
    <w:basedOn w:val="Normal"/>
    <w:pPr>
      <w:numPr>
        <w:numId w:val="35"/>
      </w:numPr>
    </w:pPr>
  </w:style>
  <w:style w:type="paragraph" w:customStyle="1" w:styleId="Bullet4">
    <w:name w:val="Bullet 4"/>
    <w:basedOn w:val="Normal"/>
    <w:pPr>
      <w:numPr>
        <w:numId w:val="36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7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pl-PL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0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0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0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0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pl-PL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pl-PL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pl-P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9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9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9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9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1"/>
      </w:numPr>
    </w:pPr>
  </w:style>
  <w:style w:type="paragraph" w:customStyle="1" w:styleId="Point1number">
    <w:name w:val="Point 1 (number)"/>
    <w:basedOn w:val="Normal"/>
    <w:pPr>
      <w:numPr>
        <w:ilvl w:val="2"/>
        <w:numId w:val="31"/>
      </w:numPr>
    </w:pPr>
  </w:style>
  <w:style w:type="paragraph" w:customStyle="1" w:styleId="Point2number">
    <w:name w:val="Point 2 (number)"/>
    <w:basedOn w:val="Normal"/>
    <w:pPr>
      <w:numPr>
        <w:ilvl w:val="4"/>
        <w:numId w:val="31"/>
      </w:numPr>
    </w:pPr>
  </w:style>
  <w:style w:type="paragraph" w:customStyle="1" w:styleId="Point3number">
    <w:name w:val="Point 3 (number)"/>
    <w:basedOn w:val="Normal"/>
    <w:pPr>
      <w:numPr>
        <w:ilvl w:val="6"/>
        <w:numId w:val="31"/>
      </w:numPr>
    </w:pPr>
  </w:style>
  <w:style w:type="paragraph" w:customStyle="1" w:styleId="Point0letter">
    <w:name w:val="Point 0 (letter)"/>
    <w:basedOn w:val="Normal"/>
    <w:pPr>
      <w:numPr>
        <w:ilvl w:val="1"/>
        <w:numId w:val="31"/>
      </w:numPr>
    </w:pPr>
  </w:style>
  <w:style w:type="paragraph" w:customStyle="1" w:styleId="Point1letter">
    <w:name w:val="Point 1 (letter)"/>
    <w:basedOn w:val="Normal"/>
    <w:pPr>
      <w:numPr>
        <w:ilvl w:val="3"/>
        <w:numId w:val="31"/>
      </w:numPr>
    </w:pPr>
  </w:style>
  <w:style w:type="paragraph" w:customStyle="1" w:styleId="Point2letter">
    <w:name w:val="Point 2 (letter)"/>
    <w:basedOn w:val="Normal"/>
    <w:pPr>
      <w:numPr>
        <w:ilvl w:val="5"/>
        <w:numId w:val="31"/>
      </w:numPr>
    </w:pPr>
  </w:style>
  <w:style w:type="paragraph" w:customStyle="1" w:styleId="Point3letter">
    <w:name w:val="Point 3 (letter)"/>
    <w:basedOn w:val="Normal"/>
    <w:pPr>
      <w:numPr>
        <w:ilvl w:val="7"/>
        <w:numId w:val="31"/>
      </w:numPr>
    </w:pPr>
  </w:style>
  <w:style w:type="paragraph" w:customStyle="1" w:styleId="Point4letter">
    <w:name w:val="Point 4 (letter)"/>
    <w:basedOn w:val="Normal"/>
    <w:pPr>
      <w:numPr>
        <w:ilvl w:val="8"/>
        <w:numId w:val="31"/>
      </w:numPr>
    </w:pPr>
  </w:style>
  <w:style w:type="paragraph" w:customStyle="1" w:styleId="Bullet0">
    <w:name w:val="Bullet 0"/>
    <w:basedOn w:val="Normal"/>
    <w:pPr>
      <w:numPr>
        <w:numId w:val="32"/>
      </w:numPr>
    </w:pPr>
  </w:style>
  <w:style w:type="paragraph" w:customStyle="1" w:styleId="Bullet1">
    <w:name w:val="Bullet 1"/>
    <w:basedOn w:val="Normal"/>
    <w:pPr>
      <w:numPr>
        <w:numId w:val="33"/>
      </w:numPr>
    </w:pPr>
  </w:style>
  <w:style w:type="paragraph" w:customStyle="1" w:styleId="Bullet2">
    <w:name w:val="Bullet 2"/>
    <w:basedOn w:val="Normal"/>
    <w:pPr>
      <w:numPr>
        <w:numId w:val="34"/>
      </w:numPr>
    </w:pPr>
  </w:style>
  <w:style w:type="paragraph" w:customStyle="1" w:styleId="Bullet3">
    <w:name w:val="Bullet 3"/>
    <w:basedOn w:val="Normal"/>
    <w:pPr>
      <w:numPr>
        <w:numId w:val="35"/>
      </w:numPr>
    </w:pPr>
  </w:style>
  <w:style w:type="paragraph" w:customStyle="1" w:styleId="Bullet4">
    <w:name w:val="Bullet 4"/>
    <w:basedOn w:val="Normal"/>
    <w:pPr>
      <w:numPr>
        <w:numId w:val="36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7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76831A7-15FF-47F5-8A34-54FB03062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2</TotalTime>
  <Pages>4</Pages>
  <Words>690</Words>
  <Characters>4402</Characters>
  <Application>Microsoft Office Word</Application>
  <DocSecurity>0</DocSecurity>
  <Lines>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19</cp:revision>
  <dcterms:created xsi:type="dcterms:W3CDTF">2019-06-17T13:15:00Z</dcterms:created>
  <dcterms:modified xsi:type="dcterms:W3CDTF">2019-07-01T07:20:00Z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6.0.1.0</vt:lpwstr>
  </property>
  <property fmtid="{D5CDD505-2E9C-101B-9397-08002B2CF9AE}" pid="4" name="Last edited using">
    <vt:lpwstr>LW 6.0.1, Build 20180503</vt:lpwstr>
  </property>
  <property fmtid="{D5CDD505-2E9C-101B-9397-08002B2CF9AE}" pid="5" name="Created using">
    <vt:lpwstr>LW 6.0, Build 20171009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SJ-026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