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alt="A12EE357-EAFF-434B-85F8-658909E8FDF6" style="width:450.75pt;height:379.5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UZASADNIENIE</w:t>
      </w:r>
    </w:p>
    <w:p>
      <w:pPr>
        <w:pStyle w:val="ManualHeading1"/>
        <w:rPr>
          <w:rFonts w:eastAsia="Arial Unicode MS"/>
          <w:noProof/>
        </w:rPr>
      </w:pPr>
      <w:r>
        <w:t>1.</w:t>
      </w:r>
      <w:r>
        <w:tab/>
      </w:r>
      <w:r>
        <w:rPr>
          <w:noProof/>
        </w:rPr>
        <w:t>Przedmiot wniosku</w:t>
      </w:r>
    </w:p>
    <w:p>
      <w:pPr>
        <w:rPr>
          <w:rFonts w:eastAsia="Arial Unicode MS"/>
          <w:noProof/>
        </w:rPr>
      </w:pPr>
      <w:r>
        <w:rPr>
          <w:noProof/>
        </w:rPr>
        <w:t>Niniejszy wniosek dotyczy decyzji określającej stanowisko, jakie ma zostać zajęte w imieniu Unii na Konferencji Stron konwencji rotterdamskiej</w:t>
      </w:r>
      <w:r>
        <w:t xml:space="preserve"> </w:t>
      </w:r>
      <w:r>
        <w:rPr>
          <w:noProof/>
        </w:rPr>
        <w:t>w</w:t>
      </w:r>
      <w:r>
        <w:t> </w:t>
      </w:r>
      <w:r>
        <w:rPr>
          <w:noProof/>
        </w:rPr>
        <w:t>związku z przewidywanym przyjęciem decyzji dotyczących włączenia kolejnych substancji chemicznych do załącznika III do konwencji rotterdamskiej.</w:t>
      </w:r>
    </w:p>
    <w:p>
      <w:pPr>
        <w:pStyle w:val="ManualHeading1"/>
        <w:rPr>
          <w:noProof/>
        </w:rPr>
      </w:pPr>
      <w:r>
        <w:t>2.</w:t>
      </w:r>
      <w:r>
        <w:tab/>
      </w:r>
      <w:r>
        <w:rPr>
          <w:noProof/>
        </w:rPr>
        <w:t>Kontekst wniosku</w:t>
      </w:r>
    </w:p>
    <w:p>
      <w:pPr>
        <w:pStyle w:val="ManualHeading2"/>
        <w:rPr>
          <w:noProof/>
        </w:rPr>
      </w:pPr>
      <w:r>
        <w:t>2.1.</w:t>
      </w:r>
      <w:r>
        <w:tab/>
      </w:r>
      <w:r>
        <w:rPr>
          <w:noProof/>
        </w:rPr>
        <w:t>Konwencja rotterdamska</w:t>
      </w:r>
    </w:p>
    <w:p>
      <w:pPr>
        <w:rPr>
          <w:rFonts w:eastAsia="Arial Unicode MS"/>
          <w:noProof/>
        </w:rPr>
      </w:pPr>
      <w:r>
        <w:rPr>
          <w:noProof/>
        </w:rPr>
        <w:t>Konwencja w sprawie procedury zgody po uprzednim poinformowaniu w międzynarodowym handlu niektórymi niebezpiecznymi substancjami chemicznymi i pestycydami (zwana dalej „konwencją”) ma promować wspólną odpowiedzialność i zbiorowe działania stron w zakresie międzynarodowego handlu niebezpiecznymi substancjami chemicznymi w celu ochrony zdrowia człowieka i ochrony środowiska oraz ma przyczyniać się do racjonalnego ekologicznie wykorzystania tych substancji chemicznych. Konwencja określa prawnie wiążące zobowiązania dotyczące realizacji procedury zgody po uprzednim poinformowaniu (PIC) i chroni kraje – zwłaszcza kraje rozwijające się – przed niepożądanym przywozem chemikaliów poprzez nałożenie na strony eksportujące zobowiązań dotyczących wywozu.</w:t>
      </w:r>
    </w:p>
    <w:p>
      <w:pPr>
        <w:rPr>
          <w:rFonts w:eastAsia="Arial Unicode MS"/>
          <w:noProof/>
        </w:rPr>
      </w:pPr>
      <w:r>
        <w:rPr>
          <w:noProof/>
        </w:rPr>
        <w:t>Przedmiotowa umowa weszła w życie w dniu 24 lutego 2004 r.</w:t>
      </w:r>
    </w:p>
    <w:p>
      <w:pPr>
        <w:rPr>
          <w:rFonts w:eastAsia="Arial Unicode MS"/>
          <w:noProof/>
        </w:rPr>
      </w:pPr>
      <w:r>
        <w:rPr>
          <w:noProof/>
        </w:rPr>
        <w:t>Unia Europejska i wszystkie 28 państw członkowskich są stronami tej konwencji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. </w:t>
      </w:r>
    </w:p>
    <w:p>
      <w:pPr>
        <w:pStyle w:val="ManualHeading2"/>
        <w:rPr>
          <w:noProof/>
        </w:rPr>
      </w:pPr>
      <w:r>
        <w:t>2.2.</w:t>
      </w:r>
      <w:r>
        <w:tab/>
      </w:r>
      <w:r>
        <w:rPr>
          <w:noProof/>
        </w:rPr>
        <w:t>Konferencja Stron konwencji rotterdamskiej</w:t>
      </w:r>
    </w:p>
    <w:p>
      <w:pPr>
        <w:rPr>
          <w:rFonts w:eastAsia="Arial Unicode MS"/>
          <w:noProof/>
        </w:rPr>
      </w:pPr>
      <w:r>
        <w:rPr>
          <w:noProof/>
        </w:rPr>
        <w:t>Zgodnie z art. 18 konwencji Konferencja Stron jest organem zarządzającym konwencji rotterdamskiej. Organ ten zbiera się zwykle co dwa lata i monitoruje realizację konwencji. Dokonuje on również przeglądu chemikaliów zgłoszonych mu do rozpatrzenia przez Komitet Kontroli Chemicznej.</w:t>
      </w:r>
    </w:p>
    <w:p>
      <w:pPr>
        <w:rPr>
          <w:rFonts w:eastAsia="Arial Unicode MS"/>
          <w:noProof/>
        </w:rPr>
      </w:pPr>
      <w:r>
        <w:rPr>
          <w:noProof/>
        </w:rPr>
        <w:t>Zgodnie z art. 44 i 45 regulaminu wewnętrznego Konferencji Stron każda ze stron ma jeden głos. Jednakże regionalne organizacje integracji gospodarczej, takie jak UE, dysponują liczbą głosów równą liczbie państw członkowskich będących stronami konwencji.</w:t>
      </w:r>
    </w:p>
    <w:p>
      <w:pPr>
        <w:pStyle w:val="ManualHeading2"/>
        <w:rPr>
          <w:noProof/>
        </w:rPr>
      </w:pPr>
      <w:r>
        <w:t>2.3.</w:t>
      </w:r>
      <w:r>
        <w:tab/>
      </w:r>
      <w:r>
        <w:rPr>
          <w:noProof/>
        </w:rPr>
        <w:t>Planowany akt Konferencji Stron</w:t>
      </w:r>
    </w:p>
    <w:p>
      <w:pPr>
        <w:rPr>
          <w:rFonts w:eastAsia="Arial Unicode MS"/>
          <w:noProof/>
        </w:rPr>
      </w:pPr>
      <w:r>
        <w:rPr>
          <w:noProof/>
        </w:rPr>
        <w:t>Podczas dziewiątego posiedzenia zwykłego, które odbędzie się w dniach od 29 kwietnia do10 maja 2019 r., Konferencja Stron rozważy przyjęcie decyzji o włączeniu kolejnych substancji chemicznych do załącznika III do konwencji.</w:t>
      </w:r>
    </w:p>
    <w:p>
      <w:pPr>
        <w:rPr>
          <w:rFonts w:eastAsia="Arial Unicode MS"/>
          <w:noProof/>
        </w:rPr>
      </w:pPr>
      <w:r>
        <w:rPr>
          <w:noProof/>
        </w:rPr>
        <w:t>Celem planowanych aktów jest włączenie kolejnych substancji chemicznych do załącznika III do konwencji. Włączenie substancji chemicznych do wykazu w załączniku III spowoduje, że podczas handlu międzynarodowego chemikalia te będą podlegać procedurze zgody po uprzednim poinformowaniu zgodnie z konwencją.</w:t>
      </w:r>
    </w:p>
    <w:p>
      <w:pPr>
        <w:rPr>
          <w:rFonts w:eastAsia="Arial Unicode MS"/>
          <w:noProof/>
        </w:rPr>
      </w:pPr>
      <w:r>
        <w:rPr>
          <w:noProof/>
        </w:rPr>
        <w:t>Planowane akty prawne staną się wiążące dla stron zgodnie z art. 22 ust. 5 lit. c) konwencji, który stanowi:</w:t>
      </w:r>
      <w:r>
        <w:t xml:space="preserve"> </w:t>
      </w:r>
      <w:r>
        <w:rPr>
          <w:noProof/>
        </w:rPr>
        <w:t xml:space="preserve">„decyzja o zmianie załącznika III zostaje niezwłocznie zakomunikowana </w:t>
      </w:r>
      <w:r>
        <w:rPr>
          <w:noProof/>
        </w:rPr>
        <w:lastRenderedPageBreak/>
        <w:t>Stronom przez depozytariusza. Zmiana wchodzi w życie w stosunku do wszystkich Stron w dniu określonym w decyzji.”</w:t>
      </w:r>
    </w:p>
    <w:p>
      <w:pPr>
        <w:pStyle w:val="ManualHeading1"/>
        <w:rPr>
          <w:rFonts w:eastAsia="Arial Unicode MS"/>
          <w:noProof/>
        </w:rPr>
      </w:pPr>
      <w:r>
        <w:t>3.</w:t>
      </w:r>
      <w:r>
        <w:tab/>
      </w:r>
      <w:r>
        <w:rPr>
          <w:noProof/>
        </w:rPr>
        <w:t>Stanowisko, jakie ma zostać zajęte w imieniu Unii</w:t>
      </w:r>
    </w:p>
    <w:p>
      <w:pPr>
        <w:rPr>
          <w:noProof/>
        </w:rPr>
      </w:pPr>
      <w:r>
        <w:rPr>
          <w:noProof/>
        </w:rPr>
        <w:t>Komisja proponuje Radzie decyzję o poparciu, w imieniu Unii, decyzji w sprawie zmiany załącznika III do konwencji podczas dziewiątego posiedzenia Konferencji Stron. W decyzjach tych dodaje się kolejne substancje chemiczne do załącznika III, co spowoduje, że będą one podlegały procedurze zgody po uprzednim poinformowaniu na podstawie konwencji.</w:t>
      </w:r>
    </w:p>
    <w:p>
      <w:pPr>
        <w:rPr>
          <w:noProof/>
        </w:rPr>
      </w:pPr>
      <w:r>
        <w:rPr>
          <w:noProof/>
        </w:rPr>
        <w:t>Decyzje przedstawiane Konferencji Stron do przyjęcia opierają się na zaleceniach Komitetu Kontroli Chemicznej – organu pomocniczego podlegającego Konferencji Stron. Stwierdzono, że substancje chemiczne zalecane przez Komitet Kontroli Chemicznej do umieszczenia w załączniku III spełniają kryteria określone w załączniku II do konwencji.</w:t>
      </w:r>
    </w:p>
    <w:p>
      <w:pPr>
        <w:rPr>
          <w:noProof/>
        </w:rPr>
      </w:pPr>
      <w:r>
        <w:rPr>
          <w:noProof/>
        </w:rPr>
        <w:t>Dla Unii, jako lidera w polityce ochrony środowiska, szczególnie ważne jest potwierdzenie globalnego zaangażowania w propagowanie lepszego wdrażania wielostronnych umów środowiskowych i norm w tym zakresie. Obejmuje to wspieranie i wdrażanie zaleceń przyjętych przez naukowe organy pomocnicze w odniesieniu do tych umów oraz przestrzeganie kryteriów określonych w umowach, na których oparte są takie zalecenia.</w:t>
      </w:r>
    </w:p>
    <w:p>
      <w:pPr>
        <w:rPr>
          <w:noProof/>
        </w:rPr>
      </w:pPr>
      <w:r>
        <w:rPr>
          <w:noProof/>
        </w:rPr>
        <w:t>Ponadto inicjatywa ta jest zgodna z priorytetem Junckera, jakim jest wzmocnienie pozycji Unii na arenie międzynarodowej, z celami zrównoważonego rozwoju, zwłaszcza w zakresie zdrowia (3) i odpowiedzialnej konsumpcji i produkcji (12), a także z 7. programem działań w zakresie środowiska.</w:t>
      </w:r>
    </w:p>
    <w:p>
      <w:pPr>
        <w:rPr>
          <w:noProof/>
        </w:rPr>
      </w:pPr>
      <w:r>
        <w:rPr>
          <w:noProof/>
        </w:rPr>
        <w:t>Unia powinna zatem poprzeć proponowane decyzje w sprawie włączenia do załącznika III acetochloru, karbosulfanu, azbestu chryzotylowego, fentionu (postaci ultraniskoobjętościowe (ULV) w ilości równej 640 g substancji czynnej/l lub większej), heksabromocyklododekanu, postaci płynnych (koncentrat emulgujący i koncentrat rozpuszczalny) zawierających dichlorek parakwatu w ilości równej 276 g/l lub większej, odpowiadający jonowi parakwatu w ilości równej 200 g/l lub większej, oraz foratu. Chemikalia te już podlegają ograniczeniom w zakresie wywozu na mocy rozporządzenia (UE) nr 649/2012, które są podobne do tych określonych w konwencji.</w:t>
      </w:r>
    </w:p>
    <w:p>
      <w:pPr>
        <w:rPr>
          <w:noProof/>
        </w:rPr>
      </w:pPr>
      <w:r>
        <w:rPr>
          <w:noProof/>
        </w:rPr>
        <w:t>Należy ustalić stanowisko, jakie ma zostać zajęte w imieniu Unii na Konferencji Stron, ponieważ zmiany w załączniku III będą prawnie wiążące dla Unii i będą musiały znaleźć odzwierciedlenie w rozporządzeniu (UE) nr 649/2012, które wdraża konwencję rotterdamską w Unii.</w:t>
      </w:r>
    </w:p>
    <w:p>
      <w:pPr>
        <w:pStyle w:val="ManualHeading1"/>
        <w:rPr>
          <w:noProof/>
        </w:rPr>
      </w:pPr>
      <w:r>
        <w:t>4.</w:t>
      </w:r>
      <w:r>
        <w:tab/>
      </w:r>
      <w:r>
        <w:rPr>
          <w:noProof/>
        </w:rPr>
        <w:t>Podstawa prawna</w:t>
      </w:r>
    </w:p>
    <w:p>
      <w:pPr>
        <w:pStyle w:val="ManualHeading2"/>
        <w:rPr>
          <w:noProof/>
        </w:rPr>
      </w:pPr>
      <w:r>
        <w:t>4.1.</w:t>
      </w:r>
      <w:r>
        <w:tab/>
      </w:r>
      <w:r>
        <w:rPr>
          <w:noProof/>
        </w:rPr>
        <w:t>Proceduralna podstawa prawna</w:t>
      </w:r>
    </w:p>
    <w:p>
      <w:pPr>
        <w:pStyle w:val="ManualHeading3"/>
        <w:rPr>
          <w:noProof/>
        </w:rPr>
      </w:pPr>
      <w:r>
        <w:t>4.1.1.</w:t>
      </w:r>
      <w:r>
        <w:tab/>
      </w:r>
      <w:r>
        <w:rPr>
          <w:noProof/>
        </w:rPr>
        <w:t>Zasady</w:t>
      </w:r>
    </w:p>
    <w:p>
      <w:pPr>
        <w:rPr>
          <w:noProof/>
        </w:rPr>
      </w:pPr>
      <w:r>
        <w:rPr>
          <w:noProof/>
        </w:rPr>
        <w:t>W art. 218 ust. 9 Traktatu o funkcjonowaniu Unii Europejskiej (TFUE) przewidziano przyjmowanie decyzji ustalających „stanowiska, które mają być zajęte w imieniu Unii w ramach organu utworzonego przez umowę, gdy organ ten ma przyjąć akty mające skutki prawne, z wyjątkiem aktów uzupełniających lub zmieniających ramy instytucjonalne umowy”.</w:t>
      </w:r>
    </w:p>
    <w:p>
      <w:pPr>
        <w:rPr>
          <w:noProof/>
        </w:rPr>
      </w:pPr>
      <w:r>
        <w:rPr>
          <w:noProof/>
        </w:rPr>
        <w:t xml:space="preserve">Pojęcie „akty mające skutki prawne” obejmuje akty, które mają skutki prawne na mocy przepisów prawa międzynarodowego dotyczących danego organu. Obejmuje ono ponadto </w:t>
      </w:r>
      <w:r>
        <w:rPr>
          <w:noProof/>
        </w:rPr>
        <w:lastRenderedPageBreak/>
        <w:t>instrumenty, które na mocy prawa międzynarodowego nie są wiążące, ale mogą „w sposób decydujący wywrzeć wpływ na treść przepisów przyjętych przez prawodawcę Unii”</w:t>
      </w:r>
      <w:r>
        <w:rPr>
          <w:rStyle w:val="FootnoteReference"/>
          <w:noProof/>
        </w:rPr>
        <w:footnoteReference w:id="2"/>
      </w:r>
      <w:r>
        <w:rPr>
          <w:noProof/>
        </w:rPr>
        <w:t>.</w:t>
      </w:r>
    </w:p>
    <w:p>
      <w:pPr>
        <w:pStyle w:val="ManualHeading3"/>
        <w:rPr>
          <w:noProof/>
        </w:rPr>
      </w:pPr>
      <w:r>
        <w:t>4.1.2.</w:t>
      </w:r>
      <w:r>
        <w:tab/>
      </w:r>
      <w:r>
        <w:rPr>
          <w:noProof/>
        </w:rPr>
        <w:t>Zastosowanie w niniejszym przypadku</w:t>
      </w:r>
    </w:p>
    <w:p>
      <w:pPr>
        <w:rPr>
          <w:noProof/>
        </w:rPr>
      </w:pPr>
      <w:r>
        <w:rPr>
          <w:noProof/>
        </w:rPr>
        <w:t>Konferencja Stron jest organem utworzonym na mocy umowy, a mianowicie konwencji rotterdamskiej w sprawie procedury zgody po uprzednim poinformowaniu w międzynarodowym handlu niektórymi niebezpiecznymi substancjami chemicznymi i pestycydami.</w:t>
      </w:r>
    </w:p>
    <w:p>
      <w:pPr>
        <w:rPr>
          <w:noProof/>
        </w:rPr>
      </w:pPr>
      <w:r>
        <w:rPr>
          <w:noProof/>
        </w:rPr>
        <w:t>Akt, który ma zostać przyjęty przez Konferencję Stron, stanowi akt mający skutki prawne. Planowany akt będzie wiążący na mocy prawa międzynarodowego zgodnie z art. 22 ust. 5 konwencji rotterdamskiej i będzie musiał zostać odzwierciedlony w rozporządzeniu Parlamentu Europejskiego i Rady (UE) nr 649/2012 z dnia 4 lipca 2012 r. dotyczącym wywozu i przywozu niebezpiecznych chemikaliów</w:t>
      </w:r>
      <w:r>
        <w:rPr>
          <w:rStyle w:val="FootnoteReference"/>
          <w:noProof/>
        </w:rPr>
        <w:footnoteReference w:id="3"/>
      </w:r>
      <w:r>
        <w:rPr>
          <w:noProof/>
        </w:rPr>
        <w:t>. Wynika to z faktu, że art. 23 ust. 1 tego rozporządzenia wymaga przeglądu wykazu chemikaliów w załączniku I do tego rozporządzenia na podstawie rozwoju sytuacji w ramach konwencji.</w:t>
      </w:r>
    </w:p>
    <w:p>
      <w:pPr>
        <w:rPr>
          <w:noProof/>
        </w:rPr>
      </w:pPr>
      <w:r>
        <w:rPr>
          <w:noProof/>
        </w:rPr>
        <w:t>Planowany akt nie uzupełnia ani nie zmienia ram instytucjonalnych umowy.</w:t>
      </w:r>
    </w:p>
    <w:p>
      <w:pPr>
        <w:rPr>
          <w:noProof/>
        </w:rPr>
      </w:pPr>
      <w:r>
        <w:rPr>
          <w:noProof/>
        </w:rPr>
        <w:t>W związku z tym proceduralną podstawę prawną wnioskowanej decyzji stanowi art. 218 ust. 9 TFUE.</w:t>
      </w:r>
    </w:p>
    <w:p>
      <w:pPr>
        <w:pStyle w:val="ManualHeading2"/>
        <w:rPr>
          <w:noProof/>
        </w:rPr>
      </w:pPr>
      <w:r>
        <w:t>4.2.</w:t>
      </w:r>
      <w:r>
        <w:tab/>
      </w:r>
      <w:r>
        <w:rPr>
          <w:noProof/>
        </w:rPr>
        <w:t>Materialna podstawa prawna</w:t>
      </w:r>
    </w:p>
    <w:p>
      <w:pPr>
        <w:pStyle w:val="ManualHeading3"/>
        <w:rPr>
          <w:noProof/>
        </w:rPr>
      </w:pPr>
      <w:r>
        <w:t>4.2.1.</w:t>
      </w:r>
      <w:r>
        <w:tab/>
      </w:r>
      <w:r>
        <w:rPr>
          <w:noProof/>
        </w:rPr>
        <w:t>Zasady</w:t>
      </w:r>
    </w:p>
    <w:p>
      <w:pPr>
        <w:rPr>
          <w:noProof/>
        </w:rPr>
      </w:pPr>
      <w:r>
        <w:rPr>
          <w:noProof/>
        </w:rPr>
        <w:t>Materialna podstawa prawna decyzji na podstawie art. 218 ust. 9 TFUE zależy przede wszystkim od celu i treści planowanego aktu, w którego kwestii ma być zajęte stanowisko w imieniu Unii. Jeżeli planowany akt ma dwojaki cel lub dwa elementy składowe, a jeden z tych celów lub elementów da się określić jako główny, zaś drugi ma jedynie pomocniczy charakter, decyzja przyjęta na mocy art. 218 ust. 9 TFUE musi mieć jedną materialną podstawę prawną, tj. podstawę, której wymaga główny lub dominujący cel lub element składowy.</w:t>
      </w:r>
    </w:p>
    <w:p>
      <w:pPr>
        <w:rPr>
          <w:noProof/>
        </w:rPr>
      </w:pPr>
      <w:r>
        <w:rPr>
          <w:noProof/>
          <w:sz w:val="23"/>
        </w:rPr>
        <w:t>Jeżeli planowany akt ma jednocześnie wiele celów lub elementów składowych, które są nierozłącznie ze sobą związane, a żaden nie ma charakteru pomocniczego w stosunku do pozostałych, materialna podstawa prawna decyzji przyjętej na podstawie art. 218 ust. 9 TFUE musi – na zasadzie wyjątku – obejmować różne, odpowiadające tym celom i elementom podstawy prawne.</w:t>
      </w:r>
    </w:p>
    <w:p>
      <w:pPr>
        <w:rPr>
          <w:noProof/>
        </w:rPr>
      </w:pPr>
    </w:p>
    <w:p>
      <w:pPr>
        <w:pStyle w:val="ManualHeading3"/>
        <w:rPr>
          <w:noProof/>
        </w:rPr>
      </w:pPr>
      <w:r>
        <w:t>4.2.2.</w:t>
      </w:r>
      <w:r>
        <w:tab/>
      </w:r>
      <w:r>
        <w:rPr>
          <w:noProof/>
        </w:rPr>
        <w:t>Zastosowanie w niniejszym przypadku</w:t>
      </w:r>
    </w:p>
    <w:p>
      <w:pPr>
        <w:rPr>
          <w:noProof/>
        </w:rPr>
      </w:pPr>
      <w:r>
        <w:rPr>
          <w:noProof/>
        </w:rPr>
        <w:t>Planowany akt ma cele i elementy składowe w obszarze „środowiska” i „handlu”. Wspomniane elementy planowanego aktu są związane ze sobą w sposób nierozłączny, a żaden z nich nie ma charakteru pomocniczego w stosunku do pozostałych.</w:t>
      </w:r>
    </w:p>
    <w:p>
      <w:pPr>
        <w:rPr>
          <w:noProof/>
        </w:rPr>
      </w:pPr>
      <w:r>
        <w:rPr>
          <w:noProof/>
        </w:rPr>
        <w:t>Materialna podstawa prawna wnioskowanej decyzji obejmuje zatem następujące przepisy: art. 192 ust. 1, art. 207 ust. 3 i art 207 ust. 4 akapit pierwszy.</w:t>
      </w:r>
    </w:p>
    <w:p>
      <w:pPr>
        <w:pStyle w:val="ManualHeading2"/>
        <w:rPr>
          <w:noProof/>
        </w:rPr>
      </w:pPr>
      <w:r>
        <w:t>4.3.</w:t>
      </w:r>
      <w:r>
        <w:tab/>
      </w:r>
      <w:r>
        <w:rPr>
          <w:noProof/>
        </w:rPr>
        <w:t>Podsumowanie</w:t>
      </w:r>
    </w:p>
    <w:p>
      <w:pPr>
        <w:rPr>
          <w:noProof/>
        </w:rPr>
      </w:pPr>
      <w:r>
        <w:rPr>
          <w:noProof/>
        </w:rPr>
        <w:t>Podstawą prawną proponowanej decyzji powinny być art. 192 ust. 1, art. 207 ust. 3 i art 207 ust. 4 akapit pierwszy w związku z art. 218 ust. 9 TFUE.</w:t>
      </w:r>
    </w:p>
    <w:p>
      <w:pPr>
        <w:rPr>
          <w:noProof/>
        </w:rPr>
        <w:sectPr>
          <w:footerReference w:type="default" r:id="rId16"/>
          <w:footerReference w:type="first" r:id="rId17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Rfrenceinterinstitutionnelle"/>
        <w:rPr>
          <w:noProof/>
        </w:rPr>
      </w:pPr>
      <w:r>
        <w:rPr>
          <w:noProof/>
        </w:rPr>
        <w:lastRenderedPageBreak/>
        <w:t>2019/0026 (NLE)</w:t>
      </w:r>
    </w:p>
    <w:p>
      <w:pPr>
        <w:pStyle w:val="Statut"/>
        <w:rPr>
          <w:noProof/>
        </w:rPr>
      </w:pPr>
      <w:r>
        <w:rPr>
          <w:noProof/>
        </w:rPr>
        <w:t>Wniosek</w:t>
      </w:r>
    </w:p>
    <w:p>
      <w:pPr>
        <w:pStyle w:val="Typedudocument"/>
        <w:rPr>
          <w:noProof/>
        </w:rPr>
      </w:pPr>
      <w:r>
        <w:rPr>
          <w:noProof/>
        </w:rPr>
        <w:t>DECYZJA RADY</w:t>
      </w:r>
    </w:p>
    <w:p>
      <w:pPr>
        <w:pStyle w:val="Titreobjet"/>
        <w:rPr>
          <w:noProof/>
        </w:rPr>
      </w:pPr>
      <w:r>
        <w:rPr>
          <w:noProof/>
        </w:rPr>
        <w:t>dotycząca stanowiska, jakie ma zostać zajęte w imieniu Unii Europejskiej na Konferencji Stron w odniesieniu do zmian w załączniku III do konwencji rotterdamskiej w sprawie procedury zgody po uprzednim poinformowaniu w międzynarodowym handlu niektórymi niebezpiecznymi substancjami chemicznymi i pestycydami</w:t>
      </w:r>
    </w:p>
    <w:p>
      <w:pPr>
        <w:pStyle w:val="Institutionquiagit"/>
        <w:rPr>
          <w:b/>
          <w:noProof/>
        </w:rPr>
      </w:pPr>
      <w:r>
        <w:rPr>
          <w:b/>
          <w:noProof/>
        </w:rPr>
        <w:t>RADA UNII EUROPEJSKIEJ,</w:t>
      </w:r>
    </w:p>
    <w:p>
      <w:pPr>
        <w:rPr>
          <w:noProof/>
        </w:rPr>
      </w:pPr>
      <w:r>
        <w:rPr>
          <w:noProof/>
        </w:rPr>
        <w:t>uwzględniając Traktat o funkcjonowaniu Unii Europejskiej, w szczególności jego art. 192 ust. 1, art. 207 ust. 3 i art 207 ust. 4 akapit pierwszy w związku z art. 218 ust. 9,</w:t>
      </w:r>
    </w:p>
    <w:p>
      <w:pPr>
        <w:rPr>
          <w:noProof/>
        </w:rPr>
      </w:pPr>
      <w:r>
        <w:rPr>
          <w:noProof/>
        </w:rPr>
        <w:t>uwzględniając wniosek Komisji Europejskiej,</w:t>
      </w:r>
    </w:p>
    <w:p>
      <w:pPr>
        <w:rPr>
          <w:noProof/>
        </w:rPr>
      </w:pPr>
      <w:r>
        <w:rPr>
          <w:noProof/>
        </w:rPr>
        <w:t>a także mając na uwadze, co następuje:</w:t>
      </w:r>
    </w:p>
    <w:p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>Konwencja rotterdamska w sprawie procedury zgody po uprzednim poinformowaniu w międzynarodowym handlu niektórymi substancjami chemicznymi i pestycydami (zwana dalej „konwencją”) weszła w życie w dniu 24 lutego 2004 r. i została zawarta w imieniu Unii decyzją Rady 2006/730/WE</w:t>
      </w:r>
      <w:r>
        <w:rPr>
          <w:rStyle w:val="FootnoteReference"/>
          <w:noProof/>
        </w:rPr>
        <w:footnoteReference w:id="4"/>
      </w:r>
      <w:r>
        <w:rPr>
          <w:noProof/>
        </w:rPr>
        <w:t>.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>Konwencję rotterdamską wdraża w Unii rozporządzenie Parlamentu Europejskiego i Rady (UE) nr 649/2012 z dnia 4 lipca 2012 r.</w:t>
      </w:r>
      <w:r>
        <w:rPr>
          <w:rStyle w:val="FootnoteReference"/>
          <w:noProof/>
        </w:rPr>
        <w:footnoteReference w:id="5"/>
      </w:r>
    </w:p>
    <w:p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>Zgodnie z art. 7 konwencji Konferencja Stron może przyjmować zmiany do załącznika III.</w:t>
      </w:r>
    </w:p>
    <w:p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>Na swoim dziewiątym posiedzeniu Konferencja Stron konwencji rotterdamskiej ma przyjąć decyzje o włączeniu kolejnych substancji chemicznych do załącznika III.</w:t>
      </w:r>
    </w:p>
    <w:p>
      <w:pPr>
        <w:pStyle w:val="ManualConsidrant"/>
        <w:rPr>
          <w:noProof/>
        </w:rPr>
      </w:pPr>
      <w:r>
        <w:t>(5)</w:t>
      </w:r>
      <w:r>
        <w:tab/>
      </w:r>
      <w:r>
        <w:rPr>
          <w:noProof/>
        </w:rPr>
        <w:t>Należy ustalić stanowisko, jakie ma zostać zajęte w imieniu Unii podczas Konferencji Stron, ponieważ te zmiany w załączniku III będą wiążące dla Unii.</w:t>
      </w:r>
    </w:p>
    <w:p>
      <w:pPr>
        <w:pStyle w:val="ManualConsidrant"/>
        <w:rPr>
          <w:noProof/>
        </w:rPr>
      </w:pPr>
      <w:r>
        <w:t>(6)</w:t>
      </w:r>
      <w:r>
        <w:tab/>
      </w:r>
      <w:r>
        <w:rPr>
          <w:noProof/>
        </w:rPr>
        <w:t xml:space="preserve">Aby zagwarantować państwom przywozu możliwość korzystania z ochrony zapewnianej przez konwencję rotterdamską i ponieważ wszystkie odpowiednie kryteria na podstawie konwencji są spełnione, konieczne i właściwe jest poparcie zalecenia Komitetu Kontroli Chemicznej będącego organem pomocniczym konwencji rotterdamskiej, dotyczącego włączenia do załącznika III do konwencji rotterdamskiej acetochloru, karbosulfanu, azbestu chryzotylowego, fentionu (postaci ultraniskoobjętościowe (ULV) w ilości równej 640 g substancji czynnej/l lub większej), heksabromocyklododekanu, foratu oraz postaci płynnych (koncentrat emulgujący i koncentrat rozpuszczalny) zawierających dichlorek parakwatu w ilości równej 276 g/l lub większej, odpowiadający jonowi parakwatu w ilości równej 200 g/l lub większej. Powyższe substancje są już objęte zakazami bądź surowymi </w:t>
      </w:r>
      <w:r>
        <w:rPr>
          <w:noProof/>
        </w:rPr>
        <w:lastRenderedPageBreak/>
        <w:t>ograniczeniami w Unii i w związku z tym podlegają wymogom dotyczącym wywozu wykraczającym poza wymogi konwencji rotterdamskiej zgodnie z rozporządzeniem (UE) nr 649/2012,</w:t>
      </w:r>
    </w:p>
    <w:p>
      <w:pPr>
        <w:pStyle w:val="Formuledadoption"/>
        <w:rPr>
          <w:noProof/>
        </w:rPr>
      </w:pPr>
      <w:r>
        <w:rPr>
          <w:noProof/>
        </w:rPr>
        <w:t>PRZYJMUJE NINIEJSZĄ DECYZJĘ:</w:t>
      </w:r>
    </w:p>
    <w:p>
      <w:pPr>
        <w:pStyle w:val="Titrearticle"/>
        <w:rPr>
          <w:noProof/>
        </w:rPr>
      </w:pPr>
      <w:r>
        <w:rPr>
          <w:noProof/>
        </w:rPr>
        <w:t>Artykuł 1</w:t>
      </w:r>
    </w:p>
    <w:p>
      <w:pPr>
        <w:rPr>
          <w:noProof/>
        </w:rPr>
      </w:pPr>
      <w:r>
        <w:rPr>
          <w:noProof/>
        </w:rPr>
        <w:t>Stanowisko, jakie ma zostać przyjęte w imieniu Unii Europejskiej na dziewiątym posiedzeniu Konferencji Stron konwencji rotterdamskiej, jest następujące: Unia popiera przyjęcie zmian w załączniku III do konwencji rotterdamskiej w sprawie procedury zgody po uprzednim poinformowaniu w międzynarodowym handlu niektórymi niebezpiecznymi substancjami chemicznymi i pestycydami dotyczących włączenia acetochloru, karbosulfanu, azbestu chryzotylowego, fentionu (postaci ultraniskoobjętościowe (ULV) w ilości równej 640 g substancji czynnej/l lub większej), heksabromocyklododekanu, postaci płynnych (koncentrat emulgujący i koncentrat rozpuszczalny) zawierających dichlorek parakwatu w ilości równej 276 g/l lub większej, odpowiadający jonowi parakwatu w ilości równej 200 g/l lub większej.</w:t>
      </w:r>
    </w:p>
    <w:p>
      <w:pPr>
        <w:pStyle w:val="Titrearticle"/>
        <w:rPr>
          <w:noProof/>
        </w:rPr>
      </w:pPr>
      <w:r>
        <w:rPr>
          <w:noProof/>
        </w:rPr>
        <w:t>Artykuł 2</w:t>
      </w:r>
    </w:p>
    <w:p>
      <w:pPr>
        <w:rPr>
          <w:noProof/>
        </w:rPr>
      </w:pPr>
      <w:r>
        <w:rPr>
          <w:noProof/>
        </w:rPr>
        <w:t>Niniejsza decyzja skierowana jest do Komisji.</w:t>
      </w:r>
    </w:p>
    <w:p>
      <w:pPr>
        <w:pStyle w:val="Fait"/>
        <w:rPr>
          <w:noProof/>
        </w:rPr>
      </w:pPr>
      <w:r>
        <w:t xml:space="preserve">Sporządzono w Brukseli dnia </w:t>
      </w:r>
      <w:r>
        <w:rPr>
          <w:rStyle w:val="Marker"/>
        </w:rPr>
        <w:t>[…]</w:t>
      </w:r>
      <w:r>
        <w:t xml:space="preserve"> r.</w:t>
      </w:r>
    </w:p>
    <w:p>
      <w:pPr>
        <w:pStyle w:val="Institutionquisigne"/>
        <w:rPr>
          <w:noProof/>
        </w:rPr>
      </w:pPr>
      <w:r>
        <w:rPr>
          <w:noProof/>
        </w:rPr>
        <w:tab/>
        <w:t>W imieniu Rady</w:t>
      </w:r>
    </w:p>
    <w:p>
      <w:pPr>
        <w:pStyle w:val="Personnequisigne"/>
        <w:rPr>
          <w:noProof/>
        </w:rPr>
      </w:pPr>
      <w:r>
        <w:rPr>
          <w:noProof/>
        </w:rPr>
        <w:tab/>
        <w:t>Przewodniczący</w:t>
      </w:r>
    </w:p>
    <w:sect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PL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Strong"/>
          <w:b w:val="0"/>
          <w:color w:val="444444"/>
          <w:sz w:val="19"/>
        </w:rPr>
        <w:t>Decyzja Rady 2006/730/WE z dnia 25 września 2006 r. dotycząca zawarcia, w imieniu Wspólnoty Europejskiej, Konwencji rotterdamskiej w sprawie procedury zgody po uprzednim poinformowaniu w międzynarodowym handlu niektórymi niebezpiecznymi substancjami chemicznymi i pestycydami</w:t>
      </w:r>
      <w:r>
        <w:t xml:space="preserve"> (Dz.U. L 299 z 28.10.2006, s. 23).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ab/>
        <w:t xml:space="preserve">Wyrok Trybunału Sprawiedliwości z dnia 7 października 2014 r. w sprawie C-399/12 Niemcy przeciwko Radzie, ECLI:EU:C:2014: 2258, pkt 61–64. 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ab/>
        <w:t>Dz.U. L 201 z 27.7.2012, s. 60.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ab/>
        <w:t>Decyzja Rady 2006/730/WE z dnia 25 września 2006 r. dotycząca zawarcia, w imieniu Wspólnoty Europejskiej, Konwencji rotterdamskiej w sprawie procedury zgody po uprzednim poinformowaniu w międzynarodowym handlu niektórymi niebezpiecznymi substancjami chemicznymi i pestycydami (Dz.U. L 299 z 28.10.2006, s. 23).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ab/>
        <w:t>Rozporządzenie Parlamentu Europejskiego i Rady (UE) nr 649/2012 z dnia 4 lipca 2012 r. dotyczące wywozu i przywozu niebezpiecznych chemikaliów (Dz.U. L 201 z 27.7.2012, s. 60).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F1E208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9FBED6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5D90B55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2264CD9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7940EA2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819CDC2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0EA29B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9EAA4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20"/>
  </w:num>
  <w:num w:numId="14">
    <w:abstractNumId w:val="11"/>
  </w:num>
  <w:num w:numId="15">
    <w:abstractNumId w:val="13"/>
  </w:num>
  <w:num w:numId="16">
    <w:abstractNumId w:val="9"/>
  </w:num>
  <w:num w:numId="17">
    <w:abstractNumId w:val="19"/>
  </w:num>
  <w:num w:numId="18">
    <w:abstractNumId w:val="8"/>
  </w:num>
  <w:num w:numId="19">
    <w:abstractNumId w:val="14"/>
  </w:num>
  <w:num w:numId="20">
    <w:abstractNumId w:val="16"/>
  </w:num>
  <w:num w:numId="21">
    <w:abstractNumId w:val="17"/>
  </w:num>
  <w:num w:numId="22">
    <w:abstractNumId w:val="10"/>
  </w:num>
  <w:num w:numId="23">
    <w:abstractNumId w:val="15"/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removePersonalInformation/>
  <w:removeDateAndTime/>
  <w:hideSpellingErrors/>
  <w:hideGrammaticalErrors/>
  <w:attachedTemplate r:id="rId1"/>
  <w:revisionView w:markup="0"/>
  <w:doNotTrackMoves/>
  <w:defaultTabStop w:val="720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</w:compat>
  <w:docVars>
    <w:docVar w:name="DQCDateTime" w:val="2019-01-31 08:59:13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A12EE357-EAFF-434B-85F8-658909E8FDF6"/>
    <w:docVar w:name="LW_COVERPAGE_TYPE" w:val="1"/>
    <w:docVar w:name="LW_CROSSREFERENCE" w:val="&lt;UNUSED&gt;"/>
    <w:docVar w:name="LW_DocType" w:val="COM"/>
    <w:docVar w:name="LW_EMISSION" w:val="6.2.2019"/>
    <w:docVar w:name="LW_EMISSION_ISODATE" w:val="2019-02-06"/>
    <w:docVar w:name="LW_EMISSION_LOCATION" w:val="BRX"/>
    <w:docVar w:name="LW_EMISSION_PREFIX" w:val="Bruksela, dnia "/>
    <w:docVar w:name="LW_EMISSION_SUFFIX" w:val=" r."/>
    <w:docVar w:name="LW_ID_DOCMODEL" w:val="SJ-043"/>
    <w:docVar w:name="LW_ID_DOCSIGNATURE" w:val="SJ-019"/>
    <w:docVar w:name="LW_ID_DOCSTRUCTURE" w:val="COM/PL/ORG"/>
    <w:docVar w:name="LW_ID_DOCTYPE" w:val="SJ-043"/>
    <w:docVar w:name="LW_ID_EXP.MOTIFS.NEW" w:val="EM_PL2_"/>
    <w:docVar w:name="LW_ID_STATUT" w:val="SJ-019"/>
    <w:docVar w:name="LW_INTERETEEE.CP" w:val="&lt;UNUSED&gt;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PART_NBR" w:val="1"/>
    <w:docVar w:name="LW_PART_NBR_TOTAL" w:val="1"/>
    <w:docVar w:name="LW_REF.II.NEW.CP" w:val="NLE"/>
    <w:docVar w:name="LW_REF.II.NEW.CP_NUMBER" w:val="0026"/>
    <w:docVar w:name="LW_REF.II.NEW.CP_YEAR" w:val="2019"/>
    <w:docVar w:name="LW_REF.INST.NEW" w:val="COM"/>
    <w:docVar w:name="LW_REF.INST.NEW_ADOPTED" w:val="final"/>
    <w:docVar w:name="LW_REF.INST.NEW_TEXT" w:val="(2019) 54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TATUT.CP" w:val="Wniosek"/>
    <w:docVar w:name="LW_SUPERTITRE" w:val="&lt;UNUSED&gt;"/>
    <w:docVar w:name="LW_TITRE.OBJ.CP" w:val="dotycz\u261?ca stanowiska, jakie ma zosta\u263? zaj\u281?te w imieniu Unii Europejskiej na Konferencji Stron w odniesieniu do zmian w za\u322?\u261?czniku III do konwencji rotterdamskiej w sprawie procedury zgody po uprzednim poinformowaniu w mi\u281?dzynarodowym handlu niektórymi niebezpiecznymi substancjami chemicznymi i pestycydami"/>
    <w:docVar w:name="LW_TYPE.DOC.CP" w:val="DECYZJA RADY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7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pl-PL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Revision">
    <w:name w:val="Revision"/>
    <w:hidden/>
    <w:uiPriority w:val="99"/>
    <w:semiHidden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lang w:val="pl-P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1"/>
      </w:numPr>
    </w:pPr>
  </w:style>
  <w:style w:type="paragraph" w:customStyle="1" w:styleId="Tiret1">
    <w:name w:val="Tiret 1"/>
    <w:basedOn w:val="Point1"/>
    <w:pPr>
      <w:numPr>
        <w:numId w:val="12"/>
      </w:numPr>
    </w:pPr>
  </w:style>
  <w:style w:type="paragraph" w:customStyle="1" w:styleId="Tiret2">
    <w:name w:val="Tiret 2"/>
    <w:basedOn w:val="Point2"/>
    <w:pPr>
      <w:numPr>
        <w:numId w:val="13"/>
      </w:numPr>
    </w:pPr>
  </w:style>
  <w:style w:type="paragraph" w:customStyle="1" w:styleId="Tiret3">
    <w:name w:val="Tiret 3"/>
    <w:basedOn w:val="Point3"/>
    <w:pPr>
      <w:numPr>
        <w:numId w:val="14"/>
      </w:numPr>
    </w:pPr>
  </w:style>
  <w:style w:type="paragraph" w:customStyle="1" w:styleId="Tiret4">
    <w:name w:val="Tiret 4"/>
    <w:basedOn w:val="Point4"/>
    <w:pPr>
      <w:numPr>
        <w:numId w:val="1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8"/>
      </w:numPr>
    </w:pPr>
  </w:style>
  <w:style w:type="paragraph" w:customStyle="1" w:styleId="Point1number">
    <w:name w:val="Point 1 (number)"/>
    <w:basedOn w:val="Normal"/>
    <w:pPr>
      <w:numPr>
        <w:ilvl w:val="2"/>
        <w:numId w:val="18"/>
      </w:numPr>
    </w:pPr>
  </w:style>
  <w:style w:type="paragraph" w:customStyle="1" w:styleId="Point2number">
    <w:name w:val="Point 2 (number)"/>
    <w:basedOn w:val="Normal"/>
    <w:pPr>
      <w:numPr>
        <w:ilvl w:val="4"/>
        <w:numId w:val="18"/>
      </w:numPr>
    </w:pPr>
  </w:style>
  <w:style w:type="paragraph" w:customStyle="1" w:styleId="Point3number">
    <w:name w:val="Point 3 (number)"/>
    <w:basedOn w:val="Normal"/>
    <w:pPr>
      <w:numPr>
        <w:ilvl w:val="6"/>
        <w:numId w:val="18"/>
      </w:numPr>
    </w:pPr>
  </w:style>
  <w:style w:type="paragraph" w:customStyle="1" w:styleId="Point0letter">
    <w:name w:val="Point 0 (letter)"/>
    <w:basedOn w:val="Normal"/>
    <w:pPr>
      <w:numPr>
        <w:ilvl w:val="1"/>
        <w:numId w:val="18"/>
      </w:numPr>
    </w:pPr>
  </w:style>
  <w:style w:type="paragraph" w:customStyle="1" w:styleId="Point1letter">
    <w:name w:val="Point 1 (letter)"/>
    <w:basedOn w:val="Normal"/>
    <w:pPr>
      <w:numPr>
        <w:ilvl w:val="3"/>
        <w:numId w:val="18"/>
      </w:numPr>
    </w:pPr>
  </w:style>
  <w:style w:type="paragraph" w:customStyle="1" w:styleId="Point2letter">
    <w:name w:val="Point 2 (letter)"/>
    <w:basedOn w:val="Normal"/>
    <w:pPr>
      <w:numPr>
        <w:ilvl w:val="5"/>
        <w:numId w:val="18"/>
      </w:numPr>
    </w:pPr>
  </w:style>
  <w:style w:type="paragraph" w:customStyle="1" w:styleId="Point3letter">
    <w:name w:val="Point 3 (letter)"/>
    <w:basedOn w:val="Normal"/>
    <w:pPr>
      <w:numPr>
        <w:ilvl w:val="7"/>
        <w:numId w:val="18"/>
      </w:numPr>
    </w:pPr>
  </w:style>
  <w:style w:type="paragraph" w:customStyle="1" w:styleId="Point4letter">
    <w:name w:val="Point 4 (letter)"/>
    <w:basedOn w:val="Normal"/>
    <w:pPr>
      <w:numPr>
        <w:ilvl w:val="8"/>
        <w:numId w:val="18"/>
      </w:numPr>
    </w:pPr>
  </w:style>
  <w:style w:type="paragraph" w:customStyle="1" w:styleId="Bullet0">
    <w:name w:val="Bullet 0"/>
    <w:basedOn w:val="Normal"/>
    <w:pPr>
      <w:numPr>
        <w:numId w:val="19"/>
      </w:numPr>
    </w:pPr>
  </w:style>
  <w:style w:type="paragraph" w:customStyle="1" w:styleId="Bullet1">
    <w:name w:val="Bullet 1"/>
    <w:basedOn w:val="Normal"/>
    <w:pPr>
      <w:numPr>
        <w:numId w:val="20"/>
      </w:numPr>
    </w:pPr>
  </w:style>
  <w:style w:type="paragraph" w:customStyle="1" w:styleId="Bullet2">
    <w:name w:val="Bullet 2"/>
    <w:basedOn w:val="Normal"/>
    <w:pPr>
      <w:numPr>
        <w:numId w:val="21"/>
      </w:numPr>
    </w:pPr>
  </w:style>
  <w:style w:type="paragraph" w:customStyle="1" w:styleId="Bullet3">
    <w:name w:val="Bullet 3"/>
    <w:basedOn w:val="Normal"/>
    <w:pPr>
      <w:numPr>
        <w:numId w:val="22"/>
      </w:numPr>
    </w:pPr>
  </w:style>
  <w:style w:type="paragraph" w:customStyle="1" w:styleId="Bullet4">
    <w:name w:val="Bullet 4"/>
    <w:basedOn w:val="Normal"/>
    <w:pPr>
      <w:numPr>
        <w:numId w:val="23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06502C9-64CC-42A4-A8FF-277F500B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0</TotalTime>
  <Pages>6</Pages>
  <Words>1584</Words>
  <Characters>10160</Characters>
  <Application>Microsoft Office Word</Application>
  <DocSecurity>0</DocSecurity>
  <Lines>178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2019-01-30T08:47:00Z</dcterms:created>
  <dcterms:modified xsi:type="dcterms:W3CDTF">2019-01-31T07:59:00Z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LW 6.0.1, Build 20180503</vt:lpwstr>
  </property>
  <property fmtid="{D5CDD505-2E9C-101B-9397-08002B2CF9AE}" pid="3" name="Category">
    <vt:lpwstr>COM/PL/ORG</vt:lpwstr>
  </property>
  <property fmtid="{D5CDD505-2E9C-101B-9397-08002B2CF9AE}" pid="4" name="Level of sensitivity">
    <vt:lpwstr>Standard treatment</vt:lpwstr>
  </property>
  <property fmtid="{D5CDD505-2E9C-101B-9397-08002B2CF9AE}" pid="5" name="Part">
    <vt:lpwstr>1</vt:lpwstr>
  </property>
  <property fmtid="{D5CDD505-2E9C-101B-9397-08002B2CF9AE}" pid="6" name="Total parts">
    <vt:lpwstr>1</vt:lpwstr>
  </property>
  <property fmtid="{D5CDD505-2E9C-101B-9397-08002B2CF9AE}" pid="7" name="LWTemplateID">
    <vt:lpwstr>SJ-043</vt:lpwstr>
  </property>
  <property fmtid="{D5CDD505-2E9C-101B-9397-08002B2CF9AE}" pid="8" name="DQCStatus">
    <vt:lpwstr>Green (DQC version 03)</vt:lpwstr>
  </property>
</Properties>
</file>