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alt="C2CD867E-D48E-4FFE-877C-FAEAAAE7228F" style="width:450.75pt;height:348pt">
            <v:imagedata r:id="rId12" o:title=""/>
          </v:shape>
        </w:pict>
      </w:r>
    </w:p>
    <w:bookmarkEnd w:id="0"/>
    <w:p>
      <w:pPr>
        <w:rPr>
          <w:noProof/>
        </w:rPr>
        <w:sectPr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Heading1"/>
        <w:rPr>
          <w:noProof/>
          <w:szCs w:val="24"/>
        </w:rPr>
      </w:pPr>
      <w:bookmarkStart w:id="1" w:name="_GoBack"/>
      <w:bookmarkEnd w:id="1"/>
      <w:r>
        <w:rPr>
          <w:noProof/>
        </w:rPr>
        <w:lastRenderedPageBreak/>
        <w:t xml:space="preserve">Wprowadzenie </w:t>
      </w:r>
    </w:p>
    <w:p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W grudniu 2015 r. Komisja przyjęła plan działania UE dotyczący gospodarki o obiegu zamkniętym</w:t>
      </w:r>
      <w:r>
        <w:rPr>
          <w:rStyle w:val="FootnoteReference"/>
          <w:rFonts w:ascii="Times New Roman" w:hAnsi="Times New Roman"/>
          <w:noProof/>
          <w:sz w:val="24"/>
        </w:rPr>
        <w:footnoteReference w:id="2"/>
      </w:r>
      <w:r>
        <w:rPr>
          <w:rFonts w:ascii="Times New Roman" w:hAnsi="Times New Roman"/>
          <w:noProof/>
          <w:sz w:val="18"/>
        </w:rPr>
        <w:t xml:space="preserve"> </w:t>
      </w:r>
      <w:r>
        <w:rPr>
          <w:rFonts w:ascii="Times New Roman" w:hAnsi="Times New Roman"/>
          <w:noProof/>
          <w:sz w:val="24"/>
        </w:rPr>
        <w:t>w</w:t>
      </w:r>
      <w:r>
        <w:rPr>
          <w:rFonts w:ascii="Times New Roman" w:hAnsi="Times New Roman"/>
          <w:noProof/>
          <w:sz w:val="18"/>
        </w:rPr>
        <w:t> </w:t>
      </w:r>
      <w:r>
        <w:rPr>
          <w:rFonts w:ascii="Times New Roman" w:hAnsi="Times New Roman"/>
          <w:noProof/>
          <w:sz w:val="24"/>
        </w:rPr>
        <w:t xml:space="preserve">celu pobudzenia zatrudnienia, wzrostu i inwestycji oraz wypracowania neutralnej pod względem emisji dwutlenku węgla, zasobooszczędnej i konkurencyjnej gospodarki. 54 działania w ramach planu działania zostały zakończone lub są wdrażane, chociaż prace nad niektórymi będą trwały jeszcze po 2019 r. </w:t>
      </w:r>
    </w:p>
    <w:p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Unijne ramy monitorowania gospodarki o obiegu zamkniętym</w:t>
      </w:r>
      <w:r>
        <w:rPr>
          <w:rStyle w:val="FootnoteReference"/>
          <w:rFonts w:ascii="Times New Roman" w:hAnsi="Times New Roman"/>
          <w:noProof/>
          <w:sz w:val="24"/>
        </w:rPr>
        <w:footnoteReference w:id="3"/>
      </w:r>
      <w:r>
        <w:rPr>
          <w:rFonts w:ascii="Times New Roman" w:hAnsi="Times New Roman"/>
          <w:noProof/>
          <w:sz w:val="24"/>
        </w:rPr>
        <w:t xml:space="preserve"> wskazują, że transformacja pomogła UE powrócić na ścieżkę tworzenia miejsc pracy. W 2016 r. w sektorach istotnych dla gospodarki o obiegu zamkniętym zatrudniano ponad cztery miliony pracowników</w:t>
      </w:r>
      <w:r>
        <w:rPr>
          <w:rStyle w:val="FootnoteReference"/>
          <w:rFonts w:ascii="Times New Roman" w:hAnsi="Times New Roman"/>
          <w:noProof/>
          <w:sz w:val="24"/>
        </w:rPr>
        <w:footnoteReference w:id="4"/>
      </w:r>
      <w:r>
        <w:rPr>
          <w:rFonts w:ascii="Times New Roman" w:hAnsi="Times New Roman"/>
          <w:noProof/>
          <w:sz w:val="24"/>
        </w:rPr>
        <w:t>, co stanowiło wzrost o 6 % w porównaniu z 2012 r. W najbliższych latach tworzone mają być dodatkowe miejsca pracy, aby zaspokoić oczekiwany popyt generowany przez w pełni funkcjonujące rynki surowców wtórnych</w:t>
      </w:r>
      <w:r>
        <w:rPr>
          <w:rStyle w:val="FootnoteReference"/>
          <w:rFonts w:ascii="Times New Roman" w:hAnsi="Times New Roman"/>
          <w:noProof/>
          <w:sz w:val="24"/>
        </w:rPr>
        <w:footnoteReference w:id="5"/>
      </w:r>
      <w:r>
        <w:rPr>
          <w:rFonts w:ascii="Times New Roman" w:hAnsi="Times New Roman"/>
          <w:noProof/>
          <w:sz w:val="24"/>
        </w:rPr>
        <w:t>.</w:t>
      </w:r>
    </w:p>
    <w:p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Dzięki obiegowi zamkniętemu pojawiły się także nowe możliwości i modele biznesowe oraz możliwość rozwoju nowych rynków wewnątrz UE i poza jej granicami. W 2016 r. działania związane z obiegiem zamkniętym, takie jak naprawa, ponowne użycie lub recykling, wygenerowały niemal 147 mld EUR wartości dodanej, przyczyniając się do inwestycji wartych około 17,5 mld EUR</w:t>
      </w:r>
      <w:r>
        <w:rPr>
          <w:rStyle w:val="FootnoteReference"/>
          <w:rFonts w:ascii="Times New Roman" w:hAnsi="Times New Roman"/>
          <w:noProof/>
          <w:sz w:val="24"/>
        </w:rPr>
        <w:footnoteReference w:id="6"/>
      </w:r>
      <w:r>
        <w:rPr>
          <w:rFonts w:ascii="Times New Roman" w:hAnsi="Times New Roman"/>
          <w:noProof/>
          <w:sz w:val="24"/>
        </w:rPr>
        <w:t xml:space="preserve">. </w:t>
      </w:r>
    </w:p>
    <w:p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W latach 2008–2016 recykling odpadów komunalnych w Europie wzrósł, a udział materiałów pochodzących z recyklingu w ogólnym zapotrzebowaniu na materiały wskazuje na ciągłą poprawę. Materiały pochodzące z recyklingu zaspakajają jednak niecałe 12 % popytu na materiały w UE</w:t>
      </w:r>
      <w:r>
        <w:rPr>
          <w:rStyle w:val="FootnoteReference"/>
          <w:rFonts w:ascii="Times New Roman" w:hAnsi="Times New Roman"/>
          <w:noProof/>
          <w:sz w:val="24"/>
        </w:rPr>
        <w:footnoteReference w:id="7"/>
      </w:r>
      <w:r>
        <w:rPr>
          <w:rFonts w:ascii="Times New Roman" w:hAnsi="Times New Roman"/>
          <w:noProof/>
          <w:sz w:val="24"/>
        </w:rPr>
        <w:t>. Znajduje to odzwierciedlenie w niedawnym sprawozdaniu zainteresowanych stron, z którego wynika, że pełny obieg zamknięty ma zastosowanie jedynie do 9 %</w:t>
      </w:r>
      <w:r>
        <w:rPr>
          <w:rStyle w:val="FootnoteReference"/>
          <w:rFonts w:ascii="Times New Roman" w:hAnsi="Times New Roman"/>
          <w:noProof/>
          <w:sz w:val="24"/>
        </w:rPr>
        <w:footnoteReference w:id="8"/>
      </w:r>
      <w:r>
        <w:rPr>
          <w:rFonts w:ascii="Times New Roman" w:hAnsi="Times New Roman"/>
          <w:noProof/>
          <w:sz w:val="24"/>
        </w:rPr>
        <w:t xml:space="preserve"> światowej gospodarki, co pozostawia ogromne pole do poprawy.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>
        <w:tc>
          <w:tcPr>
            <w:tcW w:w="9062" w:type="dxa"/>
            <w:shd w:val="clear" w:color="auto" w:fill="F2F2F2" w:themeFill="background1" w:themeFillShade="F2"/>
          </w:tcPr>
          <w:p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Unijne </w:t>
            </w:r>
            <w:r>
              <w:rPr>
                <w:rFonts w:ascii="Times New Roman" w:hAnsi="Times New Roman"/>
                <w:b/>
                <w:noProof/>
                <w:sz w:val="24"/>
              </w:rPr>
              <w:t>ramy monitorowania gospodarki o obiegu zamkniętym</w:t>
            </w:r>
            <w:r>
              <w:rPr>
                <w:rFonts w:ascii="Times New Roman" w:hAnsi="Times New Roman"/>
                <w:noProof/>
                <w:sz w:val="24"/>
              </w:rPr>
              <w:t xml:space="preserve"> przedstawione przez Komisję w 2018 r. uwzględniają 10 kluczowych wskaźników obejmujących każdy etap cyklu życia produktów oraz aspekty konkurencyjności. Wszystkie wskaźniki są regularnie aktualizowane i udostępniane na specjalnej stronie internetowej</w:t>
            </w:r>
            <w:r>
              <w:rPr>
                <w:rStyle w:val="FootnoteReference"/>
                <w:rFonts w:ascii="Times New Roman" w:hAnsi="Times New Roman"/>
                <w:noProof/>
                <w:sz w:val="24"/>
              </w:rPr>
              <w:footnoteReference w:id="9"/>
            </w:r>
            <w:r>
              <w:rPr>
                <w:rFonts w:ascii="Times New Roman" w:hAnsi="Times New Roman"/>
                <w:noProof/>
                <w:sz w:val="24"/>
              </w:rPr>
              <w:t xml:space="preserve">. </w:t>
            </w:r>
          </w:p>
          <w:p>
            <w:pPr>
              <w:spacing w:before="120" w:after="120"/>
              <w:jc w:val="both"/>
              <w:rPr>
                <w:noProof/>
              </w:rPr>
            </w:pPr>
            <w:r>
              <w:rPr>
                <w:rFonts w:ascii="Times New Roman" w:hAnsi="Times New Roman"/>
                <w:noProof/>
                <w:sz w:val="24"/>
              </w:rPr>
              <w:t>Niektóre państwa członkowskie opracowały dodatkowe krajowe wskaźniki gospodarki o obiegu zamkniętym, uzupełniając tym samym przegląd przewidziany w unijnych przepisach. Parlament Europejski</w:t>
            </w:r>
            <w:r>
              <w:rPr>
                <w:rStyle w:val="FootnoteReference"/>
                <w:rFonts w:ascii="Times New Roman" w:hAnsi="Times New Roman"/>
                <w:noProof/>
                <w:sz w:val="24"/>
              </w:rPr>
              <w:footnoteReference w:id="10"/>
            </w:r>
            <w:r>
              <w:rPr>
                <w:rFonts w:ascii="Times New Roman" w:hAnsi="Times New Roman"/>
                <w:noProof/>
                <w:sz w:val="24"/>
              </w:rPr>
              <w:t>, Rada</w:t>
            </w:r>
            <w:r>
              <w:rPr>
                <w:rStyle w:val="FootnoteReference"/>
                <w:rFonts w:ascii="Times New Roman" w:hAnsi="Times New Roman"/>
                <w:noProof/>
                <w:sz w:val="24"/>
              </w:rPr>
              <w:footnoteReference w:id="11"/>
            </w:r>
            <w:r>
              <w:rPr>
                <w:rFonts w:ascii="Times New Roman" w:hAnsi="Times New Roman"/>
                <w:noProof/>
                <w:sz w:val="24"/>
              </w:rPr>
              <w:t xml:space="preserve"> i Europejski Komitet Ekonomiczno-Społeczny</w:t>
            </w:r>
            <w:r>
              <w:rPr>
                <w:rStyle w:val="FootnoteReference"/>
                <w:rFonts w:ascii="Times New Roman" w:hAnsi="Times New Roman"/>
                <w:noProof/>
                <w:sz w:val="24"/>
              </w:rPr>
              <w:footnoteReference w:id="12"/>
            </w:r>
            <w:r>
              <w:rPr>
                <w:rFonts w:ascii="Times New Roman" w:hAnsi="Times New Roman"/>
                <w:noProof/>
                <w:sz w:val="24"/>
              </w:rPr>
              <w:t xml:space="preserve"> również podkreśliły rolę innych wskaźników w identyfikacji brakujących aspektów gospodarki o obiegu zamkniętym, takich jak ocena przepływów materiałów w symbiozie przemysłowej i uwzględnienie kapitału naturalnego.   </w:t>
            </w:r>
          </w:p>
        </w:tc>
      </w:tr>
    </w:tbl>
    <w:p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W ramach planu działania po raz pierwszy propagowano systemowe podejście w całych łańcuchach wartości. Dzięki niemu Komisja upowszechniła zasady dotyczące obiegu zamkniętego w obszarach produkcji i konsumpcji tworzyw sztucznych, gospodarki wodnej, systemów żywnościowych i zarządzania poszczególnymi strumieniami odpadów. Było to możliwe dzięki silnemu wsparciu i zaangażowaniu ze strony państw członkowskich, Parlamentu Europejskiego, środowiska biznesu i obywateli. Plan pozwolił również zbliżyć się do opracowania Agendy na rzecz zrównoważonego rozwoju 2030</w:t>
      </w:r>
      <w:r>
        <w:rPr>
          <w:rStyle w:val="FootnoteReference"/>
          <w:rFonts w:ascii="Times New Roman" w:hAnsi="Times New Roman"/>
          <w:noProof/>
          <w:sz w:val="24"/>
        </w:rPr>
        <w:footnoteReference w:id="13"/>
      </w:r>
      <w:r>
        <w:rPr>
          <w:rFonts w:ascii="Times New Roman" w:hAnsi="Times New Roman"/>
          <w:noProof/>
          <w:sz w:val="24"/>
        </w:rPr>
        <w:t>.</w:t>
      </w:r>
    </w:p>
    <w:p>
      <w:pPr>
        <w:spacing w:before="120" w:after="120" w:line="240" w:lineRule="auto"/>
        <w:jc w:val="both"/>
        <w:rPr>
          <w:b/>
          <w:noProof/>
          <w:szCs w:val="24"/>
        </w:rPr>
      </w:pPr>
      <w:r>
        <w:rPr>
          <w:rFonts w:ascii="Times New Roman" w:hAnsi="Times New Roman"/>
          <w:noProof/>
          <w:sz w:val="24"/>
        </w:rPr>
        <w:t>W niniejszym sprawozdaniu przedstawiono główne wyniki wdrożenia planu działania. Nakreślono w nim także przyszłe wyzwania związane z kształtowaniem naszej gospodarki i dalszym tworzeniem przewagi konkurencyjnej, wytyczając drogę do gospodarki neutralnej dla klimatu, w której presja na zasoby naturalne i słodkowodne, jak również ekosystemy jest zminimalizowana. Sprawozdanie stanowi odpowiedź na wniosek Rady</w:t>
      </w:r>
      <w:r>
        <w:rPr>
          <w:rStyle w:val="FootnoteReference"/>
          <w:rFonts w:ascii="Times New Roman" w:hAnsi="Times New Roman"/>
          <w:noProof/>
          <w:sz w:val="24"/>
        </w:rPr>
        <w:footnoteReference w:id="14"/>
      </w:r>
      <w:r>
        <w:rPr>
          <w:rFonts w:ascii="Times New Roman" w:hAnsi="Times New Roman"/>
          <w:noProof/>
          <w:sz w:val="24"/>
        </w:rPr>
        <w:t xml:space="preserve"> o przedstawienie „corocznej pisemnej aktualizacji informacji o postępach w realizacji planu działania”, który to wniosek powtórzył także Parlament Europejski</w:t>
      </w:r>
      <w:r>
        <w:rPr>
          <w:rStyle w:val="FootnoteReference"/>
          <w:rFonts w:ascii="Times New Roman" w:hAnsi="Times New Roman"/>
          <w:noProof/>
          <w:sz w:val="24"/>
        </w:rPr>
        <w:footnoteReference w:id="15"/>
      </w:r>
      <w:r>
        <w:rPr>
          <w:rFonts w:ascii="Times New Roman" w:hAnsi="Times New Roman"/>
          <w:noProof/>
          <w:sz w:val="24"/>
        </w:rPr>
        <w:t>. Aktualną sytuację w zakresie wdrażania planu działania przedstawiono w pełni w załączonym dokumencie roboczym służb Komisji</w:t>
      </w:r>
      <w:r>
        <w:rPr>
          <w:rStyle w:val="FootnoteReference"/>
          <w:rFonts w:ascii="Times New Roman" w:hAnsi="Times New Roman"/>
          <w:noProof/>
          <w:sz w:val="24"/>
        </w:rPr>
        <w:footnoteReference w:id="16"/>
      </w:r>
      <w:r>
        <w:rPr>
          <w:rFonts w:ascii="Times New Roman" w:hAnsi="Times New Roman"/>
          <w:noProof/>
          <w:sz w:val="24"/>
        </w:rPr>
        <w:t>.</w:t>
      </w:r>
    </w:p>
    <w:p>
      <w:pPr>
        <w:pStyle w:val="Heading1"/>
        <w:rPr>
          <w:noProof/>
          <w:szCs w:val="24"/>
        </w:rPr>
      </w:pPr>
      <w:r>
        <w:rPr>
          <w:noProof/>
        </w:rPr>
        <w:t xml:space="preserve">Budowanie gospodarki o obiegu zamkniętym </w:t>
      </w:r>
    </w:p>
    <w:p>
      <w:pPr>
        <w:pStyle w:val="Heading2"/>
        <w:rPr>
          <w:noProof/>
        </w:rPr>
      </w:pPr>
      <w:r>
        <w:rPr>
          <w:noProof/>
        </w:rPr>
        <w:t>Projektowanie i procesy produkcyjne w obiegu zamkniętym</w:t>
      </w:r>
    </w:p>
    <w:tbl>
      <w:tblPr>
        <w:tblStyle w:val="TableGrid"/>
        <w:tblW w:w="906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7"/>
      </w:tblGrid>
      <w:tr>
        <w:trPr>
          <w:trHeight w:val="2880"/>
        </w:trPr>
        <w:tc>
          <w:tcPr>
            <w:tcW w:w="9067" w:type="dxa"/>
            <w:shd w:val="clear" w:color="auto" w:fill="F2F2F2" w:themeFill="background1" w:themeFillShade="F2"/>
          </w:tcPr>
          <w:p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Projekt zapoczątkowuje cykl życia produktów i ma kluczowe znaczenie dla zapewnienia obiegu zamkniętego. Wraz z wdrożeniem planu prac dotyczącego ekoprojektu na lata 2016–2019</w:t>
            </w:r>
            <w:r>
              <w:rPr>
                <w:rStyle w:val="FootnoteReference"/>
                <w:rFonts w:ascii="Times New Roman" w:hAnsi="Times New Roman"/>
                <w:noProof/>
                <w:sz w:val="24"/>
              </w:rPr>
              <w:footnoteReference w:id="17"/>
            </w:r>
            <w:r>
              <w:rPr>
                <w:rFonts w:ascii="Times New Roman" w:hAnsi="Times New Roman"/>
                <w:noProof/>
                <w:sz w:val="24"/>
              </w:rPr>
              <w:t xml:space="preserve"> Komisja w coraz większym stopniu propaguje </w:t>
            </w:r>
            <w:r>
              <w:rPr>
                <w:rFonts w:ascii="Times New Roman" w:hAnsi="Times New Roman"/>
                <w:b/>
                <w:noProof/>
                <w:sz w:val="24"/>
              </w:rPr>
              <w:t>projektowanie produktów w obiegu zamkniętym</w:t>
            </w:r>
            <w:r>
              <w:rPr>
                <w:rFonts w:ascii="Times New Roman" w:hAnsi="Times New Roman"/>
                <w:noProof/>
                <w:sz w:val="24"/>
              </w:rPr>
              <w:t xml:space="preserve"> oraz cele w zakresie efektywności energetycznej.</w:t>
            </w:r>
          </w:p>
          <w:p>
            <w:pPr>
              <w:pStyle w:val="ListParagraph"/>
              <w:numPr>
                <w:ilvl w:val="0"/>
                <w:numId w:val="44"/>
              </w:num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Środki związane z ekoprojektem i etykietowaniem energetycznym dla kilku produktów obejmują aktualnie zasady dotyczące wymogów w zakresie efektywnego wykorzystania materiałów, takich jak dostępność części zamiennych, łatwość naprawy i ułatwienie przetworzenia pod koniec przydatności do użycia. </w:t>
            </w:r>
          </w:p>
          <w:p>
            <w:pPr>
              <w:pStyle w:val="ListParagraph"/>
              <w:numPr>
                <w:ilvl w:val="0"/>
                <w:numId w:val="44"/>
              </w:numPr>
              <w:spacing w:before="120" w:after="120"/>
              <w:ind w:right="36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Komisja zleciła europejskim organizacjom normalizacyjnym</w:t>
            </w:r>
            <w:r>
              <w:rPr>
                <w:rStyle w:val="FootnoteReference"/>
                <w:rFonts w:ascii="Times New Roman" w:hAnsi="Times New Roman"/>
                <w:noProof/>
                <w:sz w:val="24"/>
              </w:rPr>
              <w:footnoteReference w:id="18"/>
            </w:r>
            <w:r>
              <w:rPr>
                <w:rFonts w:ascii="Times New Roman" w:hAnsi="Times New Roman"/>
                <w:noProof/>
                <w:sz w:val="24"/>
              </w:rPr>
              <w:t xml:space="preserve"> opracowanie horyzontalnych kryteriów pomiaru trwałości, zdatności do ponownego użycia, możliwości naprawy, możliwości poddania recyklingowi i obecności surowców krytycznych. Kryteria te należy stosować w istniejących i nowych normach.</w:t>
            </w:r>
          </w:p>
        </w:tc>
      </w:tr>
    </w:tbl>
    <w:p>
      <w:pPr>
        <w:pStyle w:val="NormalWeb"/>
        <w:spacing w:before="120"/>
        <w:jc w:val="both"/>
        <w:rPr>
          <w:noProof/>
        </w:rPr>
      </w:pPr>
      <w:r>
        <w:rPr>
          <w:noProof/>
        </w:rPr>
        <w:t>Dzięki produktom i usługom zaprojektowanym w sposób pozwalający włączyć je do obiegu zamkniętego w przyszłości będzie można minimalizować wykorzystanie zasobów i wspierać ponowne użycie materiałów, ich odzysk i zdatność do recyklingu. W różnych strategiach politycznych UE odniesiono się już do kwestii zasobooszczędności: poza dyrektywą w sprawie ekoprojektu i rozporządzeniem w sprawie etykietowania energetycznego polityki te obejmują również narzędzia dobrowolne, takie jak oznakowanie ekologiczne UE lub kryteria zielonych zamówień publicznych. W dokumencie roboczym służb Komisji</w:t>
      </w:r>
      <w:r>
        <w:rPr>
          <w:rStyle w:val="FootnoteReference"/>
          <w:noProof/>
        </w:rPr>
        <w:footnoteReference w:id="19"/>
      </w:r>
      <w:r>
        <w:rPr>
          <w:noProof/>
        </w:rPr>
        <w:t xml:space="preserve"> opublikowanym wraz z niniejszym sprawozdaniem zbadano możliwości w zakresie lepszego formułowania różnych istniejących narzędzi polityki produktowej na poziomie UE oraz ich wkład w gospodarkę o obiegu zamkniętym. Uwzględniono m.in. rozszerzenie polityki dotyczącej ekoprojektu, która okazała się skuteczna w przypadku produktów związanych z energią, grup produktów niezwiązanych z energią oraz w dalszym wspieraniu sektora napraw w UE. W dokumencie roboczym przeanalizowano także możliwości w dodatkowych sektorach, jak np. sektory opakowań i wyrobów włókienniczych oraz sektor meblarski. Trwają prace nad przeglądem zasadniczych wymagań w zakresie opakowań, które mają na celu poprawę projektowania pod kątem ponownego wykorzystania i zapewnienia wysokiej jakości recyklingu opakowań.</w:t>
      </w:r>
    </w:p>
    <w:p>
      <w:pPr>
        <w:pStyle w:val="NormalWeb"/>
        <w:jc w:val="both"/>
        <w:rPr>
          <w:noProof/>
        </w:rPr>
      </w:pPr>
      <w:r>
        <w:rPr>
          <w:noProof/>
        </w:rPr>
        <w:t>Obieg zamknięty oznacza również dostosowanie procesów przemysłowych. Komisja wprowadziła aspekty obiegu zamkniętego (zużycie energii i wykorzystanie materiałów, zapobieganie powstawaniu odpadów, recykling i ograniczenie ilości niebezpiecznych chemikaliów) do poszczególnych dokumentów referencyjnych dotyczących najlepszych dostępnych technik (BREF)</w:t>
      </w:r>
      <w:r>
        <w:rPr>
          <w:rStyle w:val="FootnoteReference"/>
          <w:noProof/>
        </w:rPr>
        <w:footnoteReference w:id="20"/>
      </w:r>
      <w:r>
        <w:rPr>
          <w:noProof/>
        </w:rPr>
        <w:t xml:space="preserve"> zgodnie z dyrektywą w sprawie emisji przemysłowych</w:t>
      </w:r>
      <w:r>
        <w:rPr>
          <w:rStyle w:val="FootnoteReference"/>
          <w:noProof/>
        </w:rPr>
        <w:footnoteReference w:id="21"/>
      </w:r>
      <w:r>
        <w:rPr>
          <w:noProof/>
        </w:rPr>
        <w:t>, przekształcając je w normy referencyjne dla państw członkowskich dotyczące udzielania zezwoleń zakładom przemysłowym. Ponadto wyniki oceny adekwatności systemu zarządzania środowiskowego i audytu (EMAS) potwierdziły jego potencjał poprawy efektywności środowiskowej organizacji.</w:t>
      </w:r>
    </w:p>
    <w:p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Podstawę transformacji stanowią małe i średnie przedsiębiorstwa (MŚP). Mają one dostęp do doradztwa Europejskiej Sieci Przedsiębiorczości</w:t>
      </w:r>
      <w:r>
        <w:rPr>
          <w:rStyle w:val="FootnoteReference"/>
          <w:rFonts w:ascii="Times New Roman" w:hAnsi="Times New Roman"/>
          <w:noProof/>
          <w:sz w:val="24"/>
        </w:rPr>
        <w:footnoteReference w:id="22"/>
      </w:r>
      <w:r>
        <w:rPr>
          <w:rFonts w:ascii="Times New Roman" w:hAnsi="Times New Roman"/>
          <w:noProof/>
          <w:sz w:val="24"/>
        </w:rPr>
        <w:t xml:space="preserve"> i Europejskiego Centrum Wiedzy na temat Wydajności Zasobów</w:t>
      </w:r>
      <w:r>
        <w:rPr>
          <w:rStyle w:val="FootnoteReference"/>
          <w:rFonts w:ascii="Times New Roman" w:hAnsi="Times New Roman"/>
          <w:noProof/>
          <w:sz w:val="24"/>
        </w:rPr>
        <w:footnoteReference w:id="23"/>
      </w:r>
      <w:r>
        <w:rPr>
          <w:rFonts w:ascii="Times New Roman" w:hAnsi="Times New Roman"/>
          <w:noProof/>
          <w:sz w:val="24"/>
        </w:rPr>
        <w:t>, dzięki którym mogą zwiększyć swoją zasobooszczędność i usprawnić procesy produkcji. Komisja ustanowiła ponadto ogólnoeuropejską sieć poświęconą innowacyjnym i zaawansowanym technologiom produkcyjnym oraz opracowuje bazę wiedzy do celów zastępowania substancji niebezpiecznych, które wzbudzają obawy. MŚP korzystają również z programu pilotażowego w zakresie weryfikacji technologii środowiskowych przeznaczonego dla podmiotów zajmujących się rozwojem technologicznym, który ma potwierdzać informacje o wydajności innowacyjnych technologii i zapewnić większą wiarygodność na nowych rynkach.</w:t>
      </w:r>
    </w:p>
    <w:p>
      <w:pPr>
        <w:pStyle w:val="Heading2"/>
        <w:rPr>
          <w:noProof/>
        </w:rPr>
      </w:pPr>
      <w:r>
        <w:rPr>
          <w:noProof/>
        </w:rPr>
        <w:t>Wzmocnienie pozycji konsumentów</w:t>
      </w:r>
    </w:p>
    <w:p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Przejście na gospodarkę o bardziej zamkniętym obiegu wymaga aktywnego zaangażowania obywateli w zmianę struktury konsumpcji. W tym celu w towarzyszącym dokumencie na temat polityki dotyczącej produktów opisano strategiczne podejście do zwiększenia efektywności oznakowania ekologicznego UE, aby zapewnić konsumentom dokładne informacje o środowisku zgodnie z zaleceniami oceny adekwatności</w:t>
      </w:r>
      <w:r>
        <w:rPr>
          <w:rStyle w:val="FootnoteReference"/>
          <w:rFonts w:ascii="Times New Roman" w:hAnsi="Times New Roman"/>
          <w:noProof/>
          <w:sz w:val="24"/>
        </w:rPr>
        <w:footnoteReference w:id="24"/>
      </w:r>
      <w:r>
        <w:rPr>
          <w:rFonts w:ascii="Times New Roman" w:hAnsi="Times New Roman"/>
          <w:noProof/>
          <w:sz w:val="24"/>
        </w:rPr>
        <w:t xml:space="preserve">. Przedstawiono w nim także szczegółową ocenę pilotażowego etapu śladu środowiskowego.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>
        <w:tc>
          <w:tcPr>
            <w:tcW w:w="9288" w:type="dxa"/>
            <w:shd w:val="clear" w:color="auto" w:fill="F2F2F2" w:themeFill="background1" w:themeFillShade="F2"/>
          </w:tcPr>
          <w:p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Metoda odnosząca się do śladu środowiskowego produktu i metoda odnosząca się do śladu środowiskowego organizacji opracowane przez Komisję mogą umożliwić przedsiębiorstwom </w:t>
            </w:r>
            <w:r>
              <w:rPr>
                <w:rFonts w:ascii="Times New Roman" w:hAnsi="Times New Roman"/>
                <w:b/>
                <w:noProof/>
                <w:sz w:val="24"/>
              </w:rPr>
              <w:t>sformułowanie twierdzeń dotyczących ekologiczności, które są wiarygodne, weryfikowalne i porównywalne</w:t>
            </w:r>
            <w:r>
              <w:rPr>
                <w:rFonts w:ascii="Times New Roman" w:hAnsi="Times New Roman"/>
                <w:noProof/>
                <w:sz w:val="24"/>
              </w:rPr>
              <w:t>. Metody te pozwalają na identyfikację aspektów o kluczowym oddziaływaniu na środowisko i wspieranie przedsiębiorstw w ekologizacji ich łańcucha dostaw, oraz w dążeniu do większego zrównoważenia i zapewnienia obiegu zamkniętego. Dzięki wiarygodnym informacjom również konsumenci będą w stanie dokonywać świadomych wyborów.</w:t>
            </w:r>
          </w:p>
          <w:p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Około 300 przedsiębiorstw z 27 różnych sektorów</w:t>
            </w:r>
            <w:r>
              <w:rPr>
                <w:rStyle w:val="FootnoteReference"/>
                <w:rFonts w:ascii="Times New Roman" w:hAnsi="Times New Roman"/>
                <w:noProof/>
                <w:sz w:val="24"/>
              </w:rPr>
              <w:footnoteReference w:id="25"/>
            </w:r>
            <w:r>
              <w:rPr>
                <w:rFonts w:ascii="Times New Roman" w:hAnsi="Times New Roman"/>
                <w:noProof/>
                <w:sz w:val="24"/>
              </w:rPr>
              <w:t xml:space="preserve"> i ponad 2 000 zainteresowanych stron pracowało przez 5 lat nad przetestowaniem tych metod, które uznały za najlepsze praktyki w zakresie oceny cyklu życia.</w:t>
            </w:r>
          </w:p>
        </w:tc>
      </w:tr>
    </w:tbl>
    <w:p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Informacje na temat trwałości produktów i ich zdatności do naprawy</w:t>
      </w:r>
      <w:r>
        <w:rPr>
          <w:rStyle w:val="FootnoteReference"/>
          <w:rFonts w:ascii="Times New Roman" w:hAnsi="Times New Roman"/>
          <w:noProof/>
          <w:sz w:val="24"/>
        </w:rPr>
        <w:footnoteReference w:id="26"/>
      </w:r>
      <w:r>
        <w:rPr>
          <w:rFonts w:ascii="Times New Roman" w:hAnsi="Times New Roman"/>
          <w:noProof/>
          <w:sz w:val="24"/>
        </w:rPr>
        <w:t xml:space="preserve"> mogą się również przyczynić do przesunięcia decyzji zakupowych w kierunku bardziej zrównoważonych wyborów. Na podstawie pozytywnych doświadczeń zebranych w związku z rozporządzeniem w sprawie etykietowania energetycznego Komisja opracowuje system oceny punktowej dotyczący zdatności produktów do naprawy. Ponadto, aby chronić konsumentów przed wadliwymi produktami, we wniosku</w:t>
      </w:r>
      <w:r>
        <w:rPr>
          <w:rStyle w:val="FootnoteReference"/>
          <w:rFonts w:ascii="Times New Roman" w:hAnsi="Times New Roman"/>
          <w:noProof/>
          <w:sz w:val="24"/>
        </w:rPr>
        <w:footnoteReference w:id="27"/>
      </w:r>
      <w:r>
        <w:rPr>
          <w:rFonts w:ascii="Times New Roman" w:hAnsi="Times New Roman"/>
          <w:noProof/>
          <w:sz w:val="24"/>
        </w:rPr>
        <w:t xml:space="preserve"> dotyczącym pewnych aspektów umów sprzedaży towarów, który aktualnie jest na ostatnich etapach procesu legislacyjnego, wydłuża się okres przeniesienia ciężaru dowodu, co pomoże konsumentom korzystać z ich gwarantowanych praw</w:t>
      </w:r>
      <w:r>
        <w:rPr>
          <w:rStyle w:val="FootnoteReference"/>
          <w:rFonts w:ascii="Times New Roman" w:hAnsi="Times New Roman"/>
          <w:noProof/>
          <w:sz w:val="24"/>
        </w:rPr>
        <w:footnoteReference w:id="28"/>
      </w:r>
      <w:r>
        <w:rPr>
          <w:rFonts w:ascii="Times New Roman" w:hAnsi="Times New Roman"/>
          <w:noProof/>
          <w:sz w:val="24"/>
        </w:rPr>
        <w:t xml:space="preserve">. </w:t>
      </w:r>
    </w:p>
    <w:p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Ponadto Komisja zaproponowała wzmocnienie ochrony konsumentów przed nieprawdziwymi twierdzeniami dotyczącymi ekologiczności i praktykami celowego przedwczesnego postarzania produktów</w:t>
      </w:r>
      <w:r>
        <w:rPr>
          <w:rStyle w:val="FootnoteReference"/>
          <w:rFonts w:ascii="Times New Roman" w:hAnsi="Times New Roman"/>
          <w:noProof/>
          <w:sz w:val="24"/>
        </w:rPr>
        <w:footnoteReference w:id="29"/>
      </w:r>
      <w:r>
        <w:rPr>
          <w:rFonts w:ascii="Times New Roman" w:hAnsi="Times New Roman"/>
          <w:noProof/>
          <w:sz w:val="24"/>
        </w:rPr>
        <w:t xml:space="preserve"> poprzez poprawę możliwości indywidualnego lub zbiorowego dochodzenia roszczeń w związku z nieuczciwymi praktykami handlowymi</w:t>
      </w:r>
      <w:r>
        <w:rPr>
          <w:rStyle w:val="FootnoteReference"/>
          <w:rFonts w:ascii="Times New Roman" w:hAnsi="Times New Roman"/>
          <w:noProof/>
          <w:sz w:val="24"/>
        </w:rPr>
        <w:footnoteReference w:id="30"/>
      </w:r>
      <w:r>
        <w:rPr>
          <w:rFonts w:ascii="Times New Roman" w:hAnsi="Times New Roman"/>
          <w:noProof/>
          <w:sz w:val="24"/>
        </w:rPr>
        <w:t>. Stanowi to uzupełnienie informacji podanych w poprawionych wytycznych w zakresie stosowania i wdrażania dyrektywy dotyczącej nieuczciwych praktyk handlowych</w:t>
      </w:r>
      <w:r>
        <w:rPr>
          <w:rStyle w:val="FootnoteReference"/>
          <w:rFonts w:ascii="Times New Roman" w:hAnsi="Times New Roman"/>
          <w:noProof/>
          <w:sz w:val="24"/>
        </w:rPr>
        <w:footnoteReference w:id="31"/>
      </w:r>
      <w:r>
        <w:rPr>
          <w:rFonts w:ascii="Times New Roman" w:hAnsi="Times New Roman"/>
          <w:noProof/>
          <w:sz w:val="24"/>
        </w:rPr>
        <w:t xml:space="preserve">. </w:t>
      </w:r>
    </w:p>
    <w:p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Aby wykorzystać potencjał organów publicznych w zakresie pobudzania rynków do stosowania produktów i usług w obiegu zamkniętym, Komisja przyjęła nowe i zmienione kryteria zielonych zamówień publicznych w UE, które obejmują aspekty gospodarki o obiegu zamkniętym, i propaguje ich stosowanie za pomocą wytycznych</w:t>
      </w:r>
      <w:r>
        <w:rPr>
          <w:rStyle w:val="FootnoteReference"/>
          <w:rFonts w:ascii="Times New Roman" w:hAnsi="Times New Roman"/>
          <w:noProof/>
          <w:sz w:val="24"/>
        </w:rPr>
        <w:footnoteReference w:id="32"/>
      </w:r>
      <w:r>
        <w:rPr>
          <w:rFonts w:ascii="Times New Roman" w:hAnsi="Times New Roman"/>
          <w:noProof/>
          <w:sz w:val="24"/>
        </w:rPr>
        <w:t xml:space="preserve"> i sesji szkoleniowych. Komisja daje dobry przykład przy udzielaniu własnych zamówień publicznych. Służby Komisji w Brukseli stosowały kryteria zielonych zamówień publicznych w 93 % wszystkich zamówień o wartości powyżej 60 000 EUR</w:t>
      </w:r>
      <w:r>
        <w:rPr>
          <w:rFonts w:ascii="Times New Roman" w:hAnsi="Times New Roman"/>
          <w:noProof/>
          <w:sz w:val="24"/>
          <w:vertAlign w:val="superscript"/>
        </w:rPr>
        <w:footnoteReference w:id="33"/>
      </w:r>
      <w:r>
        <w:rPr>
          <w:rFonts w:ascii="Times New Roman" w:hAnsi="Times New Roman"/>
          <w:noProof/>
          <w:sz w:val="24"/>
        </w:rPr>
        <w:t>.</w:t>
      </w:r>
      <w:r>
        <w:rPr>
          <w:rFonts w:ascii="PT Sans" w:hAnsi="PT Sans"/>
          <w:noProof/>
          <w:color w:val="525352"/>
        </w:rPr>
        <w:t xml:space="preserve"> </w:t>
      </w:r>
    </w:p>
    <w:p>
      <w:pPr>
        <w:pStyle w:val="Heading2"/>
        <w:rPr>
          <w:noProof/>
        </w:rPr>
      </w:pPr>
      <w:r>
        <w:rPr>
          <w:noProof/>
        </w:rPr>
        <w:t>Przekształcanie odpadów w zasoby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88"/>
      </w:tblGrid>
      <w:tr>
        <w:tc>
          <w:tcPr>
            <w:tcW w:w="9288" w:type="dxa"/>
            <w:shd w:val="clear" w:color="auto" w:fill="F2F2F2" w:themeFill="background1" w:themeFillShade="F2"/>
          </w:tcPr>
          <w:p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Solidne i wydajne systemy gospodarowania odpadami stanowią niezbędny element gospodarki o obiegu zamkniętym. W lipcu 2018 r. weszły w życie </w:t>
            </w:r>
            <w:r>
              <w:rPr>
                <w:rFonts w:ascii="Times New Roman" w:hAnsi="Times New Roman"/>
                <w:b/>
                <w:noProof/>
                <w:sz w:val="24"/>
              </w:rPr>
              <w:t>zmienione ramy legislacyjne dotyczące gospodarowania odpadami</w:t>
            </w:r>
            <w:r>
              <w:rPr>
                <w:rStyle w:val="FootnoteReference"/>
                <w:rFonts w:ascii="Times New Roman" w:hAnsi="Times New Roman"/>
                <w:b/>
                <w:noProof/>
                <w:sz w:val="24"/>
              </w:rPr>
              <w:footnoteReference w:id="34"/>
            </w:r>
            <w:r>
              <w:rPr>
                <w:rFonts w:ascii="Times New Roman" w:hAnsi="Times New Roman"/>
                <w:noProof/>
                <w:sz w:val="24"/>
              </w:rPr>
              <w:t>, które mają na celu zmodernizowanie systemów gospodarowania odpadami w Unii i skonsolidowanie europejskiego modelu jako jednego z najskuteczniejszych na świecie. Obejmują one:</w:t>
            </w:r>
          </w:p>
          <w:p>
            <w:pPr>
              <w:pStyle w:val="ListParagraph"/>
              <w:numPr>
                <w:ilvl w:val="0"/>
                <w:numId w:val="39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nowe ambitne, ale realistyczne, współczynniki recyklingu</w:t>
            </w:r>
            <w:r>
              <w:rPr>
                <w:rStyle w:val="FootnoteReference"/>
                <w:rFonts w:ascii="Times New Roman" w:hAnsi="Times New Roman"/>
                <w:noProof/>
                <w:sz w:val="24"/>
              </w:rPr>
              <w:footnoteReference w:id="35"/>
            </w:r>
            <w:r>
              <w:rPr>
                <w:rFonts w:ascii="Times New Roman" w:hAnsi="Times New Roman"/>
                <w:noProof/>
                <w:sz w:val="24"/>
              </w:rPr>
              <w:t xml:space="preserve">; </w:t>
            </w:r>
          </w:p>
          <w:p>
            <w:pPr>
              <w:pStyle w:val="ListParagraph"/>
              <w:numPr>
                <w:ilvl w:val="0"/>
                <w:numId w:val="39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uproszczenie i ujednolicenie definicji oraz metod obliczeniowych i jasny status prawny recyklatów oraz produktów ubocznych; </w:t>
            </w:r>
          </w:p>
          <w:p>
            <w:pPr>
              <w:pStyle w:val="ListParagraph"/>
              <w:numPr>
                <w:ilvl w:val="0"/>
                <w:numId w:val="39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zaostrzone przepisy i nowe zobowiązania dotyczące selektywnego zbierania (bioodpadów, wyrobów włókienniczych i odpadów niebezpiecznych wytwarzanych przez gospodarstwa domowe, odpadów z budowy i rozbiórki);</w:t>
            </w:r>
          </w:p>
          <w:p>
            <w:pPr>
              <w:pStyle w:val="ListParagraph"/>
              <w:numPr>
                <w:ilvl w:val="0"/>
                <w:numId w:val="39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minimalne wymagania dotyczące rozszerzonej odpowiedzialności producenta;</w:t>
            </w:r>
          </w:p>
          <w:p>
            <w:pPr>
              <w:pStyle w:val="ListParagraph"/>
              <w:numPr>
                <w:ilvl w:val="0"/>
                <w:numId w:val="39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skuteczniejsze zapobieganie powstawaniu odpadów i wzmocnienie środków gospodarowania odpadami, w tym odpadami morskimi, odpadami spożywczymi i produktami zawierającymi surowce krytyczne.</w:t>
            </w:r>
          </w:p>
        </w:tc>
      </w:tr>
    </w:tbl>
    <w:p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Komisja wspiera państwa członkowskie we wdrażaniu przepisów dotyczących odpadów</w:t>
      </w:r>
      <w:r>
        <w:rPr>
          <w:rStyle w:val="FootnoteReference"/>
          <w:rFonts w:ascii="Times New Roman" w:hAnsi="Times New Roman"/>
          <w:noProof/>
          <w:sz w:val="24"/>
        </w:rPr>
        <w:footnoteReference w:id="36"/>
      </w:r>
      <w:r>
        <w:rPr>
          <w:rFonts w:ascii="Times New Roman" w:hAnsi="Times New Roman"/>
          <w:noProof/>
          <w:sz w:val="24"/>
        </w:rPr>
        <w:t xml:space="preserve"> i prowadzi z nimi współpracę w tym zakresie, aby zwiększyć widoczność i znajomość możliwości związanych z gospodarką o obiegu zamkniętym w państwach członkowskich, przed którymi stoją największe wyzwania pod względem realizacji ich celów w zakresie recyklingu. Dzięki ukierunkowanym wizytom w poszczególnych państwach prowadzonym przez komisarzy europejskich eksperci z różnych państw członkowskich będą dzielili się doświadczeniami i doradzali w sprawie najlepszych sposobów osiągania celów, o których mowa w polityce dotyczącej zarządzania odpadami. </w:t>
      </w:r>
    </w:p>
    <w:p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Komisja sprecyzowała relacje między poszczególnymi procesami odzyskiwania energii oraz ich znaczenie</w:t>
      </w:r>
      <w:r>
        <w:rPr>
          <w:rStyle w:val="FootnoteReference"/>
          <w:rFonts w:ascii="Times New Roman" w:hAnsi="Times New Roman"/>
          <w:noProof/>
          <w:sz w:val="24"/>
        </w:rPr>
        <w:footnoteReference w:id="37"/>
      </w:r>
      <w:r>
        <w:rPr>
          <w:rFonts w:ascii="Times New Roman" w:hAnsi="Times New Roman"/>
          <w:noProof/>
          <w:sz w:val="24"/>
        </w:rPr>
        <w:t>, aby uniknąć niepotrzebnej utraty wartościowych zasobów poprzez składowanie i spalanie. Ponadto zachęcała państwa członkowskie do wskazania technologii odzyskiwania wydajnych pod względem zużycia energii i materiałów w celu lepszego wykorzystania instrumentów ekonomicznych i poprawy planowania, aby uniknąć nadwyżki mocy produkcyjnych spalania.</w:t>
      </w:r>
    </w:p>
    <w:p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Bezpieczna dla środowiska gospodarka odpadami, zarówno w UE jak i poza jej granicami, ma kluczowe znaczenie dla osiągnięcia gospodarki o bardziej zamkniętym obiegu. Dzięki zwiększeniu klarowności kodeksu celnego UE</w:t>
      </w:r>
      <w:r>
        <w:rPr>
          <w:rStyle w:val="FootnoteReference"/>
          <w:rFonts w:ascii="Times New Roman" w:hAnsi="Times New Roman"/>
          <w:noProof/>
          <w:sz w:val="24"/>
        </w:rPr>
        <w:footnoteReference w:id="38"/>
      </w:r>
      <w:r>
        <w:rPr>
          <w:rFonts w:ascii="Times New Roman" w:hAnsi="Times New Roman"/>
          <w:noProof/>
          <w:sz w:val="24"/>
        </w:rPr>
        <w:t xml:space="preserve"> podmioty zajmujące się odpadami oraz funkcjonariusze służb celnych mogą łatwiej identyfikować strumienie odpadów. Usprawniona wymiana danych elektronicznych również przyczyniła się do lepszego egzekwowania przepisów rozporządzenia w sprawie przemieszczania odpadów</w:t>
      </w:r>
      <w:r>
        <w:rPr>
          <w:rStyle w:val="FootnoteReference"/>
          <w:rFonts w:ascii="Times New Roman" w:hAnsi="Times New Roman"/>
          <w:noProof/>
          <w:sz w:val="24"/>
        </w:rPr>
        <w:footnoteReference w:id="39"/>
      </w:r>
      <w:r>
        <w:rPr>
          <w:rFonts w:ascii="Times New Roman" w:hAnsi="Times New Roman"/>
          <w:noProof/>
          <w:sz w:val="24"/>
        </w:rPr>
        <w:t>. Ponadto gospodarowanie odpadami staje się łatwiejsze dzięki zaproponowanemu obowiązku selektywnego zbierania odpadów ze statków zawijających do portów UE</w:t>
      </w:r>
      <w:r>
        <w:rPr>
          <w:rStyle w:val="FootnoteReference"/>
          <w:rFonts w:ascii="Times New Roman" w:hAnsi="Times New Roman"/>
          <w:noProof/>
          <w:sz w:val="24"/>
        </w:rPr>
        <w:footnoteReference w:id="40"/>
      </w:r>
      <w:r>
        <w:rPr>
          <w:rFonts w:ascii="Times New Roman" w:hAnsi="Times New Roman"/>
          <w:noProof/>
          <w:sz w:val="24"/>
        </w:rPr>
        <w:t xml:space="preserve">. </w:t>
      </w:r>
    </w:p>
    <w:p>
      <w:pPr>
        <w:pStyle w:val="Heading2"/>
        <w:rPr>
          <w:noProof/>
        </w:rPr>
      </w:pPr>
      <w:r>
        <w:rPr>
          <w:noProof/>
        </w:rPr>
        <w:t>Zamknięcie obiegu materiałów odzyskanych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88"/>
      </w:tblGrid>
      <w:tr>
        <w:tc>
          <w:tcPr>
            <w:tcW w:w="9288" w:type="dxa"/>
            <w:shd w:val="clear" w:color="auto" w:fill="F2F2F2" w:themeFill="background1" w:themeFillShade="F2"/>
          </w:tcPr>
          <w:p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W nowym </w:t>
            </w:r>
            <w:r>
              <w:rPr>
                <w:rFonts w:ascii="Times New Roman" w:hAnsi="Times New Roman"/>
                <w:b/>
                <w:noProof/>
                <w:sz w:val="24"/>
              </w:rPr>
              <w:t>rozporządzeniu w sprawie produktów nawozowych</w:t>
            </w:r>
            <w:r>
              <w:rPr>
                <w:rStyle w:val="FootnoteReference"/>
                <w:rFonts w:ascii="Times New Roman" w:hAnsi="Times New Roman"/>
                <w:noProof/>
                <w:sz w:val="24"/>
              </w:rPr>
              <w:footnoteReference w:id="41"/>
            </w:r>
            <w:r>
              <w:rPr>
                <w:rFonts w:ascii="Times New Roman" w:hAnsi="Times New Roman"/>
                <w:noProof/>
                <w:sz w:val="24"/>
              </w:rPr>
              <w:t>, które znajduje się na ostatnich etapach procesu legislacyjnego, wprowadzono ujednolicone zasady dotyczące produkcji nawozów organicznych z surowców wtórnych, takich jak produkty uboczne pochodzenia rolniczego i odzyskane bioodpady. Nowe rozporządzenie:</w:t>
            </w:r>
          </w:p>
          <w:p>
            <w:pPr>
              <w:pStyle w:val="ListParagraph"/>
              <w:numPr>
                <w:ilvl w:val="0"/>
                <w:numId w:val="40"/>
              </w:num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przyczyni się do znacznego zmniejszenia istotnych barier wejścia na rynek dla produktów bardziej zrównoważonych i produktów w obiegu zamkniętym;</w:t>
            </w:r>
          </w:p>
          <w:p>
            <w:pPr>
              <w:pStyle w:val="ListParagraph"/>
              <w:numPr>
                <w:ilvl w:val="0"/>
                <w:numId w:val="40"/>
              </w:num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zawiera nowe ograniczenia dotyczące substancji niebezpiecznych w odniesieniu do wszystkich nawozów, w tym pochodzących z surowców pierwotnych, co zmniejsza ryzyko występowania cykli materiałowych zawierających niebezpieczne poziomy niektórych pierwiastków toksycznych;</w:t>
            </w:r>
          </w:p>
          <w:p>
            <w:pPr>
              <w:pStyle w:val="ListParagraph"/>
              <w:numPr>
                <w:ilvl w:val="0"/>
                <w:numId w:val="40"/>
              </w:num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obejmuje kryteria utraty statusu odpadu, tym samym przyczyniając się do usprawnienia interakcji między przepisami w zakresie chemikaliów, produktów i odpadów oraz zapewniając inwestorom większą pewność prawa.</w:t>
            </w:r>
          </w:p>
        </w:tc>
      </w:tr>
    </w:tbl>
    <w:p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Zwiększenie wykorzystania surowców wtórnych jest jednym z celów planu działania UE dotyczącego gospodarki o obiegu zamkniętym. Wymaga ono zrozumienia kluczowych wyzwań, przed którymi stoją podmioty rynkowe, i powinno opierać się na silnym i wydajnym jednolitym rynku</w:t>
      </w:r>
      <w:r>
        <w:rPr>
          <w:rStyle w:val="FootnoteReference"/>
          <w:rFonts w:ascii="Times New Roman" w:hAnsi="Times New Roman"/>
          <w:noProof/>
          <w:sz w:val="24"/>
        </w:rPr>
        <w:footnoteReference w:id="42"/>
      </w:r>
      <w:r>
        <w:rPr>
          <w:rFonts w:ascii="Times New Roman" w:hAnsi="Times New Roman"/>
          <w:noProof/>
          <w:sz w:val="24"/>
        </w:rPr>
        <w:t>. Dzięki systemowi informacji o surowcach</w:t>
      </w:r>
      <w:r>
        <w:rPr>
          <w:rStyle w:val="FootnoteReference"/>
          <w:rFonts w:ascii="Times New Roman" w:hAnsi="Times New Roman"/>
          <w:noProof/>
          <w:sz w:val="24"/>
        </w:rPr>
        <w:footnoteReference w:id="43"/>
      </w:r>
      <w:r>
        <w:rPr>
          <w:rFonts w:ascii="Times New Roman" w:hAnsi="Times New Roman"/>
          <w:noProof/>
          <w:sz w:val="24"/>
        </w:rPr>
        <w:t xml:space="preserve"> uruchomionemu w 2017 r. możliwe jest określenie potrzeb pod względem wiedzy dla strategicznych sektorów przemysłu z naciskiem na monitorowanie recyklingu odpowiednich materiałów i dostępność danych w kluczowych sektorach</w:t>
      </w:r>
      <w:r>
        <w:rPr>
          <w:rStyle w:val="FootnoteReference"/>
          <w:rFonts w:ascii="Times New Roman" w:hAnsi="Times New Roman"/>
          <w:noProof/>
          <w:sz w:val="24"/>
        </w:rPr>
        <w:footnoteReference w:id="44"/>
      </w:r>
      <w:r>
        <w:rPr>
          <w:rFonts w:ascii="Times New Roman" w:hAnsi="Times New Roman"/>
          <w:noProof/>
          <w:sz w:val="24"/>
        </w:rPr>
        <w:t xml:space="preserve">. </w:t>
      </w:r>
    </w:p>
    <w:p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Komunikat w sprawie interakcji między przepisami w zakresie chemikaliów, produktów i odpadów</w:t>
      </w:r>
      <w:r>
        <w:rPr>
          <w:rFonts w:ascii="Times New Roman" w:hAnsi="Times New Roman"/>
          <w:noProof/>
          <w:sz w:val="24"/>
          <w:vertAlign w:val="superscript"/>
        </w:rPr>
        <w:footnoteReference w:id="45"/>
      </w:r>
      <w:r>
        <w:rPr>
          <w:rFonts w:ascii="Times New Roman" w:hAnsi="Times New Roman"/>
          <w:noProof/>
          <w:sz w:val="24"/>
        </w:rPr>
        <w:t xml:space="preserve"> wywołał obszerną dyskusję na temat sposobu pokonania czterech głównych przeszkód stojących na drodze do bezpiecznego wykorzystania surowców wtórnych. Wstępna analiza wyników konsultacji</w:t>
      </w:r>
      <w:r>
        <w:rPr>
          <w:rFonts w:ascii="Times New Roman" w:hAnsi="Times New Roman"/>
          <w:noProof/>
          <w:sz w:val="24"/>
          <w:vertAlign w:val="superscript"/>
        </w:rPr>
        <w:footnoteReference w:id="46"/>
      </w:r>
      <w:r>
        <w:rPr>
          <w:rFonts w:ascii="Times New Roman" w:hAnsi="Times New Roman"/>
          <w:noProof/>
          <w:sz w:val="24"/>
        </w:rPr>
        <w:t xml:space="preserve"> potwierdza ogólną zgodę co do istoty zidentyfikowanych kwestii panującą wśród zainteresowanych stron. Wskazuje ona na silne poparcie dla poprawy identyfikowalności substancji i przepływów informacji; lepsze egzekwowanie przepisów i wykorzystanie innych środków w celu zapewnienia równych szans podmiotom z UE i z państw trzecich; większe ujednolicenie i wzajemna uznawalność kryteriów utraty statusu odpadu; oraz poparcie dla wzmacniania aspektów gospodarki o obiegu zamkniętym w instrumentach takich jak dyrektywa w sprawie ekoprojektu. Co więcej, rozpoczęto trzy badania dotyczące różnych aspektów interakcji, które dostarczą dalszych istotnych informacji w 2019 r. i na początku 2020 r. </w:t>
      </w:r>
    </w:p>
    <w:p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Dostęp do informacji na temat obecności i składu substancji niebezpiecznych w strumieniu odpadów ma kluczowe znaczenie dla poprawy technik demontażu i dekontaminacji, które ułatwiają odzyskiwanie odpadów. Europejska Agencja Chemikaliów opracowuje bazę danych, aby gromadzić informacje i poprawić stan wiedzy na temat substancji, które budzą obawy, w produktach oraz w produktach, które stały się odpadami. Ponadto unijna platforma „Informacje dla podmiotów zajmujących się recyklingiem”</w:t>
      </w:r>
      <w:r>
        <w:rPr>
          <w:rStyle w:val="FootnoteReference"/>
          <w:rFonts w:ascii="Times New Roman" w:hAnsi="Times New Roman"/>
          <w:noProof/>
          <w:sz w:val="24"/>
        </w:rPr>
        <w:footnoteReference w:id="47"/>
      </w:r>
      <w:r>
        <w:rPr>
          <w:rFonts w:ascii="Times New Roman" w:hAnsi="Times New Roman"/>
          <w:noProof/>
          <w:sz w:val="24"/>
        </w:rPr>
        <w:t xml:space="preserve"> służy do zbierania i wymiany informacji na temat przygotowania do ponownego użycia nowych urządzeń wprowadzonych po raz pierwszy na rynek UE oraz postępowania z nimi.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Informacje na temat składu odpadów można także wykorzystać do celów </w:t>
      </w:r>
      <w:r>
        <w:rPr>
          <w:rFonts w:ascii="Times New Roman" w:hAnsi="Times New Roman"/>
          <w:noProof/>
          <w:color w:val="000000" w:themeColor="text1"/>
          <w:sz w:val="24"/>
        </w:rPr>
        <w:t>wydajnego odzyskiwania surowców krytycznych</w:t>
      </w:r>
      <w:r>
        <w:rPr>
          <w:rFonts w:ascii="Times New Roman" w:hAnsi="Times New Roman"/>
          <w:noProof/>
          <w:sz w:val="24"/>
        </w:rPr>
        <w:t>. W swoim sprawozdaniu pt. „Surowce krytyczne i gospodarka o obiegu zamkniętym”</w:t>
      </w:r>
      <w:r>
        <w:rPr>
          <w:rStyle w:val="FootnoteReference"/>
          <w:rFonts w:ascii="Times New Roman" w:hAnsi="Times New Roman"/>
          <w:noProof/>
          <w:sz w:val="24"/>
        </w:rPr>
        <w:footnoteReference w:id="48"/>
      </w:r>
      <w:r>
        <w:rPr>
          <w:rFonts w:ascii="Times New Roman" w:hAnsi="Times New Roman"/>
          <w:noProof/>
          <w:sz w:val="24"/>
        </w:rPr>
        <w:t xml:space="preserve"> Komisja 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wskazuje kluczowe działania niezbędne do wykorzystania tych potencjalnych korzyści – wydobycie kluczowych komponentów pod koniec przydatności do użycia, poprawa zarządzania danymi dotyczącymi odpadów wydobywczych oraz mobilizacja finansowania. W sprawozdaniu wykazano jednak również, </w:t>
      </w:r>
      <w:r>
        <w:rPr>
          <w:rFonts w:ascii="Times New Roman" w:hAnsi="Times New Roman"/>
          <w:noProof/>
          <w:sz w:val="24"/>
        </w:rPr>
        <w:t xml:space="preserve">że pozostaje wiele do zrobienia w kwestii poprawy recyklingu i zapewnienia, aby surowce krytyczne pozostały w Europie. </w:t>
      </w:r>
    </w:p>
    <w:p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Aby wspomóc budowanie zaufania do surowców wtórnych, Komisja wraz z europejskimi organizacjami normalizacyjnymi zainicjowała proces normalizacyjny i w pierwszej kolejności rozpoczęła obszerną analizę powiązanych działań normalizacyjnych. Organizacje normalizacyjne opracowują również potencjalne normy wydajnego pod względem materiałowym, wysokiej jakości recyklingu surowców krytycznych z zużytych baterii, zużytego sprzętu elektrycznego i elektronicznego oraz innych złożonych produktów pod koniec przydatności do użycia. </w:t>
      </w:r>
    </w:p>
    <w:p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Plan działania ma również pobudzić rynek wody odzyskiwanej, aby rozwiązać problem niedoboru wody w UE. Komisja zaproponowała wprowadzenie specjalnych przepisów ustanawiających minimalne wymogi w zakresie wykorzystania wody odzyskiwanej w nawadnianiu w rolnictwie</w:t>
      </w:r>
      <w:r>
        <w:rPr>
          <w:rStyle w:val="FootnoteReference"/>
          <w:rFonts w:ascii="Times New Roman" w:hAnsi="Times New Roman"/>
          <w:noProof/>
          <w:sz w:val="24"/>
        </w:rPr>
        <w:footnoteReference w:id="49"/>
      </w:r>
      <w:r>
        <w:rPr>
          <w:rFonts w:ascii="Times New Roman" w:hAnsi="Times New Roman"/>
          <w:noProof/>
          <w:sz w:val="24"/>
        </w:rPr>
        <w:t>. Ponadto praktyki w zakresie ponownego wykorzystywania wody są częścią planowania i zarządzania w gospodarce wodnej</w:t>
      </w:r>
      <w:r>
        <w:rPr>
          <w:rStyle w:val="FootnoteReference"/>
          <w:rFonts w:ascii="Times New Roman" w:hAnsi="Times New Roman"/>
          <w:noProof/>
          <w:sz w:val="24"/>
        </w:rPr>
        <w:footnoteReference w:id="50"/>
      </w:r>
      <w:r>
        <w:rPr>
          <w:rFonts w:ascii="Times New Roman" w:hAnsi="Times New Roman"/>
          <w:noProof/>
          <w:sz w:val="24"/>
        </w:rPr>
        <w:t xml:space="preserve"> lub przeglądu odpowiedniego BREF. </w:t>
      </w:r>
    </w:p>
    <w:p>
      <w:pPr>
        <w:pStyle w:val="Heading2"/>
        <w:rPr>
          <w:noProof/>
        </w:rPr>
      </w:pPr>
      <w:r>
        <w:rPr>
          <w:noProof/>
        </w:rPr>
        <w:t>Podejście systemowe: unijna strategia na rzecz tworzyw sztucznych w gospodarce o obiegu zamkniętym</w:t>
      </w:r>
    </w:p>
    <w:p>
      <w:pPr>
        <w:spacing w:before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Unijna strategia na rzecz tworzyw sztucznych w gospodarce o obiegu zamkniętym</w:t>
      </w:r>
      <w:r>
        <w:rPr>
          <w:rStyle w:val="FootnoteReference"/>
          <w:rFonts w:ascii="Times New Roman" w:hAnsi="Times New Roman"/>
          <w:noProof/>
          <w:sz w:val="24"/>
        </w:rPr>
        <w:footnoteReference w:id="51"/>
      </w:r>
      <w:r>
        <w:rPr>
          <w:rFonts w:ascii="Times New Roman" w:hAnsi="Times New Roman"/>
          <w:noProof/>
          <w:sz w:val="24"/>
        </w:rPr>
        <w:t xml:space="preserve"> stanowi pierwsze ogólnounijne ramy przyjmujące podejście oparte na </w:t>
      </w:r>
      <w:r>
        <w:rPr>
          <w:rFonts w:ascii="Times New Roman" w:hAnsi="Times New Roman"/>
          <w:b/>
          <w:noProof/>
          <w:sz w:val="24"/>
        </w:rPr>
        <w:t>cyklu życia materiału</w:t>
      </w:r>
      <w:r>
        <w:rPr>
          <w:rFonts w:ascii="Times New Roman" w:hAnsi="Times New Roman"/>
          <w:noProof/>
          <w:sz w:val="24"/>
        </w:rPr>
        <w:t xml:space="preserve"> w celu uwzględnienia w łańcuchach wartości tworzyw sztucznych działań z zakresu projektowania w obiegu zamkniętym oraz użycia, ponownego użycia i recyklingu. Strategia ta sama w sobie jest więc katalizatorem działań. W strategii wytyczono jasną wizję celów na szczeblu UE w ujęciu ilościowym, tak aby m.in. do 2030 r. wszystkie opakowania z tworzyw sztucznych wprowadzane na rynek UE były zdatne do ponownego użycia lub recyklingu.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W strategii określono także kluczowe działania </w:t>
      </w:r>
      <w:r>
        <w:rPr>
          <w:rFonts w:ascii="Times New Roman" w:hAnsi="Times New Roman"/>
          <w:b/>
          <w:noProof/>
          <w:sz w:val="24"/>
        </w:rPr>
        <w:t>umożliwiające zaangażowanie wielu zainteresowanych stron</w:t>
      </w:r>
      <w:r>
        <w:rPr>
          <w:rFonts w:ascii="Times New Roman" w:hAnsi="Times New Roman"/>
          <w:noProof/>
          <w:sz w:val="24"/>
        </w:rPr>
        <w:t xml:space="preserve"> i współpracę na wszystkich ogniwach łańcucha wartości. Przykładem jest apel Komisji do zainteresowanych stron o podjęcie dobrowolnych zobowiązań, który dał przemysłowi silny impuls do większego wykorzystania tworzyw sztucznych pochodzących z recyklingu w produktach. Zgodnie z załączonym dokumentem zawierającym ocenę tych deklaracji</w:t>
      </w:r>
      <w:r>
        <w:rPr>
          <w:rStyle w:val="FootnoteReference"/>
          <w:rFonts w:ascii="Times New Roman" w:hAnsi="Times New Roman"/>
          <w:noProof/>
          <w:sz w:val="24"/>
        </w:rPr>
        <w:footnoteReference w:id="52"/>
      </w:r>
      <w:r>
        <w:rPr>
          <w:rFonts w:ascii="Times New Roman" w:hAnsi="Times New Roman"/>
          <w:noProof/>
          <w:sz w:val="24"/>
        </w:rPr>
        <w:t xml:space="preserve"> należy jednak podjąć dalsze wysiłki, aby osiągnąć cel określony w strategii, tj. zapewnienie wykorzystywania 10 mln ton tworzyw sztucznych pochodzących z recyklingu w nowych produktach do 2025 r. Chociaż deklaracje dostawców tworzyw sztucznych pochodzących z recyklingu, o ile zostaną spełnione, pozwalają na osiągnięcie tego celu, popyt na tworzywa sztuczne pochodzące z recyklingu obliczony na podstawie deklaracji przemysłu wynosi około 6,2 mln ton rocznie do 2025 r. Niedawno powołany sojusz na rzecz gospodarki o obiegu zamkniętym w zakresie tworzyw sztucznych</w:t>
      </w:r>
      <w:r>
        <w:rPr>
          <w:rStyle w:val="FootnoteReference"/>
          <w:rFonts w:ascii="Times New Roman" w:hAnsi="Times New Roman"/>
          <w:noProof/>
          <w:sz w:val="24"/>
        </w:rPr>
        <w:footnoteReference w:id="53"/>
      </w:r>
      <w:r>
        <w:rPr>
          <w:rFonts w:ascii="Times New Roman" w:hAnsi="Times New Roman"/>
          <w:noProof/>
          <w:sz w:val="24"/>
        </w:rPr>
        <w:t xml:space="preserve"> ułatwi przedsiębiorstwom podejmowanie kolejnych kroków w kierunku zmniejszenia tej rozbieżności i pomoże w osiągnięciu powyższego celu zgodnie z celem strategii polegającym na poprawie jakości i opłacalności recyklingu tworzyw sztucznych w Europie. </w:t>
      </w:r>
    </w:p>
    <w:p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Poczyniono już najważniejsze kroki na drodze do zapewnienia wyższej jakości recyklingu tworzyw sztucznych. Zaliczają się do nich: ustanowienie nowego celu w zakresie recyklingu opakowań z tworzyw sztucznych, tj. 55 % w 2030 r., podjęcie zobowiązań do selektywnego zbierania odpadów i ulepszenie systemów rozszerzonej odpowiedzialności producenta. Zgodnie z oczekiwaniami wspomniane usprawnienia ułatwią projektowanie pod kątem zdolności do recyklingu za pomocą „ekomodulacji” opłat uiszczanych przez producentów. Przyszłe ulepszenia będą wynikały z przeglądu zasadniczych wymagań w zakresie opakowań zaplanowanego na koniec 2020 r.</w:t>
      </w:r>
    </w:p>
    <w:p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Strategia pozwala tworzyć </w:t>
      </w:r>
      <w:r>
        <w:rPr>
          <w:rFonts w:ascii="Times New Roman" w:hAnsi="Times New Roman"/>
          <w:b/>
          <w:noProof/>
          <w:sz w:val="24"/>
        </w:rPr>
        <w:t>synergie między celami gospodarczymi i środowiskowymi</w:t>
      </w:r>
      <w:r>
        <w:rPr>
          <w:rFonts w:ascii="Times New Roman" w:hAnsi="Times New Roman"/>
          <w:noProof/>
          <w:sz w:val="24"/>
        </w:rPr>
        <w:t>. Dowody potencjalnego ryzyka dla zdrowia i ryzyka środowiskowego w związku z zanieczyszczeniem mikrodrobinami plastiku uzasadniają ograniczenie wykorzystania celowo dodanych mikrodrobin plastiku oraz gromadzenie wiedzy na temat pomiaru i etykietowania w przypadku niezamierzonego uwalniania mikrodrobin plastiku. Komisja zobowiązała się także do opracowania ram w zakresie biodegradowalności tworzyw sztucznych, aby sprzyjano projektowaniu i wykorzystaniu takich produktów z tworzyw sztucznych tylko wtedy, gdy jest ono korzystne dla środowiska i nie ingeruje w systemy gospodarowania odpadami ani nie zagraża bezpieczeństwu żywności. Działania w tym kierunku obejmują przekazywanie informacji na temat sposobów postępowania pod koniec przydatności do użycia (np. oznakowania kompostowalnych plastikowych toreb na zakupy). Ponadto w niedawno opublikowanym sprawozdaniu na temat gospodarki tworzywami sztucznymi opartej na obiegu zamkniętym</w:t>
      </w:r>
      <w:r>
        <w:rPr>
          <w:rStyle w:val="FootnoteReference"/>
          <w:rFonts w:ascii="Times New Roman" w:hAnsi="Times New Roman"/>
          <w:noProof/>
          <w:sz w:val="24"/>
        </w:rPr>
        <w:footnoteReference w:id="54"/>
      </w:r>
      <w:r>
        <w:rPr>
          <w:rFonts w:ascii="Times New Roman" w:hAnsi="Times New Roman"/>
          <w:noProof/>
          <w:sz w:val="24"/>
        </w:rPr>
        <w:t xml:space="preserve"> zbadano także inne synergie polityczne, w szczególności w połączeniu z potrzebami badawczymi. </w:t>
      </w:r>
    </w:p>
    <w:p>
      <w:pPr>
        <w:spacing w:before="120" w:after="120" w:line="240" w:lineRule="auto"/>
        <w:jc w:val="both"/>
        <w:rPr>
          <w:noProof/>
          <w:szCs w:val="24"/>
        </w:rPr>
      </w:pPr>
      <w:r>
        <w:rPr>
          <w:rFonts w:ascii="Times New Roman" w:hAnsi="Times New Roman"/>
          <w:noProof/>
          <w:sz w:val="24"/>
        </w:rPr>
        <w:t xml:space="preserve">Strategia </w:t>
      </w:r>
      <w:r>
        <w:rPr>
          <w:rFonts w:ascii="Times New Roman" w:hAnsi="Times New Roman"/>
          <w:b/>
          <w:noProof/>
          <w:sz w:val="24"/>
        </w:rPr>
        <w:t>przyspiesza zmiany poza granicami Europy</w:t>
      </w:r>
      <w:r>
        <w:rPr>
          <w:rFonts w:ascii="Times New Roman" w:hAnsi="Times New Roman"/>
          <w:noProof/>
          <w:sz w:val="24"/>
        </w:rPr>
        <w:t xml:space="preserve">. Dzięki pozytywnym wzorcom działania, szczególnie w zakresie tworzyw sztucznych jednorazowego użytku, przywództwo UE na forach dwu- i wielostronnych odgrywa kluczową rolę w utrzymaniu międzynarodowego tempa działań w ramach agendy dotyczącej tworzyw sztucznych, co potwierdzają inicjatywy takie jak Globalna platforma tworzyw sztucznych Programu Narodów Zjednoczonych ds. Ochrony Środowiska i zbliżające się międzynarodowe partnerstwo w zakresie odpadów tworzyw sztucznych w kontekście Konwencji bazylejskiej. Jednocześnie UE wspiera kraje rozwijające się w ich staraniach na rzecz rozwiązania problemu zanieczyszczenia tworzywami sztucznymi.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88"/>
      </w:tblGrid>
      <w:tr>
        <w:tc>
          <w:tcPr>
            <w:tcW w:w="9288" w:type="dxa"/>
            <w:shd w:val="clear" w:color="auto" w:fill="F2F2F2" w:themeFill="background1" w:themeFillShade="F2"/>
          </w:tcPr>
          <w:p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Przepisy dotyczące przedmiotów </w:t>
            </w:r>
            <w:r>
              <w:rPr>
                <w:rFonts w:ascii="Times New Roman" w:hAnsi="Times New Roman"/>
                <w:b/>
                <w:noProof/>
                <w:sz w:val="24"/>
              </w:rPr>
              <w:t>jednorazowego użytku wykonanych z tworzyw sztucznych</w:t>
            </w:r>
            <w:r>
              <w:rPr>
                <w:rFonts w:ascii="Times New Roman" w:hAnsi="Times New Roman"/>
                <w:noProof/>
                <w:sz w:val="24"/>
              </w:rPr>
              <w:t xml:space="preserve"> i narzędzi połowowych</w:t>
            </w:r>
            <w:r>
              <w:rPr>
                <w:noProof/>
                <w:vertAlign w:val="superscript"/>
              </w:rPr>
              <w:footnoteReference w:id="55"/>
            </w:r>
            <w:r>
              <w:rPr>
                <w:rFonts w:ascii="Times New Roman" w:hAnsi="Times New Roman"/>
                <w:noProof/>
                <w:sz w:val="24"/>
              </w:rPr>
              <w:t xml:space="preserve"> – odnoszące się do dziesięciu przedmiotów najczęściej znajdowanych na plażach UE – </w:t>
            </w:r>
            <w:r>
              <w:rPr>
                <w:rFonts w:ascii="Times New Roman" w:hAnsi="Times New Roman"/>
                <w:b/>
                <w:noProof/>
                <w:sz w:val="24"/>
              </w:rPr>
              <w:t>portowych urządzeń odbiorczych</w:t>
            </w:r>
            <w:r>
              <w:rPr>
                <w:rFonts w:ascii="Times New Roman" w:hAnsi="Times New Roman"/>
                <w:noProof/>
                <w:sz w:val="24"/>
              </w:rPr>
              <w:t xml:space="preserve"> oraz wnioski Komisji dotyczące </w:t>
            </w:r>
            <w:r>
              <w:rPr>
                <w:rFonts w:ascii="Times New Roman" w:hAnsi="Times New Roman"/>
                <w:b/>
                <w:noProof/>
                <w:sz w:val="24"/>
              </w:rPr>
              <w:t>kontroli rybołówstwa</w:t>
            </w:r>
            <w:r>
              <w:rPr>
                <w:rStyle w:val="FootnoteReference"/>
                <w:noProof/>
              </w:rPr>
              <w:footnoteReference w:id="56"/>
            </w:r>
            <w:r>
              <w:rPr>
                <w:rFonts w:ascii="Times New Roman" w:hAnsi="Times New Roman"/>
                <w:noProof/>
                <w:sz w:val="24"/>
              </w:rPr>
              <w:t xml:space="preserve"> stawiają UE na pierwszym miejscu w światowej walce z odpadami morskimi, które stanowią jedną z głównych obaw obywateli Unii, jeśli chodzi o zanieczyszczenie tworzywami sztucznymi. Dzięki tym przepisom przedsiębiorstwa UE mają możliwość wprowadzania innowacji w zakresie produktów, materiałów, technologii i modeli biznesowych, przy uwzględnieniu zachowań konsumentów i dostępnych metod alternatywnych. </w:t>
            </w:r>
          </w:p>
          <w:p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Te zestawy dostosowanych do potrzeb środków, znajdujących się obecnie na ostatnim etapie procesu legislacyjnego, obejmują: </w:t>
            </w:r>
          </w:p>
          <w:p>
            <w:pPr>
              <w:pStyle w:val="ListParagraph"/>
              <w:numPr>
                <w:ilvl w:val="0"/>
                <w:numId w:val="40"/>
              </w:num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zakaz stosowania produktów jednorazowego użytku z tworzyw sztucznych</w:t>
            </w:r>
            <w:r>
              <w:rPr>
                <w:rStyle w:val="FootnoteReference"/>
                <w:rFonts w:ascii="Times New Roman" w:hAnsi="Times New Roman"/>
                <w:noProof/>
                <w:sz w:val="24"/>
              </w:rPr>
              <w:footnoteReference w:id="57"/>
            </w:r>
            <w:r>
              <w:rPr>
                <w:rFonts w:ascii="Times New Roman" w:hAnsi="Times New Roman"/>
                <w:noProof/>
                <w:sz w:val="24"/>
              </w:rPr>
              <w:t xml:space="preserve"> oraz oksydegradowalnych tworzyw sztucznych.</w:t>
            </w:r>
          </w:p>
          <w:p>
            <w:pPr>
              <w:pStyle w:val="ListParagraph"/>
              <w:numPr>
                <w:ilvl w:val="0"/>
                <w:numId w:val="40"/>
              </w:num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środki na rzecz ograniczenia konsumpcji pojemników na żywność i kubków do napojów wykonanych z tworzyw sztucznych oraz specjalne oznakowanie i etykietowanie pewnych produktów</w:t>
            </w:r>
            <w:r>
              <w:rPr>
                <w:rStyle w:val="FootnoteReference"/>
                <w:rFonts w:ascii="Times New Roman" w:hAnsi="Times New Roman"/>
                <w:noProof/>
                <w:sz w:val="24"/>
              </w:rPr>
              <w:footnoteReference w:id="58"/>
            </w:r>
            <w:r>
              <w:rPr>
                <w:rFonts w:ascii="Times New Roman" w:hAnsi="Times New Roman"/>
                <w:noProof/>
                <w:sz w:val="24"/>
              </w:rPr>
              <w:t>;</w:t>
            </w:r>
          </w:p>
          <w:p>
            <w:pPr>
              <w:pStyle w:val="ListParagraph"/>
              <w:numPr>
                <w:ilvl w:val="0"/>
                <w:numId w:val="40"/>
              </w:num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cel polegający na włączeniu 30 % tworzyw sztucznych pochodzących z recyklingu do butelek na napoje od 2030 r. i 25 % do butelek PET od 2025 r., a także cel w zakresie selektywnego zbierania 90 % butelek wykonanych z tworzyw sztucznych do 2029 r. i wprowadzenie wymogów dotyczących projektu, zgodnie z którymi korki będą przyczepione do butelek;</w:t>
            </w:r>
          </w:p>
          <w:p>
            <w:pPr>
              <w:pStyle w:val="ListParagraph"/>
              <w:numPr>
                <w:ilvl w:val="0"/>
                <w:numId w:val="40"/>
              </w:numPr>
              <w:spacing w:before="120" w:after="120"/>
              <w:jc w:val="both"/>
              <w:rPr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rozszerzona odpowiedzialność producenta obejmująca koszty sprzątania odpadów w przypadku produktów takich jak filtry z wyrobów tytoniowych i narzędzia połowowe; </w:t>
            </w:r>
          </w:p>
          <w:p>
            <w:pPr>
              <w:pStyle w:val="ListParagraph"/>
              <w:numPr>
                <w:ilvl w:val="0"/>
                <w:numId w:val="40"/>
              </w:numPr>
              <w:spacing w:before="120" w:after="120"/>
              <w:jc w:val="both"/>
              <w:rPr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środki na rzecz zmniejszenia ilości odpadów z tworzyw sztucznych ze statków, takie jak ustalenie jednolitej opłaty za odpady pochodzące ze statków; </w:t>
            </w:r>
          </w:p>
          <w:p>
            <w:pPr>
              <w:pStyle w:val="ListParagraph"/>
              <w:numPr>
                <w:ilvl w:val="0"/>
                <w:numId w:val="40"/>
              </w:numPr>
              <w:spacing w:before="120" w:after="120"/>
              <w:jc w:val="both"/>
              <w:rPr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lepiej określone obowiązki sprawozdawcze dotyczące zagubionych narzędzi połowowych oraz obowiązki w zakresie oznaczania i kontroli narzędzi przeznaczonych do połowów rekreacyjnych. </w:t>
            </w:r>
          </w:p>
        </w:tc>
      </w:tr>
    </w:tbl>
    <w:p>
      <w:pPr>
        <w:pStyle w:val="Heading1"/>
        <w:rPr>
          <w:noProof/>
        </w:rPr>
      </w:pPr>
      <w:r>
        <w:rPr>
          <w:noProof/>
        </w:rPr>
        <w:t xml:space="preserve">Przyspieszenie transformacji </w:t>
      </w:r>
    </w:p>
    <w:p>
      <w:pPr>
        <w:pStyle w:val="Heading2"/>
        <w:rPr>
          <w:noProof/>
        </w:rPr>
      </w:pPr>
      <w:r>
        <w:rPr>
          <w:noProof/>
        </w:rPr>
        <w:t>Innowacje i inwestycje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88"/>
      </w:tblGrid>
      <w:tr>
        <w:tc>
          <w:tcPr>
            <w:tcW w:w="9288" w:type="dxa"/>
            <w:shd w:val="clear" w:color="auto" w:fill="F2F2F2" w:themeFill="background1" w:themeFillShade="F2"/>
          </w:tcPr>
          <w:p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Aby przyspieszyć przejście na gospodarkę o obiegu zamkniętym, konieczne jest inwestowanie</w:t>
            </w:r>
            <w:r>
              <w:rPr>
                <w:rStyle w:val="FootnoteReference"/>
                <w:rFonts w:ascii="Times New Roman" w:hAnsi="Times New Roman"/>
                <w:noProof/>
                <w:sz w:val="24"/>
              </w:rPr>
              <w:footnoteReference w:id="59"/>
            </w:r>
            <w:r>
              <w:rPr>
                <w:rFonts w:ascii="Times New Roman" w:hAnsi="Times New Roman"/>
                <w:noProof/>
                <w:sz w:val="24"/>
              </w:rPr>
              <w:t xml:space="preserve"> w innowacje oraz zapewnienie wsparcia dla dostosowania bazy przemysłowej. W latach 2016–2020 Komisja zwiększyła wysiłki na obu frontach, przeznaczając na transformację fundusze publiczne opiewające na </w:t>
            </w:r>
            <w:r>
              <w:rPr>
                <w:rFonts w:ascii="Times New Roman" w:hAnsi="Times New Roman"/>
                <w:b/>
                <w:noProof/>
                <w:sz w:val="24"/>
              </w:rPr>
              <w:t>łączną kwotę ponad 10 mld EUR</w:t>
            </w:r>
            <w:r>
              <w:rPr>
                <w:rFonts w:ascii="Times New Roman" w:hAnsi="Times New Roman"/>
                <w:noProof/>
                <w:sz w:val="24"/>
              </w:rPr>
              <w:t>. Obejmują one:</w:t>
            </w:r>
          </w:p>
          <w:p>
            <w:pPr>
              <w:pStyle w:val="ListParagraph"/>
              <w:numPr>
                <w:ilvl w:val="0"/>
                <w:numId w:val="43"/>
              </w:numPr>
              <w:spacing w:before="120" w:after="120"/>
              <w:ind w:left="70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1,4 mld EUR z programu „Horyzont 2020” do 2018 r. (przeznaczone na obszary takie jak zrównoważony przemysł przetwórczy, gospodarowanie odpadami i zasobami, systemy produkcji w obiegu zamkniętym lub biogospodarka w obiegu zamkniętym), z czego 350 mln EUR przeznaczono na wprowadzenie tworzyw sztucznych do obiegu zamkniętego. Komisja opublikowała wykaz</w:t>
            </w:r>
            <w:r>
              <w:rPr>
                <w:rStyle w:val="FootnoteReference"/>
                <w:rFonts w:ascii="Times New Roman" w:hAnsi="Times New Roman"/>
                <w:noProof/>
                <w:sz w:val="24"/>
              </w:rPr>
              <w:footnoteReference w:id="60"/>
            </w:r>
            <w:r>
              <w:rPr>
                <w:rFonts w:ascii="Times New Roman" w:hAnsi="Times New Roman"/>
                <w:noProof/>
                <w:sz w:val="24"/>
              </w:rPr>
              <w:t xml:space="preserve"> projektów istotnych dla gospodarki o obiegu zamkniętym finansowanych w latach 2016–2018 w ramach programu „Horyzont 2020”;</w:t>
            </w:r>
          </w:p>
          <w:p>
            <w:pPr>
              <w:pStyle w:val="ListParagraph"/>
              <w:numPr>
                <w:ilvl w:val="0"/>
                <w:numId w:val="43"/>
              </w:num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co najmniej 7,1 mld EUR w ramach polityki spójności (1,8 mld EUR przeznaczone na wprowadzenie technologii innowacyjnych pod względem ekologicznym wśród MŚP i 5,3 mld EUR na wsparcie wdrożenia unijnych przepisów dotyczących odpadów); ponadto w ramach inteligentnej specjalizacji dostępne jest znaczne wsparcie na rzecz napędzanej przez rynek innowacji i wprowadzania jej do obiegu;</w:t>
            </w:r>
          </w:p>
          <w:p>
            <w:pPr>
              <w:pStyle w:val="ListParagraph"/>
              <w:numPr>
                <w:ilvl w:val="0"/>
                <w:numId w:val="43"/>
              </w:numPr>
              <w:spacing w:before="120" w:after="120"/>
              <w:jc w:val="both"/>
              <w:rPr>
                <w:noProof/>
              </w:rPr>
            </w:pPr>
            <w:r>
              <w:rPr>
                <w:rFonts w:ascii="Times New Roman" w:hAnsi="Times New Roman"/>
                <w:noProof/>
                <w:sz w:val="24"/>
              </w:rPr>
              <w:t>2,1 mld EUR za pośrednictwem organów finansowania, takich jak Europejski Fundusz na rzecz Inwestycji Strategicznych i InnovFin;</w:t>
            </w:r>
          </w:p>
          <w:p>
            <w:pPr>
              <w:pStyle w:val="ListParagraph"/>
              <w:numPr>
                <w:ilvl w:val="0"/>
                <w:numId w:val="43"/>
              </w:numPr>
              <w:spacing w:before="120" w:after="120"/>
              <w:jc w:val="both"/>
              <w:rPr>
                <w:noProof/>
              </w:rPr>
            </w:pPr>
            <w:r>
              <w:rPr>
                <w:rFonts w:ascii="Times New Roman" w:hAnsi="Times New Roman"/>
                <w:noProof/>
                <w:sz w:val="24"/>
              </w:rPr>
              <w:t>co najmniej 100 mln EUR zainwestowano w ramach programu LIFE w ponad 80 projektów wnoszących wkład w rozwój gospodarki o obiegu zamkniętym.</w:t>
            </w:r>
          </w:p>
        </w:tc>
      </w:tr>
    </w:tbl>
    <w:p>
      <w:pPr>
        <w:spacing w:before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Aby zachęcić do dalszych inwestycji, w ramach Platformy wsparcia finansowego dla gospodarki o obiegu zamkniętym opracowano zalecenia</w:t>
      </w:r>
      <w:r>
        <w:rPr>
          <w:rStyle w:val="FootnoteReference"/>
          <w:rFonts w:ascii="Times New Roman" w:hAnsi="Times New Roman"/>
          <w:noProof/>
          <w:sz w:val="24"/>
        </w:rPr>
        <w:footnoteReference w:id="61"/>
      </w:r>
      <w:r>
        <w:rPr>
          <w:rFonts w:ascii="Times New Roman" w:hAnsi="Times New Roman"/>
          <w:noProof/>
          <w:sz w:val="24"/>
        </w:rPr>
        <w:t xml:space="preserve"> dotyczące zwiększenia możliwości pozyskania finansowania bankowego dla projektów dotyczących gospodarki o obiegu zamkniętym, koordynacji działań w zakresie finansowania i wymiany dobrych praktyk</w:t>
      </w:r>
      <w:r>
        <w:rPr>
          <w:rStyle w:val="FootnoteReference"/>
          <w:rFonts w:ascii="Times New Roman" w:hAnsi="Times New Roman"/>
          <w:noProof/>
          <w:sz w:val="24"/>
        </w:rPr>
        <w:footnoteReference w:id="62"/>
      </w:r>
      <w:r>
        <w:rPr>
          <w:rFonts w:ascii="Times New Roman" w:hAnsi="Times New Roman"/>
          <w:noProof/>
          <w:sz w:val="24"/>
        </w:rPr>
        <w:t>. Platforma oraz Europejski Bank Inwestycyjny podejmą prace nad udzielaniem wsparcia finansowego i wykorzystaniem synergii z planem działania dotyczącym finansowania zrównoważonego wzrostu gospodarczego</w:t>
      </w:r>
      <w:r>
        <w:rPr>
          <w:rStyle w:val="FootnoteReference"/>
          <w:rFonts w:ascii="Times New Roman" w:hAnsi="Times New Roman"/>
          <w:noProof/>
          <w:sz w:val="24"/>
        </w:rPr>
        <w:footnoteReference w:id="63"/>
      </w:r>
      <w:r>
        <w:rPr>
          <w:rFonts w:ascii="Times New Roman" w:hAnsi="Times New Roman"/>
          <w:noProof/>
          <w:sz w:val="24"/>
        </w:rPr>
        <w:t xml:space="preserve">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Oprócz finansowania transformacji Komisja odniosła się również do kwestii przeszkód regulacyjnych, które mogłyby hamować innowacje w zakresie obiegu zamkniętego, inicjując w 2016 r. dwa pilotażowe porozumienia na rzecz innowacyjności</w:t>
      </w:r>
      <w:r>
        <w:rPr>
          <w:rStyle w:val="FootnoteReference"/>
          <w:rFonts w:ascii="Times New Roman" w:hAnsi="Times New Roman"/>
          <w:noProof/>
          <w:sz w:val="24"/>
        </w:rPr>
        <w:footnoteReference w:id="64"/>
      </w:r>
      <w:r>
        <w:rPr>
          <w:rFonts w:ascii="Times New Roman" w:hAnsi="Times New Roman"/>
          <w:noProof/>
          <w:sz w:val="24"/>
        </w:rPr>
        <w:t>. Na podstawie doświadczeń z tych dwóch projektów pilotażowych Komisja rozważa obecnie wypróbowanie tego podejścia w innych sektorach.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Obieg zamknięty powinien pozostać filarem polityki spójności w okresie programowania na lata 2021–2027. We wniosku w sprawie nowego Europejskiego Funduszu Rozwoju Regionalnego i Funduszu Spójności</w:t>
      </w:r>
      <w:r>
        <w:rPr>
          <w:rStyle w:val="FootnoteReference"/>
          <w:rFonts w:ascii="Times New Roman" w:hAnsi="Times New Roman"/>
          <w:noProof/>
          <w:sz w:val="24"/>
        </w:rPr>
        <w:footnoteReference w:id="65"/>
      </w:r>
      <w:r>
        <w:rPr>
          <w:rFonts w:ascii="Times New Roman" w:hAnsi="Times New Roman"/>
          <w:noProof/>
          <w:sz w:val="24"/>
        </w:rPr>
        <w:t xml:space="preserve"> Komisja nadaje gospodarce o obiegu zamkniętym priorytet w dążeniach UE do osiągnięcia bardziej przyjaznej dla środowiska i bardziej inteligentnej Europy oraz wyklucza inwestycje w składowanie odpadów i instalacje przetwarzania odpadów resztkowych zgodnie z hierarchią postępowania z odpadami.</w:t>
      </w:r>
    </w:p>
    <w:p>
      <w:pPr>
        <w:pStyle w:val="Heading2"/>
        <w:rPr>
          <w:noProof/>
        </w:rPr>
      </w:pPr>
      <w:r>
        <w:rPr>
          <w:noProof/>
        </w:rPr>
        <w:t xml:space="preserve">Silne zaangażowanie zainteresowanych stron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88"/>
      </w:tblGrid>
      <w:tr>
        <w:tc>
          <w:tcPr>
            <w:tcW w:w="9288" w:type="dxa"/>
            <w:shd w:val="clear" w:color="auto" w:fill="F2F2F2" w:themeFill="background1" w:themeFillShade="F2"/>
          </w:tcPr>
          <w:p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Zaangażowanie zainteresowanych stron ma kluczowe znaczenie dla transformacji gospodarki. Podejście systemowe określone w planie działania dało organom publicznym, podmiotom gospodarczym i społeczeństwu obywatelskiemu ramy, które można powielać w celu wspierania partnerstw w różnych sektorach i wzdłuż łańcuchów wartości. </w:t>
            </w:r>
          </w:p>
          <w:p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Działania UE stanowiły inspirację dla krajowych dyskusji na temat gospodarki o obiegu zamkniętym, a większość państw członkowskich przyjęła krajowe strategie przejścia na gospodarkę o obiegu zamkniętym lub jest w trakcie ich przyjmowania. Ramy te są często powielane na szczeblu regionalnym i lokalnym, co zbliża gospodarkę o obiegu zamkniętym do obywateli i przedsiębiorstw. Rolę Komisji w promowaniu takiego podejścia systemowego oraz we włączeniu kwestii gospodarki o obiegu zamkniętym do europejskiego i międzynarodowego planu działania uznano również na Światowym Forum Ekonomicznym w 2019 r., gdy Komisja otrzymała nagrodę Circulars</w:t>
            </w:r>
            <w:r>
              <w:rPr>
                <w:rStyle w:val="FootnoteReference"/>
                <w:rFonts w:ascii="Times New Roman" w:hAnsi="Times New Roman"/>
                <w:noProof/>
                <w:sz w:val="24"/>
              </w:rPr>
              <w:footnoteReference w:id="66"/>
            </w:r>
            <w:r>
              <w:rPr>
                <w:rFonts w:ascii="Times New Roman" w:hAnsi="Times New Roman"/>
                <w:noProof/>
                <w:sz w:val="24"/>
              </w:rPr>
              <w:t xml:space="preserve"> w kategorii sektora publicznego. </w:t>
            </w:r>
          </w:p>
          <w:p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Europejska platforma zainteresowanych stron gospodarki o obiegu zamkniętym zrzesza liczne sieci i inicjatywy w zakresie gospodarki o obiegu zamkniętym. Pomnaża ona najlepsze praktyki z sektora publicznego i prywatnego. W pierwszym roku funkcjonowania</w:t>
            </w:r>
            <w:r>
              <w:rPr>
                <w:rFonts w:ascii="Times New Roman" w:hAnsi="Times New Roman"/>
                <w:noProof/>
                <w:sz w:val="24"/>
              </w:rPr>
              <w:footnoteReference w:id="67"/>
            </w:r>
            <w:r>
              <w:rPr>
                <w:rFonts w:ascii="Times New Roman" w:hAnsi="Times New Roman"/>
                <w:noProof/>
                <w:sz w:val="24"/>
              </w:rPr>
              <w:t xml:space="preserve"> na platformie zebrano i rozpowszechniono ponad 300 przykładów najlepszych praktyk, strategii i sprawozdań.</w:t>
            </w:r>
          </w:p>
        </w:tc>
      </w:tr>
    </w:tbl>
    <w:p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Zainteresowane strony napędzają transformację w różnych sektorach. Na przykład zaangażowanie ze strony przemysłu doprowadziło do przyjęcia protokołu i wytycznych UE dotyczących odpadów z budowy i rozbiórki</w:t>
      </w:r>
      <w:r>
        <w:rPr>
          <w:rStyle w:val="FootnoteReference"/>
          <w:rFonts w:ascii="Times New Roman" w:hAnsi="Times New Roman"/>
          <w:noProof/>
          <w:sz w:val="24"/>
        </w:rPr>
        <w:footnoteReference w:id="68"/>
      </w:r>
      <w:r>
        <w:rPr>
          <w:rFonts w:ascii="Times New Roman" w:hAnsi="Times New Roman"/>
          <w:noProof/>
          <w:sz w:val="24"/>
        </w:rPr>
        <w:t>, których ostatecznym celem jest zwiększenie zaufania do procesu gospodarowania odpadami oraz do jakości materiałów pochodzących z recyklingu w tym sektorze. Ponadto przedsiębiorstwa zobowiązały się do zwiększenia wydajności zasobów w przypadku budynków i testują Level(s)</w:t>
      </w:r>
      <w:r>
        <w:rPr>
          <w:rStyle w:val="FootnoteReference"/>
          <w:rFonts w:ascii="Times New Roman" w:hAnsi="Times New Roman"/>
          <w:noProof/>
          <w:sz w:val="24"/>
        </w:rPr>
        <w:footnoteReference w:id="69"/>
      </w:r>
      <w:r>
        <w:rPr>
          <w:rFonts w:ascii="Times New Roman" w:hAnsi="Times New Roman"/>
          <w:noProof/>
          <w:sz w:val="24"/>
        </w:rPr>
        <w:t xml:space="preserve"> – pierwszy system wskaźników do pomiaru zrównoważoności w sektorze – w ponad 130 projektach w całej Europie.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Analogicznie, kluczowe podmioty sektora publicznego i prywatnego w całym łańcuchu wartości żywności współpracują w ramach unijnej Platformy ds. Strat i Marnowania Żywności, aby przyspieszyć czynione przez UE postępy w zakresie osiągania celu zrównoważonego rozwoju, jakim jest zmniejszenie o połowę odpadów spożywczych na mieszkańca do 2030 r. Platforma umożliwiła Komisji poczynienie istotnych postępów we wdrażaniu działań zapobiegających powstawaniu odpadów spożywczych, do których należą wytyczne mające ułatwić dokonywanie darowizn żywności, w opracowaniu metody pomiaru marnowania żywności i poprawie praktyk w zakresie dat przydatności do spożycia. </w:t>
      </w:r>
    </w:p>
    <w:p>
      <w:pPr>
        <w:pStyle w:val="Default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Zainteresowane strony przenoszą transformację także poza Europę. Europejskie przedsiębiorstwa regularnie angażują się we wspólne misje dotyczące gospodarki o obiegu zamkniętym</w:t>
      </w:r>
      <w:r>
        <w:rPr>
          <w:rStyle w:val="FootnoteReference"/>
          <w:rFonts w:ascii="Times New Roman" w:hAnsi="Times New Roman"/>
          <w:noProof/>
        </w:rPr>
        <w:footnoteReference w:id="70"/>
      </w:r>
      <w:r>
        <w:rPr>
          <w:rFonts w:ascii="Times New Roman" w:hAnsi="Times New Roman"/>
          <w:noProof/>
        </w:rPr>
        <w:t xml:space="preserve">, wzmacniając powiązania między europejskimi instytucjami, organizacjami pozarządowymi, przedsiębiorstwami i odpowiednimi zainteresowanymi stronami w państwach trzecich. </w:t>
      </w:r>
    </w:p>
    <w:p>
      <w:pPr>
        <w:pStyle w:val="Heading1"/>
        <w:rPr>
          <w:noProof/>
        </w:rPr>
      </w:pPr>
      <w:r>
        <w:rPr>
          <w:noProof/>
        </w:rPr>
        <w:t>Otwarte wyzwania</w:t>
      </w:r>
    </w:p>
    <w:p>
      <w:pPr>
        <w:spacing w:before="120" w:after="120" w:line="240" w:lineRule="auto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>Gospodarka o obiegu zamkniętym stanowi obecnie nieodwracalny ogólnoświatowy trend na wielką skalę. Potrzeba jednak jeszcze wielu starań, aby zintensyfikować działania na poziomie unijnym i światowym, w pełni zamknąć obieg oraz wykorzystać przewagę konkurencyjną, jaką gospodarka o obiegu zamkniętym zapewnia przedsiębiorstwom UE. Z interakcji z zainteresowanymi stronami wynika, że w celu wypełnienia agendy dotyczącej obiegu zamkniętego można uwzględnić obszary, które nie są objęte planem działania.</w:t>
      </w:r>
    </w:p>
    <w:p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Jeżeli UE chce utrzymać swoją wiodącą rolę w projektowaniu i produkcji produktów i usług w obiegu zamkniętym oraz pod względem umożliwiania konsumentom wyboru bardziej zrównoważonego stylu życia, potrzebne będą nowe działania. Jak zasugerowano w dokumencie otwierającym debatę pt. „W kierunku zrównoważonej Europy do 2030 r.”</w:t>
      </w:r>
      <w:r>
        <w:rPr>
          <w:rStyle w:val="FootnoteReference"/>
          <w:rFonts w:ascii="Times New Roman" w:hAnsi="Times New Roman"/>
          <w:noProof/>
          <w:sz w:val="24"/>
        </w:rPr>
        <w:footnoteReference w:id="71"/>
      </w:r>
      <w:r>
        <w:rPr>
          <w:rFonts w:ascii="Times New Roman" w:hAnsi="Times New Roman"/>
          <w:noProof/>
          <w:sz w:val="24"/>
        </w:rPr>
        <w:t xml:space="preserve">, gospodarka o obiegu zamkniętym powinna stanowić trzon strategii przemysłowej UE, co umożliwi obieg zamknięty w nowych obszarach i sektorach, ocena cyklu życia produktów powinna stać się normą, a przepisy dotyczące ekoprojektu powinny zostać rozszerzone w największym możliwym stopniu. Jeżeli UE chce czerpać pełne korzyści z przejścia na gospodarkę o obiegu zamkniętym, należy przyspieszyć rozpoczęte prace dotyczące substancji chemicznych, nietoksycznego środowiska, oznakowania ekologicznego i ekoinnowacji, surowców krytycznych i nawozów. Analogicznie, konsumenci powinni mieć lepsze możliwości dokonywania świadomych wyborów, a sektor publiczny powinien zwiększyć starania w dziedzinie zrównoważonych zamówień publicznych. </w:t>
      </w:r>
    </w:p>
    <w:p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Przy wsparciu Komisji państwa członkowskie – a w szczególności regiony, które mogą nie zrealizować celów w zakresie recyklingu na 2020 r. lub borykają się ze szczególnymi problemami</w:t>
      </w:r>
      <w:r>
        <w:rPr>
          <w:rStyle w:val="FootnoteReference"/>
          <w:rFonts w:ascii="Times New Roman" w:hAnsi="Times New Roman"/>
          <w:noProof/>
          <w:sz w:val="24"/>
        </w:rPr>
        <w:footnoteReference w:id="72"/>
      </w:r>
      <w:r>
        <w:rPr>
          <w:rFonts w:ascii="Times New Roman" w:hAnsi="Times New Roman"/>
          <w:noProof/>
          <w:sz w:val="24"/>
        </w:rPr>
        <w:t xml:space="preserve"> – i przedsiębiorstwa będą musiały zwiększyć starania, aby wdrożyć zmienione przepisy dotyczące odpadów i rozwinąć rynki surowców wtórnych. Celem jest zapewnienie, aby materiały, które wracają do gospodarki, były opłacalne i bezpieczne dla obywateli oraz środowiska.</w:t>
      </w:r>
    </w:p>
    <w:p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UE powinna nadal wspierać badania naukowe, innowacje i inwestycje w sektorach priorytetowych określonych</w:t>
      </w:r>
      <w:r>
        <w:rPr>
          <w:rStyle w:val="FootnoteReference"/>
          <w:rFonts w:ascii="Times New Roman" w:hAnsi="Times New Roman"/>
          <w:noProof/>
          <w:sz w:val="24"/>
        </w:rPr>
        <w:footnoteReference w:id="73"/>
      </w:r>
      <w:r>
        <w:rPr>
          <w:rFonts w:ascii="Times New Roman" w:hAnsi="Times New Roman"/>
          <w:noProof/>
          <w:sz w:val="24"/>
        </w:rPr>
        <w:t xml:space="preserve"> w planie działania. Na przykładzie Europejskiej strategii na rzecz tworzyw sztucznych w gospodarce o obiegu zamkniętym z podobnego podejścia holistycznego mogłoby skorzystać wiele innych sektorów mających duży wpływ na środowisko i potencjał obiegu zamkniętego, takich jak sektor informatyczny, elektronika, sektor mobilności, środowisko zbudowane, górnictwo, branża meblarska, sektor żywności i napojów lub włókiennictwo. W żadnym z nich pełen potencjał jednolitego rynku UE nie został jeszcze wykorzystany</w:t>
      </w:r>
      <w:r>
        <w:rPr>
          <w:rStyle w:val="FootnoteReference"/>
          <w:rFonts w:ascii="Times New Roman" w:hAnsi="Times New Roman"/>
          <w:noProof/>
          <w:sz w:val="24"/>
        </w:rPr>
        <w:footnoteReference w:id="74"/>
      </w:r>
      <w:r>
        <w:rPr>
          <w:rFonts w:ascii="Times New Roman" w:hAnsi="Times New Roman"/>
          <w:noProof/>
          <w:sz w:val="24"/>
        </w:rPr>
        <w:t xml:space="preserve">. </w:t>
      </w:r>
    </w:p>
    <w:p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Wdrożenie niedawno zaktualizowanej strategii dotyczącej biogospodarki</w:t>
      </w:r>
      <w:r>
        <w:rPr>
          <w:rStyle w:val="FootnoteReference"/>
          <w:rFonts w:ascii="Times New Roman" w:hAnsi="Times New Roman"/>
          <w:noProof/>
          <w:sz w:val="24"/>
        </w:rPr>
        <w:footnoteReference w:id="75"/>
      </w:r>
      <w:r>
        <w:rPr>
          <w:rFonts w:ascii="Times New Roman" w:hAnsi="Times New Roman"/>
          <w:noProof/>
          <w:sz w:val="24"/>
        </w:rPr>
        <w:t xml:space="preserve"> i zmienionych ram w zakresie energii ze źródeł odnawialnych</w:t>
      </w:r>
      <w:r>
        <w:rPr>
          <w:rStyle w:val="FootnoteReference"/>
          <w:rFonts w:ascii="Times New Roman" w:hAnsi="Times New Roman"/>
          <w:noProof/>
          <w:sz w:val="24"/>
        </w:rPr>
        <w:footnoteReference w:id="76"/>
      </w:r>
      <w:r>
        <w:rPr>
          <w:rFonts w:ascii="Times New Roman" w:hAnsi="Times New Roman"/>
          <w:noProof/>
          <w:sz w:val="24"/>
        </w:rPr>
        <w:t xml:space="preserve"> będzie stanowiło kolejne kroki w kierunku wykorzystania zasobów biologicznych w obiegu zamkniętym, przy jednoczesnym przestrzeganiu granic ekologicznych i wkładzie w powstrzymanie utraty różnorodności biologicznej. 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Zgodnie z długoterminową wizją strategiczną dobrze prosperującej, nowoczesnej, konkurencyjnej i neutralnej dla klimatu gospodarki do 2050 r.</w:t>
      </w:r>
      <w:r>
        <w:rPr>
          <w:rStyle w:val="FootnoteReference"/>
          <w:rFonts w:ascii="Times New Roman" w:hAnsi="Times New Roman"/>
          <w:noProof/>
          <w:sz w:val="24"/>
        </w:rPr>
        <w:footnoteReference w:id="77"/>
      </w:r>
      <w:r>
        <w:rPr>
          <w:rFonts w:ascii="Times New Roman" w:hAnsi="Times New Roman"/>
          <w:noProof/>
          <w:sz w:val="24"/>
        </w:rPr>
        <w:t xml:space="preserve"> przejście na gospodarkę o obiegu zamkniętym i gospodarkę neutralną dla klimatu powinno przebiegać jednocześnie, w oparciu o duże ambicje przemysłu oraz z wykorzystaniem wiodącej pozycji przedsiębiorstw UE w tych obszarach</w:t>
      </w:r>
      <w:r>
        <w:rPr>
          <w:rStyle w:val="FootnoteReference"/>
          <w:rFonts w:ascii="Times New Roman" w:hAnsi="Times New Roman"/>
          <w:noProof/>
          <w:sz w:val="24"/>
        </w:rPr>
        <w:footnoteReference w:id="78"/>
      </w:r>
      <w:r>
        <w:rPr>
          <w:rFonts w:ascii="Times New Roman" w:hAnsi="Times New Roman"/>
          <w:noProof/>
          <w:sz w:val="24"/>
        </w:rPr>
        <w:t xml:space="preserve">. Nowe modele biznesowe oparte na obiegu zamkniętym, recykling, wydajność energetyczna i materiałowa oraz nowe struktury konsumpcji mają znaczny potencjał do tego, by ograniczyć emisję gazów cieplarnianych na świecie. Propagowanie tego wspólnego podejścia w przedsiębiorstwach – także w MŚP – i społecznościach może jednocześnie zmniejszyć koszty produkcji i wesprzeć nowe rodzaje interakcji biznesowych, np. symbiozę przemysłową. Ponadto obieg zamknięty i zrównoważoność w zakresie pozyskiwania, wykorzystania i przetwarzania surowców (szczególnie tych krytycznych) będą kluczowe dla zapewnienia niezbędnego bezpieczeństwa dostaw, równych warunków działania dla konkurentów przemysłowych oraz wiodącej pozycji UE na świecie w zakresie kluczowych technologii prorozwojowych i technologii niskoemisyjnych. </w:t>
      </w:r>
    </w:p>
    <w:p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Sztuczna inteligencja i cyfryzacja</w:t>
      </w:r>
      <w:r>
        <w:rPr>
          <w:rStyle w:val="FootnoteReference"/>
          <w:rFonts w:ascii="Times New Roman" w:hAnsi="Times New Roman"/>
          <w:noProof/>
          <w:sz w:val="24"/>
        </w:rPr>
        <w:footnoteReference w:id="79"/>
      </w:r>
      <w:r>
        <w:rPr>
          <w:rFonts w:ascii="Times New Roman" w:hAnsi="Times New Roman"/>
          <w:noProof/>
          <w:sz w:val="24"/>
        </w:rPr>
        <w:t xml:space="preserve"> mają potencjał, by zoptymalizować zużycie energii i zasobów oraz udostępniać informacje na potrzeby modeli biznesowych opartych na obiegu zamkniętym i świadomych wyborów konsumpcyjnych. Cyfrowa gospodarka o obiegu zamkniętym musi jednak mieć pozytywny wpływ netto na zasoby i uwzględniać istotne wyzwania, w tym ryzyko napędzania niezrównoważonych struktur konsumpcji, skracania trwałości produktów inteligentnych i zagrożeń dla bezpieczeństwa wrażliwych danych biznesowych. </w:t>
      </w:r>
    </w:p>
    <w:p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Przejście na gospodarkę o obiegu zamkniętym przede wszystkim umacnia spójność społeczną i terytorialną oraz sprzyja zrównoważonemu rozkładowi miejsc pracy spełniających normy w zakresie zdrowia i bezpieczeństwa, co umożliwia sprawiedliwy i zrównoważony wzrost gospodarczy. </w:t>
      </w:r>
    </w:p>
    <w:p>
      <w:pPr>
        <w:pStyle w:val="Heading1"/>
        <w:rPr>
          <w:noProof/>
        </w:rPr>
      </w:pPr>
      <w:r>
        <w:rPr>
          <w:noProof/>
        </w:rPr>
        <w:t>Wnioski</w:t>
      </w:r>
    </w:p>
    <w:p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Wdrożenie planu działania UE dotyczącego gospodarki o obiegu zamkniętym przyspieszyło przechodzenie na gospodarkę o obiegu zamkniętym w Europie. Jednocześnie silniejsza, wspólna wizja gospodarki o obiegu zamkniętym może jedynie nadać nowy impuls trwającym staraniom na rzecz modernizacji unijnej bazy przemysłowej w celu zapewnienia jej konkurencyjności oraz na rzecz zachowania i odtworzenia kapitału naturalnego UE. </w:t>
      </w:r>
    </w:p>
    <w:p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Wymienione wyżej aspekty oraz zrealizowane z powodzeniem elementy planu działania, o których mowa w niniejszym sprawozdaniu, mogą posłużyć jako wsparcie i ukierunkowanie przyszłych prac instytucji europejskich, państw członkowskich, przedsiębiorstw i partnerów społecznych.</w:t>
      </w:r>
    </w:p>
    <w:p>
      <w:pPr>
        <w:spacing w:before="120" w:after="120" w:line="240" w:lineRule="auto"/>
        <w:jc w:val="both"/>
        <w:rPr>
          <w:noProof/>
        </w:rPr>
      </w:pPr>
    </w:p>
    <w:sectPr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A6D078" w16cid:durableId="20072FC2"/>
  <w16cid:commentId w16cid:paraId="6FE27B1F" w16cid:durableId="20072FC3"/>
  <w16cid:commentId w16cid:paraId="34B024F4" w16cid:durableId="20072FC4"/>
  <w16cid:commentId w16cid:paraId="2C5CD9FF" w16cid:durableId="20072FC5"/>
  <w16cid:commentId w16cid:paraId="1A5B58D3" w16cid:durableId="200730E4"/>
  <w16cid:commentId w16cid:paraId="58392055" w16cid:durableId="20072FC6"/>
  <w16cid:commentId w16cid:paraId="34E4B6AB" w16cid:durableId="20072FC7"/>
  <w16cid:commentId w16cid:paraId="2AB3E623" w16cid:durableId="20072FC8"/>
  <w16cid:commentId w16cid:paraId="66B49953" w16cid:durableId="20072FC9"/>
  <w16cid:commentId w16cid:paraId="1B3068A0" w16cid:durableId="20072FCA"/>
  <w16cid:commentId w16cid:paraId="2D43551A" w16cid:durableId="20073494"/>
  <w16cid:commentId w16cid:paraId="77E9E758" w16cid:durableId="20072FC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type="continuationNotice" w:id="1">
    <w:p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Bk">
    <w:altName w:val="Roboto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T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PL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type="continuationNotice" w:id="1">
    <w:p>
      <w:pPr>
        <w:spacing w:after="0" w:line="240" w:lineRule="auto"/>
      </w:pPr>
    </w:p>
  </w:footnote>
  <w:footnote w:id="2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  <w:lang w:val="pt-PT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  <w:lang w:val="pt-PT"/>
        </w:rPr>
        <w:t xml:space="preserve"> </w:t>
      </w:r>
      <w:r>
        <w:rPr>
          <w:lang w:val="pt-PT"/>
        </w:rPr>
        <w:tab/>
      </w:r>
      <w:r>
        <w:rPr>
          <w:rFonts w:ascii="Times New Roman" w:hAnsi="Times New Roman"/>
          <w:sz w:val="18"/>
          <w:lang w:val="pt-PT"/>
        </w:rPr>
        <w:t>COM(2015) 614.</w:t>
      </w:r>
    </w:p>
  </w:footnote>
  <w:footnote w:id="3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  <w:lang w:val="pt-PT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  <w:lang w:val="pt-PT"/>
        </w:rPr>
        <w:t xml:space="preserve"> </w:t>
      </w:r>
      <w:r>
        <w:rPr>
          <w:lang w:val="pt-PT"/>
        </w:rPr>
        <w:tab/>
      </w:r>
      <w:r>
        <w:rPr>
          <w:rFonts w:ascii="Times New Roman" w:hAnsi="Times New Roman"/>
          <w:sz w:val="18"/>
          <w:lang w:val="pt-PT"/>
        </w:rPr>
        <w:t xml:space="preserve">COM(2018) 29 final. </w:t>
      </w:r>
    </w:p>
  </w:footnote>
  <w:footnote w:id="4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  <w:lang w:val="pt-PT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  <w:lang w:val="pt-PT"/>
        </w:rPr>
        <w:t xml:space="preserve"> </w:t>
      </w:r>
      <w:r>
        <w:rPr>
          <w:lang w:val="pt-PT"/>
        </w:rPr>
        <w:tab/>
      </w:r>
      <w:r>
        <w:rPr>
          <w:rFonts w:ascii="Times New Roman" w:hAnsi="Times New Roman"/>
          <w:sz w:val="18"/>
          <w:lang w:val="pt-PT"/>
        </w:rPr>
        <w:t>https://ec.europa.eu/eurostat/tgm/refreshTableAction.do?tab=table&amp;plugin=1&amp;pcode=cei_cie010&amp;language=en</w:t>
      </w:r>
    </w:p>
  </w:footnote>
  <w:footnote w:id="5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  <w:lang w:val="en-IE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tab/>
      </w:r>
      <w:r>
        <w:rPr>
          <w:rFonts w:ascii="Times New Roman" w:hAnsi="Times New Roman"/>
          <w:sz w:val="18"/>
        </w:rPr>
        <w:t>Komisja Europejska, „Wpływ polityki w zakresie gospodarki o obiegu zamkniętym na rynek pracy” (ang.</w:t>
      </w:r>
      <w:r>
        <w:rPr>
          <w:rFonts w:ascii="Times New Roman" w:hAnsi="Times New Roman"/>
          <w:i/>
          <w:sz w:val="18"/>
        </w:rPr>
        <w:t xml:space="preserve"> </w:t>
      </w:r>
      <w:r>
        <w:rPr>
          <w:rFonts w:ascii="Times New Roman" w:hAnsi="Times New Roman"/>
          <w:i/>
          <w:sz w:val="18"/>
          <w:lang w:val="en-GB"/>
        </w:rPr>
        <w:t>Impacts of circular economy policies on the labour market</w:t>
      </w:r>
      <w:r>
        <w:rPr>
          <w:rFonts w:ascii="Times New Roman" w:hAnsi="Times New Roman"/>
          <w:sz w:val="18"/>
          <w:lang w:val="en-GB"/>
        </w:rPr>
        <w:t>), kwiecień 2018 r.</w:t>
      </w:r>
    </w:p>
  </w:footnote>
  <w:footnote w:id="6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  <w:lang w:val="en-IE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  <w:lang w:val="en-IE"/>
        </w:rPr>
        <w:t xml:space="preserve"> </w:t>
      </w:r>
      <w:r>
        <w:rPr>
          <w:lang w:val="en-IE"/>
        </w:rPr>
        <w:tab/>
      </w:r>
      <w:hyperlink r:id="rId1">
        <w:r>
          <w:rPr>
            <w:rStyle w:val="Hyperlink"/>
            <w:rFonts w:ascii="Times New Roman" w:hAnsi="Times New Roman"/>
            <w:sz w:val="18"/>
            <w:lang w:val="en-IE"/>
          </w:rPr>
          <w:t>https://ec.europa.eu/eurostat/tgm/refreshTableAction.do?tab=table&amp;plugin=1&amp;pcode=cei_cie010&amp;language=en</w:t>
        </w:r>
      </w:hyperlink>
      <w:r>
        <w:rPr>
          <w:rFonts w:ascii="Times New Roman" w:hAnsi="Times New Roman"/>
          <w:sz w:val="18"/>
          <w:lang w:val="en-IE"/>
        </w:rPr>
        <w:t xml:space="preserve"> </w:t>
      </w:r>
    </w:p>
  </w:footnote>
  <w:footnote w:id="7">
    <w:p>
      <w:pPr>
        <w:pStyle w:val="FootnoteText"/>
        <w:jc w:val="both"/>
        <w:rPr>
          <w:rFonts w:ascii="Times New Roman" w:hAnsi="Times New Roman" w:cs="Times New Roman"/>
          <w:sz w:val="18"/>
          <w:szCs w:val="18"/>
          <w:lang w:val="en-IE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  <w:lang w:val="en-IE"/>
        </w:rPr>
        <w:t xml:space="preserve">  </w:t>
      </w:r>
      <w:hyperlink r:id="rId2">
        <w:r>
          <w:rPr>
            <w:rStyle w:val="Hyperlink"/>
            <w:rFonts w:ascii="Times New Roman" w:hAnsi="Times New Roman"/>
            <w:sz w:val="18"/>
            <w:lang w:val="en-IE"/>
          </w:rPr>
          <w:t>https://ec.europa.eu/eurostat/tgm/table.do?tab=table&amp;init=1&amp;language=en&amp;pcode=cei_srm030&amp;plugin=1</w:t>
        </w:r>
      </w:hyperlink>
      <w:r>
        <w:rPr>
          <w:rFonts w:ascii="Times New Roman" w:hAnsi="Times New Roman"/>
          <w:sz w:val="18"/>
          <w:lang w:val="en-IE"/>
        </w:rPr>
        <w:t xml:space="preserve"> </w:t>
      </w:r>
    </w:p>
  </w:footnote>
  <w:footnote w:id="8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  <w:lang w:val="en-IE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</w:t>
      </w:r>
      <w:r>
        <w:tab/>
      </w:r>
      <w:r>
        <w:rPr>
          <w:rFonts w:ascii="Times New Roman" w:hAnsi="Times New Roman"/>
          <w:sz w:val="18"/>
        </w:rPr>
        <w:t xml:space="preserve">Circle Economy, „Sprawozdanie na temat luki w obiegu zamkniętym” (ang. </w:t>
      </w:r>
      <w:r>
        <w:rPr>
          <w:rFonts w:ascii="Times New Roman" w:hAnsi="Times New Roman"/>
          <w:i/>
          <w:sz w:val="18"/>
          <w:lang w:val="en-GB"/>
        </w:rPr>
        <w:t>The Circularity Gap Report</w:t>
      </w:r>
      <w:r>
        <w:rPr>
          <w:rFonts w:ascii="Times New Roman" w:hAnsi="Times New Roman"/>
          <w:sz w:val="18"/>
          <w:lang w:val="en-GB"/>
        </w:rPr>
        <w:t>)</w:t>
      </w:r>
      <w:r>
        <w:rPr>
          <w:rFonts w:ascii="Times New Roman" w:hAnsi="Times New Roman"/>
          <w:i/>
          <w:sz w:val="18"/>
          <w:lang w:val="en-GB"/>
        </w:rPr>
        <w:t>,</w:t>
      </w:r>
      <w:r>
        <w:rPr>
          <w:rFonts w:ascii="Times New Roman" w:hAnsi="Times New Roman"/>
          <w:sz w:val="18"/>
          <w:lang w:val="en-GB"/>
        </w:rPr>
        <w:t xml:space="preserve"> styczeń 20</w:t>
      </w:r>
      <w:r>
        <w:rPr>
          <w:rFonts w:ascii="Times New Roman" w:hAnsi="Times New Roman"/>
          <w:sz w:val="18"/>
        </w:rPr>
        <w:t>18 r.</w:t>
      </w:r>
    </w:p>
  </w:footnote>
  <w:footnote w:id="9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  <w:lang w:val="en-IE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  <w:lang w:val="en-IE"/>
        </w:rPr>
        <w:t xml:space="preserve"> </w:t>
      </w:r>
      <w:r>
        <w:rPr>
          <w:lang w:val="en-IE"/>
        </w:rPr>
        <w:tab/>
      </w:r>
      <w:hyperlink r:id="rId3">
        <w:r>
          <w:rPr>
            <w:rStyle w:val="Hyperlink"/>
            <w:rFonts w:ascii="Times New Roman" w:hAnsi="Times New Roman"/>
            <w:sz w:val="18"/>
            <w:lang w:val="en-IE"/>
          </w:rPr>
          <w:t>https://ec.europa.eu/eurostat/web/circular-economy</w:t>
        </w:r>
      </w:hyperlink>
    </w:p>
  </w:footnote>
  <w:footnote w:id="10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</w:t>
      </w:r>
      <w:r>
        <w:tab/>
      </w:r>
      <w:r>
        <w:rPr>
          <w:rFonts w:ascii="Times New Roman" w:hAnsi="Times New Roman"/>
          <w:sz w:val="18"/>
        </w:rPr>
        <w:t>Pytanie wymagające odpowiedzi ustnej O-000087/2018.</w:t>
      </w:r>
    </w:p>
  </w:footnote>
  <w:footnote w:id="11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Konkluzje Rady, Realizacja planu działania UE dotyczącego gospodarki o obiegu zamkniętym (10447/18).</w:t>
      </w:r>
    </w:p>
  </w:footnote>
  <w:footnote w:id="12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NAT/722-EESC-2018-00464.</w:t>
      </w:r>
      <w:r>
        <w:rPr>
          <w:rStyle w:val="Hyperlink"/>
          <w:rFonts w:ascii="Times New Roman" w:hAnsi="Times New Roman"/>
          <w:color w:val="auto"/>
          <w:sz w:val="18"/>
          <w:u w:val="none"/>
        </w:rPr>
        <w:t xml:space="preserve"> </w:t>
      </w:r>
    </w:p>
  </w:footnote>
  <w:footnote w:id="13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>Np. cele zrównoważonego rozwoju: 2 (propagowanie ponownego wykorzystywania wody i nawozów organicznych, ułatwianie dokonywania darowizn żywności), 3 (rozwiązywanie problemów związanych z mikrodrobinami plastiku), 8 i 9 (pobudzanie innowacji, zatrudnienia i wartości dodanej), 12 (wsparcie zapobiegania powstawaniu odpadów i odpowiedzialnego zarządzania odpadami i chemikaliami, rozwiązywanie problemów związanych z marnotrawieniem żywności i wspieranie zielonych zamówień publicznych), 13 (potencjał wydajności materiałowej pod względem redukcji emisji CO</w:t>
      </w:r>
      <w:r>
        <w:rPr>
          <w:rFonts w:ascii="Times New Roman" w:hAnsi="Times New Roman"/>
          <w:sz w:val="18"/>
          <w:vertAlign w:val="subscript"/>
        </w:rPr>
        <w:t>2</w:t>
      </w:r>
      <w:r>
        <w:rPr>
          <w:rFonts w:ascii="Times New Roman" w:hAnsi="Times New Roman"/>
          <w:sz w:val="18"/>
        </w:rPr>
        <w:t>), 14 (zdecydowane działania w zakresie walki z odpadami morskimi).</w:t>
      </w:r>
    </w:p>
  </w:footnote>
  <w:footnote w:id="14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Zamknięcie obiegu – plan działania UE dotyczący gospodarki o obiegu zamkniętym (10518/16); Ekoinnowacje: umożliwienie przejścia na gospodarkę o obiegu zamkniętym (15159/17); Realizacja planu działania UE dotyczącego gospodarki o obiegu zamkniętym (10447/18).</w:t>
      </w:r>
    </w:p>
  </w:footnote>
  <w:footnote w:id="15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</w:t>
      </w:r>
      <w:hyperlink r:id="rId4">
        <w:r>
          <w:rPr>
            <w:rStyle w:val="Hyperlink"/>
            <w:rFonts w:ascii="Times New Roman" w:hAnsi="Times New Roman"/>
            <w:sz w:val="18"/>
          </w:rPr>
          <w:t>http://www.europarl.europa.eu/cmsdata/103519/06%2007%20-%20Coordinators%20Results.pdf</w:t>
        </w:r>
      </w:hyperlink>
    </w:p>
  </w:footnote>
  <w:footnote w:id="16">
    <w:p>
      <w:pPr>
        <w:pStyle w:val="FootnoteText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SWD(2019) 90</w:t>
      </w:r>
    </w:p>
  </w:footnote>
  <w:footnote w:id="17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COM(2016) 773 final.</w:t>
      </w:r>
    </w:p>
  </w:footnote>
  <w:footnote w:id="18">
    <w:p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Zgodnie z oczekiwaniami do marca 2020 r. opracowanych zostanie dwanaście norm ogólnych.</w:t>
      </w:r>
    </w:p>
  </w:footnote>
  <w:footnote w:id="19">
    <w:p>
      <w:pPr>
        <w:pStyle w:val="FootnoteText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SWD(2019) 91</w:t>
      </w:r>
    </w:p>
  </w:footnote>
  <w:footnote w:id="20">
    <w:p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Systemy oczyszczania ścieków i gazów odlotowych / gospodarowania ściekami i gazami odlotowymi w sektorze chemicznym (6/2016), intensywna hodowla drobiu lub świń (7/2017), duże obiekty energetycznego spalania (7/2017), produkcja wielkotonażowych organicznych substancji chemicznych (12/2017) i przetwarzanie odpadów (8/2018). </w:t>
      </w:r>
    </w:p>
  </w:footnote>
  <w:footnote w:id="21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Dyrektywa 2010/75/UE.</w:t>
      </w:r>
    </w:p>
  </w:footnote>
  <w:footnote w:id="22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https://een.ec.europa.eu/</w:t>
      </w:r>
    </w:p>
  </w:footnote>
  <w:footnote w:id="23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  <w:lang w:val="pt-PT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  <w:lang w:val="pt-PT"/>
        </w:rPr>
        <w:t xml:space="preserve"> www.resource-efficient.eu</w:t>
      </w:r>
    </w:p>
  </w:footnote>
  <w:footnote w:id="24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  <w:lang w:val="pt-PT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  <w:lang w:val="pt-PT"/>
        </w:rPr>
        <w:t xml:space="preserve"> COM(2017) 355 final.</w:t>
      </w:r>
    </w:p>
  </w:footnote>
  <w:footnote w:id="25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Stanowiło to około 2/3 europejskiego rynku pod względem konsumpcji.</w:t>
      </w:r>
    </w:p>
  </w:footnote>
  <w:footnote w:id="26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  <w:lang w:val="en-IE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Komisja Europejska, „Badanie behawioralne dotyczące zaangażowania konsumentów w gospodarkę o obiegu zamkniętym” (ang. </w:t>
      </w:r>
      <w:r>
        <w:rPr>
          <w:rFonts w:ascii="Times New Roman" w:hAnsi="Times New Roman"/>
          <w:i/>
          <w:sz w:val="18"/>
          <w:lang w:val="en-GB"/>
        </w:rPr>
        <w:t>Behavioural Przypadku on Konsument’ Engagement in the Circular Economy</w:t>
      </w:r>
      <w:r>
        <w:rPr>
          <w:rFonts w:ascii="Times New Roman" w:hAnsi="Times New Roman"/>
          <w:sz w:val="18"/>
          <w:lang w:val="en-GB"/>
        </w:rPr>
        <w:t>), październik 2018 r.</w:t>
      </w:r>
    </w:p>
  </w:footnote>
  <w:footnote w:id="27">
    <w:p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COM (2017) 637 final – 2015/0288 (COD), porozumienie polityczne osiągnięte w dniu 29 stycznia 2019 r., http://europa.eu/rapid/press-release_STATEMENT-19-742_pl.htm</w:t>
      </w:r>
    </w:p>
  </w:footnote>
  <w:footnote w:id="28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Pierwotny wniosek zaprezentowany w grudniu 2015 r. i zmieniony w 2017 r. celem rozszerzenia jego zakresu o sprzedaż poza internetem. </w:t>
      </w:r>
    </w:p>
  </w:footnote>
  <w:footnote w:id="29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Dalsze informacje na temat charakteru praktyk celowego przedwczesnego postarzania produktów oraz tego, w jaki sposób można im zaradzić, będą zbierane w ramach czteroletniego niezależnego programu badań „Horyzont 2020”, który będzie trwał do 2023 r. </w:t>
      </w:r>
    </w:p>
  </w:footnote>
  <w:footnote w:id="30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Rewizja rozporządzenia w sprawie współpracy w zakresie ochrony konsumentów i wnioski ustawodawcze w ramach nowego ładu dla konsumentów. </w:t>
      </w:r>
    </w:p>
  </w:footnote>
  <w:footnote w:id="31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Dyrektywa 2005/29/WE. </w:t>
      </w:r>
    </w:p>
  </w:footnote>
  <w:footnote w:id="32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</w:t>
      </w:r>
      <w:hyperlink r:id="rId5">
        <w:r>
          <w:rPr>
            <w:rStyle w:val="Hyperlink"/>
            <w:rFonts w:ascii="Times New Roman" w:hAnsi="Times New Roman"/>
            <w:sz w:val="18"/>
          </w:rPr>
          <w:t>http://ec.europa.eu/environment/gpp/pubs_en.htm</w:t>
        </w:r>
      </w:hyperlink>
      <w:r>
        <w:rPr>
          <w:rFonts w:ascii="Times New Roman" w:hAnsi="Times New Roman"/>
          <w:sz w:val="18"/>
        </w:rPr>
        <w:t xml:space="preserve"> </w:t>
      </w:r>
    </w:p>
  </w:footnote>
  <w:footnote w:id="33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</w:t>
      </w:r>
      <w:hyperlink r:id="rId6">
        <w:r>
          <w:rPr>
            <w:rStyle w:val="Hyperlink"/>
            <w:rFonts w:ascii="Times New Roman" w:hAnsi="Times New Roman"/>
            <w:sz w:val="18"/>
          </w:rPr>
          <w:t>http://ec.europa.eu/environment/emas/pdf/other/2018%2012%2007_ES%202018_Consolidated%20Volume.pdf</w:t>
        </w:r>
      </w:hyperlink>
      <w:r>
        <w:rPr>
          <w:rFonts w:ascii="Times New Roman" w:hAnsi="Times New Roman"/>
          <w:sz w:val="18"/>
        </w:rPr>
        <w:t xml:space="preserve"> </w:t>
      </w:r>
    </w:p>
  </w:footnote>
  <w:footnote w:id="34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>Dz.U. L 150 z 14.6.2018, s. 93, 100, 109, 141, dyrektywa 2008/98/WE w sprawie odpadów, dyrektywa 1999/31/WE w sprawie składowania odpadów, dyrektywa 94/62/WE w sprawie opakowań i odpadów opakowaniowych, dyrektywa 2000/53/WE w sprawie pojazdów wycofanych z eksploatacji, dyrektywa 2006/66/WE w sprawie baterii i akumulatorów oraz zużytych baterii i akumulatorów, dyrektywa 2012/19/UE w sprawie zużytego sprzętu elektrycznego i elektronicznego (WEEE).</w:t>
      </w:r>
    </w:p>
  </w:footnote>
  <w:footnote w:id="35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>Zgodnie z wymogami zmienionych przepisów dotyczących odpadów do 2030 r. 70 % wszystkich odpadów opakowaniowych, a do 2035 r. 65 % odpadów komunalnych powinno być poddawanych recyklingowi, a składowanie odpadów komunalnych ma zostać zmniejszone do 10 %. Wydłużenie tego okresu o 5 lat przewidziano w przypadku Bułgarii, Grecji, Chorwacji, Cypru, Łotwy, Litwy, Węgier, Malty, Rumunii i Słowacji.</w:t>
      </w:r>
    </w:p>
  </w:footnote>
  <w:footnote w:id="36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Sprawozdanie dotyczące systemu wczesnego ostrzegania, COM(2018) 656 final.</w:t>
      </w:r>
    </w:p>
  </w:footnote>
  <w:footnote w:id="37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COM(2017) 34 final, Znaczenie przetwarzania odpadów w energię w gospodarce o obiegu zamkniętym.</w:t>
      </w:r>
    </w:p>
  </w:footnote>
  <w:footnote w:id="38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Rozporządzenie nr 952/2013.</w:t>
      </w:r>
    </w:p>
  </w:footnote>
  <w:footnote w:id="39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Rozporządzenie nr 1013/2006.</w:t>
      </w:r>
    </w:p>
  </w:footnote>
  <w:footnote w:id="40">
    <w:p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>COM(2018) 33 – 2018/012 (COD), porozumienie polityczne osiągnięte w dniu 12 grudnia 2018 r., http://europa.eu/rapid/press-release_IP-18-6867_pl.htm</w:t>
      </w:r>
    </w:p>
  </w:footnote>
  <w:footnote w:id="41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COM(2016) 157, 2016/0084 (COD), porozumienie polityczne osiągnięte w dniu 12 grudnia 2018 r., http://europa.eu/rapid/press-release_IP-18-6161_en.htm</w:t>
      </w:r>
    </w:p>
  </w:footnote>
  <w:footnote w:id="42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  <w:lang w:val="pt-PT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  <w:lang w:val="pt-PT"/>
        </w:rPr>
        <w:t xml:space="preserve"> COM(2018) 772.</w:t>
      </w:r>
    </w:p>
  </w:footnote>
  <w:footnote w:id="43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  <w:lang w:val="pt-PT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  <w:lang w:val="pt-PT"/>
        </w:rPr>
        <w:t xml:space="preserve"> </w:t>
      </w:r>
      <w:hyperlink r:id="rId7">
        <w:r>
          <w:rPr>
            <w:rStyle w:val="Hyperlink"/>
            <w:rFonts w:ascii="Times New Roman" w:hAnsi="Times New Roman"/>
            <w:sz w:val="18"/>
            <w:lang w:val="pt-PT"/>
          </w:rPr>
          <w:t>http://rmis.jrc.ec.europa.eu/</w:t>
        </w:r>
      </w:hyperlink>
    </w:p>
  </w:footnote>
  <w:footnote w:id="44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  <w:lang w:val="pt-PT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  <w:lang w:val="pt-PT"/>
        </w:rPr>
        <w:t xml:space="preserve"> </w:t>
      </w:r>
      <w:hyperlink r:id="rId8">
        <w:r>
          <w:rPr>
            <w:rStyle w:val="Hyperlink"/>
            <w:rFonts w:ascii="Times New Roman" w:hAnsi="Times New Roman"/>
            <w:sz w:val="18"/>
            <w:lang w:val="pt-PT"/>
          </w:rPr>
          <w:t>http://rmis.jrc.ec.europa.eu/?page=contributions-of-h2020-projects-236032</w:t>
        </w:r>
      </w:hyperlink>
    </w:p>
  </w:footnote>
  <w:footnote w:id="45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COM(2018) 32.</w:t>
      </w:r>
    </w:p>
  </w:footnote>
  <w:footnote w:id="46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Konsultacje publiczne zakończono w październiku 2018 r.; otrzymano 460 odpowiedzi. Sprawozdanie zbiorcze z ich wyników zostanie przedstawione w 2019 r.</w:t>
      </w:r>
    </w:p>
  </w:footnote>
  <w:footnote w:id="47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https://i4r-platform.eu/</w:t>
      </w:r>
    </w:p>
  </w:footnote>
  <w:footnote w:id="48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  <w:lang w:val="pt-PT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  <w:lang w:val="pt-PT"/>
        </w:rPr>
        <w:t xml:space="preserve"> COM(2018) 36 final.</w:t>
      </w:r>
    </w:p>
  </w:footnote>
  <w:footnote w:id="49">
    <w:p>
      <w:pPr>
        <w:pStyle w:val="FootnoteText"/>
        <w:jc w:val="both"/>
        <w:rPr>
          <w:rFonts w:ascii="Times New Roman" w:hAnsi="Times New Roman" w:cs="Times New Roman"/>
          <w:sz w:val="18"/>
          <w:szCs w:val="18"/>
          <w:lang w:val="pt-PT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  <w:lang w:val="pt-PT"/>
        </w:rPr>
        <w:t xml:space="preserve"> COM(2018) 337 final 2018/0169 (COD).</w:t>
      </w:r>
    </w:p>
  </w:footnote>
  <w:footnote w:id="50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  <w:lang w:val="pt-PT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  <w:lang w:val="pt-PT"/>
        </w:rPr>
        <w:t xml:space="preserve"> </w:t>
      </w:r>
      <w:hyperlink r:id="rId9">
        <w:r>
          <w:rPr>
            <w:rStyle w:val="Hyperlink"/>
            <w:rFonts w:ascii="Times New Roman" w:hAnsi="Times New Roman"/>
            <w:sz w:val="18"/>
            <w:lang w:val="pt-PT"/>
          </w:rPr>
          <w:t>http://ec.europa.eu/environment/water/pdf/Guidelines_on_water_reuse.pdf</w:t>
        </w:r>
      </w:hyperlink>
    </w:p>
  </w:footnote>
  <w:footnote w:id="51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  <w:lang w:val="pt-PT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  <w:lang w:val="pt-PT"/>
        </w:rPr>
        <w:t xml:space="preserve"> COM(2018) 28.</w:t>
      </w:r>
    </w:p>
  </w:footnote>
  <w:footnote w:id="52">
    <w:p>
      <w:pPr>
        <w:pStyle w:val="FootnoteText"/>
        <w:jc w:val="both"/>
        <w:rPr>
          <w:rFonts w:ascii="Times New Roman" w:hAnsi="Times New Roman" w:cs="Times New Roman"/>
          <w:sz w:val="18"/>
          <w:szCs w:val="18"/>
          <w:highlight w:val="yellow"/>
          <w:lang w:val="pt-PT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  <w:lang w:val="pt-PT"/>
        </w:rPr>
        <w:t xml:space="preserve"> SWD(2019) 92.</w:t>
      </w:r>
    </w:p>
  </w:footnote>
  <w:footnote w:id="53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  <w:lang w:val="pt-PT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  <w:lang w:val="pt-PT"/>
        </w:rPr>
        <w:t xml:space="preserve"> </w:t>
      </w:r>
      <w:hyperlink r:id="rId10">
        <w:r>
          <w:rPr>
            <w:rStyle w:val="Hyperlink"/>
            <w:rFonts w:ascii="Times New Roman" w:hAnsi="Times New Roman"/>
            <w:sz w:val="18"/>
            <w:lang w:val="pt-PT"/>
          </w:rPr>
          <w:t>http://europa.eu/rapid/press-release_IP-18-6728_en.htm</w:t>
        </w:r>
      </w:hyperlink>
      <w:r>
        <w:rPr>
          <w:rFonts w:ascii="Times New Roman" w:hAnsi="Times New Roman"/>
          <w:sz w:val="18"/>
          <w:lang w:val="pt-PT"/>
        </w:rPr>
        <w:t xml:space="preserve"> </w:t>
      </w:r>
    </w:p>
  </w:footnote>
  <w:footnote w:id="54">
    <w:p>
      <w:pPr>
        <w:pStyle w:val="FootnoteText"/>
        <w:jc w:val="both"/>
        <w:rPr>
          <w:rFonts w:ascii="Times New Roman" w:hAnsi="Times New Roman" w:cs="Times New Roman"/>
          <w:sz w:val="18"/>
          <w:szCs w:val="18"/>
          <w:lang w:val="pt-PT"/>
        </w:rPr>
      </w:pPr>
      <w:r>
        <w:rPr>
          <w:rStyle w:val="FootnoteReference"/>
          <w:rFonts w:ascii="Times New Roman" w:hAnsi="Times New Roman"/>
          <w:sz w:val="18"/>
        </w:rPr>
        <w:footnoteRef/>
      </w:r>
      <w:hyperlink r:id="rId11">
        <w:r>
          <w:rPr>
            <w:rStyle w:val="Hyperlink"/>
            <w:rFonts w:ascii="Times New Roman" w:hAnsi="Times New Roman"/>
            <w:sz w:val="18"/>
            <w:lang w:val="pt-PT"/>
          </w:rPr>
          <w:t>https://ec.europa.eu/info/publications/circular-economy-plastics-insights-research-and-innovation-inform-policy-and-funding-decisions_en</w:t>
        </w:r>
      </w:hyperlink>
    </w:p>
  </w:footnote>
  <w:footnote w:id="55">
    <w:p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COM(2018) 340 final 2018/0172 (COD), wstępne porozumienie polityczne osiągnięte w dniu 19 grudnia 2018 r.: </w:t>
      </w:r>
      <w:hyperlink r:id="rId12">
        <w:r>
          <w:rPr>
            <w:rStyle w:val="Hyperlink"/>
            <w:rFonts w:ascii="Times New Roman" w:hAnsi="Times New Roman"/>
            <w:sz w:val="18"/>
          </w:rPr>
          <w:t>http://europa.eu/rapid/press-release_IP-18-6867_pl.htm</w:t>
        </w:r>
      </w:hyperlink>
      <w:r>
        <w:rPr>
          <w:rFonts w:ascii="Times New Roman" w:hAnsi="Times New Roman"/>
          <w:sz w:val="18"/>
        </w:rPr>
        <w:t xml:space="preserve"> </w:t>
      </w:r>
    </w:p>
  </w:footnote>
  <w:footnote w:id="56">
    <w:p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COM(2018) 368 final 2018/0193 (COD). </w:t>
      </w:r>
    </w:p>
  </w:footnote>
  <w:footnote w:id="57">
    <w:p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Sztućce, talerze, mieszadełka do napojów, patyczki do balonów i słomki z tworzyw sztucznych, pojemniki na żywność i napoje oraz kubki do napojów wykonane ze styropianu, patyczki higieniczne z tworzyw sztucznych. </w:t>
      </w:r>
    </w:p>
  </w:footnote>
  <w:footnote w:id="58">
    <w:p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Środki higieniczne, mokre chusteczki, kubki do napojów i wyroby tytoniowe z filtrami.</w:t>
      </w:r>
    </w:p>
  </w:footnote>
  <w:footnote w:id="59">
    <w:p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Według sprawozdania„Osiąganie wzrostu od wewnątrz” (ang.</w:t>
      </w:r>
      <w:r>
        <w:rPr>
          <w:rFonts w:ascii="Times New Roman" w:hAnsi="Times New Roman"/>
          <w:i/>
          <w:sz w:val="18"/>
        </w:rPr>
        <w:t xml:space="preserve"> Achieving Growth Within</w:t>
      </w:r>
      <w:r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color w:val="333333"/>
          <w:sz w:val="21"/>
        </w:rPr>
        <w:t xml:space="preserve"> </w:t>
      </w:r>
      <w:r>
        <w:rPr>
          <w:rFonts w:ascii="Times New Roman" w:hAnsi="Times New Roman"/>
          <w:sz w:val="18"/>
        </w:rPr>
        <w:t xml:space="preserve">(SYSTEMIQ we współpracy z Fundacją Ellen MacArthur) szacuje się, że do 2025 r. luka inwestycyjna wyniesie 320 mld EUR. </w:t>
      </w:r>
    </w:p>
  </w:footnote>
  <w:footnote w:id="60">
    <w:p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</w:t>
      </w:r>
      <w:hyperlink r:id="rId13">
        <w:r>
          <w:rPr>
            <w:rStyle w:val="Hyperlink"/>
            <w:rFonts w:ascii="Times New Roman" w:hAnsi="Times New Roman"/>
            <w:sz w:val="18"/>
          </w:rPr>
          <w:t>https://ec.europa.eu/research/environment/index.cfm?pg=output&amp;pubs=thematic</w:t>
        </w:r>
      </w:hyperlink>
    </w:p>
  </w:footnote>
  <w:footnote w:id="61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</w:t>
      </w:r>
      <w:hyperlink r:id="rId14">
        <w:r>
          <w:rPr>
            <w:rStyle w:val="Hyperlink"/>
            <w:rFonts w:ascii="Times New Roman" w:hAnsi="Times New Roman"/>
            <w:sz w:val="18"/>
          </w:rPr>
          <w:t>https://ec.europa.eu/info/publications/accelerating-transition-circular-economy_en</w:t>
        </w:r>
      </w:hyperlink>
    </w:p>
  </w:footnote>
  <w:footnote w:id="62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</w:t>
      </w:r>
      <w:hyperlink r:id="rId15">
        <w:r>
          <w:rPr>
            <w:rStyle w:val="Hyperlink"/>
            <w:rFonts w:ascii="Times New Roman" w:hAnsi="Times New Roman"/>
            <w:sz w:val="18"/>
          </w:rPr>
          <w:t>http://ec.europa.eu/transparency/regexpert/index.cfm?do=groupDetail.groupDetail&amp;groupID=3517&amp;Lang=PL</w:t>
        </w:r>
      </w:hyperlink>
      <w:r>
        <w:rPr>
          <w:rFonts w:ascii="Times New Roman" w:hAnsi="Times New Roman"/>
          <w:sz w:val="18"/>
        </w:rPr>
        <w:t xml:space="preserve"> </w:t>
      </w:r>
    </w:p>
  </w:footnote>
  <w:footnote w:id="63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COM(2018) 97. </w:t>
      </w:r>
    </w:p>
  </w:footnote>
  <w:footnote w:id="64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tab/>
      </w:r>
      <w:r>
        <w:rPr>
          <w:rFonts w:ascii="Times New Roman" w:hAnsi="Times New Roman"/>
          <w:sz w:val="18"/>
        </w:rPr>
        <w:t>Te dwa porozumienia obejmują beztlenową technologię membranową ponownego wykorzystania ścieków w rolnictwie i ponowne użycie baterii napędowych pod koniec przydatności do użycia jako stacjonarnego miejsca magazynowania energii. https://ec.europa.eu/info/research-and-innovation/law-and-regulations/innovation-friendly-legislation/identifying-barriers_en</w:t>
      </w:r>
    </w:p>
  </w:footnote>
  <w:footnote w:id="65">
    <w:p>
      <w:pPr>
        <w:pStyle w:val="FootnoteText"/>
        <w:jc w:val="both"/>
        <w:rPr>
          <w:rFonts w:ascii="Times New Roman" w:hAnsi="Times New Roman" w:cs="Times New Roman"/>
          <w:sz w:val="18"/>
          <w:szCs w:val="18"/>
          <w:lang w:val="pt-PT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  <w:lang w:val="pt-PT"/>
        </w:rPr>
        <w:t xml:space="preserve"> COM(2018) 372 final – 2018/0197 (COD).</w:t>
      </w:r>
    </w:p>
  </w:footnote>
  <w:footnote w:id="66">
    <w:p>
      <w:pPr>
        <w:pStyle w:val="FootnoteText"/>
        <w:jc w:val="both"/>
        <w:rPr>
          <w:rFonts w:ascii="Times New Roman" w:hAnsi="Times New Roman" w:cs="Times New Roman"/>
          <w:sz w:val="18"/>
          <w:szCs w:val="18"/>
          <w:lang w:val="pt-PT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  <w:lang w:val="pt-PT"/>
        </w:rPr>
        <w:t xml:space="preserve"> </w:t>
      </w:r>
      <w:hyperlink r:id="rId16">
        <w:r>
          <w:rPr>
            <w:rStyle w:val="Hyperlink"/>
            <w:rFonts w:ascii="Times New Roman" w:hAnsi="Times New Roman"/>
            <w:sz w:val="18"/>
            <w:lang w:val="pt-PT"/>
          </w:rPr>
          <w:t>https://thecirculars.org/our-finalists</w:t>
        </w:r>
      </w:hyperlink>
      <w:r>
        <w:rPr>
          <w:rFonts w:ascii="Times New Roman" w:hAnsi="Times New Roman"/>
          <w:sz w:val="18"/>
          <w:lang w:val="pt-PT"/>
        </w:rPr>
        <w:t xml:space="preserve"> </w:t>
      </w:r>
    </w:p>
  </w:footnote>
  <w:footnote w:id="67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  <w:lang w:val="pt-PT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  <w:lang w:val="pt-PT"/>
        </w:rPr>
        <w:t xml:space="preserve"> </w:t>
      </w:r>
      <w:hyperlink r:id="rId17">
        <w:r>
          <w:rPr>
            <w:rStyle w:val="Hyperlink"/>
            <w:rFonts w:ascii="Times New Roman" w:hAnsi="Times New Roman"/>
            <w:sz w:val="18"/>
            <w:lang w:val="pt-PT"/>
          </w:rPr>
          <w:t>https://circulareconomy.europa.eu/platform/sites/default/files/ecesp_annual_report_2018.pdf</w:t>
        </w:r>
      </w:hyperlink>
      <w:r>
        <w:rPr>
          <w:rFonts w:ascii="Times New Roman" w:hAnsi="Times New Roman"/>
          <w:sz w:val="18"/>
          <w:lang w:val="pt-PT"/>
        </w:rPr>
        <w:t xml:space="preserve"> </w:t>
      </w:r>
    </w:p>
  </w:footnote>
  <w:footnote w:id="68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  <w:lang w:val="pt-PT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  <w:lang w:val="pt-PT"/>
        </w:rPr>
        <w:t xml:space="preserve"> </w:t>
      </w:r>
      <w:hyperlink r:id="rId18">
        <w:r>
          <w:rPr>
            <w:rStyle w:val="Hyperlink"/>
            <w:rFonts w:ascii="Times New Roman" w:hAnsi="Times New Roman"/>
            <w:sz w:val="18"/>
            <w:lang w:val="pt-PT"/>
          </w:rPr>
          <w:t>https://ec.europa.eu/growth/content/eu-construction-and-demolition-waste-protocol-0_pl</w:t>
        </w:r>
      </w:hyperlink>
      <w:r>
        <w:rPr>
          <w:rFonts w:ascii="Times New Roman" w:hAnsi="Times New Roman"/>
          <w:sz w:val="18"/>
          <w:lang w:val="pt-PT"/>
        </w:rPr>
        <w:t xml:space="preserve"> </w:t>
      </w:r>
    </w:p>
  </w:footnote>
  <w:footnote w:id="69">
    <w:p>
      <w:pPr>
        <w:pStyle w:val="FootnoteText"/>
        <w:jc w:val="both"/>
        <w:rPr>
          <w:rFonts w:ascii="Times New Roman" w:hAnsi="Times New Roman" w:cs="Times New Roman"/>
          <w:sz w:val="18"/>
          <w:szCs w:val="18"/>
          <w:lang w:val="pt-PT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  <w:lang w:val="pt-PT"/>
        </w:rPr>
        <w:t xml:space="preserve"> </w:t>
      </w:r>
      <w:hyperlink r:id="rId19">
        <w:r>
          <w:rPr>
            <w:rStyle w:val="Hyperlink"/>
            <w:rFonts w:ascii="Times New Roman" w:hAnsi="Times New Roman"/>
            <w:sz w:val="18"/>
            <w:lang w:val="pt-PT"/>
          </w:rPr>
          <w:t>http://ec.europa.eu/environment/eussd/buildings.htm</w:t>
        </w:r>
      </w:hyperlink>
      <w:r>
        <w:rPr>
          <w:rFonts w:ascii="Times New Roman" w:hAnsi="Times New Roman"/>
          <w:sz w:val="18"/>
          <w:lang w:val="pt-PT"/>
        </w:rPr>
        <w:t xml:space="preserve"> </w:t>
      </w:r>
    </w:p>
  </w:footnote>
  <w:footnote w:id="70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Misje dotyczące gospodarki o obiegu zamkniętym w Chile i Chinach (2016 r.), Republice Południowej Afryki i Kolumbii (2017 r.), Japonii i Indonezji oraz Indiach (2018 r.).</w:t>
      </w:r>
    </w:p>
  </w:footnote>
  <w:footnote w:id="71">
    <w:p>
      <w:pPr>
        <w:pStyle w:val="FootnoteText"/>
        <w:rPr>
          <w:lang w:val="et-E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18"/>
        </w:rPr>
        <w:t>COM(2019) 22.</w:t>
      </w:r>
      <w:r>
        <w:t xml:space="preserve"> </w:t>
      </w:r>
    </w:p>
  </w:footnote>
  <w:footnote w:id="72">
    <w:p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Aby przyspieszyć rozwój gospodarki o obiegu zamkniętym, szczególną uwagę należy również poświęcić regionom o szczególnych cechach powodujących poważne wyzwania pod względem ochrony środowiska i zasobów, na przykład w dziedzinie gospodarki odpadami, takim jak wyspy lub regiony najbardziej oddalone w UE. </w:t>
      </w:r>
    </w:p>
  </w:footnote>
  <w:footnote w:id="73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Tworzywa sztuczne, odpady spożywcze, surowce krytyczne, budowa i rozbiórka oraz biomasa i bioprodukty.</w:t>
      </w:r>
    </w:p>
  </w:footnote>
  <w:footnote w:id="74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COM(2018) 772.</w:t>
      </w:r>
    </w:p>
  </w:footnote>
  <w:footnote w:id="75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COM(2018) 673 final.</w:t>
      </w:r>
    </w:p>
  </w:footnote>
  <w:footnote w:id="76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Dz.U. L 328 z 21.12.2018, s. 82, dyrektywa 2018/2001 w sprawie promowania stosowania energii ze źródeł odnawialnych.</w:t>
      </w:r>
    </w:p>
  </w:footnote>
  <w:footnote w:id="77">
    <w:p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COM(2018) 773 final.</w:t>
      </w:r>
    </w:p>
  </w:footnote>
  <w:footnote w:id="78">
    <w:p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COM(2017) 479 final, Inwestowanie w inteligentny, innowacyjny i zrównoważony przemysł – Odnowiona strategia dotycząca polityki przemysłowej UE.</w:t>
      </w:r>
    </w:p>
  </w:footnote>
  <w:footnote w:id="79">
    <w:p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COM(2015) 192 final, Strategia jednolitego rynku cyfrowego dla Europy.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4D7"/>
    <w:multiLevelType w:val="multilevel"/>
    <w:tmpl w:val="82941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48770A"/>
    <w:multiLevelType w:val="hybridMultilevel"/>
    <w:tmpl w:val="3E8AA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12FB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0A3725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4996626"/>
    <w:multiLevelType w:val="hybridMultilevel"/>
    <w:tmpl w:val="167E1E8A"/>
    <w:lvl w:ilvl="0" w:tplc="1F961EDC">
      <w:start w:val="1"/>
      <w:numFmt w:val="bullet"/>
      <w:pStyle w:val="Briefinglist1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b w:val="0"/>
        <w:i w:val="0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17432D9D"/>
    <w:multiLevelType w:val="hybridMultilevel"/>
    <w:tmpl w:val="3702C548"/>
    <w:lvl w:ilvl="0" w:tplc="19A4FD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E315AD"/>
    <w:multiLevelType w:val="hybridMultilevel"/>
    <w:tmpl w:val="F49A3F54"/>
    <w:lvl w:ilvl="0" w:tplc="37985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47AD0"/>
    <w:multiLevelType w:val="hybridMultilevel"/>
    <w:tmpl w:val="ACBAF5FC"/>
    <w:lvl w:ilvl="0" w:tplc="19A4F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AA6280"/>
    <w:multiLevelType w:val="hybridMultilevel"/>
    <w:tmpl w:val="47F28882"/>
    <w:lvl w:ilvl="0" w:tplc="F3DAA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AD404E"/>
    <w:multiLevelType w:val="hybridMultilevel"/>
    <w:tmpl w:val="49188170"/>
    <w:lvl w:ilvl="0" w:tplc="19A4F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434BE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DAA307A"/>
    <w:multiLevelType w:val="hybridMultilevel"/>
    <w:tmpl w:val="D0E0B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7F33D2"/>
    <w:multiLevelType w:val="hybridMultilevel"/>
    <w:tmpl w:val="9B1AD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8702B9"/>
    <w:multiLevelType w:val="hybridMultilevel"/>
    <w:tmpl w:val="0DA6E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9457A4"/>
    <w:multiLevelType w:val="hybridMultilevel"/>
    <w:tmpl w:val="9FB0B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141883"/>
    <w:multiLevelType w:val="hybridMultilevel"/>
    <w:tmpl w:val="FE70B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233C87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716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>
    <w:nsid w:val="2BA231D1"/>
    <w:multiLevelType w:val="hybridMultilevel"/>
    <w:tmpl w:val="B5586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C94738"/>
    <w:multiLevelType w:val="hybridMultilevel"/>
    <w:tmpl w:val="0BECBE0E"/>
    <w:lvl w:ilvl="0" w:tplc="5F28F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5F42B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8060B83"/>
    <w:multiLevelType w:val="hybridMultilevel"/>
    <w:tmpl w:val="39B67B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C59B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E5E65CC"/>
    <w:multiLevelType w:val="hybridMultilevel"/>
    <w:tmpl w:val="B9DA58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805F3"/>
    <w:multiLevelType w:val="hybridMultilevel"/>
    <w:tmpl w:val="C22A7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995795"/>
    <w:multiLevelType w:val="hybridMultilevel"/>
    <w:tmpl w:val="53484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CD1029"/>
    <w:multiLevelType w:val="hybridMultilevel"/>
    <w:tmpl w:val="56881FB8"/>
    <w:lvl w:ilvl="0" w:tplc="19A4F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2F031A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>
    <w:nsid w:val="48B64198"/>
    <w:multiLevelType w:val="hybridMultilevel"/>
    <w:tmpl w:val="69E4CE76"/>
    <w:lvl w:ilvl="0" w:tplc="F3DAA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396560"/>
    <w:multiLevelType w:val="hybridMultilevel"/>
    <w:tmpl w:val="DF0EBF2A"/>
    <w:lvl w:ilvl="0" w:tplc="5F28F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6A681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DDF1948"/>
    <w:multiLevelType w:val="hybridMultilevel"/>
    <w:tmpl w:val="2D5CA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922EA6"/>
    <w:multiLevelType w:val="hybridMultilevel"/>
    <w:tmpl w:val="4D285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FA0D94"/>
    <w:multiLevelType w:val="hybridMultilevel"/>
    <w:tmpl w:val="DA98995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3E535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1AF392E"/>
    <w:multiLevelType w:val="hybridMultilevel"/>
    <w:tmpl w:val="C0588E1A"/>
    <w:lvl w:ilvl="0" w:tplc="276E0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D24EEC">
      <w:start w:val="27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A27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965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6612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308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722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FA4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DA6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6630022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81D65D3"/>
    <w:multiLevelType w:val="hybridMultilevel"/>
    <w:tmpl w:val="4E4AD9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A2726E1"/>
    <w:multiLevelType w:val="hybridMultilevel"/>
    <w:tmpl w:val="7C8206E0"/>
    <w:lvl w:ilvl="0" w:tplc="19A4F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BE392D"/>
    <w:multiLevelType w:val="hybridMultilevel"/>
    <w:tmpl w:val="1652C288"/>
    <w:lvl w:ilvl="0" w:tplc="78E0C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DC2997"/>
    <w:multiLevelType w:val="hybridMultilevel"/>
    <w:tmpl w:val="7E867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742A81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>
    <w:nsid w:val="71121FB1"/>
    <w:multiLevelType w:val="hybridMultilevel"/>
    <w:tmpl w:val="1C6E0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D80474"/>
    <w:multiLevelType w:val="hybridMultilevel"/>
    <w:tmpl w:val="E8BE54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EA0CEF"/>
    <w:multiLevelType w:val="multilevel"/>
    <w:tmpl w:val="A2D698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7C23269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EE56BCD"/>
    <w:multiLevelType w:val="hybridMultilevel"/>
    <w:tmpl w:val="CAA4B4BE"/>
    <w:lvl w:ilvl="0" w:tplc="19A4F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42"/>
  </w:num>
  <w:num w:numId="4">
    <w:abstractNumId w:val="12"/>
  </w:num>
  <w:num w:numId="5">
    <w:abstractNumId w:val="11"/>
  </w:num>
  <w:num w:numId="6">
    <w:abstractNumId w:val="1"/>
  </w:num>
  <w:num w:numId="7">
    <w:abstractNumId w:val="44"/>
  </w:num>
  <w:num w:numId="8">
    <w:abstractNumId w:val="21"/>
  </w:num>
  <w:num w:numId="9">
    <w:abstractNumId w:val="3"/>
  </w:num>
  <w:num w:numId="10">
    <w:abstractNumId w:val="33"/>
  </w:num>
  <w:num w:numId="11">
    <w:abstractNumId w:val="32"/>
  </w:num>
  <w:num w:numId="12">
    <w:abstractNumId w:val="43"/>
  </w:num>
  <w:num w:numId="13">
    <w:abstractNumId w:val="4"/>
  </w:num>
  <w:num w:numId="14">
    <w:abstractNumId w:val="24"/>
  </w:num>
  <w:num w:numId="15">
    <w:abstractNumId w:val="34"/>
  </w:num>
  <w:num w:numId="16">
    <w:abstractNumId w:val="38"/>
  </w:num>
  <w:num w:numId="17">
    <w:abstractNumId w:val="27"/>
  </w:num>
  <w:num w:numId="18">
    <w:abstractNumId w:val="8"/>
  </w:num>
  <w:num w:numId="19">
    <w:abstractNumId w:val="15"/>
  </w:num>
  <w:num w:numId="20">
    <w:abstractNumId w:val="35"/>
  </w:num>
  <w:num w:numId="21">
    <w:abstractNumId w:val="26"/>
  </w:num>
  <w:num w:numId="22">
    <w:abstractNumId w:val="29"/>
  </w:num>
  <w:num w:numId="23">
    <w:abstractNumId w:val="19"/>
  </w:num>
  <w:num w:numId="24">
    <w:abstractNumId w:val="23"/>
  </w:num>
  <w:num w:numId="25">
    <w:abstractNumId w:val="36"/>
  </w:num>
  <w:num w:numId="26">
    <w:abstractNumId w:val="20"/>
  </w:num>
  <w:num w:numId="27">
    <w:abstractNumId w:val="10"/>
  </w:num>
  <w:num w:numId="28">
    <w:abstractNumId w:val="31"/>
  </w:num>
  <w:num w:numId="29">
    <w:abstractNumId w:val="0"/>
  </w:num>
  <w:num w:numId="30">
    <w:abstractNumId w:val="40"/>
  </w:num>
  <w:num w:numId="31">
    <w:abstractNumId w:val="13"/>
  </w:num>
  <w:num w:numId="32">
    <w:abstractNumId w:val="18"/>
  </w:num>
  <w:num w:numId="33">
    <w:abstractNumId w:val="22"/>
  </w:num>
  <w:num w:numId="34">
    <w:abstractNumId w:val="16"/>
  </w:num>
  <w:num w:numId="35">
    <w:abstractNumId w:val="39"/>
  </w:num>
  <w:num w:numId="36">
    <w:abstractNumId w:val="17"/>
  </w:num>
  <w:num w:numId="37">
    <w:abstractNumId w:val="41"/>
  </w:num>
  <w:num w:numId="38">
    <w:abstractNumId w:val="14"/>
  </w:num>
  <w:num w:numId="39">
    <w:abstractNumId w:val="45"/>
  </w:num>
  <w:num w:numId="40">
    <w:abstractNumId w:val="7"/>
  </w:num>
  <w:num w:numId="41">
    <w:abstractNumId w:val="25"/>
  </w:num>
  <w:num w:numId="42">
    <w:abstractNumId w:val="5"/>
  </w:num>
  <w:num w:numId="43">
    <w:abstractNumId w:val="9"/>
  </w:num>
  <w:num w:numId="44">
    <w:abstractNumId w:val="37"/>
  </w:num>
  <w:num w:numId="45">
    <w:abstractNumId w:val="6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revisionView w:markup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C2CD867E-D48E-4FFE-877C-FAEAAAE7228F"/>
    <w:docVar w:name="LW_COVERPAGE_TYPE" w:val="1"/>
    <w:docVar w:name="LW_CROSSREFERENCE" w:val="{SWD(2019) 90 final}"/>
    <w:docVar w:name="LW_DocType" w:val="NORMAL"/>
    <w:docVar w:name="LW_EMISSION" w:val="4.3.2019"/>
    <w:docVar w:name="LW_EMISSION_ISODATE" w:val="2019-03-04"/>
    <w:docVar w:name="LW_EMISSION_LOCATION" w:val="BRX"/>
    <w:docVar w:name="LW_EMISSION_PREFIX" w:val="Bruksela, dnia "/>
    <w:docVar w:name="LW_EMISSION_SUFFIX" w:val=" r."/>
    <w:docVar w:name="LW_ID_DOCTYPE_NONLW" w:val="CP-008"/>
    <w:docVar w:name="LW_LANGUE" w:val="PL"/>
    <w:docVar w:name="LW_LEVEL_OF_SENSITIVITY" w:val="Standard treatment"/>
    <w:docVar w:name="LW_NOM.INST" w:val="KOMISJA EUROPEJSKA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19) 190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ITRE.OBJ.CP" w:val="z wdra\u380?ania planu dzia\u322?ania dotycz\u261?cego gospodarki o obiegu zamkni\u281?tym_x000d__x000d__x000d__x000d__x000d__x000d__x000b_ "/>
    <w:docVar w:name="LW_TYPE.DOC.CP" w:val="SPRAWOZDANIE KOMISJI DLA PARLAMENTU EUROPEJSKIEGO, RADY, EUROPEJSKIEGO KOMITETU EKONOMICZNO-SPO\u321?ECZNEGO I KOMITETU REGIONÓW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0" w:unhideWhenUsed="0" w:qFormat="1"/>
    <w:lsdException w:name="heading 2" w:uiPriority="90" w:qFormat="1"/>
    <w:lsdException w:name="heading 3" w:uiPriority="9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0"/>
    <w:qFormat/>
    <w:pPr>
      <w:keepNext/>
      <w:numPr>
        <w:numId w:val="34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0"/>
    <w:qFormat/>
    <w:pPr>
      <w:keepNext/>
      <w:numPr>
        <w:ilvl w:val="1"/>
        <w:numId w:val="34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0"/>
    <w:qFormat/>
    <w:pPr>
      <w:keepNext/>
      <w:numPr>
        <w:ilvl w:val="2"/>
        <w:numId w:val="34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3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3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3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3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3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3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styleId="FootnoteText">
    <w:name w:val="footnote text"/>
    <w:aliases w:val="Footnote text,fn,Schriftart: 9 pt,Schriftart: 10 pt,Schriftart: 8 pt,WB-Fußnotentext,Voetnoottekst Char,Voetnoottekst Char1,Voetnoottekst Char2 Char Char,Voetnoottekst Char Char1 Char Char,Voetnoottekst Char1 Char Char Char Char,ft,Fußnote"/>
    <w:basedOn w:val="Normal"/>
    <w:link w:val="FootnoteTextChar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Char,fn Char,Schriftart: 9 pt Char,Schriftart: 10 pt Char,Schriftart: 8 pt Char,WB-Fußnotentext Char,Voetnoottekst Char Char,Voetnoottekst Char1 Char,Voetnoottekst Char2 Char Char Char,ft Char,Fußnote Char"/>
    <w:basedOn w:val="DefaultParagraphFont"/>
    <w:link w:val="FootnoteText"/>
    <w:uiPriority w:val="99"/>
    <w:qFormat/>
    <w:rPr>
      <w:sz w:val="20"/>
      <w:szCs w:val="20"/>
      <w:lang w:val="pl-PL"/>
    </w:rPr>
  </w:style>
  <w:style w:type="character" w:styleId="FootnoteReference">
    <w:name w:val="footnote reference"/>
    <w:aliases w:val="Footnote Reference Superscript,BVI fnr,Footnote symbol,Footnote reference number,number,note TESI,SUPERS,EN Footnote Reference,Times 10 Point,Exposant 3 Point,Footnote Reference_LVL6,Footnote,Footnote number, BVI fnr,Nota,Ref,o"/>
    <w:basedOn w:val="DefaultParagraphFont"/>
    <w:uiPriority w:val="99"/>
    <w:unhideWhenUsed/>
    <w:qFormat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pl-PL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reference0">
    <w:name w:val="footnotereference"/>
    <w:basedOn w:val="DefaultParagraphFont"/>
  </w:style>
  <w:style w:type="paragraph" w:styleId="ListBullet">
    <w:name w:val="List Bullet"/>
    <w:basedOn w:val="Normal"/>
    <w:pPr>
      <w:tabs>
        <w:tab w:val="num" w:pos="283"/>
      </w:tabs>
      <w:spacing w:after="24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pl-PL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0"/>
    <w:rPr>
      <w:rFonts w:ascii="Times New Roman" w:eastAsia="Times New Roman" w:hAnsi="Times New Roman" w:cs="Times New Roman"/>
      <w:b/>
      <w:smallCaps/>
      <w:sz w:val="24"/>
      <w:szCs w:val="20"/>
      <w:lang w:val="pl-PL" w:eastAsia="pl-PL"/>
    </w:rPr>
  </w:style>
  <w:style w:type="character" w:customStyle="1" w:styleId="Heading2Char">
    <w:name w:val="Heading 2 Char"/>
    <w:basedOn w:val="DefaultParagraphFont"/>
    <w:link w:val="Heading2"/>
    <w:uiPriority w:val="90"/>
    <w:rPr>
      <w:rFonts w:ascii="Times New Roman" w:eastAsia="Times New Roman" w:hAnsi="Times New Roman" w:cs="Times New Roman"/>
      <w:b/>
      <w:sz w:val="24"/>
      <w:szCs w:val="20"/>
      <w:lang w:val="pl-PL" w:eastAsia="pl-PL"/>
    </w:rPr>
  </w:style>
  <w:style w:type="character" w:customStyle="1" w:styleId="Heading3Char">
    <w:name w:val="Heading 3 Char"/>
    <w:basedOn w:val="DefaultParagraphFont"/>
    <w:link w:val="Heading3"/>
    <w:uiPriority w:val="90"/>
    <w:rPr>
      <w:rFonts w:ascii="Times New Roman" w:eastAsia="Times New Roman" w:hAnsi="Times New Roman" w:cs="Times New Roman"/>
      <w:i/>
      <w:sz w:val="24"/>
      <w:szCs w:val="20"/>
      <w:lang w:val="pl-PL" w:eastAsia="pl-PL"/>
    </w:rPr>
  </w:style>
  <w:style w:type="paragraph" w:customStyle="1" w:styleId="Briefinglist1">
    <w:name w:val="Briefing list 1"/>
    <w:basedOn w:val="Normal"/>
    <w:link w:val="Briefinglist1Char"/>
    <w:qFormat/>
    <w:pPr>
      <w:keepLines/>
      <w:numPr>
        <w:numId w:val="13"/>
      </w:numPr>
      <w:spacing w:after="12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Briefinglist1Char">
    <w:name w:val="Briefing list 1 Char"/>
    <w:link w:val="Briefinglist1"/>
    <w:locked/>
    <w:rPr>
      <w:rFonts w:ascii="Arial" w:eastAsia="Times New Roman" w:hAnsi="Arial" w:cs="Arial"/>
      <w:szCs w:val="24"/>
    </w:rPr>
  </w:style>
  <w:style w:type="paragraph" w:styleId="NormalWeb">
    <w:name w:val="Normal (Web)"/>
    <w:basedOn w:val="Normal"/>
    <w:uiPriority w:val="99"/>
    <w:unhideWhenUsed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Briefingtext">
    <w:name w:val="Briefing text"/>
    <w:basedOn w:val="Normal"/>
    <w:link w:val="BriefingtextChar"/>
    <w:pPr>
      <w:spacing w:after="24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BriefingtextChar">
    <w:name w:val="Briefing text Char"/>
    <w:link w:val="Briefingtext"/>
    <w:rPr>
      <w:rFonts w:ascii="Arial" w:eastAsia="Times New Roman" w:hAnsi="Arial" w:cs="Arial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Roboto Bk" w:hAnsi="Roboto Bk" w:cs="Roboto B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0" w:unhideWhenUsed="0" w:qFormat="1"/>
    <w:lsdException w:name="heading 2" w:uiPriority="90" w:qFormat="1"/>
    <w:lsdException w:name="heading 3" w:uiPriority="9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0"/>
    <w:qFormat/>
    <w:pPr>
      <w:keepNext/>
      <w:numPr>
        <w:numId w:val="34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0"/>
    <w:qFormat/>
    <w:pPr>
      <w:keepNext/>
      <w:numPr>
        <w:ilvl w:val="1"/>
        <w:numId w:val="34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0"/>
    <w:qFormat/>
    <w:pPr>
      <w:keepNext/>
      <w:numPr>
        <w:ilvl w:val="2"/>
        <w:numId w:val="34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3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3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3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3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3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3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styleId="FootnoteText">
    <w:name w:val="footnote text"/>
    <w:aliases w:val="Footnote text,fn,Schriftart: 9 pt,Schriftart: 10 pt,Schriftart: 8 pt,WB-Fußnotentext,Voetnoottekst Char,Voetnoottekst Char1,Voetnoottekst Char2 Char Char,Voetnoottekst Char Char1 Char Char,Voetnoottekst Char1 Char Char Char Char,ft,Fußnote"/>
    <w:basedOn w:val="Normal"/>
    <w:link w:val="FootnoteTextChar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Char,fn Char,Schriftart: 9 pt Char,Schriftart: 10 pt Char,Schriftart: 8 pt Char,WB-Fußnotentext Char,Voetnoottekst Char Char,Voetnoottekst Char1 Char,Voetnoottekst Char2 Char Char Char,ft Char,Fußnote Char"/>
    <w:basedOn w:val="DefaultParagraphFont"/>
    <w:link w:val="FootnoteText"/>
    <w:uiPriority w:val="99"/>
    <w:qFormat/>
    <w:rPr>
      <w:sz w:val="20"/>
      <w:szCs w:val="20"/>
      <w:lang w:val="pl-PL"/>
    </w:rPr>
  </w:style>
  <w:style w:type="character" w:styleId="FootnoteReference">
    <w:name w:val="footnote reference"/>
    <w:aliases w:val="Footnote Reference Superscript,BVI fnr,Footnote symbol,Footnote reference number,number,note TESI,SUPERS,EN Footnote Reference,Times 10 Point,Exposant 3 Point,Footnote Reference_LVL6,Footnote,Footnote number, BVI fnr,Nota,Ref,o"/>
    <w:basedOn w:val="DefaultParagraphFont"/>
    <w:uiPriority w:val="99"/>
    <w:unhideWhenUsed/>
    <w:qFormat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pl-PL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reference0">
    <w:name w:val="footnotereference"/>
    <w:basedOn w:val="DefaultParagraphFont"/>
  </w:style>
  <w:style w:type="paragraph" w:styleId="ListBullet">
    <w:name w:val="List Bullet"/>
    <w:basedOn w:val="Normal"/>
    <w:pPr>
      <w:tabs>
        <w:tab w:val="num" w:pos="283"/>
      </w:tabs>
      <w:spacing w:after="24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pl-PL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0"/>
    <w:rPr>
      <w:rFonts w:ascii="Times New Roman" w:eastAsia="Times New Roman" w:hAnsi="Times New Roman" w:cs="Times New Roman"/>
      <w:b/>
      <w:smallCaps/>
      <w:sz w:val="24"/>
      <w:szCs w:val="20"/>
      <w:lang w:val="pl-PL" w:eastAsia="pl-PL"/>
    </w:rPr>
  </w:style>
  <w:style w:type="character" w:customStyle="1" w:styleId="Heading2Char">
    <w:name w:val="Heading 2 Char"/>
    <w:basedOn w:val="DefaultParagraphFont"/>
    <w:link w:val="Heading2"/>
    <w:uiPriority w:val="90"/>
    <w:rPr>
      <w:rFonts w:ascii="Times New Roman" w:eastAsia="Times New Roman" w:hAnsi="Times New Roman" w:cs="Times New Roman"/>
      <w:b/>
      <w:sz w:val="24"/>
      <w:szCs w:val="20"/>
      <w:lang w:val="pl-PL" w:eastAsia="pl-PL"/>
    </w:rPr>
  </w:style>
  <w:style w:type="character" w:customStyle="1" w:styleId="Heading3Char">
    <w:name w:val="Heading 3 Char"/>
    <w:basedOn w:val="DefaultParagraphFont"/>
    <w:link w:val="Heading3"/>
    <w:uiPriority w:val="90"/>
    <w:rPr>
      <w:rFonts w:ascii="Times New Roman" w:eastAsia="Times New Roman" w:hAnsi="Times New Roman" w:cs="Times New Roman"/>
      <w:i/>
      <w:sz w:val="24"/>
      <w:szCs w:val="20"/>
      <w:lang w:val="pl-PL" w:eastAsia="pl-PL"/>
    </w:rPr>
  </w:style>
  <w:style w:type="paragraph" w:customStyle="1" w:styleId="Briefinglist1">
    <w:name w:val="Briefing list 1"/>
    <w:basedOn w:val="Normal"/>
    <w:link w:val="Briefinglist1Char"/>
    <w:qFormat/>
    <w:pPr>
      <w:keepLines/>
      <w:numPr>
        <w:numId w:val="13"/>
      </w:numPr>
      <w:spacing w:after="12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Briefinglist1Char">
    <w:name w:val="Briefing list 1 Char"/>
    <w:link w:val="Briefinglist1"/>
    <w:locked/>
    <w:rPr>
      <w:rFonts w:ascii="Arial" w:eastAsia="Times New Roman" w:hAnsi="Arial" w:cs="Arial"/>
      <w:szCs w:val="24"/>
    </w:rPr>
  </w:style>
  <w:style w:type="paragraph" w:styleId="NormalWeb">
    <w:name w:val="Normal (Web)"/>
    <w:basedOn w:val="Normal"/>
    <w:uiPriority w:val="99"/>
    <w:unhideWhenUsed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Briefingtext">
    <w:name w:val="Briefing text"/>
    <w:basedOn w:val="Normal"/>
    <w:link w:val="BriefingtextChar"/>
    <w:pPr>
      <w:spacing w:after="24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BriefingtextChar">
    <w:name w:val="Briefing text Char"/>
    <w:link w:val="Briefingtext"/>
    <w:rPr>
      <w:rFonts w:ascii="Arial" w:eastAsia="Times New Roman" w:hAnsi="Arial" w:cs="Arial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Roboto Bk" w:hAnsi="Roboto Bk" w:cs="Roboto B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0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footnotes.xml.rels><?xml version='1.0' encoding='UTF-8' standalone='yes'?>
<Relationships xmlns="http://schemas.openxmlformats.org/package/2006/relationships"><Relationship Id="rId8" Type="http://schemas.openxmlformats.org/officeDocument/2006/relationships/hyperlink" Target="http://rmis.jrc.ec.europa.eu/?page=contributions-of-h2020-projects-236032" TargetMode="External"/><Relationship Id="rId13" Type="http://schemas.openxmlformats.org/officeDocument/2006/relationships/hyperlink" Target="https://ec.europa.eu/research/environment/index.cfm?pg=output&amp;pubs=thematic" TargetMode="External"/><Relationship Id="rId18" Type="http://schemas.openxmlformats.org/officeDocument/2006/relationships/hyperlink" Target="https://ec.europa.eu/growth/content/eu-construction-and-demolition-waste-protocol-0_pl" TargetMode="External"/><Relationship Id="rId3" Type="http://schemas.openxmlformats.org/officeDocument/2006/relationships/hyperlink" Target="https://ec.europa.eu/eurostat/web/circular-economy" TargetMode="External"/><Relationship Id="rId7" Type="http://schemas.openxmlformats.org/officeDocument/2006/relationships/hyperlink" Target="http://rmis.jrc.ec.europa.eu/" TargetMode="External"/><Relationship Id="rId12" Type="http://schemas.openxmlformats.org/officeDocument/2006/relationships/hyperlink" Target="http://europa.eu/rapid/press-release_IP-18-6867_pl.htm" TargetMode="External"/><Relationship Id="rId17" Type="http://schemas.openxmlformats.org/officeDocument/2006/relationships/hyperlink" Target="https://circulareconomy.europa.eu/platform/sites/default/files/ecesp_annual_report_2018.pdf" TargetMode="External"/><Relationship Id="rId2" Type="http://schemas.openxmlformats.org/officeDocument/2006/relationships/hyperlink" Target="https://ec.europa.eu/eurostat/tgm/table.do?tab=table&amp;init=1&amp;language=en&amp;pcode=cei_srm030&amp;plugin=1" TargetMode="External"/><Relationship Id="rId16" Type="http://schemas.openxmlformats.org/officeDocument/2006/relationships/hyperlink" Target="https://thecirculars.org/our-finalists" TargetMode="External"/><Relationship Id="rId1" Type="http://schemas.openxmlformats.org/officeDocument/2006/relationships/hyperlink" Target="https://ec.europa.eu/eurostat/tgm/refreshTableAction.do?tab=table&amp;plugin=1&amp;pcode=cei_cie010&amp;language=en" TargetMode="External"/><Relationship Id="rId6" Type="http://schemas.openxmlformats.org/officeDocument/2006/relationships/hyperlink" Target="http://ec.europa.eu/environment/emas/pdf/other/2018%2012%2007_ES%202018_Consolidated%20Volume.pdf" TargetMode="External"/><Relationship Id="rId11" Type="http://schemas.openxmlformats.org/officeDocument/2006/relationships/hyperlink" Target="https://ec.europa.eu/info/publications/circular-economy-plastics-insights-research-and-innovation-inform-policy-and-funding-decisions_en" TargetMode="External"/><Relationship Id="rId5" Type="http://schemas.openxmlformats.org/officeDocument/2006/relationships/hyperlink" Target="http://ec.europa.eu/environment/gpp/pubs_en.htm" TargetMode="External"/><Relationship Id="rId15" Type="http://schemas.openxmlformats.org/officeDocument/2006/relationships/hyperlink" Target="http://ec.europa.eu/transparency/regexpert/index.cfm?do=groupDetail.groupDetail&amp;groupID=3517&amp;Lang=PL" TargetMode="External"/><Relationship Id="rId10" Type="http://schemas.openxmlformats.org/officeDocument/2006/relationships/hyperlink" Target="http://europa.eu/rapid/press-release_IP-18-6728_en.htm" TargetMode="External"/><Relationship Id="rId19" Type="http://schemas.openxmlformats.org/officeDocument/2006/relationships/hyperlink" Target="http://ec.europa.eu/environment/eussd/buildings.htm" TargetMode="External"/><Relationship Id="rId4" Type="http://schemas.openxmlformats.org/officeDocument/2006/relationships/hyperlink" Target="http://www.europarl.europa.eu/cmsdata/103519/06%2007%20-%20Coordinators%20Results.pdf" TargetMode="External"/><Relationship Id="rId9" Type="http://schemas.openxmlformats.org/officeDocument/2006/relationships/hyperlink" Target="http://ec.europa.eu/environment/water/pdf/Guidelines_on_water_reuse.pdf" TargetMode="External"/><Relationship Id="rId14" Type="http://schemas.openxmlformats.org/officeDocument/2006/relationships/hyperlink" Target="https://ec.europa.eu/info/publications/accelerating-transition-circular-economy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vered_x0020_in_x0020_CEIR_x0020_draft xmlns="2e9ce1a0-0ccf-4233-925b-448ee848baaa">false</Covered_x0020_in_x0020_CEIR_x0020_draft>
    <EC_Collab_Reference xmlns="2e9ce1a0-0ccf-4233-925b-448ee848baaa" xsi:nil="true"/>
    <_Status xmlns="http://schemas.microsoft.com/sharepoint/v3/fields">Not Started</_Status>
    <Nature_x0020_of_x0020_the_x0020_document xmlns="2e9ce1a0-0ccf-4233-925b-448ee848baaa">Approved version</Nature_x0020_of_x0020_the_x0020_document>
    <EC_Collab_DocumentLanguage xmlns="2e9ce1a0-0ccf-4233-925b-448ee848baaa">EN</EC_Collab_DocumentLanguage>
    <Key_x0020_Area xmlns="2e9ce1a0-0ccf-4233-925b-448ee848baaa">Version for ISC</Key_x0020_Area>
    <EC_Collab_Status xmlns="2e9ce1a0-0ccf-4233-925b-448ee848baaa">Scheduled</EC_Collab_Status>
    <Old_x0020_versions xmlns="2e9ce1a0-0ccf-4233-925b-448ee848baaa">false</Old_x0020_versions>
    <Type_x0020_of_x0020_initiative xmlns="2e9ce1a0-0ccf-4233-925b-448ee848baaa">CEAP implementation report</Type_x0020_of_x0020_initiative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23B3F6E2CB95D548888E4C4F3DE850B1" ma:contentTypeVersion="5" ma:contentTypeDescription="Create a new document in this library." ma:contentTypeScope="" ma:versionID="a916a426bfa76781f47cf356fa3ecdf8">
  <xsd:schema xmlns:xsd="http://www.w3.org/2001/XMLSchema" xmlns:xs="http://www.w3.org/2001/XMLSchema" xmlns:p="http://schemas.microsoft.com/office/2006/metadata/properties" xmlns:ns2="http://schemas.microsoft.com/sharepoint/v3/fields" xmlns:ns3="2e9ce1a0-0ccf-4233-925b-448ee848baaa" targetNamespace="http://schemas.microsoft.com/office/2006/metadata/properties" ma:root="true" ma:fieldsID="0b2ed579a8952ef2014de1b16b33a92a" ns2:_="" ns3:_="">
    <xsd:import namespace="http://schemas.microsoft.com/sharepoint/v3/fields"/>
    <xsd:import namespace="2e9ce1a0-0ccf-4233-925b-448ee848baaa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EC_Collab_Status"/>
                <xsd:element ref="ns3:Key_x0020_Area"/>
                <xsd:element ref="ns3:Nature_x0020_of_x0020_the_x0020_document"/>
                <xsd:element ref="ns3:Covered_x0020_in_x0020_CEIR_x0020_draft" minOccurs="0"/>
                <xsd:element ref="ns3:Old_x0020_versions" minOccurs="0"/>
                <xsd:element ref="ns3:Type_x0020_of_x0020_initiativ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ce1a0-0ccf-4233-925b-448ee848baaa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5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  <xsd:element name="Key_x0020_Area" ma:index="16" ma:displayName="Key Area" ma:format="RadioButtons" ma:indexed="true" ma:internalName="Key_x0020_Area">
      <xsd:simpleType>
        <xsd:union memberTypes="dms:Text">
          <xsd:simpleType>
            <xsd:restriction base="dms:Choice">
              <xsd:enumeration value="Production"/>
              <xsd:enumeration value="Consumption"/>
              <xsd:enumeration value="Waste management"/>
              <xsd:enumeration value="Market for secondary raw materials"/>
              <xsd:enumeration value="Sectorial action"/>
              <xsd:enumeration value="Innovation and investment"/>
              <xsd:enumeration value="Monitoring"/>
              <xsd:enumeration value="Section 2"/>
            </xsd:restriction>
          </xsd:simpleType>
        </xsd:union>
      </xsd:simpleType>
    </xsd:element>
    <xsd:element name="Nature_x0020_of_x0020_the_x0020_document" ma:index="17" ma:displayName="Drafting stage" ma:default="Reporting fiche" ma:format="Dropdown" ma:internalName="Nature_x0020_of_x0020_the_x0020_document">
      <xsd:simpleType>
        <xsd:union memberTypes="dms:Text">
          <xsd:simpleType>
            <xsd:restriction base="dms:Choice">
              <xsd:enumeration value="Reporting fiche"/>
              <xsd:enumeration value="Building blocks"/>
              <xsd:enumeration value="Consolidated version"/>
              <xsd:enumeration value="Consolidated version for ISG comments"/>
              <xsd:enumeration value="Approved version"/>
            </xsd:restriction>
          </xsd:simpleType>
        </xsd:union>
      </xsd:simpleType>
    </xsd:element>
    <xsd:element name="Covered_x0020_in_x0020_CEIR_x0020_draft" ma:index="18" nillable="true" ma:displayName="Covered in CEIR draft" ma:default="0" ma:description="Information on whether information included in this fiche is already reflected in the CEIR drafts" ma:internalName="Covered_x0020_in_x0020_CEIR_x0020_draft">
      <xsd:simpleType>
        <xsd:restriction base="dms:Boolean"/>
      </xsd:simpleType>
    </xsd:element>
    <xsd:element name="Old_x0020_versions" ma:index="19" nillable="true" ma:displayName="Old versions" ma:default="0" ma:internalName="Old_x0020_versions">
      <xsd:simpleType>
        <xsd:restriction base="dms:Boolean"/>
      </xsd:simpleType>
    </xsd:element>
    <xsd:element name="Type_x0020_of_x0020_initiative" ma:index="20" ma:displayName="Type of initiative" ma:format="Dropdown" ma:indexed="true" ma:internalName="Type_x0020_of_x0020_initiative">
      <xsd:simpleType>
        <xsd:restriction base="dms:Choice">
          <xsd:enumeration value="CEAP implementation report"/>
          <xsd:enumeration value="Product policy initiative"/>
          <xsd:enumeration value="Other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E03B9AB-561A-485F-8686-5C4BEEFC4470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2e9ce1a0-0ccf-4233-925b-448ee848baaa"/>
    <ds:schemaRef ds:uri="http://schemas.microsoft.com/sharepoint/v3/field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EC08C1-23E3-47AC-B4BE-68D7EFD03C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325DF7-7CF0-46B5-BD88-C9C0B764A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2e9ce1a0-0ccf-4233-925b-448ee848b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D923BE-51B5-4C2D-BF9A-AFD546186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4534</Words>
  <Characters>31421</Characters>
  <Application>Microsoft Office Word</Application>
  <DocSecurity>0</DocSecurity>
  <Lines>483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22</cp:revision>
  <cp:lastPrinted>2019-02-20T18:49:00Z</cp:lastPrinted>
  <dcterms:created xsi:type="dcterms:W3CDTF">2019-02-27T16:33:00Z</dcterms:created>
  <dcterms:modified xsi:type="dcterms:W3CDTF">2019-03-01T16:52:00Z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DocStatus">
    <vt:lpwstr>Green</vt:lpwstr>
  </property>
  <property fmtid="{D5CDD505-2E9C-101B-9397-08002B2CF9AE}" pid="6" name="Created using">
    <vt:lpwstr>LW 6.0.1, Build 20180503</vt:lpwstr>
  </property>
  <property fmtid="{D5CDD505-2E9C-101B-9397-08002B2CF9AE}" pid="7" name="Last edited using">
    <vt:lpwstr>LW 6.0.1, Build 20180503</vt:lpwstr>
  </property>
  <property fmtid="{D5CDD505-2E9C-101B-9397-08002B2CF9AE}" pid="8" name="ContentTypeId">
    <vt:lpwstr>0x010100258AA79CEB83498886A3A086811232500023B3F6E2CB95D548888E4C4F3DE850B1</vt:lpwstr>
  </property>
  <property name="OP_sanitized" fmtid="{D5CDD505-2E9C-101B-9397-08002B2CF9AE}" pid="9">
    <vt:lpwstr>True</vt:lpwstr>
  </property>
</Properties>
</file>