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732DB62-51B3-4311-BF6D-79A92CB0D87C" style="width:450.8pt;height:348.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widowControl w:val="0"/>
        <w:spacing w:after="240" w:line="240" w:lineRule="auto"/>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 WPROWADZENIE</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Niniejsze sprawozdanie z postępu prac nad stworzeniem rzeczywistej i skutecznej unii bezpieczeństwa jest czternastym sprawozdaniem i obejmuje działania w dwóch głównych dziedzinach: w obszarze zwalczania terroryzmu i przestępczości zorganizowanej oraz środków, które je wspierają; a także w obszarze wzmocnienia naszej obrony i budowania odporności wobec wymienionych zagrożeń.</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Brutalne zamachy w Trèbes i Carcassonne we Francji w dniu 23 marca 2018 r. przypominają o tym, że zagrożenie terroryzmem w UE pozostaje wysokie. W ramach ciągłych wysiłków unii bezpieczeństwa mających przeciwdziałać temu zagrożeniu, wraz z niniejszym sprawozdaniem z postępu prac Komisja przedstawiła nowy pakiet bezpieczeństwa obejmujący środki służące ograniczeniu pola działania terrorystów i innych przestępców, aby utrudnić im planowanie i dokonywanie ich haniebnych czynów. Pakiet ten obejmuje wnioski ustawodawcze w celu poprawy transgranicznego gromadzenia </w:t>
      </w:r>
      <w:r>
        <w:rPr>
          <w:rFonts w:ascii="Times New Roman" w:hAnsi="Times New Roman"/>
          <w:b/>
          <w:noProof/>
          <w:sz w:val="24"/>
        </w:rPr>
        <w:t>dowodów elektronicznych</w:t>
      </w:r>
      <w:r>
        <w:rPr>
          <w:rFonts w:ascii="Times New Roman" w:hAnsi="Times New Roman"/>
          <w:noProof/>
          <w:sz w:val="24"/>
        </w:rPr>
        <w:t xml:space="preserve"> i dostępu do </w:t>
      </w:r>
      <w:r>
        <w:rPr>
          <w:rFonts w:ascii="Times New Roman" w:hAnsi="Times New Roman"/>
          <w:b/>
          <w:noProof/>
          <w:sz w:val="24"/>
        </w:rPr>
        <w:t>informacji finansowych</w:t>
      </w:r>
      <w:r>
        <w:rPr>
          <w:rFonts w:ascii="Times New Roman" w:hAnsi="Times New Roman"/>
          <w:noProof/>
          <w:sz w:val="24"/>
        </w:rPr>
        <w:t xml:space="preserve"> na potrzeby dochodzeń i ścigania, w szczególności w przypadku poważnych przestępstw, wzmacniające również współpracę między jednostkami analityki finansowej a organami ścigania. Pakiet ten obejmuje także środki operacyjne służące zapobieganiu uzyskiwaniu przez terrorystów i innych przestępców dostępu do przywiezionej </w:t>
      </w:r>
      <w:r>
        <w:rPr>
          <w:rFonts w:ascii="Times New Roman" w:hAnsi="Times New Roman"/>
          <w:b/>
          <w:noProof/>
          <w:sz w:val="24"/>
        </w:rPr>
        <w:t>broni palnej</w:t>
      </w:r>
      <w:r>
        <w:rPr>
          <w:rFonts w:ascii="Times New Roman" w:hAnsi="Times New Roman"/>
          <w:noProof/>
          <w:sz w:val="24"/>
        </w:rPr>
        <w:t xml:space="preserve"> i </w:t>
      </w:r>
      <w:r>
        <w:rPr>
          <w:rFonts w:ascii="Times New Roman" w:hAnsi="Times New Roman"/>
          <w:b/>
          <w:noProof/>
          <w:sz w:val="24"/>
        </w:rPr>
        <w:t>prekursorów materiałów wybuchowych</w:t>
      </w:r>
      <w:r>
        <w:rPr>
          <w:rFonts w:ascii="Times New Roman" w:hAnsi="Times New Roman"/>
          <w:noProof/>
          <w:sz w:val="24"/>
        </w:rPr>
        <w:t xml:space="preserve">, które można wykorzystać w sposób niezgodny z przeznaczeniem do wytworzenia materiałów wybuchowych domowej roboty, co miało miejsce w przypadku kilku ostatnich zamachów. Ponadto wniosek ustawodawczy dotyczący poprawy </w:t>
      </w:r>
      <w:r>
        <w:rPr>
          <w:rFonts w:ascii="Times New Roman" w:hAnsi="Times New Roman"/>
          <w:b/>
          <w:noProof/>
          <w:sz w:val="24"/>
        </w:rPr>
        <w:t>bezpieczeństwa krajowych dowodów tożsamości i dokumentów pobytu</w:t>
      </w:r>
      <w:r>
        <w:rPr>
          <w:rFonts w:ascii="Times New Roman" w:hAnsi="Times New Roman"/>
          <w:noProof/>
          <w:sz w:val="24"/>
        </w:rPr>
        <w:t xml:space="preserve"> utrudni terrorystom i innym przestępcom niewłaściwe wykorzystanie lub sfałszowanie takich dokumentów w celu wjechania na terytorium UE lub poruszania w jej granicach.</w:t>
      </w:r>
    </w:p>
    <w:p>
      <w:pPr>
        <w:widowControl w:val="0"/>
        <w:spacing w:after="240" w:line="240" w:lineRule="auto"/>
        <w:jc w:val="both"/>
        <w:rPr>
          <w:rFonts w:ascii="Times New Roman" w:hAnsi="Times New Roman"/>
          <w:noProof/>
          <w:sz w:val="24"/>
        </w:rPr>
      </w:pPr>
      <w:r>
        <w:rPr>
          <w:rFonts w:ascii="Times New Roman" w:hAnsi="Times New Roman"/>
          <w:noProof/>
          <w:sz w:val="24"/>
        </w:rPr>
        <w:t>Atak w Salisbury z dnia 4 marca 2018 r. stanowi szokujący przykład prawdziwego zagrożenia, jakie stanowią substancje chemiczne dla bezpieczeństwa zbiorowego. Rada Europejska podczas posiedzenia w dniach 22–23 marca 2018 r. z całą stanowczością potępiła ten atak. Rada podkreśliła, że UE – w ramach reakcji – musi wzmocnić swoją odporność na zagrożenia chemiczne, biologiczne, radiologiczne i jądrowe. W niniejszym sprawozdaniu z postępu prac określono środki podejmowane w tym celu w ramach wdrażania planu działania z października 2017 r. na rzecz zwiększenia gotowości na wypadek tych zagrożeń dla bezpieczeństwa. Niniejsze sprawozdanie z postępu prac zawiera również zaktualizowane informacje na temat wdrażania innych priorytetowych inicjatyw w unii bezpieczeństwa obejmujących wysiłki na rzecz przeciwdziałania radykalizacji postaw w internecie, wzmocnienia przepływu informacji, wsparcia ochrony przestrzeni publicznych i zwalczania zagrożeń cybernetycznych.</w:t>
      </w:r>
    </w:p>
    <w:p>
      <w:pPr>
        <w:widowControl w:val="0"/>
        <w:tabs>
          <w:tab w:val="left" w:pos="360"/>
        </w:tabs>
        <w:spacing w:after="240" w:line="240" w:lineRule="auto"/>
        <w:ind w:left="360" w:hanging="360"/>
        <w:jc w:val="both"/>
        <w:rPr>
          <w:rFonts w:ascii="Times New Roman" w:hAnsi="Times New Roman" w:cs="Times New Roman"/>
          <w:b/>
          <w:noProof/>
          <w:sz w:val="24"/>
          <w:szCs w:val="24"/>
        </w:rPr>
      </w:pPr>
      <w:r>
        <w:rPr>
          <w:rFonts w:ascii="Times New Roman" w:hAnsi="Times New Roman"/>
          <w:b/>
          <w:noProof/>
          <w:sz w:val="24"/>
        </w:rPr>
        <w:t>II.</w:t>
      </w:r>
      <w:r>
        <w:rPr>
          <w:noProof/>
        </w:rPr>
        <w:tab/>
      </w:r>
      <w:r>
        <w:rPr>
          <w:rFonts w:ascii="Times New Roman" w:hAnsi="Times New Roman"/>
          <w:b/>
          <w:noProof/>
          <w:sz w:val="24"/>
        </w:rPr>
        <w:t>OGRANICZENIE POLA DZIAŁANIA TERRORYSTÓW I PRZESTĘPCÓW</w:t>
      </w:r>
    </w:p>
    <w:p>
      <w:pPr>
        <w:widowControl w:val="0"/>
        <w:numPr>
          <w:ilvl w:val="0"/>
          <w:numId w:val="9"/>
        </w:numPr>
        <w:spacing w:after="240" w:line="240" w:lineRule="auto"/>
        <w:ind w:left="0" w:firstLine="0"/>
        <w:jc w:val="both"/>
        <w:rPr>
          <w:rFonts w:ascii="Times New Roman" w:hAnsi="Times New Roman" w:cs="Times New Roman"/>
          <w:i/>
          <w:noProof/>
          <w:sz w:val="24"/>
          <w:szCs w:val="24"/>
        </w:rPr>
      </w:pPr>
      <w:r>
        <w:rPr>
          <w:rFonts w:ascii="Times New Roman" w:hAnsi="Times New Roman"/>
          <w:i/>
          <w:noProof/>
          <w:sz w:val="24"/>
        </w:rPr>
        <w:t>Nowe narzędzia do zbierania dowodów elektronicznych w postępowaniach karnych</w:t>
      </w:r>
    </w:p>
    <w:p>
      <w:pPr>
        <w:spacing w:after="240" w:line="240" w:lineRule="auto"/>
        <w:jc w:val="both"/>
        <w:rPr>
          <w:rFonts w:ascii="Times New Roman" w:hAnsi="Times New Roman" w:cs="Times New Roman"/>
          <w:noProof/>
          <w:sz w:val="24"/>
          <w:szCs w:val="24"/>
        </w:rPr>
      </w:pPr>
      <w:r>
        <w:rPr>
          <w:rFonts w:ascii="Times New Roman" w:hAnsi="Times New Roman"/>
          <w:noProof/>
          <w:sz w:val="24"/>
        </w:rPr>
        <w:t>Dowody elektroniczne stały się istotne w przeważającej większości dochodzeń i coraz częściej organy sądowe muszą występować z wnioskami do innych jurysdykcji w celu otrzymania niezbędnych dowodów od usługodawców. W związku z tym zapewnianie łatwiejszego i szybszego transgranicznego otrzymywania dowodów ma kluczowe znaczenie dla dochodzenia i ścigania przestępstw, w tym terroryzmu lub cyberprzestępczości. W tym celu Komisja przedstawiła – wraz z niniejszym sprawozdaniem z postępu prac – dwa wnioski ustawodawcze mające usprawnić transgraniczne gromadzenie dowodów elektronicznych w postępowaniach karnych, mianowicie wniosek dotyczący rozporządzenia w sprawie europejskich nakazów przedstawienia i zabezpieczenia dowodów elektronicznych w sprawach karnych</w:t>
      </w:r>
      <w:r>
        <w:rPr>
          <w:rFonts w:ascii="Times New Roman" w:hAnsi="Times New Roman"/>
          <w:noProof/>
          <w:sz w:val="24"/>
          <w:vertAlign w:val="superscript"/>
        </w:rPr>
        <w:footnoteReference w:id="1"/>
      </w:r>
      <w:r>
        <w:rPr>
          <w:rFonts w:ascii="Times New Roman" w:hAnsi="Times New Roman"/>
          <w:noProof/>
          <w:sz w:val="24"/>
        </w:rPr>
        <w:t xml:space="preserve"> oraz wniosek dotyczący dyrektywy ustanawiającej zharmonizowane przepisy dotyczące mianowania przedstawicieli prawnych w celu zbierania dowodów w postępowaniach karnych</w:t>
      </w:r>
      <w:r>
        <w:rPr>
          <w:rFonts w:ascii="Times New Roman" w:hAnsi="Times New Roman"/>
          <w:noProof/>
          <w:sz w:val="24"/>
          <w:vertAlign w:val="superscript"/>
        </w:rPr>
        <w:footnoteReference w:id="2"/>
      </w:r>
      <w:r>
        <w:rPr>
          <w:rFonts w:ascii="Times New Roman" w:hAnsi="Times New Roman"/>
          <w:noProof/>
          <w:sz w:val="24"/>
        </w:rPr>
        <w:t>. Proponowane rozporządzenie i dyrektywa zapewnią właściwym organom ścigania i organom sądowym nowe narzędzia do otrzymywania dowodów elektronicznych w celu przeprowadzenia dochodzenia i ścigania przestępstw, w tym terroryzmu i cyberprzestępczości. Wnioski te stanowią odpowiedź Komisji na wezwania Parlamentu Europejskiego i Rady do przedstawienia ram legislacyjnych na poziomie UE dotyczących środków służących transgranicznemu otrzymywaniu dowodów elektronicznych wraz z solidnymi gwarancjami chroniącymi prawa i wolności jednostek</w:t>
      </w:r>
      <w:r>
        <w:rPr>
          <w:rFonts w:ascii="Times New Roman" w:hAnsi="Times New Roman"/>
          <w:noProof/>
          <w:sz w:val="24"/>
          <w:vertAlign w:val="superscript"/>
        </w:rPr>
        <w:footnoteReference w:id="3"/>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W proponowanym rozporządzeniu przewidziano europejski nakaz przedstawienia dowodów i europejski nakaz zabezpieczenia dowodów. Nakazy te pozwolą właściwym organom z państw członkowskich na bezpośrednie nakazanie usługodawcom (dostawcom usług łączności elektronicznej i określonym dostawcom usług społeczeństwa informacyjnego) mającym siedzibę lub reprezentowanym w innym państwie członkowskim zabezpieczenia lub przedstawienia istniejących danych elektronicznych w celu dochodzenia i ścigania przestępstw objętych zakresem przedmiotowego rozporządzenia w sposób proporcjonalny i konieczny w indywidualnym przypadku. W celu zapewnienia zgodności z tymi nakazami w zaproponowanej dyrektywie zobowiązano usługodawców do wyznaczenia przynajmniej jednego przedstawiciela prawnego w Unii. Z uwagi na transgraniczny charakter internetu wnioski te obejmują właściwych usługodawców, którzy oferują usługi w co najmniej jednym państwie członkowskim, niezależnie od lokalizacji ich siedziby głównej, ich infrastruktury lub miejsca przechowywania informacji.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W zaproponowanym rozporządzeniu przewidziano silne gwarancje, aby zapewnić pełną zgodność z prawami podstawowymi, takie jak zaangażowanie </w:t>
      </w:r>
      <w:r>
        <w:rPr>
          <w:rFonts w:ascii="Times New Roman" w:hAnsi="Times New Roman"/>
          <w:i/>
          <w:noProof/>
          <w:sz w:val="24"/>
        </w:rPr>
        <w:t>ex ante</w:t>
      </w:r>
      <w:r>
        <w:rPr>
          <w:rFonts w:ascii="Times New Roman" w:hAnsi="Times New Roman"/>
          <w:noProof/>
          <w:sz w:val="24"/>
        </w:rPr>
        <w:t xml:space="preserve"> organów sądowych i dodatkowe wymogi dotyczące otrzymywania określonych kategorii danych. Ponadto, z uwagi na fakt, że nakazy te można wydawać wyłącznie w ramach postępowań karnych i jeżeli przewidziane są w podobnych sytuacjach krajowych, zastosowanie mają wszystkie gwarancje proceduralne w zakresie prawa karnego. Co więcej, w rozporządzeniu przewidziano szczegółowe przepisy dotyczące skutecznych środków odwoławczych dla osób, których dotyczą nakazy. W rozporządzeniu uwzględniono także prawo usługodawcy do zażądania dokonania przeglądu w wydającym państwie członkowskim lub – jeżeli nakaz przekazano do wykonania – w przyjmującym państwie członkowskim, w oparciu o ustalone motywy. Prawo to obejmuje przypadki, w których jasne jest, że nakazu nie wydał ani nie zatwierdził właściwy organ, nakaz jest niekompletny, w sposób oczywisty narusza Kartę praw podstawowych Unii Europejskiej lub w sposób oczywisty stanowi nadużycie. Co więcej, w rozporządzeniu tym przewidziano mechanizmy służące unikaniu i łagodzeniu potencjalnych konfliktów ze zobowiązaniami, które mogą być nałożone na usługodawców na podstawie przepisów państw trzecich. </w:t>
      </w:r>
    </w:p>
    <w:p>
      <w:pPr>
        <w:spacing w:after="240" w:line="240" w:lineRule="auto"/>
        <w:jc w:val="both"/>
        <w:rPr>
          <w:rFonts w:ascii="Times New Roman" w:hAnsi="Times New Roman" w:cs="Times New Roman"/>
          <w:noProof/>
          <w:sz w:val="24"/>
          <w:szCs w:val="24"/>
        </w:rPr>
      </w:pPr>
      <w:r>
        <w:rPr>
          <w:rFonts w:ascii="Times New Roman" w:hAnsi="Times New Roman"/>
          <w:noProof/>
          <w:sz w:val="24"/>
        </w:rPr>
        <w:t>Wnioski ustawodawcze oparto na dogłębnej ocenie skutków i informacjach otrzymanych w wyniku dwuletniego procesu konsultacji, który obejmował praktyków, obywateli, usługodawców, organizacje rządowe i pozarządowe oraz pracowników akademickich</w:t>
      </w:r>
      <w:r>
        <w:rPr>
          <w:rFonts w:ascii="Times New Roman" w:hAnsi="Times New Roman"/>
          <w:noProof/>
          <w:sz w:val="24"/>
          <w:vertAlign w:val="superscript"/>
        </w:rPr>
        <w:footnoteReference w:id="4"/>
      </w:r>
      <w:r>
        <w:rPr>
          <w:rFonts w:ascii="Times New Roman" w:hAnsi="Times New Roman"/>
          <w:noProof/>
          <w:sz w:val="24"/>
        </w:rPr>
        <w:t>. Komisja uczestniczyła również w powiązanych dyskusjach w Radzie Europy i dokładnie śledziła postępy w państwach niebędących członkami UE, w tym niedawne przyjęcie przez Kongres Stanów Zjednoczonych ustawy określającej zgodne z prawem wykorzystywanie danych za granicą („CLOUD Act”). Wnioski przyjęte wraz z niniejszym sprawozdaniem z postępu prac zapewniają podstawę skoordynowanego i spójnego podejścia zarówno w ramach UE, jak i przez UE na poziomie międzynarodowym, z należytym uwzględnieniem przepisów UE, w tym przepisów dotyczących niedyskryminacji między państwami członkowskimi UE i ich obywatelami. Komisja nadal aktywnie uczestniczy także w dyskusjach w ramach Konwencji Rady Europy o cyberprzestępczości.</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Komisja wzywa współprawodawców do przeanalizowania tego proponowanego prawodawstwa, które uwzględniono we Wspólnej deklaracji w sprawie priorytetów legislacyjnych UE na lata 2018–2019, w sposób niezwłoczny w celu szybkiego osiągnięcia porozumienia.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Oprócz złożenia tych wniosków ustawodawczych Komisja kontynuuje prace nad </w:t>
      </w:r>
      <w:r>
        <w:rPr>
          <w:rFonts w:ascii="Times New Roman" w:hAnsi="Times New Roman"/>
          <w:b/>
          <w:noProof/>
          <w:sz w:val="24"/>
        </w:rPr>
        <w:t>praktycznymi środkami służącymi usprawnieniu współpracy sądowej</w:t>
      </w:r>
      <w:r>
        <w:rPr>
          <w:rFonts w:ascii="Times New Roman" w:hAnsi="Times New Roman"/>
          <w:noProof/>
          <w:sz w:val="24"/>
        </w:rPr>
        <w:t xml:space="preserve"> w oparciu o wzajemną pomoc prawną i dyrektywę w sprawie europejskiego nakazu dochodzeniowego</w:t>
      </w:r>
      <w:r>
        <w:rPr>
          <w:rFonts w:ascii="Times New Roman" w:hAnsi="Times New Roman"/>
          <w:noProof/>
          <w:sz w:val="24"/>
          <w:vertAlign w:val="superscript"/>
        </w:rPr>
        <w:footnoteReference w:id="5"/>
      </w:r>
      <w:r>
        <w:rPr>
          <w:rFonts w:ascii="Times New Roman" w:hAnsi="Times New Roman"/>
          <w:noProof/>
          <w:sz w:val="24"/>
        </w:rPr>
        <w:t>, jak również współpracę między organami i usługowcami w obrębie istniejących ram prawnych. Środki te obejmują szkolenia dla organów, wspieranie korzystania z punktów kompleksowej obsługi na poziomie krajowym i tworzenie platformy internetowej służącej bezpiecznej wymianie wniosków i odpowiedzi w zakresie europejskiego nakazu dochodzeniowego w oparciu o elektroniczne wersje form europejskiego nakazu dochodzeniowego. Komisja prowadzi ścisłą współpracę z właściwymi agencjami UE</w:t>
      </w:r>
      <w:r>
        <w:rPr>
          <w:rStyle w:val="FootnoteReference"/>
          <w:rFonts w:ascii="Times New Roman" w:hAnsi="Times New Roman"/>
          <w:noProof/>
          <w:sz w:val="24"/>
        </w:rPr>
        <w:footnoteReference w:id="6"/>
      </w:r>
      <w:r>
        <w:rPr>
          <w:rFonts w:ascii="Times New Roman" w:hAnsi="Times New Roman"/>
          <w:noProof/>
          <w:sz w:val="24"/>
        </w:rPr>
        <w:t xml:space="preserve"> i zainteresowanymi stronami, aby zapewnić szybkie wdrożenie tych środków. </w:t>
      </w:r>
    </w:p>
    <w:p>
      <w:pPr>
        <w:widowControl w:val="0"/>
        <w:numPr>
          <w:ilvl w:val="0"/>
          <w:numId w:val="9"/>
        </w:numPr>
        <w:tabs>
          <w:tab w:val="left" w:pos="720"/>
        </w:tabs>
        <w:spacing w:after="240" w:line="240" w:lineRule="auto"/>
        <w:ind w:left="720" w:hanging="720"/>
        <w:jc w:val="both"/>
        <w:rPr>
          <w:rFonts w:ascii="Times New Roman" w:hAnsi="Times New Roman" w:cs="Times New Roman"/>
          <w:i/>
          <w:noProof/>
          <w:sz w:val="24"/>
          <w:szCs w:val="24"/>
        </w:rPr>
      </w:pPr>
      <w:r>
        <w:rPr>
          <w:rFonts w:ascii="Times New Roman" w:hAnsi="Times New Roman"/>
          <w:i/>
          <w:noProof/>
          <w:sz w:val="24"/>
        </w:rPr>
        <w:t xml:space="preserve">Ułatwianie korzystania z informacji finansowych w celu zapobiegania poważnym przestępstwom, wykrywania, dochodzenia lub ścigania poważnych przestępstw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Przestępcy i terroryści działają w różnych państwach członkowskich i są w stanie przenosić środki finansowe między różnymi rachunkami bankowymi w kilka godzin w celu przygotowania się do działania lub przeniesienia i wyprania pieniędzy pochodzących z przestępstw. Dochodzenia w sprawie poważnych przestępstw i terroryzmu mogą nie dać rezultatów z powodu niezapewnienia we właściwym czasie odpowiedniego i pełnego dostępu do stosownych danych finansowych</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Biorąc pod uwagę znaczenie informacji finansowych dla dochodzeń, istotne jest, aby wzmocnić współpracę między organami odpowiedzialnymi za zwalczanie poważnych przestępstw i terroryzmu oraz ułatwić im dostęp do informacji finansowych i korzystanie z tych informacji, w pełni przestrzegając praw podstawowych i stosownych gwarancji proceduralnych. W związku z tym Komisja wraz z niniejszym sprawozdaniem z postępu prac przyjęła </w:t>
      </w:r>
      <w:r>
        <w:rPr>
          <w:rFonts w:ascii="Times New Roman" w:hAnsi="Times New Roman"/>
          <w:b/>
          <w:noProof/>
          <w:sz w:val="24"/>
        </w:rPr>
        <w:t>wniosek dotyczący dyrektywy mającej na celu ułatwienie korzystania z informacji finansowych i innych informacji</w:t>
      </w:r>
      <w:r>
        <w:rPr>
          <w:rFonts w:ascii="Times New Roman" w:hAnsi="Times New Roman"/>
          <w:noProof/>
          <w:sz w:val="24"/>
        </w:rPr>
        <w:t xml:space="preserve"> w celu zapobiegania poważnym przestępstwom, wykrywania, dochodzenia lub ścigania poważnych przestępstw</w:t>
      </w:r>
      <w:r>
        <w:rPr>
          <w:rFonts w:ascii="Times New Roman" w:hAnsi="Times New Roman"/>
          <w:noProof/>
          <w:sz w:val="24"/>
          <w:vertAlign w:val="superscript"/>
        </w:rPr>
        <w:footnoteReference w:id="8"/>
      </w:r>
      <w:r>
        <w:rPr>
          <w:noProof/>
        </w:rPr>
        <w:t>.</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Wniosek ten, oparty na dogłębnej ocenie skutków, zapewnia wyznaczonym organom ścigania i biurom ds. odzyskiwania mienia bezpośredni </w:t>
      </w:r>
      <w:r>
        <w:rPr>
          <w:rFonts w:ascii="Times New Roman" w:hAnsi="Times New Roman"/>
          <w:b/>
          <w:noProof/>
          <w:sz w:val="24"/>
        </w:rPr>
        <w:t>dostęp do informacji, które dotyczą rachunków bankowych</w:t>
      </w:r>
      <w:r>
        <w:rPr>
          <w:rFonts w:ascii="Times New Roman" w:hAnsi="Times New Roman"/>
          <w:noProof/>
          <w:sz w:val="24"/>
        </w:rPr>
        <w:t xml:space="preserve"> i przechowywane są w krajowych centralnych rejestrach rachunków bankowych i w systemach wyszukiwania danych stworzonych na podstawie dyrektywy w sprawie przeciwdziałania praniu pieniędzy</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Taki dostęp będzie przyznawany </w:t>
      </w:r>
      <w:r>
        <w:rPr>
          <w:rFonts w:ascii="Times New Roman" w:hAnsi="Times New Roman"/>
          <w:b/>
          <w:noProof/>
          <w:sz w:val="24"/>
        </w:rPr>
        <w:t>w</w:t>
      </w:r>
      <w:r>
        <w:rPr>
          <w:rFonts w:ascii="Times New Roman" w:hAnsi="Times New Roman"/>
          <w:noProof/>
          <w:sz w:val="24"/>
        </w:rPr>
        <w:t> </w:t>
      </w:r>
      <w:r>
        <w:rPr>
          <w:rFonts w:ascii="Times New Roman" w:hAnsi="Times New Roman"/>
          <w:b/>
          <w:noProof/>
          <w:sz w:val="24"/>
        </w:rPr>
        <w:t>poszczególnych przypadkach w celu zwalczania poważnych przestępstw</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Znacząco zmniejszy to również obciążenie administracyjne instytucji finansowych, które nie będą już musiały odpowiadać na wnioski ogólne o informacje od organów ścigania.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Wniosek przyczynia się do dalszego wzmacniania współpracy między krajowymi </w:t>
      </w:r>
      <w:r>
        <w:rPr>
          <w:rFonts w:ascii="Times New Roman" w:hAnsi="Times New Roman"/>
          <w:b/>
          <w:noProof/>
          <w:sz w:val="24"/>
        </w:rPr>
        <w:t>jednostkami analityki finansowej</w:t>
      </w:r>
      <w:r>
        <w:rPr>
          <w:rFonts w:ascii="Times New Roman" w:hAnsi="Times New Roman"/>
          <w:noProof/>
          <w:sz w:val="24"/>
        </w:rPr>
        <w:t xml:space="preserve"> a organami ścigania, jak również między jednostkami analityki finansowej w różnych państwach członkowskich. Ponadto państwa członkowskie będą musiały zapewnić, aby ich jednostka krajowa Europolu odpowiadała na wnioski Europolu o informacje zawarte w centralnych rejestrach rachunków bankowych oraz informacje finansowe i analizy finansowe. Wnioski złożone przez Europol będą musiały być należycie uzasadnione i sporządzane indywidualnie w poszczególnych przypadkach i w zakresie kompetencji Europolu oraz w celu wykonywania przez Europol swoich zadań. Lepszy dostęp organów ścigania do danych finansowych i lepsza współpraca z jednostkami analityki finansowej przyspieszą dochodzenia i umożliwią organom skuteczniejsze zwalczanie przestępczości transgranicznej. Europol będzie mógł również wzmocnić wsparcie udzielane państwom członkowskim w zwalczaniu przestępstw objętych zakresem kompetencji Europolu. Aby zapewnić przestrzeganie podstawowych praw do ochrony danych osobowych i do prywatności, we wniosku dotyczącym dyrektywy przewidziano ścisłe gwarancje w zakresie przetwarzania danych osobowych.</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Komisja wzywa współprawodawców do przeanalizowania tego wniosku, który uwzględniono we Wspólnej deklaracji w sprawie priorytetów legislacyjnych UE na lata 2018–2019, w sposób niezwłoczny w celu szybkiego osiągnięcia porozumienia. Komisja podkreśla również znaczenie pełnego wdrożenia i zastosowania czwartej dyrektywy w sprawie przeciwdziałania praniu pieniędzy oraz narzędzi, które ta dyrektywa zapewnia w celu przeciwdziałania praniu pieniędzy i finansowaniu terroryzmu. Działania te wymagają zapewnienia jednostkom analityki finansowej odpowiednich zasobów do wypełniania ich zadań. Ponadto w wyniku zmiany czwartej dyrektywy w sprawie przeciwdziałania praniu pieniędzy – uzgodnionej na szczeblu politycznym przez współprawodawców w grudniu 2017 r. – na Komisję nałożono obowiązek przedłożenia do czerwca 2020 r. Parlamentowi Europejskiemu i Radzie sprawozdania oceniającego możliwość przyszłych wzajemnych połączeń centralnych rejestrów rachunków bankowych. Komisja przeprowadza w tym celu badanie, a wynikające z niego ustalenia zaprezentuje do połowy 2019 r.</w:t>
      </w:r>
    </w:p>
    <w:p>
      <w:pPr>
        <w:widowControl w:val="0"/>
        <w:numPr>
          <w:ilvl w:val="0"/>
          <w:numId w:val="9"/>
        </w:numPr>
        <w:spacing w:after="240" w:line="240" w:lineRule="auto"/>
        <w:ind w:left="0" w:firstLine="0"/>
        <w:jc w:val="both"/>
        <w:rPr>
          <w:rFonts w:ascii="Times New Roman" w:hAnsi="Times New Roman" w:cs="Times New Roman"/>
          <w:i/>
          <w:noProof/>
          <w:sz w:val="24"/>
          <w:szCs w:val="24"/>
        </w:rPr>
      </w:pPr>
      <w:r>
        <w:rPr>
          <w:rFonts w:ascii="Times New Roman" w:hAnsi="Times New Roman"/>
          <w:i/>
          <w:noProof/>
          <w:sz w:val="24"/>
        </w:rPr>
        <w:t>Bardziej rygorystyczne zasady przeciwdziałania prekursorom materiałów wybuchowych wykorzystywanym do wytwarzania materiałów wybuchowych domowej roboty</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Terroryści i przestępcy stosowali materiały wybuchowe domowej roboty w wielu atakach w UE, w tym w atakach w Madrycie (2004 r.), Londynie (2005 r.), Paryżu (2015 r.), Brukseli (2016 r.), Manchesterze (2017 r.) i na stacji metra Parsons Green w Londynie (2017 r.). W przypadku jeszcze większej liczby ataków, które były nieudane lub zostały udaremnione, również usiłowano zastosować materiały wybuchowe domowej roboty. Ataki te wskazują na potrzebę jak największego ograniczenia dostępu terrorystów do prekursorów materiałów wybuchowych i ograniczenia wykorzystywania przez nich tych prekursorów, które można w niewłaściwy sposób zastosować do produkcji materiałów wybuchowych domowej roboty. W tym celu Komisja przyjęła – wraz z niniejszym sprawozdaniem z postępu prac – </w:t>
      </w:r>
      <w:r>
        <w:rPr>
          <w:rFonts w:ascii="Times New Roman" w:hAnsi="Times New Roman"/>
          <w:b/>
          <w:noProof/>
          <w:sz w:val="24"/>
        </w:rPr>
        <w:t>wniosek</w:t>
      </w:r>
      <w:r>
        <w:rPr>
          <w:rStyle w:val="FootnoteReference"/>
          <w:rFonts w:ascii="Times New Roman" w:hAnsi="Times New Roman"/>
          <w:b/>
          <w:noProof/>
          <w:sz w:val="24"/>
        </w:rPr>
        <w:footnoteReference w:id="10"/>
      </w:r>
      <w:r>
        <w:rPr>
          <w:rFonts w:ascii="Times New Roman" w:hAnsi="Times New Roman"/>
          <w:b/>
          <w:noProof/>
          <w:sz w:val="24"/>
        </w:rPr>
        <w:t xml:space="preserve"> dotyczący zmiany i wzmocnienia istniejących ograniczeń określonych w rozporządzeniu 98/2013 w sprawie wprowadzania do obrotu i używania prekursorów materiałów wybuchowych</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Wniosek ten jest następstwem zalecenia Komisji</w:t>
      </w:r>
      <w:r>
        <w:rPr>
          <w:rStyle w:val="FootnoteReference"/>
          <w:rFonts w:ascii="Times New Roman" w:hAnsi="Times New Roman"/>
          <w:noProof/>
          <w:sz w:val="24"/>
        </w:rPr>
        <w:footnoteReference w:id="12"/>
      </w:r>
      <w:r>
        <w:rPr>
          <w:rFonts w:ascii="Times New Roman" w:hAnsi="Times New Roman"/>
          <w:noProof/>
          <w:sz w:val="24"/>
        </w:rPr>
        <w:t xml:space="preserve"> z października 2017 r., w którym na podstawie istniejących przepisów określono natychmiastowe działania mające zapobiegać czynieniu niewłaściwego użytku z prekursorów materiałów wybuchowych. Wniosek opracowano na podstawie szeregu konsultacji z różnymi grupami zainteresowanych stron i dogłębnej oceny skutków. Na podstawie rozporządzenia z 2013 r. ograniczono udostępnianie, wprowadzanie, posiadanie i używanie określonych prekursorów materiałów wybuchowych i wprowadzono konieczność zgłaszania podejrzanych transakcji. Chociaż te ograniczenia i kontrole pomogły zmniejszyć liczbę prekursorów materiałów wybuchowych dostępnych dla ogółu społeczeństwa i doprowadziły do zwiększenia liczby zgłoszeń dotyczących podejrzanych transakcji, okazało się, że nie jest to wystarczające, aby zapobiegać niewłaściwemu wykorzystywaniu tych substancji przez terrorystów i przestępców do produkcji materiałów wybuchowych.</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Wniosek Komisji pomoże zlikwidować luki w systemie bezpieczeństwa i wzmocnić oraz wyjaśnić ramy prawne. Celem zaproponowanego rozporządzenia (które zastąpi poprzednie rozporządzenie z 2013 r.) będzie dalsze ograniczenie dostępu ogółu społeczeństwa do niebezpiecznych prekursorów materiałów wybuchowych za pomocą szeregu środków. W rozporządzeniu tym dodaje się dwie dodatkowe substancje</w:t>
      </w:r>
      <w:r>
        <w:rPr>
          <w:rStyle w:val="FootnoteReference"/>
          <w:rFonts w:ascii="Times New Roman" w:hAnsi="Times New Roman"/>
          <w:noProof/>
          <w:sz w:val="24"/>
        </w:rPr>
        <w:footnoteReference w:id="13"/>
      </w:r>
      <w:r>
        <w:rPr>
          <w:rFonts w:ascii="Times New Roman" w:hAnsi="Times New Roman"/>
          <w:noProof/>
          <w:sz w:val="24"/>
        </w:rPr>
        <w:t xml:space="preserve"> do wykazu prekursorów materiałów wybuchowych podlegających ograniczeniom, ogranicza możliwość ubiegania się o pozwolenie w stosunku do mniejszej liczby substancji oraz wzmacnia obowiązkowe kontrole karalności wnioskodawcy. System rejestracji z rozporządzenia z 2013 r.</w:t>
      </w:r>
      <w:r>
        <w:rPr>
          <w:noProof/>
        </w:rPr>
        <w:t xml:space="preserve"> </w:t>
      </w:r>
      <w:r>
        <w:rPr>
          <w:rFonts w:ascii="Times New Roman" w:hAnsi="Times New Roman"/>
          <w:noProof/>
          <w:sz w:val="24"/>
        </w:rPr>
        <w:t>nie będzie już wykorzystywany z uwagi na fakt, że zapewnia mniejszy poziom bezpieczeństwa. Ponadto w przedmiotowym wniosku wyjaśniono, że przepisy dotyczące podmiotów gospodarczych będą się w pełni odnosić także do sprzedaży internetowych. Proponowane rozporządzenie poprawi proces wdrażania prowadzony przez właściwe organy oraz przekazywanie informacji w łańcuchu dostaw. W ten sposób proponowane rozporządzenie znacząco utrudni terrorystom produkowanie materiałów wybuchowych domowej roboty. Komisja wzywa współprawodawców do przeanalizowania tego wniosku ustawodawczego w sposób niezwłoczny w celu szybkiego osiągnięcia porozumienia.</w:t>
      </w:r>
    </w:p>
    <w:p>
      <w:pPr>
        <w:widowControl w:val="0"/>
        <w:numPr>
          <w:ilvl w:val="0"/>
          <w:numId w:val="9"/>
        </w:numPr>
        <w:spacing w:after="240" w:line="240" w:lineRule="auto"/>
        <w:ind w:left="720" w:hanging="720"/>
        <w:jc w:val="both"/>
        <w:rPr>
          <w:rFonts w:ascii="Times New Roman" w:hAnsi="Times New Roman" w:cs="Times New Roman"/>
          <w:i/>
          <w:noProof/>
          <w:sz w:val="24"/>
          <w:szCs w:val="24"/>
        </w:rPr>
      </w:pPr>
      <w:r>
        <w:rPr>
          <w:rFonts w:ascii="Times New Roman" w:hAnsi="Times New Roman"/>
          <w:i/>
          <w:noProof/>
          <w:sz w:val="24"/>
        </w:rPr>
        <w:t>Większe bezpieczeństwo dowodów tożsamości i dokumentów pobytu zapobiegające fałszowaniu dokumentów i korzystaniu z fałszywej tożsamości</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Jak pokazują statystyki Europejskiej Agencji Straży Granicznej i Przybrzeżnej dotyczące sfałszowanych dokumentów, dokumentami podróży najczęściej wykorzystywanymi niezgodnie z prawem w UE są krajowe dowody tożsamości zawierające słabe zabezpieczenia. W ramach europejskiej reakcji na przestępstwa przeciwko wierzytelności dokumentów podróży określonej w planie działania z grudnia 2016 r.</w:t>
      </w:r>
      <w:r>
        <w:rPr>
          <w:rStyle w:val="FootnoteReference"/>
          <w:rFonts w:ascii="Times New Roman" w:hAnsi="Times New Roman"/>
          <w:noProof/>
          <w:sz w:val="24"/>
        </w:rPr>
        <w:footnoteReference w:id="14"/>
      </w:r>
      <w:r>
        <w:rPr>
          <w:rFonts w:ascii="Times New Roman" w:hAnsi="Times New Roman"/>
          <w:noProof/>
          <w:sz w:val="24"/>
        </w:rPr>
        <w:t xml:space="preserve"> Komisja przyjęła – wraz z niniejszym sprawozdaniem z postępu prac – </w:t>
      </w:r>
      <w:r>
        <w:rPr>
          <w:rFonts w:ascii="Times New Roman" w:hAnsi="Times New Roman"/>
          <w:b/>
          <w:noProof/>
          <w:sz w:val="24"/>
        </w:rPr>
        <w:t>wniosek dotyczący rozporządzenia mającego na celu wzmocnienie bezpieczeństwa dowodów tożsamości wydawanych obywatelom Unii oraz dokumentów podróży wydawanych obywatelom Unii i członkom ich rodzin</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Zgodnie z prawem UE dotyczącym swobodnego przepływu obywatele Unii mogą używać krajowych dowodów tożsamości jako dokumentów podróży, zarówno podróżując w granicach UE, jak i przekraczając granice zewnętrzne UE, aby powrócić do UE. W określonych przypadkach obywatele Unii mogą używać krajowych dowodów tożsamości, aby wjechać na terytorium państw trzecich. Karty pobytu członków rodzin niebędących obywatelami UE wraz z paszportami dają prawo wjazdu do UE bez wizy, jeżeli towarzyszy się obywatelowi Unii. W prawie UE określono już normy dotyczące zabezpieczeń i danych biometrycznych (wizerunku twarzy i odcisków palców) w paszportach i dokumentach podróży wydawanych przez państwa członkowskie</w:t>
      </w:r>
      <w:r>
        <w:rPr>
          <w:rStyle w:val="FootnoteReference"/>
          <w:rFonts w:ascii="Times New Roman" w:hAnsi="Times New Roman"/>
          <w:noProof/>
          <w:sz w:val="24"/>
        </w:rPr>
        <w:footnoteReference w:id="16"/>
      </w:r>
      <w:r>
        <w:rPr>
          <w:noProof/>
        </w:rPr>
        <w:t>.</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 xml:space="preserve">Wzmocnienie zabezpieczeń dowodów tożsamości i dokumentów pobytu utrudni przestępcom niewłaściwe wykorzystanie lub sfałszowanie takich dokumentów w celu poruszania się po terytorium UE lub przekraczania zewnętrznych granic UE. Lepiej zabezpieczone dokumenty tożsamości przyczynią się do skuteczniejszego zarządzania granicami zewnętrznymi UE (w tym w odniesieniu do wyzwania, jakie stanowi powrót zagranicznych bojowników terrorystycznych i członków ich rodzin), a jednocześnie lepiej zabezpieczone i bardziej wiarygodne dokumenty ułatwią obywatelom Unii korzystanie z praw do swobodnego przepływu. </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W związku z tym we wniosku Komisji, który oparto na dogłębnej ocenie skutków i konsultacjach publicznych, określono minimalne normy w zakresie bezpieczeństwa dokumentów w odniesieniu do krajowych dowodów tożsamości, w tym w szczególności do zdjęcia biometrycznego i odcisków palców, które mają być przechowywane w chipie dowodu tożsamości. We wniosku tym przewidziano także minimalny zakres informacji, które podaje się w dokumentach pobytu wydawanych przemieszczającym się obywatelom Unii, jak również pełną harmonizację kart pobytu członków rodzin niebędących obywatelami UE.</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Komisja wzywa współprawodawców do przeanalizowania tego wniosku ustawodawczego w sposób niezwłoczny w celu szybkiego osiągnięcia porozumienia.</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 xml:space="preserve"> </w:t>
      </w:r>
    </w:p>
    <w:p>
      <w:pPr>
        <w:pStyle w:val="ListParagraph"/>
        <w:widowControl w:val="0"/>
        <w:numPr>
          <w:ilvl w:val="0"/>
          <w:numId w:val="9"/>
        </w:numPr>
        <w:spacing w:after="240" w:line="240" w:lineRule="auto"/>
        <w:ind w:left="720" w:hanging="720"/>
        <w:contextualSpacing w:val="0"/>
        <w:jc w:val="both"/>
        <w:rPr>
          <w:rFonts w:ascii="Times New Roman" w:hAnsi="Times New Roman" w:cs="Times New Roman"/>
          <w:i/>
          <w:noProof/>
          <w:sz w:val="24"/>
          <w:szCs w:val="24"/>
        </w:rPr>
      </w:pPr>
      <w:r>
        <w:rPr>
          <w:rFonts w:ascii="Times New Roman" w:hAnsi="Times New Roman"/>
          <w:i/>
          <w:noProof/>
          <w:sz w:val="24"/>
        </w:rPr>
        <w:t>Poprawa kontroli przywozu i wywozu broni palnej w celu zapobiegania nielegalnemu obrotowi bronią palną</w:t>
      </w:r>
    </w:p>
    <w:p>
      <w:pPr>
        <w:spacing w:after="240" w:line="240" w:lineRule="auto"/>
        <w:jc w:val="both"/>
        <w:rPr>
          <w:rFonts w:ascii="Times New Roman" w:hAnsi="Times New Roman" w:cs="Times New Roman"/>
          <w:noProof/>
          <w:sz w:val="24"/>
        </w:rPr>
      </w:pPr>
      <w:r>
        <w:rPr>
          <w:rFonts w:ascii="Times New Roman" w:hAnsi="Times New Roman"/>
          <w:noProof/>
          <w:sz w:val="24"/>
        </w:rPr>
        <w:t>Komisja podjęła szereg działań, aby ograniczyć dostawę broni palnej dostępną dla przestępców i terrorystów. Aby uzupełnić działania przeciwko obrotowi bronią palną</w:t>
      </w:r>
      <w:r>
        <w:rPr>
          <w:rStyle w:val="FootnoteReference"/>
          <w:rFonts w:ascii="Times New Roman" w:hAnsi="Times New Roman"/>
          <w:noProof/>
          <w:sz w:val="24"/>
        </w:rPr>
        <w:footnoteReference w:id="17"/>
      </w:r>
      <w:r>
        <w:rPr>
          <w:rFonts w:ascii="Times New Roman" w:hAnsi="Times New Roman"/>
          <w:noProof/>
          <w:sz w:val="24"/>
        </w:rPr>
        <w:t xml:space="preserve"> i dokonaną w maju 2017 r. rewizję dyrektywy w sprawie kontroli nabywania i posiadania broni, Komisja przyjęła – wraz z niniejszym sprawozdaniem z postępu prac – </w:t>
      </w:r>
      <w:r>
        <w:rPr>
          <w:rFonts w:ascii="Times New Roman" w:hAnsi="Times New Roman"/>
          <w:b/>
          <w:noProof/>
          <w:sz w:val="24"/>
        </w:rPr>
        <w:t>zalecenie</w:t>
      </w:r>
      <w:r>
        <w:rPr>
          <w:rStyle w:val="FootnoteReference"/>
          <w:rFonts w:ascii="Times New Roman" w:hAnsi="Times New Roman"/>
          <w:noProof/>
          <w:sz w:val="24"/>
        </w:rPr>
        <w:footnoteReference w:id="18"/>
      </w:r>
      <w:r>
        <w:rPr>
          <w:rFonts w:ascii="Times New Roman" w:hAnsi="Times New Roman"/>
          <w:noProof/>
          <w:sz w:val="24"/>
        </w:rPr>
        <w:t xml:space="preserve"> w sprawie natychmiastowych środków w celu poprawy bezpieczeństwa wywozu, przywozu i tranzytu broni palnej do użytku cywilnego, jej części i istotnych komponentów oraz amunicji. W zaleceniu tym wezwano państwa członkowskie UE do podejmowania działań w celu </w:t>
      </w:r>
      <w:r>
        <w:rPr>
          <w:rFonts w:ascii="Times New Roman" w:hAnsi="Times New Roman"/>
          <w:b/>
          <w:noProof/>
          <w:sz w:val="24"/>
        </w:rPr>
        <w:t>poprawy identyfikowalności i bezpieczeństwa procedur kontroli wywozu i przywozu broni palnej oraz współpracy między organami w zwalczaniu obrotu bronią palną</w:t>
      </w:r>
      <w:r>
        <w:rPr>
          <w:rFonts w:ascii="Times New Roman" w:hAnsi="Times New Roman"/>
          <w:noProof/>
          <w:sz w:val="24"/>
        </w:rPr>
        <w:t>. Zalecenie to stanowi działanie następcze w związku ze sprawozdaniem Komisji z grudnia 2017 r. z wdrażania rozporządzenia nr 258/2012</w:t>
      </w:r>
      <w:r>
        <w:rPr>
          <w:rStyle w:val="FootnoteReference"/>
          <w:rFonts w:ascii="Times New Roman" w:hAnsi="Times New Roman"/>
          <w:noProof/>
          <w:sz w:val="24"/>
        </w:rPr>
        <w:footnoteReference w:id="19"/>
      </w:r>
      <w:r>
        <w:rPr>
          <w:rFonts w:ascii="Times New Roman" w:hAnsi="Times New Roman"/>
          <w:noProof/>
          <w:sz w:val="24"/>
        </w:rPr>
        <w:t xml:space="preserve"> w sprawie wywozu i przywozu broni palnej. W sprawozdaniu tym stwierdzono, że konieczne jest wzmocnienie systemu pozwoleń na wywóz i przywóz broni palnej, aby kontrolować warunki legalnego handlu i w związku z tym lepiej zwalczać nielegalny obrót bronią palną. Komisja będzie monitorowała wyniki tego zalecenia w ramach procesu ogólnego monitorowania wdrażania rozporządzenia nr 258/2012. </w:t>
      </w:r>
    </w:p>
    <w:p>
      <w:pPr>
        <w:widowControl w:val="0"/>
        <w:spacing w:after="240" w:line="240" w:lineRule="auto"/>
        <w:jc w:val="both"/>
        <w:rPr>
          <w:rFonts w:ascii="Times New Roman" w:hAnsi="Times New Roman" w:cs="Times New Roman"/>
          <w:b/>
          <w:noProof/>
          <w:sz w:val="24"/>
          <w:szCs w:val="24"/>
        </w:rPr>
      </w:pPr>
      <w:r>
        <w:rPr>
          <w:rFonts w:ascii="Times New Roman" w:hAnsi="Times New Roman"/>
          <w:b/>
          <w:noProof/>
          <w:sz w:val="24"/>
        </w:rPr>
        <w:t>III. WDRAŻANIE INNYCH PRIORYTETOWYCH INICJATYW DOTYCZĄCYCH BEZPIECZEŃSTWA</w:t>
      </w:r>
    </w:p>
    <w:p>
      <w:pPr>
        <w:widowControl w:val="0"/>
        <w:numPr>
          <w:ilvl w:val="0"/>
          <w:numId w:val="14"/>
        </w:numPr>
        <w:spacing w:after="240" w:line="240" w:lineRule="auto"/>
        <w:ind w:left="0" w:firstLine="0"/>
        <w:jc w:val="both"/>
        <w:rPr>
          <w:rFonts w:ascii="Times New Roman" w:hAnsi="Times New Roman" w:cs="Times New Roman"/>
          <w:i/>
          <w:noProof/>
          <w:sz w:val="24"/>
          <w:szCs w:val="24"/>
        </w:rPr>
      </w:pPr>
      <w:r>
        <w:rPr>
          <w:rFonts w:ascii="Times New Roman" w:hAnsi="Times New Roman"/>
          <w:i/>
          <w:noProof/>
          <w:sz w:val="24"/>
        </w:rPr>
        <w:t xml:space="preserve">Zwalczanie treści o charakterze terrorystycznym w internecie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Jak określono w programie prac Komisji na rok 2018 i w poprzednich sprawozdaniach z postępu prac nad stworzeniem unii bezpieczeństwa, Komisja propaguje i wzmacnia współpracę z platformami internetowymi w celu wykrywania i usuwania treści terrorystycznych i innych nielegalnych treści w internecie. Dnia 1 marca 2018 r. Komisja podjęła kolejne ważne działanie, aby rozwiązać pilną i poważną kwestię treści o charakterze terrorystycznym w internecie, przyjmując </w:t>
      </w:r>
      <w:r>
        <w:rPr>
          <w:rFonts w:ascii="Times New Roman" w:hAnsi="Times New Roman"/>
          <w:b/>
          <w:noProof/>
          <w:sz w:val="24"/>
        </w:rPr>
        <w:t>zalecenie w sprawie</w:t>
      </w:r>
      <w:r>
        <w:rPr>
          <w:rFonts w:ascii="Times New Roman" w:hAnsi="Times New Roman"/>
          <w:noProof/>
          <w:sz w:val="24"/>
        </w:rPr>
        <w:t xml:space="preserve"> działań, które mają zostać podjęte przez dostawców usług online i państwa członkowskie w celu wzmożenia wysiłków w związku z </w:t>
      </w:r>
      <w:r>
        <w:rPr>
          <w:rFonts w:ascii="Times New Roman" w:hAnsi="Times New Roman"/>
          <w:b/>
          <w:noProof/>
          <w:sz w:val="24"/>
        </w:rPr>
        <w:t>nielegalnymi treściami w internecie, w tym w szczególności treściami o charakterze terrorystycznym</w:t>
      </w:r>
      <w:r>
        <w:rPr>
          <w:rStyle w:val="FootnoteReference"/>
          <w:rFonts w:ascii="Times New Roman" w:hAnsi="Times New Roman"/>
          <w:noProof/>
          <w:sz w:val="24"/>
        </w:rPr>
        <w:footnoteReference w:id="20"/>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Zalecenie to opiera się na komunikacie z września 2017 r. w sprawie zwalczania nielegalnych treści w internecie</w:t>
      </w:r>
      <w:r>
        <w:rPr>
          <w:rStyle w:val="FootnoteReference"/>
          <w:rFonts w:ascii="Times New Roman" w:hAnsi="Times New Roman"/>
          <w:noProof/>
          <w:sz w:val="24"/>
        </w:rPr>
        <w:footnoteReference w:id="21"/>
      </w:r>
      <w:r>
        <w:rPr>
          <w:rFonts w:ascii="Times New Roman" w:hAnsi="Times New Roman"/>
          <w:noProof/>
          <w:sz w:val="24"/>
        </w:rPr>
        <w:t xml:space="preserve"> i wzywa się w nim dostawców usług online do zapewnienia szybszego wykrywania i usuwania nielegalnych treści w internecie, wzmocnienia współpracy między dostawcami usług online, zaufanymi podmiotami sygnalizującymi i organami ścigania UE, zwiększenia przejrzystości składania sprawozdań organom publicznym i zapewnienia obywatelom zabezpieczeń praw podstawowych. W zaleceniu podano wytyczne operacyjne dla dostawców usług online dotyczące szybszego usuwania treści o charakterze terrorystycznym i lepszej współpracy w zakresie ścigania przestępstw. Biorąc pod uwagę, że treści o charakterze terrorystycznym są zazwyczaj najbardziej szkodliwe przez pierwszą godzinę po ich pojawieniu się w internecie, oraz biorąc pod uwagę szczególną wiedzę ekspercką i obowiązki właściwych organów i Europolu, w zaleceniu tym podkreślono, że treści określone w zgłoszeniach powinni oceniać dostawcy usług online, a także że co do zasady – w stosownych przypadkach – powinni je usuwać lub uniemożliwiać dostęp do nich w ciągu godziny. W dokumencie tym zalecono również platformom, aby były proaktywne i wykorzystywały zautomatyzowane narzędzia do wykrywania i identyfikowania treści o charakterze terrorystycznym, oraz wezwano je do stosowania dostępnych narzędzi technologicznych w celu zapewnienia, by takie treści nie zostały ponownie załadowane na innych platformach</w:t>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Sporządzane są obecnie sprawozdania, które mają umożliwić monitorowanie efektów przewidzianych w ramach zalecenia. Oczekuje się, że dostawcy usług online przekażą do początku maja 2018 r. informacje, które pomogą Komisji zdecydować, czy aktualne podejście jest wystarczające, lub czy potrzeba dodatkowych środków w celu zapewnienia szybkiego i proaktywnego wykrywania i usuwania nielegalnych treści w internecie, w tym zapewnienia możliwych środków ustawodawczych uzupełniających istniejące ramy regulacyjne.</w:t>
      </w:r>
    </w:p>
    <w:p>
      <w:pPr>
        <w:widowControl w:val="0"/>
        <w:numPr>
          <w:ilvl w:val="0"/>
          <w:numId w:val="14"/>
        </w:numPr>
        <w:spacing w:after="240" w:line="240" w:lineRule="auto"/>
        <w:ind w:left="720" w:hanging="720"/>
        <w:jc w:val="both"/>
        <w:rPr>
          <w:rFonts w:ascii="Times New Roman" w:hAnsi="Times New Roman" w:cs="Times New Roman"/>
          <w:i/>
          <w:noProof/>
          <w:sz w:val="24"/>
          <w:szCs w:val="24"/>
        </w:rPr>
      </w:pPr>
      <w:r>
        <w:rPr>
          <w:rFonts w:ascii="Times New Roman" w:hAnsi="Times New Roman"/>
          <w:i/>
          <w:noProof/>
          <w:sz w:val="24"/>
        </w:rPr>
        <w:t xml:space="preserve">W stronę interoperacyjności systemów informacyjnych i usprawnionej wymiany informacji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W ramach działań na rzecz silniejszych i inteligentniejszych systemów informacyjnych dla zarządzania bezpieczeństwem, granicami i migracjami UE zajmuje się niedociągnięciami w zakresie zarządzania informacjami przez UE i wymiany informacji jako kwestią pilną i stanowiącą główny priorytet. Wszystkie powiązane wnioski ustawodawcze uwzględniono we Wspólnej deklaracji w sprawie priorytetów legislacyjnych UE na lata 2018–2019. Odnotowuje się postępy w dyskusjach między współprawodawcami dotyczących wniosków ustawodawczych w sprawie </w:t>
      </w:r>
      <w:r>
        <w:rPr>
          <w:rFonts w:ascii="Times New Roman" w:hAnsi="Times New Roman"/>
          <w:b/>
          <w:noProof/>
          <w:sz w:val="24"/>
        </w:rPr>
        <w:t>interoperacyjności</w:t>
      </w:r>
      <w:r>
        <w:rPr>
          <w:rFonts w:ascii="Times New Roman" w:hAnsi="Times New Roman"/>
          <w:noProof/>
          <w:sz w:val="24"/>
        </w:rPr>
        <w:t xml:space="preserve"> systemów informacyjnych UE. W następstwie obrad Rady ds. Wymiaru Sprawiedliwości i Spraw Wewnętrznych w dniu 8 marca 2018 r., w ramach których państwa członkowskie wyraziły szerokie poparcie dla elementów interoperacyjności zaproponowanych przez Komisję, Rada zamierza do czerwca 2018 r. wypracować podejście ogólne. W szybkim tempie posuwają się naprzód również dyskusje techniczne w Parlamencie Europejskim, a ich celem jest rozpoczęcie rozmów trójstronnych ze współprawodawcami do lipca 2018 r. i osiągnięcie porozumienia przed końcem tego roku. W tym celu – i jak ogłoszono w grudniu 2017 r.</w:t>
      </w:r>
      <w:r>
        <w:rPr>
          <w:rStyle w:val="FootnoteReference"/>
          <w:rFonts w:ascii="Times New Roman" w:hAnsi="Times New Roman"/>
          <w:noProof/>
          <w:sz w:val="24"/>
        </w:rPr>
        <w:footnoteReference w:id="22"/>
      </w:r>
      <w:r>
        <w:rPr>
          <w:rFonts w:ascii="Times New Roman" w:hAnsi="Times New Roman"/>
          <w:noProof/>
          <w:sz w:val="24"/>
        </w:rPr>
        <w:t xml:space="preserve"> – konieczne jest przedstawienie odpowiednich zmian do wniosków w sprawie interoperacyjności odnoszących się do tych instrumentów prawnych</w:t>
      </w:r>
      <w:r>
        <w:rPr>
          <w:rStyle w:val="FootnoteReference"/>
          <w:rFonts w:ascii="Times New Roman" w:hAnsi="Times New Roman"/>
          <w:noProof/>
          <w:sz w:val="24"/>
        </w:rPr>
        <w:footnoteReference w:id="23"/>
      </w:r>
      <w:r>
        <w:rPr>
          <w:rFonts w:ascii="Times New Roman" w:hAnsi="Times New Roman"/>
          <w:noProof/>
          <w:sz w:val="24"/>
        </w:rPr>
        <w:t xml:space="preserve">, które są obecnie przedmiotem negocjacji współprawodawców. Biorąc pod uwagę wspólny cel, jakim jest osiągnięcie porozumienia dotyczącego wniosków w sprawie interoperacyjności przed końcem 2018 r. – jak wskazano we Wspólnej deklaracji w sprawie priorytetów legislacyjnych UE na lata 2018–2019 – </w:t>
      </w:r>
      <w:r>
        <w:rPr>
          <w:rFonts w:ascii="Times New Roman" w:hAnsi="Times New Roman"/>
          <w:b/>
          <w:noProof/>
          <w:sz w:val="24"/>
        </w:rPr>
        <w:t>wymaga</w:t>
      </w:r>
      <w:r>
        <w:rPr>
          <w:rFonts w:ascii="Times New Roman" w:hAnsi="Times New Roman"/>
          <w:noProof/>
          <w:sz w:val="24"/>
        </w:rPr>
        <w:t xml:space="preserve"> to z kolei </w:t>
      </w:r>
      <w:r>
        <w:rPr>
          <w:rFonts w:ascii="Times New Roman" w:hAnsi="Times New Roman"/>
          <w:b/>
          <w:noProof/>
          <w:sz w:val="24"/>
        </w:rPr>
        <w:t>szybkiego osiągnięcia porozumienia w sprawie tych działań, które są nadal przedmiotem negocjacji</w:t>
      </w:r>
      <w:r>
        <w:rPr>
          <w:rFonts w:ascii="Times New Roman" w:hAnsi="Times New Roman"/>
          <w:noProof/>
          <w:sz w:val="24"/>
        </w:rPr>
        <w:t>. W każdym wypadku do połowy czerwca 2018 r. Komisja przedstawi wszystkie niezbędne zmiany do wniosków w sprawie interoperacyjności, aby umożliwić rozpoczęcie rozmów trójstronnych do lipca 2018 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Międzyinstytucjonalne negocjacje w sprawie ustanowienia </w:t>
      </w:r>
      <w:r>
        <w:rPr>
          <w:rFonts w:ascii="Times New Roman" w:hAnsi="Times New Roman"/>
          <w:b/>
          <w:noProof/>
          <w:sz w:val="24"/>
        </w:rPr>
        <w:t>europejskiego systemu informacji o podróży oraz zezwoleń na podróż</w:t>
      </w:r>
      <w:r>
        <w:rPr>
          <w:rFonts w:ascii="Times New Roman" w:hAnsi="Times New Roman"/>
          <w:noProof/>
          <w:sz w:val="24"/>
        </w:rPr>
        <w:t xml:space="preserve"> (ETIAS) są na etapie końcowym, a w nadchodzących tygodniach powinno nastąpić przyjęcie tego systemu.</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Podjęto intensywne prace, aby osiągnąć postępy w negocjacjach trójstronnych między współprawodawcami dotyczących trzech wniosków ustawodawczych mających na celu wzmocnienie </w:t>
      </w:r>
      <w:r>
        <w:rPr>
          <w:rFonts w:ascii="Times New Roman" w:hAnsi="Times New Roman"/>
          <w:b/>
          <w:noProof/>
          <w:sz w:val="24"/>
        </w:rPr>
        <w:t>Systemu Informacyjnego Schengen</w:t>
      </w:r>
      <w:r>
        <w:rPr>
          <w:rFonts w:ascii="Times New Roman" w:hAnsi="Times New Roman"/>
          <w:noProof/>
          <w:sz w:val="24"/>
        </w:rPr>
        <w:t xml:space="preserve"> (SIS), mając na względzie osiągnięcie porozumienia politycznego. Komisja wzywa współprawodawców do osiągnięcia porozumienia w sprawie tych wniosków do końca maja 2018 r. Równolegle z prowadzeniem tych prac legislacyjnych w dniu 5 marca 2018 r. uruchomiono funkcję </w:t>
      </w:r>
      <w:r>
        <w:rPr>
          <w:rFonts w:ascii="Times New Roman" w:hAnsi="Times New Roman"/>
          <w:b/>
          <w:noProof/>
          <w:sz w:val="24"/>
        </w:rPr>
        <w:t>automatycznej identyfikacji daktyloskopijnej</w:t>
      </w:r>
      <w:r>
        <w:rPr>
          <w:rFonts w:ascii="Times New Roman" w:hAnsi="Times New Roman"/>
          <w:noProof/>
          <w:sz w:val="24"/>
        </w:rPr>
        <w:t xml:space="preserve"> (AFIS) w celu wzmocnienia obecnej formy Systemu Informacyjnego Schengen. To techniczne ulepszenie zapewnia natychmiastową i znaczącą wartość dodaną w pracy straży granicznej i funkcjonariuszy organów ścigania, ponieważ pozwala im na przeszukiwanie systemu na podstawie odcisków palców w celu zidentyfikowania osób, które wkraczają do strefy Schengen lub poruszają się w granicach strefy Schengen. Ulepszenie to jest kamieniem milowym dla bezpieczeństwa w strefie Schengen, ponieważ dzięki niemu łatwiej będzie zidentyfikować przestępców używających kilku tożsamości lub sfałszowanych tożsamości. Od tego momentu każdy nowo utworzony zapis odcisków palców porównywany jest ze wszystkimi istniejącymi zapisami w SIS w celu wykrycia osób posługujących się wieloma tożsamościami. Ponadto jedenaście państw Schengen uczestniczących w pierwszym etapie tego projektu</w:t>
      </w:r>
      <w:r>
        <w:rPr>
          <w:rStyle w:val="FootnoteReference"/>
          <w:rFonts w:ascii="Times New Roman" w:hAnsi="Times New Roman"/>
          <w:noProof/>
          <w:sz w:val="24"/>
        </w:rPr>
        <w:footnoteReference w:id="24"/>
      </w:r>
      <w:r>
        <w:rPr>
          <w:rFonts w:ascii="Times New Roman" w:hAnsi="Times New Roman"/>
          <w:noProof/>
          <w:sz w:val="24"/>
        </w:rPr>
        <w:t xml:space="preserve"> realizuje obecnie wyszukiwania danych w oparciu o odciski palców. Nowe ramy prawne SIS zaproponowane przez Komisję oparte są na funkcji AFIS, ponieważ funkcja ta zapewni obowiązkowe kontrole odcisków palców, jeżeli tożsamości danej osoby nie można zidentyfikować w inny sposób. Komisja wzywa wszystkie pozostałe państwa członkowskie do podjęcia niezbędnych kroków, aby nowa funkcja była stosowana w ramach podstawowych kontroli na przejściach granicznych, jak również kontroli policyjnych na terytorium danego państwa. W kolejnym kroku mającym na celu wzmocnienie stosowania Systemu Informacyjnego Schengen Komisja przyjęła – wraz z niniejszym sprawozdaniem z postępu prac –</w:t>
      </w:r>
      <w:r>
        <w:rPr>
          <w:noProof/>
        </w:rPr>
        <w:t xml:space="preserve"> </w:t>
      </w:r>
      <w:r>
        <w:rPr>
          <w:rFonts w:ascii="Times New Roman" w:hAnsi="Times New Roman"/>
          <w:noProof/>
          <w:sz w:val="24"/>
        </w:rPr>
        <w:t>nową wersję istniejącego katalogu zaleceń i najlepszych praktyk wynikającą z oceny Schengen z 2016 i 2017 r.</w:t>
      </w:r>
    </w:p>
    <w:p>
      <w:pPr>
        <w:spacing w:after="240" w:line="240" w:lineRule="auto"/>
        <w:jc w:val="both"/>
        <w:rPr>
          <w:rFonts w:ascii="Times New Roman" w:hAnsi="Times New Roman"/>
          <w:noProof/>
          <w:sz w:val="24"/>
        </w:rPr>
      </w:pPr>
      <w:r>
        <w:rPr>
          <w:rFonts w:ascii="Times New Roman" w:hAnsi="Times New Roman"/>
          <w:noProof/>
          <w:sz w:val="24"/>
        </w:rPr>
        <w:t xml:space="preserve">Kontynuowane są również trójstronne negocjacje między współprawodawcami w sprawie wniosków mających na celu ułatwienie wymiany rejestrów karnych obywateli państw trzecich w UE za pomocą </w:t>
      </w:r>
      <w:r>
        <w:rPr>
          <w:rFonts w:ascii="Times New Roman" w:hAnsi="Times New Roman"/>
          <w:b/>
          <w:noProof/>
          <w:sz w:val="24"/>
        </w:rPr>
        <w:t>europejskiego systemu przekazywania informacji z rejestrów karnych</w:t>
      </w:r>
      <w:r>
        <w:rPr>
          <w:rFonts w:ascii="Times New Roman" w:hAnsi="Times New Roman"/>
          <w:noProof/>
          <w:sz w:val="24"/>
        </w:rPr>
        <w:t xml:space="preserve"> i wzmocnienie Agencji ds. Zarządzania Operacyjnego Wielkoskalowymi Systemami Informatycznymi w Przestrzeni Wolności, Bezpieczeństwa i Sprawiedliwości (</w:t>
      </w:r>
      <w:r>
        <w:rPr>
          <w:rFonts w:ascii="Times New Roman" w:hAnsi="Times New Roman"/>
          <w:b/>
          <w:noProof/>
          <w:sz w:val="24"/>
        </w:rPr>
        <w:t>eu-LISA</w:t>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W ramach pracy na rzecz wzmocnienia istniejących systemów informacyjnych i ich interoperacyjności Komisja przedstawi wiosną 2018 r. w późniejszym terminie wniosek – oparty na badaniach technicznych i ocenie skutków – w sprawie zmiany </w:t>
      </w:r>
      <w:r>
        <w:rPr>
          <w:rFonts w:ascii="Times New Roman" w:hAnsi="Times New Roman"/>
          <w:b/>
          <w:noProof/>
          <w:sz w:val="24"/>
        </w:rPr>
        <w:t>wizowego systemu informacyjnego</w:t>
      </w:r>
      <w:r>
        <w:rPr>
          <w:rFonts w:ascii="Times New Roman" w:hAnsi="Times New Roman"/>
          <w:noProof/>
          <w:sz w:val="24"/>
        </w:rPr>
        <w:t xml:space="preserve"> (VIS), aby przyczynić się do zwiększenia poziomu bezpieczeństwa na granicach zewnętrznych i wewnątrz strefy Schengen. Przyszła rewizja ram prawnych VIS będzie obejmować specjalne środki w zakresie interoperacyjności mające zwiększyć efektywność rozpatrywania wniosków wizowych i zgodnie z planami ma być odpowiedzią na inne kwestie zidentyfikowane w ocenie VIS z 2016 r.</w:t>
      </w:r>
      <w:r>
        <w:rPr>
          <w:rStyle w:val="FootnoteReference"/>
          <w:rFonts w:ascii="Times New Roman" w:hAnsi="Times New Roman"/>
          <w:noProof/>
          <w:sz w:val="24"/>
        </w:rPr>
        <w:footnoteReference w:id="25"/>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Pełne wdrożenie dyrektywy w sprawie </w:t>
      </w:r>
      <w:r>
        <w:rPr>
          <w:rFonts w:ascii="Times New Roman" w:hAnsi="Times New Roman"/>
          <w:b/>
          <w:noProof/>
          <w:sz w:val="24"/>
        </w:rPr>
        <w:t>danych dotyczących przelotu pasażera</w:t>
      </w:r>
      <w:r>
        <w:rPr>
          <w:rFonts w:ascii="Times New Roman" w:hAnsi="Times New Roman"/>
          <w:noProof/>
          <w:sz w:val="24"/>
        </w:rPr>
        <w:t xml:space="preserve"> (danych PNR)</w:t>
      </w:r>
      <w:r>
        <w:rPr>
          <w:rStyle w:val="FootnoteReference"/>
          <w:rFonts w:ascii="Times New Roman" w:hAnsi="Times New Roman"/>
          <w:noProof/>
          <w:sz w:val="24"/>
        </w:rPr>
        <w:footnoteReference w:id="26"/>
      </w:r>
      <w:r>
        <w:rPr>
          <w:rFonts w:ascii="Times New Roman" w:hAnsi="Times New Roman"/>
          <w:noProof/>
          <w:sz w:val="24"/>
        </w:rPr>
        <w:t xml:space="preserve"> stanowi istotną część równoległych wysiłków na rzecz pełnego wykorzystania istniejących systemów informacyjnych, biorąc pod uwagę kluczową rolę tego instrumentu we wspólnej reakcji UE na zagrożenie terroryzmem i poważną przestępczością transgraniczną. Pełne wdrożenie tej dyrektywy przez wszystkie państwa członkowskie w wyznaczonym terminie do dnia 25 maja 2018 r. jest niezbędne, aby umożliwić pełną skuteczność na poziomie UE. Na posiedzeniu Rady ds. Wymiaru Sprawiedliwości i Spraw Wewnętrznych w dniu 8 marca 2018 r. państwa członkowskie, które nie dokonały jeszcze transpozycji tej dyrektywy, podkreśliły, że dokładają wszelkich starań, aby dotrzymać wskazanego terminu. Na dzień 17 kwietnia 2018 r. pięć państw członkowskich</w:t>
      </w:r>
      <w:r>
        <w:rPr>
          <w:rStyle w:val="FootnoteReference"/>
          <w:rFonts w:ascii="Times New Roman" w:hAnsi="Times New Roman"/>
          <w:noProof/>
          <w:sz w:val="24"/>
        </w:rPr>
        <w:footnoteReference w:id="27"/>
      </w:r>
      <w:r>
        <w:rPr>
          <w:rFonts w:ascii="Times New Roman" w:hAnsi="Times New Roman"/>
          <w:noProof/>
          <w:sz w:val="24"/>
        </w:rPr>
        <w:t xml:space="preserve"> nadal pozostaje na stosunkowo wczesnym etapie procesu wdrażania. Komisja ponownie wzywa te państwa członkowskie do poczynienia szybkich postępów w procesie transpozycji i podjęcia wszelkich możliwych kroków w celu zapewnienia, aby w ciągu pozostałych pięciu tygodni uruchomiono ich jednostki do spraw informacji o pasażerach oraz techniczne rozwiązanie w zakresie danych dotyczących przelotu pasażera celem dotrzymania terminu dnia 25 maja 2018 r. </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Komisja w dalszym ciągu zachęca wszystkie państwa członkowskie do podejmowania wysiłków na rzecz wdrożenia tej dyrektywy i wspiera je w tych wysiłkach, w tym kontaktuje się indywidualnie z tymi pięcioma państwami członkowskimi na poziomie politycznym i technicznym. Ósme spotkanie dotyczące wdrażania dyrektywy w sprawie danych dotyczących przelotu pasażera miało miejsce dnia 12 kwietnia 2018 r. i dało państwom członkowskim i Komisji kolejną możliwość zajęcia się pozostałymi kwestiami wdrażania, jak również przyjrzenia się po raz pierwszy sprawom związanym ze stosowaniem tej dyrektywy. </w:t>
      </w:r>
    </w:p>
    <w:p>
      <w:pPr>
        <w:widowControl w:val="0"/>
        <w:numPr>
          <w:ilvl w:val="0"/>
          <w:numId w:val="14"/>
        </w:numPr>
        <w:spacing w:after="240" w:line="240" w:lineRule="auto"/>
        <w:ind w:left="720" w:hanging="720"/>
        <w:jc w:val="both"/>
        <w:rPr>
          <w:rFonts w:ascii="Times New Roman" w:hAnsi="Times New Roman" w:cs="Times New Roman"/>
          <w:i/>
          <w:noProof/>
          <w:sz w:val="24"/>
          <w:szCs w:val="24"/>
        </w:rPr>
      </w:pPr>
      <w:r>
        <w:rPr>
          <w:rFonts w:ascii="Times New Roman" w:hAnsi="Times New Roman"/>
          <w:i/>
          <w:noProof/>
          <w:sz w:val="24"/>
        </w:rPr>
        <w:t>Ochrona przed zagrożeniami chemicznymi, biologicznymi, radiologicznymi i jądrowymi oraz ochrona przestrzeni publicznych</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Atak chemiczny w Salisbury w sposób szokujący przypomniał o zagrożeniu, jakie mogą stanowić dla bezpieczeństwa w </w:t>
      </w:r>
      <w:r>
        <w:rPr>
          <w:rFonts w:ascii="Times New Roman" w:hAnsi="Times New Roman"/>
          <w:b/>
          <w:noProof/>
          <w:sz w:val="24"/>
        </w:rPr>
        <w:t>substancje</w:t>
      </w:r>
      <w:r>
        <w:rPr>
          <w:rFonts w:ascii="Times New Roman" w:hAnsi="Times New Roman"/>
          <w:noProof/>
          <w:sz w:val="24"/>
        </w:rPr>
        <w:t xml:space="preserve"> </w:t>
      </w:r>
      <w:r>
        <w:rPr>
          <w:rFonts w:ascii="Times New Roman" w:hAnsi="Times New Roman"/>
          <w:b/>
          <w:noProof/>
          <w:sz w:val="24"/>
        </w:rPr>
        <w:t>chemiczne biologiczne, radiologiczne i jądrowe (CBRJ)</w:t>
      </w:r>
      <w:r>
        <w:rPr>
          <w:rFonts w:ascii="Times New Roman" w:hAnsi="Times New Roman"/>
          <w:noProof/>
          <w:sz w:val="24"/>
        </w:rPr>
        <w:t>. Zgodnie z wnioskiem przedstawionym na szczycie Rady Europejskiej w dniach 22–23 marca 2018 r. UE musi wzmocnić swoją odporność wobec zagrożeń atakami CBRJ według planu działania przedstawionego w październiku 2017 r.</w:t>
      </w:r>
      <w:r>
        <w:rPr>
          <w:rStyle w:val="FootnoteReference"/>
          <w:rFonts w:ascii="Times New Roman" w:hAnsi="Times New Roman"/>
          <w:noProof/>
          <w:sz w:val="24"/>
        </w:rPr>
        <w:footnoteReference w:id="28"/>
      </w:r>
      <w:r>
        <w:rPr>
          <w:rFonts w:ascii="Times New Roman" w:hAnsi="Times New Roman"/>
          <w:noProof/>
          <w:sz w:val="24"/>
        </w:rPr>
        <w:t xml:space="preserve"> W planie działania określono szereg środków mających na celu zmniejszenie dostępności materiałów CBRJ, usunięcie luk w wykrywaniu takich materiałów i zwiększenie gotowości wobec incydentów CBRJ i możliwości reagowania na nie. Środki te mają również na celu wspieranie współpracy w zwalczaniu tych zagrożeń w ramach UE i wraz z głównymi partnerami międzynarodowymi, w tym NATO. Obejmuje to wymianę informacji, wspólne działania na rzecz budowania zdolności, szkolenia i ćwiczenia, w tym we współpracy z akredytowanym przez NATO centrum doskonałości ds. CBRJ w Republice Czeskiej. Tworzy się obecnie unijną sieć bezpieczeństwa CBRJ w celu skupienia wszystkich podmiotów CBRJ na poziomie zarówno strategicznym, jak i operacyjnym. Połączy ona państwa członkowskie, instytucje UE, właściwe agencje oraz, w stosownych przypadkach, odpowiednich kluczowych partnerów międzynarodowych i podmioty z sektora prywatnego. Pięć państw członkowskich wciąż musi wyznaczyć koordynatorów ds. bezpieczeństwa CBRJ; powinny one uczynić to bezzwłocznie. Zgodnie z wnioskiem Rady Europejskiej Komisja i Wysoki Przedstawiciel przedstawią sprawozdanie z postępu prac we wdrażaniu planu działania w zakresie CBRJ i zwiększaniu zdolności radzenia sobie z zagrożeniami hybrydowymi przed szczytem Rady Europejskiej w czerwcu 2018 r.</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W ramach wdrażania planu działania na rzecz wspierania</w:t>
      </w:r>
      <w:r>
        <w:rPr>
          <w:rFonts w:ascii="Times New Roman" w:hAnsi="Times New Roman"/>
          <w:b/>
          <w:noProof/>
          <w:sz w:val="24"/>
        </w:rPr>
        <w:t xml:space="preserve"> ochrony przestrzeni publicznej</w:t>
      </w:r>
      <w:r>
        <w:rPr>
          <w:rStyle w:val="FootnoteReference"/>
          <w:rFonts w:ascii="Times New Roman" w:hAnsi="Times New Roman"/>
          <w:noProof/>
          <w:sz w:val="24"/>
        </w:rPr>
        <w:footnoteReference w:id="29"/>
      </w:r>
      <w:r>
        <w:rPr>
          <w:rFonts w:ascii="Times New Roman" w:hAnsi="Times New Roman"/>
          <w:noProof/>
          <w:sz w:val="24"/>
        </w:rPr>
        <w:t>, w szczególności przed atakami terrorystycznymi, Komisja i Europejski Komitet Regionów wspólnie zorganizowały w dniu 8 marca 2018 r. konferencję unijnych burmistrzów pt. „Tworzenie miejskiego systemu ochrony przed terroryzmem:: Główne wnioski wyciągnięte z niedawnych zamachów”,</w:t>
      </w:r>
      <w:r>
        <w:rPr>
          <w:noProof/>
        </w:rPr>
        <w:t xml:space="preserve"> </w:t>
      </w:r>
      <w:r>
        <w:rPr>
          <w:rFonts w:ascii="Times New Roman" w:hAnsi="Times New Roman"/>
          <w:noProof/>
          <w:sz w:val="24"/>
        </w:rPr>
        <w:t>w</w:t>
      </w:r>
      <w:r>
        <w:rPr>
          <w:noProof/>
        </w:rPr>
        <w:t> </w:t>
      </w:r>
      <w:r>
        <w:rPr>
          <w:rFonts w:ascii="Times New Roman" w:hAnsi="Times New Roman"/>
          <w:noProof/>
          <w:sz w:val="24"/>
        </w:rPr>
        <w:t>której udział wzięło prawie 200 uczestników, w tym z miast, które padły ostatnio ofiarą ataków terrorystycznych. Podczas konferencji skupiono się na wnioskach wyciągniętych z ostatnich ataków terrorystycznych, wymianie doświadczeń i najlepszych praktyk. Umożliwiło to wskazanie rozwiązań służących wzmocnieniu ochrony fizycznej przestrzeni publicznych przy jednoczesnym zachowaniu otwartości i atrakcyjności miast i przestrzeni publicznych, w tym wdrożenie koncepcji „uwzględniania bezpieczeństwa na etapie projektowania”. W ramach Funduszu Bezpieczeństwa Wewnętrznego udostępniono środki finansowe UE w celu wspierania wdrażania tych rozwiązań. Komisja przeprowadza obecnie ocenę 35 wniosków dotyczących projektów otrzymanych w wyniku ogłoszonego zaproszenia. Bezpieczeństwo będzie także jednym z priorytetów przewidzianego na 2018 r. w późniejszym terminie zaproszenia do składania wniosków w ramach innowacyjnych działań miejskich o łącznym budżecie w wysokości 100 mln EUR ze środków Europejskiego Funduszu Rozwoju Regionalnego. Badania nad bezpieczeństwem również stanowią wkład w ogólne wysiłki na rzecz wzmocnienia ochrony przestrzeni publicznych. W 2019 r. zainicjowane zostaną specjalne badania naukowe w obszarze „Bezpieczeństwo inteligentnych i bezpiecznych miast, w tym przestrzeni publicznych” o budżecie w wysokości 16 mln EUR.</w:t>
      </w:r>
      <w:r>
        <w:rPr>
          <w:noProof/>
        </w:rPr>
        <w:t xml:space="preserve"> </w:t>
      </w:r>
    </w:p>
    <w:p>
      <w:pPr>
        <w:widowControl w:val="0"/>
        <w:numPr>
          <w:ilvl w:val="0"/>
          <w:numId w:val="14"/>
        </w:numPr>
        <w:spacing w:after="240" w:line="240" w:lineRule="auto"/>
        <w:ind w:left="0" w:firstLine="0"/>
        <w:jc w:val="both"/>
        <w:rPr>
          <w:rFonts w:ascii="Times New Roman" w:hAnsi="Times New Roman" w:cs="Times New Roman"/>
          <w:i/>
          <w:noProof/>
          <w:sz w:val="24"/>
          <w:szCs w:val="24"/>
        </w:rPr>
      </w:pPr>
      <w:r>
        <w:rPr>
          <w:rFonts w:ascii="Times New Roman" w:hAnsi="Times New Roman"/>
          <w:i/>
          <w:noProof/>
          <w:sz w:val="24"/>
        </w:rPr>
        <w:t xml:space="preserve">Cyberbezpieczeństwo </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Przeciwdziałanie cyberprzestępczości i zwiększanie cyberbezpieczeństwa stanowi priorytet działań UE. Aby stworzyć synergie, zwiększyć skalę istniejących kompetencji i badań naukowych i znaleźć poszukiwane na rynku rozwiązania, które mogłyby poprawić cyberbezpieczeństwo jednolitego rynku cyfrowego, Komisja ogłosiła w dniu 1 lutego 2018 r. zaproszenie do składania wniosków w ramach projektu pilotażowego o wartości 50 mln EUR w celu wsparcia utworzenia w całej UE sieci centrów kompetencji w dziedzinie cyberbezpieczeństwa. Sieć ta zgromadzi wiedzę badawczą w dziedzinie cyberbezpieczeństwa z całej Unii Europejskiej (np. laboratoria uniwersyteckie / publiczne lub prywatne niekomercyjne centra badawcze). Wspomniany projekt pilotażowy zapowiedziano w przyjętym we wrześniu 2017 r. wspólnym komunikacie w sprawie cyberbezpieczeństwa</w:t>
      </w:r>
      <w:r>
        <w:rPr>
          <w:rStyle w:val="FootnoteReference"/>
          <w:rFonts w:ascii="Times New Roman" w:hAnsi="Times New Roman"/>
          <w:noProof/>
          <w:sz w:val="24"/>
        </w:rPr>
        <w:footnoteReference w:id="30"/>
      </w:r>
      <w:r>
        <w:rPr>
          <w:rFonts w:ascii="Times New Roman" w:hAnsi="Times New Roman"/>
          <w:noProof/>
          <w:sz w:val="24"/>
        </w:rPr>
        <w:t>, a źródłem funduszy będzie program ramowy „Horyzont 2020” w ramach zmienionego programu prac na lata 2018–2020. Termin wysyłania odpowiedzi na zaproszenie do składania wniosków upływa w dniu 29 maja 2018 r.</w:t>
      </w:r>
      <w:r>
        <w:rPr>
          <w:rStyle w:val="FootnoteReference"/>
          <w:rFonts w:ascii="Times New Roman" w:hAnsi="Times New Roman"/>
          <w:noProof/>
          <w:sz w:val="24"/>
        </w:rPr>
        <w:footnoteReference w:id="31"/>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Niedawne wykorzystanie rozwiązań cybernetycznych do manipulowania zachowaniem, pogłębiania podziałów społecznych i podważania systemów i instytucji demokratycznych dodatkowo zwróciło uwagę na konieczność dbania o narzędzia, dzięki którym zapewnia się odpowiedzialność w internecie. Stanowiło to kolejny aspekt, który podkreślono we wspólnym komunikacie z 2017 r., polegający w szczególności na zwiększeniu </w:t>
      </w:r>
      <w:r>
        <w:rPr>
          <w:rFonts w:ascii="Times New Roman" w:hAnsi="Times New Roman"/>
          <w:b/>
          <w:noProof/>
          <w:sz w:val="24"/>
        </w:rPr>
        <w:t>dostępności i dokładności informacji w bazie rejestrów nazw domen „WHOIS”, która stanowi</w:t>
      </w:r>
      <w:r>
        <w:rPr>
          <w:rFonts w:ascii="Times New Roman" w:hAnsi="Times New Roman"/>
          <w:noProof/>
          <w:sz w:val="24"/>
        </w:rPr>
        <w:t xml:space="preserve"> istotny zasób wykorzystywany w dochodzeniach dotyczących cyberprzestępstw i w cyberbezpieczeństwie. Podczas gdy w ICANN trwają prace zmierzające do zapewnienia, aby ta baza danych była zgodna z przepisami dotyczącymi ochrony danych, a zwłaszcza z ogólnym rozporządzeniem o ochronie danych, Komisja wysłała pismo</w:t>
      </w:r>
      <w:r>
        <w:rPr>
          <w:rStyle w:val="FootnoteReference"/>
          <w:rFonts w:ascii="Times New Roman" w:hAnsi="Times New Roman"/>
          <w:noProof/>
          <w:sz w:val="24"/>
        </w:rPr>
        <w:footnoteReference w:id="32"/>
      </w:r>
      <w:r>
        <w:rPr>
          <w:rFonts w:ascii="Times New Roman" w:hAnsi="Times New Roman"/>
          <w:noProof/>
          <w:sz w:val="24"/>
        </w:rPr>
        <w:t xml:space="preserve"> do ICANN w sprawie dwóch równoległych celów: zapewnienia szybkiego dostępu do spisów ICANN w celach związanych z interesem publicznym przy jednoczesnym zachowaniu pełnej zgodności z unijnymi przepisami dotyczącymi ochrony danych. Rządowy Komitet Doradczy ICANN, w którego skład wchodzą przedstawiciele rządów krajowych i Komisji, wyraził swoje obawy i wezwał ICANN do zapewnienia ciągłego dostępu do WHOIS – w tym do danych niepublicznych – użytkownikom, którzy mają uzasadnione powody.</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W styczniu 2018 r. Komisja Europejska utworzyła niezależną grupę ekspertów wysokiego szczebla, która ma doradzać w kwestii wariantów strategicznych umożliwiających przeciwdziałanie rozpowszechnianym w internecie fałszywym informacjom i </w:t>
      </w:r>
      <w:r>
        <w:rPr>
          <w:rFonts w:ascii="Times New Roman" w:hAnsi="Times New Roman"/>
          <w:b/>
          <w:noProof/>
          <w:sz w:val="24"/>
        </w:rPr>
        <w:t>dezinformacji</w:t>
      </w:r>
      <w:r>
        <w:rPr>
          <w:rFonts w:ascii="Times New Roman" w:hAnsi="Times New Roman"/>
          <w:noProof/>
          <w:sz w:val="24"/>
        </w:rPr>
        <w:t xml:space="preserve"> oraz pomóc w opracowywaniu kompleksowej strategii UE w tym zakresie. W dniu 12 marca 2018 r. grupa ekspertów opublikowała sprawozdanie „Wielowymiarowe podejście do dezinformacji”, które będzie stanowić wkład w komunikat Komisji na temat tej kwestii, którego przyjęcie jest planowane na wiosnę br.</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 xml:space="preserve">W dniu 16 kwietnia 2018 r. </w:t>
      </w:r>
      <w:r>
        <w:rPr>
          <w:rFonts w:ascii="Times New Roman" w:hAnsi="Times New Roman"/>
          <w:b/>
          <w:noProof/>
          <w:sz w:val="24"/>
        </w:rPr>
        <w:t>Rada do Spraw Zagranicznych przyjęła konkluzje Rady w sprawie szkodliwych działań cybernetycznych.</w:t>
      </w:r>
      <w:r>
        <w:rPr>
          <w:rFonts w:ascii="Times New Roman" w:hAnsi="Times New Roman"/>
          <w:noProof/>
          <w:sz w:val="24"/>
        </w:rPr>
        <w:t xml:space="preserve"> Te konkluzje stanowią praktyczne wdrożenie wspólnej unijnej reakcji dyplomatycznej na szkodliwe działania cybernetyczne („zestaw narzędzi dla dyplomacji cyfrowej”)</w:t>
      </w:r>
      <w:r>
        <w:rPr>
          <w:rStyle w:val="FootnoteReference"/>
          <w:rFonts w:ascii="Times New Roman" w:hAnsi="Times New Roman"/>
          <w:noProof/>
          <w:sz w:val="24"/>
        </w:rPr>
        <w:footnoteReference w:id="33"/>
      </w:r>
      <w:r>
        <w:rPr>
          <w:rFonts w:ascii="Times New Roman" w:hAnsi="Times New Roman"/>
          <w:noProof/>
          <w:sz w:val="24"/>
        </w:rPr>
        <w:t xml:space="preserve"> i zostały przyjęte w odpowiedzi na konkretne szkodliwe działania cybernetyczne, takie jak cyberataki </w:t>
      </w:r>
      <w:r>
        <w:rPr>
          <w:rFonts w:ascii="Times New Roman" w:hAnsi="Times New Roman"/>
          <w:i/>
          <w:noProof/>
          <w:sz w:val="24"/>
        </w:rPr>
        <w:t>Wannacry</w:t>
      </w:r>
      <w:r>
        <w:rPr>
          <w:rFonts w:ascii="Times New Roman" w:hAnsi="Times New Roman"/>
          <w:noProof/>
          <w:sz w:val="24"/>
        </w:rPr>
        <w:t xml:space="preserve"> i </w:t>
      </w:r>
      <w:r>
        <w:rPr>
          <w:rFonts w:ascii="Times New Roman" w:hAnsi="Times New Roman"/>
          <w:i/>
          <w:noProof/>
          <w:sz w:val="24"/>
        </w:rPr>
        <w:t>NotPetya.</w:t>
      </w:r>
      <w:r>
        <w:rPr>
          <w:rFonts w:ascii="Times New Roman" w:hAnsi="Times New Roman"/>
          <w:noProof/>
          <w:sz w:val="24"/>
        </w:rPr>
        <w:t xml:space="preserve"> W</w:t>
      </w:r>
      <w:r>
        <w:rPr>
          <w:rFonts w:ascii="Times New Roman" w:hAnsi="Times New Roman"/>
          <w:i/>
          <w:noProof/>
          <w:sz w:val="24"/>
        </w:rPr>
        <w:t> </w:t>
      </w:r>
      <w:r>
        <w:rPr>
          <w:rFonts w:ascii="Times New Roman" w:hAnsi="Times New Roman"/>
          <w:noProof/>
          <w:sz w:val="24"/>
        </w:rPr>
        <w:t>konkluzjach Rady do Spraw Zagranicznych zwrócono uwagę na znaczenie otwartej, wolnej, pokojowej i bezpiecznej cyberprzestrzeni i podkreślono, że istotne dla utrzymania pokoju i stabilności jest stosowanie obowiązującego prawa międzynarodowego oraz przestrzeganie dobrowolnych niewiążących norm dotyczących odpowiedzialnego zachowania państw.</w:t>
      </w:r>
    </w:p>
    <w:p>
      <w:pPr>
        <w:widowControl w:val="0"/>
        <w:numPr>
          <w:ilvl w:val="0"/>
          <w:numId w:val="14"/>
        </w:numPr>
        <w:spacing w:after="240" w:line="240" w:lineRule="auto"/>
        <w:ind w:left="0" w:firstLine="0"/>
        <w:jc w:val="both"/>
        <w:rPr>
          <w:rFonts w:ascii="Times New Roman" w:hAnsi="Times New Roman" w:cs="Times New Roman"/>
          <w:i/>
          <w:noProof/>
          <w:sz w:val="24"/>
          <w:szCs w:val="24"/>
        </w:rPr>
      </w:pPr>
      <w:r>
        <w:rPr>
          <w:rFonts w:ascii="Times New Roman" w:hAnsi="Times New Roman"/>
          <w:i/>
          <w:noProof/>
          <w:sz w:val="24"/>
        </w:rPr>
        <w:t xml:space="preserve">Wymiar zewnętrzny </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Aby zintensyfikować gromadzenie i wymianę informacji w celu przeciwdziałania przemytowi migrantów, handlu ludźmi, nielegalnemu obrotowi bronią palną i nielegalnemu wywozowi ropy z Libii, Rada ds. Wymiaru Sprawiedliwości i Spraw Wewnętrznych zatwierdziła podczas posiedzenia w dniach 8–9 marca 2018 r. ogólną zasadę uczestnictwa Europolu i Europejskiej Agencji Straży Granicznej i Przybrzeżnej w projekcie pilotażowym dotyczącym „</w:t>
      </w:r>
      <w:r>
        <w:rPr>
          <w:rFonts w:ascii="Times New Roman" w:hAnsi="Times New Roman"/>
          <w:b/>
          <w:noProof/>
          <w:sz w:val="24"/>
        </w:rPr>
        <w:t>Komórki ds. informacji o przestępczości</w:t>
      </w:r>
      <w:r>
        <w:rPr>
          <w:rFonts w:ascii="Times New Roman" w:hAnsi="Times New Roman"/>
          <w:noProof/>
          <w:sz w:val="24"/>
        </w:rPr>
        <w:t>”, która zostanie utworzona w ramach prowadzonej przez siły morskie unijnej operacji EUNAVFOR MED SOPHIA, będącej częścią wspólnej polityki bezpieczeństwa i obrony. Komórka ds. informacji o przestępczości będzie ułatwiać szybką i dwukierunkową wymianę informacji w celach analitycznych i operacyjnych między operacją Sophia a odpowiednimi agencjami wymiaru sprawiedliwości i spraw wewnętrznych. Jest to pierwsza inicjatywa tego typu w stosunkach między agencjami wymiaru sprawiedliwości i spraw wewnętrznych a misjami lub operacjami wspólnej polityki bezpieczeństwa i obrony. Praktyczne zasady są obecnie omawiane w Radzie, aby umożliwić jak najszybsze rozpoczęcie projektu pilotażowego. Po rozpoczęciu projektu będzie on na bieżąco analizowany i po sześciu miesiącach zostanie sporządzone pełne sprawozdanie dla państw członkowskich, aby przed podjęciem jakiejkolwiek decyzji o kontynuowaniu projektu lub powieleniu go w innych misjach lub operacjach wspólnej polityki bezpieczeństwa i obrony przeprowadzona została ocena wartości dodanej i skuteczności komórki ds. informacji o przestępczości, jak również aspektów prawnych i operacyjnych.</w:t>
      </w:r>
    </w:p>
    <w:p>
      <w:pPr>
        <w:widowControl w:val="0"/>
        <w:spacing w:after="240" w:line="240" w:lineRule="auto"/>
        <w:jc w:val="both"/>
        <w:rPr>
          <w:rFonts w:ascii="Times New Roman" w:hAnsi="Times New Roman" w:cs="Times New Roman"/>
          <w:noProof/>
          <w:sz w:val="24"/>
        </w:rPr>
      </w:pPr>
      <w:r>
        <w:rPr>
          <w:rFonts w:ascii="Times New Roman" w:hAnsi="Times New Roman"/>
          <w:noProof/>
          <w:sz w:val="24"/>
        </w:rPr>
        <w:t xml:space="preserve">Bezpieczeństwo na </w:t>
      </w:r>
      <w:r>
        <w:rPr>
          <w:rFonts w:ascii="Times New Roman" w:hAnsi="Times New Roman"/>
          <w:b/>
          <w:noProof/>
          <w:sz w:val="24"/>
        </w:rPr>
        <w:t>Bałkanach Zachodnich</w:t>
      </w:r>
      <w:r>
        <w:rPr>
          <w:rFonts w:ascii="Times New Roman" w:hAnsi="Times New Roman"/>
          <w:noProof/>
          <w:sz w:val="24"/>
        </w:rPr>
        <w:t xml:space="preserve"> ma bezpośredni wpływ na bezpieczeństwo UE i państw członkowskich. W dniu 6 lutego 2018 r. Komisja przyjęła komunikat „Wiarygodna perspektywa rozszerzenia dla Bałkanów Zachodnich oraz zwiększone zaangażowanie UE w tym regionie”</w:t>
      </w:r>
      <w:r>
        <w:rPr>
          <w:rStyle w:val="FootnoteReference"/>
          <w:rFonts w:ascii="Times New Roman" w:hAnsi="Times New Roman"/>
          <w:noProof/>
          <w:sz w:val="24"/>
        </w:rPr>
        <w:footnoteReference w:id="34"/>
      </w:r>
      <w:r>
        <w:rPr>
          <w:noProof/>
        </w:rPr>
        <w:t>.</w:t>
      </w:r>
      <w:r>
        <w:rPr>
          <w:rFonts w:ascii="Times New Roman" w:hAnsi="Times New Roman"/>
          <w:noProof/>
          <w:sz w:val="24"/>
        </w:rPr>
        <w:t xml:space="preserve"> W</w:t>
      </w:r>
      <w:r>
        <w:rPr>
          <w:noProof/>
        </w:rPr>
        <w:t> </w:t>
      </w:r>
      <w:r>
        <w:rPr>
          <w:rFonts w:ascii="Times New Roman" w:hAnsi="Times New Roman"/>
          <w:noProof/>
          <w:sz w:val="24"/>
        </w:rPr>
        <w:t>załączonym do tej strategii planie działania na rzecz wspierania przemian na Bałkanach Zachodnich określono sześć tematycznych inicjatyw przewodnich, w tym w dziedzinie bezpieczeństwa i migracji, które mają zostać zrealizowane do 2020 r. Rozpoczęto prace nad wdrożeniem szeregu środków mających na celu intensyfikację współpracy z Bałkanami Zachodnimi w zakresie zwalczania terroryzmu, zapobiegania brutalnemu ekstremizmowi i zwalczania przestępczości zorganizowanej, w szczególności poprzez delegowanie oficerów łącznikowych Europolu do pracy w regionie</w:t>
      </w:r>
      <w:r>
        <w:rPr>
          <w:rStyle w:val="FootnoteReference"/>
          <w:rFonts w:ascii="Times New Roman" w:hAnsi="Times New Roman"/>
          <w:noProof/>
          <w:sz w:val="24"/>
        </w:rPr>
        <w:footnoteReference w:id="35"/>
      </w:r>
      <w:r>
        <w:rPr>
          <w:rFonts w:ascii="Times New Roman" w:hAnsi="Times New Roman"/>
          <w:noProof/>
          <w:sz w:val="24"/>
        </w:rPr>
        <w:t xml:space="preserve"> i organizowanie specjalnych spotkań ekspertów z udziałem Bałkanów Zachodnich jak np. spotkanie europejskich ekspertów ds. broni palnej, które odbyło się w Sofii w dniach 12–13 kwietnia 2018 r., i unijne spotkanie dotyczące dialogu na temat środków odurzających, które odbyło się w Brukseli w dniu 18 kwietnia 2018 r. Nadchodzący szczyt w dniu 17 maja 2018 r. w Sofii również będzie stanowił okazję do podsumowania postępów poczynionych w tej kwestii.</w:t>
      </w:r>
    </w:p>
    <w:p>
      <w:pPr>
        <w:widowControl w:val="0"/>
        <w:spacing w:after="240" w:line="240" w:lineRule="auto"/>
        <w:jc w:val="both"/>
        <w:rPr>
          <w:rFonts w:ascii="Times New Roman" w:hAnsi="Times New Roman" w:cs="Times New Roman"/>
          <w:b/>
          <w:noProof/>
          <w:sz w:val="24"/>
          <w:szCs w:val="24"/>
        </w:rPr>
      </w:pPr>
      <w:r>
        <w:rPr>
          <w:rFonts w:ascii="Times New Roman" w:hAnsi="Times New Roman"/>
          <w:b/>
          <w:noProof/>
          <w:sz w:val="24"/>
        </w:rPr>
        <w:t>IV. WNIOSKI</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Sześć miesięcy po przyjęciu w październiku 2017 r. pakietu praktycznych środków, których celem była lepsza ochrona obywateli UE przed zagrożeniami terrorystycznymi, Komisja przedstawia wraz z niniejszym sprawozdaniem z postępu prac kolejny pakiet środków mający na celu ograniczenie pola działania terrorystów i przestępców oraz ułatwienie prowadzenia dochodzeń i ścigania przestępstw i ataków terrorystycznych. Komisja wzywa Parlament Europejski i Radę do bezzwłocznego podjęcia prac nad tymi środkami ustawodawczymi, aby dodatkowo zwiększyć bezpieczeństwo obywateli.</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Urzeczywistnienie wizji Europy, która chroni, pozostaje priorytetem politycznym Unii, zatem Komisja będzie kontynuować prace nad stworzeniem rzeczywistej i skutecznej unii bezpieczeństwa, mając także na uwadze nieoficjalne spotkanie szefów państw lub rządów w sprawie bezpieczeństwa wewnętrznego, które to spotkanie – jak zapowiedziano w Agendzie przywódców – odbędzie się we wrześniu 2018 r. w Wiedniu. W czerwcu 2018 r. Komisja przedstawi kolejne sprawozdanie z postępu prac nad stworzeniem unii bezpieczeństwa.</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9260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225 final (17.4.2018).</w:t>
      </w:r>
    </w:p>
  </w:footnote>
  <w:footnote w:id="2">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226 final (17.4.2018).</w:t>
      </w:r>
    </w:p>
  </w:footnote>
  <w:footnote w:id="3">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Konkluzje Rady dotyczące usprawnienia wymiaru sprawiedliwości w sprawach karnych w cyberprzestrzeni (ST 9579/16) oraz rezolucja Parlamentu Europejskiego z dnia 3 października 2017 r. w sprawie walki z cyberprzestępczością (2017/2068(INI)).</w:t>
      </w:r>
    </w:p>
  </w:footnote>
  <w:footnote w:id="4">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Sprawozdanie z konsultacji dostępne jest pod adresem: https://ec.europa.eu/info/consultations/public-consultation-improving-cross-border-access-electronic-evidence-criminal-matters_en; więcej źródeł można znaleźć pod adresem: </w:t>
      </w:r>
      <w:hyperlink r:id="rId1">
        <w:r>
          <w:rPr>
            <w:rStyle w:val="Hyperlink"/>
            <w:rFonts w:ascii="Times New Roman" w:hAnsi="Times New Roman"/>
          </w:rPr>
          <w:t>https://ec.europa.eu/home-affairs/what-we-do/policies/organized-crime-and-human-trafficking/e-evidence_en</w:t>
        </w:r>
      </w:hyperlink>
    </w:p>
  </w:footnote>
  <w:footnote w:id="5">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Dyrektywa Parlamentu Europejskiego i Rady 2014/41/UE z dnia 3 kwietnia 2014 r. w sprawie europejskiego nakazu dochodzeniowego w sprawach karnych, Dz.U. L 130 z 1.5.2014, s. 1.</w:t>
      </w:r>
    </w:p>
  </w:footnote>
  <w:footnote w:id="6">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Europol, Eurojust i Agencja Unii Europejskiej ds. Szkolenia w Dziedzinie Ścigania (CEPOL).</w:t>
      </w:r>
    </w:p>
  </w:footnote>
  <w:footnote w:id="7">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 sprawozdaniu Europolu „From suspicion to action: converting financial intelligence into greater operational impact” [„Od podejrzenia do działania – w kierunku większego wpływu operacyjnego wywiadu finansowego”], opublikowanym w 2017 r., podkreślono te problemy oraz potrzebę lepszego dostępu organów ścigania do informacji finansowych.</w:t>
      </w:r>
    </w:p>
  </w:footnote>
  <w:footnote w:id="8">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213 final (17.4.2018).</w:t>
      </w:r>
    </w:p>
  </w:footnote>
  <w:footnote w:id="9">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W grudniu 2017 r. współprawodawcy unijni uzgodnili tę kwestię jako jedną ze zmian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(Dz.U. L 141 z 5.6.2015, s. 73). </w:t>
      </w:r>
    </w:p>
  </w:footnote>
  <w:footnote w:id="10">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209 final (17.4.2018).</w:t>
      </w:r>
    </w:p>
  </w:footnote>
  <w:footnote w:id="11">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Parlamentu Europejskiego i Rady (UE) nr 98/2013 z dnia 15 stycznia 2013 r. w sprawie wprowadzania do obrotu i używania prekursorów materiałów wybuchowych, Dz.U. L 39 z 9.2.2013, s. 1-11.</w:t>
      </w:r>
    </w:p>
  </w:footnote>
  <w:footnote w:id="12">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Zalecenie Komisji z dnia 18 października 2017 r. w sprawie podjęcia niezwłocznych kroków, aby zapobiec czynieniu niewłaściwego użytku z prekursorów materiałów wybuchowych (C (2017) 6950 final). </w:t>
      </w:r>
    </w:p>
  </w:footnote>
  <w:footnote w:id="13">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Kwas siarkowy i azotan amonu.</w:t>
      </w:r>
    </w:p>
  </w:footnote>
  <w:footnote w:id="14">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790 final (8.12.2016).</w:t>
      </w:r>
    </w:p>
  </w:footnote>
  <w:footnote w:id="15">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212 final (17.4.2018).</w:t>
      </w:r>
    </w:p>
  </w:footnote>
  <w:footnote w:id="16">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(WE) nr 2252/2004 (Dz.U. L 385 z 29.12.2004, s. 1).</w:t>
      </w:r>
    </w:p>
  </w:footnote>
  <w:footnote w:id="17">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Zob. plan działania UE przeciwko nielegalnemu handlowi bronią palną i materiałami wybuchowymi oraz ich wykorzystywaniu do celów niezgodnych z prawem (COM(2015) 624 final z 2.12.2015). Priorytetem w ramach cyklu polityki unijnej dotyczącej poważnej i zorganizowanej przestępczości międzynarodowej na lata 2018–2021 jest także rozbijanie organizacji przestępczych zaangażowanych w nielegalny obrót bronią palną, nielegalną dystrybucję i nielegalne użycie broni palnej.</w:t>
      </w:r>
    </w:p>
  </w:footnote>
  <w:footnote w:id="18">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C(2018) 2197.</w:t>
      </w:r>
    </w:p>
  </w:footnote>
  <w:footnote w:id="19">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nr 258/2012 ustanawiające zezwolenia na wywóz i środki dotyczące przywozu i tranzytu dla broni palnej, jej części i komponentów oraz amunicji.</w:t>
      </w:r>
    </w:p>
  </w:footnote>
  <w:footnote w:id="20">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Zalecenie Komisji z dnia 1 marca 2018 r. w sprawie działań na rzecz skutecznego zwalczania nielegalnych treści w internecie (C(2018) 1177 final).</w:t>
      </w:r>
    </w:p>
  </w:footnote>
  <w:footnote w:id="21">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Komunikat „Zwalczanie nielegalnych treści w internecie – W kierunku większej odpowiedzialności platform internetowych” COM 2017 (555) final (28.9.2017).</w:t>
      </w:r>
    </w:p>
  </w:footnote>
  <w:footnote w:id="22">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Zob. Dwunaste sprawozdanie z postępu prac nad stworzeniem rzeczywistej i skutecznej unii bezpieczeństwa [COM(2017) 779 final z 12.12.2017].</w:t>
      </w:r>
    </w:p>
  </w:footnote>
  <w:footnote w:id="23">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Proponowane rozporządzenia w sprawie europejskiego systemu informacji o podróży oraz zezwoleń na podróż, europejskiego systemu przekazywania informacji z rejestrów karnych w odniesieniu do obywateli państw trzecich, Eurodacu, Systemu Informacyjnego Schengen i eu-LISA.</w:t>
      </w:r>
    </w:p>
  </w:footnote>
  <w:footnote w:id="24">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Austria, Liechtenstein, Luksemburg, Łotwa, Malta, Niderlandy, Niemcy, Polska, Portugalia, Słowenia, Szwajcaria. </w:t>
      </w:r>
    </w:p>
  </w:footnote>
  <w:footnote w:id="25">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Komunikat Komisji do Parlamentu Europejskiego i Rady: Dostosowanie wspólnej polityki wizowej do nowych wyzwań [COM(2018) 251 final (14.3.2018)].</w:t>
      </w:r>
    </w:p>
  </w:footnote>
  <w:footnote w:id="26">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Dyrektywa 2016/681 z 27.4.2016.</w:t>
      </w:r>
    </w:p>
  </w:footnote>
  <w:footnote w:id="27">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Chorwacja, Cypr, Republika Czeska, Grecja i Włochy.</w:t>
      </w:r>
    </w:p>
  </w:footnote>
  <w:footnote w:id="28">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610 final (18.10.2017).</w:t>
      </w:r>
    </w:p>
  </w:footnote>
  <w:footnote w:id="29">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Plan działania na rzecz wspierania ochrony przestrzeni publicznej (COM(2017) 612 final (18.10.2017)).</w:t>
      </w:r>
    </w:p>
  </w:footnote>
  <w:footnote w:id="30">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JOIN (2017) 450 final (13.9.2017).</w:t>
      </w:r>
    </w:p>
  </w:footnote>
  <w:footnote w:id="31">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Więcej informacji na temat zaproszenia można znaleźć pod adresem:</w:t>
      </w:r>
      <w:r>
        <w:tab/>
      </w:r>
      <w:r>
        <w:rPr>
          <w:rFonts w:ascii="Times New Roman" w:hAnsi="Times New Roman" w:cs="Times New Roman"/>
        </w:rPr>
        <w:br/>
      </w:r>
      <w:hyperlink r:id="rId2">
        <w:r>
          <w:rPr>
            <w:rStyle w:val="Hyperlink"/>
            <w:rFonts w:ascii="Times New Roman" w:hAnsi="Times New Roman"/>
          </w:rPr>
          <w:t>http://ec.europa.eu/research/participants/portal/desktop/en/opportunities/h2020/topics/su-ict-03-2018.html</w:t>
        </w:r>
      </w:hyperlink>
      <w:r>
        <w:rPr>
          <w:rFonts w:ascii="Times New Roman" w:hAnsi="Times New Roman"/>
        </w:rPr>
        <w:t xml:space="preserve">. </w:t>
      </w:r>
    </w:p>
  </w:footnote>
  <w:footnote w:id="32">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https://www.icann.org/resources/correspondence/1212685-2018-01-29-en</w:t>
        </w:r>
      </w:hyperlink>
    </w:p>
  </w:footnote>
  <w:footnote w:id="33">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Konkluzje Rady w sprawie ram wspólnej unijnej reakcji dyplomatycznej na szkodliwe działania cybernetyczne („zestaw narzędzi dla dyplomacji cyfrowej”) z dnia 19 czerwca 2017 r.</w:t>
      </w:r>
    </w:p>
  </w:footnote>
  <w:footnote w:id="34">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Komunikat Komisji: „Wiarygodna perspektywa rozszerzenia dla Bałkanów Zachodnich oraz zwiększone zaangażowanie UE w tym regionie”, (COM(2018) 65 final).</w:t>
      </w:r>
    </w:p>
  </w:footnote>
  <w:footnote w:id="35">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Do lata 2018 r. trzech oficerów łącznikowych Europolu zostanie oddelegowanych do Albanii, Bośni i Hercegowiny oraz Serbii.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901"/>
    <w:multiLevelType w:val="hybridMultilevel"/>
    <w:tmpl w:val="F0300D8C"/>
    <w:lvl w:ilvl="0" w:tplc="08090001">
      <w:start w:val="1"/>
      <w:numFmt w:val="bullet"/>
      <w:lvlText w:val=""/>
      <w:lvlJc w:val="left"/>
      <w:pPr>
        <w:ind w:left="720" w:hanging="360"/>
      </w:pPr>
      <w:rPr>
        <w:rFonts w:ascii="Symbol" w:hAnsi="Symbol" w:hint="default"/>
      </w:rPr>
    </w:lvl>
    <w:lvl w:ilvl="1" w:tplc="15AA5BD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12D64"/>
    <w:multiLevelType w:val="hybridMultilevel"/>
    <w:tmpl w:val="1E64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3505B6"/>
    <w:multiLevelType w:val="hybridMultilevel"/>
    <w:tmpl w:val="71EC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C16DB"/>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EC651E"/>
    <w:multiLevelType w:val="hybridMultilevel"/>
    <w:tmpl w:val="68643484"/>
    <w:lvl w:ilvl="0" w:tplc="073CF13E">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C895763"/>
    <w:multiLevelType w:val="hybridMultilevel"/>
    <w:tmpl w:val="7778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E375FF"/>
    <w:multiLevelType w:val="hybridMultilevel"/>
    <w:tmpl w:val="D8B063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3F80EB4"/>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3C77563"/>
    <w:multiLevelType w:val="hybridMultilevel"/>
    <w:tmpl w:val="4BA0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587FB6"/>
    <w:multiLevelType w:val="hybridMultilevel"/>
    <w:tmpl w:val="1804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E1618A"/>
    <w:multiLevelType w:val="hybridMultilevel"/>
    <w:tmpl w:val="73F29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59E31336"/>
    <w:multiLevelType w:val="hybridMultilevel"/>
    <w:tmpl w:val="D8B063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CA84AEC"/>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7C22D75"/>
    <w:multiLevelType w:val="hybridMultilevel"/>
    <w:tmpl w:val="5BA2CD8E"/>
    <w:lvl w:ilvl="0" w:tplc="7A56AC1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8"/>
  </w:num>
  <w:num w:numId="5">
    <w:abstractNumId w:val="1"/>
  </w:num>
  <w:num w:numId="6">
    <w:abstractNumId w:val="9"/>
  </w:num>
  <w:num w:numId="7">
    <w:abstractNumId w:val="4"/>
  </w:num>
  <w:num w:numId="8">
    <w:abstractNumId w:val="3"/>
  </w:num>
  <w:num w:numId="9">
    <w:abstractNumId w:val="11"/>
  </w:num>
  <w:num w:numId="10">
    <w:abstractNumId w:val="7"/>
  </w:num>
  <w:num w:numId="11">
    <w:abstractNumId w:val="10"/>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7732DB62-51B3-4311-BF6D-79A92CB0D87C"/>
    <w:docVar w:name="LW_COVERPAGE_TYPE" w:val="1"/>
    <w:docVar w:name="LW_CROSSREFERENCE" w:val="&lt;UNUSED&gt;"/>
    <w:docVar w:name="LW_DocType" w:val="NORMAL"/>
    <w:docVar w:name="LW_EMISSION" w:val="17.4.2018"/>
    <w:docVar w:name="LW_EMISSION_ISODATE" w:val="2018-04-17"/>
    <w:docVar w:name="LW_EMISSION_LOCATION" w:val="STR"/>
    <w:docVar w:name="LW_EMISSION_PREFIX" w:val="Strasburg, dnia "/>
    <w:docVar w:name="LW_EMISSION_SUFFIX" w:val="r."/>
    <w:docVar w:name="LW_ID_DOCTYPE_NONLW" w:val="CP-035"/>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2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Czternaste sprawozdanie z post\u281?pu prac nad stworzeniem rzeczywistej i skutecznej unii bezpiecze\u324?stwa_x000b_"/>
    <w:docVar w:name="LW_TYPE.DOC.CP" w:val="KOMUNIKAT KOMISJI DO PARLAMENTU EUROPEJSKIEGO, RADY EUROPEJSKIEJ I RADY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nhideWhenUsed/>
    <w:rPr>
      <w:color w:val="0000FF"/>
      <w:u w:val="single"/>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Emphasis">
    <w:name w:val="Emphasis"/>
    <w:basedOn w:val="DefaultParagraphFont"/>
    <w:uiPriority w:val="20"/>
    <w:qFormat/>
    <w:rPr>
      <w:b/>
      <w:bCs/>
      <w:i w:val="0"/>
      <w:iCs w:val="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widowControl w:val="0"/>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nhideWhenUsed/>
    <w:rPr>
      <w:color w:val="0000FF"/>
      <w:u w:val="single"/>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Emphasis">
    <w:name w:val="Emphasis"/>
    <w:basedOn w:val="DefaultParagraphFont"/>
    <w:uiPriority w:val="20"/>
    <w:qFormat/>
    <w:rPr>
      <w:b/>
      <w:bCs/>
      <w:i w:val="0"/>
      <w:iCs w:val="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widowControl w:val="0"/>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5603">
      <w:bodyDiv w:val="1"/>
      <w:marLeft w:val="0"/>
      <w:marRight w:val="0"/>
      <w:marTop w:val="0"/>
      <w:marBottom w:val="0"/>
      <w:divBdr>
        <w:top w:val="none" w:sz="0" w:space="0" w:color="auto"/>
        <w:left w:val="none" w:sz="0" w:space="0" w:color="auto"/>
        <w:bottom w:val="none" w:sz="0" w:space="0" w:color="auto"/>
        <w:right w:val="none" w:sz="0" w:space="0" w:color="auto"/>
      </w:divBdr>
    </w:div>
    <w:div w:id="1641494378">
      <w:bodyDiv w:val="1"/>
      <w:marLeft w:val="0"/>
      <w:marRight w:val="0"/>
      <w:marTop w:val="0"/>
      <w:marBottom w:val="0"/>
      <w:divBdr>
        <w:top w:val="none" w:sz="0" w:space="0" w:color="auto"/>
        <w:left w:val="none" w:sz="0" w:space="0" w:color="auto"/>
        <w:bottom w:val="none" w:sz="0" w:space="0" w:color="auto"/>
        <w:right w:val="none" w:sz="0" w:space="0" w:color="auto"/>
      </w:divBdr>
    </w:div>
    <w:div w:id="1721325745">
      <w:bodyDiv w:val="1"/>
      <w:marLeft w:val="0"/>
      <w:marRight w:val="0"/>
      <w:marTop w:val="0"/>
      <w:marBottom w:val="0"/>
      <w:divBdr>
        <w:top w:val="none" w:sz="0" w:space="0" w:color="auto"/>
        <w:left w:val="none" w:sz="0" w:space="0" w:color="auto"/>
        <w:bottom w:val="none" w:sz="0" w:space="0" w:color="auto"/>
        <w:right w:val="none" w:sz="0" w:space="0" w:color="auto"/>
      </w:divBdr>
    </w:div>
    <w:div w:id="19503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correspondence/1212685-2018-01-29-en" TargetMode="External"/><Relationship Id="rId2" Type="http://schemas.openxmlformats.org/officeDocument/2006/relationships/hyperlink" Target="http://ec.europa.eu/research/participants/portal/desktop/en/opportunities/h2020/topics/su-ict-03-2018.html" TargetMode="External"/><Relationship Id="rId1" Type="http://schemas.openxmlformats.org/officeDocument/2006/relationships/hyperlink" Target="https://ec.europa.eu/home-affairs/what-we-do/policies/organized-crime-and-human-trafficking/e-evide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8709-A552-43C3-AD79-00BDD0E0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5318</Words>
  <Characters>36433</Characters>
  <Application>Microsoft Office Word</Application>
  <DocSecurity>0</DocSecurity>
  <Lines>528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dcterms:created xsi:type="dcterms:W3CDTF">2018-04-16T13:02:00Z</dcterms:created>
  <dcterms:modified xsi:type="dcterms:W3CDTF">2018-05-04T17:23:00Z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