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alt="6A42FE44-BF97-412B-BCB4-561F91E3D2D4" style="width:450pt;height:449.25pt">
            <v:imagedata r:id="rId12" o:title=""/>
          </v:shape>
        </w:pict>
      </w:r>
    </w:p>
    <w:bookmarkEnd w:id="0"/>
    <w:p>
      <w:pPr>
        <w:pStyle w:val="Pagedecouverture"/>
        <w:rPr>
          <w:noProof/>
        </w:rPr>
        <w:sectPr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rPr>
          <w:noProof/>
        </w:rPr>
      </w:pPr>
      <w:bookmarkStart w:id="1" w:name="_GoBack"/>
      <w:bookmarkEnd w:id="1"/>
    </w:p>
    <w:tbl>
      <w:tblPr>
        <w:tblStyle w:val="TableGrid"/>
        <w:tblW w:w="10188" w:type="dxa"/>
        <w:tblLook w:val="01E0" w:firstRow="1" w:lastRow="1" w:firstColumn="1" w:lastColumn="1" w:noHBand="0" w:noVBand="0"/>
      </w:tblPr>
      <w:tblGrid>
        <w:gridCol w:w="10188"/>
      </w:tblGrid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CCCCCC"/>
          </w:tcPr>
          <w:p>
            <w:pPr>
              <w:spacing w:before="60" w:after="60"/>
              <w:jc w:val="center"/>
              <w:rPr>
                <w:rFonts w:ascii="Tahoma" w:hAnsi="Tahoma" w:cs="Tahoma"/>
                <w:b/>
                <w:noProof/>
                <w:sz w:val="22"/>
                <w:szCs w:val="22"/>
              </w:rPr>
            </w:pPr>
            <w:r>
              <w:rPr>
                <w:rFonts w:ascii="Tahoma" w:hAnsi="Tahoma"/>
                <w:b/>
                <w:noProof/>
                <w:sz w:val="22"/>
              </w:rPr>
              <w:t>Streszczenie oceny skutków</w:t>
            </w:r>
          </w:p>
        </w:tc>
      </w:tr>
      <w:tr>
        <w:tc>
          <w:tcPr>
            <w:tcW w:w="10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>
            <w:pPr>
              <w:spacing w:before="120" w:after="120"/>
              <w:jc w:val="both"/>
              <w:rPr>
                <w:rFonts w:ascii="Tahoma" w:hAnsi="Tahoma" w:cs="Tahoma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/>
                <w:noProof/>
                <w:color w:val="FFFFFF" w:themeColor="background1"/>
                <w:sz w:val="20"/>
              </w:rPr>
              <w:t>Ocena skutków wniosku dotyczącego przekształconego rozporządzenia określającego normy emisji CO</w:t>
            </w:r>
            <w:r>
              <w:rPr>
                <w:rFonts w:ascii="Tahoma" w:hAnsi="Tahoma"/>
                <w:noProof/>
                <w:color w:val="FFFFFF" w:themeColor="background1"/>
                <w:sz w:val="20"/>
                <w:vertAlign w:val="subscript"/>
              </w:rPr>
              <w:t>2</w:t>
            </w:r>
            <w:r>
              <w:rPr>
                <w:rFonts w:ascii="Tahoma" w:hAnsi="Tahoma"/>
                <w:noProof/>
                <w:color w:val="FFFFFF" w:themeColor="background1"/>
                <w:sz w:val="20"/>
              </w:rPr>
              <w:t xml:space="preserve"> dla nowych samochodów osobowych i nowych lekkich pojazdów użytkowych oraz uchylającego rozporządzenia (WE) nr 443/2009 i (UE) nr 510/2011</w:t>
            </w:r>
          </w:p>
        </w:tc>
      </w:tr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CCCCCC"/>
          </w:tcPr>
          <w:p>
            <w:pPr>
              <w:spacing w:before="60" w:after="60"/>
              <w:jc w:val="center"/>
              <w:rPr>
                <w:rFonts w:ascii="Tahoma" w:hAnsi="Tahoma" w:cs="Tahoma"/>
                <w:b/>
                <w:noProof/>
                <w:sz w:val="22"/>
                <w:szCs w:val="22"/>
              </w:rPr>
            </w:pPr>
            <w:r>
              <w:rPr>
                <w:rFonts w:ascii="Tahoma" w:hAnsi="Tahoma"/>
                <w:b/>
                <w:noProof/>
                <w:sz w:val="22"/>
              </w:rPr>
              <w:t>A. Zasadność działań</w:t>
            </w:r>
          </w:p>
        </w:tc>
      </w:tr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E0E0E0"/>
          </w:tcPr>
          <w:p>
            <w:pPr>
              <w:spacing w:before="60" w:after="60"/>
              <w:jc w:val="both"/>
              <w:rPr>
                <w:rFonts w:ascii="Tahoma" w:hAnsi="Tahoma" w:cs="Tahoma"/>
                <w:noProof/>
                <w:sz w:val="20"/>
                <w:szCs w:val="20"/>
              </w:rPr>
            </w:pPr>
            <w:r>
              <w:rPr>
                <w:rFonts w:ascii="Tahoma" w:hAnsi="Tahoma"/>
                <w:b/>
                <w:noProof/>
                <w:sz w:val="20"/>
              </w:rPr>
              <w:t xml:space="preserve">Jak uzasadniono ten wybór lub jego brak? Na czym polega problem? </w:t>
            </w:r>
          </w:p>
        </w:tc>
      </w:tr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/>
                <w:noProof/>
                <w:sz w:val="20"/>
              </w:rPr>
              <w:t>W obowiązujących rozporządzeniach ustanowiono ogólnounijne docelowe poziomy emisji CO</w:t>
            </w:r>
            <w:r>
              <w:rPr>
                <w:rFonts w:ascii="Arial" w:hAnsi="Arial"/>
                <w:noProof/>
                <w:sz w:val="20"/>
                <w:vertAlign w:val="subscript"/>
              </w:rPr>
              <w:t>2</w:t>
            </w:r>
            <w:r>
              <w:rPr>
                <w:rFonts w:ascii="Arial" w:hAnsi="Arial"/>
                <w:noProof/>
                <w:sz w:val="20"/>
              </w:rPr>
              <w:t xml:space="preserve"> dla nowych samochodów osobowych i vanów do roku 2020/2021. Przedmiotowe normy stanowiły podstawowe narzędzie wspierające innowacje i inwestycje w technologie niskoemisyjne. Służyły one jako pomoc unijnemu przemysłowi motoryzacyjnemu w zakresie utrzymania wiodącej pozycji w dziedzinie technologii na świecie i redukcji emisji CO</w:t>
            </w:r>
            <w:r>
              <w:rPr>
                <w:rFonts w:ascii="Arial" w:hAnsi="Arial"/>
                <w:noProof/>
                <w:sz w:val="20"/>
                <w:vertAlign w:val="subscript"/>
              </w:rPr>
              <w:t>2</w:t>
            </w:r>
            <w:r>
              <w:rPr>
                <w:rFonts w:ascii="Arial" w:hAnsi="Arial"/>
                <w:noProof/>
                <w:sz w:val="20"/>
              </w:rPr>
              <w:t xml:space="preserve"> z nowych pojazdów. Niższe koszty paliw przyniosły korzyści dla konsumentów. </w:t>
            </w:r>
          </w:p>
          <w:p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/>
                <w:noProof/>
                <w:sz w:val="20"/>
              </w:rPr>
              <w:t>Stwierdzono jednak następujące kluczowe problemy: 1) niewystarczające upowszechnianie się najbardziej energooszczędnych pojazdów, w tym pojazdów nisko- i bezemisyjnych, aby zrealizować zobowiązania porozumienia paryskiego i osiągnąć poprawę jakości powietrza, w szczególności na obszarach miejskich; 2) konsumenci nie korzystają z ewentualnych oszczędności paliwa; 3) niebezpieczeństwo utraty przewagi konkurencyjnej UE z powodu niewystarczających innowacji w zakresie niskoemisyjnych technologii motoryzacyjnych w perspektywie długoterminowej.</w:t>
            </w:r>
          </w:p>
          <w:p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E6E6E6"/>
          </w:tcPr>
          <w:p>
            <w:pPr>
              <w:spacing w:before="60" w:after="60"/>
              <w:jc w:val="both"/>
              <w:rPr>
                <w:rFonts w:ascii="Tahoma" w:hAnsi="Tahoma" w:cs="Tahoma"/>
                <w:noProof/>
                <w:sz w:val="20"/>
                <w:szCs w:val="20"/>
              </w:rPr>
            </w:pPr>
            <w:r>
              <w:rPr>
                <w:rFonts w:ascii="Tahoma" w:hAnsi="Tahoma"/>
                <w:b/>
                <w:noProof/>
                <w:sz w:val="20"/>
              </w:rPr>
              <w:t xml:space="preserve">Jaki jest cel inicjatywy? </w:t>
            </w:r>
          </w:p>
        </w:tc>
      </w:tr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/>
                <w:noProof/>
                <w:sz w:val="20"/>
              </w:rPr>
              <w:t>Inicjatywa ma: 1) przyczynić się do realizacji zobowiązań podjętych przez UE w ramach porozumienia paryskiego poprzez zmniejszenie emisji CO</w:t>
            </w:r>
            <w:r>
              <w:rPr>
                <w:rFonts w:ascii="Arial" w:hAnsi="Arial"/>
                <w:noProof/>
                <w:sz w:val="20"/>
                <w:vertAlign w:val="subscript"/>
              </w:rPr>
              <w:t>2</w:t>
            </w:r>
            <w:r>
              <w:rPr>
                <w:rFonts w:ascii="Arial" w:hAnsi="Arial"/>
                <w:noProof/>
                <w:sz w:val="20"/>
              </w:rPr>
              <w:t xml:space="preserve"> z samochodów osobowych i vanów w sposób racjonalny pod względem kosztów, 2) spowodować zmniejszenie kosztów zużycia paliwa dla konsumentów, 3) wzmocnić konkurencyjność unijnego przemysłu motoryzacyjnego oraz stymulować tworzenie miejsc pracy.</w:t>
            </w:r>
          </w:p>
          <w:p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E6E6E6"/>
          </w:tcPr>
          <w:p>
            <w:pPr>
              <w:spacing w:before="60" w:after="60"/>
              <w:jc w:val="both"/>
              <w:rPr>
                <w:rFonts w:ascii="Tahoma" w:hAnsi="Tahoma" w:cs="Tahoma"/>
                <w:noProof/>
                <w:sz w:val="20"/>
                <w:szCs w:val="20"/>
              </w:rPr>
            </w:pPr>
            <w:r>
              <w:rPr>
                <w:rFonts w:ascii="Tahoma" w:hAnsi="Tahoma"/>
                <w:b/>
                <w:noProof/>
                <w:sz w:val="20"/>
              </w:rPr>
              <w:t>Na czym polega wartość dodana podjęcia działań na poziomie UE?</w:t>
            </w:r>
            <w:r>
              <w:rPr>
                <w:rFonts w:ascii="Tahoma" w:hAnsi="Tahoma"/>
                <w:noProof/>
                <w:sz w:val="20"/>
              </w:rPr>
              <w:t xml:space="preserve"> </w:t>
            </w:r>
          </w:p>
        </w:tc>
      </w:tr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/>
                <w:noProof/>
                <w:sz w:val="20"/>
              </w:rPr>
              <w:t>Bez dalszych działań na poziomie UE dodatkowe istotne zmniejszenie emisji CO</w:t>
            </w:r>
            <w:r>
              <w:rPr>
                <w:rFonts w:ascii="Arial" w:hAnsi="Arial"/>
                <w:noProof/>
                <w:sz w:val="20"/>
                <w:vertAlign w:val="subscript"/>
              </w:rPr>
              <w:t>2</w:t>
            </w:r>
            <w:r>
              <w:rPr>
                <w:rFonts w:ascii="Arial" w:hAnsi="Arial"/>
                <w:noProof/>
                <w:sz w:val="20"/>
              </w:rPr>
              <w:t xml:space="preserve"> z nowych samochodów osobowych i vanów byłoby prawdopodobnie niewielkie. Normy emisji CO</w:t>
            </w:r>
            <w:r>
              <w:rPr>
                <w:rFonts w:ascii="Arial" w:hAnsi="Arial"/>
                <w:noProof/>
                <w:sz w:val="20"/>
                <w:vertAlign w:val="subscript"/>
              </w:rPr>
              <w:t>2</w:t>
            </w:r>
            <w:r>
              <w:rPr>
                <w:rFonts w:ascii="Arial" w:hAnsi="Arial"/>
                <w:noProof/>
                <w:sz w:val="20"/>
              </w:rPr>
              <w:t xml:space="preserve"> po 2020 r. pomogą państwom członkowskim w osiągnięciu wiążących wartości docelowych zmniejszenia emisji na rok 2030 zaproponowanych w ramach rozporządzenia w sprawie wspólnego wysiłku redukcyjnego. Inicjatywy wyłącznie krajowe i lokalne prawdopodobnie byłyby mniej skuteczne, ponieważ ze względu na ryzyko niespójności prowadziłyby do rozdrobnienia rynku wewnętrznego. </w:t>
            </w:r>
          </w:p>
          <w:p>
            <w:pPr>
              <w:spacing w:before="6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</w:tbl>
    <w:p>
      <w:pPr>
        <w:rPr>
          <w:noProof/>
        </w:rPr>
      </w:pPr>
    </w:p>
    <w:tbl>
      <w:tblPr>
        <w:tblStyle w:val="TableGrid"/>
        <w:tblW w:w="10188" w:type="dxa"/>
        <w:tblLook w:val="01E0" w:firstRow="1" w:lastRow="1" w:firstColumn="1" w:lastColumn="1" w:noHBand="0" w:noVBand="0"/>
      </w:tblPr>
      <w:tblGrid>
        <w:gridCol w:w="10188"/>
      </w:tblGrid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CCCCCC"/>
          </w:tcPr>
          <w:p>
            <w:pPr>
              <w:spacing w:before="60" w:after="60"/>
              <w:jc w:val="center"/>
              <w:rPr>
                <w:rFonts w:ascii="Tahoma" w:hAnsi="Tahoma" w:cs="Tahoma"/>
                <w:b/>
                <w:noProof/>
                <w:sz w:val="22"/>
                <w:szCs w:val="22"/>
              </w:rPr>
            </w:pPr>
            <w:r>
              <w:rPr>
                <w:rFonts w:ascii="Tahoma" w:hAnsi="Tahoma"/>
                <w:b/>
                <w:noProof/>
                <w:sz w:val="22"/>
              </w:rPr>
              <w:t>B. Rozwiązania</w:t>
            </w:r>
          </w:p>
        </w:tc>
      </w:tr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E6E6E6"/>
          </w:tcPr>
          <w:p>
            <w:pPr>
              <w:spacing w:before="60"/>
              <w:jc w:val="both"/>
              <w:rPr>
                <w:rFonts w:ascii="Tahoma" w:hAnsi="Tahoma" w:cs="Tahoma"/>
                <w:noProof/>
                <w:sz w:val="20"/>
                <w:szCs w:val="20"/>
              </w:rPr>
            </w:pPr>
            <w:r>
              <w:rPr>
                <w:rFonts w:ascii="Tahoma" w:hAnsi="Tahoma"/>
                <w:b/>
                <w:noProof/>
                <w:sz w:val="20"/>
              </w:rPr>
              <w:t>Jakie warianty legislacyjne i nielegislacyjne rozważono? Czy wskazano preferowany wariant? Jak uzasadniono ten wybór lub jego brak?</w:t>
            </w:r>
            <w:r>
              <w:rPr>
                <w:rFonts w:ascii="Tahoma" w:hAnsi="Tahoma"/>
                <w:noProof/>
                <w:sz w:val="20"/>
              </w:rPr>
              <w:t xml:space="preserve"> </w:t>
            </w:r>
          </w:p>
        </w:tc>
      </w:tr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/>
                <w:noProof/>
                <w:sz w:val="20"/>
              </w:rPr>
              <w:t>Rozważono różne warianty strategiczne odnośnie do następujących kwestii:</w:t>
            </w:r>
          </w:p>
          <w:p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/>
                <w:noProof/>
                <w:sz w:val="20"/>
              </w:rPr>
              <w:t>docelowe poziomy emisji CO</w:t>
            </w:r>
            <w:r>
              <w:rPr>
                <w:rFonts w:ascii="Arial" w:hAnsi="Arial"/>
                <w:noProof/>
                <w:sz w:val="20"/>
                <w:vertAlign w:val="subscript"/>
              </w:rPr>
              <w:t>2</w:t>
            </w:r>
            <w:r>
              <w:rPr>
                <w:rFonts w:ascii="Arial" w:hAnsi="Arial"/>
                <w:noProof/>
                <w:sz w:val="20"/>
              </w:rPr>
              <w:t xml:space="preserve">; </w:t>
            </w:r>
          </w:p>
          <w:p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/>
                <w:noProof/>
                <w:sz w:val="20"/>
              </w:rPr>
              <w:t xml:space="preserve">podział wysiłków między producentów; </w:t>
            </w:r>
          </w:p>
          <w:p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/>
                <w:noProof/>
                <w:sz w:val="20"/>
              </w:rPr>
              <w:t>zachęty dotyczące pojazdów nisko- i bezemisyjnych (LEV/ZEV);</w:t>
            </w:r>
          </w:p>
          <w:p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/>
                <w:noProof/>
                <w:sz w:val="20"/>
              </w:rPr>
              <w:t>elementy wdrożenia racjonalnego pod względem kosztów;</w:t>
            </w:r>
          </w:p>
          <w:p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/>
                <w:noProof/>
                <w:sz w:val="20"/>
              </w:rPr>
              <w:t xml:space="preserve">wzmocnienie zarządzania. </w:t>
            </w:r>
          </w:p>
          <w:p>
            <w:pPr>
              <w:spacing w:before="6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>
        <w:tc>
          <w:tcPr>
            <w:tcW w:w="10188" w:type="dxa"/>
            <w:shd w:val="clear" w:color="auto" w:fill="CCCCCC"/>
          </w:tcPr>
          <w:p>
            <w:pPr>
              <w:spacing w:before="60"/>
              <w:jc w:val="both"/>
              <w:rPr>
                <w:rFonts w:ascii="Tahoma" w:hAnsi="Tahoma" w:cs="Tahoma"/>
                <w:noProof/>
                <w:sz w:val="20"/>
                <w:szCs w:val="20"/>
              </w:rPr>
            </w:pPr>
            <w:r>
              <w:rPr>
                <w:rFonts w:ascii="Tahoma" w:hAnsi="Tahoma"/>
                <w:b/>
                <w:noProof/>
                <w:sz w:val="20"/>
              </w:rPr>
              <w:t>Jak kształtuje się poparcie dla poszczególnych wariantów?</w:t>
            </w:r>
            <w:r>
              <w:rPr>
                <w:rFonts w:ascii="Tahoma" w:hAnsi="Tahoma"/>
                <w:noProof/>
                <w:sz w:val="20"/>
              </w:rPr>
              <w:t xml:space="preserve"> </w:t>
            </w:r>
          </w:p>
        </w:tc>
      </w:tr>
      <w:tr>
        <w:tc>
          <w:tcPr>
            <w:tcW w:w="10188" w:type="dxa"/>
            <w:shd w:val="clear" w:color="auto" w:fill="auto"/>
          </w:tcPr>
          <w:p>
            <w:pPr>
              <w:spacing w:before="120" w:after="1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/>
                <w:noProof/>
                <w:sz w:val="20"/>
              </w:rPr>
              <w:t xml:space="preserve">Odnośnie do poziomów docelowych producenci zasadniczo są zwolennikami mniej ambitnych poziomów docelowych na rok 2030 w porównaniu z organizacjami pozarządowymi zajmującymi się ochroną środowiska i konsumentów, które optują za bardziej ambitnymi poziomami docelowymi zarówno na rok 2025, jak i na </w:t>
            </w:r>
            <w:r>
              <w:rPr>
                <w:rFonts w:ascii="Arial" w:hAnsi="Arial"/>
                <w:noProof/>
                <w:sz w:val="20"/>
              </w:rPr>
              <w:lastRenderedPageBreak/>
              <w:t>rok 2030. Jeżeli chodzi o podział wysiłków, producenci opowiadają się za krzywą wartości granicznych opartą na masie, natomiast organizacje pozarządowe preferują powierzchnię postojową jako parametr użyteczności. Chociaż branża motoryzacyjna jest w swojej większości przeciwna mandatowi dotyczącemu LEV/ZEV, to producenci baterii i wytwórcy energii elektrycznej, podmioty inwestujące w infrastrukturę, i przedstawiciele europejskich miast borykający się z problemem jakości powietrza, a także większość organizacji pozarządowych zajmujących się ochroną środowiska i transportem domaga się takiego podejścia. Organizacje konsumenckie zachowują neutralne stanowisko w tej sprawie.</w:t>
            </w:r>
          </w:p>
        </w:tc>
      </w:tr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CCCCCC"/>
          </w:tcPr>
          <w:p>
            <w:pPr>
              <w:spacing w:before="60" w:after="60"/>
              <w:jc w:val="center"/>
              <w:rPr>
                <w:rFonts w:ascii="Tahoma" w:hAnsi="Tahoma" w:cs="Tahoma"/>
                <w:b/>
                <w:noProof/>
                <w:sz w:val="22"/>
                <w:szCs w:val="22"/>
              </w:rPr>
            </w:pPr>
            <w:r>
              <w:rPr>
                <w:rFonts w:ascii="Tahoma" w:hAnsi="Tahoma"/>
                <w:b/>
                <w:noProof/>
                <w:sz w:val="22"/>
              </w:rPr>
              <w:lastRenderedPageBreak/>
              <w:t>C. Skutki wdrożenia preferowanego wariantu</w:t>
            </w:r>
          </w:p>
        </w:tc>
      </w:tr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E6E6E6"/>
          </w:tcPr>
          <w:p>
            <w:pPr>
              <w:spacing w:before="60" w:after="60"/>
              <w:jc w:val="both"/>
              <w:rPr>
                <w:rFonts w:ascii="Tahoma" w:hAnsi="Tahoma" w:cs="Tahoma"/>
                <w:noProof/>
                <w:sz w:val="20"/>
                <w:szCs w:val="20"/>
              </w:rPr>
            </w:pPr>
            <w:r>
              <w:rPr>
                <w:rFonts w:ascii="Tahoma" w:hAnsi="Tahoma"/>
                <w:b/>
                <w:noProof/>
                <w:sz w:val="20"/>
              </w:rPr>
              <w:t>Jakie korzyści przyniesie wdrożenie preferowanego wariantu lub – jeśli go nie wskazano – głównych wariantów?</w:t>
            </w:r>
            <w:r>
              <w:rPr>
                <w:rFonts w:ascii="Tahoma" w:hAnsi="Tahoma"/>
                <w:noProof/>
                <w:sz w:val="20"/>
              </w:rPr>
              <w:t xml:space="preserve"> </w:t>
            </w:r>
          </w:p>
        </w:tc>
      </w:tr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spacing w:before="1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/>
                <w:noProof/>
                <w:sz w:val="20"/>
              </w:rPr>
              <w:t>Dodatkowe redukcje emisji CO</w:t>
            </w:r>
            <w:r>
              <w:rPr>
                <w:rFonts w:ascii="Arial" w:hAnsi="Arial"/>
                <w:noProof/>
                <w:sz w:val="20"/>
                <w:vertAlign w:val="subscript"/>
              </w:rPr>
              <w:t>2</w:t>
            </w:r>
            <w:r>
              <w:rPr>
                <w:rFonts w:ascii="Arial" w:hAnsi="Arial"/>
                <w:noProof/>
                <w:sz w:val="20"/>
              </w:rPr>
              <w:t xml:space="preserve"> samochodów osobowych w latach 2005–2030 w stosunku do poziomu bazowego mieszczą się w zakresie 4–11,4 punktu procentowego. W latach 2020–2030 emisje zanieczyszczeń powietrza zmniejszą się o 2 do 8 punktów procentowych dla NO</w:t>
            </w:r>
            <w:r>
              <w:rPr>
                <w:rFonts w:ascii="Arial" w:hAnsi="Arial"/>
                <w:noProof/>
                <w:sz w:val="20"/>
                <w:vertAlign w:val="subscript"/>
              </w:rPr>
              <w:t>x</w:t>
            </w:r>
            <w:r>
              <w:rPr>
                <w:rFonts w:ascii="Arial" w:hAnsi="Arial"/>
                <w:noProof/>
                <w:sz w:val="20"/>
              </w:rPr>
              <w:t xml:space="preserve"> i o maksymalnie 10 punktów procentowych w przypadku PM</w:t>
            </w:r>
            <w:r>
              <w:rPr>
                <w:rFonts w:ascii="Arial" w:hAnsi="Arial"/>
                <w:noProof/>
                <w:sz w:val="20"/>
                <w:vertAlign w:val="subscript"/>
              </w:rPr>
              <w:t>2.5</w:t>
            </w:r>
            <w:r>
              <w:rPr>
                <w:rFonts w:ascii="Arial" w:hAnsi="Arial"/>
                <w:noProof/>
                <w:sz w:val="20"/>
              </w:rPr>
              <w:t>. W przypadku vanów dodatkowe redukcje emisji CO</w:t>
            </w:r>
            <w:r>
              <w:rPr>
                <w:rFonts w:ascii="Arial" w:hAnsi="Arial"/>
                <w:noProof/>
                <w:sz w:val="20"/>
                <w:vertAlign w:val="subscript"/>
              </w:rPr>
              <w:t>2</w:t>
            </w:r>
            <w:r>
              <w:rPr>
                <w:rFonts w:ascii="Arial" w:hAnsi="Arial"/>
                <w:noProof/>
                <w:sz w:val="20"/>
              </w:rPr>
              <w:t xml:space="preserve"> w latach 2005–2030 mieszczą się w zakresie 4,8–14,1 punktu procentowego. Emisje zanieczyszczeń powietrza z vanów zostaną zmniejszone do 9 punktów procentowych (NO</w:t>
            </w:r>
            <w:r>
              <w:rPr>
                <w:rFonts w:ascii="Arial" w:hAnsi="Arial"/>
                <w:noProof/>
                <w:sz w:val="20"/>
                <w:vertAlign w:val="subscript"/>
              </w:rPr>
              <w:t>x</w:t>
            </w:r>
            <w:r>
              <w:rPr>
                <w:rFonts w:ascii="Arial" w:hAnsi="Arial"/>
                <w:noProof/>
                <w:sz w:val="20"/>
              </w:rPr>
              <w:t>) lub 10 punktów procentowych (PM</w:t>
            </w:r>
            <w:r>
              <w:rPr>
                <w:rFonts w:ascii="Arial" w:hAnsi="Arial"/>
                <w:noProof/>
                <w:sz w:val="20"/>
                <w:vertAlign w:val="subscript"/>
              </w:rPr>
              <w:t>2.5</w:t>
            </w:r>
            <w:r>
              <w:rPr>
                <w:rFonts w:ascii="Arial" w:hAnsi="Arial"/>
                <w:noProof/>
                <w:sz w:val="20"/>
              </w:rPr>
              <w:t xml:space="preserve">) w latach 2020–2030. </w:t>
            </w:r>
          </w:p>
          <w:p>
            <w:pPr>
              <w:spacing w:before="1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/>
                <w:noProof/>
                <w:sz w:val="20"/>
              </w:rPr>
              <w:t xml:space="preserve">Korzyści dla konsumentów pod względem „całkowitych kosztów posiadania pojazdu” dla „przeciętnego nowego samochodu osobowego” w 2030 r. wynoszą od 1 000 do 2 000 EUR w okresie użytkowania wynoszącym 15 lat. W przypadku „przeciętnego nowego vana” zarejestrowanego w 2030 r. oszczędności te wynoszą 3 800–4 400 EUR. Oszczędności netto osiąga zarówno pierwszy, jak i drugi użytkownik, tym samym korzyści uzyskują również grupy konsumentów o niższych dochodach. </w:t>
            </w:r>
          </w:p>
          <w:p>
            <w:pPr>
              <w:spacing w:before="120"/>
              <w:jc w:val="both"/>
              <w:rPr>
                <w:rFonts w:ascii="Arial" w:hAnsi="Arial" w:cs="Arial"/>
                <w:i/>
                <w:noProof/>
                <w:sz w:val="20"/>
                <w:szCs w:val="20"/>
              </w:rPr>
            </w:pPr>
          </w:p>
        </w:tc>
      </w:tr>
    </w:tbl>
    <w:p>
      <w:pPr>
        <w:widowControl w:val="0"/>
        <w:rPr>
          <w:noProof/>
        </w:rPr>
      </w:pPr>
    </w:p>
    <w:tbl>
      <w:tblPr>
        <w:tblStyle w:val="TableGrid"/>
        <w:tblW w:w="10188" w:type="dxa"/>
        <w:tblLook w:val="01E0" w:firstRow="1" w:lastRow="1" w:firstColumn="1" w:lastColumn="1" w:noHBand="0" w:noVBand="0"/>
      </w:tblPr>
      <w:tblGrid>
        <w:gridCol w:w="10188"/>
      </w:tblGrid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E6E6E6"/>
          </w:tcPr>
          <w:p>
            <w:pPr>
              <w:spacing w:before="60" w:after="60"/>
              <w:jc w:val="both"/>
              <w:rPr>
                <w:rFonts w:ascii="Tahoma" w:hAnsi="Tahoma" w:cs="Tahoma"/>
                <w:noProof/>
                <w:sz w:val="20"/>
                <w:szCs w:val="20"/>
              </w:rPr>
            </w:pPr>
            <w:r>
              <w:rPr>
                <w:rFonts w:ascii="Tahoma" w:hAnsi="Tahoma"/>
                <w:b/>
                <w:noProof/>
                <w:sz w:val="20"/>
              </w:rPr>
              <w:t>Jakie są koszty wdrożenia preferowanego wariantu lub – jeśli go nie wskazano – głównych wariantów?</w:t>
            </w:r>
            <w:r>
              <w:rPr>
                <w:rFonts w:ascii="Tahoma" w:hAnsi="Tahoma"/>
                <w:noProof/>
                <w:sz w:val="20"/>
              </w:rPr>
              <w:t xml:space="preserve"> </w:t>
            </w:r>
          </w:p>
        </w:tc>
      </w:tr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/>
                <w:noProof/>
                <w:sz w:val="20"/>
              </w:rPr>
              <w:t>Koszty produkcji wzrosną i będą miały wpływ na cenę pojazdu, co za tym idzie konsumenci/przedsiębiorstwa będą się musieli liczyć z wyższymi kosztami początkowymi nowego pojazdu. Koszty te rosną wraz z bardziej rygorystycznymi wartościami docelowymi emisji CO</w:t>
            </w:r>
            <w:r>
              <w:rPr>
                <w:rFonts w:ascii="Arial" w:hAnsi="Arial"/>
                <w:noProof/>
                <w:sz w:val="20"/>
                <w:vertAlign w:val="subscript"/>
              </w:rPr>
              <w:t>2</w:t>
            </w:r>
            <w:r>
              <w:rPr>
                <w:rFonts w:ascii="Arial" w:hAnsi="Arial"/>
                <w:noProof/>
                <w:sz w:val="20"/>
              </w:rPr>
              <w:t xml:space="preserve"> dla parku pojazdów. W przypadku przeciętnego nowego samochodu osobowego zarejestrowanego w 2030 r. mieszczą się one w zakresie od 400 do 2 700 EUR. W przypadku przeciętnego vana zarejestrowanego w 2030 r. wahają się one od 400 do 2 400 EUR. </w:t>
            </w:r>
          </w:p>
        </w:tc>
      </w:tr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E6E6E6"/>
          </w:tcPr>
          <w:p>
            <w:pPr>
              <w:spacing w:before="60" w:after="60"/>
              <w:jc w:val="both"/>
              <w:rPr>
                <w:rFonts w:ascii="Tahoma" w:hAnsi="Tahoma" w:cs="Tahoma"/>
                <w:noProof/>
                <w:sz w:val="20"/>
                <w:szCs w:val="20"/>
              </w:rPr>
            </w:pPr>
            <w:r>
              <w:rPr>
                <w:rFonts w:ascii="Tahoma" w:hAnsi="Tahoma"/>
                <w:b/>
                <w:noProof/>
                <w:sz w:val="20"/>
              </w:rPr>
              <w:t xml:space="preserve">Jakie będą skutki dla przedsiębiorstw, MŚP i mikroprzedsiębiorstw? </w:t>
            </w:r>
          </w:p>
        </w:tc>
      </w:tr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spacing w:before="60" w:after="60"/>
              <w:jc w:val="both"/>
              <w:rPr>
                <w:rFonts w:ascii="Arial" w:hAnsi="Arial" w:cs="Arial"/>
                <w:i/>
                <w:noProof/>
                <w:sz w:val="20"/>
                <w:szCs w:val="20"/>
              </w:rPr>
            </w:pPr>
            <w:r>
              <w:rPr>
                <w:rFonts w:ascii="Arial" w:hAnsi="Arial"/>
                <w:noProof/>
                <w:sz w:val="20"/>
              </w:rPr>
              <w:t>Analiza wskazuje pozytywne skutki dla gospodarki, w tym także dla MŚP. Mali producenci samochodów, których produkcja nie przekracza 1 000 rejestracji nowych pojazdów w UE rocznie, są zwolnieni ze stosowania norm emisji CO</w:t>
            </w:r>
            <w:r>
              <w:rPr>
                <w:rFonts w:ascii="Arial" w:hAnsi="Arial"/>
                <w:noProof/>
                <w:sz w:val="20"/>
                <w:vertAlign w:val="subscript"/>
              </w:rPr>
              <w:t>2</w:t>
            </w:r>
            <w:r>
              <w:rPr>
                <w:rFonts w:ascii="Arial" w:hAnsi="Arial"/>
                <w:noProof/>
                <w:sz w:val="20"/>
              </w:rPr>
              <w:t xml:space="preserve">. MŚP jako użytkownicy bardziej sprawnych vanów będą w znacznym stopniu czerpać korzyści wynikające ze zmniejszenia zużycia paliwa. W łańcuchu wartości przemysłu motoryzacyjnego MŚP produkujące w oparciu o konwencjonalne technologie mogą być zmuszone do dostosowania, ale będą również odnosić korzyści wynikające z dodatkowego zapotrzebowania na nowe i efektywniejsze technologie. </w:t>
            </w:r>
          </w:p>
        </w:tc>
      </w:tr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E6E6E6"/>
          </w:tcPr>
          <w:p>
            <w:pPr>
              <w:spacing w:before="60"/>
              <w:jc w:val="both"/>
              <w:rPr>
                <w:rFonts w:ascii="Tahoma" w:hAnsi="Tahoma" w:cs="Tahoma"/>
                <w:b/>
                <w:i/>
                <w:noProof/>
                <w:sz w:val="20"/>
                <w:szCs w:val="20"/>
              </w:rPr>
            </w:pPr>
            <w:r>
              <w:rPr>
                <w:rFonts w:ascii="Tahoma" w:hAnsi="Tahoma"/>
                <w:b/>
                <w:noProof/>
                <w:sz w:val="20"/>
              </w:rPr>
              <w:t>Czy przewiduje się znaczące skutki</w:t>
            </w:r>
            <w:r>
              <w:rPr>
                <w:rFonts w:ascii="Tahoma" w:hAnsi="Tahoma"/>
                <w:noProof/>
                <w:sz w:val="20"/>
              </w:rPr>
              <w:t xml:space="preserve"> </w:t>
            </w:r>
            <w:r>
              <w:rPr>
                <w:rFonts w:ascii="Tahoma" w:hAnsi="Tahoma"/>
                <w:b/>
                <w:noProof/>
                <w:sz w:val="20"/>
              </w:rPr>
              <w:t>dla budżetów i administracji krajowych?</w:t>
            </w:r>
            <w:r>
              <w:rPr>
                <w:rFonts w:ascii="Tahoma" w:hAnsi="Tahoma"/>
                <w:noProof/>
                <w:sz w:val="20"/>
              </w:rPr>
              <w:t xml:space="preserve"> </w:t>
            </w:r>
          </w:p>
        </w:tc>
      </w:tr>
      <w:tr>
        <w:tc>
          <w:tcPr>
            <w:tcW w:w="10188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/>
                <w:noProof/>
                <w:sz w:val="20"/>
              </w:rPr>
              <w:t>Straty przychodów z ceł na paliwa w 2030 r. szacuje się na około 0,04 % PKB UE-28. We wszystkich ocenianych wariantach zakłada się ich zrekompensowanie poprzez wzrost podatków pośrednich.</w:t>
            </w:r>
          </w:p>
        </w:tc>
      </w:tr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E6E6E6"/>
          </w:tcPr>
          <w:p>
            <w:pPr>
              <w:spacing w:before="60"/>
              <w:jc w:val="both"/>
              <w:rPr>
                <w:rFonts w:ascii="Tahoma" w:hAnsi="Tahoma" w:cs="Tahoma"/>
                <w:noProof/>
                <w:sz w:val="20"/>
                <w:szCs w:val="20"/>
              </w:rPr>
            </w:pPr>
            <w:r>
              <w:rPr>
                <w:rFonts w:ascii="Tahoma" w:hAnsi="Tahoma"/>
                <w:b/>
                <w:noProof/>
                <w:sz w:val="20"/>
              </w:rPr>
              <w:t>Czy wystąpią inne znaczące skutki?</w:t>
            </w:r>
            <w:r>
              <w:rPr>
                <w:rFonts w:ascii="Tahoma" w:hAnsi="Tahoma"/>
                <w:noProof/>
                <w:sz w:val="20"/>
              </w:rPr>
              <w:t xml:space="preserve"> </w:t>
            </w:r>
          </w:p>
        </w:tc>
      </w:tr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/>
                <w:noProof/>
                <w:sz w:val="20"/>
              </w:rPr>
              <w:t>Ambitne, ale realne i racjonalne pod względem kosztów ramy regulacyjne w odniesieniu do samochodów osobowych i vanów pomogą przemysłowi motoryzacyjnemu UE w utrzymaniu globalnej konkurencyjności i dostępu do rynków. Dzięki obniżonemu zapotrzebowaniu na paliwa kopalne poprawi się sytuacja UE w zakresie bezpieczeństwa energetycznego, a największe korzyści zostaną osiągnięte średnioterminowo.</w:t>
            </w:r>
          </w:p>
        </w:tc>
      </w:tr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C0C0C0"/>
          </w:tcPr>
          <w:p>
            <w:pPr>
              <w:spacing w:before="60" w:after="60"/>
              <w:jc w:val="center"/>
              <w:rPr>
                <w:rFonts w:ascii="Tahoma" w:hAnsi="Tahoma" w:cs="Tahoma"/>
                <w:b/>
                <w:noProof/>
                <w:sz w:val="22"/>
                <w:szCs w:val="22"/>
              </w:rPr>
            </w:pPr>
            <w:r>
              <w:rPr>
                <w:rFonts w:ascii="Tahoma" w:hAnsi="Tahoma"/>
                <w:b/>
                <w:noProof/>
                <w:sz w:val="22"/>
              </w:rPr>
              <w:t>D. Działania następcze</w:t>
            </w:r>
          </w:p>
        </w:tc>
      </w:tr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E6E6E6"/>
          </w:tcPr>
          <w:p>
            <w:pPr>
              <w:spacing w:before="60"/>
              <w:jc w:val="both"/>
              <w:rPr>
                <w:rFonts w:ascii="Tahoma" w:hAnsi="Tahoma" w:cs="Tahoma"/>
                <w:noProof/>
                <w:sz w:val="20"/>
                <w:szCs w:val="20"/>
              </w:rPr>
            </w:pPr>
            <w:r>
              <w:rPr>
                <w:rFonts w:ascii="Tahoma" w:hAnsi="Tahoma"/>
                <w:b/>
                <w:noProof/>
                <w:sz w:val="20"/>
              </w:rPr>
              <w:t xml:space="preserve">Kiedy nastąpi przegląd przyjętej polityki? </w:t>
            </w:r>
          </w:p>
        </w:tc>
      </w:tr>
      <w:tr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jc w:val="both"/>
              <w:rPr>
                <w:rFonts w:ascii="Tahoma" w:hAnsi="Tahoma" w:cs="Tahoma"/>
                <w:noProof/>
                <w:sz w:val="20"/>
                <w:szCs w:val="20"/>
              </w:rPr>
            </w:pPr>
            <w:r>
              <w:rPr>
                <w:rFonts w:ascii="Tahoma" w:hAnsi="Tahoma"/>
                <w:noProof/>
                <w:sz w:val="20"/>
              </w:rPr>
              <w:t>Przegląd skuteczności nowych przepisów może się odbyć w 2024 r. wraz z przeglądem innych przepisów, takich jak przepisy przedstawione we wniosku dotyczącym systemu handlu emisjami i rozporządzenia w sprawie wspólnego wysiłku redukcyjnego.</w:t>
            </w:r>
          </w:p>
        </w:tc>
      </w:tr>
    </w:tbl>
    <w:p>
      <w:pPr>
        <w:rPr>
          <w:noProof/>
        </w:rPr>
      </w:pPr>
    </w:p>
    <w:sectPr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7" w:right="1417" w:bottom="1417" w:left="1417" w:header="708" w:footer="708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PL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PL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1775996"/>
      <w:docPartObj>
        <w:docPartGallery w:val="Page Numbers (Bottom of Page)"/>
        <w:docPartUnique/>
      </w:docPartObj>
    </w:sdtPr>
    <w:sdtEndPr>
      <w:rPr>
        <w:noProof/>
      </w:rPr>
    </w:sdtEndPr>
    <w:sdtContent>
      <w:p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15AF4"/>
    <w:multiLevelType w:val="hybridMultilevel"/>
    <w:tmpl w:val="24A65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DA74B2"/>
    <w:multiLevelType w:val="hybridMultilevel"/>
    <w:tmpl w:val="6118636A"/>
    <w:lvl w:ilvl="0" w:tplc="926CD5E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E545A7"/>
    <w:multiLevelType w:val="hybridMultilevel"/>
    <w:tmpl w:val="9312AF7A"/>
    <w:lvl w:ilvl="0" w:tplc="926CD5E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4B102D"/>
    <w:multiLevelType w:val="hybridMultilevel"/>
    <w:tmpl w:val="872C295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2940A1F"/>
    <w:multiLevelType w:val="hybridMultilevel"/>
    <w:tmpl w:val="F9A25828"/>
    <w:lvl w:ilvl="0" w:tplc="4B26627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5A43AF"/>
    <w:multiLevelType w:val="hybridMultilevel"/>
    <w:tmpl w:val="8EEC8CB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revisionView w:markup="0"/>
  <w:defaultTabStop w:val="720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Status" w:val="Green"/>
    <w:docVar w:name="LW_ACCOMPAGNANT.CP" w:val="Towarzysz\u261?cy dokumentowi:"/>
    <w:docVar w:name="LW_CORRIGENDUM" w:val="&lt;UNUSED&gt;"/>
    <w:docVar w:name="LW_COVERPAGE_EXISTS" w:val="True"/>
    <w:docVar w:name="LW_COVERPAGE_GUID" w:val="6A42FE44-BF97-412B-BCB4-561F91E3D2D4"/>
    <w:docVar w:name="LW_COVERPAGE_TYPE" w:val="1"/>
    <w:docVar w:name="LW_CROSSREFERENCE" w:val="{COM(2017) 676 final}_x000b_{SWD(2017) 650 final}"/>
    <w:docVar w:name="LW_DocType" w:val="NORMAL"/>
    <w:docVar w:name="LW_EMISSION" w:val="8.11.2017"/>
    <w:docVar w:name="LW_EMISSION_ISODATE" w:val="2017-11-08"/>
    <w:docVar w:name="LW_EMISSION_LOCATION" w:val="BRX"/>
    <w:docVar w:name="LW_EMISSION_PREFIX" w:val="Bruksela, dnia "/>
    <w:docVar w:name="LW_EMISSION_SUFFIX" w:val="r."/>
    <w:docVar w:name="LW_ID_DOCTYPE_NONLW" w:val="CP-027"/>
    <w:docVar w:name="LW_LANGUE" w:val="PL"/>
    <w:docVar w:name="LW_LEVEL_OF_SENSITIVITY" w:val="Standard treatment"/>
    <w:docVar w:name="LW_NOM.INST" w:val="KOMISJA EUROPEJSKA"/>
    <w:docVar w:name="LW_NOM.INST_JOINTDOC" w:val="&lt;EMPTY&gt;"/>
    <w:docVar w:name="LW_OBJETACTEPRINCIPAL.CP" w:val="[...]"/>
    <w:docVar w:name="LW_PART_NBR" w:val="1"/>
    <w:docVar w:name="LW_PART_NBR_TOTAL" w:val="1"/>
    <w:docVar w:name="LW_REF.INST.NEW" w:val="SWD"/>
    <w:docVar w:name="LW_REF.INST.NEW_ADOPTED" w:val="final"/>
    <w:docVar w:name="LW_REF.INST.NEW_TEXT" w:val="(2017) 651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 xsi:nil=&quot;true&quot; /&gt;_x000d__x000a_  &lt;limited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footnote xsi:nil=&quot;true&quot; /&gt;_x000d__x000a_  &lt;isRestricted&gt;false&lt;/isRestricted&gt;_x000d__x000a_&lt;/SensitivityLevel&gt;"/>
    <w:docVar w:name="LW_SUPERTITRE" w:val="&lt;UNUSED&gt;"/>
    <w:docVar w:name="LW_TITRE.OBJ.CP" w:val="&lt;UNUSED&gt;"/>
    <w:docVar w:name="LW_TYPE.DOC.CP" w:val="DOKUMENT ROBOCZY S\u321?U\u379?B KOMISJI_x000b__x000b_STRESZCZENIE OCENY SKUTKÓW_x000b_"/>
    <w:docVar w:name="LW_TYPEACTEPRINCIPAL.CP" w:val="Ocena skutków wniosku dotycz\u261?cego rozporz\u261?dzenia Parlamentu Europejskiego i Rady okre\u347?laj\u261?cego normy emisji dla nowych samochodów osobowych i dla nowych lekkich pojazdów u\u380?ytkowych w ramach zintegrowanego podej\u347?cia Unii na rzecz zmniejszenia emisji CO2 z pojazdów lekkich oraz zmieniaj\u261?cego  rozporz\u261?dzenie (WE) nr 715/2007 (wersja przekszta\u322?cona)_x000b_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jc w:val="both"/>
    </w:pPr>
    <w:rPr>
      <w:rFonts w:eastAsiaTheme="minorHAnsi"/>
      <w:szCs w:val="22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after="120"/>
      <w:jc w:val="both"/>
    </w:pPr>
    <w:rPr>
      <w:rFonts w:eastAsiaTheme="minorHAnsi"/>
      <w:szCs w:val="22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/>
      <w:ind w:left="-850" w:right="-850"/>
    </w:p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eastAsia="Times New Roman" w:hAnsi="Times New Roman" w:cs="Times New Roman"/>
      <w:sz w:val="24"/>
      <w:szCs w:val="24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/>
      <w:jc w:val="both"/>
    </w:p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Declassification">
    <w:name w:val="Declassification"/>
    <w:basedOn w:val="Normal"/>
    <w:next w:val="Normal"/>
    <w:pPr>
      <w:jc w:val="both"/>
    </w:pPr>
    <w:rPr>
      <w:rFonts w:eastAsiaTheme="minorHAnsi"/>
      <w:szCs w:val="22"/>
    </w:r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b/>
      <w:sz w:val="32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b/>
      <w:sz w:val="32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jc w:val="both"/>
    </w:pPr>
    <w:rPr>
      <w:rFonts w:eastAsiaTheme="minorHAnsi"/>
      <w:szCs w:val="22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after="120"/>
      <w:jc w:val="both"/>
    </w:pPr>
    <w:rPr>
      <w:rFonts w:eastAsiaTheme="minorHAnsi"/>
      <w:szCs w:val="22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/>
      <w:ind w:left="-850" w:right="-850"/>
    </w:p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eastAsia="Times New Roman" w:hAnsi="Times New Roman" w:cs="Times New Roman"/>
      <w:sz w:val="24"/>
      <w:szCs w:val="24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/>
      <w:jc w:val="both"/>
    </w:p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Declassification">
    <w:name w:val="Declassification"/>
    <w:basedOn w:val="Normal"/>
    <w:next w:val="Normal"/>
    <w:pPr>
      <w:jc w:val="both"/>
    </w:pPr>
    <w:rPr>
      <w:rFonts w:eastAsiaTheme="minorHAnsi"/>
      <w:szCs w:val="22"/>
    </w:r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b/>
      <w:sz w:val="32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b/>
      <w:sz w:val="32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footnotes" Target="foot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DCF41F10D214DBDDF7E1F5EB8F7C1" ma:contentTypeVersion="1" ma:contentTypeDescription="Create a new document." ma:contentTypeScope="" ma:versionID="4d11a2104eb79e191fab213970d36f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f2aa9ed40e72a78c3822fc753b43e8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228E3-FEEC-429F-8C93-CFCC37DE565D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1588CBB-D78F-412D-9B35-4671E1A447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CCE80E-734A-4297-8D0E-984F7E32D7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F4AD05-6F91-4C3B-9870-B846FFAB4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972</Words>
  <Characters>6408</Characters>
  <Application>Microsoft Office Word</Application>
  <DocSecurity>0</DocSecurity>
  <Lines>106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19</cp:revision>
  <cp:lastPrinted>2017-10-25T12:55:00Z</cp:lastPrinted>
  <dcterms:created xsi:type="dcterms:W3CDTF">2017-10-27T10:52:00Z</dcterms:created>
  <dcterms:modified xsi:type="dcterms:W3CDTF">2018-01-26T15:36:00Z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rt">
    <vt:lpwstr>1</vt:lpwstr>
  </property>
  <property fmtid="{D5CDD505-2E9C-101B-9397-08002B2CF9AE}" pid="3" name="Total parts">
    <vt:lpwstr>1</vt:lpwstr>
  </property>
  <property fmtid="{D5CDD505-2E9C-101B-9397-08002B2CF9AE}" pid="4" name="DocStatus">
    <vt:lpwstr>Green</vt:lpwstr>
  </property>
  <property fmtid="{D5CDD505-2E9C-101B-9397-08002B2CF9AE}" pid="5" name="Order">
    <vt:r8>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NewReviewCycle">
    <vt:lpwstr/>
  </property>
  <property fmtid="{D5CDD505-2E9C-101B-9397-08002B2CF9AE}" pid="9" name="ContentTypeId">
    <vt:lpwstr>0x010100AB6DCF41F10D214DBDDF7E1F5EB8F7C1</vt:lpwstr>
  </property>
  <property fmtid="{D5CDD505-2E9C-101B-9397-08002B2CF9AE}" pid="10" name="TemplateUrl">
    <vt:lpwstr/>
  </property>
  <property fmtid="{D5CDD505-2E9C-101B-9397-08002B2CF9AE}" pid="11" name="Level of sensitivity">
    <vt:lpwstr>Standard treatment</vt:lpwstr>
  </property>
  <property name="OP_sanitized" fmtid="{D5CDD505-2E9C-101B-9397-08002B2CF9AE}" pid="12">
    <vt:lpwstr>True</vt:lpwstr>
  </property>
</Properties>
</file>