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9E82A57F26C4801BF98AEEC90B900DE" style="width:450.75pt;height:37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UZASADNIENIE</w:t>
      </w:r>
    </w:p>
    <w:p>
      <w:pPr>
        <w:pStyle w:val="ManualHeading1"/>
        <w:rPr>
          <w:noProof/>
        </w:rPr>
      </w:pPr>
      <w:r>
        <w:rPr>
          <w:noProof/>
        </w:rPr>
        <w:t>1.</w:t>
      </w:r>
      <w:r>
        <w:rPr>
          <w:noProof/>
        </w:rPr>
        <w:tab/>
        <w:t>KONTEKST WNIOSKU</w:t>
      </w:r>
    </w:p>
    <w:p>
      <w:pPr>
        <w:pStyle w:val="ManualHeading2"/>
        <w:rPr>
          <w:rFonts w:eastAsia="Arial Unicode MS"/>
          <w:noProof/>
        </w:rPr>
      </w:pPr>
      <w:r>
        <w:rPr>
          <w:noProof/>
          <w:color w:val="000000"/>
          <w:u w:color="000000"/>
          <w:bdr w:val="nil"/>
        </w:rPr>
        <w:t>•</w:t>
      </w:r>
      <w:r>
        <w:rPr>
          <w:noProof/>
        </w:rPr>
        <w:tab/>
        <w:t>Przyczyny i cele wniosku</w:t>
      </w:r>
    </w:p>
    <w:p>
      <w:pPr>
        <w:pBdr>
          <w:top w:val="nil"/>
          <w:left w:val="nil"/>
          <w:bottom w:val="nil"/>
          <w:right w:val="nil"/>
          <w:between w:val="nil"/>
          <w:bar w:val="nil"/>
        </w:pBdr>
        <w:spacing w:before="0" w:after="240"/>
        <w:rPr>
          <w:rFonts w:eastAsia="Arial Unicode MS"/>
          <w:noProof/>
        </w:rPr>
      </w:pPr>
      <w:r>
        <w:rPr>
          <w:noProof/>
        </w:rPr>
        <w:t>Na podstawie odpowiednich wytycznych negocjacyjnych</w:t>
      </w:r>
      <w:r>
        <w:rPr>
          <w:rStyle w:val="FootnoteReference"/>
          <w:noProof/>
        </w:rPr>
        <w:footnoteReference w:id="1"/>
      </w:r>
      <w:r>
        <w:rPr>
          <w:noProof/>
        </w:rPr>
        <w:t xml:space="preserve"> Komisja przeprowadziła negocjacje z rządem Mauritiusu w celu zawarcia nowego protokołu do Umowy o partnerstwie w sprawie połowów między Wspólnotą Europejską a Republiką Mauritiusu</w:t>
      </w:r>
      <w:r>
        <w:rPr>
          <w:rStyle w:val="FootnoteReference"/>
          <w:noProof/>
        </w:rPr>
        <w:footnoteReference w:id="2"/>
      </w:r>
      <w:r>
        <w:rPr>
          <w:noProof/>
        </w:rPr>
        <w:t xml:space="preserve">. W wyniku tych negocjacji nowy protokół parafowano dnia 26 kwietnia 2017 r. Protokół obejmuje okres czterech lat, począwszy od daty jego tymczasowego stosowania, tj. od daty jego podpisania, zgodnie z art. 15. </w:t>
      </w:r>
    </w:p>
    <w:p>
      <w:pPr>
        <w:pBdr>
          <w:top w:val="nil"/>
          <w:left w:val="nil"/>
          <w:bottom w:val="nil"/>
          <w:right w:val="nil"/>
          <w:between w:val="nil"/>
          <w:bar w:val="nil"/>
        </w:pBdr>
        <w:spacing w:before="0" w:after="240"/>
        <w:rPr>
          <w:rFonts w:eastAsia="Arial Unicode MS"/>
          <w:noProof/>
        </w:rPr>
      </w:pPr>
      <w:r>
        <w:rPr>
          <w:noProof/>
        </w:rPr>
        <w:t xml:space="preserve">Głównym celem nowego protokołu jest zapewnienie statkom unijnym uprawnień do połowów na wodach Mauritiusu w oparciu o najlepsze dostępne opinie naukowe i z uwzględnieniem zaleceń Międzynarodowej Komisji ds. Tuńczyka na Oceanie Indyjskim (IOTC), w stosownych przypadkach w granicach dostępnej nadwyżki. Stanowisko Komisji było oparte między innymi na wynikach oceny poprzednio obowiązującego protokołu (na lata 2014–2017) oraz perspektywicznej oceny dotyczącej potrzeby zawarcia nowego protokołu. Obie oceny zostały przeprowadzone przez ekspertów zewnętrznych. Protokół umożliwi również Unii Europejskiej i Republice Mauritiusu ściślejszą współpracę w zakresie wspierania zrównoważonej polityki rybołówstwa, rozsądnej eksploatacji zasobów rybnych w wodach Mauritiusu oraz wsparcie dążeń tego państwa do zbudowania zrównoważonej gospodarki oceanicznej z pożytkiem dla obu stron. </w:t>
      </w:r>
    </w:p>
    <w:p>
      <w:pPr>
        <w:pBdr>
          <w:top w:val="nil"/>
          <w:left w:val="nil"/>
          <w:bottom w:val="nil"/>
          <w:right w:val="nil"/>
          <w:between w:val="nil"/>
          <w:bar w:val="nil"/>
        </w:pBdr>
        <w:spacing w:before="0" w:after="240"/>
        <w:rPr>
          <w:rFonts w:eastAsia="Arial Unicode MS"/>
          <w:noProof/>
        </w:rPr>
      </w:pPr>
      <w:r>
        <w:rPr>
          <w:noProof/>
        </w:rPr>
        <w:t>W protokole określono uprawnienia do połowów w następujących kategoriach:</w:t>
      </w:r>
    </w:p>
    <w:p>
      <w:pPr>
        <w:pBdr>
          <w:top w:val="nil"/>
          <w:left w:val="nil"/>
          <w:bottom w:val="nil"/>
          <w:right w:val="nil"/>
          <w:between w:val="nil"/>
          <w:bar w:val="nil"/>
        </w:pBdr>
        <w:spacing w:before="0" w:after="240"/>
        <w:rPr>
          <w:rFonts w:eastAsia="Arial Unicode MS"/>
          <w:noProof/>
        </w:rPr>
      </w:pPr>
      <w:r>
        <w:rPr>
          <w:noProof/>
        </w:rPr>
        <w:t>–</w:t>
      </w:r>
      <w:r>
        <w:rPr>
          <w:noProof/>
        </w:rPr>
        <w:tab/>
        <w:t>40 sejnerów tuńczykowych,</w:t>
      </w:r>
    </w:p>
    <w:p>
      <w:pPr>
        <w:pBdr>
          <w:top w:val="nil"/>
          <w:left w:val="nil"/>
          <w:bottom w:val="nil"/>
          <w:right w:val="nil"/>
          <w:between w:val="nil"/>
          <w:bar w:val="nil"/>
        </w:pBdr>
        <w:spacing w:before="0" w:after="240"/>
        <w:rPr>
          <w:rFonts w:eastAsia="Arial Unicode MS"/>
          <w:noProof/>
        </w:rPr>
      </w:pPr>
      <w:r>
        <w:rPr>
          <w:noProof/>
        </w:rPr>
        <w:t>–</w:t>
      </w:r>
      <w:r>
        <w:rPr>
          <w:noProof/>
        </w:rPr>
        <w:tab/>
        <w:t xml:space="preserve">45 taklowców powierzchniowych. </w:t>
      </w:r>
    </w:p>
    <w:p>
      <w:pPr>
        <w:pStyle w:val="ManualHeading2"/>
        <w:rPr>
          <w:rFonts w:eastAsia="Arial Unicode MS"/>
          <w:noProof/>
          <w:color w:val="000000"/>
          <w:u w:color="000000"/>
          <w:bdr w:val="nil"/>
        </w:rPr>
      </w:pPr>
      <w:r>
        <w:rPr>
          <w:noProof/>
          <w:color w:val="000000"/>
          <w:u w:color="000000"/>
          <w:bdr w:val="nil"/>
        </w:rPr>
        <w:t>•</w:t>
      </w:r>
      <w:r>
        <w:rPr>
          <w:noProof/>
        </w:rPr>
        <w:tab/>
        <w:t>Spójność z przepisami obowiązującymi w tej dziedzinie polityki</w:t>
      </w:r>
    </w:p>
    <w:p>
      <w:pPr>
        <w:pBdr>
          <w:top w:val="nil"/>
          <w:left w:val="nil"/>
          <w:bottom w:val="nil"/>
          <w:right w:val="nil"/>
          <w:between w:val="nil"/>
          <w:bar w:val="nil"/>
        </w:pBdr>
        <w:spacing w:before="0" w:after="240"/>
        <w:rPr>
          <w:rFonts w:eastAsia="Arial Unicode MS"/>
          <w:noProof/>
        </w:rPr>
      </w:pPr>
      <w:r>
        <w:rPr>
          <w:noProof/>
        </w:rPr>
        <w:t>Nowy protokół stworzy ramy dla działalności statków unijnych poławiających w wodach Mauritiusu oraz ściślejszej współpracy między Unią a Mauritiusem, z uwzględnieniem priorytetów zreformowanej wspólnej polityki rybołówstwa i jej wymiaru zewnętrznego. Celem jest ustanowienia strategicznego partnerstwa z tym krajem.</w:t>
      </w:r>
    </w:p>
    <w:p>
      <w:pPr>
        <w:pBdr>
          <w:top w:val="nil"/>
          <w:left w:val="nil"/>
          <w:bottom w:val="nil"/>
          <w:right w:val="nil"/>
          <w:between w:val="nil"/>
          <w:bar w:val="nil"/>
        </w:pBdr>
        <w:spacing w:before="0" w:after="240"/>
        <w:rPr>
          <w:rFonts w:eastAsia="Arial Unicode MS"/>
          <w:noProof/>
        </w:rPr>
      </w:pPr>
      <w:r>
        <w:rPr>
          <w:noProof/>
        </w:rPr>
        <w:t>Komisja występuje zatem z wnioskiem, aby Rada wydała upoważnienie do podpisania i tymczasowego stosowania tego nowego protokołu.</w:t>
      </w:r>
    </w:p>
    <w:p>
      <w:pPr>
        <w:pStyle w:val="ManualHeading2"/>
        <w:rPr>
          <w:rFonts w:eastAsia="Arial Unicode MS"/>
          <w:noProof/>
        </w:rPr>
      </w:pPr>
      <w:r>
        <w:rPr>
          <w:noProof/>
          <w:color w:val="000000"/>
          <w:u w:color="000000"/>
          <w:bdr w:val="nil"/>
        </w:rPr>
        <w:t>•</w:t>
      </w:r>
      <w:r>
        <w:rPr>
          <w:noProof/>
        </w:rPr>
        <w:tab/>
        <w:t>Spójność z innymi politykami Unii</w:t>
      </w:r>
    </w:p>
    <w:p>
      <w:pPr>
        <w:pBdr>
          <w:top w:val="nil"/>
          <w:left w:val="nil"/>
          <w:bottom w:val="nil"/>
          <w:right w:val="nil"/>
          <w:between w:val="nil"/>
          <w:bar w:val="nil"/>
        </w:pBdr>
        <w:spacing w:before="0" w:after="240"/>
        <w:rPr>
          <w:rFonts w:eastAsia="Arial Unicode MS"/>
          <w:noProof/>
        </w:rPr>
      </w:pPr>
      <w:r>
        <w:rPr>
          <w:noProof/>
        </w:rPr>
        <w:t xml:space="preserve">Wniosek jest spójny z działaniami zewnętrznymi Unii Europejskiej na rzecz państw Afryki, Karaibów i Pacyfiku (państw AKP). </w:t>
      </w:r>
    </w:p>
    <w:p>
      <w:pPr>
        <w:pStyle w:val="ManualHeading1"/>
        <w:rPr>
          <w:noProof/>
        </w:rPr>
      </w:pPr>
      <w:r>
        <w:rPr>
          <w:noProof/>
        </w:rPr>
        <w:t>2.</w:t>
      </w:r>
      <w:r>
        <w:rPr>
          <w:noProof/>
        </w:rPr>
        <w:tab/>
        <w:t xml:space="preserve">WYNIKI OCEN </w:t>
      </w:r>
      <w:r>
        <w:rPr>
          <w:i/>
          <w:noProof/>
        </w:rPr>
        <w:t>EX POST</w:t>
      </w:r>
      <w:r>
        <w:rPr>
          <w:noProof/>
        </w:rPr>
        <w:t>, KONSULTACJI Z ZAINTERESOWANYMI STRONAMI I OCEN SKUTKÓW</w:t>
      </w:r>
    </w:p>
    <w:p>
      <w:pPr>
        <w:pBdr>
          <w:top w:val="nil"/>
          <w:left w:val="nil"/>
          <w:bottom w:val="nil"/>
          <w:right w:val="nil"/>
          <w:between w:val="nil"/>
          <w:bar w:val="nil"/>
        </w:pBdr>
        <w:spacing w:before="0" w:after="240"/>
        <w:rPr>
          <w:rFonts w:eastAsia="Arial Unicode MS"/>
          <w:noProof/>
        </w:rPr>
      </w:pPr>
      <w:r>
        <w:rPr>
          <w:noProof/>
        </w:rPr>
        <w:t xml:space="preserve">Konsultacje z zainteresowanymi stronami przeprowadzono w trakcie oceny </w:t>
      </w:r>
      <w:r>
        <w:rPr>
          <w:i/>
          <w:noProof/>
        </w:rPr>
        <w:t>ex post</w:t>
      </w:r>
      <w:r>
        <w:rPr>
          <w:noProof/>
        </w:rPr>
        <w:t xml:space="preserve"> oraz oceny </w:t>
      </w:r>
      <w:r>
        <w:rPr>
          <w:i/>
          <w:noProof/>
        </w:rPr>
        <w:t>ex ante</w:t>
      </w:r>
      <w:r>
        <w:rPr>
          <w:noProof/>
        </w:rPr>
        <w:t xml:space="preserve"> dotyczącej ewentualnego nowego protokołu między Unią Europejską </w:t>
      </w:r>
      <w:r>
        <w:rPr>
          <w:noProof/>
        </w:rPr>
        <w:lastRenderedPageBreak/>
        <w:t>a Republiką Mauritiusu. Podczas spotkań technicznych przeprowadzono również konsultacje z ekspertami z państw członkowskich oraz z sektora rybołówstwa. W wyniku tych konsultacji stwierdzono, że zawarcie nowego protokołu do Umowy o partnerstwie w sprawie połowów byłoby korzystne dla Unii Europejskiej i Republiki Mauritiusu.</w:t>
      </w:r>
    </w:p>
    <w:p>
      <w:pPr>
        <w:pStyle w:val="ManualHeading1"/>
        <w:rPr>
          <w:noProof/>
        </w:rPr>
      </w:pPr>
      <w:r>
        <w:rPr>
          <w:noProof/>
        </w:rPr>
        <w:t>3.</w:t>
      </w:r>
      <w:r>
        <w:rPr>
          <w:noProof/>
        </w:rPr>
        <w:tab/>
        <w:t>WPŁYW NA BUDŻET</w:t>
      </w:r>
    </w:p>
    <w:p>
      <w:pPr>
        <w:pBdr>
          <w:top w:val="nil"/>
          <w:left w:val="nil"/>
          <w:bottom w:val="nil"/>
          <w:right w:val="nil"/>
          <w:between w:val="nil"/>
          <w:bar w:val="nil"/>
        </w:pBdr>
        <w:spacing w:before="0" w:after="240"/>
        <w:rPr>
          <w:rFonts w:eastAsia="Arial Unicode MS"/>
          <w:noProof/>
        </w:rPr>
      </w:pPr>
      <w:r>
        <w:rPr>
          <w:noProof/>
        </w:rPr>
        <w:t>Roczną rekompensatę finansową w wysokości 575 000 EUR wyliczono na podstawie:</w:t>
      </w:r>
    </w:p>
    <w:p>
      <w:pPr>
        <w:pBdr>
          <w:top w:val="nil"/>
          <w:left w:val="nil"/>
          <w:bottom w:val="nil"/>
          <w:right w:val="nil"/>
          <w:between w:val="nil"/>
          <w:bar w:val="nil"/>
        </w:pBdr>
        <w:spacing w:before="0" w:after="240"/>
        <w:rPr>
          <w:rFonts w:eastAsia="Arial Unicode MS"/>
          <w:noProof/>
        </w:rPr>
      </w:pPr>
      <w:r>
        <w:rPr>
          <w:noProof/>
        </w:rPr>
        <w:t xml:space="preserve">a) pojemności referencyjnej wynoszącej 4 000 ton, w odniesieniu do której roczną kwotę związaną z dostępem określono na 220 000 EUR; </w:t>
      </w:r>
    </w:p>
    <w:p>
      <w:pPr>
        <w:pBdr>
          <w:top w:val="nil"/>
          <w:left w:val="nil"/>
          <w:bottom w:val="nil"/>
          <w:right w:val="nil"/>
          <w:between w:val="nil"/>
          <w:bar w:val="nil"/>
        </w:pBdr>
        <w:spacing w:before="0" w:after="240"/>
        <w:rPr>
          <w:rFonts w:eastAsia="Arial Unicode MS"/>
          <w:noProof/>
        </w:rPr>
      </w:pPr>
      <w:r>
        <w:rPr>
          <w:noProof/>
        </w:rPr>
        <w:t>b) wsparcia na rozwój sektorowej polityki rybołówstwa Republiki Mauritiusu w wysokości 220 000 EUR rocznie; oraz</w:t>
      </w:r>
    </w:p>
    <w:p>
      <w:pPr>
        <w:pBdr>
          <w:top w:val="nil"/>
          <w:left w:val="nil"/>
          <w:bottom w:val="nil"/>
          <w:right w:val="nil"/>
          <w:between w:val="nil"/>
          <w:bar w:val="nil"/>
        </w:pBdr>
        <w:spacing w:before="0" w:after="240"/>
        <w:rPr>
          <w:rFonts w:eastAsia="Arial Unicode MS"/>
          <w:noProof/>
        </w:rPr>
      </w:pPr>
      <w:r>
        <w:rPr>
          <w:noProof/>
        </w:rPr>
        <w:t xml:space="preserve">c) wsparcia na rzecz rozwoju w dziedzinie gospodarki oceanicznej w wysokości 135 000 EUR rocznie. </w:t>
      </w:r>
    </w:p>
    <w:p>
      <w:pPr>
        <w:pBdr>
          <w:top w:val="nil"/>
          <w:left w:val="nil"/>
          <w:bottom w:val="nil"/>
          <w:right w:val="nil"/>
          <w:between w:val="nil"/>
          <w:bar w:val="nil"/>
        </w:pBdr>
        <w:spacing w:before="0" w:after="240"/>
        <w:rPr>
          <w:rFonts w:eastAsia="Arial Unicode MS"/>
          <w:noProof/>
        </w:rPr>
      </w:pPr>
      <w:r>
        <w:rPr>
          <w:noProof/>
        </w:rPr>
        <w:t>Wsparcie to jest zgodne z celami krajowej polityki rybołówstwa, polityki morskiej i gospodarki oceanicznej a zwłaszcza z potrzebami Mauritiusu w odniesieniu do: badań naukowych; tradycyjnego łodziowego rybołówstwa przybrzeżnego; monitorowania i kontroli rybołówstwa oraz nadzoru nad nim oraz zwalczania nielegalnych połowów.</w:t>
      </w:r>
    </w:p>
    <w:p>
      <w:pPr>
        <w:pStyle w:val="Statu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2017/0221 (NLE)</w:t>
      </w:r>
    </w:p>
    <w:p>
      <w:pPr>
        <w:pStyle w:val="Statut"/>
        <w:rPr>
          <w:noProof/>
        </w:rPr>
      </w:pPr>
      <w:r>
        <w:rPr>
          <w:noProof/>
        </w:rPr>
        <w:t>Wniosek</w:t>
      </w:r>
    </w:p>
    <w:p>
      <w:pPr>
        <w:pStyle w:val="Typedudocument"/>
        <w:rPr>
          <w:noProof/>
        </w:rPr>
      </w:pPr>
      <w:r>
        <w:rPr>
          <w:noProof/>
        </w:rPr>
        <w:t>ROZPORZĄDZENIE RADY</w:t>
      </w:r>
    </w:p>
    <w:p>
      <w:pPr>
        <w:pStyle w:val="Titreobjet"/>
        <w:rPr>
          <w:noProof/>
        </w:rPr>
      </w:pPr>
      <w:r>
        <w:rPr>
          <w:noProof/>
        </w:rPr>
        <w:t>w sprawie przydziału uprawnień do połowów na mocy Protokołu określającego uprawnienia do połowów i rekompensatę finansową przewidziane w Umowie o partnerstwie w sprawie połowów między Unią Europejską a Republiką Mauritiusu</w:t>
      </w:r>
      <w:r>
        <w:rPr>
          <w:noProof/>
        </w:rPr>
        <w:br/>
      </w:r>
    </w:p>
    <w:p>
      <w:pPr>
        <w:pStyle w:val="Institutionquiagit"/>
        <w:rPr>
          <w:noProof/>
        </w:rPr>
      </w:pPr>
      <w:r>
        <w:rPr>
          <w:noProof/>
        </w:rPr>
        <w:t>RADA UNII EUROPEJSKIEJ,</w:t>
      </w:r>
    </w:p>
    <w:p>
      <w:pPr>
        <w:rPr>
          <w:noProof/>
        </w:rPr>
      </w:pPr>
      <w:r>
        <w:rPr>
          <w:noProof/>
        </w:rPr>
        <w:t>uwzględniając Traktat o funkcjonowaniu Unii Europejskiej, w szczególności jego art. 43 ust. 3,</w:t>
      </w:r>
    </w:p>
    <w:p>
      <w:pPr>
        <w:rPr>
          <w:noProof/>
        </w:rPr>
      </w:pPr>
      <w:r>
        <w:rPr>
          <w:noProof/>
        </w:rPr>
        <w:t>uwzględniając wniosek Komisji Europejskiej,</w:t>
      </w:r>
    </w:p>
    <w:p>
      <w:pPr>
        <w:rPr>
          <w:noProof/>
        </w:rPr>
      </w:pPr>
      <w:r>
        <w:rPr>
          <w:noProof/>
        </w:rPr>
        <w:t>a także mając na uwadze, co następuje:</w:t>
      </w:r>
    </w:p>
    <w:p>
      <w:pPr>
        <w:pStyle w:val="ManualConsidrant"/>
        <w:rPr>
          <w:noProof/>
        </w:rPr>
      </w:pPr>
      <w:r>
        <w:rPr>
          <w:noProof/>
        </w:rPr>
        <w:t>(1)</w:t>
      </w:r>
      <w:r>
        <w:rPr>
          <w:noProof/>
        </w:rPr>
        <w:tab/>
        <w:t>W dniu 28 stycznia 2014 r. Rada przyjęła decyzję Rady 2014/146/UE</w:t>
      </w:r>
      <w:r>
        <w:rPr>
          <w:rStyle w:val="FootnoteReference"/>
          <w:noProof/>
        </w:rPr>
        <w:footnoteReference w:id="3"/>
      </w:r>
      <w:r>
        <w:rPr>
          <w:noProof/>
        </w:rPr>
        <w:t xml:space="preserve"> w sprawie zawarcia Umowy o partnerstwie w sprawie połowów między Unią Europejską a Republiką Mauritiusu (zwana dalej „umową”).</w:t>
      </w:r>
    </w:p>
    <w:p>
      <w:pPr>
        <w:pStyle w:val="ManualConsidrant"/>
        <w:rPr>
          <w:i/>
          <w:noProof/>
        </w:rPr>
      </w:pPr>
      <w:r>
        <w:rPr>
          <w:noProof/>
        </w:rPr>
        <w:t>(2)</w:t>
      </w:r>
      <w:r>
        <w:rPr>
          <w:noProof/>
        </w:rPr>
        <w:tab/>
        <w:t>W pierwszym protokole do umowy określono na okres trzech lat uprawnienia do połowów przyznane statkom unijnym w obszarze połowowym objętym zwierzchnictwem lub jurysdykcją Mauritiusu oraz wsparcie finansowe przyznane przez Unię. Okres stosowania tego protokołu upłynął w dniu 27 stycznia 2017 r.</w:t>
      </w:r>
    </w:p>
    <w:p>
      <w:pPr>
        <w:pStyle w:val="ManualConsidrant"/>
        <w:rPr>
          <w:noProof/>
        </w:rPr>
      </w:pPr>
      <w:r>
        <w:rPr>
          <w:noProof/>
        </w:rPr>
        <w:t>(3)</w:t>
      </w:r>
      <w:r>
        <w:rPr>
          <w:noProof/>
        </w:rPr>
        <w:tab/>
        <w:t>Zgodnie z decyzją Rady 2017/.../UE</w:t>
      </w:r>
      <w:r>
        <w:rPr>
          <w:rStyle w:val="FootnoteReference"/>
          <w:noProof/>
        </w:rPr>
        <w:footnoteReference w:id="4"/>
      </w:r>
      <w:r>
        <w:rPr>
          <w:noProof/>
        </w:rPr>
        <w:t xml:space="preserve"> nowy Protokół ustalający uprawnienia do połowów i rekompensatę finansową przewidziane w Umowie o partnerstwie w sprawie połowów między Unią Europejską a Republiką Mauritiusu</w:t>
      </w:r>
      <w:r>
        <w:rPr>
          <w:rStyle w:val="FootnoteReference"/>
          <w:noProof/>
        </w:rPr>
        <w:t xml:space="preserve"> </w:t>
      </w:r>
      <w:r>
        <w:rPr>
          <w:noProof/>
        </w:rPr>
        <w:t>(zwany dalej „protokołem”) podpisano w dniu [</w:t>
      </w:r>
      <w:r>
        <w:rPr>
          <w:i/>
          <w:noProof/>
        </w:rPr>
        <w:t>please insert the date]</w:t>
      </w:r>
      <w:r>
        <w:rPr>
          <w:noProof/>
        </w:rPr>
        <w:t xml:space="preserve"> r.</w:t>
      </w:r>
    </w:p>
    <w:p>
      <w:pPr>
        <w:pStyle w:val="ManualConsidrant"/>
        <w:rPr>
          <w:noProof/>
        </w:rPr>
      </w:pPr>
      <w:r>
        <w:rPr>
          <w:noProof/>
        </w:rPr>
        <w:t>(5)</w:t>
      </w:r>
      <w:r>
        <w:rPr>
          <w:noProof/>
        </w:rPr>
        <w:tab/>
        <w:t>Należy określić metodę podziału uprawnień do połowów między państwa członkowskie na cały okres stosowania protokołu.</w:t>
      </w:r>
    </w:p>
    <w:p>
      <w:pPr>
        <w:pStyle w:val="ManualConsidrant"/>
        <w:rPr>
          <w:noProof/>
        </w:rPr>
      </w:pPr>
      <w:r>
        <w:rPr>
          <w:noProof/>
        </w:rPr>
        <w:t>(6)</w:t>
      </w:r>
      <w:r>
        <w:rPr>
          <w:noProof/>
        </w:rPr>
        <w:tab/>
        <w:t>Art. 10 ust. 1 rozporządzenia Rady (WE) nr 1006/2008</w:t>
      </w:r>
      <w:r>
        <w:rPr>
          <w:rStyle w:val="FootnoteReference"/>
          <w:noProof/>
        </w:rPr>
        <w:footnoteReference w:id="5"/>
      </w:r>
      <w:r>
        <w:rPr>
          <w:noProof/>
        </w:rPr>
        <w:t xml:space="preserve"> stanowi, że jeżeli okaże się, iż uprawnienia do połowów przydzielone Unii w ramach protokołu nie są w pełni wykorzystane, Komisja informuje o tym fakcie zainteresowane państwa członkowskie i zwraca się do nich o potwierdzenie faktu niewykorzystywania przedmiotowych uprawnień do połowów. Brak odpowiedzi w określonym terminie uważa się za potwierdzenie, że statki danego państwa członkowskiego nie wykorzystują w pełni przyznanych im uprawnień do połowów w danym okresie.</w:t>
      </w:r>
    </w:p>
    <w:p>
      <w:pPr>
        <w:pStyle w:val="ManualConsidrant"/>
        <w:rPr>
          <w:noProof/>
        </w:rPr>
      </w:pPr>
      <w:r>
        <w:rPr>
          <w:noProof/>
        </w:rPr>
        <w:t>(7)</w:t>
      </w:r>
      <w:r>
        <w:rPr>
          <w:noProof/>
        </w:rPr>
        <w:tab/>
        <w:t>Należy określić limit czasowy na nadsyłanie odpowiedzi zawierających odnośne potwierdzenie.</w:t>
      </w:r>
    </w:p>
    <w:p>
      <w:pPr>
        <w:pStyle w:val="ManualConsidrant"/>
        <w:rPr>
          <w:noProof/>
        </w:rPr>
      </w:pPr>
      <w:r>
        <w:rPr>
          <w:noProof/>
        </w:rPr>
        <w:t>(8)</w:t>
      </w:r>
      <w:r>
        <w:rPr>
          <w:noProof/>
        </w:rPr>
        <w:tab/>
        <w:t>Protokół będzie stosowany tymczasowo od daty jego podpisania, aby zapewnić szybkie rozpoczęcie działalności połowowej przez statki unijne. Należy zatem ustanowić stosowanie niniejszego rozporządzenia począwszy od tej samej daty,</w:t>
      </w:r>
    </w:p>
    <w:p>
      <w:pPr>
        <w:pStyle w:val="Formuledadoption"/>
        <w:rPr>
          <w:noProof/>
        </w:rPr>
      </w:pPr>
      <w:r>
        <w:rPr>
          <w:noProof/>
        </w:rPr>
        <w:t>PRZYJMUJE NINIEJSZE ROZPORZĄDZENIE:</w:t>
      </w:r>
    </w:p>
    <w:p>
      <w:pPr>
        <w:pStyle w:val="Titrearticle"/>
        <w:rPr>
          <w:noProof/>
        </w:rPr>
      </w:pPr>
      <w:r>
        <w:rPr>
          <w:noProof/>
        </w:rPr>
        <w:t>Artykuł 1</w:t>
      </w:r>
    </w:p>
    <w:p>
      <w:pPr>
        <w:pStyle w:val="Point0"/>
        <w:rPr>
          <w:noProof/>
        </w:rPr>
      </w:pPr>
      <w:r>
        <w:rPr>
          <w:noProof/>
        </w:rPr>
        <w:t>1.</w:t>
      </w:r>
      <w:r>
        <w:rPr>
          <w:noProof/>
        </w:rPr>
        <w:tab/>
        <w:t>Uprawnienia do połowów określone na mocy Protokołu ustalającego uprawnienia do połowów i rekompensatę finansową przewidziane w Umowie o partnerstwie w sprawie połowów między Unią Europejską a Republiką Mauritiusu przydziela się państwom członkowskim w następujący sposób:</w:t>
      </w:r>
    </w:p>
    <w:p>
      <w:pPr>
        <w:pStyle w:val="Point1"/>
        <w:rPr>
          <w:noProof/>
        </w:rPr>
      </w:pPr>
      <w:r>
        <w:rPr>
          <w:noProof/>
        </w:rPr>
        <w:t>a)</w:t>
      </w:r>
      <w:r>
        <w:rPr>
          <w:noProof/>
        </w:rPr>
        <w:tab/>
        <w:t>sejnery tuńczykowe:</w:t>
      </w:r>
    </w:p>
    <w:tbl>
      <w:tblPr>
        <w:tblW w:w="0" w:type="auto"/>
        <w:jc w:val="center"/>
        <w:tblInd w:w="959" w:type="dxa"/>
        <w:tblLayout w:type="fixed"/>
        <w:tblLook w:val="0000" w:firstRow="0" w:lastRow="0" w:firstColumn="0" w:lastColumn="0" w:noHBand="0" w:noVBand="0"/>
      </w:tblPr>
      <w:tblGrid>
        <w:gridCol w:w="2693"/>
        <w:gridCol w:w="2410"/>
      </w:tblGrid>
      <w:tr>
        <w:trPr>
          <w:jc w:val="center"/>
        </w:trPr>
        <w:tc>
          <w:tcPr>
            <w:tcW w:w="2693" w:type="dxa"/>
          </w:tcPr>
          <w:p>
            <w:pPr>
              <w:rPr>
                <w:noProof/>
              </w:rPr>
            </w:pPr>
            <w:r>
              <w:rPr>
                <w:noProof/>
              </w:rPr>
              <w:t>Hiszpania:</w:t>
            </w:r>
          </w:p>
        </w:tc>
        <w:tc>
          <w:tcPr>
            <w:tcW w:w="2410" w:type="dxa"/>
          </w:tcPr>
          <w:p>
            <w:pPr>
              <w:jc w:val="center"/>
              <w:rPr>
                <w:noProof/>
              </w:rPr>
            </w:pPr>
            <w:r>
              <w:rPr>
                <w:noProof/>
              </w:rPr>
              <w:t>22 statki</w:t>
            </w:r>
          </w:p>
        </w:tc>
      </w:tr>
      <w:tr>
        <w:trPr>
          <w:trHeight w:val="589"/>
          <w:jc w:val="center"/>
        </w:trPr>
        <w:tc>
          <w:tcPr>
            <w:tcW w:w="2693" w:type="dxa"/>
            <w:tcBorders>
              <w:bottom w:val="nil"/>
            </w:tcBorders>
          </w:tcPr>
          <w:p>
            <w:pPr>
              <w:rPr>
                <w:noProof/>
              </w:rPr>
            </w:pPr>
            <w:r>
              <w:rPr>
                <w:noProof/>
              </w:rPr>
              <w:t>Francja:</w:t>
            </w:r>
          </w:p>
        </w:tc>
        <w:tc>
          <w:tcPr>
            <w:tcW w:w="2410" w:type="dxa"/>
          </w:tcPr>
          <w:p>
            <w:pPr>
              <w:jc w:val="center"/>
              <w:rPr>
                <w:noProof/>
              </w:rPr>
            </w:pPr>
            <w:r>
              <w:rPr>
                <w:noProof/>
              </w:rPr>
              <w:t>16 statków</w:t>
            </w:r>
          </w:p>
        </w:tc>
      </w:tr>
      <w:tr>
        <w:trPr>
          <w:trHeight w:val="589"/>
          <w:jc w:val="center"/>
        </w:trPr>
        <w:tc>
          <w:tcPr>
            <w:tcW w:w="2693" w:type="dxa"/>
            <w:tcBorders>
              <w:bottom w:val="nil"/>
            </w:tcBorders>
          </w:tcPr>
          <w:p>
            <w:pPr>
              <w:rPr>
                <w:noProof/>
              </w:rPr>
            </w:pPr>
            <w:r>
              <w:rPr>
                <w:noProof/>
              </w:rPr>
              <w:t>Włochy:</w:t>
            </w:r>
          </w:p>
        </w:tc>
        <w:tc>
          <w:tcPr>
            <w:tcW w:w="2410" w:type="dxa"/>
          </w:tcPr>
          <w:p>
            <w:pPr>
              <w:jc w:val="center"/>
              <w:rPr>
                <w:noProof/>
              </w:rPr>
            </w:pPr>
            <w:r>
              <w:rPr>
                <w:noProof/>
              </w:rPr>
              <w:t>2 statki</w:t>
            </w:r>
          </w:p>
        </w:tc>
      </w:tr>
    </w:tbl>
    <w:p>
      <w:pPr>
        <w:pStyle w:val="Point1"/>
        <w:rPr>
          <w:noProof/>
        </w:rPr>
      </w:pPr>
      <w:r>
        <w:rPr>
          <w:noProof/>
        </w:rPr>
        <w:t>b)</w:t>
      </w:r>
      <w:r>
        <w:rPr>
          <w:noProof/>
        </w:rPr>
        <w:tab/>
        <w:t>taklowce powierzchniowe:</w:t>
      </w:r>
    </w:p>
    <w:tbl>
      <w:tblPr>
        <w:tblW w:w="0" w:type="auto"/>
        <w:jc w:val="center"/>
        <w:tblInd w:w="959" w:type="dxa"/>
        <w:tblLayout w:type="fixed"/>
        <w:tblLook w:val="0000" w:firstRow="0" w:lastRow="0" w:firstColumn="0" w:lastColumn="0" w:noHBand="0" w:noVBand="0"/>
      </w:tblPr>
      <w:tblGrid>
        <w:gridCol w:w="2693"/>
        <w:gridCol w:w="2410"/>
      </w:tblGrid>
      <w:tr>
        <w:trPr>
          <w:jc w:val="center"/>
        </w:trPr>
        <w:tc>
          <w:tcPr>
            <w:tcW w:w="2693" w:type="dxa"/>
          </w:tcPr>
          <w:p>
            <w:pPr>
              <w:rPr>
                <w:noProof/>
              </w:rPr>
            </w:pPr>
            <w:r>
              <w:rPr>
                <w:noProof/>
              </w:rPr>
              <w:t>Hiszpania:</w:t>
            </w:r>
          </w:p>
        </w:tc>
        <w:tc>
          <w:tcPr>
            <w:tcW w:w="2410" w:type="dxa"/>
          </w:tcPr>
          <w:p>
            <w:pPr>
              <w:jc w:val="center"/>
              <w:rPr>
                <w:noProof/>
              </w:rPr>
            </w:pPr>
            <w:r>
              <w:rPr>
                <w:noProof/>
              </w:rPr>
              <w:t>12 statków</w:t>
            </w:r>
          </w:p>
        </w:tc>
      </w:tr>
      <w:tr>
        <w:trPr>
          <w:trHeight w:val="589"/>
          <w:jc w:val="center"/>
        </w:trPr>
        <w:tc>
          <w:tcPr>
            <w:tcW w:w="2693" w:type="dxa"/>
            <w:tcBorders>
              <w:bottom w:val="nil"/>
            </w:tcBorders>
          </w:tcPr>
          <w:p>
            <w:pPr>
              <w:rPr>
                <w:noProof/>
              </w:rPr>
            </w:pPr>
            <w:r>
              <w:rPr>
                <w:noProof/>
              </w:rPr>
              <w:t>Francja:</w:t>
            </w:r>
          </w:p>
        </w:tc>
        <w:tc>
          <w:tcPr>
            <w:tcW w:w="2410" w:type="dxa"/>
          </w:tcPr>
          <w:p>
            <w:pPr>
              <w:jc w:val="center"/>
              <w:rPr>
                <w:noProof/>
              </w:rPr>
            </w:pPr>
            <w:r>
              <w:rPr>
                <w:noProof/>
              </w:rPr>
              <w:t>29 statków</w:t>
            </w:r>
          </w:p>
        </w:tc>
      </w:tr>
      <w:tr>
        <w:trPr>
          <w:jc w:val="center"/>
        </w:trPr>
        <w:tc>
          <w:tcPr>
            <w:tcW w:w="2693" w:type="dxa"/>
          </w:tcPr>
          <w:p>
            <w:pPr>
              <w:rPr>
                <w:noProof/>
              </w:rPr>
            </w:pPr>
            <w:r>
              <w:rPr>
                <w:noProof/>
              </w:rPr>
              <w:t>Portugalia:</w:t>
            </w:r>
          </w:p>
        </w:tc>
        <w:tc>
          <w:tcPr>
            <w:tcW w:w="2410" w:type="dxa"/>
          </w:tcPr>
          <w:p>
            <w:pPr>
              <w:jc w:val="center"/>
              <w:rPr>
                <w:noProof/>
              </w:rPr>
            </w:pPr>
            <w:r>
              <w:rPr>
                <w:noProof/>
              </w:rPr>
              <w:t>4 statki</w:t>
            </w:r>
          </w:p>
        </w:tc>
      </w:tr>
    </w:tbl>
    <w:p>
      <w:pPr>
        <w:pStyle w:val="Point0"/>
        <w:rPr>
          <w:noProof/>
        </w:rPr>
      </w:pPr>
      <w:r>
        <w:rPr>
          <w:noProof/>
        </w:rPr>
        <w:t>2.</w:t>
      </w:r>
      <w:r>
        <w:rPr>
          <w:noProof/>
        </w:rPr>
        <w:tab/>
        <w:t>Rozporządzenie (WE) nr 1006/2008 stosuje się bez uszczerbku dla postanowień umowy.</w:t>
      </w:r>
    </w:p>
    <w:p>
      <w:pPr>
        <w:pStyle w:val="Point0"/>
        <w:rPr>
          <w:noProof/>
        </w:rPr>
      </w:pPr>
      <w:r>
        <w:rPr>
          <w:noProof/>
        </w:rPr>
        <w:t>3.</w:t>
      </w:r>
      <w:r>
        <w:rPr>
          <w:noProof/>
        </w:rPr>
        <w:tab/>
        <w:t>Jeżeli wnioski o wydanie upoważnień do połowów przedłożone przez państwa członkowskie, o których mowa w ust. 1, nie wyczerpują wszystkich uprawnień do połowów określonych w protokole, Komisja rozważy wnioski o wydanie upoważnień do połowów z pozostałych państw członkowskich, zgodnie z art. 10 rozporządzenia (WE) nr 1006/2008.</w:t>
      </w:r>
    </w:p>
    <w:p>
      <w:pPr>
        <w:pStyle w:val="Point0"/>
        <w:rPr>
          <w:noProof/>
        </w:rPr>
      </w:pPr>
      <w:r>
        <w:rPr>
          <w:noProof/>
        </w:rPr>
        <w:t>4.</w:t>
      </w:r>
      <w:r>
        <w:rPr>
          <w:noProof/>
        </w:rPr>
        <w:tab/>
        <w:t>Limit czasowy na potwierdzenie przez państwa członkowskie na wezwanie Komisji, że nie wykorzystują one w pełni uprawnień do połowów przyznanych im na mocy protokołu, zgodnie z art. 10 ust. 1 rozporządzenia (WE) nr 1006/2008, ustala się na dziesięć dni roboczych od daty przekazania im tej informacji przez Komisję.</w:t>
      </w:r>
    </w:p>
    <w:p>
      <w:pPr>
        <w:pStyle w:val="Titrearticle"/>
        <w:rPr>
          <w:noProof/>
        </w:rPr>
      </w:pPr>
      <w:r>
        <w:rPr>
          <w:noProof/>
        </w:rPr>
        <w:t>Artykuł 2</w:t>
      </w:r>
    </w:p>
    <w:p>
      <w:pPr>
        <w:rPr>
          <w:noProof/>
        </w:rPr>
      </w:pPr>
      <w:r>
        <w:rPr>
          <w:noProof/>
        </w:rPr>
        <w:t>Niniejsze rozporządzenie wchodzi w życie trzeciego dnia po jego opublikowaniu w </w:t>
      </w:r>
      <w:r>
        <w:rPr>
          <w:i/>
          <w:noProof/>
        </w:rPr>
        <w:t>Dzienniku Urzędowym Unii Europejskiej</w:t>
      </w:r>
      <w:r>
        <w:rPr>
          <w:noProof/>
        </w:rPr>
        <w:t>.</w:t>
      </w:r>
    </w:p>
    <w:p>
      <w:pPr>
        <w:pStyle w:val="Applicationdirecte"/>
        <w:rPr>
          <w:noProof/>
        </w:rPr>
      </w:pPr>
      <w:r>
        <w:rPr>
          <w:noProof/>
        </w:rPr>
        <w:t>Niniejsze rozporządzenie stosuje się od dnia podpisania protokołu.</w:t>
      </w:r>
    </w:p>
    <w:p>
      <w:pPr>
        <w:pStyle w:val="Applicationdirecte"/>
        <w:rPr>
          <w:noProof/>
        </w:rPr>
      </w:pPr>
      <w:r>
        <w:rPr>
          <w:noProof/>
        </w:rPr>
        <w:t>Niniejsze rozporządzenie wiąże w całości i jest bezpośrednio stosowane we wszystkich państwach członkowskich.</w:t>
      </w:r>
    </w:p>
    <w:p>
      <w:pPr>
        <w:pStyle w:val="Fait"/>
        <w:rPr>
          <w:noProof/>
        </w:rPr>
      </w:pPr>
      <w:r>
        <w:rPr>
          <w:noProof/>
        </w:rPr>
        <w:t>Sporządzono w Brukseli dnia  r.</w:t>
      </w:r>
    </w:p>
    <w:p>
      <w:pPr>
        <w:pStyle w:val="Institutionquisigne"/>
        <w:rPr>
          <w:noProof/>
        </w:rPr>
      </w:pPr>
      <w:r>
        <w:rPr>
          <w:noProof/>
        </w:rPr>
        <w:tab/>
        <w:t>W imieniu Rady</w:t>
      </w:r>
    </w:p>
    <w:p>
      <w:pPr>
        <w:pStyle w:val="Personnequisigne"/>
        <w:rPr>
          <w:noProof/>
        </w:rPr>
      </w:pPr>
      <w:r>
        <w:rPr>
          <w:noProof/>
        </w:rPr>
        <w:tab/>
        <w:t>Przewodniczący</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Przyjęty przez 3459 posiedzenie Rady ds. Rolnictwa i Rybołówstwa w dniu 11 kwietnia 2016 r.</w:t>
      </w:r>
    </w:p>
  </w:footnote>
  <w:footnote w:id="2">
    <w:p>
      <w:pPr>
        <w:pStyle w:val="FootnoteText"/>
      </w:pPr>
      <w:r>
        <w:rPr>
          <w:rStyle w:val="FootnoteReference"/>
        </w:rPr>
        <w:footnoteRef/>
      </w:r>
      <w:r>
        <w:tab/>
        <w:t>Dz.U. L 79 z 18.3.2014, s. 3.</w:t>
      </w:r>
    </w:p>
  </w:footnote>
  <w:footnote w:id="3">
    <w:p>
      <w:pPr>
        <w:pStyle w:val="FootnoteText"/>
      </w:pPr>
      <w:r>
        <w:rPr>
          <w:rStyle w:val="FootnoteReference"/>
        </w:rPr>
        <w:footnoteRef/>
      </w:r>
      <w:r>
        <w:tab/>
        <w:t>Decyzja Rady 2014/146/UE z dnia 28 stycznia 2014 r. w sprawie zawarcia Umowy o partnerstwie w sprawie połowów między Unią Europejską a Republiką Mauritiusu (Dz.U. L 79 z 18.3.2014, s.2).</w:t>
      </w:r>
    </w:p>
  </w:footnote>
  <w:footnote w:id="4">
    <w:p>
      <w:pPr>
        <w:pStyle w:val="FootnoteText"/>
      </w:pPr>
      <w:r>
        <w:rPr>
          <w:rStyle w:val="FootnoteReference"/>
        </w:rPr>
        <w:footnoteRef/>
      </w:r>
      <w:r>
        <w:tab/>
        <w:t>Dz.U. L [...] z [...], s. [...].</w:t>
      </w:r>
    </w:p>
  </w:footnote>
  <w:footnote w:id="5">
    <w:p>
      <w:pPr>
        <w:pStyle w:val="FootnoteText"/>
      </w:pPr>
      <w:r>
        <w:rPr>
          <w:rStyle w:val="FootnoteReference"/>
        </w:rPr>
        <w:footnoteRef/>
      </w:r>
      <w:r>
        <w:tab/>
        <w:t>Rozporządzenie Rady (WE) nr 1006/2008 z dnia 29 września 2008 r. dotyczące upoważnień do prowadzenia działalności połowowej przez wspólnotowe statki rybackie poza wodami terytorialnymi Wspólnoty oraz wstępu statków państw trzecich na wody terytorialne Wspólnoty, zmieniające rozporządzenia (EWG) nr 2847/93 i (WE) nr 1627/94 oraz uchylające rozporządzenie (WE) nr 3317/94 (Dz.U. L 286 z 29.10.2008, s.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88A3AB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9AC7D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BC84BE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35A8E28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7A628E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58426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6885948"/>
    <w:lvl w:ilvl="0">
      <w:start w:val="1"/>
      <w:numFmt w:val="decimal"/>
      <w:pStyle w:val="ListNumber"/>
      <w:lvlText w:val="%1."/>
      <w:lvlJc w:val="left"/>
      <w:pPr>
        <w:tabs>
          <w:tab w:val="num" w:pos="360"/>
        </w:tabs>
        <w:ind w:left="360" w:hanging="360"/>
      </w:pPr>
    </w:lvl>
  </w:abstractNum>
  <w:abstractNum w:abstractNumId="7">
    <w:nsid w:val="FFFFFF89"/>
    <w:multiLevelType w:val="singleLevel"/>
    <w:tmpl w:val="8AD0E60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08 07:42:4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C9E82A57F26C4801BF98AEEC90B900DE"/>
    <w:docVar w:name="LW_CROSSREFERENCE" w:val="&lt;UNUSED&gt;"/>
    <w:docVar w:name="LW_DocType" w:val="COM"/>
    <w:docVar w:name="LW_EMISSION" w:val="15.9.2017"/>
    <w:docVar w:name="LW_EMISSION_ISODATE" w:val="2017-09-15"/>
    <w:docVar w:name="LW_EMISSION_LOCATION" w:val="BRX"/>
    <w:docVar w:name="LW_EMISSION_PREFIX" w:val="Bruksela, dnia "/>
    <w:docVar w:name="LW_EMISSION_SUFFIX" w:val=" r."/>
    <w:docVar w:name="LW_ID_DOCMODEL" w:val="SJ-016"/>
    <w:docVar w:name="LW_ID_DOCSIGNATURE" w:val="SJ-016"/>
    <w:docVar w:name="LW_ID_DOCSTRUCTURE" w:val="COM/PL/ORG"/>
    <w:docVar w:name="LW_ID_DOCTYPE" w:val="SJ-016"/>
    <w:docVar w:name="LW_ID_STATUT" w:val="SJ-016"/>
    <w:docVar w:name="LW_INTERETEEE.CP" w:val="&lt;UNUSED&gt;"/>
    <w:docVar w:name="LW_LANGUE" w:val="PL"/>
    <w:docVar w:name="LW_MARKING" w:val="&lt;UNUSED&gt;"/>
    <w:docVar w:name="LW_NOM.INST" w:val="KOMISJA EUROPEJSKA"/>
    <w:docVar w:name="LW_NOM.INST_JOINTDOC" w:val="&lt;EMPTY&gt;"/>
    <w:docVar w:name="LW_PART_NBR" w:val="1"/>
    <w:docVar w:name="LW_PART_NBR_TOTAL" w:val="1"/>
    <w:docVar w:name="LW_REF.II.NEW.CP" w:val="NLE"/>
    <w:docVar w:name="LW_REF.II.NEW.CP_NUMBER" w:val="0221"/>
    <w:docVar w:name="LW_REF.II.NEW.CP_YEAR" w:val="2017"/>
    <w:docVar w:name="LW_REF.INST.NEW" w:val="COM"/>
    <w:docVar w:name="LW_REF.INST.NEW_ADOPTED" w:val="final"/>
    <w:docVar w:name="LW_REF.INST.NEW_TEXT" w:val="(2017) 483"/>
    <w:docVar w:name="LW_REF.INTERNE" w:val="&lt;UNUSED&gt;"/>
    <w:docVar w:name="LW_SOUS.TITRE.OBJ.CP" w:val="&lt;UNUSED&gt;"/>
    <w:docVar w:name="LW_STATUT.CP" w:val="Wniosek"/>
    <w:docVar w:name="LW_SUPERTITRE" w:val="&lt;UNUSED&gt;"/>
    <w:docVar w:name="LW_TITRE.OBJ.CP" w:val="w sprawie przydzia\u322?u uprawnie\u324? do po\u322?owów na mocy Protoko\u322?u okre\u347?laj\u261?cego uprawnienia do po\u322?owów i rekompensat\u281? finansow\u261? przewidziane w Umowie o partnerstwie w sprawie po\u322?owów mi\u281?dzy Uni\u261? Europejsk\u261? a Republik\u261? Mauritiusu_x000b_"/>
    <w:docVar w:name="LW_TYPE.DOC.CP" w:val="ROZPORZ\u260?DZENIE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1BEC-C19A-423A-9F24-6F635204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Pages>
  <Words>991</Words>
  <Characters>6373</Characters>
  <Application>Microsoft Office Word</Application>
  <DocSecurity>0</DocSecurity>
  <Lines>135</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2017-05-17T09:57:00Z</cp:lastPrinted>
  <dcterms:created xsi:type="dcterms:W3CDTF">2017-08-08T14:37:00Z</dcterms:created>
  <dcterms:modified xsi:type="dcterms:W3CDTF">2017-09-08T05:42:00Z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