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63A03AF4BD84416C829C353D73F7589B" style="width:450.65pt;height:352.45pt">
            <v:imagedata r:id="rId9" o:title=""/>
          </v:shape>
        </w:pict>
      </w:r>
    </w:p>
    <w:p>
      <w:pPr>
        <w:rPr>
          <w:noProof/>
        </w:rPr>
        <w:sectPr>
          <w:footerReference w:type="default" r:id="rId10"/>
          <w:pgSz w:w="11907" w:h="16839"/>
          <w:pgMar w:top="1134" w:right="1417" w:bottom="1134" w:left="1417" w:header="709" w:footer="709" w:gutter="0"/>
          <w:pgNumType w:start="1"/>
          <w:cols w:space="720"/>
          <w:docGrid w:linePitch="360"/>
        </w:sectPr>
      </w:pPr>
    </w:p>
    <w:p>
      <w:pPr>
        <w:pStyle w:val="Exposdesmotifstitre"/>
        <w:rPr>
          <w:noProof/>
        </w:rPr>
      </w:pPr>
      <w:bookmarkStart w:id="0" w:name="_GoBack"/>
      <w:bookmarkEnd w:id="0"/>
      <w:r>
        <w:rPr>
          <w:noProof/>
        </w:rPr>
        <w:lastRenderedPageBreak/>
        <w:t>UZASADNIENIE</w:t>
      </w:r>
    </w:p>
    <w:p>
      <w:pPr>
        <w:rPr>
          <w:noProof/>
        </w:rPr>
      </w:pPr>
    </w:p>
    <w:p>
      <w:pPr>
        <w:pStyle w:val="ManualHeading1"/>
        <w:rPr>
          <w:noProof/>
        </w:rPr>
      </w:pPr>
      <w:r>
        <w:rPr>
          <w:noProof/>
        </w:rPr>
        <w:t>KONTEKST WNIOSKU</w:t>
      </w:r>
    </w:p>
    <w:p>
      <w:pPr>
        <w:pStyle w:val="ManualNumPar1"/>
        <w:rPr>
          <w:noProof/>
        </w:rPr>
      </w:pPr>
      <w:r>
        <w:t>1.</w:t>
      </w:r>
      <w:r>
        <w:tab/>
      </w:r>
      <w:r>
        <w:rPr>
          <w:noProof/>
        </w:rPr>
        <w:t>Zasady mające zastosowanie do wkładów finansowych z Europejskiego Funduszu Dostosowania do Globalizacji (EFG) określono w rozporządzeniu Parlamentu Europejskiego i Rady (UE) nr 1309/2013 z dnia 17 grudnia 2013 r. w sprawie Europejskiego Funduszu Dostosowania do Globalizacji (2014–2020) i uchylenia rozporządzenia (WE) nr 1927/2006</w:t>
      </w:r>
      <w:r>
        <w:rPr>
          <w:rStyle w:val="FootnoteReference"/>
          <w:noProof/>
        </w:rPr>
        <w:footnoteReference w:id="2"/>
      </w:r>
      <w:r>
        <w:rPr>
          <w:noProof/>
        </w:rPr>
        <w:t xml:space="preserve"> („rozporządzenie w sprawie EFG”).</w:t>
      </w:r>
    </w:p>
    <w:p>
      <w:pPr>
        <w:pStyle w:val="ManualNumPar1"/>
        <w:rPr>
          <w:noProof/>
        </w:rPr>
      </w:pPr>
      <w:r>
        <w:t>2.</w:t>
      </w:r>
      <w:r>
        <w:tab/>
      </w:r>
      <w:r>
        <w:rPr>
          <w:noProof/>
        </w:rPr>
        <w:t>W dniu 22 listopada 2016 r. Finlandia złożyła wniosek EGF/2016/008 FI/Nokia Network Systems o wkład finansowy z EFG w związku ze zwolnieniami</w:t>
      </w:r>
      <w:r>
        <w:rPr>
          <w:rStyle w:val="FootnoteReference"/>
          <w:noProof/>
        </w:rPr>
        <w:footnoteReference w:id="3"/>
      </w:r>
      <w:r>
        <w:rPr>
          <w:noProof/>
        </w:rPr>
        <w:t xml:space="preserve"> w Nokia Oy (Nokia Network Systems) oraz u trzech dostawców i producentów znajdujących się poniżej w łańcuchu dostaw w Finlandii.</w:t>
      </w:r>
    </w:p>
    <w:p>
      <w:pPr>
        <w:pStyle w:val="ManualNumPar1"/>
        <w:rPr>
          <w:noProof/>
        </w:rPr>
      </w:pPr>
      <w:r>
        <w:t>3.</w:t>
      </w:r>
      <w:r>
        <w:tab/>
      </w:r>
      <w:r>
        <w:rPr>
          <w:noProof/>
        </w:rPr>
        <w:t xml:space="preserve">Po przeanalizowaniu wniosku Komisja uznała, zgodnie ze wszystkimi właściwymi przepisami rozporządzenia w sprawie EFG, że warunki przyznania wkładu finansowego z EFG zostały spełnione. </w:t>
      </w:r>
    </w:p>
    <w:p>
      <w:pPr>
        <w:pStyle w:val="Text1"/>
        <w:rPr>
          <w:noProof/>
        </w:rPr>
      </w:pPr>
    </w:p>
    <w:p>
      <w:pPr>
        <w:pStyle w:val="ManualHeading1"/>
        <w:rPr>
          <w:noProof/>
        </w:rPr>
      </w:pPr>
      <w:r>
        <w:rPr>
          <w:noProof/>
        </w:rPr>
        <w:t>STRESZCZENIE WNIOSKU</w:t>
      </w:r>
    </w:p>
    <w:tbl>
      <w:tblPr>
        <w:tblW w:w="0" w:type="auto"/>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4908"/>
        <w:gridCol w:w="4379"/>
      </w:tblGrid>
      <w:tr>
        <w:tc>
          <w:tcPr>
            <w:tcW w:w="4908" w:type="dxa"/>
            <w:shd w:val="clear" w:color="auto" w:fill="auto"/>
          </w:tcPr>
          <w:p>
            <w:pPr>
              <w:spacing w:before="60" w:after="60"/>
              <w:jc w:val="left"/>
              <w:rPr>
                <w:rFonts w:eastAsia="Calibri"/>
                <w:noProof/>
              </w:rPr>
            </w:pPr>
            <w:r>
              <w:rPr>
                <w:noProof/>
              </w:rPr>
              <w:t>Wniosek EFG</w:t>
            </w:r>
          </w:p>
        </w:tc>
        <w:tc>
          <w:tcPr>
            <w:tcW w:w="4379" w:type="dxa"/>
            <w:shd w:val="clear" w:color="auto" w:fill="auto"/>
          </w:tcPr>
          <w:p>
            <w:pPr>
              <w:spacing w:before="60" w:after="60"/>
              <w:ind w:rightChars="192" w:right="461"/>
              <w:jc w:val="left"/>
              <w:rPr>
                <w:rFonts w:eastAsia="Calibri"/>
                <w:noProof/>
                <w:lang w:val="en-GB"/>
              </w:rPr>
            </w:pPr>
            <w:r>
              <w:rPr>
                <w:noProof/>
                <w:lang w:val="en-GB"/>
              </w:rPr>
              <w:t>EGF/2016/008 FI/Nokia Network Systems</w:t>
            </w:r>
          </w:p>
        </w:tc>
      </w:tr>
      <w:tr>
        <w:tc>
          <w:tcPr>
            <w:tcW w:w="4908" w:type="dxa"/>
            <w:shd w:val="clear" w:color="auto" w:fill="auto"/>
          </w:tcPr>
          <w:p>
            <w:pPr>
              <w:spacing w:before="60" w:after="60"/>
              <w:jc w:val="left"/>
              <w:rPr>
                <w:rFonts w:eastAsia="Calibri"/>
                <w:noProof/>
              </w:rPr>
            </w:pPr>
            <w:r>
              <w:rPr>
                <w:noProof/>
              </w:rPr>
              <w:t>Państwo członkowskie</w:t>
            </w:r>
          </w:p>
        </w:tc>
        <w:tc>
          <w:tcPr>
            <w:tcW w:w="4379" w:type="dxa"/>
            <w:shd w:val="clear" w:color="auto" w:fill="auto"/>
          </w:tcPr>
          <w:p>
            <w:pPr>
              <w:spacing w:before="60" w:after="60"/>
              <w:ind w:rightChars="192" w:right="461"/>
              <w:jc w:val="left"/>
              <w:rPr>
                <w:rFonts w:eastAsia="Calibri"/>
                <w:noProof/>
              </w:rPr>
            </w:pPr>
            <w:r>
              <w:rPr>
                <w:noProof/>
              </w:rPr>
              <w:t>Finlandia</w:t>
            </w:r>
          </w:p>
        </w:tc>
      </w:tr>
      <w:tr>
        <w:tc>
          <w:tcPr>
            <w:tcW w:w="4908" w:type="dxa"/>
            <w:tcBorders>
              <w:bottom w:val="single" w:sz="4" w:space="0" w:color="auto"/>
            </w:tcBorders>
            <w:shd w:val="clear" w:color="auto" w:fill="auto"/>
          </w:tcPr>
          <w:p>
            <w:pPr>
              <w:spacing w:before="60" w:after="60"/>
              <w:jc w:val="left"/>
              <w:rPr>
                <w:rFonts w:eastAsia="Calibri"/>
                <w:noProof/>
              </w:rPr>
            </w:pPr>
            <w:r>
              <w:rPr>
                <w:noProof/>
              </w:rPr>
              <w:t>Region, którego dotyczy wniosek (poziom NUTS</w:t>
            </w:r>
            <w:r>
              <w:rPr>
                <w:rStyle w:val="FootnoteReference"/>
                <w:noProof/>
              </w:rPr>
              <w:footnoteReference w:id="4"/>
            </w:r>
            <w:r>
              <w:rPr>
                <w:noProof/>
              </w:rPr>
              <w:t xml:space="preserve"> 2)</w:t>
            </w:r>
          </w:p>
        </w:tc>
        <w:tc>
          <w:tcPr>
            <w:tcW w:w="4379" w:type="dxa"/>
            <w:tcBorders>
              <w:bottom w:val="single" w:sz="4" w:space="0" w:color="auto"/>
            </w:tcBorders>
            <w:shd w:val="clear" w:color="auto" w:fill="auto"/>
          </w:tcPr>
          <w:p>
            <w:pPr>
              <w:spacing w:before="60" w:after="60"/>
              <w:ind w:rightChars="192" w:right="461"/>
              <w:jc w:val="left"/>
              <w:rPr>
                <w:noProof/>
                <w:lang w:val="fi-FI"/>
              </w:rPr>
            </w:pPr>
            <w:r>
              <w:rPr>
                <w:noProof/>
                <w:lang w:val="fi-FI"/>
              </w:rPr>
              <w:t>Helsinki-Uusimaa (Uusimaa) (FI1B),</w:t>
            </w:r>
          </w:p>
          <w:p>
            <w:pPr>
              <w:spacing w:before="60" w:after="60"/>
              <w:ind w:rightChars="192" w:right="461"/>
              <w:jc w:val="left"/>
              <w:rPr>
                <w:noProof/>
                <w:lang w:val="fi-FI"/>
              </w:rPr>
            </w:pPr>
            <w:r>
              <w:rPr>
                <w:noProof/>
                <w:lang w:val="fi-FI"/>
              </w:rPr>
              <w:t>Länsi-Suomi (Pirkanmaa) (FI19)</w:t>
            </w:r>
          </w:p>
          <w:p>
            <w:pPr>
              <w:spacing w:before="60" w:after="60"/>
              <w:ind w:rightChars="192" w:right="461"/>
              <w:jc w:val="left"/>
              <w:rPr>
                <w:noProof/>
                <w:lang w:val="fi-FI"/>
              </w:rPr>
            </w:pPr>
            <w:r>
              <w:rPr>
                <w:noProof/>
                <w:lang w:val="fi-FI"/>
              </w:rPr>
              <w:t>Pohjois- ja Itä-Suomi (Pohjois-Pohjanmaa) (FI1D)</w:t>
            </w:r>
          </w:p>
        </w:tc>
      </w:tr>
      <w:tr>
        <w:tc>
          <w:tcPr>
            <w:tcW w:w="4908" w:type="dxa"/>
            <w:tcBorders>
              <w:bottom w:val="dotted" w:sz="4" w:space="0" w:color="auto"/>
            </w:tcBorders>
            <w:shd w:val="clear" w:color="auto" w:fill="auto"/>
          </w:tcPr>
          <w:p>
            <w:pPr>
              <w:spacing w:before="60" w:after="60"/>
              <w:jc w:val="left"/>
              <w:rPr>
                <w:rFonts w:eastAsia="Calibri"/>
                <w:noProof/>
              </w:rPr>
            </w:pPr>
            <w:r>
              <w:rPr>
                <w:noProof/>
              </w:rPr>
              <w:t>Data złożenia wniosku</w:t>
            </w:r>
          </w:p>
        </w:tc>
        <w:tc>
          <w:tcPr>
            <w:tcW w:w="4379" w:type="dxa"/>
            <w:tcBorders>
              <w:bottom w:val="dotted" w:sz="4" w:space="0" w:color="auto"/>
            </w:tcBorders>
            <w:shd w:val="clear" w:color="auto" w:fill="auto"/>
          </w:tcPr>
          <w:p>
            <w:pPr>
              <w:spacing w:before="60" w:after="60"/>
              <w:ind w:rightChars="192" w:right="461"/>
              <w:jc w:val="left"/>
              <w:rPr>
                <w:noProof/>
              </w:rPr>
            </w:pPr>
            <w:r>
              <w:rPr>
                <w:noProof/>
              </w:rPr>
              <w:t>22 listopada 2016 r.</w:t>
            </w:r>
          </w:p>
        </w:tc>
      </w:tr>
      <w:tr>
        <w:tc>
          <w:tcPr>
            <w:tcW w:w="4908" w:type="dxa"/>
            <w:tcBorders>
              <w:top w:val="dotted" w:sz="4" w:space="0" w:color="auto"/>
              <w:bottom w:val="dotted" w:sz="4" w:space="0" w:color="auto"/>
            </w:tcBorders>
            <w:shd w:val="clear" w:color="auto" w:fill="auto"/>
          </w:tcPr>
          <w:p>
            <w:pPr>
              <w:spacing w:before="60" w:after="60"/>
              <w:jc w:val="left"/>
              <w:rPr>
                <w:rFonts w:eastAsia="Calibri"/>
                <w:noProof/>
              </w:rPr>
            </w:pPr>
            <w:r>
              <w:rPr>
                <w:noProof/>
              </w:rPr>
              <w:t>Data potwierdzenia przyjęcia wniosku</w:t>
            </w:r>
          </w:p>
        </w:tc>
        <w:tc>
          <w:tcPr>
            <w:tcW w:w="4379" w:type="dxa"/>
            <w:tcBorders>
              <w:top w:val="dotted" w:sz="4" w:space="0" w:color="auto"/>
              <w:bottom w:val="dotted" w:sz="4" w:space="0" w:color="auto"/>
            </w:tcBorders>
            <w:shd w:val="clear" w:color="auto" w:fill="auto"/>
          </w:tcPr>
          <w:p>
            <w:pPr>
              <w:spacing w:before="60" w:after="60"/>
              <w:ind w:rightChars="192" w:right="461"/>
              <w:jc w:val="left"/>
              <w:rPr>
                <w:noProof/>
              </w:rPr>
            </w:pPr>
            <w:r>
              <w:rPr>
                <w:noProof/>
              </w:rPr>
              <w:t>22 listopada 2016 r.</w:t>
            </w:r>
          </w:p>
        </w:tc>
      </w:tr>
      <w:tr>
        <w:tc>
          <w:tcPr>
            <w:tcW w:w="4908" w:type="dxa"/>
            <w:tcBorders>
              <w:top w:val="dotted" w:sz="4" w:space="0" w:color="auto"/>
              <w:bottom w:val="dotted" w:sz="4" w:space="0" w:color="auto"/>
            </w:tcBorders>
            <w:shd w:val="clear" w:color="auto" w:fill="auto"/>
          </w:tcPr>
          <w:p>
            <w:pPr>
              <w:spacing w:before="60" w:after="60"/>
              <w:jc w:val="left"/>
              <w:rPr>
                <w:rFonts w:eastAsia="Calibri"/>
                <w:noProof/>
              </w:rPr>
            </w:pPr>
            <w:r>
              <w:rPr>
                <w:noProof/>
              </w:rPr>
              <w:t>Data wniosku o dodatkowe informacje</w:t>
            </w:r>
          </w:p>
        </w:tc>
        <w:tc>
          <w:tcPr>
            <w:tcW w:w="4379" w:type="dxa"/>
            <w:tcBorders>
              <w:top w:val="dotted" w:sz="4" w:space="0" w:color="auto"/>
              <w:bottom w:val="dotted" w:sz="4" w:space="0" w:color="auto"/>
            </w:tcBorders>
            <w:shd w:val="clear" w:color="auto" w:fill="auto"/>
          </w:tcPr>
          <w:p>
            <w:pPr>
              <w:spacing w:before="60" w:after="60"/>
              <w:ind w:rightChars="192" w:right="461"/>
              <w:jc w:val="left"/>
              <w:rPr>
                <w:noProof/>
              </w:rPr>
            </w:pPr>
            <w:r>
              <w:rPr>
                <w:noProof/>
              </w:rPr>
              <w:t>2 grudnia 2016 r.</w:t>
            </w:r>
          </w:p>
        </w:tc>
      </w:tr>
      <w:tr>
        <w:tc>
          <w:tcPr>
            <w:tcW w:w="4908" w:type="dxa"/>
            <w:tcBorders>
              <w:top w:val="dotted" w:sz="4" w:space="0" w:color="auto"/>
              <w:bottom w:val="dotted" w:sz="4" w:space="0" w:color="auto"/>
            </w:tcBorders>
            <w:shd w:val="clear" w:color="auto" w:fill="auto"/>
          </w:tcPr>
          <w:p>
            <w:pPr>
              <w:spacing w:before="60" w:after="60"/>
              <w:jc w:val="left"/>
              <w:rPr>
                <w:rFonts w:eastAsia="Calibri"/>
                <w:noProof/>
              </w:rPr>
            </w:pPr>
            <w:r>
              <w:rPr>
                <w:noProof/>
              </w:rPr>
              <w:t>Termin przekazania dodatkowych informacji</w:t>
            </w:r>
          </w:p>
        </w:tc>
        <w:tc>
          <w:tcPr>
            <w:tcW w:w="4379" w:type="dxa"/>
            <w:tcBorders>
              <w:top w:val="dotted" w:sz="4" w:space="0" w:color="auto"/>
              <w:bottom w:val="dotted" w:sz="4" w:space="0" w:color="auto"/>
            </w:tcBorders>
            <w:shd w:val="clear" w:color="auto" w:fill="auto"/>
          </w:tcPr>
          <w:p>
            <w:pPr>
              <w:spacing w:before="60" w:after="60"/>
              <w:ind w:rightChars="192" w:right="461"/>
              <w:jc w:val="left"/>
              <w:rPr>
                <w:noProof/>
              </w:rPr>
            </w:pPr>
            <w:r>
              <w:rPr>
                <w:noProof/>
              </w:rPr>
              <w:t>13 stycznia 2017 r.</w:t>
            </w:r>
          </w:p>
        </w:tc>
      </w:tr>
      <w:tr>
        <w:tc>
          <w:tcPr>
            <w:tcW w:w="4908" w:type="dxa"/>
            <w:tcBorders>
              <w:top w:val="dotted" w:sz="4" w:space="0" w:color="auto"/>
            </w:tcBorders>
            <w:shd w:val="clear" w:color="auto" w:fill="auto"/>
          </w:tcPr>
          <w:p>
            <w:pPr>
              <w:spacing w:before="60" w:after="60"/>
              <w:jc w:val="left"/>
              <w:rPr>
                <w:rFonts w:eastAsia="Calibri"/>
                <w:noProof/>
              </w:rPr>
            </w:pPr>
            <w:r>
              <w:rPr>
                <w:noProof/>
              </w:rPr>
              <w:t>Termin przeprowadzenia oceny</w:t>
            </w:r>
          </w:p>
        </w:tc>
        <w:tc>
          <w:tcPr>
            <w:tcW w:w="4379" w:type="dxa"/>
            <w:tcBorders>
              <w:top w:val="dotted" w:sz="4" w:space="0" w:color="auto"/>
            </w:tcBorders>
            <w:shd w:val="clear" w:color="auto" w:fill="auto"/>
          </w:tcPr>
          <w:p>
            <w:pPr>
              <w:spacing w:before="60" w:after="60"/>
              <w:ind w:rightChars="192" w:right="461"/>
              <w:jc w:val="left"/>
              <w:rPr>
                <w:noProof/>
              </w:rPr>
            </w:pPr>
            <w:r>
              <w:rPr>
                <w:noProof/>
              </w:rPr>
              <w:t>7 kwietnia 2017 r.</w:t>
            </w:r>
          </w:p>
        </w:tc>
      </w:tr>
      <w:tr>
        <w:tc>
          <w:tcPr>
            <w:tcW w:w="4908" w:type="dxa"/>
            <w:shd w:val="clear" w:color="auto" w:fill="auto"/>
          </w:tcPr>
          <w:p>
            <w:pPr>
              <w:spacing w:before="60" w:after="60"/>
              <w:jc w:val="left"/>
              <w:rPr>
                <w:rFonts w:eastAsia="Calibri"/>
                <w:noProof/>
              </w:rPr>
            </w:pPr>
            <w:r>
              <w:rPr>
                <w:noProof/>
              </w:rPr>
              <w:t>Kryteria interwencji</w:t>
            </w:r>
          </w:p>
        </w:tc>
        <w:tc>
          <w:tcPr>
            <w:tcW w:w="4379" w:type="dxa"/>
            <w:shd w:val="clear" w:color="auto" w:fill="auto"/>
          </w:tcPr>
          <w:p>
            <w:pPr>
              <w:spacing w:before="60" w:after="60"/>
              <w:ind w:rightChars="192" w:right="461"/>
              <w:jc w:val="left"/>
              <w:rPr>
                <w:noProof/>
              </w:rPr>
            </w:pPr>
            <w:r>
              <w:rPr>
                <w:noProof/>
              </w:rPr>
              <w:t>Art. 4 ust. 1 lit. a) rozporządzenia w sprawie EFG</w:t>
            </w:r>
          </w:p>
        </w:tc>
      </w:tr>
      <w:tr>
        <w:tc>
          <w:tcPr>
            <w:tcW w:w="4908" w:type="dxa"/>
            <w:tcBorders>
              <w:top w:val="single" w:sz="4" w:space="0" w:color="auto"/>
              <w:bottom w:val="single" w:sz="4" w:space="0" w:color="auto"/>
              <w:right w:val="single" w:sz="4" w:space="0" w:color="auto"/>
            </w:tcBorders>
            <w:shd w:val="clear" w:color="auto" w:fill="auto"/>
          </w:tcPr>
          <w:p>
            <w:pPr>
              <w:spacing w:before="60" w:after="60"/>
              <w:jc w:val="left"/>
              <w:rPr>
                <w:rFonts w:eastAsia="Calibri"/>
                <w:noProof/>
              </w:rPr>
            </w:pPr>
            <w:r>
              <w:rPr>
                <w:noProof/>
              </w:rPr>
              <w:br w:type="page"/>
              <w:t>Główne przedsiębiorstwo</w:t>
            </w:r>
          </w:p>
        </w:tc>
        <w:tc>
          <w:tcPr>
            <w:tcW w:w="4379" w:type="dxa"/>
            <w:tcBorders>
              <w:top w:val="single" w:sz="4" w:space="0" w:color="auto"/>
              <w:left w:val="single" w:sz="4" w:space="0" w:color="auto"/>
              <w:bottom w:val="single" w:sz="4" w:space="0" w:color="auto"/>
            </w:tcBorders>
            <w:shd w:val="clear" w:color="auto" w:fill="auto"/>
          </w:tcPr>
          <w:p>
            <w:pPr>
              <w:spacing w:before="60" w:after="60"/>
              <w:ind w:rightChars="192" w:right="461"/>
              <w:jc w:val="left"/>
              <w:rPr>
                <w:noProof/>
                <w:lang w:val="en-GB"/>
              </w:rPr>
            </w:pPr>
            <w:r>
              <w:rPr>
                <w:noProof/>
                <w:lang w:val="en-GB"/>
              </w:rPr>
              <w:t>Nokia Oy (Nokia Network Systems)</w:t>
            </w:r>
          </w:p>
        </w:tc>
      </w:tr>
      <w:tr>
        <w:tc>
          <w:tcPr>
            <w:tcW w:w="4908" w:type="dxa"/>
            <w:tcBorders>
              <w:top w:val="single" w:sz="4" w:space="0" w:color="auto"/>
              <w:bottom w:val="single" w:sz="4" w:space="0" w:color="auto"/>
              <w:right w:val="single" w:sz="4" w:space="0" w:color="auto"/>
            </w:tcBorders>
            <w:shd w:val="clear" w:color="auto" w:fill="auto"/>
          </w:tcPr>
          <w:p>
            <w:pPr>
              <w:spacing w:before="60" w:after="60"/>
              <w:jc w:val="left"/>
              <w:rPr>
                <w:rFonts w:eastAsia="Calibri"/>
                <w:noProof/>
              </w:rPr>
            </w:pPr>
            <w:r>
              <w:rPr>
                <w:noProof/>
              </w:rPr>
              <w:br w:type="page"/>
              <w:t>Liczba przedsiębiorstw, których dotyczy wniosek</w:t>
            </w:r>
          </w:p>
        </w:tc>
        <w:tc>
          <w:tcPr>
            <w:tcW w:w="4379" w:type="dxa"/>
            <w:tcBorders>
              <w:top w:val="single" w:sz="4" w:space="0" w:color="auto"/>
              <w:left w:val="single" w:sz="4" w:space="0" w:color="auto"/>
              <w:bottom w:val="single" w:sz="4" w:space="0" w:color="auto"/>
            </w:tcBorders>
            <w:shd w:val="clear" w:color="auto" w:fill="auto"/>
          </w:tcPr>
          <w:p>
            <w:pPr>
              <w:spacing w:before="60" w:after="60"/>
              <w:ind w:rightChars="192" w:right="461"/>
              <w:jc w:val="left"/>
              <w:rPr>
                <w:noProof/>
                <w:szCs w:val="24"/>
              </w:rPr>
            </w:pPr>
            <w:r>
              <w:rPr>
                <w:noProof/>
              </w:rPr>
              <w:t>4</w:t>
            </w:r>
          </w:p>
        </w:tc>
      </w:tr>
      <w:tr>
        <w:tc>
          <w:tcPr>
            <w:tcW w:w="4908" w:type="dxa"/>
            <w:shd w:val="clear" w:color="auto" w:fill="auto"/>
          </w:tcPr>
          <w:p>
            <w:pPr>
              <w:spacing w:before="60" w:after="60"/>
              <w:jc w:val="left"/>
              <w:rPr>
                <w:rFonts w:eastAsia="Calibri"/>
                <w:noProof/>
              </w:rPr>
            </w:pPr>
            <w:r>
              <w:rPr>
                <w:noProof/>
              </w:rPr>
              <w:t>Sektor (sektory) działalności gospodarczej</w:t>
            </w:r>
          </w:p>
          <w:p>
            <w:pPr>
              <w:spacing w:before="60" w:after="60"/>
              <w:jc w:val="left"/>
              <w:rPr>
                <w:rFonts w:eastAsia="Calibri"/>
                <w:noProof/>
              </w:rPr>
            </w:pPr>
            <w:r>
              <w:rPr>
                <w:noProof/>
              </w:rPr>
              <w:t>(Dział według klasyfikacji NACE Rev. 2)</w:t>
            </w:r>
            <w:r>
              <w:rPr>
                <w:rStyle w:val="FootnoteReference"/>
                <w:noProof/>
              </w:rPr>
              <w:footnoteReference w:id="5"/>
            </w:r>
          </w:p>
        </w:tc>
        <w:tc>
          <w:tcPr>
            <w:tcW w:w="4379" w:type="dxa"/>
            <w:shd w:val="clear" w:color="auto" w:fill="auto"/>
          </w:tcPr>
          <w:p>
            <w:pPr>
              <w:spacing w:before="60" w:after="60"/>
              <w:ind w:rightChars="192" w:right="461"/>
              <w:jc w:val="left"/>
              <w:rPr>
                <w:rFonts w:eastAsia="Calibri"/>
                <w:noProof/>
              </w:rPr>
            </w:pPr>
            <w:r>
              <w:rPr>
                <w:noProof/>
              </w:rPr>
              <w:t xml:space="preserve">Dział 26 – Produkcja komputerów, wyrobów elektronicznych i optycznych </w:t>
            </w:r>
          </w:p>
        </w:tc>
      </w:tr>
      <w:tr>
        <w:tc>
          <w:tcPr>
            <w:tcW w:w="4908" w:type="dxa"/>
            <w:shd w:val="clear" w:color="auto" w:fill="auto"/>
          </w:tcPr>
          <w:p>
            <w:pPr>
              <w:spacing w:before="60" w:after="60"/>
              <w:jc w:val="left"/>
              <w:rPr>
                <w:rFonts w:eastAsia="Calibri"/>
                <w:noProof/>
              </w:rPr>
            </w:pPr>
            <w:r>
              <w:rPr>
                <w:noProof/>
              </w:rPr>
              <w:br w:type="page"/>
              <w:t>Liczba jednostek zależnych, dostawców i producentów znajdujących się poniżej w łańcuchu dostaw</w:t>
            </w:r>
          </w:p>
        </w:tc>
        <w:tc>
          <w:tcPr>
            <w:tcW w:w="4379" w:type="dxa"/>
            <w:shd w:val="clear" w:color="auto" w:fill="auto"/>
          </w:tcPr>
          <w:p>
            <w:pPr>
              <w:spacing w:before="60" w:after="60"/>
              <w:ind w:rightChars="192" w:right="461"/>
              <w:jc w:val="left"/>
              <w:rPr>
                <w:rFonts w:eastAsia="Calibri"/>
                <w:noProof/>
              </w:rPr>
            </w:pPr>
            <w:r>
              <w:rPr>
                <w:noProof/>
              </w:rPr>
              <w:t>3</w:t>
            </w:r>
          </w:p>
        </w:tc>
      </w:tr>
      <w:tr>
        <w:tc>
          <w:tcPr>
            <w:tcW w:w="4908" w:type="dxa"/>
            <w:tcBorders>
              <w:bottom w:val="single" w:sz="4" w:space="0" w:color="auto"/>
            </w:tcBorders>
            <w:shd w:val="clear" w:color="auto" w:fill="auto"/>
          </w:tcPr>
          <w:p>
            <w:pPr>
              <w:spacing w:before="60" w:after="60"/>
              <w:jc w:val="left"/>
              <w:rPr>
                <w:rFonts w:eastAsia="Calibri"/>
                <w:noProof/>
              </w:rPr>
            </w:pPr>
            <w:r>
              <w:rPr>
                <w:noProof/>
              </w:rPr>
              <w:t xml:space="preserve">Okres odniesienia </w:t>
            </w:r>
          </w:p>
        </w:tc>
        <w:tc>
          <w:tcPr>
            <w:tcW w:w="4379" w:type="dxa"/>
            <w:tcBorders>
              <w:bottom w:val="single" w:sz="4" w:space="0" w:color="auto"/>
            </w:tcBorders>
            <w:shd w:val="clear" w:color="auto" w:fill="auto"/>
          </w:tcPr>
          <w:p>
            <w:pPr>
              <w:spacing w:before="60" w:after="60"/>
              <w:ind w:rightChars="192" w:right="461"/>
              <w:jc w:val="left"/>
              <w:rPr>
                <w:rFonts w:eastAsia="Calibri"/>
                <w:noProof/>
              </w:rPr>
            </w:pPr>
            <w:r>
              <w:rPr>
                <w:noProof/>
              </w:rPr>
              <w:t>2 czerwca 2016 r. – 2 października 2016 r.</w:t>
            </w:r>
          </w:p>
        </w:tc>
      </w:tr>
      <w:tr>
        <w:tc>
          <w:tcPr>
            <w:tcW w:w="4908" w:type="dxa"/>
            <w:tcBorders>
              <w:bottom w:val="dotted" w:sz="4" w:space="0" w:color="auto"/>
            </w:tcBorders>
            <w:shd w:val="clear" w:color="auto" w:fill="auto"/>
          </w:tcPr>
          <w:p>
            <w:pPr>
              <w:spacing w:before="60" w:after="60"/>
              <w:jc w:val="left"/>
              <w:rPr>
                <w:rFonts w:eastAsia="Calibri"/>
                <w:noProof/>
                <w:highlight w:val="magenta"/>
              </w:rPr>
            </w:pPr>
            <w:r>
              <w:rPr>
                <w:noProof/>
              </w:rPr>
              <w:t>Liczba zwolnień w okresie odniesienia (</w:t>
            </w:r>
            <w:r>
              <w:rPr>
                <w:i/>
                <w:noProof/>
              </w:rPr>
              <w:t>a</w:t>
            </w:r>
            <w:r>
              <w:rPr>
                <w:noProof/>
              </w:rPr>
              <w:t>)</w:t>
            </w:r>
          </w:p>
        </w:tc>
        <w:tc>
          <w:tcPr>
            <w:tcW w:w="4379" w:type="dxa"/>
            <w:tcBorders>
              <w:bottom w:val="dotted" w:sz="4" w:space="0" w:color="auto"/>
            </w:tcBorders>
            <w:shd w:val="clear" w:color="auto" w:fill="auto"/>
          </w:tcPr>
          <w:p>
            <w:pPr>
              <w:spacing w:before="60" w:after="60"/>
              <w:ind w:rightChars="192" w:right="461"/>
              <w:jc w:val="left"/>
              <w:rPr>
                <w:rFonts w:eastAsia="Calibri"/>
                <w:noProof/>
                <w:highlight w:val="magenta"/>
              </w:rPr>
            </w:pPr>
            <w:r>
              <w:rPr>
                <w:noProof/>
              </w:rPr>
              <w:t>945</w:t>
            </w:r>
          </w:p>
        </w:tc>
      </w:tr>
      <w:tr>
        <w:tc>
          <w:tcPr>
            <w:tcW w:w="4908" w:type="dxa"/>
            <w:tcBorders>
              <w:top w:val="dotted" w:sz="4" w:space="0" w:color="auto"/>
              <w:bottom w:val="dotted" w:sz="4" w:space="0" w:color="auto"/>
            </w:tcBorders>
            <w:shd w:val="clear" w:color="auto" w:fill="auto"/>
          </w:tcPr>
          <w:p>
            <w:pPr>
              <w:spacing w:before="60" w:after="60"/>
              <w:jc w:val="left"/>
              <w:rPr>
                <w:rFonts w:eastAsia="Calibri"/>
                <w:noProof/>
                <w:highlight w:val="magenta"/>
              </w:rPr>
            </w:pPr>
            <w:r>
              <w:rPr>
                <w:noProof/>
              </w:rPr>
              <w:t>Liczba zwolnień przed okresem odniesienia lub po nim (</w:t>
            </w:r>
            <w:r>
              <w:rPr>
                <w:i/>
                <w:noProof/>
              </w:rPr>
              <w:t>b</w:t>
            </w:r>
            <w:r>
              <w:rPr>
                <w:noProof/>
              </w:rPr>
              <w:t>)</w:t>
            </w:r>
          </w:p>
        </w:tc>
        <w:tc>
          <w:tcPr>
            <w:tcW w:w="4379" w:type="dxa"/>
            <w:tcBorders>
              <w:top w:val="dotted" w:sz="4" w:space="0" w:color="auto"/>
              <w:bottom w:val="dotted" w:sz="4" w:space="0" w:color="auto"/>
            </w:tcBorders>
            <w:shd w:val="clear" w:color="auto" w:fill="auto"/>
          </w:tcPr>
          <w:p>
            <w:pPr>
              <w:spacing w:before="60" w:after="60"/>
              <w:ind w:rightChars="192" w:right="461"/>
              <w:jc w:val="left"/>
              <w:rPr>
                <w:rFonts w:eastAsia="Calibri"/>
                <w:noProof/>
              </w:rPr>
            </w:pPr>
            <w:r>
              <w:rPr>
                <w:noProof/>
              </w:rPr>
              <w:t>0</w:t>
            </w:r>
          </w:p>
        </w:tc>
      </w:tr>
      <w:tr>
        <w:tc>
          <w:tcPr>
            <w:tcW w:w="4908" w:type="dxa"/>
            <w:tcBorders>
              <w:top w:val="dotted" w:sz="4" w:space="0" w:color="auto"/>
              <w:bottom w:val="single" w:sz="4" w:space="0" w:color="auto"/>
            </w:tcBorders>
            <w:shd w:val="clear" w:color="auto" w:fill="auto"/>
          </w:tcPr>
          <w:p>
            <w:pPr>
              <w:spacing w:before="60" w:after="60"/>
              <w:jc w:val="left"/>
              <w:rPr>
                <w:rFonts w:eastAsia="Calibri"/>
                <w:noProof/>
              </w:rPr>
            </w:pPr>
            <w:r>
              <w:rPr>
                <w:noProof/>
              </w:rPr>
              <w:t xml:space="preserve">Całkowita liczba zwolnień </w:t>
            </w:r>
          </w:p>
        </w:tc>
        <w:tc>
          <w:tcPr>
            <w:tcW w:w="4379" w:type="dxa"/>
            <w:tcBorders>
              <w:top w:val="dotted" w:sz="4" w:space="0" w:color="auto"/>
              <w:bottom w:val="single" w:sz="4" w:space="0" w:color="auto"/>
            </w:tcBorders>
            <w:shd w:val="clear" w:color="auto" w:fill="auto"/>
          </w:tcPr>
          <w:p>
            <w:pPr>
              <w:spacing w:before="60" w:after="60"/>
              <w:ind w:rightChars="192" w:right="461"/>
              <w:jc w:val="left"/>
              <w:rPr>
                <w:rFonts w:eastAsia="Calibri"/>
                <w:noProof/>
              </w:rPr>
            </w:pPr>
            <w:r>
              <w:rPr>
                <w:noProof/>
              </w:rPr>
              <w:t>945</w:t>
            </w:r>
          </w:p>
        </w:tc>
      </w:tr>
      <w:tr>
        <w:tc>
          <w:tcPr>
            <w:tcW w:w="4908" w:type="dxa"/>
            <w:tcBorders>
              <w:bottom w:val="dotted" w:sz="4" w:space="0" w:color="auto"/>
            </w:tcBorders>
            <w:shd w:val="clear" w:color="auto" w:fill="auto"/>
          </w:tcPr>
          <w:p>
            <w:pPr>
              <w:spacing w:before="60" w:after="60"/>
              <w:jc w:val="left"/>
              <w:rPr>
                <w:rFonts w:eastAsia="Calibri"/>
                <w:noProof/>
              </w:rPr>
            </w:pPr>
            <w:r>
              <w:rPr>
                <w:noProof/>
              </w:rPr>
              <w:t>Całkowita liczba uprawnionych beneficjentów</w:t>
            </w:r>
          </w:p>
        </w:tc>
        <w:tc>
          <w:tcPr>
            <w:tcW w:w="4379" w:type="dxa"/>
            <w:tcBorders>
              <w:bottom w:val="dotted" w:sz="4" w:space="0" w:color="auto"/>
            </w:tcBorders>
            <w:shd w:val="clear" w:color="auto" w:fill="auto"/>
          </w:tcPr>
          <w:p>
            <w:pPr>
              <w:spacing w:before="60" w:after="60"/>
              <w:ind w:rightChars="192" w:right="461"/>
              <w:jc w:val="left"/>
              <w:rPr>
                <w:rFonts w:eastAsia="Calibri"/>
                <w:noProof/>
              </w:rPr>
            </w:pPr>
            <w:r>
              <w:rPr>
                <w:noProof/>
              </w:rPr>
              <w:t>945</w:t>
            </w:r>
          </w:p>
        </w:tc>
      </w:tr>
      <w:tr>
        <w:tc>
          <w:tcPr>
            <w:tcW w:w="4908" w:type="dxa"/>
            <w:tcBorders>
              <w:top w:val="dotted" w:sz="4" w:space="0" w:color="auto"/>
              <w:bottom w:val="dotted" w:sz="4" w:space="0" w:color="auto"/>
            </w:tcBorders>
            <w:shd w:val="clear" w:color="auto" w:fill="auto"/>
          </w:tcPr>
          <w:p>
            <w:pPr>
              <w:spacing w:before="60" w:after="60"/>
              <w:jc w:val="left"/>
              <w:rPr>
                <w:rFonts w:eastAsia="Calibri"/>
                <w:noProof/>
              </w:rPr>
            </w:pPr>
            <w:r>
              <w:rPr>
                <w:noProof/>
              </w:rPr>
              <w:t>Całkowita liczba beneficjentów objętych pomocą</w:t>
            </w:r>
          </w:p>
        </w:tc>
        <w:tc>
          <w:tcPr>
            <w:tcW w:w="4379" w:type="dxa"/>
            <w:tcBorders>
              <w:top w:val="dotted" w:sz="4" w:space="0" w:color="auto"/>
              <w:bottom w:val="dotted" w:sz="4" w:space="0" w:color="auto"/>
            </w:tcBorders>
            <w:shd w:val="clear" w:color="auto" w:fill="auto"/>
          </w:tcPr>
          <w:p>
            <w:pPr>
              <w:spacing w:before="60" w:after="60"/>
              <w:ind w:rightChars="192" w:right="461"/>
              <w:jc w:val="left"/>
              <w:rPr>
                <w:rFonts w:eastAsia="Calibri"/>
                <w:noProof/>
              </w:rPr>
            </w:pPr>
            <w:r>
              <w:rPr>
                <w:noProof/>
              </w:rPr>
              <w:t>821</w:t>
            </w:r>
          </w:p>
        </w:tc>
      </w:tr>
      <w:tr>
        <w:tc>
          <w:tcPr>
            <w:tcW w:w="4908" w:type="dxa"/>
            <w:tcBorders>
              <w:top w:val="dotted" w:sz="4" w:space="0" w:color="auto"/>
              <w:bottom w:val="single" w:sz="4" w:space="0" w:color="auto"/>
            </w:tcBorders>
            <w:shd w:val="clear" w:color="auto" w:fill="auto"/>
          </w:tcPr>
          <w:p>
            <w:pPr>
              <w:spacing w:before="60" w:after="60"/>
              <w:jc w:val="left"/>
              <w:rPr>
                <w:rFonts w:eastAsia="Calibri"/>
                <w:noProof/>
              </w:rPr>
            </w:pPr>
            <w:r>
              <w:rPr>
                <w:noProof/>
              </w:rPr>
              <w:t>Liczba objętych pomocą młodych osób niekształcących się, niepracujących ani nieszkolących się (młodzież NEET)</w:t>
            </w:r>
          </w:p>
        </w:tc>
        <w:tc>
          <w:tcPr>
            <w:tcW w:w="4379" w:type="dxa"/>
            <w:tcBorders>
              <w:top w:val="dotted" w:sz="4" w:space="0" w:color="auto"/>
              <w:bottom w:val="single" w:sz="4" w:space="0" w:color="auto"/>
            </w:tcBorders>
            <w:shd w:val="clear" w:color="auto" w:fill="auto"/>
          </w:tcPr>
          <w:p>
            <w:pPr>
              <w:spacing w:before="60" w:after="60"/>
              <w:ind w:rightChars="192" w:right="461"/>
              <w:jc w:val="left"/>
              <w:rPr>
                <w:rFonts w:eastAsia="Calibri"/>
                <w:noProof/>
              </w:rPr>
            </w:pPr>
            <w:r>
              <w:rPr>
                <w:noProof/>
              </w:rPr>
              <w:t>0</w:t>
            </w:r>
          </w:p>
        </w:tc>
      </w:tr>
      <w:tr>
        <w:tc>
          <w:tcPr>
            <w:tcW w:w="4908" w:type="dxa"/>
            <w:tcBorders>
              <w:bottom w:val="dotted" w:sz="4" w:space="0" w:color="auto"/>
            </w:tcBorders>
            <w:shd w:val="clear" w:color="auto" w:fill="auto"/>
            <w:vAlign w:val="center"/>
          </w:tcPr>
          <w:p>
            <w:pPr>
              <w:spacing w:before="0" w:after="0"/>
              <w:jc w:val="left"/>
              <w:rPr>
                <w:noProof/>
              </w:rPr>
            </w:pPr>
            <w:r>
              <w:rPr>
                <w:noProof/>
              </w:rPr>
              <w:t>Budżet na zindywidualizowane usługi (w EUR)</w:t>
            </w:r>
          </w:p>
        </w:tc>
        <w:tc>
          <w:tcPr>
            <w:tcW w:w="4379" w:type="dxa"/>
            <w:tcBorders>
              <w:bottom w:val="dotted" w:sz="4" w:space="0" w:color="auto"/>
            </w:tcBorders>
            <w:shd w:val="clear" w:color="auto" w:fill="auto"/>
            <w:vAlign w:val="center"/>
          </w:tcPr>
          <w:p>
            <w:pPr>
              <w:spacing w:before="0" w:after="0"/>
              <w:ind w:rightChars="192" w:right="461"/>
              <w:jc w:val="left"/>
              <w:rPr>
                <w:noProof/>
              </w:rPr>
            </w:pPr>
            <w:r>
              <w:rPr>
                <w:noProof/>
              </w:rPr>
              <w:t>4 154 000</w:t>
            </w:r>
          </w:p>
        </w:tc>
      </w:tr>
      <w:tr>
        <w:tc>
          <w:tcPr>
            <w:tcW w:w="4908" w:type="dxa"/>
            <w:tcBorders>
              <w:top w:val="dotted" w:sz="4" w:space="0" w:color="auto"/>
              <w:bottom w:val="dotted" w:sz="4" w:space="0" w:color="auto"/>
            </w:tcBorders>
            <w:shd w:val="clear" w:color="auto" w:fill="auto"/>
            <w:vAlign w:val="center"/>
          </w:tcPr>
          <w:p>
            <w:pPr>
              <w:spacing w:before="0" w:after="0"/>
              <w:jc w:val="left"/>
              <w:rPr>
                <w:noProof/>
              </w:rPr>
            </w:pPr>
            <w:r>
              <w:rPr>
                <w:noProof/>
              </w:rPr>
              <w:t>Budżet na realizację EFG</w:t>
            </w:r>
            <w:r>
              <w:rPr>
                <w:rStyle w:val="FootnoteReference"/>
                <w:noProof/>
              </w:rPr>
              <w:footnoteReference w:id="6"/>
            </w:r>
            <w:r>
              <w:rPr>
                <w:noProof/>
              </w:rPr>
              <w:t xml:space="preserve"> (w EUR)</w:t>
            </w:r>
          </w:p>
        </w:tc>
        <w:tc>
          <w:tcPr>
            <w:tcW w:w="4379" w:type="dxa"/>
            <w:tcBorders>
              <w:top w:val="dotted" w:sz="4" w:space="0" w:color="auto"/>
              <w:bottom w:val="dotted" w:sz="4" w:space="0" w:color="auto"/>
            </w:tcBorders>
            <w:shd w:val="clear" w:color="auto" w:fill="auto"/>
            <w:vAlign w:val="center"/>
          </w:tcPr>
          <w:p>
            <w:pPr>
              <w:spacing w:before="0" w:after="0"/>
              <w:ind w:rightChars="192" w:right="461"/>
              <w:jc w:val="left"/>
              <w:rPr>
                <w:noProof/>
              </w:rPr>
            </w:pPr>
            <w:r>
              <w:rPr>
                <w:noProof/>
              </w:rPr>
              <w:t>   249 000</w:t>
            </w:r>
          </w:p>
        </w:tc>
      </w:tr>
      <w:tr>
        <w:tc>
          <w:tcPr>
            <w:tcW w:w="4908" w:type="dxa"/>
            <w:tcBorders>
              <w:top w:val="dotted" w:sz="4" w:space="0" w:color="auto"/>
              <w:bottom w:val="dotted" w:sz="4" w:space="0" w:color="auto"/>
            </w:tcBorders>
            <w:shd w:val="clear" w:color="auto" w:fill="auto"/>
            <w:vAlign w:val="center"/>
          </w:tcPr>
          <w:p>
            <w:pPr>
              <w:spacing w:before="0" w:after="0"/>
              <w:jc w:val="left"/>
              <w:rPr>
                <w:noProof/>
              </w:rPr>
            </w:pPr>
            <w:r>
              <w:rPr>
                <w:noProof/>
              </w:rPr>
              <w:t>Całkowity budżet (w EUR)</w:t>
            </w:r>
          </w:p>
        </w:tc>
        <w:tc>
          <w:tcPr>
            <w:tcW w:w="4379" w:type="dxa"/>
            <w:tcBorders>
              <w:top w:val="dotted" w:sz="4" w:space="0" w:color="auto"/>
              <w:bottom w:val="dotted" w:sz="4" w:space="0" w:color="auto"/>
            </w:tcBorders>
            <w:shd w:val="clear" w:color="auto" w:fill="auto"/>
            <w:vAlign w:val="center"/>
          </w:tcPr>
          <w:p>
            <w:pPr>
              <w:spacing w:before="0" w:after="0"/>
              <w:ind w:rightChars="192" w:right="461"/>
              <w:jc w:val="left"/>
              <w:rPr>
                <w:noProof/>
              </w:rPr>
            </w:pPr>
            <w:r>
              <w:rPr>
                <w:noProof/>
              </w:rPr>
              <w:t>4 403 000</w:t>
            </w:r>
          </w:p>
        </w:tc>
      </w:tr>
      <w:tr>
        <w:tc>
          <w:tcPr>
            <w:tcW w:w="4908" w:type="dxa"/>
            <w:tcBorders>
              <w:top w:val="dotted" w:sz="4" w:space="0" w:color="auto"/>
            </w:tcBorders>
            <w:shd w:val="clear" w:color="auto" w:fill="auto"/>
            <w:vAlign w:val="center"/>
          </w:tcPr>
          <w:p>
            <w:pPr>
              <w:spacing w:before="0" w:after="0"/>
              <w:jc w:val="left"/>
              <w:rPr>
                <w:noProof/>
              </w:rPr>
            </w:pPr>
            <w:r>
              <w:rPr>
                <w:noProof/>
              </w:rPr>
              <w:t>Wkład z EFG (60 %) (w EUR)</w:t>
            </w:r>
          </w:p>
        </w:tc>
        <w:tc>
          <w:tcPr>
            <w:tcW w:w="4379" w:type="dxa"/>
            <w:tcBorders>
              <w:top w:val="dotted" w:sz="4" w:space="0" w:color="auto"/>
            </w:tcBorders>
            <w:shd w:val="clear" w:color="auto" w:fill="auto"/>
            <w:vAlign w:val="center"/>
          </w:tcPr>
          <w:p>
            <w:pPr>
              <w:spacing w:before="0" w:after="0"/>
              <w:ind w:rightChars="192" w:right="461"/>
              <w:jc w:val="left"/>
              <w:rPr>
                <w:noProof/>
              </w:rPr>
            </w:pPr>
            <w:r>
              <w:rPr>
                <w:noProof/>
              </w:rPr>
              <w:t>2 641 800</w:t>
            </w:r>
          </w:p>
        </w:tc>
      </w:tr>
    </w:tbl>
    <w:p>
      <w:pPr>
        <w:pStyle w:val="ManualHeading1"/>
        <w:rPr>
          <w:noProof/>
        </w:rPr>
      </w:pPr>
      <w:r>
        <w:rPr>
          <w:noProof/>
        </w:rPr>
        <w:t>OCENA WNIOSKU</w:t>
      </w:r>
    </w:p>
    <w:p>
      <w:pPr>
        <w:pStyle w:val="ManualHeading3"/>
        <w:rPr>
          <w:noProof/>
        </w:rPr>
      </w:pPr>
      <w:r>
        <w:rPr>
          <w:noProof/>
        </w:rPr>
        <w:t>Procedura</w:t>
      </w:r>
    </w:p>
    <w:p>
      <w:pPr>
        <w:pStyle w:val="ManualNumPar1"/>
        <w:rPr>
          <w:noProof/>
        </w:rPr>
      </w:pPr>
      <w:r>
        <w:t>4.</w:t>
      </w:r>
      <w:r>
        <w:tab/>
      </w:r>
      <w:r>
        <w:rPr>
          <w:noProof/>
        </w:rPr>
        <w:t xml:space="preserve">Finlandia złożyła wniosek EGF/2016/008 FI/Nokia Network Systems dnia 22 listopada 2016 r., czyli w ciągu 12 tygodni od daty spełnienia kryteriów interwencji określonych w art. 4 rozporządzenia w sprawie EFG. W tym samym dniu Komisja potwierdziła otrzymanie wniosku, a w dniu 2 grudnia 2016 r. zwróciła się do władz Finlandii o dodatkowe informacje. Informacje te przedstawiono w terminie sześciu tygodni. Termin 12 tygodni od otrzymania kompletnego wniosku, w którym Komisja powinna ocenić zgodność wniosku z warunkami przyznania wkładu finansowego, upływa w dniu 7 kwietnia 2017 r. </w:t>
      </w:r>
    </w:p>
    <w:p>
      <w:pPr>
        <w:pStyle w:val="ManualHeading1"/>
        <w:rPr>
          <w:noProof/>
        </w:rPr>
      </w:pPr>
      <w:r>
        <w:rPr>
          <w:noProof/>
        </w:rPr>
        <w:t>Kwalifikowalność wniosku</w:t>
      </w:r>
    </w:p>
    <w:p>
      <w:pPr>
        <w:pStyle w:val="ManualHeading3"/>
        <w:rPr>
          <w:noProof/>
        </w:rPr>
      </w:pPr>
      <w:r>
        <w:rPr>
          <w:noProof/>
        </w:rPr>
        <w:t>Przedmiotowe przedsiębiorstwa i beneficjenci</w:t>
      </w:r>
    </w:p>
    <w:p>
      <w:pPr>
        <w:pStyle w:val="ManualNumPar1"/>
        <w:rPr>
          <w:noProof/>
        </w:rPr>
      </w:pPr>
      <w:r>
        <w:t>5.</w:t>
      </w:r>
      <w:r>
        <w:tab/>
      </w:r>
      <w:r>
        <w:rPr>
          <w:noProof/>
        </w:rPr>
        <w:t xml:space="preserve">Wniosek dotyczy 945 pracowników zwolnionych z przedsiębiorstwa Nokia Oy oraz przez trzech dostawców. Główne przedsiębiorstwo prowadzi działalność w sektorze gospodarki sklasyfikowanym do działu 2 NACE Rev. 26 (Produkcja komputerów, wyrobów elektronicznych i optycznych). </w:t>
      </w:r>
    </w:p>
    <w:p>
      <w:pPr>
        <w:pStyle w:val="ManualNumPar1"/>
        <w:rPr>
          <w:noProof/>
        </w:rPr>
      </w:pPr>
      <w:r>
        <w:t>6.</w:t>
      </w:r>
      <w:r>
        <w:tab/>
      </w:r>
      <w:r>
        <w:rPr>
          <w:noProof/>
        </w:rPr>
        <w:t>Nokia Oy w Finlandii posiada całościowy udział w przedsiębiorstwie Nokia Network Systems. Nokia Network Systems jest przedsiębiorstwem prowadzącym działalność w zakresie sieci danych i urządzeń komunikacyjnych.</w:t>
      </w:r>
    </w:p>
    <w:p>
      <w:pPr>
        <w:pStyle w:val="Text1"/>
        <w:rPr>
          <w:noProof/>
        </w:rPr>
      </w:pPr>
    </w:p>
    <w:tbl>
      <w:tblPr>
        <w:tblW w:w="8340" w:type="dxa"/>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60"/>
        <w:gridCol w:w="480"/>
        <w:gridCol w:w="360"/>
        <w:gridCol w:w="2940"/>
        <w:gridCol w:w="600"/>
        <w:gridCol w:w="600"/>
      </w:tblGrid>
      <w:tr>
        <w:trPr>
          <w:trHeight w:val="284"/>
          <w:tblHeader/>
        </w:trPr>
        <w:tc>
          <w:tcPr>
            <w:tcW w:w="8340" w:type="dxa"/>
            <w:gridSpan w:val="6"/>
            <w:shd w:val="clear" w:color="auto" w:fill="D9D9D9" w:themeFill="background1" w:themeFillShade="D9"/>
          </w:tcPr>
          <w:p>
            <w:pPr>
              <w:spacing w:beforeLines="20" w:before="48" w:afterLines="20" w:after="48" w:line="276" w:lineRule="auto"/>
              <w:ind w:left="57"/>
              <w:jc w:val="center"/>
              <w:rPr>
                <w:rFonts w:eastAsia="Calibri"/>
                <w:noProof/>
                <w:szCs w:val="24"/>
              </w:rPr>
            </w:pPr>
            <w:r>
              <w:rPr>
                <w:b/>
                <w:noProof/>
              </w:rPr>
              <w:t>Przedsiębiorstwa i liczba zwolnień w okresie odniesienia</w:t>
            </w:r>
          </w:p>
        </w:tc>
      </w:tr>
      <w:tr>
        <w:tc>
          <w:tcPr>
            <w:tcW w:w="3360" w:type="dxa"/>
            <w:tcBorders>
              <w:bottom w:val="nil"/>
              <w:right w:val="nil"/>
            </w:tcBorders>
            <w:shd w:val="clear" w:color="auto" w:fill="auto"/>
            <w:vAlign w:val="center"/>
          </w:tcPr>
          <w:p>
            <w:pPr>
              <w:spacing w:before="0" w:after="0"/>
              <w:ind w:right="252"/>
              <w:jc w:val="left"/>
              <w:rPr>
                <w:noProof/>
                <w:sz w:val="20"/>
              </w:rPr>
            </w:pPr>
            <w:r>
              <w:rPr>
                <w:noProof/>
                <w:sz w:val="20"/>
              </w:rPr>
              <w:t>Nokia Oy</w:t>
            </w:r>
          </w:p>
        </w:tc>
        <w:tc>
          <w:tcPr>
            <w:tcW w:w="840" w:type="dxa"/>
            <w:gridSpan w:val="2"/>
            <w:tcBorders>
              <w:left w:val="nil"/>
              <w:bottom w:val="nil"/>
            </w:tcBorders>
            <w:shd w:val="clear" w:color="auto" w:fill="auto"/>
            <w:vAlign w:val="center"/>
          </w:tcPr>
          <w:p>
            <w:pPr>
              <w:spacing w:before="0" w:after="0"/>
              <w:ind w:left="-828"/>
              <w:jc w:val="right"/>
              <w:rPr>
                <w:noProof/>
                <w:sz w:val="20"/>
                <w:szCs w:val="20"/>
              </w:rPr>
            </w:pPr>
            <w:r>
              <w:rPr>
                <w:noProof/>
                <w:sz w:val="20"/>
              </w:rPr>
              <w:t>940</w:t>
            </w:r>
          </w:p>
        </w:tc>
        <w:tc>
          <w:tcPr>
            <w:tcW w:w="3540" w:type="dxa"/>
            <w:gridSpan w:val="2"/>
            <w:tcBorders>
              <w:bottom w:val="nil"/>
              <w:right w:val="nil"/>
            </w:tcBorders>
            <w:shd w:val="clear" w:color="auto" w:fill="auto"/>
            <w:vAlign w:val="center"/>
          </w:tcPr>
          <w:p>
            <w:pPr>
              <w:spacing w:before="0" w:after="0"/>
              <w:jc w:val="left"/>
              <w:rPr>
                <w:noProof/>
                <w:sz w:val="20"/>
              </w:rPr>
            </w:pPr>
            <w:r>
              <w:rPr>
                <w:noProof/>
                <w:sz w:val="20"/>
              </w:rPr>
              <w:t>Lionbridge Oy</w:t>
            </w:r>
          </w:p>
        </w:tc>
        <w:tc>
          <w:tcPr>
            <w:tcW w:w="600" w:type="dxa"/>
            <w:tcBorders>
              <w:left w:val="nil"/>
              <w:bottom w:val="nil"/>
            </w:tcBorders>
            <w:shd w:val="clear" w:color="auto" w:fill="auto"/>
            <w:vAlign w:val="center"/>
          </w:tcPr>
          <w:p>
            <w:pPr>
              <w:spacing w:before="0" w:after="0"/>
              <w:ind w:left="-828"/>
              <w:jc w:val="right"/>
              <w:rPr>
                <w:noProof/>
                <w:sz w:val="20"/>
              </w:rPr>
            </w:pPr>
            <w:r>
              <w:rPr>
                <w:noProof/>
                <w:sz w:val="20"/>
              </w:rPr>
              <w:t>1</w:t>
            </w:r>
          </w:p>
        </w:tc>
      </w:tr>
      <w:tr>
        <w:trPr>
          <w:trHeight w:val="138"/>
        </w:trPr>
        <w:tc>
          <w:tcPr>
            <w:tcW w:w="3360" w:type="dxa"/>
            <w:tcBorders>
              <w:top w:val="nil"/>
              <w:bottom w:val="nil"/>
              <w:right w:val="nil"/>
            </w:tcBorders>
            <w:shd w:val="clear" w:color="auto" w:fill="auto"/>
            <w:vAlign w:val="center"/>
          </w:tcPr>
          <w:p>
            <w:pPr>
              <w:spacing w:before="0" w:after="0"/>
              <w:jc w:val="left"/>
              <w:rPr>
                <w:noProof/>
                <w:sz w:val="20"/>
              </w:rPr>
            </w:pPr>
            <w:r>
              <w:rPr>
                <w:noProof/>
                <w:sz w:val="20"/>
              </w:rPr>
              <w:t>Eilakaisla Oy</w:t>
            </w:r>
          </w:p>
        </w:tc>
        <w:tc>
          <w:tcPr>
            <w:tcW w:w="840" w:type="dxa"/>
            <w:gridSpan w:val="2"/>
            <w:tcBorders>
              <w:top w:val="nil"/>
              <w:left w:val="nil"/>
              <w:bottom w:val="nil"/>
            </w:tcBorders>
            <w:shd w:val="clear" w:color="auto" w:fill="auto"/>
            <w:vAlign w:val="center"/>
          </w:tcPr>
          <w:p>
            <w:pPr>
              <w:spacing w:before="0" w:after="0"/>
              <w:ind w:left="-828"/>
              <w:jc w:val="right"/>
              <w:rPr>
                <w:noProof/>
                <w:sz w:val="20"/>
              </w:rPr>
            </w:pPr>
            <w:r>
              <w:rPr>
                <w:noProof/>
                <w:sz w:val="20"/>
              </w:rPr>
              <w:t>1</w:t>
            </w:r>
          </w:p>
        </w:tc>
        <w:tc>
          <w:tcPr>
            <w:tcW w:w="3540" w:type="dxa"/>
            <w:gridSpan w:val="2"/>
            <w:tcBorders>
              <w:top w:val="nil"/>
              <w:bottom w:val="nil"/>
              <w:right w:val="nil"/>
            </w:tcBorders>
            <w:shd w:val="clear" w:color="auto" w:fill="auto"/>
            <w:vAlign w:val="center"/>
          </w:tcPr>
          <w:p>
            <w:pPr>
              <w:spacing w:before="0" w:after="0"/>
              <w:jc w:val="left"/>
              <w:rPr>
                <w:noProof/>
                <w:sz w:val="20"/>
              </w:rPr>
            </w:pPr>
            <w:r>
              <w:rPr>
                <w:noProof/>
                <w:sz w:val="20"/>
              </w:rPr>
              <w:t>ManpowerGroup Solutions Oy</w:t>
            </w:r>
          </w:p>
        </w:tc>
        <w:tc>
          <w:tcPr>
            <w:tcW w:w="600" w:type="dxa"/>
            <w:tcBorders>
              <w:top w:val="nil"/>
              <w:left w:val="nil"/>
              <w:bottom w:val="nil"/>
            </w:tcBorders>
            <w:shd w:val="clear" w:color="auto" w:fill="auto"/>
            <w:vAlign w:val="center"/>
          </w:tcPr>
          <w:p>
            <w:pPr>
              <w:spacing w:before="0" w:after="0"/>
              <w:ind w:left="-828"/>
              <w:jc w:val="right"/>
              <w:rPr>
                <w:noProof/>
                <w:sz w:val="20"/>
              </w:rPr>
            </w:pPr>
            <w:r>
              <w:rPr>
                <w:noProof/>
                <w:sz w:val="20"/>
              </w:rPr>
              <w:t>3</w:t>
            </w:r>
          </w:p>
        </w:tc>
      </w:tr>
      <w:tr>
        <w:trPr>
          <w:trHeight w:val="225"/>
        </w:trPr>
        <w:tc>
          <w:tcPr>
            <w:tcW w:w="3360" w:type="dxa"/>
            <w:tcBorders>
              <w:top w:val="nil"/>
              <w:bottom w:val="nil"/>
              <w:right w:val="nil"/>
            </w:tcBorders>
            <w:shd w:val="clear" w:color="auto" w:fill="auto"/>
            <w:vAlign w:val="center"/>
          </w:tcPr>
          <w:p>
            <w:pPr>
              <w:spacing w:before="0" w:after="0"/>
              <w:jc w:val="left"/>
              <w:rPr>
                <w:noProof/>
                <w:sz w:val="20"/>
              </w:rPr>
            </w:pPr>
          </w:p>
        </w:tc>
        <w:tc>
          <w:tcPr>
            <w:tcW w:w="840" w:type="dxa"/>
            <w:gridSpan w:val="2"/>
            <w:tcBorders>
              <w:top w:val="nil"/>
              <w:left w:val="nil"/>
              <w:bottom w:val="nil"/>
            </w:tcBorders>
            <w:shd w:val="clear" w:color="auto" w:fill="auto"/>
            <w:vAlign w:val="center"/>
          </w:tcPr>
          <w:p>
            <w:pPr>
              <w:spacing w:before="0" w:after="0"/>
              <w:ind w:left="-828"/>
              <w:jc w:val="right"/>
              <w:rPr>
                <w:noProof/>
                <w:sz w:val="20"/>
              </w:rPr>
            </w:pPr>
          </w:p>
        </w:tc>
        <w:tc>
          <w:tcPr>
            <w:tcW w:w="3540" w:type="dxa"/>
            <w:gridSpan w:val="2"/>
            <w:tcBorders>
              <w:top w:val="nil"/>
              <w:bottom w:val="nil"/>
              <w:right w:val="nil"/>
            </w:tcBorders>
            <w:shd w:val="clear" w:color="auto" w:fill="auto"/>
            <w:vAlign w:val="center"/>
          </w:tcPr>
          <w:p>
            <w:pPr>
              <w:spacing w:before="0" w:after="0"/>
              <w:jc w:val="left"/>
              <w:rPr>
                <w:noProof/>
                <w:sz w:val="20"/>
              </w:rPr>
            </w:pPr>
          </w:p>
        </w:tc>
        <w:tc>
          <w:tcPr>
            <w:tcW w:w="600" w:type="dxa"/>
            <w:tcBorders>
              <w:top w:val="nil"/>
              <w:left w:val="nil"/>
              <w:bottom w:val="nil"/>
            </w:tcBorders>
            <w:shd w:val="clear" w:color="auto" w:fill="auto"/>
            <w:vAlign w:val="center"/>
          </w:tcPr>
          <w:p>
            <w:pPr>
              <w:spacing w:before="0" w:after="0"/>
              <w:ind w:left="-828"/>
              <w:jc w:val="right"/>
              <w:rPr>
                <w:noProof/>
                <w:sz w:val="20"/>
              </w:rPr>
            </w:pPr>
          </w:p>
        </w:tc>
      </w:tr>
      <w:tr>
        <w:trPr>
          <w:trHeight w:val="284"/>
        </w:trPr>
        <w:tc>
          <w:tcPr>
            <w:tcW w:w="3840" w:type="dxa"/>
            <w:gridSpan w:val="2"/>
            <w:tcBorders>
              <w:bottom w:val="nil"/>
              <w:right w:val="nil"/>
            </w:tcBorders>
            <w:shd w:val="clear" w:color="auto" w:fill="E6E6E6"/>
            <w:vAlign w:val="center"/>
          </w:tcPr>
          <w:p>
            <w:pPr>
              <w:spacing w:beforeLines="20" w:before="48" w:afterLines="20" w:after="48" w:line="276" w:lineRule="auto"/>
              <w:ind w:left="57"/>
              <w:jc w:val="left"/>
              <w:rPr>
                <w:rFonts w:eastAsia="Calibri"/>
                <w:b/>
                <w:noProof/>
                <w:szCs w:val="24"/>
              </w:rPr>
            </w:pPr>
            <w:r>
              <w:rPr>
                <w:noProof/>
              </w:rPr>
              <w:br w:type="page"/>
            </w:r>
            <w:r>
              <w:rPr>
                <w:b/>
                <w:noProof/>
              </w:rPr>
              <w:t>Liczba przedsiębiorstw ogółem:</w:t>
            </w:r>
            <w:r>
              <w:rPr>
                <w:b/>
                <w:noProof/>
                <w:sz w:val="22"/>
              </w:rPr>
              <w:t xml:space="preserve"> </w:t>
            </w:r>
            <w:r>
              <w:rPr>
                <w:b/>
                <w:noProof/>
              </w:rPr>
              <w:t>4</w:t>
            </w:r>
          </w:p>
        </w:tc>
        <w:tc>
          <w:tcPr>
            <w:tcW w:w="3300" w:type="dxa"/>
            <w:gridSpan w:val="2"/>
            <w:tcBorders>
              <w:left w:val="nil"/>
              <w:bottom w:val="nil"/>
              <w:right w:val="nil"/>
            </w:tcBorders>
            <w:shd w:val="clear" w:color="auto" w:fill="E6E6E6"/>
            <w:vAlign w:val="center"/>
          </w:tcPr>
          <w:p>
            <w:pPr>
              <w:spacing w:beforeLines="20" w:before="48" w:afterLines="20" w:after="48" w:line="276" w:lineRule="auto"/>
              <w:ind w:left="57" w:right="227"/>
              <w:jc w:val="left"/>
              <w:rPr>
                <w:rFonts w:eastAsia="Calibri"/>
                <w:b/>
                <w:noProof/>
                <w:szCs w:val="24"/>
              </w:rPr>
            </w:pPr>
            <w:r>
              <w:rPr>
                <w:b/>
                <w:noProof/>
              </w:rPr>
              <w:t>Liczba zwolnień ogółem:</w:t>
            </w:r>
            <w:r>
              <w:rPr>
                <w:b/>
                <w:noProof/>
                <w:sz w:val="22"/>
              </w:rPr>
              <w:t xml:space="preserve"> </w:t>
            </w:r>
          </w:p>
        </w:tc>
        <w:tc>
          <w:tcPr>
            <w:tcW w:w="1200" w:type="dxa"/>
            <w:gridSpan w:val="2"/>
            <w:tcBorders>
              <w:left w:val="nil"/>
              <w:bottom w:val="nil"/>
            </w:tcBorders>
            <w:shd w:val="clear" w:color="auto" w:fill="E6E6E6"/>
            <w:vAlign w:val="center"/>
          </w:tcPr>
          <w:p>
            <w:pPr>
              <w:spacing w:beforeLines="20" w:before="48" w:afterLines="20" w:after="48" w:line="276" w:lineRule="auto"/>
              <w:ind w:left="57" w:right="227"/>
              <w:jc w:val="left"/>
              <w:rPr>
                <w:rFonts w:eastAsia="Calibri"/>
                <w:b/>
                <w:noProof/>
                <w:szCs w:val="24"/>
              </w:rPr>
            </w:pPr>
            <w:r>
              <w:rPr>
                <w:b/>
                <w:noProof/>
              </w:rPr>
              <w:t>945</w:t>
            </w:r>
          </w:p>
        </w:tc>
      </w:tr>
      <w:tr>
        <w:trPr>
          <w:trHeight w:val="284"/>
        </w:trPr>
        <w:tc>
          <w:tcPr>
            <w:tcW w:w="7140" w:type="dxa"/>
            <w:gridSpan w:val="4"/>
            <w:tcBorders>
              <w:top w:val="nil"/>
              <w:bottom w:val="nil"/>
              <w:right w:val="nil"/>
            </w:tcBorders>
            <w:shd w:val="clear" w:color="auto" w:fill="E6E6E6"/>
            <w:vAlign w:val="center"/>
          </w:tcPr>
          <w:p>
            <w:pPr>
              <w:spacing w:beforeLines="20" w:before="48" w:afterLines="20" w:after="48" w:line="276" w:lineRule="auto"/>
              <w:ind w:left="57" w:right="227"/>
              <w:jc w:val="left"/>
              <w:rPr>
                <w:rFonts w:eastAsia="Calibri"/>
                <w:b/>
                <w:noProof/>
                <w:szCs w:val="24"/>
              </w:rPr>
            </w:pPr>
            <w:r>
              <w:rPr>
                <w:b/>
                <w:noProof/>
              </w:rPr>
              <w:t>Łączna liczba osób, które zaprzestały prowadzenia działalności na własny rachunek:</w:t>
            </w:r>
            <w:r>
              <w:rPr>
                <w:noProof/>
              </w:rPr>
              <w:t xml:space="preserve"> </w:t>
            </w:r>
          </w:p>
        </w:tc>
        <w:tc>
          <w:tcPr>
            <w:tcW w:w="1200" w:type="dxa"/>
            <w:gridSpan w:val="2"/>
            <w:tcBorders>
              <w:top w:val="nil"/>
              <w:left w:val="nil"/>
              <w:bottom w:val="nil"/>
            </w:tcBorders>
            <w:shd w:val="clear" w:color="auto" w:fill="E6E6E6"/>
            <w:vAlign w:val="center"/>
          </w:tcPr>
          <w:p>
            <w:pPr>
              <w:spacing w:beforeLines="20" w:before="48" w:afterLines="20" w:after="48" w:line="276" w:lineRule="auto"/>
              <w:ind w:left="57" w:right="227"/>
              <w:jc w:val="left"/>
              <w:rPr>
                <w:rFonts w:eastAsia="Calibri"/>
                <w:b/>
                <w:noProof/>
                <w:szCs w:val="24"/>
              </w:rPr>
            </w:pPr>
            <w:r>
              <w:rPr>
                <w:b/>
                <w:noProof/>
              </w:rPr>
              <w:t>0</w:t>
            </w:r>
          </w:p>
        </w:tc>
      </w:tr>
      <w:tr>
        <w:trPr>
          <w:trHeight w:val="284"/>
        </w:trPr>
        <w:tc>
          <w:tcPr>
            <w:tcW w:w="7140" w:type="dxa"/>
            <w:gridSpan w:val="4"/>
            <w:tcBorders>
              <w:top w:val="nil"/>
              <w:right w:val="nil"/>
            </w:tcBorders>
            <w:shd w:val="clear" w:color="auto" w:fill="E6E6E6"/>
            <w:vAlign w:val="center"/>
          </w:tcPr>
          <w:p>
            <w:pPr>
              <w:spacing w:beforeLines="20" w:before="48" w:afterLines="20" w:after="48" w:line="276" w:lineRule="auto"/>
              <w:ind w:left="57"/>
              <w:jc w:val="left"/>
              <w:rPr>
                <w:rFonts w:eastAsia="Calibri"/>
                <w:b/>
                <w:noProof/>
                <w:szCs w:val="24"/>
              </w:rPr>
            </w:pPr>
            <w:r>
              <w:rPr>
                <w:b/>
                <w:noProof/>
              </w:rPr>
              <w:t xml:space="preserve">Łączna liczba uprawnionych pracowników i osób prowadzących działalność na własny rachunek: </w:t>
            </w:r>
          </w:p>
        </w:tc>
        <w:tc>
          <w:tcPr>
            <w:tcW w:w="1200" w:type="dxa"/>
            <w:gridSpan w:val="2"/>
            <w:tcBorders>
              <w:top w:val="nil"/>
              <w:left w:val="nil"/>
            </w:tcBorders>
            <w:shd w:val="clear" w:color="auto" w:fill="E6E6E6"/>
            <w:vAlign w:val="center"/>
          </w:tcPr>
          <w:p>
            <w:pPr>
              <w:spacing w:beforeLines="20" w:before="48" w:afterLines="20" w:after="48" w:line="276" w:lineRule="auto"/>
              <w:ind w:left="57" w:right="227"/>
              <w:jc w:val="left"/>
              <w:rPr>
                <w:rFonts w:eastAsia="Calibri"/>
                <w:b/>
                <w:noProof/>
                <w:szCs w:val="24"/>
              </w:rPr>
            </w:pPr>
            <w:r>
              <w:rPr>
                <w:b/>
                <w:noProof/>
              </w:rPr>
              <w:t>945</w:t>
            </w:r>
          </w:p>
        </w:tc>
      </w:tr>
    </w:tbl>
    <w:p>
      <w:pPr>
        <w:pStyle w:val="ManualHeading3"/>
        <w:rPr>
          <w:noProof/>
        </w:rPr>
      </w:pPr>
      <w:r>
        <w:rPr>
          <w:noProof/>
        </w:rPr>
        <w:t>Kryteria interwencji</w:t>
      </w:r>
    </w:p>
    <w:p>
      <w:pPr>
        <w:pStyle w:val="ManualNumPar1"/>
        <w:rPr>
          <w:noProof/>
        </w:rPr>
      </w:pPr>
      <w:r>
        <w:t>7.</w:t>
      </w:r>
      <w:r>
        <w:tab/>
      </w:r>
      <w:r>
        <w:rPr>
          <w:noProof/>
        </w:rPr>
        <w:t xml:space="preserve">Finlandia złożyła wniosek zgodnie z kryterium interwencji określonym w art. 4 ust. 1 lit. a) rozporządzenia w sprawie EFG, które wymaga co najmniej 500 zwolnień w czteromiesięcznym okresie odniesienia, w przedsiębiorstwie w państwie członkowskim, z uwzględnieniem zwolnień pracowników u jego dostawców i producentów znajdujących się poniżej w łańcuchu dostaw. </w:t>
      </w:r>
      <w:bookmarkStart w:id="1" w:name="_Ref372189348"/>
    </w:p>
    <w:p>
      <w:pPr>
        <w:pStyle w:val="ManualNumPar1"/>
        <w:rPr>
          <w:noProof/>
        </w:rPr>
      </w:pPr>
      <w:r>
        <w:t>8.</w:t>
      </w:r>
      <w:r>
        <w:tab/>
      </w:r>
      <w:r>
        <w:rPr>
          <w:noProof/>
        </w:rPr>
        <w:t xml:space="preserve">Czteromiesięczny okres odniesienia dla wniosku biegnie od dnia 2 czerwca 2016 r. do dnia </w:t>
      </w:r>
      <w:bookmarkEnd w:id="1"/>
      <w:r>
        <w:rPr>
          <w:noProof/>
        </w:rPr>
        <w:t xml:space="preserve">2 października 2016 r. </w:t>
      </w:r>
    </w:p>
    <w:p>
      <w:pPr>
        <w:pStyle w:val="ManualNumPar1"/>
        <w:rPr>
          <w:noProof/>
        </w:rPr>
      </w:pPr>
      <w:r>
        <w:t>9.</w:t>
      </w:r>
      <w:r>
        <w:tab/>
      </w:r>
      <w:r>
        <w:rPr>
          <w:noProof/>
        </w:rPr>
        <w:t>Zwolnienia w okresie odniesienia przedstawiają się następująco:</w:t>
      </w:r>
    </w:p>
    <w:p>
      <w:pPr>
        <w:pStyle w:val="Tiret1"/>
        <w:numPr>
          <w:ilvl w:val="0"/>
          <w:numId w:val="12"/>
        </w:numPr>
        <w:rPr>
          <w:noProof/>
        </w:rPr>
      </w:pPr>
      <w:r>
        <w:rPr>
          <w:noProof/>
        </w:rPr>
        <w:t>940 pracowników zwolnionych w przedsiębiorstwie Nokia Oy.</w:t>
      </w:r>
    </w:p>
    <w:p>
      <w:pPr>
        <w:pStyle w:val="Tiret1"/>
        <w:numPr>
          <w:ilvl w:val="0"/>
          <w:numId w:val="12"/>
        </w:numPr>
        <w:rPr>
          <w:noProof/>
        </w:rPr>
      </w:pPr>
      <w:r>
        <w:rPr>
          <w:noProof/>
        </w:rPr>
        <w:t>5 pracowników zwolnionych przez 3 dostawców lub producentów znajdujących się na niższym szczeblu w łańcuchu dostaw dla przedsiębiorstwa Nokia Oy.</w:t>
      </w:r>
    </w:p>
    <w:p>
      <w:pPr>
        <w:pStyle w:val="ManualHeading3"/>
        <w:rPr>
          <w:noProof/>
        </w:rPr>
      </w:pPr>
      <w:r>
        <w:rPr>
          <w:noProof/>
        </w:rPr>
        <w:t>Obliczenie liczby zwolnień i przypadków ustania działalności</w:t>
      </w:r>
    </w:p>
    <w:p>
      <w:pPr>
        <w:pStyle w:val="ManualNumPar1"/>
        <w:rPr>
          <w:noProof/>
        </w:rPr>
      </w:pPr>
      <w:r>
        <w:t>10.</w:t>
      </w:r>
      <w:r>
        <w:tab/>
      </w:r>
      <w:r>
        <w:rPr>
          <w:noProof/>
        </w:rPr>
        <w:t>Zwolnienia w okresie odniesienia obliczono w następujący sposób:</w:t>
      </w:r>
    </w:p>
    <w:p>
      <w:pPr>
        <w:pStyle w:val="Tiret1"/>
        <w:numPr>
          <w:ilvl w:val="0"/>
          <w:numId w:val="1"/>
        </w:numPr>
        <w:rPr>
          <w:noProof/>
        </w:rPr>
      </w:pPr>
      <w:r>
        <w:rPr>
          <w:noProof/>
        </w:rPr>
        <w:t>945 od daty indywidualnego zawiadomienia pracownika przez pracodawcę o zwolnieniu lub wypowiedzenia zawartej z pracownikiem umowy o pracę.</w:t>
      </w:r>
    </w:p>
    <w:p>
      <w:pPr>
        <w:pStyle w:val="ManualHeading3"/>
        <w:rPr>
          <w:noProof/>
        </w:rPr>
      </w:pPr>
      <w:r>
        <w:rPr>
          <w:noProof/>
        </w:rPr>
        <w:t>Kwalifikujący się beneficjenci</w:t>
      </w:r>
    </w:p>
    <w:p>
      <w:pPr>
        <w:pStyle w:val="ManualNumPar1"/>
        <w:rPr>
          <w:noProof/>
        </w:rPr>
      </w:pPr>
      <w:r>
        <w:t>11.</w:t>
      </w:r>
      <w:r>
        <w:tab/>
      </w:r>
      <w:r>
        <w:rPr>
          <w:noProof/>
        </w:rPr>
        <w:t>Łącznie kwalifikuje się 945 beneficjentów.</w:t>
      </w:r>
    </w:p>
    <w:p>
      <w:pPr>
        <w:pStyle w:val="ManualHeading3"/>
        <w:tabs>
          <w:tab w:val="clear" w:pos="850"/>
          <w:tab w:val="left" w:pos="0"/>
        </w:tabs>
        <w:ind w:left="0" w:firstLine="0"/>
        <w:rPr>
          <w:noProof/>
        </w:rPr>
      </w:pPr>
      <w:r>
        <w:rPr>
          <w:noProof/>
        </w:rPr>
        <w:t>Związek między zwolnieniami pracowników a poważnymi zmianami strukturalnymi w handlu światowym spowodowanymi globalizacją, o którym mowa w rozporządzeniu (WE) nr 546/2009</w:t>
      </w:r>
    </w:p>
    <w:p>
      <w:pPr>
        <w:pStyle w:val="ManualNumPar1"/>
        <w:rPr>
          <w:noProof/>
        </w:rPr>
      </w:pPr>
      <w:r>
        <w:t>12.</w:t>
      </w:r>
      <w:r>
        <w:tab/>
      </w:r>
      <w:r>
        <w:rPr>
          <w:noProof/>
        </w:rPr>
        <w:t xml:space="preserve">Aby ustalić związek między zwolnieniami pracowników a poważnymi zmianami strukturalnymi w handlu światowym spowodowanymi globalizacją, o którym mowa w rozporządzeniu (WE) nr 546/2009, Finlandia twierdzi, że sektor ICT jest jednym z sektorów przemysłu najbardziej podatnym na zmiany w handlu światowym z powodu wysokiej konkurencji, szybkiego postępu technologicznego i innowacji, fuzji i przejęć przedsiębiorstw oraz </w:t>
      </w:r>
      <w:r>
        <w:rPr>
          <w:i/>
          <w:noProof/>
        </w:rPr>
        <w:t>outsourcingu</w:t>
      </w:r>
      <w:r>
        <w:rPr>
          <w:noProof/>
        </w:rPr>
        <w:t xml:space="preserve">. </w:t>
      </w:r>
    </w:p>
    <w:p>
      <w:pPr>
        <w:pStyle w:val="ManualNumPar1"/>
        <w:rPr>
          <w:noProof/>
        </w:rPr>
      </w:pPr>
      <w:r>
        <w:t>13.</w:t>
      </w:r>
      <w:r>
        <w:tab/>
      </w:r>
      <w:r>
        <w:rPr>
          <w:noProof/>
        </w:rPr>
        <w:t xml:space="preserve">W sektorze ICT outsourcing produkcji komponentów oraz ogólnie procesu wytwarzania były odpowiedzią europejskich producentów na rosnącą konieczność uzyskania konkurencyjnej przewagi w ulegających szybkiej zmianie warunkach konkurencji, głównie z krajów Azji Wschodniej. </w:t>
      </w:r>
    </w:p>
    <w:p>
      <w:pPr>
        <w:pStyle w:val="ManualNumPar1"/>
        <w:rPr>
          <w:noProof/>
        </w:rPr>
      </w:pPr>
      <w:r>
        <w:t>14.</w:t>
      </w:r>
      <w:r>
        <w:tab/>
      </w:r>
      <w:r>
        <w:rPr>
          <w:noProof/>
        </w:rPr>
        <w:t>Źródłem przewagi konkurencyjnej konkurentów z Azji Wschodniej były dotychczas niskie marże. Obecnie inwestują oni wypracowane zyski w badania i rozwój. Konkurenci z krajów Azji Wschodniej intensywnie zwiększają swój udział w rynku i stawiają europejskie przedsiębiorstwa w jeszcze trudniejszej sytuacji.</w:t>
      </w:r>
    </w:p>
    <w:p>
      <w:pPr>
        <w:pStyle w:val="ManualNumPar1"/>
        <w:rPr>
          <w:noProof/>
        </w:rPr>
      </w:pPr>
      <w:r>
        <w:t>15.</w:t>
      </w:r>
      <w:r>
        <w:tab/>
      </w:r>
      <w:r>
        <w:rPr>
          <w:noProof/>
        </w:rPr>
        <w:t>Sektor znalazł się w trudnej sytuacji z powodu spadku cen i niższego popytu ze strony operatorów telekomunikacyjnych.  Nie powstrzymało to jednak przedsiębiorstw z Chin w dalszym zdobywaniu europejskich rynków</w:t>
      </w:r>
      <w:r>
        <w:rPr>
          <w:rStyle w:val="FootnoteReference"/>
          <w:noProof/>
        </w:rPr>
        <w:footnoteReference w:id="7"/>
      </w:r>
      <w:r>
        <w:rPr>
          <w:noProof/>
        </w:rPr>
        <w:t xml:space="preserve">. </w:t>
      </w:r>
    </w:p>
    <w:p>
      <w:pPr>
        <w:pStyle w:val="ManualNumPar1"/>
        <w:rPr>
          <w:noProof/>
        </w:rPr>
      </w:pPr>
      <w:r>
        <w:t>16.</w:t>
      </w:r>
      <w:r>
        <w:tab/>
      </w:r>
      <w:r>
        <w:rPr>
          <w:noProof/>
        </w:rPr>
        <w:t xml:space="preserve">Cykl życia produktów i powiązanych z nimi rozwiązań w zakresie oprogramowania jest bardzo krótki. Wiedza fachowa związana z produktem lub oprogramowaniem oraz wykształcenie wymagane w tym obszarze szybko się dezaktualizują. </w:t>
      </w:r>
    </w:p>
    <w:p>
      <w:pPr>
        <w:pStyle w:val="ManualNumPar1"/>
        <w:rPr>
          <w:noProof/>
        </w:rPr>
      </w:pPr>
      <w:r>
        <w:t>17.</w:t>
      </w:r>
      <w:r>
        <w:tab/>
      </w:r>
      <w:r>
        <w:rPr>
          <w:noProof/>
        </w:rPr>
        <w:t>Konkurencja między pracownikami z UE a tymi spoza UE jest bardzo silna. Pracownicy europejskiego sektora ICT są starsi i gorzej wykształceni niż ich amerykańscy i azjatyccy konkurenci. Fińscy fachowcy w sektorze ICT mają do czynienia z coraz większą konkurencją na światowym rynku w porównaniu z pracownikami innych sektorów.</w:t>
      </w:r>
    </w:p>
    <w:p>
      <w:pPr>
        <w:pStyle w:val="ManualNumPar1"/>
        <w:rPr>
          <w:noProof/>
        </w:rPr>
      </w:pPr>
      <w:r>
        <w:t>18.</w:t>
      </w:r>
      <w:r>
        <w:tab/>
      </w:r>
      <w:r>
        <w:rPr>
          <w:noProof/>
        </w:rPr>
        <w:t>Do chwili obecnej sektor produkcji komputerów, wyrobów elektronicznych i optycznych był przedmiotem 15 wniosków o wkład z EFG, z których 12 było uzasadnionych globalizacją handlu, a 3 światowym kryzysem finansowym i gospodarczym. Trzy z 15 wniosków zostały złożone przez Finlandię</w:t>
      </w:r>
      <w:r>
        <w:rPr>
          <w:rStyle w:val="FootnoteReference"/>
          <w:noProof/>
        </w:rPr>
        <w:footnoteReference w:id="8"/>
      </w:r>
      <w:r>
        <w:rPr>
          <w:noProof/>
        </w:rPr>
        <w:t>.</w:t>
      </w:r>
    </w:p>
    <w:p>
      <w:pPr>
        <w:pStyle w:val="ManualHeading3"/>
        <w:rPr>
          <w:noProof/>
        </w:rPr>
      </w:pPr>
      <w:r>
        <w:rPr>
          <w:noProof/>
        </w:rPr>
        <w:t xml:space="preserve">Zdarzenia, które doprowadziły do zwolnień i przypadków ustania działalności </w:t>
      </w:r>
    </w:p>
    <w:p>
      <w:pPr>
        <w:pStyle w:val="ManualNumPar1"/>
        <w:rPr>
          <w:noProof/>
        </w:rPr>
      </w:pPr>
      <w:r>
        <w:t>19.</w:t>
      </w:r>
      <w:r>
        <w:tab/>
      </w:r>
      <w:r>
        <w:rPr>
          <w:noProof/>
        </w:rPr>
        <w:t xml:space="preserve">W fińskim sektorze ICT w ostatnich dwóch latach miała miejsce intensywna rekrutacja pracowników, przy jednoczesnych zwolnieniach. Występuje znaczna presja na utrzymanie konkurencyjności produktów. </w:t>
      </w:r>
    </w:p>
    <w:p>
      <w:pPr>
        <w:pStyle w:val="ManualNumPar1"/>
        <w:rPr>
          <w:noProof/>
        </w:rPr>
      </w:pPr>
      <w:r>
        <w:t>20.</w:t>
      </w:r>
      <w:r>
        <w:tab/>
      </w:r>
      <w:r>
        <w:rPr>
          <w:noProof/>
        </w:rPr>
        <w:t xml:space="preserve">W ostatnich latach przedsiębiorstwa w branży sieci IT odczuły pewne istotne tendencje. Liczy się coraz większa wydajność i szerszy wachlarz usług. </w:t>
      </w:r>
    </w:p>
    <w:p>
      <w:pPr>
        <w:pStyle w:val="ManualNumPar1"/>
        <w:rPr>
          <w:noProof/>
        </w:rPr>
      </w:pPr>
      <w:r>
        <w:t>21.</w:t>
      </w:r>
      <w:r>
        <w:tab/>
      </w:r>
      <w:r>
        <w:rPr>
          <w:noProof/>
        </w:rPr>
        <w:t>W 2008 r. sektor technologii zatrudniał średnio 326 000 pracowników. Do 2015 r. liczba ta spadła do 289 000 osób</w:t>
      </w:r>
      <w:r>
        <w:rPr>
          <w:rStyle w:val="FootnoteReference"/>
          <w:noProof/>
        </w:rPr>
        <w:footnoteReference w:id="9"/>
      </w:r>
      <w:r>
        <w:rPr>
          <w:noProof/>
        </w:rPr>
        <w:t xml:space="preserve">. W ramach tego sektora liczba pracowników ICT wzrosła z 52 000 (2008 r.) do 60 000 (2015 r.). W tym okresie wiele stanowisk pracy w sektorze ICT zniknęło i powstało wiele innych. </w:t>
      </w:r>
    </w:p>
    <w:p>
      <w:pPr>
        <w:pStyle w:val="ManualNumPar1"/>
        <w:rPr>
          <w:noProof/>
        </w:rPr>
      </w:pPr>
      <w:r>
        <w:t>22.</w:t>
      </w:r>
      <w:r>
        <w:tab/>
      </w:r>
      <w:r>
        <w:rPr>
          <w:noProof/>
        </w:rPr>
        <w:t xml:space="preserve">Ostatnimi laty Nokia Oy weszła w spółkę </w:t>
      </w:r>
      <w:r>
        <w:rPr>
          <w:i/>
          <w:noProof/>
        </w:rPr>
        <w:t>joint venture</w:t>
      </w:r>
      <w:r>
        <w:rPr>
          <w:noProof/>
        </w:rPr>
        <w:t xml:space="preserve"> z firmą Siemens w zakresie technologii sieci, zgodziła się na sprzedaż niektórych przedsiębiorstw firmie Microsoft oraz połączyła się z firmą Alcatel, aby zwiększyć swą konkurencyjność wobec większych firm sektora komunikacji sieciowej. W 2016 r. Nokia Oy zgłosiła redukcje personelu. Do końca 2018 r. Nokia Oy chce zmniejszyć koszty operacyjne o 900 mln EUR rocznie. Jednocześnie Nokia podejmuje działania mające na celu przeznaczenie swoich zasobów na technologie przyszłości. </w:t>
      </w:r>
    </w:p>
    <w:p>
      <w:pPr>
        <w:pStyle w:val="ManualNumPar1"/>
        <w:rPr>
          <w:noProof/>
        </w:rPr>
      </w:pPr>
      <w:r>
        <w:t>23.</w:t>
      </w:r>
      <w:r>
        <w:tab/>
      </w:r>
      <w:r>
        <w:rPr>
          <w:noProof/>
        </w:rPr>
        <w:t xml:space="preserve">Konieczny jest program transformacji Nokii Oy na skalę globalną, obejmujący redukcje personelu, aby móc konkurować z konkurentami z Azji Wschodniej. Szacuje się, że redukcje personelu związane z tym programem zakończą się do końca 2018 r. </w:t>
      </w:r>
    </w:p>
    <w:p>
      <w:pPr>
        <w:pStyle w:val="ManualNumPar1"/>
        <w:rPr>
          <w:noProof/>
        </w:rPr>
      </w:pPr>
      <w:r>
        <w:t>24.</w:t>
      </w:r>
      <w:r>
        <w:tab/>
      </w:r>
      <w:r>
        <w:rPr>
          <w:noProof/>
        </w:rPr>
        <w:t>Osoby zwolnione z Nokia Oy w 2016 r. to osoby wysoko (40 %) i średnio wykwalifikowane (60 %), które pracowały w dziale programowania i wzornictwa.</w:t>
      </w:r>
    </w:p>
    <w:p>
      <w:pPr>
        <w:pStyle w:val="ManualHeading3"/>
        <w:tabs>
          <w:tab w:val="clear" w:pos="850"/>
          <w:tab w:val="left" w:pos="0"/>
        </w:tabs>
        <w:ind w:left="0" w:firstLine="0"/>
        <w:rPr>
          <w:noProof/>
        </w:rPr>
      </w:pPr>
      <w:r>
        <w:rPr>
          <w:noProof/>
        </w:rPr>
        <w:t>Spodziewany wpływ zwolnień na gospodarkę lokalną, regionalną lub krajową oraz na zatrudnienie</w:t>
      </w:r>
    </w:p>
    <w:p>
      <w:pPr>
        <w:pStyle w:val="ManualHeading3"/>
        <w:rPr>
          <w:noProof/>
        </w:rPr>
      </w:pPr>
      <w:r>
        <w:rPr>
          <w:noProof/>
        </w:rPr>
        <w:t>Uusimaa</w:t>
      </w:r>
    </w:p>
    <w:p>
      <w:pPr>
        <w:pStyle w:val="ManualNumPar1"/>
        <w:rPr>
          <w:noProof/>
        </w:rPr>
      </w:pPr>
      <w:r>
        <w:t>25.</w:t>
      </w:r>
      <w:r>
        <w:tab/>
      </w:r>
      <w:r>
        <w:rPr>
          <w:noProof/>
        </w:rPr>
        <w:t>W Uusimaa pogarszają się ogólne warunki gospodarcze w głównych sektorach gospodarki; przedsiębiorstwa dokonały zwolnień pracowników w ostatnich trzech miesiącach</w:t>
      </w:r>
      <w:r>
        <w:rPr>
          <w:rStyle w:val="FootnoteReference"/>
          <w:noProof/>
        </w:rPr>
        <w:footnoteReference w:id="10"/>
      </w:r>
      <w:r>
        <w:rPr>
          <w:noProof/>
        </w:rPr>
        <w:t>. Łączne obroty uzyskane ze sprzedaży przez przedsiębiorstwa w sektorze informatycznym i komunikacyjnym pogorszyły się o 2,5 % w pierwszym kwartale 2016 r</w:t>
      </w:r>
      <w:r>
        <w:rPr>
          <w:rStyle w:val="FootnoteReference"/>
          <w:noProof/>
        </w:rPr>
        <w:footnoteReference w:id="11"/>
      </w:r>
      <w:r>
        <w:rPr>
          <w:noProof/>
        </w:rPr>
        <w:t xml:space="preserve">. </w:t>
      </w:r>
    </w:p>
    <w:p>
      <w:pPr>
        <w:pStyle w:val="ManualNumPar1"/>
        <w:rPr>
          <w:noProof/>
        </w:rPr>
      </w:pPr>
      <w:r>
        <w:t>26.</w:t>
      </w:r>
      <w:r>
        <w:tab/>
      </w:r>
      <w:r>
        <w:rPr>
          <w:noProof/>
        </w:rPr>
        <w:t>W latach 2012–2016 szeroko zakrojone zwolnienia w regionie Espoo, Helsinek i Vantaa dotyczyły głównie przemysłu elektronicznego i oprogramowania (w przedmiotowym okresie zwolniono 6 000 pracowników). Mniejsze przedsiębiorstwa i podwykonawcy również zwalniali pracowników.</w:t>
      </w:r>
    </w:p>
    <w:p>
      <w:pPr>
        <w:pStyle w:val="ManualNumPar1"/>
        <w:rPr>
          <w:noProof/>
        </w:rPr>
      </w:pPr>
      <w:r>
        <w:t>27.</w:t>
      </w:r>
      <w:r>
        <w:tab/>
      </w:r>
      <w:r>
        <w:rPr>
          <w:noProof/>
        </w:rPr>
        <w:t xml:space="preserve">Nokia Oy jest największym przedsiębiorstwem ICT w Finlandii. W 2014 r. w Uusimaa utworzono 730 nowych przedsiębiorstw w sektorze ICT, a zlikwidowano 759. W tym samym roku w Uusimaa było 7 114 przedsiębiorstw w sektorze ICT (tj. 51 % w skali kraju). </w:t>
      </w:r>
    </w:p>
    <w:p>
      <w:pPr>
        <w:pStyle w:val="ManualNumPar1"/>
        <w:rPr>
          <w:noProof/>
        </w:rPr>
      </w:pPr>
      <w:r>
        <w:t>28.</w:t>
      </w:r>
      <w:r>
        <w:tab/>
      </w:r>
      <w:r>
        <w:rPr>
          <w:noProof/>
        </w:rPr>
        <w:t>Pracownicy zwolnieni przez Nokia Oy w Uusimaa są głównie wysoko i średnio wykwalifikowani; połowa z nich ma ponad 50 lat. Pracowali w dziale programowania i wzornictwa. Ich umiejętności zawodowe są w wielu przypadkach nieaktualne.</w:t>
      </w:r>
    </w:p>
    <w:p>
      <w:pPr>
        <w:pStyle w:val="ManualNumPar1"/>
        <w:rPr>
          <w:noProof/>
        </w:rPr>
      </w:pPr>
      <w:r>
        <w:t>29.</w:t>
      </w:r>
      <w:r>
        <w:tab/>
      </w:r>
      <w:r>
        <w:rPr>
          <w:noProof/>
        </w:rPr>
        <w:t xml:space="preserve">Sytuacja w Uusimaa jest trudna dla dobrze wykształconych inżynierów i dla pracowników w wieku powyżej 50 lat. </w:t>
      </w:r>
    </w:p>
    <w:p>
      <w:pPr>
        <w:pStyle w:val="ManualNumPar1"/>
        <w:rPr>
          <w:noProof/>
        </w:rPr>
      </w:pPr>
      <w:r>
        <w:t>30.</w:t>
      </w:r>
      <w:r>
        <w:tab/>
      </w:r>
      <w:r>
        <w:rPr>
          <w:noProof/>
        </w:rPr>
        <w:t>Bezrobocie osób dobrze wykształconych utrzymuje się wszędzie na wysokim poziomie</w:t>
      </w:r>
      <w:r>
        <w:rPr>
          <w:rStyle w:val="FootnoteReference"/>
          <w:noProof/>
        </w:rPr>
        <w:footnoteReference w:id="12"/>
      </w:r>
      <w:r>
        <w:rPr>
          <w:noProof/>
        </w:rPr>
        <w:t>; nie są to wyłącznie pracownicy o kwalifikacjach technicznych. Statystyki Uusimaa dotyczące bezrobocia obejmują również pracowników biurowych, biegłych rewidentów i pracowników obsługi płacowej.</w:t>
      </w:r>
    </w:p>
    <w:p>
      <w:pPr>
        <w:pStyle w:val="ManualHeading3"/>
        <w:rPr>
          <w:i w:val="0"/>
          <w:noProof/>
        </w:rPr>
      </w:pPr>
      <w:r>
        <w:rPr>
          <w:noProof/>
        </w:rPr>
        <w:t>Pirkanmaa</w:t>
      </w:r>
    </w:p>
    <w:p>
      <w:pPr>
        <w:pStyle w:val="ManualNumPar1"/>
        <w:rPr>
          <w:noProof/>
        </w:rPr>
      </w:pPr>
      <w:r>
        <w:t>31.</w:t>
      </w:r>
      <w:r>
        <w:tab/>
      </w:r>
      <w:r>
        <w:rPr>
          <w:noProof/>
        </w:rPr>
        <w:t>Pod względem obrotów przemysł wytwórczy jest największym sektorem gospodarki w Pirkanmaa. Główne jego gałęzie to przemysł technologii (48 %), przemysł leśny (25 %), przemysł chemiczny, gumowy i tworzyw sztucznych (18 %)</w:t>
      </w:r>
      <w:r>
        <w:rPr>
          <w:rStyle w:val="FootnoteReference"/>
          <w:noProof/>
        </w:rPr>
        <w:footnoteReference w:id="13"/>
      </w:r>
      <w:r>
        <w:rPr>
          <w:noProof/>
        </w:rPr>
        <w:t xml:space="preserve">. </w:t>
      </w:r>
    </w:p>
    <w:p>
      <w:pPr>
        <w:pStyle w:val="ManualNumPar1"/>
        <w:rPr>
          <w:noProof/>
        </w:rPr>
      </w:pPr>
      <w:r>
        <w:t>32.</w:t>
      </w:r>
      <w:r>
        <w:tab/>
      </w:r>
      <w:r>
        <w:rPr>
          <w:noProof/>
        </w:rPr>
        <w:t>We wrześniu 2016 r. liczba bezrobotnych osób poszukujących pracy zarejestrowanych w urzędzie zatrudnienia i rozwoju gospodarczego Pirkanmaa osiągnęła 36 186, czyli o 1 % więcej niż w poprzednim roku</w:t>
      </w:r>
      <w:r>
        <w:rPr>
          <w:rStyle w:val="FootnoteReference"/>
          <w:noProof/>
        </w:rPr>
        <w:footnoteReference w:id="14"/>
      </w:r>
      <w:r>
        <w:rPr>
          <w:noProof/>
        </w:rPr>
        <w:t>. Poziom bezrobocia w Pirkanmaa od dawna przekraczał średnią krajową.</w:t>
      </w:r>
    </w:p>
    <w:p>
      <w:pPr>
        <w:pStyle w:val="ManualNumPar1"/>
        <w:rPr>
          <w:noProof/>
        </w:rPr>
      </w:pPr>
      <w:r>
        <w:t>33.</w:t>
      </w:r>
      <w:r>
        <w:tab/>
      </w:r>
      <w:r>
        <w:rPr>
          <w:noProof/>
        </w:rPr>
        <w:t>Głównym powodem utrzymującej się w regionie wysokiej stopy bezrobocia w ostatnich latach jest kryzys działalności opartej na przemyśle wytwórczym i zależnej od eksportu oraz drastyczne zmiany strukturalne, zwłaszcza w sektorze ICT.  W 2015 r. główne przedsiębiorstwa w Pirkanmaa zwolniły ponad 1 000 pracowników.</w:t>
      </w:r>
    </w:p>
    <w:p>
      <w:pPr>
        <w:pStyle w:val="ManualNumPar1"/>
        <w:rPr>
          <w:noProof/>
        </w:rPr>
      </w:pPr>
      <w:r>
        <w:t>34.</w:t>
      </w:r>
      <w:r>
        <w:tab/>
      </w:r>
      <w:r>
        <w:rPr>
          <w:noProof/>
        </w:rPr>
        <w:t>Problemy strukturalne, przed którymi stoją przedsiębiorstwa w Pirkanmaa, znajdują odzwierciedlenie w wyższym bezrobociu osób o wyższym wykształceniu, które w latach 2012–2016 wzrosło ponad dwukrotnie. Do połowy 2016 r. około 33 % osób z wyższym wykształceniem było stale bezrobotne od ponad roku</w:t>
      </w:r>
      <w:r>
        <w:rPr>
          <w:rStyle w:val="FootnoteReference"/>
          <w:noProof/>
        </w:rPr>
        <w:footnoteReference w:id="15"/>
      </w:r>
      <w:r>
        <w:rPr>
          <w:noProof/>
        </w:rPr>
        <w:t>.</w:t>
      </w:r>
    </w:p>
    <w:p>
      <w:pPr>
        <w:pStyle w:val="ManualHeading3"/>
        <w:rPr>
          <w:noProof/>
        </w:rPr>
      </w:pPr>
      <w:r>
        <w:rPr>
          <w:noProof/>
        </w:rPr>
        <w:t>Pohjois-Pohjanmaa</w:t>
      </w:r>
    </w:p>
    <w:p>
      <w:pPr>
        <w:pStyle w:val="ManualNumPar1"/>
        <w:rPr>
          <w:noProof/>
        </w:rPr>
      </w:pPr>
      <w:r>
        <w:t>35.</w:t>
      </w:r>
      <w:r>
        <w:tab/>
      </w:r>
      <w:r>
        <w:rPr>
          <w:noProof/>
        </w:rPr>
        <w:t>Stopa bezrobocia utrzymuje się nadal na wysokim poziomie w regionie Ostrobotnia Północna. Odsetek bezrobotnych poszukujących pracy utrzymywał się powyżej średniej krajowej. Pod koniec kwietnia 2016 r. stopa bezrobocia w całym kraju wynosiła 13 %, w Ostrobotni Północnej – 14,3 %, zaś w Oulu, 16,1 %</w:t>
      </w:r>
      <w:r>
        <w:rPr>
          <w:rStyle w:val="FootnoteReference"/>
          <w:noProof/>
        </w:rPr>
        <w:footnoteReference w:id="16"/>
      </w:r>
      <w:r>
        <w:rPr>
          <w:noProof/>
        </w:rPr>
        <w:t>.</w:t>
      </w:r>
    </w:p>
    <w:p>
      <w:pPr>
        <w:pStyle w:val="ManualNumPar1"/>
        <w:rPr>
          <w:noProof/>
        </w:rPr>
      </w:pPr>
      <w:r>
        <w:t>36.</w:t>
      </w:r>
      <w:r>
        <w:tab/>
      </w:r>
      <w:r>
        <w:rPr>
          <w:noProof/>
        </w:rPr>
        <w:t xml:space="preserve">Większość przedsiębiorstw sektora ICT w Ostrobotni Północnej znajduje się w regionie Oulu. Wymagające warunki prowadzenia działalności oraz wysiłki podejmowane przez przedsiębiorstwa w celu usprawnienia ich działań w ostatnich latach doprowadziły do daleko idących zwolnień. </w:t>
      </w:r>
    </w:p>
    <w:p>
      <w:pPr>
        <w:pStyle w:val="ManualNumPar1"/>
        <w:rPr>
          <w:noProof/>
        </w:rPr>
      </w:pPr>
      <w:r>
        <w:t>37.</w:t>
      </w:r>
      <w:r>
        <w:tab/>
      </w:r>
      <w:r>
        <w:rPr>
          <w:noProof/>
        </w:rPr>
        <w:t xml:space="preserve">Liczba pracowników w regionie znacznie spadła w porównaniu z danymi liczbowymi z końca ostatniego dziesięciolecia. Z powodu cięć budżetowych i oszczędności sektor publiczny nie może zatrudniać tyle osób, co zwykle. Utrzymująca się recesja i zmiany strukturalne w tym obszarze doprowadziły do dłuższych okresów bezrobocia. </w:t>
      </w:r>
    </w:p>
    <w:p>
      <w:pPr>
        <w:pStyle w:val="ManualNumPar1"/>
        <w:rPr>
          <w:noProof/>
        </w:rPr>
      </w:pPr>
      <w:r>
        <w:t>38.</w:t>
      </w:r>
      <w:r>
        <w:tab/>
      </w:r>
      <w:r>
        <w:rPr>
          <w:noProof/>
        </w:rPr>
        <w:t>Zwolnienia w Nokia Oy również pogorszyły problem bezrobocia w sektorze ICT w Oulu, w którym sytuacja i tak już była zła. Oulu znajduje się na peryferiach, nie ma w pobliżu innych miast, które mogłyby zaoferować alternatywne miejsca pracy.</w:t>
      </w:r>
    </w:p>
    <w:p>
      <w:pPr>
        <w:pStyle w:val="ManualNumPar1"/>
        <w:rPr>
          <w:noProof/>
        </w:rPr>
      </w:pPr>
      <w:r>
        <w:t>39.</w:t>
      </w:r>
      <w:r>
        <w:tab/>
      </w:r>
      <w:r>
        <w:rPr>
          <w:noProof/>
        </w:rPr>
        <w:t xml:space="preserve">Sytuacja jest w regionie szczególnie zła, jeśli chodzi o kierowników projektów w zakresie ICT oraz pracowników montażu. Są oni bezrobotni od dłuższego czasu, więc ich wiedza fachowa nie jest już aktualna. </w:t>
      </w:r>
    </w:p>
    <w:p>
      <w:pPr>
        <w:pStyle w:val="ManualNumPar1"/>
        <w:rPr>
          <w:noProof/>
        </w:rPr>
      </w:pPr>
      <w:r>
        <w:t>40.</w:t>
      </w:r>
      <w:r>
        <w:tab/>
      </w:r>
      <w:r>
        <w:rPr>
          <w:noProof/>
        </w:rPr>
        <w:t>Region Oulu oferuje możliwości zatrudnienia w nowych sektorach wzrostu. Wielu ze zwolnionych pracowników ma solidne kwalifikacje we wzornictwie i innowacji produktowej, co można by wykorzystać w sektorze ICT lub sektorach opracowujących zastosowania ICT.</w:t>
      </w:r>
    </w:p>
    <w:p>
      <w:pPr>
        <w:pStyle w:val="ManualHeading2"/>
        <w:rPr>
          <w:noProof/>
        </w:rPr>
      </w:pPr>
      <w:r>
        <w:rPr>
          <w:noProof/>
        </w:rPr>
        <w:t>Beneficjenci objęci pomocą i proponowane działania</w:t>
      </w:r>
    </w:p>
    <w:p>
      <w:pPr>
        <w:pStyle w:val="ManualHeading3"/>
        <w:rPr>
          <w:noProof/>
        </w:rPr>
      </w:pPr>
      <w:r>
        <w:rPr>
          <w:noProof/>
        </w:rPr>
        <w:t>Beneficjenci objęci pomocą</w:t>
      </w:r>
    </w:p>
    <w:p>
      <w:pPr>
        <w:pStyle w:val="ManualNumPar1"/>
        <w:rPr>
          <w:noProof/>
        </w:rPr>
      </w:pPr>
      <w:r>
        <w:t>41.</w:t>
      </w:r>
      <w:r>
        <w:tab/>
      </w:r>
      <w:r>
        <w:rPr>
          <w:noProof/>
        </w:rPr>
        <w:t>Szacowana liczba zwolnionych pracowników, co do których zakłada się, że skorzystają ze środków pomocy, wynosi 821. Podział tych pracowników według płci, obywatelstwa i grupy wiekowej przedstawia się następująco:</w:t>
      </w:r>
    </w:p>
    <w:tbl>
      <w:tblPr>
        <w:tblW w:w="0" w:type="auto"/>
        <w:jc w:val="center"/>
        <w:tblLook w:val="04A0" w:firstRow="1" w:lastRow="0" w:firstColumn="1" w:lastColumn="0" w:noHBand="0" w:noVBand="1"/>
      </w:tblPr>
      <w:tblGrid>
        <w:gridCol w:w="1670"/>
        <w:gridCol w:w="2063"/>
        <w:gridCol w:w="1176"/>
        <w:gridCol w:w="1176"/>
      </w:tblGrid>
      <w:tr>
        <w:trPr>
          <w:jc w:val="center"/>
        </w:trPr>
        <w:tc>
          <w:tcPr>
            <w:tcW w:w="3559" w:type="dxa"/>
            <w:gridSpan w:val="2"/>
            <w:tcBorders>
              <w:top w:val="single" w:sz="4" w:space="0" w:color="auto"/>
              <w:left w:val="nil"/>
              <w:bottom w:val="single" w:sz="4" w:space="0" w:color="auto"/>
              <w:right w:val="nil"/>
            </w:tcBorders>
            <w:hideMark/>
          </w:tcPr>
          <w:p>
            <w:pPr>
              <w:spacing w:before="60" w:after="60"/>
              <w:jc w:val="center"/>
              <w:rPr>
                <w:noProof/>
              </w:rPr>
            </w:pPr>
            <w:r>
              <w:rPr>
                <w:noProof/>
              </w:rPr>
              <w:t>Kategoria</w:t>
            </w:r>
          </w:p>
        </w:tc>
        <w:tc>
          <w:tcPr>
            <w:tcW w:w="2352" w:type="dxa"/>
            <w:gridSpan w:val="2"/>
            <w:tcBorders>
              <w:top w:val="single" w:sz="4" w:space="0" w:color="auto"/>
              <w:left w:val="nil"/>
              <w:bottom w:val="single" w:sz="4" w:space="0" w:color="auto"/>
              <w:right w:val="nil"/>
            </w:tcBorders>
            <w:hideMark/>
          </w:tcPr>
          <w:p>
            <w:pPr>
              <w:spacing w:before="60" w:after="60"/>
              <w:jc w:val="center"/>
              <w:rPr>
                <w:noProof/>
              </w:rPr>
            </w:pPr>
            <w:r>
              <w:rPr>
                <w:noProof/>
              </w:rPr>
              <w:t xml:space="preserve">Liczba </w:t>
            </w:r>
            <w:r>
              <w:rPr>
                <w:noProof/>
              </w:rPr>
              <w:br/>
              <w:t>beneficjentów objętych pomocą</w:t>
            </w:r>
          </w:p>
        </w:tc>
      </w:tr>
      <w:tr>
        <w:trPr>
          <w:jc w:val="center"/>
        </w:trPr>
        <w:tc>
          <w:tcPr>
            <w:tcW w:w="1496" w:type="dxa"/>
            <w:tcBorders>
              <w:top w:val="single" w:sz="4" w:space="0" w:color="auto"/>
              <w:left w:val="nil"/>
              <w:bottom w:val="nil"/>
              <w:right w:val="nil"/>
            </w:tcBorders>
            <w:hideMark/>
          </w:tcPr>
          <w:p>
            <w:pPr>
              <w:spacing w:before="60" w:after="60"/>
              <w:rPr>
                <w:noProof/>
              </w:rPr>
            </w:pPr>
            <w:r>
              <w:rPr>
                <w:noProof/>
              </w:rPr>
              <w:t>Płeć:</w:t>
            </w:r>
          </w:p>
        </w:tc>
        <w:tc>
          <w:tcPr>
            <w:tcW w:w="2063" w:type="dxa"/>
            <w:tcBorders>
              <w:top w:val="single" w:sz="4" w:space="0" w:color="auto"/>
              <w:left w:val="nil"/>
              <w:right w:val="nil"/>
            </w:tcBorders>
            <w:hideMark/>
          </w:tcPr>
          <w:p>
            <w:pPr>
              <w:spacing w:before="60" w:after="60"/>
              <w:rPr>
                <w:noProof/>
              </w:rPr>
            </w:pPr>
            <w:r>
              <w:rPr>
                <w:noProof/>
              </w:rPr>
              <w:t>Mężczyźni:</w:t>
            </w:r>
          </w:p>
        </w:tc>
        <w:tc>
          <w:tcPr>
            <w:tcW w:w="1176" w:type="dxa"/>
            <w:tcBorders>
              <w:top w:val="single" w:sz="4" w:space="0" w:color="auto"/>
              <w:left w:val="nil"/>
              <w:right w:val="nil"/>
            </w:tcBorders>
            <w:hideMark/>
          </w:tcPr>
          <w:p>
            <w:pPr>
              <w:spacing w:before="60" w:after="60"/>
              <w:jc w:val="right"/>
              <w:rPr>
                <w:noProof/>
              </w:rPr>
            </w:pPr>
            <w:r>
              <w:rPr>
                <w:noProof/>
              </w:rPr>
              <w:t>608</w:t>
            </w:r>
          </w:p>
        </w:tc>
        <w:tc>
          <w:tcPr>
            <w:tcW w:w="1176" w:type="dxa"/>
            <w:tcBorders>
              <w:top w:val="single" w:sz="4" w:space="0" w:color="auto"/>
              <w:left w:val="nil"/>
              <w:right w:val="nil"/>
            </w:tcBorders>
            <w:hideMark/>
          </w:tcPr>
          <w:p>
            <w:pPr>
              <w:spacing w:before="60" w:after="60"/>
              <w:jc w:val="right"/>
              <w:rPr>
                <w:noProof/>
              </w:rPr>
            </w:pPr>
            <w:r>
              <w:rPr>
                <w:noProof/>
              </w:rPr>
              <w:t>(74 %)</w:t>
            </w:r>
          </w:p>
        </w:tc>
      </w:tr>
      <w:tr>
        <w:trPr>
          <w:jc w:val="center"/>
        </w:trPr>
        <w:tc>
          <w:tcPr>
            <w:tcW w:w="1496" w:type="dxa"/>
            <w:tcBorders>
              <w:top w:val="nil"/>
              <w:left w:val="nil"/>
              <w:bottom w:val="single" w:sz="4" w:space="0" w:color="auto"/>
              <w:right w:val="nil"/>
            </w:tcBorders>
          </w:tcPr>
          <w:p>
            <w:pPr>
              <w:spacing w:before="60" w:after="60"/>
              <w:rPr>
                <w:noProof/>
              </w:rPr>
            </w:pPr>
          </w:p>
        </w:tc>
        <w:tc>
          <w:tcPr>
            <w:tcW w:w="2063" w:type="dxa"/>
            <w:tcBorders>
              <w:top w:val="nil"/>
              <w:left w:val="nil"/>
              <w:bottom w:val="single" w:sz="4" w:space="0" w:color="auto"/>
              <w:right w:val="nil"/>
            </w:tcBorders>
            <w:hideMark/>
          </w:tcPr>
          <w:p>
            <w:pPr>
              <w:spacing w:before="60" w:after="60"/>
              <w:rPr>
                <w:noProof/>
              </w:rPr>
            </w:pPr>
            <w:r>
              <w:rPr>
                <w:noProof/>
              </w:rPr>
              <w:t>Kobiety:</w:t>
            </w:r>
          </w:p>
        </w:tc>
        <w:tc>
          <w:tcPr>
            <w:tcW w:w="1176" w:type="dxa"/>
            <w:tcBorders>
              <w:bottom w:val="single" w:sz="4" w:space="0" w:color="auto"/>
            </w:tcBorders>
            <w:hideMark/>
          </w:tcPr>
          <w:p>
            <w:pPr>
              <w:spacing w:before="60" w:after="60"/>
              <w:jc w:val="right"/>
              <w:rPr>
                <w:noProof/>
              </w:rPr>
            </w:pPr>
            <w:r>
              <w:rPr>
                <w:noProof/>
              </w:rPr>
              <w:t>213</w:t>
            </w:r>
          </w:p>
        </w:tc>
        <w:tc>
          <w:tcPr>
            <w:tcW w:w="1176" w:type="dxa"/>
            <w:tcBorders>
              <w:bottom w:val="single" w:sz="4" w:space="0" w:color="auto"/>
            </w:tcBorders>
            <w:hideMark/>
          </w:tcPr>
          <w:p>
            <w:pPr>
              <w:spacing w:before="60" w:after="60"/>
              <w:jc w:val="right"/>
              <w:rPr>
                <w:noProof/>
              </w:rPr>
            </w:pPr>
            <w:r>
              <w:rPr>
                <w:noProof/>
              </w:rPr>
              <w:t>(26 %)</w:t>
            </w:r>
          </w:p>
        </w:tc>
      </w:tr>
      <w:tr>
        <w:trPr>
          <w:jc w:val="center"/>
        </w:trPr>
        <w:tc>
          <w:tcPr>
            <w:tcW w:w="1496" w:type="dxa"/>
            <w:tcBorders>
              <w:top w:val="single" w:sz="4" w:space="0" w:color="auto"/>
              <w:left w:val="nil"/>
              <w:bottom w:val="nil"/>
              <w:right w:val="nil"/>
            </w:tcBorders>
            <w:hideMark/>
          </w:tcPr>
          <w:p>
            <w:pPr>
              <w:spacing w:before="60" w:after="60"/>
              <w:rPr>
                <w:noProof/>
              </w:rPr>
            </w:pPr>
            <w:r>
              <w:rPr>
                <w:noProof/>
              </w:rPr>
              <w:t>Obywatelstwo:</w:t>
            </w:r>
          </w:p>
        </w:tc>
        <w:tc>
          <w:tcPr>
            <w:tcW w:w="2063" w:type="dxa"/>
            <w:tcBorders>
              <w:top w:val="single" w:sz="4" w:space="0" w:color="auto"/>
              <w:left w:val="nil"/>
              <w:bottom w:val="nil"/>
              <w:right w:val="nil"/>
            </w:tcBorders>
            <w:hideMark/>
          </w:tcPr>
          <w:p>
            <w:pPr>
              <w:spacing w:before="60" w:after="60"/>
              <w:rPr>
                <w:noProof/>
              </w:rPr>
            </w:pPr>
            <w:r>
              <w:rPr>
                <w:noProof/>
              </w:rPr>
              <w:t>Obywatele UE:</w:t>
            </w:r>
          </w:p>
        </w:tc>
        <w:tc>
          <w:tcPr>
            <w:tcW w:w="1176" w:type="dxa"/>
            <w:tcBorders>
              <w:top w:val="single" w:sz="4" w:space="0" w:color="auto"/>
            </w:tcBorders>
            <w:hideMark/>
          </w:tcPr>
          <w:p>
            <w:pPr>
              <w:spacing w:before="60" w:after="60"/>
              <w:jc w:val="right"/>
              <w:rPr>
                <w:noProof/>
              </w:rPr>
            </w:pPr>
            <w:r>
              <w:rPr>
                <w:noProof/>
              </w:rPr>
              <w:t>800</w:t>
            </w:r>
          </w:p>
        </w:tc>
        <w:tc>
          <w:tcPr>
            <w:tcW w:w="1176" w:type="dxa"/>
            <w:tcBorders>
              <w:top w:val="single" w:sz="4" w:space="0" w:color="auto"/>
            </w:tcBorders>
            <w:hideMark/>
          </w:tcPr>
          <w:p>
            <w:pPr>
              <w:spacing w:before="60" w:after="60"/>
              <w:jc w:val="right"/>
              <w:rPr>
                <w:noProof/>
              </w:rPr>
            </w:pPr>
            <w:r>
              <w:rPr>
                <w:noProof/>
              </w:rPr>
              <w:t>(97,4 %)</w:t>
            </w:r>
          </w:p>
        </w:tc>
      </w:tr>
      <w:tr>
        <w:trPr>
          <w:jc w:val="center"/>
        </w:trPr>
        <w:tc>
          <w:tcPr>
            <w:tcW w:w="1496" w:type="dxa"/>
            <w:tcBorders>
              <w:top w:val="nil"/>
              <w:left w:val="nil"/>
              <w:bottom w:val="single" w:sz="4" w:space="0" w:color="auto"/>
              <w:right w:val="nil"/>
            </w:tcBorders>
          </w:tcPr>
          <w:p>
            <w:pPr>
              <w:spacing w:before="60" w:after="60"/>
              <w:rPr>
                <w:noProof/>
              </w:rPr>
            </w:pPr>
          </w:p>
        </w:tc>
        <w:tc>
          <w:tcPr>
            <w:tcW w:w="2063" w:type="dxa"/>
            <w:tcBorders>
              <w:top w:val="nil"/>
              <w:left w:val="nil"/>
              <w:bottom w:val="single" w:sz="4" w:space="0" w:color="auto"/>
              <w:right w:val="nil"/>
            </w:tcBorders>
            <w:hideMark/>
          </w:tcPr>
          <w:p>
            <w:pPr>
              <w:spacing w:before="60" w:after="60"/>
              <w:rPr>
                <w:noProof/>
              </w:rPr>
            </w:pPr>
            <w:r>
              <w:rPr>
                <w:noProof/>
              </w:rPr>
              <w:t>Obywatele spoza UE:</w:t>
            </w:r>
          </w:p>
        </w:tc>
        <w:tc>
          <w:tcPr>
            <w:tcW w:w="1176" w:type="dxa"/>
            <w:tcBorders>
              <w:bottom w:val="single" w:sz="4" w:space="0" w:color="auto"/>
            </w:tcBorders>
            <w:hideMark/>
          </w:tcPr>
          <w:p>
            <w:pPr>
              <w:spacing w:before="60" w:after="60"/>
              <w:jc w:val="right"/>
              <w:rPr>
                <w:noProof/>
              </w:rPr>
            </w:pPr>
            <w:r>
              <w:rPr>
                <w:noProof/>
              </w:rPr>
              <w:t>21</w:t>
            </w:r>
          </w:p>
        </w:tc>
        <w:tc>
          <w:tcPr>
            <w:tcW w:w="1176" w:type="dxa"/>
            <w:tcBorders>
              <w:bottom w:val="single" w:sz="4" w:space="0" w:color="auto"/>
            </w:tcBorders>
            <w:hideMark/>
          </w:tcPr>
          <w:p>
            <w:pPr>
              <w:spacing w:before="60" w:after="60"/>
              <w:jc w:val="right"/>
              <w:rPr>
                <w:noProof/>
              </w:rPr>
            </w:pPr>
            <w:r>
              <w:rPr>
                <w:noProof/>
              </w:rPr>
              <w:t>(2,6 %)</w:t>
            </w:r>
          </w:p>
        </w:tc>
      </w:tr>
      <w:tr>
        <w:trPr>
          <w:jc w:val="center"/>
        </w:trPr>
        <w:tc>
          <w:tcPr>
            <w:tcW w:w="1496" w:type="dxa"/>
            <w:tcBorders>
              <w:top w:val="single" w:sz="4" w:space="0" w:color="auto"/>
              <w:left w:val="nil"/>
              <w:bottom w:val="nil"/>
              <w:right w:val="nil"/>
            </w:tcBorders>
            <w:hideMark/>
          </w:tcPr>
          <w:p>
            <w:pPr>
              <w:spacing w:before="60" w:after="60"/>
              <w:rPr>
                <w:noProof/>
              </w:rPr>
            </w:pPr>
            <w:r>
              <w:rPr>
                <w:noProof/>
              </w:rPr>
              <w:t>Grupa wiekowa:</w:t>
            </w:r>
          </w:p>
        </w:tc>
        <w:tc>
          <w:tcPr>
            <w:tcW w:w="2063" w:type="dxa"/>
            <w:tcBorders>
              <w:top w:val="single" w:sz="4" w:space="0" w:color="auto"/>
              <w:left w:val="nil"/>
              <w:bottom w:val="nil"/>
              <w:right w:val="nil"/>
            </w:tcBorders>
            <w:hideMark/>
          </w:tcPr>
          <w:p>
            <w:pPr>
              <w:spacing w:before="60" w:after="60"/>
              <w:rPr>
                <w:noProof/>
              </w:rPr>
            </w:pPr>
            <w:r>
              <w:rPr>
                <w:noProof/>
              </w:rPr>
              <w:t>15–24 lat:</w:t>
            </w:r>
          </w:p>
        </w:tc>
        <w:tc>
          <w:tcPr>
            <w:tcW w:w="1176" w:type="dxa"/>
            <w:tcBorders>
              <w:top w:val="single" w:sz="4" w:space="0" w:color="auto"/>
            </w:tcBorders>
            <w:hideMark/>
          </w:tcPr>
          <w:p>
            <w:pPr>
              <w:spacing w:before="60" w:after="60"/>
              <w:jc w:val="right"/>
              <w:rPr>
                <w:noProof/>
              </w:rPr>
            </w:pPr>
            <w:r>
              <w:rPr>
                <w:noProof/>
              </w:rPr>
              <w:t>6</w:t>
            </w:r>
          </w:p>
        </w:tc>
        <w:tc>
          <w:tcPr>
            <w:tcW w:w="1176" w:type="dxa"/>
            <w:tcBorders>
              <w:top w:val="single" w:sz="4" w:space="0" w:color="auto"/>
            </w:tcBorders>
            <w:hideMark/>
          </w:tcPr>
          <w:p>
            <w:pPr>
              <w:spacing w:before="60" w:after="60"/>
              <w:jc w:val="right"/>
              <w:rPr>
                <w:noProof/>
              </w:rPr>
            </w:pPr>
            <w:r>
              <w:rPr>
                <w:noProof/>
              </w:rPr>
              <w:t>(0,7 %)</w:t>
            </w:r>
          </w:p>
        </w:tc>
      </w:tr>
      <w:tr>
        <w:trPr>
          <w:jc w:val="center"/>
        </w:trPr>
        <w:tc>
          <w:tcPr>
            <w:tcW w:w="1496" w:type="dxa"/>
          </w:tcPr>
          <w:p>
            <w:pPr>
              <w:spacing w:before="60" w:after="60"/>
              <w:rPr>
                <w:noProof/>
              </w:rPr>
            </w:pPr>
          </w:p>
        </w:tc>
        <w:tc>
          <w:tcPr>
            <w:tcW w:w="2063" w:type="dxa"/>
            <w:hideMark/>
          </w:tcPr>
          <w:p>
            <w:pPr>
              <w:spacing w:before="60" w:after="60"/>
              <w:rPr>
                <w:noProof/>
              </w:rPr>
            </w:pPr>
            <w:r>
              <w:rPr>
                <w:noProof/>
              </w:rPr>
              <w:t>25–29 lat:</w:t>
            </w:r>
          </w:p>
        </w:tc>
        <w:tc>
          <w:tcPr>
            <w:tcW w:w="1176" w:type="dxa"/>
            <w:hideMark/>
          </w:tcPr>
          <w:p>
            <w:pPr>
              <w:spacing w:before="60" w:after="60"/>
              <w:jc w:val="right"/>
              <w:rPr>
                <w:noProof/>
              </w:rPr>
            </w:pPr>
            <w:r>
              <w:rPr>
                <w:noProof/>
              </w:rPr>
              <w:t>12</w:t>
            </w:r>
          </w:p>
        </w:tc>
        <w:tc>
          <w:tcPr>
            <w:tcW w:w="1176" w:type="dxa"/>
            <w:hideMark/>
          </w:tcPr>
          <w:p>
            <w:pPr>
              <w:spacing w:before="60" w:after="60"/>
              <w:jc w:val="right"/>
              <w:rPr>
                <w:noProof/>
              </w:rPr>
            </w:pPr>
            <w:r>
              <w:rPr>
                <w:noProof/>
              </w:rPr>
              <w:t>(1,5 %)</w:t>
            </w:r>
          </w:p>
        </w:tc>
      </w:tr>
      <w:tr>
        <w:trPr>
          <w:jc w:val="center"/>
        </w:trPr>
        <w:tc>
          <w:tcPr>
            <w:tcW w:w="1496" w:type="dxa"/>
          </w:tcPr>
          <w:p>
            <w:pPr>
              <w:spacing w:before="60" w:after="60"/>
              <w:rPr>
                <w:noProof/>
              </w:rPr>
            </w:pPr>
          </w:p>
        </w:tc>
        <w:tc>
          <w:tcPr>
            <w:tcW w:w="2063" w:type="dxa"/>
            <w:hideMark/>
          </w:tcPr>
          <w:p>
            <w:pPr>
              <w:spacing w:before="60" w:after="60"/>
              <w:rPr>
                <w:noProof/>
              </w:rPr>
            </w:pPr>
            <w:r>
              <w:rPr>
                <w:noProof/>
              </w:rPr>
              <w:t>30–54 lat:</w:t>
            </w:r>
          </w:p>
        </w:tc>
        <w:tc>
          <w:tcPr>
            <w:tcW w:w="1176" w:type="dxa"/>
            <w:hideMark/>
          </w:tcPr>
          <w:p>
            <w:pPr>
              <w:spacing w:before="60" w:after="60"/>
              <w:jc w:val="right"/>
              <w:rPr>
                <w:noProof/>
              </w:rPr>
            </w:pPr>
            <w:r>
              <w:rPr>
                <w:noProof/>
              </w:rPr>
              <w:t>632</w:t>
            </w:r>
          </w:p>
        </w:tc>
        <w:tc>
          <w:tcPr>
            <w:tcW w:w="1176" w:type="dxa"/>
            <w:hideMark/>
          </w:tcPr>
          <w:p>
            <w:pPr>
              <w:spacing w:before="60" w:after="60"/>
              <w:jc w:val="right"/>
              <w:rPr>
                <w:noProof/>
              </w:rPr>
            </w:pPr>
            <w:r>
              <w:rPr>
                <w:noProof/>
              </w:rPr>
              <w:t>(77,0 %)</w:t>
            </w:r>
          </w:p>
        </w:tc>
      </w:tr>
      <w:tr>
        <w:trPr>
          <w:jc w:val="center"/>
        </w:trPr>
        <w:tc>
          <w:tcPr>
            <w:tcW w:w="1496" w:type="dxa"/>
          </w:tcPr>
          <w:p>
            <w:pPr>
              <w:spacing w:before="60" w:after="60"/>
              <w:rPr>
                <w:noProof/>
              </w:rPr>
            </w:pPr>
          </w:p>
        </w:tc>
        <w:tc>
          <w:tcPr>
            <w:tcW w:w="2063" w:type="dxa"/>
            <w:hideMark/>
          </w:tcPr>
          <w:p>
            <w:pPr>
              <w:spacing w:before="60" w:after="60"/>
              <w:rPr>
                <w:noProof/>
              </w:rPr>
            </w:pPr>
            <w:r>
              <w:rPr>
                <w:noProof/>
              </w:rPr>
              <w:t>55–64 lat:</w:t>
            </w:r>
          </w:p>
        </w:tc>
        <w:tc>
          <w:tcPr>
            <w:tcW w:w="1176" w:type="dxa"/>
            <w:hideMark/>
          </w:tcPr>
          <w:p>
            <w:pPr>
              <w:spacing w:before="60" w:after="60"/>
              <w:jc w:val="right"/>
              <w:rPr>
                <w:noProof/>
              </w:rPr>
            </w:pPr>
            <w:r>
              <w:rPr>
                <w:noProof/>
              </w:rPr>
              <w:t>167</w:t>
            </w:r>
          </w:p>
        </w:tc>
        <w:tc>
          <w:tcPr>
            <w:tcW w:w="1176" w:type="dxa"/>
            <w:hideMark/>
          </w:tcPr>
          <w:p>
            <w:pPr>
              <w:spacing w:before="60" w:after="60"/>
              <w:jc w:val="right"/>
              <w:rPr>
                <w:noProof/>
              </w:rPr>
            </w:pPr>
            <w:r>
              <w:rPr>
                <w:noProof/>
              </w:rPr>
              <w:t>(20,3 %)</w:t>
            </w:r>
          </w:p>
        </w:tc>
      </w:tr>
      <w:tr>
        <w:trPr>
          <w:jc w:val="center"/>
        </w:trPr>
        <w:tc>
          <w:tcPr>
            <w:tcW w:w="1496" w:type="dxa"/>
            <w:tcBorders>
              <w:top w:val="nil"/>
              <w:left w:val="nil"/>
              <w:bottom w:val="single" w:sz="4" w:space="0" w:color="auto"/>
              <w:right w:val="nil"/>
            </w:tcBorders>
          </w:tcPr>
          <w:p>
            <w:pPr>
              <w:spacing w:before="60" w:after="60"/>
              <w:rPr>
                <w:noProof/>
              </w:rPr>
            </w:pPr>
          </w:p>
        </w:tc>
        <w:tc>
          <w:tcPr>
            <w:tcW w:w="2063" w:type="dxa"/>
            <w:tcBorders>
              <w:top w:val="nil"/>
              <w:left w:val="nil"/>
              <w:bottom w:val="single" w:sz="4" w:space="0" w:color="auto"/>
              <w:right w:val="nil"/>
            </w:tcBorders>
            <w:hideMark/>
          </w:tcPr>
          <w:p>
            <w:pPr>
              <w:spacing w:before="60" w:after="60"/>
              <w:rPr>
                <w:noProof/>
              </w:rPr>
            </w:pPr>
            <w:r>
              <w:rPr>
                <w:noProof/>
              </w:rPr>
              <w:t>osoby w wieku powyżej 64 lat:</w:t>
            </w:r>
          </w:p>
        </w:tc>
        <w:tc>
          <w:tcPr>
            <w:tcW w:w="1176" w:type="dxa"/>
            <w:tcBorders>
              <w:top w:val="nil"/>
              <w:left w:val="nil"/>
              <w:bottom w:val="single" w:sz="4" w:space="0" w:color="auto"/>
              <w:right w:val="nil"/>
            </w:tcBorders>
            <w:hideMark/>
          </w:tcPr>
          <w:p>
            <w:pPr>
              <w:spacing w:before="60" w:after="60"/>
              <w:jc w:val="right"/>
              <w:rPr>
                <w:noProof/>
              </w:rPr>
            </w:pPr>
            <w:r>
              <w:rPr>
                <w:noProof/>
              </w:rPr>
              <w:t>4</w:t>
            </w:r>
          </w:p>
        </w:tc>
        <w:tc>
          <w:tcPr>
            <w:tcW w:w="1176" w:type="dxa"/>
            <w:tcBorders>
              <w:top w:val="nil"/>
              <w:left w:val="nil"/>
              <w:bottom w:val="single" w:sz="4" w:space="0" w:color="auto"/>
              <w:right w:val="nil"/>
            </w:tcBorders>
            <w:hideMark/>
          </w:tcPr>
          <w:p>
            <w:pPr>
              <w:spacing w:before="60" w:after="60"/>
              <w:jc w:val="right"/>
              <w:rPr>
                <w:noProof/>
              </w:rPr>
            </w:pPr>
            <w:r>
              <w:rPr>
                <w:noProof/>
              </w:rPr>
              <w:t>(0,5 %)</w:t>
            </w:r>
          </w:p>
        </w:tc>
      </w:tr>
    </w:tbl>
    <w:p>
      <w:pPr>
        <w:pStyle w:val="ManualHeading3"/>
        <w:ind w:left="0" w:firstLine="0"/>
        <w:rPr>
          <w:i w:val="0"/>
          <w:noProof/>
          <w:sz w:val="20"/>
          <w:szCs w:val="20"/>
        </w:rPr>
      </w:pPr>
      <w:r>
        <w:rPr>
          <w:i w:val="0"/>
          <w:noProof/>
          <w:sz w:val="20"/>
        </w:rPr>
        <w:t>(*): W celu uniknięcia zbyt wielu liczb dziesiętnych dane liczbowe zostały zaokrąglone.</w:t>
      </w:r>
    </w:p>
    <w:p>
      <w:pPr>
        <w:pStyle w:val="ManualHeading3"/>
        <w:rPr>
          <w:noProof/>
        </w:rPr>
      </w:pPr>
      <w:r>
        <w:rPr>
          <w:noProof/>
        </w:rPr>
        <w:t>Kwalifikowalność proponowanych działań</w:t>
      </w:r>
    </w:p>
    <w:p>
      <w:pPr>
        <w:pStyle w:val="ManualNumPar1"/>
        <w:rPr>
          <w:noProof/>
        </w:rPr>
      </w:pPr>
      <w:bookmarkStart w:id="2" w:name="_Ref372214239"/>
      <w:r>
        <w:t>42.</w:t>
      </w:r>
      <w:r>
        <w:tab/>
      </w:r>
      <w:r>
        <w:rPr>
          <w:noProof/>
        </w:rPr>
        <w:t xml:space="preserve">Usługi zindywidualizowane, które mają być świadczone na rzecz zwolnionych pracowników, obejmują następujące działania: </w:t>
      </w:r>
      <w:bookmarkEnd w:id="2"/>
    </w:p>
    <w:p>
      <w:pPr>
        <w:pStyle w:val="Tiret1"/>
        <w:rPr>
          <w:noProof/>
        </w:rPr>
      </w:pPr>
      <w:r>
        <w:rPr>
          <w:i/>
          <w:noProof/>
        </w:rPr>
        <w:t>Coaching</w:t>
      </w:r>
      <w:r>
        <w:rPr>
          <w:noProof/>
        </w:rPr>
        <w:t xml:space="preserve"> i inne środki przygotowawcze:</w:t>
      </w:r>
    </w:p>
    <w:p>
      <w:pPr>
        <w:pStyle w:val="Text2"/>
        <w:rPr>
          <w:noProof/>
        </w:rPr>
      </w:pPr>
      <w:r>
        <w:rPr>
          <w:noProof/>
        </w:rPr>
        <w:t xml:space="preserve">celem szkolenia na temat poszukiwania pracy jest udzielenie uczestnikom informacji o rynku pracy, aby pomóc im w określeniu ich możliwości oraz w doskonaleniu i aktualizacji ich umiejętności w zakresie poszukiwania zatrudnienia. </w:t>
      </w:r>
      <w:r>
        <w:rPr>
          <w:i/>
          <w:noProof/>
        </w:rPr>
        <w:t>Coaching</w:t>
      </w:r>
      <w:r>
        <w:rPr>
          <w:noProof/>
        </w:rPr>
        <w:t xml:space="preserve"> zawodowy: celem coachingu zawodowego jest wspieranie i ukierunkowywanie osób poszukujących pracy przy poszukiwaniu zatrudnienia i szkoleniu w miejscu pracy. Osoba poszukująca pracy otrzyma porady dotyczące poszukiwania zatrudnienia. </w:t>
      </w:r>
    </w:p>
    <w:p>
      <w:pPr>
        <w:pStyle w:val="Tiret1"/>
        <w:rPr>
          <w:noProof/>
        </w:rPr>
      </w:pPr>
      <w:r>
        <w:rPr>
          <w:i/>
          <w:noProof/>
        </w:rPr>
        <w:t>Coaching</w:t>
      </w:r>
      <w:r>
        <w:rPr>
          <w:noProof/>
        </w:rPr>
        <w:t xml:space="preserve"> pod kątem kariery: środek ten skierowany jest do osób poszukujących pracy, które potrzebują bardziej funkcjonalnego, intensywnego i długotrwałego wsparcia w planowaniu kariery. Opiera się on głównie na ćwiczeniach w grupach.</w:t>
      </w:r>
    </w:p>
    <w:p>
      <w:pPr>
        <w:pStyle w:val="Tiret1"/>
        <w:rPr>
          <w:noProof/>
        </w:rPr>
      </w:pPr>
      <w:r>
        <w:rPr>
          <w:noProof/>
        </w:rPr>
        <w:t>Oceny specjalistyczne: środek ten ma na celu ocenę sytuacji osoby poszukującej pracy oraz konieczność świadczenia usług. Zorganizowana zostanie również tzw. gra profilowa, aby pomóc osobom poszukującym pracy w określeniu ich własnych obszarów kwalifikacji.</w:t>
      </w:r>
    </w:p>
    <w:p>
      <w:pPr>
        <w:pStyle w:val="Tiret1"/>
        <w:rPr>
          <w:noProof/>
        </w:rPr>
      </w:pPr>
      <w:r>
        <w:rPr>
          <w:noProof/>
        </w:rPr>
        <w:t>Usługi związane z zatrudnieniem i usługi dla przedsiębiorców:</w:t>
      </w:r>
    </w:p>
    <w:p>
      <w:pPr>
        <w:ind w:left="1417" w:firstLine="23"/>
        <w:rPr>
          <w:noProof/>
        </w:rPr>
      </w:pPr>
      <w:r>
        <w:rPr>
          <w:noProof/>
        </w:rPr>
        <w:t xml:space="preserve">Osobom poszukującym pracy zapewni się informacje, porady i usługi specjalistyczne skierowane na ponowne zatrudnienie. Wykorzystane do tego będą również usługi świadczone przez sieć EURES, aby przekazać osobom poszukującym pracy ogłoszenia o pracy z zagranicy. Osoby takie przejdą również szkolenie zawodowe oraz szkolenie wspierające przedsiębiorczość. Oferowane kursy określa się głównie jako szkolenia specjalistyczne, zakończone uzyskaniem dyplomu. </w:t>
      </w:r>
    </w:p>
    <w:p>
      <w:pPr>
        <w:pStyle w:val="Tiret1"/>
        <w:rPr>
          <w:noProof/>
        </w:rPr>
      </w:pPr>
      <w:r>
        <w:rPr>
          <w:noProof/>
        </w:rPr>
        <w:t>Dotacje na rozpoczęcie działalności mają promować tworzenie działalności gospodarczej oraz samozatrudnienie poszczególnych osób. Dotacja na rozpoczęcie działalności ma zapewnić przyszłemu przedsiębiorcy dochód w szacowanym czasie potrzebnym na założenie i rozwój przedsiębiorstwa wymagającego pracy w pełnym wymiarze;</w:t>
      </w:r>
    </w:p>
    <w:p>
      <w:pPr>
        <w:pStyle w:val="Tiret1"/>
        <w:rPr>
          <w:noProof/>
        </w:rPr>
      </w:pPr>
      <w:r>
        <w:rPr>
          <w:noProof/>
        </w:rPr>
        <w:t>zwolnieni pracownicy otrzymywać będą dopłaty do wynagrodzeń jako wsparcie nowego zatrudnienia lub przyuczenia do zawodu, co zmniejszy przez pewien okres koszty wynagrodzeń dla nowego pracodawcy. Dopłata do wynagrodzenia wynosi między 30 a 50 % kosztów wynagrodzeń dla pracownika przez pewien okres (6–24 miesięcy).</w:t>
      </w:r>
    </w:p>
    <w:p>
      <w:pPr>
        <w:pStyle w:val="Tiret1"/>
        <w:rPr>
          <w:noProof/>
        </w:rPr>
      </w:pPr>
      <w:r>
        <w:rPr>
          <w:noProof/>
        </w:rPr>
        <w:t>Dodatki na podróż, zakwaterowanie i przeprowadzkę</w:t>
      </w:r>
    </w:p>
    <w:p>
      <w:pPr>
        <w:pStyle w:val="Text2"/>
        <w:rPr>
          <w:i/>
          <w:noProof/>
        </w:rPr>
      </w:pPr>
      <w:r>
        <w:rPr>
          <w:noProof/>
        </w:rPr>
        <w:t>Osoba poszukująca pracy może otrzymać dodatek na koszty podróży i zakwaterowania powstałe podczas poszukiwania pracy lub koszty podróży i zakwaterowania powstałe w wyniku udziału w szkoleniach, jak i rekompensatę za przeprowadzkę.</w:t>
      </w:r>
    </w:p>
    <w:p>
      <w:pPr>
        <w:pStyle w:val="ManualNumPar1"/>
        <w:rPr>
          <w:noProof/>
        </w:rPr>
      </w:pPr>
      <w:bookmarkStart w:id="3" w:name="_Ref372214242"/>
      <w:r>
        <w:t>43.</w:t>
      </w:r>
      <w:r>
        <w:tab/>
      </w:r>
      <w:r>
        <w:rPr>
          <w:noProof/>
        </w:rPr>
        <w:t>Opisane proponowane działania stanowią aktywne instrumenty rynku pracy należące do działań kwalifikowalnych określonych w art. 7 rozporządzenia w sprawie EFG. Działania te nie zastępują biernych środków ochrony socjalnej.</w:t>
      </w:r>
    </w:p>
    <w:p>
      <w:pPr>
        <w:pStyle w:val="ManualNumPar1"/>
        <w:rPr>
          <w:noProof/>
        </w:rPr>
      </w:pPr>
      <w:r>
        <w:t>44.</w:t>
      </w:r>
      <w:r>
        <w:tab/>
      </w:r>
      <w:r>
        <w:rPr>
          <w:noProof/>
        </w:rPr>
        <w:t>Finlandia dostarczyła wymaganych informacji na temat działań, do których zobowiązane jest przedmiotowe przedsiębiorstwo na mocy ustawodawstwa krajowego lub układów zbiorowych. Potwierdziła ona, że wkład finansowy z EFG nie zastąpi tego typu działań.</w:t>
      </w:r>
      <w:bookmarkEnd w:id="3"/>
    </w:p>
    <w:p>
      <w:pPr>
        <w:pStyle w:val="ManualHeading3"/>
        <w:rPr>
          <w:noProof/>
        </w:rPr>
      </w:pPr>
      <w:r>
        <w:rPr>
          <w:noProof/>
        </w:rPr>
        <w:t>Szacowany budżet</w:t>
      </w:r>
    </w:p>
    <w:p>
      <w:pPr>
        <w:pStyle w:val="ManualNumPar1"/>
        <w:rPr>
          <w:noProof/>
        </w:rPr>
      </w:pPr>
      <w:r>
        <w:t>45.</w:t>
      </w:r>
      <w:r>
        <w:tab/>
      </w:r>
      <w:r>
        <w:rPr>
          <w:noProof/>
        </w:rPr>
        <w:t>Szacowane łączne koszty wynoszą 4 403 000 EUR i obejmują wydatki na zindywidualizowane usługi w wysokości 4 154 000 EUR oraz wydatki na działania przygotowawcze, działania w zakresie zarządzania, dostarczania i upowszechniania informacji i działania w zakresie kontroli i sprawozdawczości w wysokości 249 000 EUR.</w:t>
      </w:r>
    </w:p>
    <w:p>
      <w:pPr>
        <w:pStyle w:val="ManualNumPar1"/>
        <w:rPr>
          <w:noProof/>
        </w:rPr>
      </w:pPr>
      <w:bookmarkStart w:id="4" w:name="_Ref372550770"/>
      <w:r>
        <w:t>46.</w:t>
      </w:r>
      <w:r>
        <w:tab/>
      </w:r>
      <w:r>
        <w:rPr>
          <w:noProof/>
        </w:rPr>
        <w:t>Całkowity objęty wnioskiem finansowy wkład z EFG wynosi 2 641 800 EUR (60 % łącznych kosztów).</w:t>
      </w:r>
      <w:bookmarkEnd w:id="4"/>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4644"/>
        <w:gridCol w:w="1548"/>
        <w:gridCol w:w="1548"/>
        <w:gridCol w:w="1548"/>
      </w:tblGrid>
      <w:tr>
        <w:tc>
          <w:tcPr>
            <w:tcW w:w="4644" w:type="dxa"/>
            <w:shd w:val="clear" w:color="auto" w:fill="auto"/>
            <w:vAlign w:val="center"/>
          </w:tcPr>
          <w:p>
            <w:pPr>
              <w:spacing w:before="60" w:after="60"/>
              <w:jc w:val="center"/>
              <w:rPr>
                <w:rFonts w:eastAsia="Times New Roman"/>
                <w:noProof/>
                <w:sz w:val="22"/>
              </w:rPr>
            </w:pPr>
            <w:r>
              <w:rPr>
                <w:noProof/>
                <w:sz w:val="22"/>
              </w:rPr>
              <w:t>Działania</w:t>
            </w:r>
          </w:p>
        </w:tc>
        <w:tc>
          <w:tcPr>
            <w:tcW w:w="1548" w:type="dxa"/>
            <w:shd w:val="clear" w:color="auto" w:fill="auto"/>
            <w:vAlign w:val="center"/>
          </w:tcPr>
          <w:p>
            <w:pPr>
              <w:spacing w:before="60" w:after="60"/>
              <w:jc w:val="center"/>
              <w:rPr>
                <w:rFonts w:eastAsia="Times New Roman"/>
                <w:noProof/>
                <w:sz w:val="22"/>
              </w:rPr>
            </w:pPr>
            <w:r>
              <w:rPr>
                <w:noProof/>
                <w:sz w:val="22"/>
              </w:rPr>
              <w:t>Szacowana liczba uczestników</w:t>
            </w:r>
          </w:p>
        </w:tc>
        <w:tc>
          <w:tcPr>
            <w:tcW w:w="1548" w:type="dxa"/>
            <w:shd w:val="clear" w:color="auto" w:fill="auto"/>
            <w:vAlign w:val="center"/>
          </w:tcPr>
          <w:p>
            <w:pPr>
              <w:spacing w:before="60" w:after="60"/>
              <w:jc w:val="center"/>
              <w:rPr>
                <w:rFonts w:eastAsia="Times New Roman"/>
                <w:noProof/>
                <w:sz w:val="22"/>
              </w:rPr>
            </w:pPr>
            <w:r>
              <w:rPr>
                <w:noProof/>
                <w:sz w:val="22"/>
              </w:rPr>
              <w:t>Szacowany koszt na uczestnika</w:t>
            </w:r>
            <w:r>
              <w:rPr>
                <w:rFonts w:eastAsia="Times New Roman"/>
                <w:noProof/>
                <w:sz w:val="22"/>
              </w:rPr>
              <w:br/>
            </w:r>
            <w:r>
              <w:rPr>
                <w:i/>
                <w:noProof/>
                <w:sz w:val="22"/>
              </w:rPr>
              <w:t>(w EUR)*</w:t>
            </w:r>
          </w:p>
        </w:tc>
        <w:tc>
          <w:tcPr>
            <w:tcW w:w="1548" w:type="dxa"/>
            <w:shd w:val="clear" w:color="auto" w:fill="auto"/>
            <w:vAlign w:val="center"/>
          </w:tcPr>
          <w:p>
            <w:pPr>
              <w:spacing w:before="60" w:after="60"/>
              <w:jc w:val="center"/>
              <w:rPr>
                <w:rFonts w:eastAsia="Times New Roman"/>
                <w:noProof/>
                <w:sz w:val="22"/>
              </w:rPr>
            </w:pPr>
            <w:r>
              <w:rPr>
                <w:noProof/>
                <w:sz w:val="22"/>
              </w:rPr>
              <w:t>Szacowane łączne koszty</w:t>
            </w:r>
          </w:p>
          <w:p>
            <w:pPr>
              <w:spacing w:before="60" w:after="60"/>
              <w:jc w:val="center"/>
              <w:rPr>
                <w:rFonts w:eastAsia="Times New Roman"/>
                <w:noProof/>
                <w:sz w:val="22"/>
              </w:rPr>
            </w:pPr>
            <w:r>
              <w:rPr>
                <w:i/>
                <w:noProof/>
                <w:sz w:val="22"/>
              </w:rPr>
              <w:t xml:space="preserve">(w EUR) </w:t>
            </w:r>
          </w:p>
        </w:tc>
      </w:tr>
      <w:tr>
        <w:tc>
          <w:tcPr>
            <w:tcW w:w="9288" w:type="dxa"/>
            <w:gridSpan w:val="4"/>
            <w:shd w:val="clear" w:color="auto" w:fill="auto"/>
          </w:tcPr>
          <w:p>
            <w:pPr>
              <w:spacing w:before="60" w:after="60"/>
              <w:jc w:val="left"/>
              <w:rPr>
                <w:rFonts w:eastAsia="Times New Roman"/>
                <w:noProof/>
                <w:sz w:val="22"/>
              </w:rPr>
            </w:pPr>
            <w:r>
              <w:rPr>
                <w:noProof/>
                <w:sz w:val="22"/>
              </w:rPr>
              <w:t>Zindywidualizowane usługi (działania na podstawie art. 7 ust. 1 lit. a) i c) rozporządzenia w sprawie EFG)</w:t>
            </w:r>
          </w:p>
        </w:tc>
      </w:tr>
      <w:tr>
        <w:trPr>
          <w:trHeight w:val="802"/>
        </w:trPr>
        <w:tc>
          <w:tcPr>
            <w:tcW w:w="4644" w:type="dxa"/>
            <w:tcBorders>
              <w:top w:val="single" w:sz="4" w:space="0" w:color="auto"/>
              <w:left w:val="nil"/>
              <w:bottom w:val="single" w:sz="4" w:space="0" w:color="auto"/>
              <w:right w:val="single" w:sz="4" w:space="0" w:color="auto"/>
            </w:tcBorders>
            <w:vAlign w:val="center"/>
            <w:hideMark/>
          </w:tcPr>
          <w:p>
            <w:pPr>
              <w:spacing w:before="60" w:after="60"/>
              <w:jc w:val="left"/>
              <w:rPr>
                <w:noProof/>
              </w:rPr>
            </w:pPr>
          </w:p>
          <w:p>
            <w:pPr>
              <w:rPr>
                <w:i/>
                <w:noProof/>
                <w:color w:val="000000" w:themeColor="text1"/>
                <w:szCs w:val="24"/>
              </w:rPr>
            </w:pPr>
            <w:r>
              <w:rPr>
                <w:noProof/>
              </w:rPr>
              <w:t xml:space="preserve">Działania o charakterze </w:t>
            </w:r>
            <w:r>
              <w:rPr>
                <w:i/>
                <w:noProof/>
              </w:rPr>
              <w:t>coachingu</w:t>
            </w:r>
            <w:r>
              <w:rPr>
                <w:noProof/>
              </w:rPr>
              <w:t xml:space="preserve"> i inne działania przygotowawcze </w:t>
            </w:r>
            <w:r>
              <w:rPr>
                <w:i/>
                <w:noProof/>
                <w:color w:val="000000" w:themeColor="text1"/>
              </w:rPr>
              <w:t>(Valmennukset ja muut valmentavat toimenpiteet)</w:t>
            </w:r>
          </w:p>
          <w:p>
            <w:pPr>
              <w:spacing w:before="60" w:after="60"/>
              <w:jc w:val="left"/>
              <w:rPr>
                <w:noProof/>
              </w:rPr>
            </w:pPr>
          </w:p>
        </w:tc>
        <w:tc>
          <w:tcPr>
            <w:tcW w:w="1548" w:type="dxa"/>
            <w:tcBorders>
              <w:top w:val="single" w:sz="4" w:space="0" w:color="auto"/>
              <w:left w:val="single" w:sz="4" w:space="0" w:color="auto"/>
              <w:bottom w:val="single" w:sz="4" w:space="0" w:color="auto"/>
              <w:right w:val="single" w:sz="4" w:space="0" w:color="auto"/>
            </w:tcBorders>
            <w:vAlign w:val="center"/>
            <w:hideMark/>
          </w:tcPr>
          <w:p>
            <w:pPr>
              <w:spacing w:before="60" w:after="60"/>
              <w:jc w:val="center"/>
              <w:rPr>
                <w:noProof/>
              </w:rPr>
            </w:pPr>
            <w:r>
              <w:rPr>
                <w:noProof/>
              </w:rPr>
              <w:t>200</w:t>
            </w:r>
          </w:p>
        </w:tc>
        <w:tc>
          <w:tcPr>
            <w:tcW w:w="1548" w:type="dxa"/>
            <w:tcBorders>
              <w:top w:val="single" w:sz="4" w:space="0" w:color="auto"/>
              <w:left w:val="single" w:sz="4" w:space="0" w:color="auto"/>
              <w:bottom w:val="single" w:sz="4" w:space="0" w:color="auto"/>
              <w:right w:val="single" w:sz="4" w:space="0" w:color="auto"/>
            </w:tcBorders>
            <w:vAlign w:val="center"/>
            <w:hideMark/>
          </w:tcPr>
          <w:p>
            <w:pPr>
              <w:spacing w:before="60" w:after="60"/>
              <w:jc w:val="center"/>
              <w:rPr>
                <w:noProof/>
              </w:rPr>
            </w:pPr>
            <w:r>
              <w:rPr>
                <w:noProof/>
              </w:rPr>
              <w:t>1 200</w:t>
            </w:r>
          </w:p>
        </w:tc>
        <w:tc>
          <w:tcPr>
            <w:tcW w:w="1548" w:type="dxa"/>
            <w:tcBorders>
              <w:top w:val="single" w:sz="4" w:space="0" w:color="auto"/>
              <w:left w:val="single" w:sz="4" w:space="0" w:color="auto"/>
              <w:bottom w:val="single" w:sz="4" w:space="0" w:color="auto"/>
              <w:right w:val="nil"/>
            </w:tcBorders>
            <w:vAlign w:val="center"/>
            <w:hideMark/>
          </w:tcPr>
          <w:p>
            <w:pPr>
              <w:spacing w:before="60" w:after="60"/>
              <w:jc w:val="center"/>
              <w:rPr>
                <w:noProof/>
              </w:rPr>
            </w:pPr>
            <w:r>
              <w:rPr>
                <w:noProof/>
              </w:rPr>
              <w:t>240 000</w:t>
            </w:r>
          </w:p>
        </w:tc>
      </w:tr>
      <w:tr>
        <w:trPr>
          <w:trHeight w:val="802"/>
        </w:trPr>
        <w:tc>
          <w:tcPr>
            <w:tcW w:w="4644" w:type="dxa"/>
            <w:tcBorders>
              <w:top w:val="single" w:sz="4" w:space="0" w:color="auto"/>
              <w:left w:val="nil"/>
              <w:bottom w:val="single" w:sz="4" w:space="0" w:color="auto"/>
              <w:right w:val="single" w:sz="4" w:space="0" w:color="auto"/>
            </w:tcBorders>
            <w:vAlign w:val="center"/>
            <w:hideMark/>
          </w:tcPr>
          <w:p>
            <w:pPr>
              <w:rPr>
                <w:i/>
                <w:noProof/>
                <w:color w:val="000000" w:themeColor="text1"/>
                <w:szCs w:val="24"/>
              </w:rPr>
            </w:pPr>
            <w:r>
              <w:rPr>
                <w:noProof/>
              </w:rPr>
              <w:t xml:space="preserve">Usługi związane z zatrudnieniem i usługi dla przedsiębiorców </w:t>
            </w:r>
            <w:r>
              <w:rPr>
                <w:i/>
                <w:noProof/>
                <w:color w:val="000000" w:themeColor="text1"/>
              </w:rPr>
              <w:t>(Työllisyys- ja yrityspalvelut)</w:t>
            </w:r>
          </w:p>
          <w:p>
            <w:pPr>
              <w:spacing w:before="60" w:after="60"/>
              <w:jc w:val="left"/>
              <w:rPr>
                <w:noProof/>
              </w:rPr>
            </w:pPr>
          </w:p>
        </w:tc>
        <w:tc>
          <w:tcPr>
            <w:tcW w:w="1548" w:type="dxa"/>
            <w:tcBorders>
              <w:top w:val="single" w:sz="4" w:space="0" w:color="auto"/>
              <w:left w:val="single" w:sz="4" w:space="0" w:color="auto"/>
              <w:bottom w:val="single" w:sz="4" w:space="0" w:color="auto"/>
              <w:right w:val="single" w:sz="4" w:space="0" w:color="auto"/>
            </w:tcBorders>
            <w:vAlign w:val="center"/>
            <w:hideMark/>
          </w:tcPr>
          <w:p>
            <w:pPr>
              <w:spacing w:before="60" w:after="60"/>
              <w:jc w:val="center"/>
              <w:rPr>
                <w:noProof/>
              </w:rPr>
            </w:pPr>
            <w:r>
              <w:rPr>
                <w:noProof/>
              </w:rPr>
              <w:t>733</w:t>
            </w:r>
          </w:p>
        </w:tc>
        <w:tc>
          <w:tcPr>
            <w:tcW w:w="1548" w:type="dxa"/>
            <w:tcBorders>
              <w:top w:val="single" w:sz="4" w:space="0" w:color="auto"/>
              <w:left w:val="single" w:sz="4" w:space="0" w:color="auto"/>
              <w:bottom w:val="single" w:sz="4" w:space="0" w:color="auto"/>
              <w:right w:val="single" w:sz="4" w:space="0" w:color="auto"/>
            </w:tcBorders>
            <w:vAlign w:val="center"/>
            <w:hideMark/>
          </w:tcPr>
          <w:p>
            <w:pPr>
              <w:spacing w:before="60" w:after="60"/>
              <w:jc w:val="center"/>
              <w:rPr>
                <w:noProof/>
              </w:rPr>
            </w:pPr>
            <w:r>
              <w:rPr>
                <w:noProof/>
              </w:rPr>
              <w:t>621</w:t>
            </w:r>
          </w:p>
        </w:tc>
        <w:tc>
          <w:tcPr>
            <w:tcW w:w="1548" w:type="dxa"/>
            <w:tcBorders>
              <w:top w:val="single" w:sz="4" w:space="0" w:color="auto"/>
              <w:left w:val="single" w:sz="4" w:space="0" w:color="auto"/>
              <w:bottom w:val="single" w:sz="4" w:space="0" w:color="auto"/>
              <w:right w:val="nil"/>
            </w:tcBorders>
            <w:vAlign w:val="center"/>
            <w:hideMark/>
          </w:tcPr>
          <w:p>
            <w:pPr>
              <w:spacing w:before="60" w:after="60"/>
              <w:jc w:val="center"/>
              <w:rPr>
                <w:noProof/>
              </w:rPr>
            </w:pPr>
            <w:r>
              <w:rPr>
                <w:noProof/>
              </w:rPr>
              <w:t>455 000</w:t>
            </w:r>
          </w:p>
        </w:tc>
      </w:tr>
      <w:tr>
        <w:trPr>
          <w:trHeight w:val="802"/>
        </w:trPr>
        <w:tc>
          <w:tcPr>
            <w:tcW w:w="4644" w:type="dxa"/>
            <w:tcBorders>
              <w:top w:val="single" w:sz="4" w:space="0" w:color="auto"/>
              <w:left w:val="nil"/>
              <w:bottom w:val="single" w:sz="4" w:space="0" w:color="auto"/>
              <w:right w:val="single" w:sz="4" w:space="0" w:color="auto"/>
            </w:tcBorders>
            <w:vAlign w:val="center"/>
            <w:hideMark/>
          </w:tcPr>
          <w:p>
            <w:pPr>
              <w:spacing w:before="60" w:after="60"/>
              <w:jc w:val="left"/>
              <w:rPr>
                <w:noProof/>
              </w:rPr>
            </w:pPr>
            <w:r>
              <w:rPr>
                <w:noProof/>
              </w:rPr>
              <w:t xml:space="preserve">Szkolenie </w:t>
            </w:r>
            <w:r>
              <w:rPr>
                <w:i/>
                <w:noProof/>
                <w:color w:val="000000" w:themeColor="text1"/>
              </w:rPr>
              <w:t>(Koulutus)</w:t>
            </w:r>
          </w:p>
        </w:tc>
        <w:tc>
          <w:tcPr>
            <w:tcW w:w="1548" w:type="dxa"/>
            <w:tcBorders>
              <w:top w:val="single" w:sz="4" w:space="0" w:color="auto"/>
              <w:left w:val="single" w:sz="4" w:space="0" w:color="auto"/>
              <w:bottom w:val="single" w:sz="4" w:space="0" w:color="auto"/>
              <w:right w:val="single" w:sz="4" w:space="0" w:color="auto"/>
            </w:tcBorders>
            <w:vAlign w:val="center"/>
            <w:hideMark/>
          </w:tcPr>
          <w:p>
            <w:pPr>
              <w:spacing w:before="60" w:after="60"/>
              <w:jc w:val="center"/>
              <w:rPr>
                <w:noProof/>
              </w:rPr>
            </w:pPr>
            <w:r>
              <w:rPr>
                <w:noProof/>
              </w:rPr>
              <w:t>420</w:t>
            </w:r>
          </w:p>
        </w:tc>
        <w:tc>
          <w:tcPr>
            <w:tcW w:w="1548" w:type="dxa"/>
            <w:tcBorders>
              <w:top w:val="single" w:sz="4" w:space="0" w:color="auto"/>
              <w:left w:val="single" w:sz="4" w:space="0" w:color="auto"/>
              <w:bottom w:val="single" w:sz="4" w:space="0" w:color="auto"/>
              <w:right w:val="single" w:sz="4" w:space="0" w:color="auto"/>
            </w:tcBorders>
            <w:vAlign w:val="center"/>
            <w:hideMark/>
          </w:tcPr>
          <w:p>
            <w:pPr>
              <w:spacing w:before="60" w:after="60"/>
              <w:jc w:val="center"/>
              <w:rPr>
                <w:noProof/>
              </w:rPr>
            </w:pPr>
            <w:r>
              <w:rPr>
                <w:noProof/>
              </w:rPr>
              <w:t>6 500</w:t>
            </w:r>
          </w:p>
        </w:tc>
        <w:tc>
          <w:tcPr>
            <w:tcW w:w="1548" w:type="dxa"/>
            <w:tcBorders>
              <w:top w:val="single" w:sz="4" w:space="0" w:color="auto"/>
              <w:left w:val="single" w:sz="4" w:space="0" w:color="auto"/>
              <w:bottom w:val="single" w:sz="4" w:space="0" w:color="auto"/>
              <w:right w:val="nil"/>
            </w:tcBorders>
            <w:vAlign w:val="center"/>
            <w:hideMark/>
          </w:tcPr>
          <w:p>
            <w:pPr>
              <w:spacing w:before="60" w:after="60"/>
              <w:jc w:val="center"/>
              <w:rPr>
                <w:noProof/>
              </w:rPr>
            </w:pPr>
            <w:r>
              <w:rPr>
                <w:noProof/>
              </w:rPr>
              <w:t>2 730 000</w:t>
            </w:r>
          </w:p>
        </w:tc>
      </w:tr>
      <w:tr>
        <w:trPr>
          <w:trHeight w:val="802"/>
        </w:trPr>
        <w:tc>
          <w:tcPr>
            <w:tcW w:w="4644" w:type="dxa"/>
            <w:tcBorders>
              <w:top w:val="single" w:sz="4" w:space="0" w:color="auto"/>
              <w:left w:val="nil"/>
              <w:bottom w:val="single" w:sz="4" w:space="0" w:color="auto"/>
              <w:right w:val="single" w:sz="4" w:space="0" w:color="auto"/>
            </w:tcBorders>
            <w:vAlign w:val="center"/>
            <w:hideMark/>
          </w:tcPr>
          <w:p>
            <w:pPr>
              <w:spacing w:before="60" w:after="60"/>
              <w:jc w:val="left"/>
              <w:rPr>
                <w:noProof/>
              </w:rPr>
            </w:pPr>
            <w:r>
              <w:rPr>
                <w:noProof/>
              </w:rPr>
              <w:t xml:space="preserve">Dotacja na rozpoczęcie działalności </w:t>
            </w:r>
            <w:r>
              <w:rPr>
                <w:i/>
                <w:noProof/>
                <w:color w:val="000000" w:themeColor="text1"/>
              </w:rPr>
              <w:t>(Starttiraha)</w:t>
            </w:r>
          </w:p>
        </w:tc>
        <w:tc>
          <w:tcPr>
            <w:tcW w:w="1548" w:type="dxa"/>
            <w:tcBorders>
              <w:top w:val="single" w:sz="4" w:space="0" w:color="auto"/>
              <w:left w:val="single" w:sz="4" w:space="0" w:color="auto"/>
              <w:bottom w:val="single" w:sz="4" w:space="0" w:color="auto"/>
              <w:right w:val="single" w:sz="4" w:space="0" w:color="auto"/>
            </w:tcBorders>
            <w:vAlign w:val="center"/>
            <w:hideMark/>
          </w:tcPr>
          <w:p>
            <w:pPr>
              <w:spacing w:before="60" w:after="60"/>
              <w:jc w:val="center"/>
              <w:rPr>
                <w:noProof/>
              </w:rPr>
            </w:pPr>
            <w:r>
              <w:rPr>
                <w:noProof/>
              </w:rPr>
              <w:t>15</w:t>
            </w:r>
          </w:p>
        </w:tc>
        <w:tc>
          <w:tcPr>
            <w:tcW w:w="1548" w:type="dxa"/>
            <w:tcBorders>
              <w:top w:val="single" w:sz="4" w:space="0" w:color="auto"/>
              <w:left w:val="single" w:sz="4" w:space="0" w:color="auto"/>
              <w:bottom w:val="single" w:sz="4" w:space="0" w:color="auto"/>
              <w:right w:val="single" w:sz="4" w:space="0" w:color="auto"/>
            </w:tcBorders>
            <w:vAlign w:val="center"/>
            <w:hideMark/>
          </w:tcPr>
          <w:p>
            <w:pPr>
              <w:spacing w:before="60" w:after="60"/>
              <w:jc w:val="center"/>
              <w:rPr>
                <w:noProof/>
              </w:rPr>
            </w:pPr>
            <w:r>
              <w:rPr>
                <w:noProof/>
              </w:rPr>
              <w:t>9 000</w:t>
            </w:r>
          </w:p>
        </w:tc>
        <w:tc>
          <w:tcPr>
            <w:tcW w:w="1548" w:type="dxa"/>
            <w:tcBorders>
              <w:top w:val="single" w:sz="4" w:space="0" w:color="auto"/>
              <w:left w:val="single" w:sz="4" w:space="0" w:color="auto"/>
              <w:bottom w:val="single" w:sz="4" w:space="0" w:color="auto"/>
              <w:right w:val="nil"/>
            </w:tcBorders>
            <w:vAlign w:val="center"/>
            <w:hideMark/>
          </w:tcPr>
          <w:p>
            <w:pPr>
              <w:spacing w:before="60" w:after="60"/>
              <w:jc w:val="center"/>
              <w:rPr>
                <w:noProof/>
              </w:rPr>
            </w:pPr>
            <w:r>
              <w:rPr>
                <w:noProof/>
              </w:rPr>
              <w:t>135 000</w:t>
            </w:r>
          </w:p>
        </w:tc>
      </w:tr>
      <w:tr>
        <w:trPr>
          <w:trHeight w:val="802"/>
        </w:trPr>
        <w:tc>
          <w:tcPr>
            <w:tcW w:w="4644" w:type="dxa"/>
            <w:tcBorders>
              <w:top w:val="single" w:sz="4" w:space="0" w:color="auto"/>
              <w:left w:val="nil"/>
              <w:bottom w:val="single" w:sz="4" w:space="0" w:color="auto"/>
              <w:right w:val="single" w:sz="4" w:space="0" w:color="auto"/>
            </w:tcBorders>
            <w:vAlign w:val="center"/>
          </w:tcPr>
          <w:p>
            <w:pPr>
              <w:spacing w:before="60" w:after="60"/>
              <w:jc w:val="left"/>
              <w:rPr>
                <w:noProof/>
              </w:rPr>
            </w:pPr>
            <w:r>
              <w:rPr>
                <w:noProof/>
              </w:rPr>
              <w:t xml:space="preserve">Oceny specjalistyczne </w:t>
            </w:r>
            <w:r>
              <w:rPr>
                <w:i/>
                <w:noProof/>
              </w:rPr>
              <w:t>(Asiantuntija-arvioinnit)</w:t>
            </w:r>
          </w:p>
        </w:tc>
        <w:tc>
          <w:tcPr>
            <w:tcW w:w="1548" w:type="dxa"/>
            <w:tcBorders>
              <w:top w:val="single" w:sz="4" w:space="0" w:color="auto"/>
              <w:left w:val="single" w:sz="4" w:space="0" w:color="auto"/>
              <w:bottom w:val="single" w:sz="4" w:space="0" w:color="auto"/>
              <w:right w:val="single" w:sz="4" w:space="0" w:color="auto"/>
            </w:tcBorders>
            <w:vAlign w:val="center"/>
          </w:tcPr>
          <w:p>
            <w:pPr>
              <w:spacing w:before="60" w:after="60"/>
              <w:jc w:val="center"/>
              <w:rPr>
                <w:noProof/>
              </w:rPr>
            </w:pPr>
            <w:r>
              <w:rPr>
                <w:noProof/>
              </w:rPr>
              <w:t>30</w:t>
            </w:r>
          </w:p>
        </w:tc>
        <w:tc>
          <w:tcPr>
            <w:tcW w:w="1548" w:type="dxa"/>
            <w:tcBorders>
              <w:top w:val="single" w:sz="4" w:space="0" w:color="auto"/>
              <w:left w:val="single" w:sz="4" w:space="0" w:color="auto"/>
              <w:bottom w:val="single" w:sz="4" w:space="0" w:color="auto"/>
              <w:right w:val="single" w:sz="4" w:space="0" w:color="auto"/>
            </w:tcBorders>
            <w:vAlign w:val="center"/>
          </w:tcPr>
          <w:p>
            <w:pPr>
              <w:spacing w:before="60" w:after="60"/>
              <w:jc w:val="center"/>
              <w:rPr>
                <w:noProof/>
              </w:rPr>
            </w:pPr>
            <w:r>
              <w:rPr>
                <w:noProof/>
              </w:rPr>
              <w:t>1 333</w:t>
            </w:r>
          </w:p>
        </w:tc>
        <w:tc>
          <w:tcPr>
            <w:tcW w:w="1548" w:type="dxa"/>
            <w:tcBorders>
              <w:top w:val="single" w:sz="4" w:space="0" w:color="auto"/>
              <w:left w:val="single" w:sz="4" w:space="0" w:color="auto"/>
              <w:bottom w:val="single" w:sz="4" w:space="0" w:color="auto"/>
              <w:right w:val="nil"/>
            </w:tcBorders>
            <w:vAlign w:val="center"/>
          </w:tcPr>
          <w:p>
            <w:pPr>
              <w:spacing w:before="60" w:after="60"/>
              <w:jc w:val="center"/>
              <w:rPr>
                <w:noProof/>
              </w:rPr>
            </w:pPr>
            <w:r>
              <w:rPr>
                <w:noProof/>
              </w:rPr>
              <w:t>40 000</w:t>
            </w:r>
          </w:p>
        </w:tc>
      </w:tr>
      <w:tr>
        <w:trPr>
          <w:trHeight w:val="802"/>
        </w:trPr>
        <w:tc>
          <w:tcPr>
            <w:tcW w:w="4644" w:type="dxa"/>
            <w:tcBorders>
              <w:top w:val="single" w:sz="4" w:space="0" w:color="auto"/>
              <w:left w:val="nil"/>
              <w:bottom w:val="single" w:sz="4" w:space="0" w:color="auto"/>
              <w:right w:val="single" w:sz="4" w:space="0" w:color="auto"/>
            </w:tcBorders>
            <w:vAlign w:val="center"/>
          </w:tcPr>
          <w:p>
            <w:pPr>
              <w:spacing w:before="60" w:after="60"/>
              <w:jc w:val="left"/>
              <w:rPr>
                <w:noProof/>
              </w:rPr>
            </w:pPr>
          </w:p>
        </w:tc>
        <w:tc>
          <w:tcPr>
            <w:tcW w:w="1548" w:type="dxa"/>
            <w:tcBorders>
              <w:top w:val="single" w:sz="4" w:space="0" w:color="auto"/>
              <w:left w:val="single" w:sz="4" w:space="0" w:color="auto"/>
              <w:bottom w:val="single" w:sz="4" w:space="0" w:color="auto"/>
              <w:right w:val="single" w:sz="4" w:space="0" w:color="auto"/>
            </w:tcBorders>
            <w:vAlign w:val="center"/>
          </w:tcPr>
          <w:p>
            <w:pPr>
              <w:spacing w:before="60" w:after="60"/>
              <w:jc w:val="center"/>
              <w:rPr>
                <w:noProof/>
              </w:rPr>
            </w:pPr>
          </w:p>
        </w:tc>
        <w:tc>
          <w:tcPr>
            <w:tcW w:w="1548" w:type="dxa"/>
            <w:tcBorders>
              <w:top w:val="single" w:sz="4" w:space="0" w:color="auto"/>
              <w:left w:val="single" w:sz="4" w:space="0" w:color="auto"/>
              <w:bottom w:val="single" w:sz="4" w:space="0" w:color="auto"/>
              <w:right w:val="single" w:sz="4" w:space="0" w:color="auto"/>
            </w:tcBorders>
            <w:vAlign w:val="center"/>
          </w:tcPr>
          <w:p>
            <w:pPr>
              <w:spacing w:before="60" w:after="60"/>
              <w:jc w:val="center"/>
              <w:rPr>
                <w:noProof/>
              </w:rPr>
            </w:pPr>
          </w:p>
        </w:tc>
        <w:tc>
          <w:tcPr>
            <w:tcW w:w="1548" w:type="dxa"/>
            <w:tcBorders>
              <w:top w:val="single" w:sz="4" w:space="0" w:color="auto"/>
              <w:left w:val="single" w:sz="4" w:space="0" w:color="auto"/>
              <w:bottom w:val="single" w:sz="4" w:space="0" w:color="auto"/>
              <w:right w:val="nil"/>
            </w:tcBorders>
            <w:vAlign w:val="center"/>
          </w:tcPr>
          <w:p>
            <w:pPr>
              <w:spacing w:before="60" w:after="60"/>
              <w:jc w:val="center"/>
              <w:rPr>
                <w:noProof/>
              </w:rPr>
            </w:pPr>
          </w:p>
        </w:tc>
      </w:tr>
      <w:tr>
        <w:trPr>
          <w:trHeight w:val="398"/>
        </w:trPr>
        <w:tc>
          <w:tcPr>
            <w:tcW w:w="4644" w:type="dxa"/>
            <w:vMerge w:val="restart"/>
            <w:shd w:val="clear" w:color="auto" w:fill="auto"/>
            <w:vAlign w:val="center"/>
          </w:tcPr>
          <w:p>
            <w:pPr>
              <w:spacing w:before="60" w:after="60"/>
              <w:jc w:val="right"/>
              <w:rPr>
                <w:rFonts w:eastAsia="Times New Roman"/>
                <w:noProof/>
                <w:sz w:val="22"/>
              </w:rPr>
            </w:pPr>
            <w:r>
              <w:rPr>
                <w:noProof/>
                <w:sz w:val="22"/>
              </w:rPr>
              <w:t>Ogółem a):</w:t>
            </w:r>
          </w:p>
          <w:p>
            <w:pPr>
              <w:spacing w:before="60" w:after="60"/>
              <w:jc w:val="right"/>
              <w:rPr>
                <w:rFonts w:eastAsia="Times New Roman"/>
                <w:noProof/>
                <w:sz w:val="22"/>
              </w:rPr>
            </w:pPr>
            <w:r>
              <w:rPr>
                <w:noProof/>
                <w:sz w:val="22"/>
              </w:rPr>
              <w:t xml:space="preserve">udział procentowy pakietu zindywidualizowanych usług </w:t>
            </w:r>
          </w:p>
        </w:tc>
        <w:tc>
          <w:tcPr>
            <w:tcW w:w="3096" w:type="dxa"/>
            <w:gridSpan w:val="2"/>
            <w:vMerge w:val="restart"/>
            <w:shd w:val="clear" w:color="auto" w:fill="D9D9D9"/>
            <w:vAlign w:val="center"/>
          </w:tcPr>
          <w:p>
            <w:pPr>
              <w:spacing w:before="60" w:after="60"/>
              <w:jc w:val="center"/>
              <w:rPr>
                <w:rFonts w:eastAsia="Times New Roman"/>
                <w:noProof/>
                <w:sz w:val="22"/>
              </w:rPr>
            </w:pPr>
            <w:r>
              <w:rPr>
                <w:noProof/>
                <w:sz w:val="22"/>
              </w:rPr>
              <w:t>–</w:t>
            </w:r>
          </w:p>
        </w:tc>
        <w:tc>
          <w:tcPr>
            <w:tcW w:w="1548" w:type="dxa"/>
            <w:tcBorders>
              <w:bottom w:val="nil"/>
            </w:tcBorders>
            <w:shd w:val="clear" w:color="auto" w:fill="auto"/>
            <w:vAlign w:val="center"/>
          </w:tcPr>
          <w:p>
            <w:pPr>
              <w:spacing w:before="60" w:after="60"/>
              <w:jc w:val="center"/>
              <w:rPr>
                <w:rFonts w:eastAsia="Times New Roman"/>
                <w:noProof/>
                <w:sz w:val="22"/>
              </w:rPr>
            </w:pPr>
            <w:r>
              <w:rPr>
                <w:noProof/>
              </w:rPr>
              <w:t>3 600 000</w:t>
            </w:r>
          </w:p>
        </w:tc>
      </w:tr>
      <w:tr>
        <w:trPr>
          <w:trHeight w:val="397"/>
        </w:trPr>
        <w:tc>
          <w:tcPr>
            <w:tcW w:w="4644" w:type="dxa"/>
            <w:vMerge/>
            <w:shd w:val="clear" w:color="auto" w:fill="auto"/>
            <w:vAlign w:val="center"/>
          </w:tcPr>
          <w:p>
            <w:pPr>
              <w:spacing w:before="60" w:after="60"/>
              <w:jc w:val="right"/>
              <w:rPr>
                <w:rFonts w:eastAsia="Times New Roman"/>
                <w:noProof/>
                <w:sz w:val="22"/>
              </w:rPr>
            </w:pPr>
          </w:p>
        </w:tc>
        <w:tc>
          <w:tcPr>
            <w:tcW w:w="3096" w:type="dxa"/>
            <w:gridSpan w:val="2"/>
            <w:vMerge/>
            <w:shd w:val="clear" w:color="auto" w:fill="D9D9D9"/>
            <w:vAlign w:val="center"/>
          </w:tcPr>
          <w:p>
            <w:pPr>
              <w:spacing w:before="60" w:after="60"/>
              <w:jc w:val="center"/>
              <w:rPr>
                <w:rFonts w:eastAsia="Times New Roman"/>
                <w:noProof/>
                <w:sz w:val="22"/>
              </w:rPr>
            </w:pPr>
          </w:p>
        </w:tc>
        <w:tc>
          <w:tcPr>
            <w:tcW w:w="1548" w:type="dxa"/>
            <w:tcBorders>
              <w:top w:val="nil"/>
            </w:tcBorders>
            <w:shd w:val="clear" w:color="auto" w:fill="auto"/>
            <w:vAlign w:val="center"/>
          </w:tcPr>
          <w:p>
            <w:pPr>
              <w:spacing w:before="60" w:after="60"/>
              <w:jc w:val="center"/>
              <w:rPr>
                <w:rFonts w:eastAsia="Times New Roman"/>
                <w:noProof/>
                <w:sz w:val="22"/>
              </w:rPr>
            </w:pPr>
            <w:r>
              <w:rPr>
                <w:noProof/>
                <w:sz w:val="22"/>
              </w:rPr>
              <w:t>(86</w:t>
            </w:r>
            <w:r>
              <w:rPr>
                <w:noProof/>
              </w:rPr>
              <w:t>,66 </w:t>
            </w:r>
            <w:r>
              <w:rPr>
                <w:noProof/>
                <w:sz w:val="22"/>
              </w:rPr>
              <w:t>%)</w:t>
            </w:r>
          </w:p>
        </w:tc>
      </w:tr>
      <w:tr>
        <w:tc>
          <w:tcPr>
            <w:tcW w:w="9288" w:type="dxa"/>
            <w:gridSpan w:val="4"/>
            <w:shd w:val="clear" w:color="auto" w:fill="auto"/>
            <w:vAlign w:val="center"/>
          </w:tcPr>
          <w:p>
            <w:pPr>
              <w:spacing w:before="60" w:after="60"/>
              <w:jc w:val="left"/>
              <w:rPr>
                <w:noProof/>
                <w:sz w:val="22"/>
              </w:rPr>
            </w:pPr>
            <w:r>
              <w:rPr>
                <w:noProof/>
                <w:sz w:val="22"/>
              </w:rPr>
              <w:t>Dodatki i zachęty (działania na podstawie art. 7 ust. 1 lit. b) rozporządzenia w sprawie EFG)</w:t>
            </w:r>
          </w:p>
        </w:tc>
      </w:tr>
      <w:tr>
        <w:trPr>
          <w:trHeight w:val="802"/>
        </w:trPr>
        <w:tc>
          <w:tcPr>
            <w:tcW w:w="4644" w:type="dxa"/>
            <w:tcBorders>
              <w:top w:val="single" w:sz="4" w:space="0" w:color="auto"/>
              <w:left w:val="nil"/>
              <w:bottom w:val="single" w:sz="4" w:space="0" w:color="auto"/>
              <w:right w:val="single" w:sz="4" w:space="0" w:color="auto"/>
            </w:tcBorders>
            <w:vAlign w:val="center"/>
            <w:hideMark/>
          </w:tcPr>
          <w:p>
            <w:pPr>
              <w:rPr>
                <w:i/>
                <w:noProof/>
                <w:color w:val="000000" w:themeColor="text1"/>
                <w:szCs w:val="24"/>
              </w:rPr>
            </w:pPr>
            <w:r>
              <w:rPr>
                <w:noProof/>
              </w:rPr>
              <w:t xml:space="preserve">Dopłaty do wynagrodzenia </w:t>
            </w:r>
            <w:r>
              <w:rPr>
                <w:i/>
                <w:noProof/>
                <w:color w:val="000000" w:themeColor="text1"/>
              </w:rPr>
              <w:t>(Palkkatuki)</w:t>
            </w:r>
          </w:p>
          <w:p>
            <w:pPr>
              <w:spacing w:before="60" w:after="60"/>
              <w:jc w:val="left"/>
              <w:rPr>
                <w:noProof/>
              </w:rPr>
            </w:pPr>
          </w:p>
        </w:tc>
        <w:tc>
          <w:tcPr>
            <w:tcW w:w="1548" w:type="dxa"/>
            <w:tcBorders>
              <w:top w:val="single" w:sz="4" w:space="0" w:color="auto"/>
              <w:left w:val="single" w:sz="4" w:space="0" w:color="auto"/>
              <w:bottom w:val="single" w:sz="4" w:space="0" w:color="auto"/>
              <w:right w:val="single" w:sz="4" w:space="0" w:color="auto"/>
            </w:tcBorders>
            <w:vAlign w:val="center"/>
            <w:hideMark/>
          </w:tcPr>
          <w:p>
            <w:pPr>
              <w:spacing w:before="60" w:after="60"/>
              <w:jc w:val="center"/>
              <w:rPr>
                <w:noProof/>
              </w:rPr>
            </w:pPr>
            <w:r>
              <w:rPr>
                <w:noProof/>
              </w:rPr>
              <w:t>60</w:t>
            </w:r>
          </w:p>
        </w:tc>
        <w:tc>
          <w:tcPr>
            <w:tcW w:w="1548" w:type="dxa"/>
            <w:tcBorders>
              <w:top w:val="single" w:sz="4" w:space="0" w:color="auto"/>
              <w:left w:val="single" w:sz="4" w:space="0" w:color="auto"/>
              <w:bottom w:val="single" w:sz="4" w:space="0" w:color="auto"/>
              <w:right w:val="single" w:sz="4" w:space="0" w:color="auto"/>
            </w:tcBorders>
            <w:vAlign w:val="center"/>
            <w:hideMark/>
          </w:tcPr>
          <w:p>
            <w:pPr>
              <w:spacing w:before="60" w:after="60"/>
              <w:jc w:val="center"/>
              <w:rPr>
                <w:noProof/>
              </w:rPr>
            </w:pPr>
            <w:r>
              <w:rPr>
                <w:noProof/>
              </w:rPr>
              <w:t>9 000</w:t>
            </w:r>
          </w:p>
        </w:tc>
        <w:tc>
          <w:tcPr>
            <w:tcW w:w="1548" w:type="dxa"/>
            <w:tcBorders>
              <w:top w:val="single" w:sz="4" w:space="0" w:color="auto"/>
              <w:left w:val="single" w:sz="4" w:space="0" w:color="auto"/>
              <w:bottom w:val="single" w:sz="4" w:space="0" w:color="auto"/>
              <w:right w:val="nil"/>
            </w:tcBorders>
            <w:vAlign w:val="center"/>
            <w:hideMark/>
          </w:tcPr>
          <w:p>
            <w:pPr>
              <w:spacing w:before="60" w:after="60"/>
              <w:jc w:val="center"/>
              <w:rPr>
                <w:noProof/>
              </w:rPr>
            </w:pPr>
            <w:r>
              <w:rPr>
                <w:noProof/>
              </w:rPr>
              <w:t>540 000</w:t>
            </w:r>
          </w:p>
        </w:tc>
      </w:tr>
      <w:tr>
        <w:trPr>
          <w:trHeight w:val="802"/>
        </w:trPr>
        <w:tc>
          <w:tcPr>
            <w:tcW w:w="4644" w:type="dxa"/>
            <w:tcBorders>
              <w:top w:val="single" w:sz="4" w:space="0" w:color="auto"/>
              <w:left w:val="nil"/>
              <w:bottom w:val="single" w:sz="4" w:space="0" w:color="auto"/>
              <w:right w:val="single" w:sz="4" w:space="0" w:color="auto"/>
            </w:tcBorders>
            <w:vAlign w:val="center"/>
            <w:hideMark/>
          </w:tcPr>
          <w:p>
            <w:pPr>
              <w:spacing w:before="60" w:after="60"/>
              <w:jc w:val="left"/>
              <w:rPr>
                <w:noProof/>
              </w:rPr>
            </w:pPr>
            <w:r>
              <w:rPr>
                <w:noProof/>
              </w:rPr>
              <w:t xml:space="preserve">Dodatki na podróż, zakwaterowanie i przeprowadzkę </w:t>
            </w:r>
            <w:r>
              <w:rPr>
                <w:i/>
                <w:noProof/>
                <w:color w:val="000000" w:themeColor="text1"/>
              </w:rPr>
              <w:t>(Liikkuvuusavustus)</w:t>
            </w:r>
            <w:r>
              <w:rPr>
                <w:noProof/>
              </w:rPr>
              <w:t xml:space="preserve"> </w:t>
            </w:r>
          </w:p>
        </w:tc>
        <w:tc>
          <w:tcPr>
            <w:tcW w:w="1548" w:type="dxa"/>
            <w:tcBorders>
              <w:top w:val="single" w:sz="4" w:space="0" w:color="auto"/>
              <w:left w:val="single" w:sz="4" w:space="0" w:color="auto"/>
              <w:bottom w:val="single" w:sz="4" w:space="0" w:color="auto"/>
              <w:right w:val="single" w:sz="4" w:space="0" w:color="auto"/>
            </w:tcBorders>
            <w:vAlign w:val="center"/>
            <w:hideMark/>
          </w:tcPr>
          <w:p>
            <w:pPr>
              <w:spacing w:before="60" w:after="60"/>
              <w:jc w:val="center"/>
              <w:rPr>
                <w:noProof/>
              </w:rPr>
            </w:pPr>
            <w:r>
              <w:rPr>
                <w:noProof/>
              </w:rPr>
              <w:t>100</w:t>
            </w:r>
          </w:p>
        </w:tc>
        <w:tc>
          <w:tcPr>
            <w:tcW w:w="1548" w:type="dxa"/>
            <w:tcBorders>
              <w:top w:val="single" w:sz="4" w:space="0" w:color="auto"/>
              <w:left w:val="single" w:sz="4" w:space="0" w:color="auto"/>
              <w:bottom w:val="single" w:sz="4" w:space="0" w:color="auto"/>
              <w:right w:val="single" w:sz="4" w:space="0" w:color="auto"/>
            </w:tcBorders>
            <w:vAlign w:val="center"/>
            <w:hideMark/>
          </w:tcPr>
          <w:p>
            <w:pPr>
              <w:spacing w:before="60" w:after="60"/>
              <w:jc w:val="center"/>
              <w:rPr>
                <w:noProof/>
              </w:rPr>
            </w:pPr>
            <w:r>
              <w:rPr>
                <w:noProof/>
              </w:rPr>
              <w:t>140</w:t>
            </w:r>
          </w:p>
        </w:tc>
        <w:tc>
          <w:tcPr>
            <w:tcW w:w="1548" w:type="dxa"/>
            <w:tcBorders>
              <w:top w:val="single" w:sz="4" w:space="0" w:color="auto"/>
              <w:left w:val="single" w:sz="4" w:space="0" w:color="auto"/>
              <w:bottom w:val="single" w:sz="4" w:space="0" w:color="auto"/>
              <w:right w:val="nil"/>
            </w:tcBorders>
            <w:vAlign w:val="center"/>
            <w:hideMark/>
          </w:tcPr>
          <w:p>
            <w:pPr>
              <w:spacing w:before="60" w:after="60"/>
              <w:jc w:val="center"/>
              <w:rPr>
                <w:noProof/>
              </w:rPr>
            </w:pPr>
            <w:r>
              <w:rPr>
                <w:noProof/>
              </w:rPr>
              <w:t>14 000</w:t>
            </w:r>
          </w:p>
        </w:tc>
      </w:tr>
      <w:tr>
        <w:trPr>
          <w:trHeight w:val="802"/>
        </w:trPr>
        <w:tc>
          <w:tcPr>
            <w:tcW w:w="4644" w:type="dxa"/>
            <w:tcBorders>
              <w:top w:val="single" w:sz="4" w:space="0" w:color="auto"/>
              <w:left w:val="nil"/>
              <w:bottom w:val="single" w:sz="4" w:space="0" w:color="auto"/>
              <w:right w:val="single" w:sz="4" w:space="0" w:color="auto"/>
            </w:tcBorders>
            <w:vAlign w:val="center"/>
          </w:tcPr>
          <w:p>
            <w:pPr>
              <w:spacing w:before="60" w:after="60"/>
              <w:jc w:val="left"/>
              <w:rPr>
                <w:noProof/>
              </w:rPr>
            </w:pPr>
          </w:p>
        </w:tc>
        <w:tc>
          <w:tcPr>
            <w:tcW w:w="1548" w:type="dxa"/>
            <w:tcBorders>
              <w:top w:val="single" w:sz="4" w:space="0" w:color="auto"/>
              <w:left w:val="single" w:sz="4" w:space="0" w:color="auto"/>
              <w:bottom w:val="single" w:sz="4" w:space="0" w:color="auto"/>
              <w:right w:val="single" w:sz="4" w:space="0" w:color="auto"/>
            </w:tcBorders>
            <w:vAlign w:val="center"/>
          </w:tcPr>
          <w:p>
            <w:pPr>
              <w:spacing w:before="60" w:after="60"/>
              <w:jc w:val="center"/>
              <w:rPr>
                <w:noProof/>
              </w:rPr>
            </w:pPr>
          </w:p>
        </w:tc>
        <w:tc>
          <w:tcPr>
            <w:tcW w:w="1548" w:type="dxa"/>
            <w:tcBorders>
              <w:top w:val="single" w:sz="4" w:space="0" w:color="auto"/>
              <w:left w:val="single" w:sz="4" w:space="0" w:color="auto"/>
              <w:bottom w:val="single" w:sz="4" w:space="0" w:color="auto"/>
              <w:right w:val="single" w:sz="4" w:space="0" w:color="auto"/>
            </w:tcBorders>
            <w:vAlign w:val="center"/>
          </w:tcPr>
          <w:p>
            <w:pPr>
              <w:spacing w:before="60" w:after="60"/>
              <w:jc w:val="center"/>
              <w:rPr>
                <w:noProof/>
              </w:rPr>
            </w:pPr>
          </w:p>
        </w:tc>
        <w:tc>
          <w:tcPr>
            <w:tcW w:w="1548" w:type="dxa"/>
            <w:tcBorders>
              <w:top w:val="single" w:sz="4" w:space="0" w:color="auto"/>
              <w:left w:val="single" w:sz="4" w:space="0" w:color="auto"/>
              <w:bottom w:val="single" w:sz="4" w:space="0" w:color="auto"/>
              <w:right w:val="nil"/>
            </w:tcBorders>
            <w:vAlign w:val="center"/>
          </w:tcPr>
          <w:p>
            <w:pPr>
              <w:spacing w:before="60" w:after="60"/>
              <w:jc w:val="center"/>
              <w:rPr>
                <w:noProof/>
              </w:rPr>
            </w:pPr>
          </w:p>
        </w:tc>
      </w:tr>
      <w:tr>
        <w:trPr>
          <w:trHeight w:val="203"/>
        </w:trPr>
        <w:tc>
          <w:tcPr>
            <w:tcW w:w="4644" w:type="dxa"/>
            <w:vMerge w:val="restart"/>
            <w:shd w:val="clear" w:color="auto" w:fill="auto"/>
            <w:vAlign w:val="center"/>
          </w:tcPr>
          <w:p>
            <w:pPr>
              <w:spacing w:before="60" w:after="60"/>
              <w:jc w:val="right"/>
              <w:rPr>
                <w:rFonts w:eastAsia="Times New Roman"/>
                <w:noProof/>
                <w:sz w:val="22"/>
              </w:rPr>
            </w:pPr>
            <w:r>
              <w:rPr>
                <w:noProof/>
                <w:sz w:val="22"/>
              </w:rPr>
              <w:t>Ogółem b):</w:t>
            </w:r>
          </w:p>
          <w:p>
            <w:pPr>
              <w:spacing w:before="60" w:after="60"/>
              <w:jc w:val="right"/>
              <w:rPr>
                <w:rFonts w:eastAsia="Times New Roman"/>
                <w:noProof/>
                <w:sz w:val="22"/>
              </w:rPr>
            </w:pPr>
            <w:r>
              <w:rPr>
                <w:noProof/>
                <w:sz w:val="22"/>
              </w:rPr>
              <w:t>udział procentowy pakietu zindywidualizowanych usług</w:t>
            </w:r>
          </w:p>
        </w:tc>
        <w:tc>
          <w:tcPr>
            <w:tcW w:w="3096" w:type="dxa"/>
            <w:gridSpan w:val="2"/>
            <w:vMerge w:val="restart"/>
            <w:shd w:val="clear" w:color="auto" w:fill="D9D9D9"/>
            <w:vAlign w:val="center"/>
          </w:tcPr>
          <w:p>
            <w:pPr>
              <w:spacing w:before="60" w:after="60"/>
              <w:jc w:val="center"/>
              <w:rPr>
                <w:rFonts w:eastAsia="Times New Roman"/>
                <w:noProof/>
                <w:sz w:val="22"/>
              </w:rPr>
            </w:pPr>
            <w:r>
              <w:rPr>
                <w:noProof/>
                <w:sz w:val="22"/>
              </w:rPr>
              <w:t>–</w:t>
            </w:r>
          </w:p>
        </w:tc>
        <w:tc>
          <w:tcPr>
            <w:tcW w:w="1548" w:type="dxa"/>
            <w:tcBorders>
              <w:bottom w:val="nil"/>
            </w:tcBorders>
            <w:shd w:val="clear" w:color="auto" w:fill="auto"/>
            <w:vAlign w:val="center"/>
          </w:tcPr>
          <w:p>
            <w:pPr>
              <w:spacing w:before="60" w:after="60"/>
              <w:jc w:val="center"/>
              <w:rPr>
                <w:rFonts w:eastAsia="Times New Roman"/>
                <w:noProof/>
                <w:sz w:val="22"/>
              </w:rPr>
            </w:pPr>
            <w:r>
              <w:rPr>
                <w:noProof/>
              </w:rPr>
              <w:t>554 000</w:t>
            </w:r>
          </w:p>
        </w:tc>
      </w:tr>
      <w:tr>
        <w:trPr>
          <w:trHeight w:val="202"/>
        </w:trPr>
        <w:tc>
          <w:tcPr>
            <w:tcW w:w="4644" w:type="dxa"/>
            <w:vMerge/>
            <w:shd w:val="clear" w:color="auto" w:fill="auto"/>
            <w:vAlign w:val="center"/>
          </w:tcPr>
          <w:p>
            <w:pPr>
              <w:spacing w:before="60" w:after="60"/>
              <w:jc w:val="right"/>
              <w:rPr>
                <w:rFonts w:eastAsia="Times New Roman"/>
                <w:noProof/>
                <w:sz w:val="22"/>
              </w:rPr>
            </w:pPr>
          </w:p>
        </w:tc>
        <w:tc>
          <w:tcPr>
            <w:tcW w:w="3096" w:type="dxa"/>
            <w:gridSpan w:val="2"/>
            <w:vMerge/>
            <w:shd w:val="clear" w:color="auto" w:fill="D9D9D9"/>
            <w:vAlign w:val="center"/>
          </w:tcPr>
          <w:p>
            <w:pPr>
              <w:spacing w:before="60" w:after="60"/>
              <w:jc w:val="center"/>
              <w:rPr>
                <w:rFonts w:eastAsia="Times New Roman"/>
                <w:noProof/>
                <w:sz w:val="22"/>
              </w:rPr>
            </w:pPr>
          </w:p>
        </w:tc>
        <w:tc>
          <w:tcPr>
            <w:tcW w:w="1548" w:type="dxa"/>
            <w:tcBorders>
              <w:top w:val="nil"/>
            </w:tcBorders>
            <w:shd w:val="clear" w:color="auto" w:fill="auto"/>
            <w:vAlign w:val="center"/>
          </w:tcPr>
          <w:p>
            <w:pPr>
              <w:spacing w:before="60" w:after="60"/>
              <w:jc w:val="center"/>
              <w:rPr>
                <w:rFonts w:eastAsia="Times New Roman"/>
                <w:noProof/>
                <w:szCs w:val="24"/>
              </w:rPr>
            </w:pPr>
            <w:r>
              <w:rPr>
                <w:noProof/>
              </w:rPr>
              <w:t>(13,34 %)</w:t>
            </w:r>
          </w:p>
        </w:tc>
      </w:tr>
      <w:tr>
        <w:tc>
          <w:tcPr>
            <w:tcW w:w="9288" w:type="dxa"/>
            <w:gridSpan w:val="4"/>
            <w:shd w:val="clear" w:color="auto" w:fill="auto"/>
            <w:vAlign w:val="center"/>
          </w:tcPr>
          <w:p>
            <w:pPr>
              <w:spacing w:before="60" w:after="60"/>
              <w:jc w:val="left"/>
              <w:rPr>
                <w:rFonts w:eastAsia="Times New Roman"/>
                <w:noProof/>
                <w:sz w:val="22"/>
              </w:rPr>
            </w:pPr>
            <w:r>
              <w:rPr>
                <w:noProof/>
                <w:sz w:val="22"/>
              </w:rPr>
              <w:t xml:space="preserve"> Działania na podstawie art. 7 ust. 4 rozporządzenia w sprawie EFG</w:t>
            </w:r>
          </w:p>
        </w:tc>
      </w:tr>
      <w:tr>
        <w:tc>
          <w:tcPr>
            <w:tcW w:w="4644" w:type="dxa"/>
            <w:shd w:val="clear" w:color="auto" w:fill="auto"/>
          </w:tcPr>
          <w:p>
            <w:pPr>
              <w:spacing w:before="60" w:after="60"/>
              <w:ind w:left="284"/>
              <w:jc w:val="left"/>
              <w:rPr>
                <w:rFonts w:eastAsia="Times New Roman"/>
                <w:noProof/>
                <w:sz w:val="22"/>
              </w:rPr>
            </w:pPr>
            <w:r>
              <w:rPr>
                <w:noProof/>
                <w:sz w:val="22"/>
              </w:rPr>
              <w:t>1. Działania przygotowawcze</w:t>
            </w:r>
          </w:p>
        </w:tc>
        <w:tc>
          <w:tcPr>
            <w:tcW w:w="3096" w:type="dxa"/>
            <w:gridSpan w:val="2"/>
            <w:shd w:val="clear" w:color="auto" w:fill="D9D9D9"/>
            <w:vAlign w:val="center"/>
          </w:tcPr>
          <w:p>
            <w:pPr>
              <w:spacing w:before="60" w:after="60"/>
              <w:jc w:val="center"/>
              <w:rPr>
                <w:rFonts w:eastAsia="Times New Roman"/>
                <w:noProof/>
                <w:sz w:val="22"/>
              </w:rPr>
            </w:pPr>
            <w:r>
              <w:rPr>
                <w:noProof/>
                <w:sz w:val="22"/>
              </w:rPr>
              <w:t>–</w:t>
            </w:r>
          </w:p>
        </w:tc>
        <w:tc>
          <w:tcPr>
            <w:tcW w:w="1548" w:type="dxa"/>
            <w:shd w:val="clear" w:color="auto" w:fill="auto"/>
          </w:tcPr>
          <w:p>
            <w:pPr>
              <w:spacing w:before="60" w:after="60"/>
              <w:jc w:val="center"/>
              <w:rPr>
                <w:rFonts w:eastAsia="Times New Roman"/>
                <w:noProof/>
                <w:sz w:val="22"/>
              </w:rPr>
            </w:pPr>
            <w:r>
              <w:rPr>
                <w:noProof/>
              </w:rPr>
              <w:t>9 000</w:t>
            </w:r>
          </w:p>
        </w:tc>
      </w:tr>
      <w:tr>
        <w:tc>
          <w:tcPr>
            <w:tcW w:w="4644" w:type="dxa"/>
            <w:shd w:val="clear" w:color="auto" w:fill="auto"/>
          </w:tcPr>
          <w:p>
            <w:pPr>
              <w:spacing w:before="60" w:after="60"/>
              <w:ind w:left="284"/>
              <w:jc w:val="left"/>
              <w:rPr>
                <w:rFonts w:eastAsia="Times New Roman"/>
                <w:noProof/>
                <w:sz w:val="22"/>
              </w:rPr>
            </w:pPr>
            <w:r>
              <w:rPr>
                <w:noProof/>
                <w:sz w:val="22"/>
              </w:rPr>
              <w:t>2. Zarządzanie</w:t>
            </w:r>
          </w:p>
        </w:tc>
        <w:tc>
          <w:tcPr>
            <w:tcW w:w="3096" w:type="dxa"/>
            <w:gridSpan w:val="2"/>
            <w:shd w:val="clear" w:color="auto" w:fill="D9D9D9"/>
            <w:vAlign w:val="center"/>
          </w:tcPr>
          <w:p>
            <w:pPr>
              <w:spacing w:before="60" w:after="60"/>
              <w:jc w:val="center"/>
              <w:rPr>
                <w:rFonts w:eastAsia="Times New Roman"/>
                <w:noProof/>
                <w:sz w:val="22"/>
              </w:rPr>
            </w:pPr>
            <w:r>
              <w:rPr>
                <w:noProof/>
                <w:sz w:val="22"/>
              </w:rPr>
              <w:t>–</w:t>
            </w:r>
          </w:p>
        </w:tc>
        <w:tc>
          <w:tcPr>
            <w:tcW w:w="1548" w:type="dxa"/>
            <w:shd w:val="clear" w:color="auto" w:fill="auto"/>
          </w:tcPr>
          <w:p>
            <w:pPr>
              <w:spacing w:before="60" w:after="60"/>
              <w:jc w:val="center"/>
              <w:rPr>
                <w:rFonts w:eastAsia="Times New Roman"/>
                <w:noProof/>
                <w:sz w:val="22"/>
              </w:rPr>
            </w:pPr>
            <w:r>
              <w:rPr>
                <w:noProof/>
              </w:rPr>
              <w:t>161 000</w:t>
            </w:r>
          </w:p>
        </w:tc>
      </w:tr>
      <w:tr>
        <w:tc>
          <w:tcPr>
            <w:tcW w:w="4644" w:type="dxa"/>
            <w:shd w:val="clear" w:color="auto" w:fill="auto"/>
          </w:tcPr>
          <w:p>
            <w:pPr>
              <w:spacing w:before="60" w:after="60"/>
              <w:ind w:left="284"/>
              <w:jc w:val="left"/>
              <w:rPr>
                <w:rFonts w:eastAsia="Times New Roman"/>
                <w:noProof/>
                <w:sz w:val="22"/>
              </w:rPr>
            </w:pPr>
            <w:r>
              <w:rPr>
                <w:noProof/>
                <w:sz w:val="22"/>
              </w:rPr>
              <w:t>3. Dostarczanie i upowszechnianie informacji</w:t>
            </w:r>
          </w:p>
        </w:tc>
        <w:tc>
          <w:tcPr>
            <w:tcW w:w="3096" w:type="dxa"/>
            <w:gridSpan w:val="2"/>
            <w:shd w:val="clear" w:color="auto" w:fill="D9D9D9"/>
            <w:vAlign w:val="center"/>
          </w:tcPr>
          <w:p>
            <w:pPr>
              <w:spacing w:before="60" w:after="60"/>
              <w:jc w:val="center"/>
              <w:rPr>
                <w:rFonts w:eastAsia="Times New Roman"/>
                <w:noProof/>
                <w:sz w:val="22"/>
              </w:rPr>
            </w:pPr>
            <w:r>
              <w:rPr>
                <w:noProof/>
                <w:sz w:val="22"/>
              </w:rPr>
              <w:t>–</w:t>
            </w:r>
          </w:p>
        </w:tc>
        <w:tc>
          <w:tcPr>
            <w:tcW w:w="1548" w:type="dxa"/>
            <w:shd w:val="clear" w:color="auto" w:fill="auto"/>
          </w:tcPr>
          <w:p>
            <w:pPr>
              <w:spacing w:before="60" w:after="60"/>
              <w:jc w:val="center"/>
              <w:rPr>
                <w:rFonts w:eastAsia="Times New Roman"/>
                <w:noProof/>
                <w:sz w:val="22"/>
              </w:rPr>
            </w:pPr>
            <w:r>
              <w:rPr>
                <w:noProof/>
              </w:rPr>
              <w:t>59 000</w:t>
            </w:r>
          </w:p>
        </w:tc>
      </w:tr>
      <w:tr>
        <w:tc>
          <w:tcPr>
            <w:tcW w:w="4644" w:type="dxa"/>
            <w:shd w:val="clear" w:color="auto" w:fill="auto"/>
          </w:tcPr>
          <w:p>
            <w:pPr>
              <w:spacing w:before="60" w:after="60"/>
              <w:ind w:left="284"/>
              <w:jc w:val="left"/>
              <w:rPr>
                <w:rFonts w:eastAsia="Times New Roman"/>
                <w:noProof/>
                <w:sz w:val="22"/>
              </w:rPr>
            </w:pPr>
            <w:r>
              <w:rPr>
                <w:noProof/>
                <w:sz w:val="22"/>
              </w:rPr>
              <w:t>4. Kontrola i sprawozdawczość</w:t>
            </w:r>
          </w:p>
        </w:tc>
        <w:tc>
          <w:tcPr>
            <w:tcW w:w="3096" w:type="dxa"/>
            <w:gridSpan w:val="2"/>
            <w:shd w:val="clear" w:color="auto" w:fill="D9D9D9"/>
            <w:vAlign w:val="center"/>
          </w:tcPr>
          <w:p>
            <w:pPr>
              <w:spacing w:before="60" w:after="60"/>
              <w:jc w:val="center"/>
              <w:rPr>
                <w:rFonts w:eastAsia="Times New Roman"/>
                <w:noProof/>
                <w:sz w:val="22"/>
              </w:rPr>
            </w:pPr>
            <w:r>
              <w:rPr>
                <w:noProof/>
                <w:sz w:val="22"/>
              </w:rPr>
              <w:t>–</w:t>
            </w:r>
          </w:p>
        </w:tc>
        <w:tc>
          <w:tcPr>
            <w:tcW w:w="1548" w:type="dxa"/>
            <w:tcBorders>
              <w:bottom w:val="single" w:sz="4" w:space="0" w:color="auto"/>
            </w:tcBorders>
            <w:shd w:val="clear" w:color="auto" w:fill="auto"/>
          </w:tcPr>
          <w:p>
            <w:pPr>
              <w:spacing w:before="60" w:after="60"/>
              <w:jc w:val="center"/>
              <w:rPr>
                <w:rFonts w:eastAsia="Times New Roman"/>
                <w:noProof/>
                <w:sz w:val="22"/>
              </w:rPr>
            </w:pPr>
            <w:r>
              <w:rPr>
                <w:noProof/>
              </w:rPr>
              <w:t>20 000</w:t>
            </w:r>
          </w:p>
        </w:tc>
      </w:tr>
      <w:tr>
        <w:trPr>
          <w:trHeight w:val="203"/>
        </w:trPr>
        <w:tc>
          <w:tcPr>
            <w:tcW w:w="4644" w:type="dxa"/>
            <w:vMerge w:val="restart"/>
            <w:shd w:val="clear" w:color="auto" w:fill="auto"/>
            <w:vAlign w:val="center"/>
          </w:tcPr>
          <w:p>
            <w:pPr>
              <w:spacing w:before="60" w:after="60"/>
              <w:jc w:val="right"/>
              <w:rPr>
                <w:rFonts w:eastAsia="Times New Roman"/>
                <w:noProof/>
                <w:sz w:val="22"/>
              </w:rPr>
            </w:pPr>
            <w:r>
              <w:rPr>
                <w:noProof/>
                <w:sz w:val="22"/>
              </w:rPr>
              <w:t>Ogółem c):</w:t>
            </w:r>
          </w:p>
          <w:p>
            <w:pPr>
              <w:spacing w:before="60" w:after="60"/>
              <w:jc w:val="right"/>
              <w:rPr>
                <w:rFonts w:eastAsia="Times New Roman"/>
                <w:noProof/>
                <w:sz w:val="22"/>
              </w:rPr>
            </w:pPr>
            <w:r>
              <w:rPr>
                <w:noProof/>
                <w:sz w:val="22"/>
              </w:rPr>
              <w:t>udział procentowy w kosztach łącznych:</w:t>
            </w:r>
          </w:p>
        </w:tc>
        <w:tc>
          <w:tcPr>
            <w:tcW w:w="3096" w:type="dxa"/>
            <w:gridSpan w:val="2"/>
            <w:vMerge w:val="restart"/>
            <w:shd w:val="clear" w:color="auto" w:fill="D9D9D9"/>
            <w:vAlign w:val="center"/>
          </w:tcPr>
          <w:p>
            <w:pPr>
              <w:spacing w:before="0" w:after="0"/>
              <w:jc w:val="center"/>
              <w:rPr>
                <w:rFonts w:eastAsia="Times New Roman"/>
                <w:noProof/>
                <w:sz w:val="22"/>
              </w:rPr>
            </w:pPr>
            <w:r>
              <w:rPr>
                <w:noProof/>
                <w:sz w:val="22"/>
              </w:rPr>
              <w:t>–</w:t>
            </w:r>
          </w:p>
        </w:tc>
        <w:tc>
          <w:tcPr>
            <w:tcW w:w="1548" w:type="dxa"/>
            <w:tcBorders>
              <w:bottom w:val="nil"/>
            </w:tcBorders>
            <w:shd w:val="clear" w:color="auto" w:fill="auto"/>
            <w:vAlign w:val="center"/>
          </w:tcPr>
          <w:p>
            <w:pPr>
              <w:spacing w:before="60" w:after="60"/>
              <w:jc w:val="center"/>
              <w:rPr>
                <w:rFonts w:eastAsia="Times New Roman"/>
                <w:noProof/>
                <w:sz w:val="22"/>
              </w:rPr>
            </w:pPr>
            <w:r>
              <w:rPr>
                <w:noProof/>
              </w:rPr>
              <w:t>249 000</w:t>
            </w:r>
          </w:p>
        </w:tc>
      </w:tr>
      <w:tr>
        <w:trPr>
          <w:trHeight w:val="202"/>
        </w:trPr>
        <w:tc>
          <w:tcPr>
            <w:tcW w:w="4644" w:type="dxa"/>
            <w:vMerge/>
            <w:shd w:val="clear" w:color="auto" w:fill="auto"/>
          </w:tcPr>
          <w:p>
            <w:pPr>
              <w:spacing w:before="0" w:after="0"/>
              <w:jc w:val="right"/>
              <w:rPr>
                <w:rFonts w:eastAsia="Times New Roman"/>
                <w:noProof/>
                <w:sz w:val="22"/>
              </w:rPr>
            </w:pPr>
          </w:p>
        </w:tc>
        <w:tc>
          <w:tcPr>
            <w:tcW w:w="3096" w:type="dxa"/>
            <w:gridSpan w:val="2"/>
            <w:vMerge/>
            <w:shd w:val="clear" w:color="auto" w:fill="D9D9D9"/>
            <w:vAlign w:val="center"/>
          </w:tcPr>
          <w:p>
            <w:pPr>
              <w:spacing w:before="0" w:after="0"/>
              <w:jc w:val="center"/>
              <w:rPr>
                <w:rFonts w:eastAsia="Times New Roman"/>
                <w:noProof/>
                <w:sz w:val="22"/>
              </w:rPr>
            </w:pPr>
          </w:p>
        </w:tc>
        <w:tc>
          <w:tcPr>
            <w:tcW w:w="1548" w:type="dxa"/>
            <w:tcBorders>
              <w:top w:val="nil"/>
            </w:tcBorders>
            <w:shd w:val="clear" w:color="auto" w:fill="auto"/>
            <w:vAlign w:val="center"/>
          </w:tcPr>
          <w:p>
            <w:pPr>
              <w:spacing w:before="60" w:after="60"/>
              <w:jc w:val="center"/>
              <w:rPr>
                <w:rFonts w:eastAsia="Times New Roman"/>
                <w:noProof/>
                <w:szCs w:val="24"/>
              </w:rPr>
            </w:pPr>
            <w:r>
              <w:rPr>
                <w:noProof/>
              </w:rPr>
              <w:t>(5,66 %)</w:t>
            </w:r>
          </w:p>
        </w:tc>
      </w:tr>
      <w:tr>
        <w:tc>
          <w:tcPr>
            <w:tcW w:w="4644" w:type="dxa"/>
            <w:shd w:val="clear" w:color="auto" w:fill="auto"/>
          </w:tcPr>
          <w:p>
            <w:pPr>
              <w:spacing w:before="60" w:after="60"/>
              <w:jc w:val="left"/>
              <w:rPr>
                <w:rFonts w:eastAsia="Times New Roman"/>
                <w:noProof/>
                <w:sz w:val="22"/>
              </w:rPr>
            </w:pPr>
            <w:r>
              <w:rPr>
                <w:noProof/>
                <w:sz w:val="22"/>
              </w:rPr>
              <w:t>Łączne koszty (a + b + c):</w:t>
            </w:r>
          </w:p>
        </w:tc>
        <w:tc>
          <w:tcPr>
            <w:tcW w:w="3096" w:type="dxa"/>
            <w:gridSpan w:val="2"/>
            <w:shd w:val="clear" w:color="auto" w:fill="D9D9D9"/>
            <w:vAlign w:val="center"/>
          </w:tcPr>
          <w:p>
            <w:pPr>
              <w:spacing w:before="60" w:after="60"/>
              <w:jc w:val="center"/>
              <w:rPr>
                <w:rFonts w:eastAsia="Times New Roman"/>
                <w:noProof/>
                <w:sz w:val="22"/>
              </w:rPr>
            </w:pPr>
            <w:r>
              <w:rPr>
                <w:noProof/>
                <w:sz w:val="22"/>
              </w:rPr>
              <w:t>–</w:t>
            </w:r>
          </w:p>
        </w:tc>
        <w:tc>
          <w:tcPr>
            <w:tcW w:w="1548" w:type="dxa"/>
            <w:shd w:val="clear" w:color="auto" w:fill="auto"/>
          </w:tcPr>
          <w:p>
            <w:pPr>
              <w:spacing w:before="60" w:after="60"/>
              <w:jc w:val="center"/>
              <w:rPr>
                <w:noProof/>
                <w:sz w:val="22"/>
              </w:rPr>
            </w:pPr>
            <w:r>
              <w:rPr>
                <w:noProof/>
              </w:rPr>
              <w:t>4 403 000</w:t>
            </w:r>
          </w:p>
        </w:tc>
      </w:tr>
      <w:tr>
        <w:tc>
          <w:tcPr>
            <w:tcW w:w="4644" w:type="dxa"/>
            <w:shd w:val="clear" w:color="auto" w:fill="auto"/>
          </w:tcPr>
          <w:p>
            <w:pPr>
              <w:spacing w:before="60" w:after="60"/>
              <w:jc w:val="left"/>
              <w:rPr>
                <w:rFonts w:eastAsia="Times New Roman"/>
                <w:noProof/>
                <w:sz w:val="22"/>
              </w:rPr>
            </w:pPr>
            <w:r>
              <w:rPr>
                <w:noProof/>
                <w:sz w:val="22"/>
              </w:rPr>
              <w:t>Wkład z EFG (60 % łącznych kosztów)</w:t>
            </w:r>
          </w:p>
        </w:tc>
        <w:tc>
          <w:tcPr>
            <w:tcW w:w="3096" w:type="dxa"/>
            <w:gridSpan w:val="2"/>
            <w:shd w:val="clear" w:color="auto" w:fill="D9D9D9"/>
            <w:vAlign w:val="center"/>
          </w:tcPr>
          <w:p>
            <w:pPr>
              <w:spacing w:before="60" w:after="60"/>
              <w:jc w:val="center"/>
              <w:rPr>
                <w:rFonts w:eastAsia="Times New Roman"/>
                <w:noProof/>
                <w:sz w:val="22"/>
              </w:rPr>
            </w:pPr>
            <w:r>
              <w:rPr>
                <w:noProof/>
                <w:sz w:val="22"/>
              </w:rPr>
              <w:t>–</w:t>
            </w:r>
          </w:p>
        </w:tc>
        <w:tc>
          <w:tcPr>
            <w:tcW w:w="1548" w:type="dxa"/>
            <w:shd w:val="clear" w:color="auto" w:fill="auto"/>
          </w:tcPr>
          <w:p>
            <w:pPr>
              <w:spacing w:before="60" w:after="60"/>
              <w:jc w:val="center"/>
              <w:rPr>
                <w:rFonts w:eastAsia="Times New Roman"/>
                <w:noProof/>
                <w:sz w:val="22"/>
              </w:rPr>
            </w:pPr>
            <w:r>
              <w:rPr>
                <w:noProof/>
              </w:rPr>
              <w:t>2 641 800</w:t>
            </w:r>
          </w:p>
        </w:tc>
      </w:tr>
    </w:tbl>
    <w:p>
      <w:pPr>
        <w:rPr>
          <w:rFonts w:eastAsia="Times New Roman"/>
          <w:noProof/>
          <w:sz w:val="20"/>
          <w:szCs w:val="20"/>
        </w:rPr>
      </w:pPr>
      <w:r>
        <w:rPr>
          <w:noProof/>
        </w:rPr>
        <w:t xml:space="preserve">(*) </w:t>
      </w:r>
      <w:r>
        <w:rPr>
          <w:noProof/>
          <w:sz w:val="20"/>
        </w:rPr>
        <w:t>W celu uniknięcia ułamków szacunkowe koszty na jednego pracownika zostały zaokrąglone. Zaokrąglenie to nie ma jednak wpływu na całkowity koszt każdego środka.</w:t>
      </w:r>
    </w:p>
    <w:p>
      <w:pPr>
        <w:pStyle w:val="ManualNumPar1"/>
        <w:rPr>
          <w:noProof/>
          <w:szCs w:val="20"/>
        </w:rPr>
      </w:pPr>
      <w:r>
        <w:t>47.</w:t>
      </w:r>
      <w:r>
        <w:tab/>
      </w:r>
      <w:r>
        <w:rPr>
          <w:noProof/>
        </w:rPr>
        <w:t>Koszty działań przedstawione w powyższej tabeli jako działania na podstawie art. 7 ust. 1 lit. b) rozporządzenia w sprawie EFG nie przekraczają 35 % łącznych kosztów skoordynowanego pakietu zindywidualizowanych usług. Finlandia potwierdziła, że działania te są uzależnione od czynnego zaangażowania się objętych pomocą beneficjentów w poszukiwanie pracy lub szkolenia.</w:t>
      </w:r>
    </w:p>
    <w:p>
      <w:pPr>
        <w:pStyle w:val="ManualNumPar1"/>
        <w:rPr>
          <w:noProof/>
        </w:rPr>
      </w:pPr>
      <w:r>
        <w:t>48.</w:t>
      </w:r>
      <w:r>
        <w:tab/>
      </w:r>
      <w:r>
        <w:rPr>
          <w:noProof/>
        </w:rPr>
        <w:t>Finlandia potwierdziła, że koszty inwestycji tytułem prowadzenia działalności na własny rachunek, rozpoczęcia działalności gospodarczej i przejęć pracowniczych nie przekroczą 15 000 EUR na jednego beneficjenta.</w:t>
      </w:r>
    </w:p>
    <w:p>
      <w:pPr>
        <w:pStyle w:val="ManualHeading3"/>
        <w:rPr>
          <w:noProof/>
        </w:rPr>
      </w:pPr>
      <w:r>
        <w:rPr>
          <w:noProof/>
        </w:rPr>
        <w:t>Okres kwalifikowalności wydatków</w:t>
      </w:r>
    </w:p>
    <w:p>
      <w:pPr>
        <w:pStyle w:val="ManualNumPar1"/>
        <w:rPr>
          <w:noProof/>
        </w:rPr>
      </w:pPr>
      <w:r>
        <w:t>49.</w:t>
      </w:r>
      <w:r>
        <w:tab/>
      </w:r>
      <w:r>
        <w:rPr>
          <w:noProof/>
        </w:rPr>
        <w:t>Finlandia rozpoczęła świadczenie zindywidualizowanych usług na rzecz beneficjentów objętych pomocą w dniu 2 czerwca 2016 r. Wydatki na te działania kwalifikują się zatem do objęcia finansowaniem z EFG od dnia 2 czerwca 2016 r. do dnia 22 listopada 2018 r.</w:t>
      </w:r>
    </w:p>
    <w:p>
      <w:pPr>
        <w:pStyle w:val="ManualNumPar1"/>
        <w:rPr>
          <w:noProof/>
        </w:rPr>
      </w:pPr>
      <w:r>
        <w:t>50.</w:t>
      </w:r>
      <w:r>
        <w:tab/>
      </w:r>
      <w:r>
        <w:rPr>
          <w:noProof/>
        </w:rPr>
        <w:t xml:space="preserve">Finlandia zaczęła ponosić wydatki administracyjne w zakresie wdrażania EFG w dniu 2 czerwca 2016 r. Wydatki na działania przygotowawcze, działania w zakresie zarządzania, dostarczania i upowszechniania informacji i działania w zakresie kontroli i sprawozdawczości kwalifikują się zatem do przyznania wkładu finansowego z EFG od dnia 2 czerwca 2016 r. do dnia 22 maja 2019 r. </w:t>
      </w:r>
    </w:p>
    <w:p>
      <w:pPr>
        <w:pStyle w:val="ManualHeading3"/>
        <w:rPr>
          <w:noProof/>
        </w:rPr>
      </w:pPr>
      <w:r>
        <w:rPr>
          <w:noProof/>
        </w:rPr>
        <w:t>Komplementarność wobec działań finansowanych z funduszy krajowych lub unijnych</w:t>
      </w:r>
    </w:p>
    <w:p>
      <w:pPr>
        <w:pStyle w:val="ManualNumPar1"/>
        <w:rPr>
          <w:noProof/>
        </w:rPr>
      </w:pPr>
      <w:r>
        <w:t>51.</w:t>
      </w:r>
      <w:r>
        <w:tab/>
      </w:r>
      <w:r>
        <w:rPr>
          <w:noProof/>
        </w:rPr>
        <w:t>Źródłem krajowego finansowania w formie płatności zaliczkowych lub współfinansowania jest budżet jednostki publicznych służb zatrudnienia w dziale administracyjnym Ministerstwa ds. Zatrudnienia i Gospodarki. Niektóre usługi będą również finansowane ze środków na cele operacyjne Ośrodka Rozwoju Gospodarczego, Ośrodka Transportu i Ośrodka Środowiska, jak również Biura Zatrudnienia i Biura Rozwoju Gospodarczego. Zadania wsparcia technicznego będą finansowane ze środków na cele operacyjne Ministerstwa Spraw Gospodarczych i Zatrudnienia oraz Ośrodka Rozwoju Gospodarczego, Ośrodka Transportu i Ośrodka Środowiska.</w:t>
      </w:r>
    </w:p>
    <w:p>
      <w:pPr>
        <w:pStyle w:val="ManualNumPar1"/>
        <w:rPr>
          <w:noProof/>
        </w:rPr>
      </w:pPr>
      <w:r>
        <w:t>52.</w:t>
      </w:r>
      <w:r>
        <w:tab/>
      </w:r>
      <w:r>
        <w:rPr>
          <w:noProof/>
        </w:rPr>
        <w:t>Finlandia potwierdziła, że opisane powyżej środki, na które przeznaczony jest wkład finansowy z EFG, nie będą jednocześnie wspierane finansowo z innych instrumentów finansowych Unii.</w:t>
      </w:r>
    </w:p>
    <w:p>
      <w:pPr>
        <w:pStyle w:val="ManualHeading3"/>
        <w:tabs>
          <w:tab w:val="clear" w:pos="850"/>
          <w:tab w:val="left" w:pos="0"/>
        </w:tabs>
        <w:ind w:left="0" w:firstLine="0"/>
        <w:rPr>
          <w:noProof/>
          <w:u w:val="single"/>
        </w:rPr>
      </w:pPr>
      <w:r>
        <w:rPr>
          <w:noProof/>
        </w:rPr>
        <w:t>Procedury konsultacji z beneficjentami objętymi pomocą lub ich przedstawicielami lub też z partnerami społecznymi, a także z władzami lokalnymi i regionalnymi</w:t>
      </w:r>
    </w:p>
    <w:p>
      <w:pPr>
        <w:pStyle w:val="ManualNumPar1"/>
        <w:rPr>
          <w:noProof/>
        </w:rPr>
      </w:pPr>
      <w:r>
        <w:t>53.</w:t>
      </w:r>
      <w:r>
        <w:tab/>
      </w:r>
      <w:r>
        <w:rPr>
          <w:noProof/>
        </w:rPr>
        <w:t xml:space="preserve">Finlandia poinformowała, że skoordynowany pakiet zindywidualizowanych usług opracowano w drodze konsultacji z zainteresowanymi stronami. Ministerstwo ds. Zatrudnienia i Gospodarki powołało grupę, która zajmuje się zwolnieniami w Nokii i uczestniczy w przygotowaniu wniosku o środki z EFG. </w:t>
      </w:r>
    </w:p>
    <w:p>
      <w:pPr>
        <w:pStyle w:val="ManualNumPar1"/>
        <w:rPr>
          <w:noProof/>
        </w:rPr>
      </w:pPr>
      <w:r>
        <w:t>54.</w:t>
      </w:r>
      <w:r>
        <w:tab/>
      </w:r>
      <w:r>
        <w:rPr>
          <w:noProof/>
        </w:rPr>
        <w:t xml:space="preserve">Ta grupa robocza liczy przedstawicieli z ww. ośrodków i biur z Uusimaa, Pirkanmaa i Pohjois-Pohjanmaa. Inni przedstawiciele to Nokia Oy, Przemysł Technologii Finlandii, związek zawodowy Pro oraz Związek Zawodowych Inżynierów w Finlandii. </w:t>
      </w:r>
    </w:p>
    <w:p>
      <w:pPr>
        <w:pStyle w:val="ManualHeading2"/>
        <w:rPr>
          <w:noProof/>
        </w:rPr>
      </w:pPr>
      <w:r>
        <w:rPr>
          <w:noProof/>
        </w:rPr>
        <w:t>Systemy zarządzania i kontroli</w:t>
      </w:r>
    </w:p>
    <w:p>
      <w:pPr>
        <w:pStyle w:val="ManualNumPar1"/>
        <w:rPr>
          <w:noProof/>
        </w:rPr>
      </w:pPr>
      <w:r>
        <w:t>55.</w:t>
      </w:r>
      <w:r>
        <w:tab/>
      </w:r>
      <w:r>
        <w:rPr>
          <w:noProof/>
        </w:rPr>
        <w:t xml:space="preserve">Wniosek zawiera opis systemu zarządzania i kontroli, w którym określono obowiązki zaangażowanych podmiotów. Finlandia poinformowała Komisję, że wkład finansowy będzie zarządzany przez Ministerstwo ds. Zatrudnienia i Gospodarki, które jest instytucją zarządzającą i certyfikującą dla EFG oraz instytucją pośredniczącą przekazującą fundusze EFG. Funkcje zarządzania dla EFG zostały powierzone departamentowi ds. zatrudnienia i przedsiębiorczości. </w:t>
      </w:r>
    </w:p>
    <w:p>
      <w:pPr>
        <w:pStyle w:val="ManualNumPar1"/>
        <w:rPr>
          <w:noProof/>
        </w:rPr>
      </w:pPr>
      <w:r>
        <w:t>56.</w:t>
      </w:r>
      <w:r>
        <w:tab/>
      </w:r>
      <w:r>
        <w:rPr>
          <w:noProof/>
        </w:rPr>
        <w:t xml:space="preserve">Funkcje certyfikacji znajdują się w rękach działu zasobów ludzkich i administracji. Wypłaty na rzecz beneficjentów wykonywane są przez ww. ośrodki i biura. </w:t>
      </w:r>
    </w:p>
    <w:p>
      <w:pPr>
        <w:pStyle w:val="ManualNumPar1"/>
        <w:rPr>
          <w:noProof/>
        </w:rPr>
      </w:pPr>
      <w:r>
        <w:t>57.</w:t>
      </w:r>
      <w:r>
        <w:tab/>
      </w:r>
      <w:r>
        <w:rPr>
          <w:noProof/>
        </w:rPr>
        <w:t>Odnośnie do audytu organem odpowiedzialnym jest niezależny dział audytu wewnętrznego, działający pod kierownictwem stałego sekretarza Ministerstwa ds. Zatrudnienia i Gospodarki.</w:t>
      </w:r>
    </w:p>
    <w:p>
      <w:pPr>
        <w:pStyle w:val="ManualHeading2"/>
        <w:rPr>
          <w:noProof/>
        </w:rPr>
      </w:pPr>
      <w:r>
        <w:rPr>
          <w:noProof/>
        </w:rPr>
        <w:t>Zobowiązania podjęte przez przedmiotowe państwo członkowskie</w:t>
      </w:r>
    </w:p>
    <w:p>
      <w:pPr>
        <w:pStyle w:val="ManualNumPar1"/>
        <w:rPr>
          <w:noProof/>
        </w:rPr>
      </w:pPr>
      <w:r>
        <w:t>58.</w:t>
      </w:r>
      <w:r>
        <w:tab/>
      </w:r>
      <w:r>
        <w:rPr>
          <w:noProof/>
        </w:rPr>
        <w:t xml:space="preserve">Finlandia przedstawiła wszelkie niezbędne gwarancje, zgodnie z którymi: </w:t>
      </w:r>
    </w:p>
    <w:p>
      <w:pPr>
        <w:pStyle w:val="Tiret1"/>
        <w:numPr>
          <w:ilvl w:val="0"/>
          <w:numId w:val="13"/>
        </w:numPr>
        <w:rPr>
          <w:noProof/>
        </w:rPr>
      </w:pPr>
      <w:r>
        <w:rPr>
          <w:noProof/>
        </w:rPr>
        <w:t>w zakresie dostępu do proponowanych działań i ich wdrażania przestrzegane będą zasady równego traktowania i niedyskryminacji;</w:t>
      </w:r>
    </w:p>
    <w:p>
      <w:pPr>
        <w:pStyle w:val="Tiret1"/>
        <w:numPr>
          <w:ilvl w:val="0"/>
          <w:numId w:val="13"/>
        </w:numPr>
        <w:rPr>
          <w:noProof/>
        </w:rPr>
      </w:pPr>
      <w:r>
        <w:rPr>
          <w:noProof/>
        </w:rPr>
        <w:t>spełniono określone w przepisach krajowych i UE wymogi dotyczące zwolnień grupowych;</w:t>
      </w:r>
    </w:p>
    <w:p>
      <w:pPr>
        <w:pStyle w:val="Tiret1"/>
        <w:numPr>
          <w:ilvl w:val="0"/>
          <w:numId w:val="13"/>
        </w:numPr>
        <w:rPr>
          <w:noProof/>
        </w:rPr>
      </w:pPr>
      <w:r>
        <w:rPr>
          <w:noProof/>
        </w:rPr>
        <w:t>w przypadku gdy przedsiębiorstwa zwalniające kontynuują działalność po dokonaniu zwolnień, przedsiębiorstwa te wywiązały się z zobowiązań prawnych dotyczących zwolnień i odpowiednio zadbały o swoich pracowników;</w:t>
      </w:r>
    </w:p>
    <w:p>
      <w:pPr>
        <w:pStyle w:val="Tiret1"/>
        <w:numPr>
          <w:ilvl w:val="0"/>
          <w:numId w:val="13"/>
        </w:numPr>
        <w:rPr>
          <w:noProof/>
        </w:rPr>
      </w:pPr>
      <w:r>
        <w:rPr>
          <w:noProof/>
        </w:rPr>
        <w:t>proponowane działania nie będą finansowane ze środków innych unijnych funduszy lub instrumentów finansowych oraz będzie się zapobiegać wszelkim przypadkom podwójnego finansowania;</w:t>
      </w:r>
    </w:p>
    <w:p>
      <w:pPr>
        <w:pStyle w:val="Tiret1"/>
        <w:numPr>
          <w:ilvl w:val="0"/>
          <w:numId w:val="13"/>
        </w:numPr>
        <w:rPr>
          <w:noProof/>
        </w:rPr>
      </w:pPr>
      <w:r>
        <w:rPr>
          <w:noProof/>
        </w:rPr>
        <w:t>proponowane działania będą komplementarne względem działań finansowanych z funduszy strukturalnych;</w:t>
      </w:r>
    </w:p>
    <w:p>
      <w:pPr>
        <w:pStyle w:val="Tiret1"/>
        <w:numPr>
          <w:ilvl w:val="0"/>
          <w:numId w:val="13"/>
        </w:numPr>
        <w:rPr>
          <w:noProof/>
        </w:rPr>
      </w:pPr>
      <w:r>
        <w:rPr>
          <w:noProof/>
        </w:rPr>
        <w:t>wkład finansowy z EFG będzie zgodny z unijnymi przepisami proceduralnymi i materialnymi w zakresie pomocy państwa.</w:t>
      </w:r>
    </w:p>
    <w:p>
      <w:pPr>
        <w:pStyle w:val="ManualHeading1"/>
        <w:rPr>
          <w:noProof/>
        </w:rPr>
      </w:pPr>
      <w:r>
        <w:rPr>
          <w:noProof/>
        </w:rPr>
        <w:t>WPŁYW NA BUDŻET</w:t>
      </w:r>
    </w:p>
    <w:p>
      <w:pPr>
        <w:pStyle w:val="ManualHeading2"/>
        <w:rPr>
          <w:noProof/>
        </w:rPr>
      </w:pPr>
      <w:r>
        <w:rPr>
          <w:noProof/>
        </w:rPr>
        <w:t>Wniosek budżetowy</w:t>
      </w:r>
    </w:p>
    <w:p>
      <w:pPr>
        <w:pStyle w:val="ManualNumPar1"/>
        <w:rPr>
          <w:noProof/>
        </w:rPr>
      </w:pPr>
      <w:r>
        <w:t>59.</w:t>
      </w:r>
      <w:r>
        <w:tab/>
      </w:r>
      <w:r>
        <w:rPr>
          <w:noProof/>
        </w:rPr>
        <w:t>Środki EFG nie mogą przekroczyć maksymalnej rocznej kwoty 150 mln EUR (w cenach z 2011 r.), zgodnie z art. 12 rozporządzenia Rady (UE, Euratom) nr 1311/2013 z dnia 2 grudnia 2013 r. określającego wieloletnie ramy finansowe na lata 2014–2020</w:t>
      </w:r>
      <w:r>
        <w:rPr>
          <w:rStyle w:val="FootnoteReference"/>
          <w:noProof/>
        </w:rPr>
        <w:footnoteReference w:id="17"/>
      </w:r>
      <w:r>
        <w:rPr>
          <w:noProof/>
        </w:rPr>
        <w:t>.</w:t>
      </w:r>
    </w:p>
    <w:p>
      <w:pPr>
        <w:pStyle w:val="ManualNumPar1"/>
        <w:rPr>
          <w:rFonts w:eastAsia="Calibri"/>
          <w:noProof/>
        </w:rPr>
      </w:pPr>
      <w:r>
        <w:t>60.</w:t>
      </w:r>
      <w:r>
        <w:tab/>
      </w:r>
      <w:r>
        <w:rPr>
          <w:noProof/>
        </w:rPr>
        <w:t>Po przeanalizowaniu wniosku pod kątem warunków określonych w art. 13 ust. 1 rozporządzenia w sprawie EFG i po uwzględnieniu liczby beneficjentów objętych pomocą, proponowanych działań i szacowanych kosztów, Komisja wnosi o uruchomienie środków z EFG w kwocie 2 641 800 EUR, która stanowi 60 % łącznych kosztów proponowanych działań, tak by zapewnić wkład finansowy w odpowiedzi na złożony wniosek.</w:t>
      </w:r>
    </w:p>
    <w:p>
      <w:pPr>
        <w:pStyle w:val="ManualNumPar1"/>
        <w:rPr>
          <w:rFonts w:eastAsia="Times New Roman"/>
          <w:noProof/>
        </w:rPr>
      </w:pPr>
      <w:r>
        <w:t>61.</w:t>
      </w:r>
      <w:r>
        <w:tab/>
      </w:r>
      <w:r>
        <w:rPr>
          <w:noProof/>
        </w:rPr>
        <w:t>Wnioskowana decyzja o uruchomieniu EFG zostanie podjęta wspólnie przez Parlament Europejski i Radę, jak określono w pkt 13 Porozumienia międzyinstytucjonalnego z dnia 2 grudnia 2013 r. pomiędzy Parlamentem Europejskim, Radą i Komisją w sprawie dyscypliny budżetowej, współpracy w kwestiach budżetowych i należytego zarządzania finansami</w:t>
      </w:r>
      <w:r>
        <w:rPr>
          <w:rStyle w:val="FootnoteReference"/>
          <w:noProof/>
        </w:rPr>
        <w:footnoteReference w:id="18"/>
      </w:r>
      <w:r>
        <w:rPr>
          <w:noProof/>
        </w:rPr>
        <w:t>.</w:t>
      </w:r>
    </w:p>
    <w:p>
      <w:pPr>
        <w:pStyle w:val="ManualHeading2"/>
        <w:rPr>
          <w:noProof/>
        </w:rPr>
      </w:pPr>
      <w:r>
        <w:rPr>
          <w:noProof/>
        </w:rPr>
        <w:t>Powiązane akty prawne</w:t>
      </w:r>
    </w:p>
    <w:p>
      <w:pPr>
        <w:pStyle w:val="ManualNumPar1"/>
        <w:rPr>
          <w:noProof/>
        </w:rPr>
      </w:pPr>
      <w:r>
        <w:t>62.</w:t>
      </w:r>
      <w:r>
        <w:tab/>
      </w:r>
      <w:r>
        <w:rPr>
          <w:noProof/>
        </w:rPr>
        <w:t>Równocześnie z przedstawieniem wniosku dotyczącego decyzji w sprawie uruchomienia środków z EFG Komisja przedstawi Parlamentowi Europejskiemu i Radzie wniosek dotyczący przesunięcia kwoty 2 641 800 EUR do odpowiedniej linii budżetowej.</w:t>
      </w:r>
    </w:p>
    <w:p>
      <w:pPr>
        <w:pStyle w:val="ManualNumPar1"/>
        <w:rPr>
          <w:noProof/>
        </w:rPr>
      </w:pPr>
      <w:r>
        <w:t>63.</w:t>
      </w:r>
      <w:r>
        <w:tab/>
      </w:r>
      <w:r>
        <w:rPr>
          <w:noProof/>
        </w:rPr>
        <w:t>Równocześnie z przyjęciem niniejszego wniosku dotyczącego decyzji w sprawie uruchomienia EFG Komisja przyjmie decyzję w sprawie wkładu finansowego w drodze aktu wykonawczego wchodzącego w życie w dniu, w którym Parlament Europejski i Rada przyjmą proponowaną decyzję w sprawie uruchomienia środków z EFG.</w:t>
      </w:r>
    </w:p>
    <w:p>
      <w:pPr>
        <w:rPr>
          <w:noProof/>
        </w:rPr>
        <w:sectPr>
          <w:footerReference w:type="default" r:id="rId11"/>
          <w:footerReference w:type="first" r:id="rId12"/>
          <w:pgSz w:w="11907" w:h="16839"/>
          <w:pgMar w:top="1134" w:right="1417" w:bottom="1134" w:left="1417" w:header="709" w:footer="709" w:gutter="0"/>
          <w:cols w:space="708"/>
          <w:docGrid w:linePitch="360"/>
        </w:sectPr>
      </w:pPr>
    </w:p>
    <w:p>
      <w:pPr>
        <w:pStyle w:val="Statut"/>
        <w:rPr>
          <w:noProof/>
        </w:rPr>
      </w:pPr>
      <w:r>
        <w:rPr>
          <w:noProof/>
        </w:rPr>
        <w:t>Wniosek</w:t>
      </w:r>
    </w:p>
    <w:p>
      <w:pPr>
        <w:pStyle w:val="Typedudocument"/>
        <w:rPr>
          <w:noProof/>
        </w:rPr>
      </w:pPr>
      <w:r>
        <w:rPr>
          <w:noProof/>
        </w:rPr>
        <w:t>DECYZJA PARLAMENTU EUROPEJSKIEGO I RADY</w:t>
      </w:r>
    </w:p>
    <w:p>
      <w:pPr>
        <w:pStyle w:val="Titreobjet"/>
        <w:rPr>
          <w:noProof/>
        </w:rPr>
      </w:pPr>
      <w:r>
        <w:rPr>
          <w:noProof/>
        </w:rPr>
        <w:t>w sprawie uruchomienia Europejskiego Funduszu Dostosowania do Globalizacji w następstwie</w:t>
      </w:r>
      <w:r>
        <w:rPr>
          <w:noProof/>
        </w:rPr>
        <w:br/>
        <w:t>wniosku złożonego przez Finlandię EGF/2016/008 FI/Nokia Network Systems</w:t>
      </w:r>
    </w:p>
    <w:p>
      <w:pPr>
        <w:pStyle w:val="Institutionquiagit"/>
        <w:rPr>
          <w:noProof/>
        </w:rPr>
      </w:pPr>
      <w:r>
        <w:rPr>
          <w:noProof/>
        </w:rPr>
        <w:t>PARLAMENT EUROPEJSKI I RADA UNII EUROPEJSKIEJ,</w:t>
      </w:r>
    </w:p>
    <w:p>
      <w:pPr>
        <w:rPr>
          <w:noProof/>
        </w:rPr>
      </w:pPr>
      <w:r>
        <w:rPr>
          <w:noProof/>
        </w:rPr>
        <w:t>uwzględniając Traktat o funkcjonowaniu Unii Europejskiej,</w:t>
      </w:r>
    </w:p>
    <w:p>
      <w:pPr>
        <w:rPr>
          <w:noProof/>
        </w:rPr>
      </w:pPr>
      <w:r>
        <w:rPr>
          <w:noProof/>
        </w:rPr>
        <w:t>uwzględniając rozporządzenie Parlamentu Europejskiego i Rady (UE) nr 1309/2013 z dnia 17 grudnia 2013 r. w sprawie Europejskiego Funduszu Dostosowania do Globalizacji (2014-2020) i uchylenia rozporządzenia (WE) nr 1927/2006</w:t>
      </w:r>
      <w:r>
        <w:rPr>
          <w:rStyle w:val="FootnoteReference"/>
          <w:noProof/>
        </w:rPr>
        <w:footnoteReference w:id="19"/>
      </w:r>
      <w:r>
        <w:rPr>
          <w:noProof/>
        </w:rPr>
        <w:t>, w szczególności jego art. 15 ust. 4,</w:t>
      </w:r>
    </w:p>
    <w:p>
      <w:pPr>
        <w:rPr>
          <w:noProof/>
        </w:rPr>
      </w:pPr>
      <w:r>
        <w:rPr>
          <w:noProof/>
        </w:rPr>
        <w:t>uwzględniając Porozumienie międzyinstytucjonalne z dnia 2 grudnia 2013 r. pomiędzy Parlamentem Europejskim, Radą i Komisją w sprawie dyscypliny budżetowej, współpracy w sprawach budżetowych i należytego zarządzania finansami</w:t>
      </w:r>
      <w:r>
        <w:rPr>
          <w:rStyle w:val="FootnoteReference"/>
          <w:noProof/>
        </w:rPr>
        <w:footnoteReference w:id="20"/>
      </w:r>
      <w:r>
        <w:rPr>
          <w:noProof/>
        </w:rPr>
        <w:t>, w szczególności jego pkt 13,</w:t>
      </w:r>
    </w:p>
    <w:p>
      <w:pPr>
        <w:rPr>
          <w:noProof/>
        </w:rPr>
      </w:pPr>
      <w:r>
        <w:rPr>
          <w:noProof/>
        </w:rPr>
        <w:t>uwzględniając wniosek Komisji Europejskiej,</w:t>
      </w:r>
    </w:p>
    <w:p>
      <w:pPr>
        <w:rPr>
          <w:noProof/>
        </w:rPr>
      </w:pPr>
      <w:r>
        <w:rPr>
          <w:noProof/>
        </w:rPr>
        <w:t>a także mając na uwadze, co następuje:</w:t>
      </w:r>
    </w:p>
    <w:p>
      <w:pPr>
        <w:pStyle w:val="ManualConsidrant"/>
        <w:rPr>
          <w:noProof/>
        </w:rPr>
      </w:pPr>
      <w:r>
        <w:t>(1)</w:t>
      </w:r>
      <w:r>
        <w:tab/>
      </w:r>
      <w:r>
        <w:rPr>
          <w:noProof/>
        </w:rPr>
        <w:t>Celem Europejskiego Funduszu Dostosowania do Globalizacji (EFG) jest zapewnienie wsparcia zwolnionym pracownikom i osobom, które zaprzestały prowadzenia działalności na własny rachunek w wyniku istotnych zmian w strukturze światowego handlu spowodowanych globalizacją, w wyniku dalszego trwania światowego kryzysu finansowego i gospodarczego lub w wyniku nowego światowego kryzysu finansowego i gospodarczego, oraz w celu udzielenia im pomocy umożliwiającej reintegrację na rynku pracy.</w:t>
      </w:r>
    </w:p>
    <w:p>
      <w:pPr>
        <w:pStyle w:val="ManualConsidrant"/>
        <w:rPr>
          <w:noProof/>
        </w:rPr>
      </w:pPr>
      <w:r>
        <w:t>(2)</w:t>
      </w:r>
      <w:r>
        <w:tab/>
      </w:r>
      <w:r>
        <w:rPr>
          <w:noProof/>
        </w:rPr>
        <w:t>Środki EFG nie mogą przekroczyć maksymalnej rocznej kwoty 150 mln EUR (w cenach z 2011 r.), zgodnie z art. 12 rozporządzenia Rady (UE, Euratom) nr 1311/2013</w:t>
      </w:r>
      <w:r>
        <w:rPr>
          <w:rStyle w:val="FootnoteReference"/>
          <w:noProof/>
        </w:rPr>
        <w:footnoteReference w:id="21"/>
      </w:r>
      <w:r>
        <w:rPr>
          <w:noProof/>
        </w:rPr>
        <w:t>.</w:t>
      </w:r>
    </w:p>
    <w:p>
      <w:pPr>
        <w:pStyle w:val="ManualConsidrant"/>
        <w:rPr>
          <w:noProof/>
        </w:rPr>
      </w:pPr>
      <w:r>
        <w:t>(3)</w:t>
      </w:r>
      <w:r>
        <w:tab/>
      </w:r>
      <w:r>
        <w:rPr>
          <w:noProof/>
        </w:rPr>
        <w:t>W dniu 22 listopada 2016 r. Finlandia złożyła wniosek o wkład finansowy EFG w związku ze zwolnieniami w sektorze gospodarki sklasyfikowanym do działu 26 statystycznej klasyfikacji działalności gospodarczej we Wspólnocie Europejskiej (NACE) Rev. 2 (Produkcja komputerów, wyrobów elektronicznych i optycznych). Wniosek został uzupełniony o dodatkowe informacje złożone zgodnie z art. 8 ust. 3 rozporządzenia (UE) nr 1309/2013. Wniosek ten spełnia wymogi art. 13 rozporządzenia (UE) nr 1309/2013 dotyczące określenia wkładu finansowego z EFG.</w:t>
      </w:r>
    </w:p>
    <w:p>
      <w:pPr>
        <w:pStyle w:val="ManualConsidrant"/>
        <w:rPr>
          <w:noProof/>
        </w:rPr>
      </w:pPr>
      <w:r>
        <w:t>(4)</w:t>
      </w:r>
      <w:r>
        <w:tab/>
      </w:r>
      <w:r>
        <w:rPr>
          <w:noProof/>
        </w:rPr>
        <w:t>Należy zatem uruchomić środki z EFG, aby zapewnić wkład finansowy na kwotę 2 641 800 EUR w odpowiedzi na wniosek złożony przez Finlandię.</w:t>
      </w:r>
    </w:p>
    <w:p>
      <w:pPr>
        <w:pStyle w:val="ManualConsidrant"/>
        <w:rPr>
          <w:noProof/>
        </w:rPr>
      </w:pPr>
      <w:r>
        <w:t>(5)</w:t>
      </w:r>
      <w:r>
        <w:tab/>
      </w:r>
      <w:r>
        <w:rPr>
          <w:noProof/>
        </w:rPr>
        <w:t>W celu ograniczenia do minimum czasu potrzebnego do uruchomienia EFG niniejsza decyzja powinna mieć zastosowanie od dnia jej przyjęcia,</w:t>
      </w:r>
    </w:p>
    <w:p>
      <w:pPr>
        <w:pStyle w:val="Formuledadoption"/>
        <w:rPr>
          <w:noProof/>
        </w:rPr>
      </w:pPr>
      <w:r>
        <w:rPr>
          <w:noProof/>
        </w:rPr>
        <w:t xml:space="preserve">PRZYJMUJĄ NINIEJSZĄ DECYZJĘ: </w:t>
      </w:r>
    </w:p>
    <w:p>
      <w:pPr>
        <w:pStyle w:val="Titrearticle"/>
        <w:rPr>
          <w:noProof/>
        </w:rPr>
      </w:pPr>
      <w:r>
        <w:rPr>
          <w:noProof/>
        </w:rPr>
        <w:t>Artykuł 1</w:t>
      </w:r>
    </w:p>
    <w:p>
      <w:pPr>
        <w:rPr>
          <w:noProof/>
        </w:rPr>
      </w:pPr>
      <w:r>
        <w:rPr>
          <w:noProof/>
        </w:rPr>
        <w:t>W ramach budżetu ogólnego Unii na rok budżetowy 2017 uruchamia się środki z Europejskiego Funduszu Dostosowania do Globalizacji, aby udostępnić kwotę 2 641 800 EUR w formie środków na zobowiązania i środków na płatności.</w:t>
      </w:r>
    </w:p>
    <w:p>
      <w:pPr>
        <w:pStyle w:val="Titrearticle"/>
        <w:rPr>
          <w:noProof/>
        </w:rPr>
      </w:pPr>
      <w:r>
        <w:rPr>
          <w:noProof/>
        </w:rPr>
        <w:t>Artykuł 2</w:t>
      </w:r>
    </w:p>
    <w:p>
      <w:pPr>
        <w:keepNext/>
        <w:keepLines/>
        <w:rPr>
          <w:noProof/>
        </w:rPr>
      </w:pPr>
      <w:r>
        <w:rPr>
          <w:noProof/>
        </w:rPr>
        <w:t xml:space="preserve">Niniejsza decyzja wchodzi w życie z dniem jej opublikowania w </w:t>
      </w:r>
      <w:r>
        <w:rPr>
          <w:i/>
          <w:noProof/>
        </w:rPr>
        <w:t>Dzienniku Urzędowym Unii Europejskiej</w:t>
      </w:r>
      <w:r>
        <w:rPr>
          <w:noProof/>
        </w:rPr>
        <w:t xml:space="preserve">. Stosuje się ją od dnia </w:t>
      </w:r>
      <w:r>
        <w:rPr>
          <w:noProof/>
          <w:color w:val="FF0000"/>
        </w:rPr>
        <w:t>[</w:t>
      </w:r>
      <w:r>
        <w:rPr>
          <w:i/>
          <w:noProof/>
          <w:color w:val="FF0000"/>
        </w:rPr>
        <w:t>data przyjęcia</w:t>
      </w:r>
      <w:r>
        <w:rPr>
          <w:noProof/>
          <w:color w:val="FF0000"/>
        </w:rPr>
        <w:t>]</w:t>
      </w:r>
      <w:r>
        <w:rPr>
          <w:rStyle w:val="FootnoteReference"/>
        </w:rPr>
        <w:sym w:font="Symbol" w:char="F02A"/>
      </w:r>
      <w:r>
        <w:rPr>
          <w:noProof/>
        </w:rPr>
        <w:t>.</w:t>
      </w:r>
    </w:p>
    <w:p>
      <w:pPr>
        <w:pStyle w:val="Fait"/>
        <w:rPr>
          <w:noProof/>
        </w:rPr>
      </w:pPr>
      <w:r>
        <w:rPr>
          <w:noProof/>
        </w:rPr>
        <w:footnoteReference w:customMarkFollows="1" w:id="22"/>
        <w:t>Sporządzono w Brukseli dnia  r.</w:t>
      </w:r>
    </w:p>
    <w:p>
      <w:pPr>
        <w:pStyle w:val="Institutionquisigne"/>
        <w:rPr>
          <w:noProof/>
        </w:rPr>
      </w:pPr>
      <w:r>
        <w:rPr>
          <w:noProof/>
        </w:rPr>
        <w:t>W imieniu Parlamentu Europejskiego</w:t>
      </w:r>
      <w:r>
        <w:rPr>
          <w:noProof/>
        </w:rPr>
        <w:tab/>
        <w:t>W imieniu Rady</w:t>
      </w:r>
    </w:p>
    <w:p>
      <w:pPr>
        <w:pStyle w:val="Personnequisigne"/>
        <w:rPr>
          <w:noProof/>
        </w:rPr>
      </w:pPr>
      <w:r>
        <w:rPr>
          <w:noProof/>
        </w:rPr>
        <w:t>Przewodniczący</w:t>
      </w:r>
      <w:r>
        <w:rPr>
          <w:noProof/>
        </w:rPr>
        <w:tab/>
        <w:t>Przewodniczący</w:t>
      </w:r>
    </w:p>
    <w:sect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 w:type="continuationNotice" w:id="1">
    <w:p>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PL</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PL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PL</w:t>
    </w:r>
    <w:r>
      <w:rPr>
        <w:rFonts w:ascii="Arial" w:hAnsi="Arial" w:cs="Arial"/>
        <w:b/>
        <w:sz w:val="48"/>
      </w:rPr>
      <w:tab/>
    </w:r>
    <w:r>
      <w:fldChar w:fldCharType="begin"/>
    </w:r>
    <w:r>
      <w:instrText xml:space="preserve"> PAGE  \* MERGEFORMAT </w:instrText>
    </w:r>
    <w:r>
      <w:fldChar w:fldCharType="separate"/>
    </w:r>
    <w:r>
      <w:rPr>
        <w:noProof/>
      </w:rPr>
      <w:t>15</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PL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type="continuationNotice" w:id="1">
    <w:p>
      <w:pPr>
        <w:spacing w:before="0" w:after="0"/>
      </w:pPr>
    </w:p>
  </w:footnote>
  <w:footnote w:id="2">
    <w:p>
      <w:pPr>
        <w:pStyle w:val="FootnoteText"/>
      </w:pPr>
      <w:r>
        <w:rPr>
          <w:rStyle w:val="FootnoteReference"/>
        </w:rPr>
        <w:footnoteRef/>
      </w:r>
      <w:r>
        <w:tab/>
        <w:t>Dz.U. L 347 z 20.12.2013, s. 855.</w:t>
      </w:r>
    </w:p>
  </w:footnote>
  <w:footnote w:id="3">
    <w:p>
      <w:pPr>
        <w:pStyle w:val="FootnoteText"/>
      </w:pPr>
      <w:r>
        <w:rPr>
          <w:rStyle w:val="FootnoteReference"/>
        </w:rPr>
        <w:footnoteRef/>
      </w:r>
      <w:r>
        <w:tab/>
        <w:t>W rozumieniu art. 3 rozporządzenia w sprawie EFG.</w:t>
      </w:r>
    </w:p>
  </w:footnote>
  <w:footnote w:id="4">
    <w:p>
      <w:pPr>
        <w:pStyle w:val="FootnoteText"/>
      </w:pPr>
      <w:r>
        <w:rPr>
          <w:rStyle w:val="FootnoteReference"/>
        </w:rPr>
        <w:footnoteRef/>
      </w:r>
      <w:r>
        <w:tab/>
        <w:t>Rozporządzenie Komisji (UE) nr 1046/2012 z dnia 8 listopada 2012 r. wykonujące rozporządzenie (WE) nr 1059/2003 Parlamentu Europejskiego i Rady w sprawie ustalenia wspólnej klasyfikacji Jednostek Terytorialnych do Celów Statystycznych (NUTS) w zakresie przekazywania szeregów czasowych dla nowego podziału regionalnego (Dz.U. L 310 z 9.11.2012, s. 34).</w:t>
      </w:r>
    </w:p>
  </w:footnote>
  <w:footnote w:id="5">
    <w:p>
      <w:pPr>
        <w:pStyle w:val="FootnoteText"/>
      </w:pPr>
      <w:r>
        <w:rPr>
          <w:rStyle w:val="FootnoteReference"/>
        </w:rPr>
        <w:footnoteRef/>
      </w:r>
      <w:r>
        <w:tab/>
        <w:t>Dz.U. L 393 z 30.12.2006, s. 1.</w:t>
      </w:r>
    </w:p>
  </w:footnote>
  <w:footnote w:id="6">
    <w:p>
      <w:pPr>
        <w:pStyle w:val="FootnoteText"/>
      </w:pPr>
      <w:r>
        <w:rPr>
          <w:rStyle w:val="FootnoteReference"/>
        </w:rPr>
        <w:footnoteRef/>
      </w:r>
      <w:r>
        <w:tab/>
        <w:t>Zgodnie z art. 7 ust. 4 rozporządzenia (UE) nr 1309/2013.</w:t>
      </w:r>
    </w:p>
  </w:footnote>
  <w:footnote w:id="7">
    <w:p>
      <w:pPr>
        <w:pStyle w:val="FootnoteText"/>
      </w:pPr>
      <w:r>
        <w:rPr>
          <w:rStyle w:val="FootnoteReference"/>
        </w:rPr>
        <w:footnoteRef/>
      </w:r>
      <w:r>
        <w:tab/>
      </w:r>
      <w:hyperlink r:id="rId1">
        <w:r>
          <w:rPr>
            <w:rStyle w:val="Hyperlink"/>
          </w:rPr>
          <w:t>http://www.telecomlead.com/telecom-equipment/revenue-analysis-shows-huawei-big-vs-ericsson-nokia-68634</w:t>
        </w:r>
      </w:hyperlink>
    </w:p>
  </w:footnote>
  <w:footnote w:id="8">
    <w:p>
      <w:pPr>
        <w:pStyle w:val="FootnoteText"/>
      </w:pPr>
      <w:r>
        <w:rPr>
          <w:rStyle w:val="FootnoteReference"/>
        </w:rPr>
        <w:footnoteRef/>
      </w:r>
      <w:r>
        <w:tab/>
        <w:t>EGF/2007/003 DE/BenQ, EGF/2007/004 FI/Perlos, EGF/2009/002 DE/Nokia, EGF/2009/008 IE/Dell, EGF/2009/023 PT/Quimonda, EGF/2010/008 AT/AT&amp;S, EGF/2010/011 NL/NXP Semiconductors, EGF/2011/013 DK/Flextronics, EGF/2011/014 RO/Nokia, EGF/2011/025 IT/Lombardia, EGF/2012/006 FI/Nokia Salo, EGF/2012/007 IT/VDC Technologies, EGF/2013/001 FI/Nokia, EGF/2014/014 DE/Aleo Solar, EGF/2016/002 SE/Ericson</w:t>
      </w:r>
    </w:p>
  </w:footnote>
  <w:footnote w:id="9">
    <w:p>
      <w:pPr>
        <w:pStyle w:val="FootnoteText"/>
      </w:pPr>
      <w:r>
        <w:rPr>
          <w:rStyle w:val="FootnoteReference"/>
        </w:rPr>
        <w:footnoteRef/>
      </w:r>
      <w:r>
        <w:tab/>
      </w:r>
      <w:hyperlink r:id="rId2">
        <w:r>
          <w:t>http://teknologiateollisuus.fi/sites/default/files/file_attachments/personnel.pdf</w:t>
        </w:r>
      </w:hyperlink>
    </w:p>
  </w:footnote>
  <w:footnote w:id="10">
    <w:p>
      <w:pPr>
        <w:pStyle w:val="FootnoteText"/>
      </w:pPr>
      <w:r>
        <w:rPr>
          <w:rStyle w:val="FootnoteReference"/>
        </w:rPr>
        <w:footnoteRef/>
      </w:r>
      <w:r>
        <w:tab/>
        <w:t>https://ek.fi/en/current/2016/05/04/ek-business-tendency-survey-general-business-outlookwill-remain-rather-weak</w:t>
      </w:r>
    </w:p>
  </w:footnote>
  <w:footnote w:id="11">
    <w:p>
      <w:pPr>
        <w:pStyle w:val="FootnoteText"/>
      </w:pPr>
      <w:r>
        <w:rPr>
          <w:rStyle w:val="FootnoteReference"/>
        </w:rPr>
        <w:footnoteRef/>
      </w:r>
      <w:r>
        <w:tab/>
        <w:t>http://www.stat.fi/til/ntp/2016/01/ntp_2016_01_2016-06-03_tie_001_en.html</w:t>
      </w:r>
    </w:p>
  </w:footnote>
  <w:footnote w:id="12">
    <w:p>
      <w:pPr>
        <w:pStyle w:val="FootnoteText"/>
        <w:rPr>
          <w:rStyle w:val="FootnoteReference"/>
          <w:vertAlign w:val="baseline"/>
        </w:rPr>
      </w:pPr>
      <w:r>
        <w:rPr>
          <w:rStyle w:val="FootnoteReference"/>
        </w:rPr>
        <w:footnoteRef/>
      </w:r>
      <w:r>
        <w:tab/>
      </w:r>
      <w:r>
        <w:rPr>
          <w:rStyle w:val="FootnoteReference"/>
          <w:vertAlign w:val="baseline"/>
        </w:rPr>
        <w:t>http://www.akava.fi/tyoelama/akavalaiset_tyoelamassa/tyottomyystilastot/1._korkeasti_koulutettujen_tyottomyys</w:t>
      </w:r>
    </w:p>
  </w:footnote>
  <w:footnote w:id="13">
    <w:p>
      <w:pPr>
        <w:pStyle w:val="FootnoteText"/>
      </w:pPr>
      <w:r>
        <w:rPr>
          <w:rStyle w:val="FootnoteReference"/>
        </w:rPr>
        <w:footnoteRef/>
      </w:r>
      <w:r>
        <w:tab/>
        <w:t>http://pirkanmaantalous.fi/innovaatiotilannekuva/situational-picture-of-innovation-2016-new-scale-new-competences</w:t>
      </w:r>
    </w:p>
  </w:footnote>
  <w:footnote w:id="14">
    <w:p>
      <w:pPr>
        <w:pStyle w:val="FootnoteText"/>
      </w:pPr>
      <w:r>
        <w:rPr>
          <w:rStyle w:val="FootnoteReference"/>
        </w:rPr>
        <w:footnoteRef/>
      </w:r>
      <w:r>
        <w:tab/>
        <w:t>http://www.temtyollisyyskatsaus.fi/graph/tkat/tkat.aspx?lang=en&amp;ely=04#</w:t>
      </w:r>
    </w:p>
  </w:footnote>
  <w:footnote w:id="15">
    <w:p>
      <w:pPr>
        <w:pStyle w:val="FootnoteText"/>
      </w:pPr>
      <w:r>
        <w:rPr>
          <w:rStyle w:val="FootnoteReference"/>
        </w:rPr>
        <w:footnoteRef/>
      </w:r>
      <w:r>
        <w:tab/>
        <w:t>http://www.temtyollisyyskatsaus.fi/graph/tkat/tkat.aspx?lang=en&amp;ely=04#</w:t>
      </w:r>
    </w:p>
  </w:footnote>
  <w:footnote w:id="16">
    <w:p>
      <w:pPr>
        <w:pStyle w:val="FootnoteText"/>
      </w:pPr>
      <w:r>
        <w:rPr>
          <w:rStyle w:val="FootnoteReference"/>
        </w:rPr>
        <w:footnoteRef/>
      </w:r>
      <w:r>
        <w:tab/>
        <w:t>http://www.elykeskus.fi/documents/10191/14617851/Tkat_en_huhtikuu_2016.pdf/7338d392-14e3-4fe5-846f-5d0bfd136734</w:t>
      </w:r>
    </w:p>
  </w:footnote>
  <w:footnote w:id="17">
    <w:p>
      <w:pPr>
        <w:pStyle w:val="FootnoteText"/>
      </w:pPr>
      <w:r>
        <w:rPr>
          <w:rStyle w:val="FootnoteReference"/>
        </w:rPr>
        <w:footnoteRef/>
      </w:r>
      <w:r>
        <w:tab/>
        <w:t>Dz.U. L 347 z 20.12.2013, s. 884.</w:t>
      </w:r>
    </w:p>
  </w:footnote>
  <w:footnote w:id="18">
    <w:p>
      <w:pPr>
        <w:pStyle w:val="FootnoteText"/>
      </w:pPr>
      <w:r>
        <w:rPr>
          <w:rStyle w:val="FootnoteReference"/>
        </w:rPr>
        <w:footnoteRef/>
      </w:r>
      <w:r>
        <w:tab/>
        <w:t>Dz.U. C 373 z 20.12.2013, s. 1.</w:t>
      </w:r>
    </w:p>
  </w:footnote>
  <w:footnote w:id="19">
    <w:p>
      <w:pPr>
        <w:pStyle w:val="FootnoteText"/>
      </w:pPr>
      <w:r>
        <w:rPr>
          <w:rStyle w:val="FootnoteReference"/>
        </w:rPr>
        <w:footnoteRef/>
      </w:r>
      <w:r>
        <w:tab/>
        <w:t>Dz.U. L 347 z 20.12.2013, s. 855.</w:t>
      </w:r>
    </w:p>
  </w:footnote>
  <w:footnote w:id="20">
    <w:p>
      <w:pPr>
        <w:pStyle w:val="FootnoteText"/>
      </w:pPr>
      <w:r>
        <w:rPr>
          <w:rStyle w:val="FootnoteReference"/>
        </w:rPr>
        <w:footnoteRef/>
      </w:r>
      <w:r>
        <w:tab/>
        <w:t>Dz.U. C 373 z 20.12.2013, s. 1.</w:t>
      </w:r>
    </w:p>
  </w:footnote>
  <w:footnote w:id="21">
    <w:p>
      <w:pPr>
        <w:pStyle w:val="FootnoteText"/>
      </w:pPr>
      <w:r>
        <w:rPr>
          <w:rStyle w:val="FootnoteReference"/>
        </w:rPr>
        <w:footnoteRef/>
      </w:r>
      <w:r>
        <w:tab/>
        <w:t>Rozporządzenie Rady (UE, Euratom) nr 1311/2013 z dnia 2 grudnia 2013 r. określające wieloletnie ramy finansowe na lata 2014–2020 (Dz.U. L 347 z 20.12.2013, s. 884).</w:t>
      </w:r>
    </w:p>
  </w:footnote>
  <w:footnote w:id="22">
    <w:p>
      <w:pPr>
        <w:pStyle w:val="FootnoteText"/>
        <w:rPr>
          <w:color w:val="FF0000"/>
        </w:rPr>
      </w:pPr>
      <w:r>
        <w:rPr>
          <w:rStyle w:val="FootnoteReference"/>
        </w:rPr>
        <w:sym w:font="Symbol" w:char="F02A"/>
      </w:r>
      <w:r>
        <w:rPr>
          <w:color w:val="FF0000"/>
        </w:rPr>
        <w:t xml:space="preserve"> </w:t>
      </w:r>
      <w:r>
        <w:tab/>
      </w:r>
      <w:r>
        <w:rPr>
          <w:color w:val="FF0000"/>
        </w:rPr>
        <w:t>Data do wstawienia przez Parlament przed publikacją w Dz.U.</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CBB686B6"/>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99E463D0"/>
    <w:lvl w:ilvl="0">
      <w:start w:val="1"/>
      <w:numFmt w:val="decimal"/>
      <w:pStyle w:val="ListNumber3"/>
      <w:lvlText w:val="%1."/>
      <w:lvlJc w:val="left"/>
      <w:pPr>
        <w:tabs>
          <w:tab w:val="num" w:pos="926"/>
        </w:tabs>
        <w:ind w:left="926" w:hanging="360"/>
      </w:pPr>
    </w:lvl>
  </w:abstractNum>
  <w:abstractNum w:abstractNumId="2">
    <w:nsid w:val="FFFFFF7F"/>
    <w:multiLevelType w:val="singleLevel"/>
    <w:tmpl w:val="780CFFFA"/>
    <w:lvl w:ilvl="0">
      <w:start w:val="1"/>
      <w:numFmt w:val="decimal"/>
      <w:pStyle w:val="ListNumber2"/>
      <w:lvlText w:val="%1."/>
      <w:lvlJc w:val="left"/>
      <w:pPr>
        <w:tabs>
          <w:tab w:val="num" w:pos="643"/>
        </w:tabs>
        <w:ind w:left="643" w:hanging="360"/>
      </w:pPr>
    </w:lvl>
  </w:abstractNum>
  <w:abstractNum w:abstractNumId="3">
    <w:nsid w:val="FFFFFF81"/>
    <w:multiLevelType w:val="singleLevel"/>
    <w:tmpl w:val="4498EC5A"/>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332C75CC"/>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1F904760"/>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9C28232A"/>
    <w:lvl w:ilvl="0">
      <w:start w:val="1"/>
      <w:numFmt w:val="decimal"/>
      <w:pStyle w:val="ListNumber"/>
      <w:lvlText w:val="%1."/>
      <w:lvlJc w:val="left"/>
      <w:pPr>
        <w:tabs>
          <w:tab w:val="num" w:pos="360"/>
        </w:tabs>
        <w:ind w:left="360" w:hanging="360"/>
      </w:pPr>
    </w:lvl>
  </w:abstractNum>
  <w:abstractNum w:abstractNumId="7">
    <w:nsid w:val="FFFFFF89"/>
    <w:multiLevelType w:val="singleLevel"/>
    <w:tmpl w:val="45869BFC"/>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2"/>
  </w:num>
  <w:num w:numId="2">
    <w:abstractNumId w:val="9"/>
  </w:num>
  <w:num w:numId="3">
    <w:abstractNumId w:val="7"/>
  </w:num>
  <w:num w:numId="4">
    <w:abstractNumId w:val="5"/>
  </w:num>
  <w:num w:numId="5">
    <w:abstractNumId w:val="4"/>
  </w:num>
  <w:num w:numId="6">
    <w:abstractNumId w:val="3"/>
  </w:num>
  <w:num w:numId="7">
    <w:abstractNumId w:val="21"/>
    <w:lvlOverride w:ilvl="0">
      <w:startOverride w:val="1"/>
    </w:lvlOverride>
  </w:num>
  <w:num w:numId="8">
    <w:abstractNumId w:val="6"/>
  </w:num>
  <w:num w:numId="9">
    <w:abstractNumId w:val="2"/>
  </w:num>
  <w:num w:numId="10">
    <w:abstractNumId w:val="1"/>
  </w:num>
  <w:num w:numId="11">
    <w:abstractNumId w:val="0"/>
  </w:num>
  <w:num w:numId="12">
    <w:abstractNumId w:val="12"/>
    <w:lvlOverride w:ilvl="0">
      <w:startOverride w:val="1"/>
    </w:lvlOverride>
  </w:num>
  <w:num w:numId="13">
    <w:abstractNumId w:val="12"/>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12"/>
  </w:num>
  <w:num w:numId="17">
    <w:abstractNumId w:val="20"/>
  </w:num>
  <w:num w:numId="18">
    <w:abstractNumId w:val="11"/>
  </w:num>
  <w:num w:numId="19">
    <w:abstractNumId w:val="13"/>
  </w:num>
  <w:num w:numId="20">
    <w:abstractNumId w:val="9"/>
  </w:num>
  <w:num w:numId="21">
    <w:abstractNumId w:val="19"/>
  </w:num>
  <w:num w:numId="22">
    <w:abstractNumId w:val="8"/>
  </w:num>
  <w:num w:numId="23">
    <w:abstractNumId w:val="14"/>
  </w:num>
  <w:num w:numId="24">
    <w:abstractNumId w:val="16"/>
  </w:num>
  <w:num w:numId="25">
    <w:abstractNumId w:val="17"/>
  </w:num>
  <w:num w:numId="26">
    <w:abstractNumId w:val="10"/>
  </w:num>
  <w:num w:numId="27">
    <w:abstractNumId w:val="15"/>
  </w:num>
  <w:num w:numId="28">
    <w:abstractNumId w:val="21"/>
  </w:num>
  <w:num w:numId="29">
    <w:abstractNumId w:val="18"/>
  </w:num>
  <w:num w:numId="30">
    <w:abstractNumId w:val="12"/>
  </w:num>
  <w:num w:numId="31">
    <w:abstractNumId w:val="20"/>
  </w:num>
  <w:num w:numId="32">
    <w:abstractNumId w:val="11"/>
  </w:num>
  <w:num w:numId="33">
    <w:abstractNumId w:val="13"/>
  </w:num>
  <w:num w:numId="34">
    <w:abstractNumId w:val="9"/>
  </w:num>
  <w:num w:numId="35">
    <w:abstractNumId w:val="19"/>
  </w:num>
  <w:num w:numId="36">
    <w:abstractNumId w:val="8"/>
  </w:num>
  <w:num w:numId="37">
    <w:abstractNumId w:val="14"/>
  </w:num>
  <w:num w:numId="38">
    <w:abstractNumId w:val="16"/>
  </w:num>
  <w:num w:numId="39">
    <w:abstractNumId w:val="17"/>
  </w:num>
  <w:num w:numId="40">
    <w:abstractNumId w:val="10"/>
  </w:num>
  <w:num w:numId="41">
    <w:abstractNumId w:val="15"/>
  </w:num>
  <w:num w:numId="42">
    <w:abstractNumId w:val="2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hideSpellingErrors/>
  <w:hideGrammaticalErrors/>
  <w:attachedTemplate r:id="rId1"/>
  <w:revisionView w:markup="0"/>
  <w:defaultTabStop w:val="720"/>
  <w:hyphenationZone w:val="425"/>
  <w:characterSpacingControl w:val="doNotCompress"/>
  <w:hdrShapeDefaults>
    <o:shapedefaults v:ext="edit" spidmax="4915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QCDateTime" w:val="2017-03-28 14:19:40"/>
    <w:docVar w:name="DQCResult_Distribution" w:val="0;0"/>
    <w:docVar w:name="DQCResult_DocumentContent" w:val="0;0"/>
    <w:docVar w:name="DQCResult_DocumentSize" w:val="0;0"/>
    <w:docVar w:name="DQCResult_DocumentVersions" w:val="0;0"/>
    <w:docVar w:name="DQCResult_ExistenceOfMacros" w:val="0;0"/>
    <w:docVar w:name="DQCResult_InvalidFootnotes" w:val="0;1"/>
    <w:docVar w:name="DQCResult_LinkedStyles" w:val="0;0"/>
    <w:docVar w:name="DQCResult_ModifiedMargins" w:val="0;5"/>
    <w:docVar w:name="DQCResult_ModifiedMarkers" w:val="0;0"/>
    <w:docVar w:name="DQCResult_ModifiedNumbering" w:val="0;0"/>
    <w:docVar w:name="DQCResult_Objects" w:val="0;0"/>
    <w:docVar w:name="DQCResult_Sections" w:val="0;0"/>
    <w:docVar w:name="DQCResult_StructureCheck" w:val="0;0"/>
    <w:docVar w:name="DQCResult_SuperfluousWhitespace" w:val="0;7"/>
    <w:docVar w:name="DQCResult_UnknownFonts" w:val="0;0"/>
    <w:docVar w:name="DQCResult_UnknownStyles" w:val="0;0"/>
    <w:docVar w:name="DQCStatus" w:val="Green"/>
    <w:docVar w:name="DQCVersion" w:val="3"/>
    <w:docVar w:name="DQCWithWarnings" w:val="0"/>
    <w:docVar w:name="LW_CONFIDENCE" w:val=" "/>
    <w:docVar w:name="LW_CONST_RESTREINT_UE" w:val="RESTREINT UE"/>
    <w:docVar w:name="LW_CORRIGENDUM" w:val="&lt;UNUSED&gt;"/>
    <w:docVar w:name="LW_COVERPAGE_GUID" w:val="63A03AF4BD84416C829C353D73F7589B"/>
    <w:docVar w:name="LW_CROSSREFERENCE" w:val="&lt;UNUSED&gt;"/>
    <w:docVar w:name="LW_DocType" w:val="COM"/>
    <w:docVar w:name="LW_EMISSION" w:val="7.4.2017"/>
    <w:docVar w:name="LW_EMISSION_ISODATE" w:val="2017-04-07"/>
    <w:docVar w:name="LW_EMISSION_LOCATION" w:val="BRX"/>
    <w:docVar w:name="LW_EMISSION_PREFIX" w:val="Bruksela, dnia "/>
    <w:docVar w:name="LW_EMISSION_SUFFIX" w:val=" r."/>
    <w:docVar w:name="LW_ID_DOCMODEL" w:val="SJ-026"/>
    <w:docVar w:name="LW_ID_DOCSIGNATURE" w:val="SJ-026"/>
    <w:docVar w:name="LW_ID_DOCSTRUCTURE" w:val="COM/PL/ORG"/>
    <w:docVar w:name="LW_ID_DOCTYPE" w:val="SJ-026"/>
    <w:docVar w:name="LW_ID_STATUT" w:val="SJ-026"/>
    <w:docVar w:name="LW_INTERETEEE.CP" w:val="&lt;UNUSED&gt;"/>
    <w:docVar w:name="LW_LANGUE" w:val="PL"/>
    <w:docVar w:name="LW_MARKING" w:val="&lt;UNUSED&gt;"/>
    <w:docVar w:name="LW_NOM.INST" w:val="KOMISJA EUROPEJSKA"/>
    <w:docVar w:name="LW_NOM.INST_JOINTDOC" w:val="&lt;EMPTY&gt;"/>
    <w:docVar w:name="LW_PART_NBR" w:val="1"/>
    <w:docVar w:name="LW_PART_NBR_TOTAL" w:val="1"/>
    <w:docVar w:name="LW_REF.II.NEW.CP" w:val="&lt;UNUSED&gt;"/>
    <w:docVar w:name="LW_REF.II.NEW.CP_NUMBER" w:val="&lt;UNUSED&gt;"/>
    <w:docVar w:name="LW_REF.II.NEW.CP_YEAR" w:val="2017"/>
    <w:docVar w:name="LW_REF.INST.NEW" w:val="COM"/>
    <w:docVar w:name="LW_REF.INST.NEW_ADOPTED" w:val="final"/>
    <w:docVar w:name="LW_REF.INST.NEW_TEXT" w:val="(2017) 157"/>
    <w:docVar w:name="LW_REF.INTERNE" w:val="&lt;UNUSED&gt;"/>
    <w:docVar w:name="LW_SOUS.TITRE.OBJ.CP" w:val="&lt;UNUSED&gt;"/>
    <w:docVar w:name="LW_STATUT.CP" w:val="Wniosek"/>
    <w:docVar w:name="LW_SUPERTITRE" w:val="&lt;UNUSED&gt;"/>
    <w:docVar w:name="LW_TITRE.OBJ.CP" w:val="w sprawie uruchomienia Europejskiego Funduszu Dostosowania do Globalizacji w nast\u281?pstwie_x000b_wniosku z\u322?o\u380?onego przez Finlandi\u281? EGF/2016/008 FI/Nokia Network Systems"/>
    <w:docVar w:name="LW_TYPE.DOC.CP" w:val="DECYZJA PARLAMENTU EUROPEJSKIEGO I RADY"/>
  </w:docVar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pl-PL" w:bidi="pl-P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3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5"/>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3"/>
      </w:numPr>
      <w:contextualSpacing/>
    </w:pPr>
  </w:style>
  <w:style w:type="paragraph" w:styleId="ListBullet2">
    <w:name w:val="List Bullet 2"/>
    <w:basedOn w:val="Normal"/>
    <w:uiPriority w:val="99"/>
    <w:semiHidden/>
    <w:unhideWhenUsed/>
    <w:pPr>
      <w:numPr>
        <w:numId w:val="4"/>
      </w:numPr>
      <w:contextualSpacing/>
    </w:pPr>
  </w:style>
  <w:style w:type="paragraph" w:styleId="ListBullet3">
    <w:name w:val="List Bullet 3"/>
    <w:basedOn w:val="Normal"/>
    <w:uiPriority w:val="99"/>
    <w:semiHidden/>
    <w:unhideWhenUsed/>
    <w:pPr>
      <w:numPr>
        <w:numId w:val="5"/>
      </w:numPr>
      <w:contextualSpacing/>
    </w:pPr>
  </w:style>
  <w:style w:type="paragraph" w:styleId="ListBullet4">
    <w:name w:val="List Bullet 4"/>
    <w:basedOn w:val="Normal"/>
    <w:uiPriority w:val="99"/>
    <w:semiHidden/>
    <w:unhideWhenUsed/>
    <w:pPr>
      <w:numPr>
        <w:numId w:val="6"/>
      </w:numPr>
      <w:contextualSpacing/>
    </w:p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pl-PL"/>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pl-PL"/>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pl-PL"/>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8"/>
      </w:numPr>
      <w:contextualSpacing/>
    </w:pPr>
  </w:style>
  <w:style w:type="paragraph" w:styleId="ListNumber2">
    <w:name w:val="List Number 2"/>
    <w:basedOn w:val="Normal"/>
    <w:uiPriority w:val="99"/>
    <w:semiHidden/>
    <w:unhideWhenUsed/>
    <w:pPr>
      <w:numPr>
        <w:numId w:val="9"/>
      </w:numPr>
      <w:contextualSpacing/>
    </w:pPr>
  </w:style>
  <w:style w:type="paragraph" w:styleId="ListNumber3">
    <w:name w:val="List Number 3"/>
    <w:basedOn w:val="Normal"/>
    <w:uiPriority w:val="99"/>
    <w:semiHidden/>
    <w:unhideWhenUsed/>
    <w:pPr>
      <w:numPr>
        <w:numId w:val="10"/>
      </w:numPr>
      <w:contextualSpacing/>
    </w:pPr>
  </w:style>
  <w:style w:type="paragraph" w:styleId="ListNumber4">
    <w:name w:val="List Number 4"/>
    <w:basedOn w:val="Normal"/>
    <w:uiPriority w:val="99"/>
    <w:semiHidden/>
    <w:unhideWhenUsed/>
    <w:pPr>
      <w:numPr>
        <w:numId w:val="11"/>
      </w:numPr>
      <w:contextualSpacing/>
    </w:p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9"/>
      </w:numPr>
    </w:pPr>
  </w:style>
  <w:style w:type="paragraph" w:customStyle="1" w:styleId="Tiret1">
    <w:name w:val="Tiret 1"/>
    <w:basedOn w:val="Point1"/>
    <w:pPr>
      <w:numPr>
        <w:numId w:val="30"/>
      </w:numPr>
    </w:pPr>
  </w:style>
  <w:style w:type="paragraph" w:customStyle="1" w:styleId="Tiret2">
    <w:name w:val="Tiret 2"/>
    <w:basedOn w:val="Point2"/>
    <w:pPr>
      <w:numPr>
        <w:numId w:val="31"/>
      </w:numPr>
    </w:pPr>
  </w:style>
  <w:style w:type="paragraph" w:customStyle="1" w:styleId="Tiret3">
    <w:name w:val="Tiret 3"/>
    <w:basedOn w:val="Point3"/>
    <w:pPr>
      <w:numPr>
        <w:numId w:val="32"/>
      </w:numPr>
    </w:pPr>
  </w:style>
  <w:style w:type="paragraph" w:customStyle="1" w:styleId="Tiret4">
    <w:name w:val="Tiret 4"/>
    <w:basedOn w:val="Point4"/>
    <w:pPr>
      <w:numPr>
        <w:numId w:val="3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4"/>
      </w:numPr>
    </w:pPr>
  </w:style>
  <w:style w:type="paragraph" w:customStyle="1" w:styleId="NumPar2">
    <w:name w:val="NumPar 2"/>
    <w:basedOn w:val="Normal"/>
    <w:next w:val="Text1"/>
    <w:pPr>
      <w:numPr>
        <w:ilvl w:val="1"/>
        <w:numId w:val="34"/>
      </w:numPr>
    </w:pPr>
  </w:style>
  <w:style w:type="paragraph" w:customStyle="1" w:styleId="NumPar3">
    <w:name w:val="NumPar 3"/>
    <w:basedOn w:val="Normal"/>
    <w:next w:val="Text1"/>
    <w:pPr>
      <w:numPr>
        <w:ilvl w:val="2"/>
        <w:numId w:val="34"/>
      </w:numPr>
    </w:pPr>
  </w:style>
  <w:style w:type="paragraph" w:customStyle="1" w:styleId="NumPar4">
    <w:name w:val="NumPar 4"/>
    <w:basedOn w:val="Normal"/>
    <w:next w:val="Text1"/>
    <w:pPr>
      <w:numPr>
        <w:ilvl w:val="3"/>
        <w:numId w:val="3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6"/>
      </w:numPr>
    </w:pPr>
  </w:style>
  <w:style w:type="paragraph" w:customStyle="1" w:styleId="Point1number">
    <w:name w:val="Point 1 (number)"/>
    <w:basedOn w:val="Normal"/>
    <w:pPr>
      <w:numPr>
        <w:ilvl w:val="2"/>
        <w:numId w:val="36"/>
      </w:numPr>
    </w:pPr>
  </w:style>
  <w:style w:type="paragraph" w:customStyle="1" w:styleId="Point2number">
    <w:name w:val="Point 2 (number)"/>
    <w:basedOn w:val="Normal"/>
    <w:pPr>
      <w:numPr>
        <w:ilvl w:val="4"/>
        <w:numId w:val="36"/>
      </w:numPr>
    </w:pPr>
  </w:style>
  <w:style w:type="paragraph" w:customStyle="1" w:styleId="Point3number">
    <w:name w:val="Point 3 (number)"/>
    <w:basedOn w:val="Normal"/>
    <w:pPr>
      <w:numPr>
        <w:ilvl w:val="6"/>
        <w:numId w:val="36"/>
      </w:numPr>
    </w:pPr>
  </w:style>
  <w:style w:type="paragraph" w:customStyle="1" w:styleId="Point0letter">
    <w:name w:val="Point 0 (letter)"/>
    <w:basedOn w:val="Normal"/>
    <w:pPr>
      <w:numPr>
        <w:ilvl w:val="1"/>
        <w:numId w:val="36"/>
      </w:numPr>
    </w:pPr>
  </w:style>
  <w:style w:type="paragraph" w:customStyle="1" w:styleId="Point1letter">
    <w:name w:val="Point 1 (letter)"/>
    <w:basedOn w:val="Normal"/>
    <w:pPr>
      <w:numPr>
        <w:ilvl w:val="3"/>
        <w:numId w:val="36"/>
      </w:numPr>
    </w:pPr>
  </w:style>
  <w:style w:type="paragraph" w:customStyle="1" w:styleId="Point2letter">
    <w:name w:val="Point 2 (letter)"/>
    <w:basedOn w:val="Normal"/>
    <w:pPr>
      <w:numPr>
        <w:ilvl w:val="5"/>
        <w:numId w:val="36"/>
      </w:numPr>
    </w:pPr>
  </w:style>
  <w:style w:type="paragraph" w:customStyle="1" w:styleId="Point3letter">
    <w:name w:val="Point 3 (letter)"/>
    <w:basedOn w:val="Normal"/>
    <w:pPr>
      <w:numPr>
        <w:ilvl w:val="7"/>
        <w:numId w:val="36"/>
      </w:numPr>
    </w:pPr>
  </w:style>
  <w:style w:type="paragraph" w:customStyle="1" w:styleId="Point4letter">
    <w:name w:val="Point 4 (letter)"/>
    <w:basedOn w:val="Normal"/>
    <w:pPr>
      <w:numPr>
        <w:ilvl w:val="8"/>
        <w:numId w:val="36"/>
      </w:numPr>
    </w:pPr>
  </w:style>
  <w:style w:type="paragraph" w:customStyle="1" w:styleId="Bullet0">
    <w:name w:val="Bullet 0"/>
    <w:basedOn w:val="Normal"/>
    <w:pPr>
      <w:numPr>
        <w:numId w:val="37"/>
      </w:numPr>
    </w:pPr>
  </w:style>
  <w:style w:type="paragraph" w:customStyle="1" w:styleId="Bullet1">
    <w:name w:val="Bullet 1"/>
    <w:basedOn w:val="Normal"/>
    <w:pPr>
      <w:numPr>
        <w:numId w:val="38"/>
      </w:numPr>
    </w:pPr>
  </w:style>
  <w:style w:type="paragraph" w:customStyle="1" w:styleId="Bullet2">
    <w:name w:val="Bullet 2"/>
    <w:basedOn w:val="Normal"/>
    <w:pPr>
      <w:numPr>
        <w:numId w:val="39"/>
      </w:numPr>
    </w:pPr>
  </w:style>
  <w:style w:type="paragraph" w:customStyle="1" w:styleId="Bullet3">
    <w:name w:val="Bullet 3"/>
    <w:basedOn w:val="Normal"/>
    <w:pPr>
      <w:numPr>
        <w:numId w:val="40"/>
      </w:numPr>
    </w:pPr>
  </w:style>
  <w:style w:type="paragraph" w:customStyle="1" w:styleId="Bullet4">
    <w:name w:val="Bullet 4"/>
    <w:basedOn w:val="Normal"/>
    <w:pPr>
      <w:numPr>
        <w:numId w:val="41"/>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pl-PL" w:bidi="pl-P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3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5"/>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3"/>
      </w:numPr>
      <w:contextualSpacing/>
    </w:pPr>
  </w:style>
  <w:style w:type="paragraph" w:styleId="ListBullet2">
    <w:name w:val="List Bullet 2"/>
    <w:basedOn w:val="Normal"/>
    <w:uiPriority w:val="99"/>
    <w:semiHidden/>
    <w:unhideWhenUsed/>
    <w:pPr>
      <w:numPr>
        <w:numId w:val="4"/>
      </w:numPr>
      <w:contextualSpacing/>
    </w:pPr>
  </w:style>
  <w:style w:type="paragraph" w:styleId="ListBullet3">
    <w:name w:val="List Bullet 3"/>
    <w:basedOn w:val="Normal"/>
    <w:uiPriority w:val="99"/>
    <w:semiHidden/>
    <w:unhideWhenUsed/>
    <w:pPr>
      <w:numPr>
        <w:numId w:val="5"/>
      </w:numPr>
      <w:contextualSpacing/>
    </w:pPr>
  </w:style>
  <w:style w:type="paragraph" w:styleId="ListBullet4">
    <w:name w:val="List Bullet 4"/>
    <w:basedOn w:val="Normal"/>
    <w:uiPriority w:val="99"/>
    <w:semiHidden/>
    <w:unhideWhenUsed/>
    <w:pPr>
      <w:numPr>
        <w:numId w:val="6"/>
      </w:numPr>
      <w:contextualSpacing/>
    </w:p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pl-PL"/>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pl-PL"/>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pl-PL"/>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8"/>
      </w:numPr>
      <w:contextualSpacing/>
    </w:pPr>
  </w:style>
  <w:style w:type="paragraph" w:styleId="ListNumber2">
    <w:name w:val="List Number 2"/>
    <w:basedOn w:val="Normal"/>
    <w:uiPriority w:val="99"/>
    <w:semiHidden/>
    <w:unhideWhenUsed/>
    <w:pPr>
      <w:numPr>
        <w:numId w:val="9"/>
      </w:numPr>
      <w:contextualSpacing/>
    </w:pPr>
  </w:style>
  <w:style w:type="paragraph" w:styleId="ListNumber3">
    <w:name w:val="List Number 3"/>
    <w:basedOn w:val="Normal"/>
    <w:uiPriority w:val="99"/>
    <w:semiHidden/>
    <w:unhideWhenUsed/>
    <w:pPr>
      <w:numPr>
        <w:numId w:val="10"/>
      </w:numPr>
      <w:contextualSpacing/>
    </w:pPr>
  </w:style>
  <w:style w:type="paragraph" w:styleId="ListNumber4">
    <w:name w:val="List Number 4"/>
    <w:basedOn w:val="Normal"/>
    <w:uiPriority w:val="99"/>
    <w:semiHidden/>
    <w:unhideWhenUsed/>
    <w:pPr>
      <w:numPr>
        <w:numId w:val="11"/>
      </w:numPr>
      <w:contextualSpacing/>
    </w:p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9"/>
      </w:numPr>
    </w:pPr>
  </w:style>
  <w:style w:type="paragraph" w:customStyle="1" w:styleId="Tiret1">
    <w:name w:val="Tiret 1"/>
    <w:basedOn w:val="Point1"/>
    <w:pPr>
      <w:numPr>
        <w:numId w:val="30"/>
      </w:numPr>
    </w:pPr>
  </w:style>
  <w:style w:type="paragraph" w:customStyle="1" w:styleId="Tiret2">
    <w:name w:val="Tiret 2"/>
    <w:basedOn w:val="Point2"/>
    <w:pPr>
      <w:numPr>
        <w:numId w:val="31"/>
      </w:numPr>
    </w:pPr>
  </w:style>
  <w:style w:type="paragraph" w:customStyle="1" w:styleId="Tiret3">
    <w:name w:val="Tiret 3"/>
    <w:basedOn w:val="Point3"/>
    <w:pPr>
      <w:numPr>
        <w:numId w:val="32"/>
      </w:numPr>
    </w:pPr>
  </w:style>
  <w:style w:type="paragraph" w:customStyle="1" w:styleId="Tiret4">
    <w:name w:val="Tiret 4"/>
    <w:basedOn w:val="Point4"/>
    <w:pPr>
      <w:numPr>
        <w:numId w:val="3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4"/>
      </w:numPr>
    </w:pPr>
  </w:style>
  <w:style w:type="paragraph" w:customStyle="1" w:styleId="NumPar2">
    <w:name w:val="NumPar 2"/>
    <w:basedOn w:val="Normal"/>
    <w:next w:val="Text1"/>
    <w:pPr>
      <w:numPr>
        <w:ilvl w:val="1"/>
        <w:numId w:val="34"/>
      </w:numPr>
    </w:pPr>
  </w:style>
  <w:style w:type="paragraph" w:customStyle="1" w:styleId="NumPar3">
    <w:name w:val="NumPar 3"/>
    <w:basedOn w:val="Normal"/>
    <w:next w:val="Text1"/>
    <w:pPr>
      <w:numPr>
        <w:ilvl w:val="2"/>
        <w:numId w:val="34"/>
      </w:numPr>
    </w:pPr>
  </w:style>
  <w:style w:type="paragraph" w:customStyle="1" w:styleId="NumPar4">
    <w:name w:val="NumPar 4"/>
    <w:basedOn w:val="Normal"/>
    <w:next w:val="Text1"/>
    <w:pPr>
      <w:numPr>
        <w:ilvl w:val="3"/>
        <w:numId w:val="3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6"/>
      </w:numPr>
    </w:pPr>
  </w:style>
  <w:style w:type="paragraph" w:customStyle="1" w:styleId="Point1number">
    <w:name w:val="Point 1 (number)"/>
    <w:basedOn w:val="Normal"/>
    <w:pPr>
      <w:numPr>
        <w:ilvl w:val="2"/>
        <w:numId w:val="36"/>
      </w:numPr>
    </w:pPr>
  </w:style>
  <w:style w:type="paragraph" w:customStyle="1" w:styleId="Point2number">
    <w:name w:val="Point 2 (number)"/>
    <w:basedOn w:val="Normal"/>
    <w:pPr>
      <w:numPr>
        <w:ilvl w:val="4"/>
        <w:numId w:val="36"/>
      </w:numPr>
    </w:pPr>
  </w:style>
  <w:style w:type="paragraph" w:customStyle="1" w:styleId="Point3number">
    <w:name w:val="Point 3 (number)"/>
    <w:basedOn w:val="Normal"/>
    <w:pPr>
      <w:numPr>
        <w:ilvl w:val="6"/>
        <w:numId w:val="36"/>
      </w:numPr>
    </w:pPr>
  </w:style>
  <w:style w:type="paragraph" w:customStyle="1" w:styleId="Point0letter">
    <w:name w:val="Point 0 (letter)"/>
    <w:basedOn w:val="Normal"/>
    <w:pPr>
      <w:numPr>
        <w:ilvl w:val="1"/>
        <w:numId w:val="36"/>
      </w:numPr>
    </w:pPr>
  </w:style>
  <w:style w:type="paragraph" w:customStyle="1" w:styleId="Point1letter">
    <w:name w:val="Point 1 (letter)"/>
    <w:basedOn w:val="Normal"/>
    <w:pPr>
      <w:numPr>
        <w:ilvl w:val="3"/>
        <w:numId w:val="36"/>
      </w:numPr>
    </w:pPr>
  </w:style>
  <w:style w:type="paragraph" w:customStyle="1" w:styleId="Point2letter">
    <w:name w:val="Point 2 (letter)"/>
    <w:basedOn w:val="Normal"/>
    <w:pPr>
      <w:numPr>
        <w:ilvl w:val="5"/>
        <w:numId w:val="36"/>
      </w:numPr>
    </w:pPr>
  </w:style>
  <w:style w:type="paragraph" w:customStyle="1" w:styleId="Point3letter">
    <w:name w:val="Point 3 (letter)"/>
    <w:basedOn w:val="Normal"/>
    <w:pPr>
      <w:numPr>
        <w:ilvl w:val="7"/>
        <w:numId w:val="36"/>
      </w:numPr>
    </w:pPr>
  </w:style>
  <w:style w:type="paragraph" w:customStyle="1" w:styleId="Point4letter">
    <w:name w:val="Point 4 (letter)"/>
    <w:basedOn w:val="Normal"/>
    <w:pPr>
      <w:numPr>
        <w:ilvl w:val="8"/>
        <w:numId w:val="36"/>
      </w:numPr>
    </w:pPr>
  </w:style>
  <w:style w:type="paragraph" w:customStyle="1" w:styleId="Bullet0">
    <w:name w:val="Bullet 0"/>
    <w:basedOn w:val="Normal"/>
    <w:pPr>
      <w:numPr>
        <w:numId w:val="37"/>
      </w:numPr>
    </w:pPr>
  </w:style>
  <w:style w:type="paragraph" w:customStyle="1" w:styleId="Bullet1">
    <w:name w:val="Bullet 1"/>
    <w:basedOn w:val="Normal"/>
    <w:pPr>
      <w:numPr>
        <w:numId w:val="38"/>
      </w:numPr>
    </w:pPr>
  </w:style>
  <w:style w:type="paragraph" w:customStyle="1" w:styleId="Bullet2">
    <w:name w:val="Bullet 2"/>
    <w:basedOn w:val="Normal"/>
    <w:pPr>
      <w:numPr>
        <w:numId w:val="39"/>
      </w:numPr>
    </w:pPr>
  </w:style>
  <w:style w:type="paragraph" w:customStyle="1" w:styleId="Bullet3">
    <w:name w:val="Bullet 3"/>
    <w:basedOn w:val="Normal"/>
    <w:pPr>
      <w:numPr>
        <w:numId w:val="40"/>
      </w:numPr>
    </w:pPr>
  </w:style>
  <w:style w:type="paragraph" w:customStyle="1" w:styleId="Bullet4">
    <w:name w:val="Bullet 4"/>
    <w:basedOn w:val="Normal"/>
    <w:pPr>
      <w:numPr>
        <w:numId w:val="41"/>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283066">
      <w:bodyDiv w:val="1"/>
      <w:marLeft w:val="0"/>
      <w:marRight w:val="0"/>
      <w:marTop w:val="0"/>
      <w:marBottom w:val="0"/>
      <w:divBdr>
        <w:top w:val="none" w:sz="0" w:space="0" w:color="auto"/>
        <w:left w:val="none" w:sz="0" w:space="0" w:color="auto"/>
        <w:bottom w:val="none" w:sz="0" w:space="0" w:color="auto"/>
        <w:right w:val="none" w:sz="0" w:space="0" w:color="auto"/>
      </w:divBdr>
    </w:div>
    <w:div w:id="381485612">
      <w:bodyDiv w:val="1"/>
      <w:marLeft w:val="0"/>
      <w:marRight w:val="0"/>
      <w:marTop w:val="0"/>
      <w:marBottom w:val="0"/>
      <w:divBdr>
        <w:top w:val="none" w:sz="0" w:space="0" w:color="auto"/>
        <w:left w:val="none" w:sz="0" w:space="0" w:color="auto"/>
        <w:bottom w:val="none" w:sz="0" w:space="0" w:color="auto"/>
        <w:right w:val="none" w:sz="0" w:space="0" w:color="auto"/>
      </w:divBdr>
    </w:div>
    <w:div w:id="483592220">
      <w:bodyDiv w:val="1"/>
      <w:marLeft w:val="0"/>
      <w:marRight w:val="0"/>
      <w:marTop w:val="0"/>
      <w:marBottom w:val="0"/>
      <w:divBdr>
        <w:top w:val="none" w:sz="0" w:space="0" w:color="auto"/>
        <w:left w:val="none" w:sz="0" w:space="0" w:color="auto"/>
        <w:bottom w:val="none" w:sz="0" w:space="0" w:color="auto"/>
        <w:right w:val="none" w:sz="0" w:space="0" w:color="auto"/>
      </w:divBdr>
    </w:div>
    <w:div w:id="492333814">
      <w:bodyDiv w:val="1"/>
      <w:marLeft w:val="0"/>
      <w:marRight w:val="0"/>
      <w:marTop w:val="0"/>
      <w:marBottom w:val="0"/>
      <w:divBdr>
        <w:top w:val="none" w:sz="0" w:space="0" w:color="auto"/>
        <w:left w:val="none" w:sz="0" w:space="0" w:color="auto"/>
        <w:bottom w:val="none" w:sz="0" w:space="0" w:color="auto"/>
        <w:right w:val="none" w:sz="0" w:space="0" w:color="auto"/>
      </w:divBdr>
    </w:div>
    <w:div w:id="560139115">
      <w:bodyDiv w:val="1"/>
      <w:marLeft w:val="0"/>
      <w:marRight w:val="0"/>
      <w:marTop w:val="0"/>
      <w:marBottom w:val="0"/>
      <w:divBdr>
        <w:top w:val="none" w:sz="0" w:space="0" w:color="auto"/>
        <w:left w:val="none" w:sz="0" w:space="0" w:color="auto"/>
        <w:bottom w:val="none" w:sz="0" w:space="0" w:color="auto"/>
        <w:right w:val="none" w:sz="0" w:space="0" w:color="auto"/>
      </w:divBdr>
    </w:div>
    <w:div w:id="567112539">
      <w:bodyDiv w:val="1"/>
      <w:marLeft w:val="0"/>
      <w:marRight w:val="0"/>
      <w:marTop w:val="0"/>
      <w:marBottom w:val="0"/>
      <w:divBdr>
        <w:top w:val="none" w:sz="0" w:space="0" w:color="auto"/>
        <w:left w:val="none" w:sz="0" w:space="0" w:color="auto"/>
        <w:bottom w:val="none" w:sz="0" w:space="0" w:color="auto"/>
        <w:right w:val="none" w:sz="0" w:space="0" w:color="auto"/>
      </w:divBdr>
    </w:div>
    <w:div w:id="643776604">
      <w:bodyDiv w:val="1"/>
      <w:marLeft w:val="0"/>
      <w:marRight w:val="0"/>
      <w:marTop w:val="0"/>
      <w:marBottom w:val="0"/>
      <w:divBdr>
        <w:top w:val="none" w:sz="0" w:space="0" w:color="auto"/>
        <w:left w:val="none" w:sz="0" w:space="0" w:color="auto"/>
        <w:bottom w:val="none" w:sz="0" w:space="0" w:color="auto"/>
        <w:right w:val="none" w:sz="0" w:space="0" w:color="auto"/>
      </w:divBdr>
    </w:div>
    <w:div w:id="668217216">
      <w:bodyDiv w:val="1"/>
      <w:marLeft w:val="0"/>
      <w:marRight w:val="0"/>
      <w:marTop w:val="0"/>
      <w:marBottom w:val="0"/>
      <w:divBdr>
        <w:top w:val="none" w:sz="0" w:space="0" w:color="auto"/>
        <w:left w:val="none" w:sz="0" w:space="0" w:color="auto"/>
        <w:bottom w:val="none" w:sz="0" w:space="0" w:color="auto"/>
        <w:right w:val="none" w:sz="0" w:space="0" w:color="auto"/>
      </w:divBdr>
    </w:div>
    <w:div w:id="676663619">
      <w:bodyDiv w:val="1"/>
      <w:marLeft w:val="0"/>
      <w:marRight w:val="0"/>
      <w:marTop w:val="0"/>
      <w:marBottom w:val="0"/>
      <w:divBdr>
        <w:top w:val="none" w:sz="0" w:space="0" w:color="auto"/>
        <w:left w:val="none" w:sz="0" w:space="0" w:color="auto"/>
        <w:bottom w:val="none" w:sz="0" w:space="0" w:color="auto"/>
        <w:right w:val="none" w:sz="0" w:space="0" w:color="auto"/>
      </w:divBdr>
    </w:div>
    <w:div w:id="696194753">
      <w:bodyDiv w:val="1"/>
      <w:marLeft w:val="0"/>
      <w:marRight w:val="0"/>
      <w:marTop w:val="0"/>
      <w:marBottom w:val="0"/>
      <w:divBdr>
        <w:top w:val="none" w:sz="0" w:space="0" w:color="auto"/>
        <w:left w:val="none" w:sz="0" w:space="0" w:color="auto"/>
        <w:bottom w:val="none" w:sz="0" w:space="0" w:color="auto"/>
        <w:right w:val="none" w:sz="0" w:space="0" w:color="auto"/>
      </w:divBdr>
    </w:div>
    <w:div w:id="763307847">
      <w:bodyDiv w:val="1"/>
      <w:marLeft w:val="0"/>
      <w:marRight w:val="0"/>
      <w:marTop w:val="0"/>
      <w:marBottom w:val="0"/>
      <w:divBdr>
        <w:top w:val="none" w:sz="0" w:space="0" w:color="auto"/>
        <w:left w:val="none" w:sz="0" w:space="0" w:color="auto"/>
        <w:bottom w:val="none" w:sz="0" w:space="0" w:color="auto"/>
        <w:right w:val="none" w:sz="0" w:space="0" w:color="auto"/>
      </w:divBdr>
    </w:div>
    <w:div w:id="776753268">
      <w:bodyDiv w:val="1"/>
      <w:marLeft w:val="0"/>
      <w:marRight w:val="0"/>
      <w:marTop w:val="0"/>
      <w:marBottom w:val="0"/>
      <w:divBdr>
        <w:top w:val="none" w:sz="0" w:space="0" w:color="auto"/>
        <w:left w:val="none" w:sz="0" w:space="0" w:color="auto"/>
        <w:bottom w:val="none" w:sz="0" w:space="0" w:color="auto"/>
        <w:right w:val="none" w:sz="0" w:space="0" w:color="auto"/>
      </w:divBdr>
    </w:div>
    <w:div w:id="929968872">
      <w:bodyDiv w:val="1"/>
      <w:marLeft w:val="0"/>
      <w:marRight w:val="0"/>
      <w:marTop w:val="0"/>
      <w:marBottom w:val="0"/>
      <w:divBdr>
        <w:top w:val="none" w:sz="0" w:space="0" w:color="auto"/>
        <w:left w:val="none" w:sz="0" w:space="0" w:color="auto"/>
        <w:bottom w:val="none" w:sz="0" w:space="0" w:color="auto"/>
        <w:right w:val="none" w:sz="0" w:space="0" w:color="auto"/>
      </w:divBdr>
    </w:div>
    <w:div w:id="1078016921">
      <w:bodyDiv w:val="1"/>
      <w:marLeft w:val="0"/>
      <w:marRight w:val="0"/>
      <w:marTop w:val="0"/>
      <w:marBottom w:val="0"/>
      <w:divBdr>
        <w:top w:val="none" w:sz="0" w:space="0" w:color="auto"/>
        <w:left w:val="none" w:sz="0" w:space="0" w:color="auto"/>
        <w:bottom w:val="none" w:sz="0" w:space="0" w:color="auto"/>
        <w:right w:val="none" w:sz="0" w:space="0" w:color="auto"/>
      </w:divBdr>
    </w:div>
    <w:div w:id="1136293205">
      <w:bodyDiv w:val="1"/>
      <w:marLeft w:val="0"/>
      <w:marRight w:val="0"/>
      <w:marTop w:val="0"/>
      <w:marBottom w:val="0"/>
      <w:divBdr>
        <w:top w:val="none" w:sz="0" w:space="0" w:color="auto"/>
        <w:left w:val="none" w:sz="0" w:space="0" w:color="auto"/>
        <w:bottom w:val="none" w:sz="0" w:space="0" w:color="auto"/>
        <w:right w:val="none" w:sz="0" w:space="0" w:color="auto"/>
      </w:divBdr>
    </w:div>
    <w:div w:id="1203060159">
      <w:bodyDiv w:val="1"/>
      <w:marLeft w:val="0"/>
      <w:marRight w:val="0"/>
      <w:marTop w:val="0"/>
      <w:marBottom w:val="0"/>
      <w:divBdr>
        <w:top w:val="none" w:sz="0" w:space="0" w:color="auto"/>
        <w:left w:val="none" w:sz="0" w:space="0" w:color="auto"/>
        <w:bottom w:val="none" w:sz="0" w:space="0" w:color="auto"/>
        <w:right w:val="none" w:sz="0" w:space="0" w:color="auto"/>
      </w:divBdr>
    </w:div>
    <w:div w:id="1348099894">
      <w:bodyDiv w:val="1"/>
      <w:marLeft w:val="0"/>
      <w:marRight w:val="0"/>
      <w:marTop w:val="0"/>
      <w:marBottom w:val="0"/>
      <w:divBdr>
        <w:top w:val="none" w:sz="0" w:space="0" w:color="auto"/>
        <w:left w:val="none" w:sz="0" w:space="0" w:color="auto"/>
        <w:bottom w:val="none" w:sz="0" w:space="0" w:color="auto"/>
        <w:right w:val="none" w:sz="0" w:space="0" w:color="auto"/>
      </w:divBdr>
    </w:div>
    <w:div w:id="1433208756">
      <w:bodyDiv w:val="1"/>
      <w:marLeft w:val="0"/>
      <w:marRight w:val="0"/>
      <w:marTop w:val="0"/>
      <w:marBottom w:val="0"/>
      <w:divBdr>
        <w:top w:val="none" w:sz="0" w:space="0" w:color="auto"/>
        <w:left w:val="none" w:sz="0" w:space="0" w:color="auto"/>
        <w:bottom w:val="none" w:sz="0" w:space="0" w:color="auto"/>
        <w:right w:val="none" w:sz="0" w:space="0" w:color="auto"/>
      </w:divBdr>
    </w:div>
    <w:div w:id="1481577567">
      <w:bodyDiv w:val="1"/>
      <w:marLeft w:val="0"/>
      <w:marRight w:val="0"/>
      <w:marTop w:val="0"/>
      <w:marBottom w:val="0"/>
      <w:divBdr>
        <w:top w:val="none" w:sz="0" w:space="0" w:color="auto"/>
        <w:left w:val="none" w:sz="0" w:space="0" w:color="auto"/>
        <w:bottom w:val="none" w:sz="0" w:space="0" w:color="auto"/>
        <w:right w:val="none" w:sz="0" w:space="0" w:color="auto"/>
      </w:divBdr>
    </w:div>
    <w:div w:id="1566329936">
      <w:bodyDiv w:val="1"/>
      <w:marLeft w:val="0"/>
      <w:marRight w:val="0"/>
      <w:marTop w:val="0"/>
      <w:marBottom w:val="0"/>
      <w:divBdr>
        <w:top w:val="none" w:sz="0" w:space="0" w:color="auto"/>
        <w:left w:val="none" w:sz="0" w:space="0" w:color="auto"/>
        <w:bottom w:val="none" w:sz="0" w:space="0" w:color="auto"/>
        <w:right w:val="none" w:sz="0" w:space="0" w:color="auto"/>
      </w:divBdr>
    </w:div>
    <w:div w:id="1736708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teknologiateollisuus.fi/sites/default/files/file_attachments/personnel.pdf" TargetMode="External"/><Relationship Id="rId1" Type="http://schemas.openxmlformats.org/officeDocument/2006/relationships/hyperlink" Target="http://www.telecomlead.com/telecom-equipment/revenue-analysis-shows-huawei-big-vs-ericsson-nokia-686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88C567-1FA2-4D65-A429-F5CA0E32D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1</TotalTime>
  <Pages>15</Pages>
  <Words>3896</Words>
  <Characters>24472</Characters>
  <Application>Microsoft Office Word</Application>
  <DocSecurity>0</DocSecurity>
  <Lines>627</Lines>
  <Paragraphs>337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17</cp:revision>
  <cp:lastPrinted>2017-02-23T07:20:00Z</cp:lastPrinted>
  <dcterms:created xsi:type="dcterms:W3CDTF">2017-03-27T06:37:00Z</dcterms:created>
  <dcterms:modified xsi:type="dcterms:W3CDTF">2017-03-28T12:19:00Z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Classification">
    <vt:lpwstr> </vt:lpwstr>
  </property>
  <property fmtid="{D5CDD505-2E9C-101B-9397-08002B2CF9AE}" pid="4" name="Version">
    <vt:lpwstr>5.8.86.0</vt:lpwstr>
  </property>
  <property fmtid="{D5CDD505-2E9C-101B-9397-08002B2CF9AE}" pid="5" name="Last edited using">
    <vt:lpwstr>LW 5.8.4, Build 20150407</vt:lpwstr>
  </property>
  <property fmtid="{D5CDD505-2E9C-101B-9397-08002B2CF9AE}" pid="6" name="Created using">
    <vt:lpwstr>LW 5.8.3, Build 20140113</vt:lpwstr>
  </property>
  <property fmtid="{D5CDD505-2E9C-101B-9397-08002B2CF9AE}" pid="7" name="Part">
    <vt:lpwstr>1</vt:lpwstr>
  </property>
  <property fmtid="{D5CDD505-2E9C-101B-9397-08002B2CF9AE}" pid="8" name="Total parts">
    <vt:lpwstr>1</vt:lpwstr>
  </property>
  <property fmtid="{D5CDD505-2E9C-101B-9397-08002B2CF9AE}" pid="9" name="LWTemplateID">
    <vt:lpwstr>SJ-026</vt:lpwstr>
  </property>
  <property fmtid="{D5CDD505-2E9C-101B-9397-08002B2CF9AE}" pid="10" name="DQCStatus">
    <vt:lpwstr>Green (DQC version 03)</vt:lpwstr>
  </property>
  <property name="OP_sanitized" fmtid="{D5CDD505-2E9C-101B-9397-08002B2CF9AE}" pid="11">
    <vt:lpwstr>True</vt:lpwstr>
  </property>
</Properties>
</file>