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BFB" w:rsidRDefault="002E27DE">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386DF22DC5C4D23964394CF66BDC7B4" style="width:451pt;height:334.1pt">
            <v:imagedata r:id="rId9" o:title=""/>
          </v:shape>
        </w:pict>
      </w:r>
    </w:p>
    <w:bookmarkEnd w:id="0"/>
    <w:p w:rsidR="007F6BFB" w:rsidRDefault="007F6BFB">
      <w:pPr>
        <w:rPr>
          <w:noProof/>
        </w:rPr>
        <w:sectPr w:rsidR="007F6BFB">
          <w:headerReference w:type="even" r:id="rId10"/>
          <w:headerReference w:type="default" r:id="rId11"/>
          <w:footerReference w:type="even" r:id="rId12"/>
          <w:footerReference w:type="default" r:id="rId13"/>
          <w:headerReference w:type="first" r:id="rId14"/>
          <w:footerReference w:type="first" r:id="rId15"/>
          <w:endnotePr>
            <w:numFmt w:val="decimal"/>
          </w:endnotePr>
          <w:pgSz w:w="11900" w:h="16840"/>
          <w:pgMar w:top="1134" w:right="1417" w:bottom="1134" w:left="1417" w:header="709" w:footer="709" w:gutter="0"/>
          <w:pgNumType w:start="2"/>
          <w:cols w:space="720"/>
          <w:docGrid w:linePitch="326"/>
        </w:sectPr>
      </w:pPr>
    </w:p>
    <w:p w:rsidR="007F6BFB" w:rsidRDefault="002E27DE">
      <w:pPr>
        <w:pStyle w:val="Heading"/>
        <w:spacing w:after="120"/>
        <w:rPr>
          <w:noProof/>
        </w:rPr>
      </w:pPr>
      <w:r>
        <w:rPr>
          <w:noProof/>
        </w:rPr>
        <w:lastRenderedPageBreak/>
        <w:t>1.</w:t>
      </w:r>
      <w:r>
        <w:rPr>
          <w:noProof/>
        </w:rPr>
        <w:tab/>
        <w:t>Oceany jako globalne wyzwanie o priorytetowym znaczeniu</w:t>
      </w:r>
    </w:p>
    <w:p w:rsidR="007F6BFB" w:rsidRDefault="007F6BFB">
      <w:pPr>
        <w:pStyle w:val="Body"/>
        <w:spacing w:after="120"/>
        <w:rPr>
          <w:noProof/>
        </w:rPr>
      </w:pPr>
    </w:p>
    <w:p w:rsidR="007F6BFB" w:rsidRDefault="002E27DE">
      <w:pPr>
        <w:pStyle w:val="Body"/>
        <w:spacing w:after="120"/>
        <w:rPr>
          <w:noProof/>
        </w:rPr>
      </w:pPr>
      <w:r>
        <w:rPr>
          <w:noProof/>
        </w:rPr>
        <w:t xml:space="preserve">Oceany mają kluczowe znaczenie dla </w:t>
      </w:r>
      <w:r>
        <w:rPr>
          <w:noProof/>
        </w:rPr>
        <w:t>przyszłości Unii Europejskiej i wielu narodów na całym świecie. Stwarzają one ogromne możliwości pobudzania wzrostu gospodarczego, zatrudnienia i innowacji. Szacuje się, że wartość produkcji światowej gospodarki oceanicznej wynosi 1,3 bln EUR i może zwięks</w:t>
      </w:r>
      <w:r>
        <w:rPr>
          <w:noProof/>
        </w:rPr>
        <w:t>zyć się ponad dwukrotnie do 2030 r.</w:t>
      </w:r>
      <w:r>
        <w:rPr>
          <w:rStyle w:val="FootnoteReference"/>
          <w:noProof/>
        </w:rPr>
        <w:footnoteReference w:id="1"/>
      </w:r>
      <w:r>
        <w:rPr>
          <w:noProof/>
        </w:rPr>
        <w:t xml:space="preserve">. </w:t>
      </w:r>
    </w:p>
    <w:p w:rsidR="007F6BFB" w:rsidRDefault="002E27DE">
      <w:pPr>
        <w:pStyle w:val="Body"/>
        <w:spacing w:after="120"/>
        <w:rPr>
          <w:noProof/>
        </w:rPr>
      </w:pPr>
      <w:r>
        <w:rPr>
          <w:noProof/>
        </w:rPr>
        <w:t>Oceany odgrywają kluczową rolę w regulowaniu systemu klimatycznego. Wytwarzają połowę dostępnego nam tlenu oraz absorbują większość światowej nadwyżki ciepła i około 25 % emisji CO</w:t>
      </w:r>
      <w:r>
        <w:rPr>
          <w:noProof/>
          <w:vertAlign w:val="subscript"/>
        </w:rPr>
        <w:t>2</w:t>
      </w:r>
      <w:r>
        <w:rPr>
          <w:rStyle w:val="FootnoteReference"/>
          <w:noProof/>
        </w:rPr>
        <w:footnoteReference w:id="2"/>
      </w:r>
      <w:r>
        <w:rPr>
          <w:noProof/>
        </w:rPr>
        <w:t>. Liczne kraje wyspiarskie i nadmor</w:t>
      </w:r>
      <w:r>
        <w:rPr>
          <w:noProof/>
        </w:rPr>
        <w:t>skie (w tym małe rozwijające się państwa wyspiarskie) są zależne od zasobów morskich i podatne na potencjalny wpływ działalności człowieka na ochronę tych zasobów i ich zrównoważone wykorzystanie. Nasz sposób postępowania z oceanami ma fundamentalne znacze</w:t>
      </w:r>
      <w:r>
        <w:rPr>
          <w:noProof/>
        </w:rPr>
        <w:t xml:space="preserve">nie. Niektóre najpilniejsze globalne wyzwania, w tym zmiana klimatu, ubóstwo oraz zapewnienie wystarczającej ilości bezpiecznej żywności o odpowiedniej wartości odżywczej dla światowej populacji, która według szacunków w 2050 r. osiągnie 9 miliardów, mogą </w:t>
      </w:r>
      <w:r>
        <w:rPr>
          <w:noProof/>
        </w:rPr>
        <w:t>być skutecznie podjęte jedynie w przypadku, gdy oceany będą bezpieczne, chronione, czyste i zarządzane w sposób zrównoważony.</w:t>
      </w:r>
    </w:p>
    <w:p w:rsidR="007F6BFB" w:rsidRDefault="002E27DE">
      <w:pPr>
        <w:pStyle w:val="Body"/>
        <w:spacing w:after="120"/>
        <w:rPr>
          <w:noProof/>
        </w:rPr>
      </w:pPr>
      <w:r>
        <w:rPr>
          <w:noProof/>
        </w:rPr>
        <w:t>Nasze oceany są zagrożone nadmierną eksploatacją, zmianą klimatu, zakwaszeniem, zanieczyszczeniami i zmniejszającą się różnorodnoś</w:t>
      </w:r>
      <w:r>
        <w:rPr>
          <w:noProof/>
        </w:rPr>
        <w:t>cią biologiczną. Na całym świecie obserwowany jest rozwój gospodarek morskich i nadmorskich, jednak ich powodzenie zależy od bardziej zrównoważonego gospodarowania. Dostęp do szlaków morskich jest czasami ograniczony przez nielegalne działania, wzmożoną ak</w:t>
      </w:r>
      <w:r>
        <w:rPr>
          <w:noProof/>
        </w:rPr>
        <w:t xml:space="preserve">tywność piracką, zbrojne napaści i inne formy przestępczości na morzu. Próby zgłaszania roszczeń terytorialnych lub morskich poza ramami ustanowionymi na mocy Konwencji Narodów Zjednoczonych o prawie morza (UNCLOS), poprzez zastraszanie, przymus lub siłę, </w:t>
      </w:r>
      <w:r>
        <w:rPr>
          <w:noProof/>
        </w:rPr>
        <w:t xml:space="preserve">mogą mieć wpływ nie tylko na stabilność regionalną, ale też na gospodarkę światową. Wiedza o nielegalnych działaniach w sektorze morskim jest zasadniczym czynnikiem umożliwiającym zrównoważone zarządzanie w oparciu o przepisy. </w:t>
      </w:r>
    </w:p>
    <w:p w:rsidR="007F6BFB" w:rsidRDefault="002E27DE">
      <w:pPr>
        <w:pStyle w:val="Body"/>
        <w:spacing w:after="120"/>
        <w:rPr>
          <w:noProof/>
        </w:rPr>
      </w:pPr>
      <w:r>
        <w:rPr>
          <w:noProof/>
        </w:rPr>
        <w:t>Wyzwaniem pozostają dokładne</w:t>
      </w:r>
      <w:r>
        <w:rPr>
          <w:noProof/>
        </w:rPr>
        <w:t xml:space="preserve"> i terminowe informacje o stanie zasobów i ekosystemów morskich. Postęp techniczny konieczny na potrzeby zrównoważonego rozwoju działalności morskiej zależy od ulepszonych badań.</w:t>
      </w:r>
    </w:p>
    <w:p w:rsidR="007F6BFB" w:rsidRDefault="002E27DE">
      <w:pPr>
        <w:pStyle w:val="Body"/>
        <w:spacing w:after="120"/>
        <w:rPr>
          <w:noProof/>
        </w:rPr>
      </w:pPr>
      <w:r>
        <w:rPr>
          <w:noProof/>
        </w:rPr>
        <w:t xml:space="preserve">Wszystkie powyższe wyzwania zostały dostrzeżone na poziomie ogólnoświatowym. </w:t>
      </w:r>
      <w:r>
        <w:rPr>
          <w:noProof/>
        </w:rPr>
        <w:t>Podczas szczytu Rio+20 szefowie państw i rządów zobowiązali się do ochrony i odbudowy oceanów i ekosystemów morskich oraz do zrównoważonego zarządzania zasobami oceanów zgodnie z prawem międzynarodowym, tak aby dopilnować wszystkich trzech wymiarów zrównow</w:t>
      </w:r>
      <w:r>
        <w:rPr>
          <w:noProof/>
        </w:rPr>
        <w:t>ażonego rozwoju. UE zobowiązuje się do stosowania takiego zintegrowanego podejścia.</w:t>
      </w:r>
    </w:p>
    <w:p w:rsidR="007F6BFB" w:rsidRDefault="002E27DE">
      <w:pPr>
        <w:pStyle w:val="Body"/>
        <w:spacing w:after="120"/>
        <w:rPr>
          <w:noProof/>
        </w:rPr>
      </w:pPr>
      <w:r>
        <w:rPr>
          <w:noProof/>
        </w:rPr>
        <w:t xml:space="preserve">W programie działań NZ na rzecz zrównoważonego rozwoju do roku 2030 uznano ochronę i zrównoważone wykorzystanie oceanów za jeden z 17 celów zrównoważonego rozwoju (SDG 14) </w:t>
      </w:r>
      <w:r>
        <w:rPr>
          <w:noProof/>
        </w:rPr>
        <w:t>oraz za część programu ściśle powiązanych działań. Po raz pierwszy ochrona i zrównoważone wykorzystanie oceanów są ujęte z innymi najpilniejszymi światowymi wyzwaniami zrównoważonego rozwoju w ramach nadrzędnego światowego programu politycznego oraz jako t</w:t>
      </w:r>
      <w:r>
        <w:rPr>
          <w:noProof/>
        </w:rPr>
        <w:t xml:space="preserve">akie zostały uwzględnione w kilku celach </w:t>
      </w:r>
      <w:r>
        <w:rPr>
          <w:noProof/>
        </w:rPr>
        <w:lastRenderedPageBreak/>
        <w:t>zrównoważonego rozwoju i w kilku założeniach</w:t>
      </w:r>
      <w:r>
        <w:rPr>
          <w:rStyle w:val="FootnoteReference"/>
          <w:noProof/>
        </w:rPr>
        <w:footnoteReference w:id="3"/>
      </w:r>
      <w:r>
        <w:rPr>
          <w:noProof/>
        </w:rPr>
        <w:t>. Społeczność światowa musi przekuć powyższe zobowiązania na działanie. UE w pełni identyfikuje się z tym celem i angażuje się w jego realizację. Działania określone w ni</w:t>
      </w:r>
      <w:r>
        <w:rPr>
          <w:noProof/>
        </w:rPr>
        <w:t>niejszym wspólnym komunikacie są integralnie związane z odpowiedzią UE na program działań na rzecz zrównoważonego rozwoju do roku 2030. Są one również traktowane priorytetowo w ramach globalnej strategii na rzecz polityki zagranicznej i bezpieczeństwa</w:t>
      </w:r>
      <w:r>
        <w:rPr>
          <w:rStyle w:val="FootnoteReference"/>
          <w:noProof/>
        </w:rPr>
        <w:footnoteReference w:id="4"/>
      </w:r>
      <w:r>
        <w:rPr>
          <w:noProof/>
        </w:rPr>
        <w:t>.</w:t>
      </w:r>
    </w:p>
    <w:p w:rsidR="007F6BFB" w:rsidRDefault="007F6BFB">
      <w:pPr>
        <w:pStyle w:val="Heading"/>
        <w:spacing w:after="120"/>
        <w:rPr>
          <w:noProof/>
        </w:rPr>
      </w:pPr>
    </w:p>
    <w:p w:rsidR="007F6BFB" w:rsidRDefault="002E27DE">
      <w:pPr>
        <w:pStyle w:val="Heading"/>
        <w:spacing w:after="120"/>
        <w:rPr>
          <w:noProof/>
        </w:rPr>
      </w:pPr>
      <w:r>
        <w:rPr>
          <w:noProof/>
        </w:rPr>
        <w:t>1</w:t>
      </w:r>
      <w:r>
        <w:rPr>
          <w:noProof/>
        </w:rPr>
        <w:t xml:space="preserve">.1. </w:t>
      </w:r>
      <w:r>
        <w:rPr>
          <w:noProof/>
        </w:rPr>
        <w:tab/>
        <w:t>Konieczność lepszego zarządzania oceanami</w:t>
      </w:r>
    </w:p>
    <w:p w:rsidR="007F6BFB" w:rsidRDefault="007F6BFB">
      <w:pPr>
        <w:pStyle w:val="Body"/>
        <w:spacing w:after="120"/>
        <w:rPr>
          <w:noProof/>
        </w:rPr>
      </w:pPr>
    </w:p>
    <w:p w:rsidR="007F6BFB" w:rsidRDefault="002E27DE">
      <w:pPr>
        <w:pStyle w:val="Body"/>
        <w:spacing w:after="120"/>
        <w:rPr>
          <w:noProof/>
        </w:rPr>
      </w:pPr>
      <w:r>
        <w:rPr>
          <w:noProof/>
        </w:rPr>
        <w:t>Korzystanie z oceanów i ich zasobów reguluje UNCLOS. Konwencję wspiera sieć regionalnych i międzynarodowych instytucji i forów odpowiedzialnych za dalsze regulowanie działań sektorowych, które mają miejsce na</w:t>
      </w:r>
      <w:r>
        <w:rPr>
          <w:noProof/>
        </w:rPr>
        <w:t xml:space="preserve"> morzu</w:t>
      </w:r>
      <w:r>
        <w:rPr>
          <w:rStyle w:val="FootnoteReference"/>
          <w:noProof/>
        </w:rPr>
        <w:footnoteReference w:id="5"/>
      </w:r>
      <w:r>
        <w:rPr>
          <w:noProof/>
        </w:rPr>
        <w:t>. Tworzone przez nie ramy zapewniają szeroki zbiór przepisów i zasad. Są one jednak nieco niejednorodne i nieskoordynowane. Na całym świecie upowszechnia się pogląd, że środowiskiem morskim i morską działalnością człowieka, w tym działalnością lądow</w:t>
      </w:r>
      <w:r>
        <w:rPr>
          <w:noProof/>
        </w:rPr>
        <w:t xml:space="preserve">ą mającą wpływ na oceany, należy zarządzać skuteczniej w celu rozwiązania problemu rosnącej presji na oceany. </w:t>
      </w:r>
    </w:p>
    <w:p w:rsidR="007F6BFB" w:rsidRDefault="002E27DE">
      <w:pPr>
        <w:pStyle w:val="Body"/>
        <w:spacing w:after="120"/>
        <w:rPr>
          <w:noProof/>
        </w:rPr>
      </w:pPr>
      <w:r>
        <w:rPr>
          <w:noProof/>
        </w:rPr>
        <w:t>Przeprowadzone w 2015 r. konsultacje Komisji</w:t>
      </w:r>
      <w:r>
        <w:rPr>
          <w:rStyle w:val="FootnoteReference"/>
          <w:noProof/>
        </w:rPr>
        <w:footnoteReference w:id="6"/>
      </w:r>
      <w:r>
        <w:rPr>
          <w:noProof/>
        </w:rPr>
        <w:t xml:space="preserve"> potwierdziły, że obecne ramy nie gwarantują zrównoważonego zarządzania oceanami:</w:t>
      </w:r>
    </w:p>
    <w:p w:rsidR="007F6BFB" w:rsidRDefault="002E27DE">
      <w:pPr>
        <w:pStyle w:val="Text2"/>
        <w:numPr>
          <w:ilvl w:val="0"/>
          <w:numId w:val="32"/>
        </w:numPr>
        <w:spacing w:after="120"/>
        <w:rPr>
          <w:noProof/>
        </w:rPr>
      </w:pPr>
      <w:r>
        <w:rPr>
          <w:noProof/>
        </w:rPr>
        <w:t>Ramy są niekomplet</w:t>
      </w:r>
      <w:r>
        <w:rPr>
          <w:noProof/>
        </w:rPr>
        <w:t>ne i wymagają dalszego opracowania. Pozostają istotne luki prawne, zwłaszcza w odniesieniu do ochrony i zrównoważonego wykorzystania różnorodności biologicznej mórz na obszarach znajdujących się poza jurysdykcją krajową. Międzynarodowa Organizacja Dna Mors</w:t>
      </w:r>
      <w:r>
        <w:rPr>
          <w:noProof/>
        </w:rPr>
        <w:t>kiego (ISA) nie ukończyła jeszcze kodeksu górniczego ustanawiającego niezbędne przepisy i procedury związane z górnictwem morskim;</w:t>
      </w:r>
    </w:p>
    <w:p w:rsidR="007F6BFB" w:rsidRDefault="002E27DE">
      <w:pPr>
        <w:pStyle w:val="ListParagraph"/>
        <w:numPr>
          <w:ilvl w:val="0"/>
          <w:numId w:val="32"/>
        </w:numPr>
        <w:spacing w:after="120"/>
        <w:rPr>
          <w:noProof/>
          <w:color w:val="auto"/>
        </w:rPr>
      </w:pPr>
      <w:r>
        <w:rPr>
          <w:noProof/>
        </w:rPr>
        <w:t>Uzgodnione przepisy i ustalenia często nie są skutecznie wdrażane i jednolicie stosowane. Jesteśmy daleko od osiągnięcia ogól</w:t>
      </w:r>
      <w:r>
        <w:rPr>
          <w:noProof/>
        </w:rPr>
        <w:t>noświatowych celów, takich jak osiągnięcie maksymalnego podtrzymywalnego połowu w ramach rybołówstwa do 2015 r. lub objęcie ochroną 10 % obszarów przybrzeżnych i morskich do 2020 r., w szczególności poprzez ustanowienie chronionych obszarów morskich</w:t>
      </w:r>
      <w:r>
        <w:rPr>
          <w:rStyle w:val="FootnoteReference"/>
          <w:noProof/>
        </w:rPr>
        <w:footnoteReference w:id="7"/>
      </w:r>
      <w:r>
        <w:rPr>
          <w:noProof/>
        </w:rPr>
        <w:t>. Brak</w:t>
      </w:r>
      <w:r>
        <w:rPr>
          <w:noProof/>
        </w:rPr>
        <w:t xml:space="preserve"> terminowej ratyfikacji zagraża wejściu w życie ważnych konwencji morskich, np. Konwencji dotyczącej pracy w sektorze rybołówstwa Międzynarodowej Organizacji Pracy (MOP);</w:t>
      </w:r>
    </w:p>
    <w:p w:rsidR="007F6BFB" w:rsidRDefault="002E27DE">
      <w:pPr>
        <w:pStyle w:val="Body"/>
        <w:numPr>
          <w:ilvl w:val="0"/>
          <w:numId w:val="32"/>
        </w:numPr>
        <w:spacing w:after="120"/>
        <w:rPr>
          <w:noProof/>
        </w:rPr>
      </w:pPr>
      <w:r>
        <w:rPr>
          <w:noProof/>
        </w:rPr>
        <w:t>Działania organizacji międzynarodowych odpowiedzialnych za oceany są niewystarczająco</w:t>
      </w:r>
      <w:r>
        <w:rPr>
          <w:noProof/>
        </w:rPr>
        <w:t xml:space="preserve"> skoordynowane. Choć różne rodzaje działalności morskiej są ze sobą wzajemnie powiązane, w większości podlegają one regulacjom odpowiednim dla danego sektora. Koordynacja działań organów międzynarodowych, które zajmują się różnymi sektorami, często ma char</w:t>
      </w:r>
      <w:r>
        <w:rPr>
          <w:noProof/>
        </w:rPr>
        <w:t>akter doraźny lub w ogóle nie istnieje</w:t>
      </w:r>
      <w:r>
        <w:rPr>
          <w:rStyle w:val="FootnoteReference"/>
          <w:noProof/>
        </w:rPr>
        <w:footnoteReference w:id="8"/>
      </w:r>
      <w:r>
        <w:rPr>
          <w:noProof/>
        </w:rPr>
        <w:t>. Organizacje i mechanizmy, które mogłyby odgrywać istotną rolę we wzmacnianiu ogólnych ram, np. UN-Oceans czy Międzyrządowa Komisja Oceanograficzna (IOC), często dysponują słabymi mandatami;</w:t>
      </w:r>
    </w:p>
    <w:p w:rsidR="007F6BFB" w:rsidRDefault="002E27DE">
      <w:pPr>
        <w:pStyle w:val="Text2"/>
        <w:numPr>
          <w:ilvl w:val="0"/>
          <w:numId w:val="32"/>
        </w:numPr>
        <w:spacing w:after="120"/>
        <w:rPr>
          <w:noProof/>
          <w:color w:val="000000" w:themeColor="text1"/>
        </w:rPr>
      </w:pPr>
      <w:r>
        <w:rPr>
          <w:noProof/>
          <w:color w:val="000000" w:themeColor="text1"/>
        </w:rPr>
        <w:t xml:space="preserve">Nielegalne i przestępcze </w:t>
      </w:r>
      <w:r>
        <w:rPr>
          <w:noProof/>
          <w:color w:val="000000" w:themeColor="text1"/>
        </w:rPr>
        <w:t xml:space="preserve">działania mają znaczący wpływ na podmioty gospodarcze, środowisko morskie i osoby pracujące w sektorze morskim. UE poprawiła własne ramy bezpieczeństwa i promuje współpracę międzynarodową i regionalną w dziedzinie bezpieczeństwa, ale jest jeszcze wiele do </w:t>
      </w:r>
      <w:r>
        <w:rPr>
          <w:noProof/>
          <w:color w:val="000000" w:themeColor="text1"/>
        </w:rPr>
        <w:t>zrobienia, aby wyeliminować przypadki bezprawnych czynów na morzu. Problemem pozostaje brak godnej pracy w niektórych rodzajach działalności związanej z oceanami. Warunki pracy na statkach uczestniczących w nielegalnej działalności są czasem znacznie poniż</w:t>
      </w:r>
      <w:r>
        <w:rPr>
          <w:noProof/>
          <w:color w:val="000000" w:themeColor="text1"/>
        </w:rPr>
        <w:t>ej norm międzynarodowych lub nawet są niezgodne z prawem, co bezpośrednio wpływa nie tylko na pracowników, ale także na zdolność sektora do działania w sposób zrównoważony;</w:t>
      </w:r>
    </w:p>
    <w:p w:rsidR="007F6BFB" w:rsidRDefault="002E27DE">
      <w:pPr>
        <w:pStyle w:val="Text2"/>
        <w:numPr>
          <w:ilvl w:val="0"/>
          <w:numId w:val="32"/>
        </w:numPr>
        <w:spacing w:after="120"/>
        <w:rPr>
          <w:noProof/>
          <w:color w:val="000000" w:themeColor="text1"/>
        </w:rPr>
      </w:pPr>
      <w:r>
        <w:rPr>
          <w:noProof/>
          <w:color w:val="000000" w:themeColor="text1"/>
        </w:rPr>
        <w:t>Potrzebna jest większa koordynacja między politykami wewnętrznymi i zewnętrznymi UE</w:t>
      </w:r>
      <w:r>
        <w:rPr>
          <w:noProof/>
          <w:color w:val="000000" w:themeColor="text1"/>
        </w:rPr>
        <w:t xml:space="preserve">, takimi jak strategia UE dla regionu Morza Bałtyckiego, synergia czarnomorska, strategia UE na rzecz regionu Morza Adriatyckiego i Morza Jońskiego, Unia dla Śródziemnomorza oraz wymiar północny; </w:t>
      </w:r>
    </w:p>
    <w:p w:rsidR="007F6BFB" w:rsidRDefault="002E27DE">
      <w:pPr>
        <w:pStyle w:val="Text2"/>
        <w:numPr>
          <w:ilvl w:val="0"/>
          <w:numId w:val="32"/>
        </w:numPr>
        <w:spacing w:after="120"/>
        <w:rPr>
          <w:noProof/>
        </w:rPr>
      </w:pPr>
      <w:r>
        <w:rPr>
          <w:noProof/>
        </w:rPr>
        <w:t xml:space="preserve">Zainteresowane strony (w tym przedsiębiorstwa, naukowcy i </w:t>
      </w:r>
      <w:r>
        <w:rPr>
          <w:noProof/>
        </w:rPr>
        <w:t>organizacje społeczeństwa obywatelskiego) powinny bardziej angażować się w przygotowywanie i wdrażanie międzynarodowych ram regulacyjnych. Pozwoliłoby to osiągnąć wyższy poziom zgodności oraz ułatwiłoby tworzenie uzupełniających rozwiązań w zakresie zarząd</w:t>
      </w:r>
      <w:r>
        <w:rPr>
          <w:noProof/>
        </w:rPr>
        <w:t>zania, takich jak dobrowolne zobowiązania i wymiana najlepszych praktyk. Podstawą zarządzania oceanami powinny być solidne badania naukowe i wiedza.</w:t>
      </w:r>
    </w:p>
    <w:p w:rsidR="007F6BFB" w:rsidRDefault="007F6BFB">
      <w:pPr>
        <w:pStyle w:val="Heading"/>
        <w:spacing w:after="120"/>
        <w:rPr>
          <w:noProof/>
        </w:rPr>
      </w:pPr>
    </w:p>
    <w:p w:rsidR="007F6BFB" w:rsidRDefault="002E27DE">
      <w:pPr>
        <w:pStyle w:val="Heading"/>
        <w:spacing w:after="120"/>
        <w:rPr>
          <w:noProof/>
        </w:rPr>
      </w:pPr>
      <w:r>
        <w:rPr>
          <w:noProof/>
        </w:rPr>
        <w:t xml:space="preserve">1.2. </w:t>
      </w:r>
      <w:r>
        <w:rPr>
          <w:noProof/>
        </w:rPr>
        <w:tab/>
        <w:t>Rola UE</w:t>
      </w:r>
    </w:p>
    <w:p w:rsidR="007F6BFB" w:rsidRDefault="007F6BFB">
      <w:pPr>
        <w:pStyle w:val="Text1"/>
        <w:spacing w:after="120"/>
        <w:ind w:left="0"/>
        <w:rPr>
          <w:noProof/>
        </w:rPr>
      </w:pPr>
    </w:p>
    <w:p w:rsidR="007F6BFB" w:rsidRDefault="002E27DE">
      <w:pPr>
        <w:pStyle w:val="Text1"/>
        <w:spacing w:after="120"/>
        <w:ind w:left="0"/>
        <w:rPr>
          <w:noProof/>
          <w:color w:val="000000" w:themeColor="text1"/>
        </w:rPr>
      </w:pPr>
      <w:r>
        <w:rPr>
          <w:noProof/>
        </w:rPr>
        <w:t xml:space="preserve">W celu zagwarantowania, aby morza były bezpieczne, chronione, czyste i zarządzane w sposób </w:t>
      </w:r>
      <w:r>
        <w:rPr>
          <w:noProof/>
        </w:rPr>
        <w:t xml:space="preserve">zrównoważony, potrzebne jest spójne, międzysektorowe i opierające się na przepisach podejście międzynarodowe. </w:t>
      </w:r>
      <w:r>
        <w:rPr>
          <w:noProof/>
          <w:color w:val="000000" w:themeColor="text1"/>
        </w:rPr>
        <w:t>Takie podejście przyczyni się również do osiągania rezultatów na rzecz obywateli UE w obszarach priorytetowych, takich jak zatrudnienie, wzrost go</w:t>
      </w:r>
      <w:r>
        <w:rPr>
          <w:noProof/>
          <w:color w:val="000000" w:themeColor="text1"/>
        </w:rPr>
        <w:t>spodarczy, konkurencyjność, zrównoważony rozwój, odporność na zmianę klimatu oraz pokój i bezpieczeństwo. Promowanie opartych na przepisach dobrych rządów na morzu przyczyni się do wzmocnienia praw człowieka, wolności i demokracji, stworzenia równych warun</w:t>
      </w:r>
      <w:r>
        <w:rPr>
          <w:noProof/>
          <w:color w:val="000000" w:themeColor="text1"/>
        </w:rPr>
        <w:t>ków działania dla przedsiębiorstw oraz poprawy warunków pracy na całym świecie. Jest to zgodne z rolą UE jako silnego globalnego podmiotu.</w:t>
      </w:r>
    </w:p>
    <w:p w:rsidR="007F6BFB" w:rsidRDefault="002E27DE">
      <w:pPr>
        <w:spacing w:after="120"/>
        <w:jc w:val="both"/>
        <w:rPr>
          <w:noProof/>
          <w:color w:val="000000" w:themeColor="text1"/>
        </w:rPr>
      </w:pPr>
      <w:r>
        <w:rPr>
          <w:noProof/>
          <w:color w:val="000000" w:themeColor="text1"/>
        </w:rPr>
        <w:t>UE ma również odpowiednie możliwości kształtowania międzynarodowego zarządzania oceanami w oparciu o posiadane doświa</w:t>
      </w:r>
      <w:r>
        <w:rPr>
          <w:noProof/>
          <w:color w:val="000000" w:themeColor="text1"/>
        </w:rPr>
        <w:t>dczenia w zakresie opracowywania zrównoważonego podejścia do zarządzania oceanami, zwłaszcza w ramach swojej polityki ochrony środowiska (w szczególności dyrektywy ramowej w sprawie strategii morskiej), zintegrowanej polityki morskiej (w szczególności dyre</w:t>
      </w:r>
      <w:r>
        <w:rPr>
          <w:noProof/>
          <w:color w:val="000000" w:themeColor="text1"/>
        </w:rPr>
        <w:t>ktywy w sprawie planowania przestrzennego obszarów morskich), zreformowanej wspólnej polityki rybołówstwa, działań przeciwko nielegalnym, nieraportowanym i nieuregulowanym połowom (połowom NNN) oraz swojej polityki w zakresie transportu morskiego.</w:t>
      </w:r>
    </w:p>
    <w:p w:rsidR="007F6BFB" w:rsidRDefault="002E27DE">
      <w:pPr>
        <w:spacing w:after="120"/>
        <w:jc w:val="both"/>
        <w:rPr>
          <w:noProof/>
        </w:rPr>
      </w:pPr>
      <w:r>
        <w:rPr>
          <w:noProof/>
        </w:rPr>
        <w:t>UE oprac</w:t>
      </w:r>
      <w:r>
        <w:rPr>
          <w:noProof/>
        </w:rPr>
        <w:t>owała również zbiór narzędzi bezpieczeństwa w celu rozwiązania kwestii powiązań między wewnętrznymi i zewnętrznymi wymiarami bezpieczeństwa. Jej globalna strategia na rzecz polityki zagranicznej i bezpieczeństwa potwierdza potrzebę podejścia opierającego s</w:t>
      </w:r>
      <w:r>
        <w:rPr>
          <w:noProof/>
        </w:rPr>
        <w:t>ię na silniejszych powiązaniach – między wewnętrznymi i zewnętrznymi aspektami polityki, w całej polityce zewnętrznej oraz między państwami członkowskimi a instytucjami UE. Należy tworzyć efekty synergii z innymi dziedzinami polityki (np. dotyczącymi cyber</w:t>
      </w:r>
      <w:r>
        <w:rPr>
          <w:noProof/>
        </w:rPr>
        <w:t>bezpieczeństwa, cyberobrony oraz gospodarki o obiegu zamkniętym) i strategiami (np. strategią UE w zakresie bezpieczeństwa morskiego (EUMSS)</w:t>
      </w:r>
      <w:r>
        <w:rPr>
          <w:rStyle w:val="FootnoteReference"/>
          <w:noProof/>
        </w:rPr>
        <w:footnoteReference w:id="9"/>
      </w:r>
      <w:r>
        <w:rPr>
          <w:noProof/>
        </w:rPr>
        <w:t xml:space="preserve"> oraz podobnymi strategiami regionalnymi</w:t>
      </w:r>
      <w:r>
        <w:rPr>
          <w:rStyle w:val="FootnoteReference"/>
          <w:noProof/>
        </w:rPr>
        <w:footnoteReference w:id="10"/>
      </w:r>
      <w:r>
        <w:rPr>
          <w:noProof/>
        </w:rPr>
        <w:t>). W ten sposób wkład UE we wzmocnienie zarządzania oceanami będzie stanow</w:t>
      </w:r>
      <w:r>
        <w:rPr>
          <w:noProof/>
        </w:rPr>
        <w:t>ić wsparcie dla celu w postaci globalnego wzrostu i bezpieczeństwa w sektorach morskich.</w:t>
      </w:r>
    </w:p>
    <w:p w:rsidR="007F6BFB" w:rsidRDefault="002E27DE">
      <w:pPr>
        <w:spacing w:after="120"/>
        <w:jc w:val="both"/>
        <w:rPr>
          <w:noProof/>
        </w:rPr>
      </w:pPr>
      <w:r>
        <w:rPr>
          <w:noProof/>
          <w:color w:val="000000" w:themeColor="text1"/>
        </w:rPr>
        <w:t>UE opracowała EUMSS w celu skutecznego i kompleksowego sprostania wyzwaniom w zakresie bezpieczeństwa morskiego, stosując odpowiednie instrumenty międzynarodowe, unijn</w:t>
      </w:r>
      <w:r>
        <w:rPr>
          <w:noProof/>
          <w:color w:val="000000" w:themeColor="text1"/>
        </w:rPr>
        <w:t>e i krajowe. Należy ją stosować zgodnie z niniejszym komunikatem w celu ułatwienia współpracy międzysektorowej i zwiększenia potencjału wzrostu gospodarczego. UE wciąż aktywnie przyczynia się do globalnego bezpieczeństwa morskiego, bazując na swoim doświad</w:t>
      </w:r>
      <w:r>
        <w:rPr>
          <w:noProof/>
          <w:color w:val="000000" w:themeColor="text1"/>
        </w:rPr>
        <w:t>czeniu w zakresie zwalczania piractwa w zachodniej części Oceanu Indyjskiego oraz przemytu i nielegalnego obrotu w rejonie Morza Śródziemnego, Morza Czarnego i Morza Bałtyckiego oraz badając możliwości istniejące w Zatoce Gwinejskiej</w:t>
      </w:r>
      <w:r>
        <w:rPr>
          <w:rStyle w:val="FootnoteReference"/>
          <w:noProof/>
          <w:color w:val="000000" w:themeColor="text1"/>
        </w:rPr>
        <w:footnoteReference w:id="11"/>
      </w:r>
      <w:r>
        <w:rPr>
          <w:noProof/>
          <w:color w:val="000000" w:themeColor="text1"/>
        </w:rPr>
        <w:t>, na Morzu Południowoc</w:t>
      </w:r>
      <w:r>
        <w:rPr>
          <w:noProof/>
          <w:color w:val="000000" w:themeColor="text1"/>
        </w:rPr>
        <w:t>hińskim oraz w Cieśninie Malakka.</w:t>
      </w:r>
    </w:p>
    <w:p w:rsidR="007F6BFB" w:rsidRDefault="002E27DE">
      <w:pPr>
        <w:pStyle w:val="Body"/>
        <w:spacing w:after="120"/>
        <w:rPr>
          <w:noProof/>
        </w:rPr>
      </w:pPr>
      <w:r>
        <w:rPr>
          <w:noProof/>
        </w:rPr>
        <w:t xml:space="preserve">Unia Europejska współpracuje w zakresie zarządzania oceanami z dwustronnymi, regionalnymi i wielostronnymi partnerami na całym świecie, a jej głównym mechanizmem prawnym jest UNCLOS. Posiada ona strategiczne partnerstwa i </w:t>
      </w:r>
      <w:r>
        <w:rPr>
          <w:noProof/>
        </w:rPr>
        <w:t xml:space="preserve">umowy z kluczowymi podmiotami i partnerami międzynarodowymi. Współpracuje w szerokim zakresie z różnymi wschodzącymi potęgami. Jest stroną wielu umów i konwencji. Unia Europejska i jej państwa członkowskie łącznie są największym dawcą pomocy na świecie. </w:t>
      </w:r>
    </w:p>
    <w:p w:rsidR="007F6BFB" w:rsidRDefault="002E27DE">
      <w:pPr>
        <w:pStyle w:val="Body"/>
        <w:spacing w:after="120"/>
        <w:rPr>
          <w:noProof/>
        </w:rPr>
      </w:pPr>
      <w:r>
        <w:rPr>
          <w:noProof/>
        </w:rPr>
        <w:t>U</w:t>
      </w:r>
      <w:r>
        <w:rPr>
          <w:noProof/>
        </w:rPr>
        <w:t>E powinna wykorzystywać istniejące rozwiązania służące poprawie zarządzania oceanami i wzmocnieniu koordynacji z forami międzynarodowymi i regionalnymi. UE aktywnie stara się rozwijać współpracę z sąsiadami w zakresie polityki morskiej i gospodarki oceanic</w:t>
      </w:r>
      <w:r>
        <w:rPr>
          <w:noProof/>
        </w:rPr>
        <w:t>znej, w tym w oparciu o europejską politykę sąsiedztwa, zarówno w jej wymiarze wschodnim, jak i południowym. Wnosi również istotny wkład w globalne zarządzanie pracą w transporcie morskim oraz w ogólnoświatowe zwalczanie pracy przymusowej i handlu ludźmi.</w:t>
      </w:r>
    </w:p>
    <w:p w:rsidR="007F6BFB" w:rsidRDefault="002E27DE">
      <w:pPr>
        <w:pStyle w:val="Text2"/>
        <w:spacing w:after="120"/>
        <w:ind w:left="0"/>
        <w:rPr>
          <w:rFonts w:cs="Times New Roman"/>
          <w:noProof/>
          <w:color w:val="000000" w:themeColor="text1"/>
        </w:rPr>
      </w:pPr>
      <w:r>
        <w:rPr>
          <w:noProof/>
          <w:color w:val="000000" w:themeColor="text1"/>
        </w:rPr>
        <w:t xml:space="preserve">Działania podejmowane przez UE i jej państwa członkowskie muszą być bardziej powiązane w ramach całej polityki zewnętrznej i wewnętrznej. Ich łączna waga znacznie zwiększy możliwości pozytywnej zmiany. </w:t>
      </w:r>
      <w:r>
        <w:rPr>
          <w:noProof/>
        </w:rPr>
        <w:t>UE powinna zapewnić spójność działań między polityką w</w:t>
      </w:r>
      <w:r>
        <w:rPr>
          <w:noProof/>
        </w:rPr>
        <w:t>ewnętrzną i zewnętrzną, zgodnie ze swoim zobowiązaniem do zwiększenia spójności polityki na rzecz zrównoważonego rozwoju.</w:t>
      </w:r>
      <w:r>
        <w:rPr>
          <w:noProof/>
          <w:color w:val="auto"/>
        </w:rPr>
        <w:t xml:space="preserve"> </w:t>
      </w:r>
      <w:r>
        <w:rPr>
          <w:noProof/>
        </w:rPr>
        <w:t>UE powinna wspierać efekty synergii z innymi dziedzinami polityki UE, w tym z polityką rozwoju i strategiami takimi jak EUMSS.</w:t>
      </w:r>
    </w:p>
    <w:p w:rsidR="007F6BFB" w:rsidRDefault="002E27DE">
      <w:pPr>
        <w:pStyle w:val="ListParagraph"/>
        <w:spacing w:after="120"/>
        <w:ind w:left="0"/>
        <w:rPr>
          <w:noProof/>
          <w:color w:val="000000" w:themeColor="text1"/>
        </w:rPr>
      </w:pPr>
      <w:r>
        <w:rPr>
          <w:noProof/>
        </w:rPr>
        <w:t>Ponadto</w:t>
      </w:r>
      <w:r>
        <w:rPr>
          <w:noProof/>
        </w:rPr>
        <w:t xml:space="preserve"> w UE znajduje się dziewięć regionów najbardziej oddalonych. Ze względu na swój wkład w wymiar morski UE oraz swoją pozycję w regionach Oceanu Atlantyckiego i Oceanu Indyjskiego regiony te są ważnymi podmiotami mogącymi aktywnie przyczynić się do lepszego </w:t>
      </w:r>
      <w:r>
        <w:rPr>
          <w:noProof/>
        </w:rPr>
        <w:t>zarządzania oceanami.</w:t>
      </w:r>
      <w:r>
        <w:rPr>
          <w:noProof/>
          <w:color w:val="000000" w:themeColor="text1"/>
        </w:rPr>
        <w:t xml:space="preserve"> </w:t>
      </w:r>
    </w:p>
    <w:p w:rsidR="007F6BFB" w:rsidRDefault="002E27DE">
      <w:pPr>
        <w:pStyle w:val="Text2"/>
        <w:spacing w:after="120"/>
        <w:ind w:left="0"/>
        <w:rPr>
          <w:rFonts w:cs="Times New Roman"/>
          <w:noProof/>
          <w:color w:val="000000" w:themeColor="text1"/>
        </w:rPr>
      </w:pPr>
      <w:r>
        <w:rPr>
          <w:noProof/>
        </w:rPr>
        <w:t>Aby zapewnić, że oceany są bezpieczne, chronione, czyste i zarządzane w sposób zrównoważony, Komisja i wysoki przedstawiciel proponują 14 zbiorów działań w trzech obszarach priorytetowych:</w:t>
      </w:r>
      <w:r>
        <w:rPr>
          <w:noProof/>
          <w:color w:val="000000" w:themeColor="text1"/>
        </w:rPr>
        <w:t xml:space="preserve"> </w:t>
      </w:r>
    </w:p>
    <w:p w:rsidR="007F6BFB" w:rsidRDefault="002E27DE">
      <w:pPr>
        <w:pStyle w:val="Text2"/>
        <w:numPr>
          <w:ilvl w:val="0"/>
          <w:numId w:val="15"/>
        </w:numPr>
        <w:spacing w:after="120"/>
        <w:rPr>
          <w:rFonts w:cs="Times New Roman"/>
          <w:noProof/>
          <w:color w:val="000000" w:themeColor="text1"/>
        </w:rPr>
      </w:pPr>
      <w:r>
        <w:rPr>
          <w:noProof/>
          <w:color w:val="000000" w:themeColor="text1"/>
        </w:rPr>
        <w:t>poprawa ram międzynarodowego zarządzania oc</w:t>
      </w:r>
      <w:r>
        <w:rPr>
          <w:noProof/>
          <w:color w:val="000000" w:themeColor="text1"/>
        </w:rPr>
        <w:t>eanami;</w:t>
      </w:r>
    </w:p>
    <w:p w:rsidR="007F6BFB" w:rsidRDefault="002E27DE">
      <w:pPr>
        <w:pStyle w:val="Text2"/>
        <w:numPr>
          <w:ilvl w:val="0"/>
          <w:numId w:val="15"/>
        </w:numPr>
        <w:spacing w:after="120"/>
        <w:rPr>
          <w:rFonts w:cs="Times New Roman"/>
          <w:noProof/>
          <w:color w:val="000000" w:themeColor="text1"/>
        </w:rPr>
      </w:pPr>
      <w:r>
        <w:rPr>
          <w:noProof/>
          <w:color w:val="000000" w:themeColor="text1"/>
        </w:rPr>
        <w:t>ograniczenie presji na morza i oceany i stworzenie warunków dla zrównoważonej niebieskiej gospodarki; oraz</w:t>
      </w:r>
    </w:p>
    <w:p w:rsidR="007F6BFB" w:rsidRDefault="002E27DE">
      <w:pPr>
        <w:pStyle w:val="Text2"/>
        <w:numPr>
          <w:ilvl w:val="0"/>
          <w:numId w:val="15"/>
        </w:numPr>
        <w:spacing w:after="120"/>
        <w:rPr>
          <w:rFonts w:cs="Times New Roman"/>
          <w:noProof/>
          <w:color w:val="000000" w:themeColor="text1"/>
        </w:rPr>
      </w:pPr>
      <w:r>
        <w:rPr>
          <w:noProof/>
          <w:color w:val="000000" w:themeColor="text1"/>
        </w:rPr>
        <w:t>poprawa międzynarodowych badań i danych dotyczących oceanów.</w:t>
      </w:r>
    </w:p>
    <w:p w:rsidR="007F6BFB" w:rsidRDefault="007F6BFB">
      <w:pPr>
        <w:pStyle w:val="Heading"/>
        <w:spacing w:after="120"/>
        <w:rPr>
          <w:noProof/>
        </w:rPr>
      </w:pPr>
    </w:p>
    <w:p w:rsidR="007F6BFB" w:rsidRDefault="002E27DE">
      <w:pPr>
        <w:pStyle w:val="Heading"/>
        <w:spacing w:after="120"/>
        <w:rPr>
          <w:rStyle w:val="None"/>
          <w:rFonts w:cs="Times New Roman"/>
          <w:b w:val="0"/>
          <w:bCs w:val="0"/>
          <w:smallCaps w:val="0"/>
          <w:noProof/>
          <w:color w:val="auto"/>
        </w:rPr>
      </w:pPr>
      <w:r>
        <w:rPr>
          <w:noProof/>
        </w:rPr>
        <w:t xml:space="preserve">2. </w:t>
      </w:r>
      <w:r>
        <w:rPr>
          <w:noProof/>
        </w:rPr>
        <w:tab/>
        <w:t>Poprawa ram międzynarodowego zarządzania oceanami</w:t>
      </w:r>
    </w:p>
    <w:p w:rsidR="007F6BFB" w:rsidRDefault="007F6BFB">
      <w:pPr>
        <w:pStyle w:val="NoSpacing"/>
        <w:spacing w:after="120"/>
        <w:rPr>
          <w:noProof/>
        </w:rPr>
      </w:pPr>
    </w:p>
    <w:p w:rsidR="007F6BFB" w:rsidRDefault="002E27DE">
      <w:pPr>
        <w:pStyle w:val="NoSpacing"/>
        <w:spacing w:after="120"/>
        <w:rPr>
          <w:noProof/>
        </w:rPr>
      </w:pPr>
      <w:r>
        <w:rPr>
          <w:noProof/>
        </w:rPr>
        <w:t xml:space="preserve">Opierając się na </w:t>
      </w:r>
      <w:r>
        <w:rPr>
          <w:noProof/>
        </w:rPr>
        <w:t>międzynarodowym konsensusie, iż należy wzmocnić ramy zarządzania oceanami, Komisja i wysoki przedstawiciel będą dążyć do realizacji następujących działań:</w:t>
      </w:r>
    </w:p>
    <w:p w:rsidR="007F6BFB" w:rsidRDefault="002E27DE">
      <w:pPr>
        <w:rPr>
          <w:rStyle w:val="None"/>
          <w:rFonts w:eastAsia="Arial Unicode MS" w:cs="Arial Unicode MS"/>
          <w:b/>
          <w:noProof/>
          <w:color w:val="000000" w:themeColor="text1"/>
          <w:u w:color="FF0000"/>
        </w:rPr>
      </w:pPr>
      <w:r>
        <w:rPr>
          <w:noProof/>
        </w:rPr>
        <w:br w:type="page"/>
      </w:r>
    </w:p>
    <w:p w:rsidR="007F6BFB" w:rsidRDefault="002E27DE">
      <w:pPr>
        <w:pStyle w:val="ListBullet1"/>
        <w:tabs>
          <w:tab w:val="clear" w:pos="765"/>
          <w:tab w:val="left" w:pos="1134"/>
        </w:tabs>
        <w:spacing w:after="120"/>
        <w:rPr>
          <w:rStyle w:val="None"/>
          <w:rFonts w:cs="Times New Roman"/>
          <w:b/>
          <w:bCs/>
          <w:noProof/>
          <w:color w:val="000000" w:themeColor="text1"/>
        </w:rPr>
      </w:pPr>
      <w:r>
        <w:rPr>
          <w:rStyle w:val="None"/>
          <w:b/>
          <w:noProof/>
          <w:color w:val="000000" w:themeColor="text1"/>
        </w:rPr>
        <w:t xml:space="preserve">Działanie 1: </w:t>
      </w:r>
      <w:r>
        <w:rPr>
          <w:noProof/>
        </w:rPr>
        <w:tab/>
      </w:r>
      <w:r>
        <w:rPr>
          <w:rStyle w:val="None"/>
          <w:b/>
          <w:noProof/>
          <w:color w:val="000000" w:themeColor="text1"/>
        </w:rPr>
        <w:t>Usunięcie braków w ramach międzynarodowego zarządzania oceanami</w:t>
      </w:r>
    </w:p>
    <w:p w:rsidR="007F6BFB" w:rsidRDefault="007F6BFB">
      <w:pPr>
        <w:pStyle w:val="ListBullet1"/>
        <w:tabs>
          <w:tab w:val="clear" w:pos="765"/>
          <w:tab w:val="left" w:pos="1134"/>
        </w:tabs>
        <w:spacing w:after="120"/>
        <w:ind w:left="1134" w:hanging="1134"/>
        <w:rPr>
          <w:rStyle w:val="None"/>
          <w:rFonts w:cs="Times New Roman"/>
          <w:noProof/>
          <w:color w:val="auto"/>
        </w:rPr>
      </w:pPr>
    </w:p>
    <w:p w:rsidR="007F6BFB" w:rsidRDefault="002E27DE">
      <w:pPr>
        <w:pStyle w:val="ListDash"/>
        <w:spacing w:after="120"/>
        <w:rPr>
          <w:rStyle w:val="None"/>
          <w:rFonts w:cs="Times New Roman"/>
          <w:noProof/>
          <w:color w:val="000000" w:themeColor="text1"/>
        </w:rPr>
      </w:pPr>
      <w:r>
        <w:rPr>
          <w:rStyle w:val="None"/>
          <w:noProof/>
          <w:color w:val="000000" w:themeColor="text1"/>
        </w:rPr>
        <w:t xml:space="preserve">Komisja i </w:t>
      </w:r>
      <w:r>
        <w:rPr>
          <w:noProof/>
          <w:color w:val="000000" w:themeColor="text1"/>
        </w:rPr>
        <w:t xml:space="preserve">wysoki przedstawiciel </w:t>
      </w:r>
      <w:r>
        <w:rPr>
          <w:rStyle w:val="None"/>
          <w:noProof/>
          <w:color w:val="000000" w:themeColor="text1"/>
        </w:rPr>
        <w:t xml:space="preserve">będą nadal współpracować z państwami członkowskimi oraz partnerami międzynarodowymi na rzecz promowania wdrażania instrumentów wielostronnych, które zostały uzgodnione, ale jeszcze nie weszły w życie. Komisja i </w:t>
      </w:r>
      <w:r>
        <w:rPr>
          <w:noProof/>
          <w:color w:val="000000" w:themeColor="text1"/>
        </w:rPr>
        <w:t>wysoki przedstawiciel</w:t>
      </w:r>
      <w:r>
        <w:rPr>
          <w:rStyle w:val="None"/>
          <w:noProof/>
          <w:color w:val="000000" w:themeColor="text1"/>
        </w:rPr>
        <w:t xml:space="preserve"> z</w:t>
      </w:r>
      <w:r>
        <w:rPr>
          <w:rStyle w:val="None"/>
          <w:noProof/>
          <w:color w:val="000000" w:themeColor="text1"/>
        </w:rPr>
        <w:t>większą wysiłki na rzecz promowania podpisania, ratyfikacji, transpozycji i skutecznego wdrożenia kluczowych światowych instrumentów zarządzania oceanami, takich jak UNCLOS oraz jej istniejące umowy wykonawcze.</w:t>
      </w:r>
    </w:p>
    <w:p w:rsidR="007F6BFB" w:rsidRDefault="002E27DE">
      <w:pPr>
        <w:pStyle w:val="ListDash"/>
        <w:spacing w:after="120"/>
        <w:rPr>
          <w:noProof/>
          <w:color w:val="000000" w:themeColor="text1"/>
        </w:rPr>
      </w:pPr>
      <w:r>
        <w:rPr>
          <w:rStyle w:val="None"/>
          <w:noProof/>
          <w:color w:val="000000" w:themeColor="text1"/>
        </w:rPr>
        <w:t>Komisja będzie w dalszym ciągu brać aktywny u</w:t>
      </w:r>
      <w:r>
        <w:rPr>
          <w:rStyle w:val="None"/>
          <w:noProof/>
          <w:color w:val="000000" w:themeColor="text1"/>
        </w:rPr>
        <w:t>dział w tworzeniu prawnie wiążącego instrumentu w ramach UNCLOS</w:t>
      </w:r>
      <w:r>
        <w:rPr>
          <w:noProof/>
        </w:rPr>
        <w:t xml:space="preserve"> w sprawie ochrony i zrównoważonego wykorzystania morskiej różnorodności biologicznej na obszarach znajdujących się poza jurysdykcją krajową.</w:t>
      </w:r>
      <w:r>
        <w:rPr>
          <w:noProof/>
          <w:color w:val="000000" w:themeColor="text1"/>
        </w:rPr>
        <w:t xml:space="preserve"> W dalszym ciągu będzie wspierać międzynarodowe wysi</w:t>
      </w:r>
      <w:r>
        <w:rPr>
          <w:noProof/>
          <w:color w:val="000000" w:themeColor="text1"/>
        </w:rPr>
        <w:t>łki mające na celu ochronę różnorodności biologicznej mórz na innych właściwych forach międzynarodowych, w tym w ramach Konwencji o różnorodności biologicznej (CBD) oraz Konwencji o międzynarodowym handlu dzikimi zwierzętami i roślinami gatunków zagrożonyc</w:t>
      </w:r>
      <w:r>
        <w:rPr>
          <w:noProof/>
          <w:color w:val="000000" w:themeColor="text1"/>
        </w:rPr>
        <w:t>h wyginięciem (CITES).</w:t>
      </w:r>
    </w:p>
    <w:p w:rsidR="007F6BFB" w:rsidRDefault="002E27DE">
      <w:pPr>
        <w:pStyle w:val="ListDash"/>
        <w:spacing w:after="120"/>
        <w:rPr>
          <w:noProof/>
          <w:color w:val="000000" w:themeColor="text1"/>
        </w:rPr>
      </w:pPr>
      <w:r>
        <w:rPr>
          <w:noProof/>
          <w:color w:val="000000" w:themeColor="text1"/>
        </w:rPr>
        <w:t>Wraz z państwami członkowskimi i wszystkimi innymi stronami, w tym partnerami międzynarodowymi, przemysłem i organizacjami społeczeństwa obywatelskiego, Komisja i wysoki przedstawiciel zbadają, jakie dobrowolne, pozaprawne i uzupełni</w:t>
      </w:r>
      <w:r>
        <w:rPr>
          <w:noProof/>
          <w:color w:val="000000" w:themeColor="text1"/>
        </w:rPr>
        <w:t xml:space="preserve">ające kroki można podjąć w celu wsparcia zarządzania oceanami. </w:t>
      </w:r>
    </w:p>
    <w:p w:rsidR="007F6BFB" w:rsidRDefault="002E27DE">
      <w:pPr>
        <w:pStyle w:val="ListDash"/>
        <w:numPr>
          <w:ilvl w:val="0"/>
          <w:numId w:val="6"/>
        </w:numPr>
        <w:pBdr>
          <w:top w:val="single" w:sz="4" w:space="1" w:color="auto"/>
          <w:left w:val="single" w:sz="4" w:space="14" w:color="auto"/>
          <w:bottom w:val="single" w:sz="4" w:space="1" w:color="auto"/>
          <w:right w:val="single" w:sz="4" w:space="4" w:color="auto"/>
        </w:pBdr>
        <w:spacing w:after="120"/>
        <w:rPr>
          <w:i/>
          <w:noProof/>
          <w:color w:val="000000" w:themeColor="text1"/>
        </w:rPr>
      </w:pPr>
      <w:r>
        <w:rPr>
          <w:i/>
          <w:noProof/>
          <w:color w:val="000000" w:themeColor="text1"/>
        </w:rPr>
        <w:t>Komisja i wysoki przedstawiciel będą współpracować z państwami członkowskimi i partnerami międzynarodowymi w zakresie zapewnienia przyjęcia, ratyfikacji i wdrożenia kluczowych instrumentów zar</w:t>
      </w:r>
      <w:r>
        <w:rPr>
          <w:i/>
          <w:noProof/>
          <w:color w:val="000000" w:themeColor="text1"/>
        </w:rPr>
        <w:t>ządzania oceanami, np. planowanej umowy wykonawczej UNCLOS w sprawie różnorodności biologicznej na obszarach znajdujących się poza jurysdykcją krajową oraz konwencji MOP dotyczącej pracy w sektorze rybołówstwa.</w:t>
      </w:r>
    </w:p>
    <w:p w:rsidR="007F6BFB" w:rsidRDefault="002E27DE">
      <w:pPr>
        <w:pStyle w:val="ListDash"/>
        <w:numPr>
          <w:ilvl w:val="0"/>
          <w:numId w:val="6"/>
        </w:numPr>
        <w:pBdr>
          <w:top w:val="single" w:sz="4" w:space="1" w:color="auto"/>
          <w:left w:val="single" w:sz="4" w:space="14" w:color="auto"/>
          <w:bottom w:val="single" w:sz="4" w:space="1" w:color="auto"/>
          <w:right w:val="single" w:sz="4" w:space="4" w:color="auto"/>
        </w:pBdr>
        <w:spacing w:after="120"/>
        <w:rPr>
          <w:i/>
          <w:noProof/>
          <w:color w:val="000000" w:themeColor="text1"/>
        </w:rPr>
      </w:pPr>
      <w:r>
        <w:rPr>
          <w:i/>
          <w:noProof/>
          <w:color w:val="000000" w:themeColor="text1"/>
        </w:rPr>
        <w:t>Komisja i wysoki przedstawiciel będą wspierać</w:t>
      </w:r>
      <w:r>
        <w:rPr>
          <w:i/>
          <w:noProof/>
          <w:color w:val="000000" w:themeColor="text1"/>
        </w:rPr>
        <w:t xml:space="preserve"> międzynarodowe wysiłki na rzecz ochrony różnorodności biologicznej mórz we wszystkich właściwych instytucjach międzynarodowych.</w:t>
      </w:r>
    </w:p>
    <w:p w:rsidR="007F6BFB" w:rsidRDefault="002E27DE">
      <w:pPr>
        <w:pStyle w:val="ListDash"/>
        <w:numPr>
          <w:ilvl w:val="0"/>
          <w:numId w:val="6"/>
        </w:numPr>
        <w:pBdr>
          <w:top w:val="single" w:sz="4" w:space="1" w:color="auto"/>
          <w:left w:val="single" w:sz="4" w:space="14" w:color="auto"/>
          <w:bottom w:val="single" w:sz="4" w:space="1" w:color="auto"/>
          <w:right w:val="single" w:sz="4" w:space="4" w:color="auto"/>
        </w:pBdr>
        <w:spacing w:after="120"/>
        <w:rPr>
          <w:i/>
          <w:noProof/>
          <w:color w:val="000000" w:themeColor="text1"/>
        </w:rPr>
      </w:pPr>
      <w:r>
        <w:rPr>
          <w:i/>
          <w:noProof/>
          <w:color w:val="000000" w:themeColor="text1"/>
        </w:rPr>
        <w:t>Do 2018 r. Komisja opracuje wytyczne dotyczące poszukiwania i eksploatacji zasobów naturalnych na dnie morskim na obszarach pod</w:t>
      </w:r>
      <w:r>
        <w:rPr>
          <w:i/>
          <w:noProof/>
          <w:color w:val="000000" w:themeColor="text1"/>
        </w:rPr>
        <w:t>legających jurysdykcji krajowej, tak aby pomóc nadbrzeżnym państwom członkowskim UE w przestrzeganiu swoich obowiązków wynikających z UNCLOS w celu ochrony i zachowania środowiska morskiego.</w:t>
      </w:r>
    </w:p>
    <w:p w:rsidR="007F6BFB" w:rsidRDefault="002E27DE">
      <w:pPr>
        <w:pStyle w:val="ListDash"/>
        <w:numPr>
          <w:ilvl w:val="0"/>
          <w:numId w:val="19"/>
        </w:numPr>
        <w:pBdr>
          <w:top w:val="single" w:sz="4" w:space="1" w:color="auto"/>
          <w:left w:val="single" w:sz="4" w:space="14" w:color="auto"/>
          <w:bottom w:val="single" w:sz="4" w:space="1" w:color="auto"/>
          <w:right w:val="single" w:sz="4" w:space="4" w:color="auto"/>
        </w:pBdr>
        <w:spacing w:after="120"/>
        <w:rPr>
          <w:i/>
          <w:noProof/>
          <w:color w:val="000000" w:themeColor="text1"/>
        </w:rPr>
      </w:pPr>
      <w:r>
        <w:rPr>
          <w:i/>
          <w:noProof/>
          <w:color w:val="000000" w:themeColor="text1"/>
        </w:rPr>
        <w:t xml:space="preserve">Komisja i wysoki przedstawiciel będą realizować swoje regionalne </w:t>
      </w:r>
      <w:r>
        <w:rPr>
          <w:i/>
          <w:noProof/>
          <w:color w:val="000000" w:themeColor="text1"/>
        </w:rPr>
        <w:t>inicjatywy poza UE w zakresie zrównoważonego rozwoju basenów morskich, we współpracy ze wszystkimi odpowiednimi organizacjami regionalnymi i międzynarodowymi, oraz strategie, takie jak strategie dotyczące Rogu Afryki i Zatoki Gwinejskiej, w których współpr</w:t>
      </w:r>
      <w:r>
        <w:rPr>
          <w:i/>
          <w:noProof/>
          <w:color w:val="000000" w:themeColor="text1"/>
        </w:rPr>
        <w:t>acę w zakresie obszarów morskich postrzega się jako narzędzie zapewniania bezpieczeństwa i zrównoważonego rozwoju.</w:t>
      </w:r>
    </w:p>
    <w:p w:rsidR="007F6BFB" w:rsidRDefault="007F6BFB">
      <w:pPr>
        <w:pStyle w:val="ListBullet1"/>
        <w:spacing w:after="120"/>
        <w:ind w:left="1134" w:hanging="1134"/>
        <w:rPr>
          <w:rStyle w:val="None"/>
          <w:rFonts w:cs="Times New Roman"/>
          <w:b/>
          <w:bCs/>
          <w:noProof/>
          <w:color w:val="000000" w:themeColor="text1"/>
        </w:rPr>
      </w:pPr>
    </w:p>
    <w:p w:rsidR="007F6BFB" w:rsidRDefault="002E27DE">
      <w:pPr>
        <w:pStyle w:val="ListBullet1"/>
        <w:spacing w:after="120"/>
        <w:ind w:left="1134" w:hanging="1134"/>
        <w:rPr>
          <w:noProof/>
          <w:color w:val="000000" w:themeColor="text1"/>
        </w:rPr>
      </w:pPr>
      <w:r>
        <w:rPr>
          <w:rStyle w:val="None"/>
          <w:b/>
          <w:noProof/>
          <w:color w:val="000000" w:themeColor="text1"/>
        </w:rPr>
        <w:t xml:space="preserve">Działanie 2: </w:t>
      </w:r>
      <w:r>
        <w:rPr>
          <w:noProof/>
        </w:rPr>
        <w:tab/>
      </w:r>
      <w:r>
        <w:rPr>
          <w:rStyle w:val="None"/>
          <w:b/>
          <w:noProof/>
          <w:color w:val="000000" w:themeColor="text1"/>
        </w:rPr>
        <w:t>Promowanie regionalnego zarządzania rybołówstwem i współpracy na kluczowych obszarach oceanów celem wyeliminowania regionalnyc</w:t>
      </w:r>
      <w:r>
        <w:rPr>
          <w:rStyle w:val="None"/>
          <w:b/>
          <w:noProof/>
          <w:color w:val="000000" w:themeColor="text1"/>
        </w:rPr>
        <w:t>h braków w zarządzaniu</w:t>
      </w:r>
    </w:p>
    <w:p w:rsidR="007F6BFB" w:rsidRDefault="007F6BFB">
      <w:pPr>
        <w:pStyle w:val="ListBullet1"/>
        <w:spacing w:after="120"/>
        <w:ind w:left="1134" w:hanging="1134"/>
        <w:rPr>
          <w:noProof/>
          <w:color w:val="000000" w:themeColor="text1"/>
        </w:rPr>
      </w:pPr>
    </w:p>
    <w:p w:rsidR="007F6BFB" w:rsidRDefault="002E27DE">
      <w:pPr>
        <w:pStyle w:val="Text2"/>
        <w:spacing w:after="120"/>
        <w:ind w:left="0"/>
        <w:rPr>
          <w:noProof/>
        </w:rPr>
      </w:pPr>
      <w:r>
        <w:rPr>
          <w:noProof/>
        </w:rPr>
        <w:t>Regionalne organizacje ds. zarządzania rybołówstwem (RFMO) są kluczowymi organizacjami międzynarodowymi w zakresie ochrony i zrównoważonego wykorzystania międzystrefowych i daleko migrujących zasobów rybnych. Poprawa i regularne prz</w:t>
      </w:r>
      <w:r>
        <w:rPr>
          <w:noProof/>
        </w:rPr>
        <w:t xml:space="preserve">eglądy ich wyników (np. w zakresie nauki, przejrzystości przestrzegania przepisów i procesu decyzyjnego) są głównymi elementami działań UE w ramach tych forów. </w:t>
      </w:r>
    </w:p>
    <w:p w:rsidR="007F6BFB" w:rsidRDefault="002E27DE">
      <w:pPr>
        <w:pStyle w:val="Text2"/>
        <w:spacing w:after="120"/>
        <w:ind w:left="0"/>
        <w:rPr>
          <w:noProof/>
        </w:rPr>
      </w:pPr>
      <w:r>
        <w:rPr>
          <w:noProof/>
        </w:rPr>
        <w:t>Większość środkowej części Oceanu Arktycznego, jednego z najbardziej niestabilnych regionów mor</w:t>
      </w:r>
      <w:r>
        <w:rPr>
          <w:noProof/>
        </w:rPr>
        <w:t>skich na świecie, nie jest objęta międzynarodowymi systemami ochrony i zarządzania. Zgodnie z niedawno przedstawionym przez siebie projektem zintegrowanej polityki w regionie Arktyki</w:t>
      </w:r>
      <w:r>
        <w:rPr>
          <w:rStyle w:val="FootnoteReference"/>
          <w:noProof/>
          <w:color w:val="000000" w:themeColor="text1"/>
        </w:rPr>
        <w:footnoteReference w:id="12"/>
      </w:r>
      <w:r>
        <w:rPr>
          <w:noProof/>
        </w:rPr>
        <w:t xml:space="preserve"> UE</w:t>
      </w:r>
      <w:r>
        <w:rPr>
          <w:rStyle w:val="CommentReference"/>
          <w:noProof/>
          <w:color w:val="auto"/>
          <w:sz w:val="20"/>
        </w:rPr>
        <w:t> </w:t>
      </w:r>
      <w:r>
        <w:rPr>
          <w:noProof/>
        </w:rPr>
        <w:t>powinna dążyć do zapewnienia zrównoważonego rozwoju w regionie i wokó</w:t>
      </w:r>
      <w:r>
        <w:rPr>
          <w:noProof/>
        </w:rPr>
        <w:t>ł niego w oparciu o współpracę międzynarodową. W szczególności będzie ona wspierać utworzenie RFMO/porozumienia w regionie Arktyki oraz promować ochronę różnorodności biologicznej poprzez ustanowienie chronionych obszarów morskich.</w:t>
      </w:r>
    </w:p>
    <w:p w:rsidR="007F6BFB" w:rsidRDefault="002E27DE">
      <w:pPr>
        <w:pStyle w:val="Text2"/>
        <w:spacing w:after="120"/>
        <w:ind w:left="0"/>
        <w:rPr>
          <w:noProof/>
        </w:rPr>
      </w:pPr>
      <w:r>
        <w:rPr>
          <w:noProof/>
        </w:rPr>
        <w:t>Inne strategie regionaln</w:t>
      </w:r>
      <w:r>
        <w:rPr>
          <w:noProof/>
        </w:rPr>
        <w:t xml:space="preserve">e UE (np. w Zatoce Gwinejskiej i Rogu Afryki) powinny odgrywać zasadniczą rolę w poprawie ochrony zasobów rybnych i zarządzania nimi oraz stwarzać ramy na rzecz rozwiązania kwestii połowów NNN. </w:t>
      </w:r>
    </w:p>
    <w:p w:rsidR="007F6BFB" w:rsidRDefault="002E27DE">
      <w:pPr>
        <w:pStyle w:val="ListBullet1"/>
        <w:numPr>
          <w:ilvl w:val="0"/>
          <w:numId w:val="18"/>
        </w:numPr>
        <w:pBdr>
          <w:top w:val="single" w:sz="4" w:space="1" w:color="auto"/>
          <w:left w:val="single" w:sz="4" w:space="4" w:color="auto"/>
          <w:bottom w:val="single" w:sz="4" w:space="1" w:color="auto"/>
          <w:right w:val="single" w:sz="4" w:space="4" w:color="auto"/>
        </w:pBdr>
        <w:tabs>
          <w:tab w:val="clear" w:pos="765"/>
        </w:tabs>
        <w:spacing w:after="120"/>
        <w:rPr>
          <w:noProof/>
          <w:color w:val="auto"/>
        </w:rPr>
      </w:pPr>
      <w:r>
        <w:rPr>
          <w:i/>
          <w:noProof/>
        </w:rPr>
        <w:t xml:space="preserve">Komisja będzie współpracować z międzynarodowymi partnerami w </w:t>
      </w:r>
      <w:r>
        <w:rPr>
          <w:i/>
          <w:noProof/>
        </w:rPr>
        <w:t>celu tworzenia RFMO lub porozumień w odniesieniu do gatunków i obszarów jeszcze nieobjętych ustaleniami. W szczególności UE będzie wspierać wielostronną umowę zapobiegającą nieuregulowanym połowom na morzu pełnym w środkowej części Oceanu Arktycznego do mo</w:t>
      </w:r>
      <w:r>
        <w:rPr>
          <w:i/>
          <w:noProof/>
        </w:rPr>
        <w:t>mentu wejścia w życie RFMO/P.</w:t>
      </w:r>
      <w:r>
        <w:rPr>
          <w:i/>
          <w:noProof/>
          <w:color w:val="auto"/>
        </w:rPr>
        <w:t xml:space="preserve"> </w:t>
      </w:r>
    </w:p>
    <w:p w:rsidR="007F6BFB" w:rsidRDefault="002E27DE">
      <w:pPr>
        <w:pStyle w:val="ListBullet1"/>
        <w:numPr>
          <w:ilvl w:val="0"/>
          <w:numId w:val="18"/>
        </w:numPr>
        <w:pBdr>
          <w:top w:val="single" w:sz="4" w:space="1" w:color="auto"/>
          <w:left w:val="single" w:sz="4" w:space="4" w:color="auto"/>
          <w:bottom w:val="single" w:sz="4" w:space="1" w:color="auto"/>
          <w:right w:val="single" w:sz="4" w:space="4" w:color="auto"/>
        </w:pBdr>
        <w:tabs>
          <w:tab w:val="clear" w:pos="765"/>
        </w:tabs>
        <w:spacing w:after="120"/>
        <w:rPr>
          <w:i/>
          <w:noProof/>
        </w:rPr>
      </w:pPr>
      <w:r>
        <w:rPr>
          <w:i/>
          <w:noProof/>
        </w:rPr>
        <w:t>Komisja będzie wspierać modernizację do roku 2020 Komitetu ds. Rybołówstwa na Środkowym i Wschodnim Atlantyku oraz Komisję ds. Rybołówstwa na Środkowym i Zachodnim Atlantyku. Będzie również wspierać regionalne organy ds. rybo</w:t>
      </w:r>
      <w:r>
        <w:rPr>
          <w:i/>
          <w:noProof/>
        </w:rPr>
        <w:t>łówstwa oraz inicjatywy na rzecz poprawy współpracy między państwami np. w kwestiach połowów NNN.</w:t>
      </w:r>
    </w:p>
    <w:p w:rsidR="007F6BFB" w:rsidRDefault="002E27DE">
      <w:pPr>
        <w:pStyle w:val="ListBullet1"/>
        <w:numPr>
          <w:ilvl w:val="0"/>
          <w:numId w:val="18"/>
        </w:numPr>
        <w:pBdr>
          <w:top w:val="single" w:sz="4" w:space="1" w:color="auto"/>
          <w:left w:val="single" w:sz="4" w:space="4" w:color="auto"/>
          <w:bottom w:val="single" w:sz="4" w:space="1" w:color="auto"/>
          <w:right w:val="single" w:sz="4" w:space="4" w:color="auto"/>
        </w:pBdr>
        <w:tabs>
          <w:tab w:val="clear" w:pos="765"/>
        </w:tabs>
        <w:spacing w:after="120"/>
        <w:rPr>
          <w:i/>
          <w:iCs/>
          <w:noProof/>
          <w:color w:val="auto"/>
        </w:rPr>
      </w:pPr>
      <w:r>
        <w:rPr>
          <w:i/>
          <w:noProof/>
        </w:rPr>
        <w:t>Komisja będzie promować usprawnienia w funkcjonowaniu istniejących regionalnych organów ds. zarządzania rybołówstwem, w szczególności poprzez wspieranie regul</w:t>
      </w:r>
      <w:r>
        <w:rPr>
          <w:i/>
          <w:noProof/>
        </w:rPr>
        <w:t>arnych przeglądów wyników.</w:t>
      </w:r>
    </w:p>
    <w:p w:rsidR="007F6BFB" w:rsidRDefault="007F6BFB">
      <w:pPr>
        <w:pStyle w:val="ListBullet1"/>
        <w:spacing w:after="120"/>
        <w:ind w:left="1134" w:hanging="1134"/>
        <w:rPr>
          <w:rStyle w:val="None"/>
          <w:rFonts w:cs="Times New Roman"/>
          <w:b/>
          <w:bCs/>
          <w:noProof/>
          <w:color w:val="000000" w:themeColor="text1"/>
        </w:rPr>
      </w:pPr>
    </w:p>
    <w:p w:rsidR="007F6BFB" w:rsidRDefault="002E27DE">
      <w:pPr>
        <w:pStyle w:val="ListBullet1"/>
        <w:spacing w:after="120"/>
        <w:ind w:left="1134" w:hanging="1134"/>
        <w:rPr>
          <w:b/>
          <w:noProof/>
          <w:color w:val="000000" w:themeColor="text1"/>
        </w:rPr>
      </w:pPr>
      <w:r>
        <w:rPr>
          <w:rStyle w:val="None"/>
          <w:b/>
          <w:noProof/>
          <w:color w:val="000000" w:themeColor="text1"/>
        </w:rPr>
        <w:t>Działanie 3:</w:t>
      </w:r>
      <w:r>
        <w:rPr>
          <w:noProof/>
          <w:color w:val="000000" w:themeColor="text1"/>
        </w:rPr>
        <w:t xml:space="preserve"> </w:t>
      </w:r>
      <w:r>
        <w:rPr>
          <w:noProof/>
        </w:rPr>
        <w:tab/>
      </w:r>
      <w:r>
        <w:rPr>
          <w:rStyle w:val="None"/>
          <w:b/>
          <w:noProof/>
          <w:color w:val="000000" w:themeColor="text1"/>
        </w:rPr>
        <w:t xml:space="preserve">Poprawa koordynacji i współpracy między organizacjami międzynarodowymi </w:t>
      </w:r>
      <w:r>
        <w:rPr>
          <w:b/>
          <w:noProof/>
          <w:color w:val="000000" w:themeColor="text1"/>
        </w:rPr>
        <w:t>oraz uruchomienie partnerstw oceanicznych na rzecz zarządzania oceanami</w:t>
      </w:r>
    </w:p>
    <w:p w:rsidR="007F6BFB" w:rsidRDefault="007F6BFB">
      <w:pPr>
        <w:pStyle w:val="ListBullet1"/>
        <w:spacing w:after="120"/>
        <w:ind w:left="1134" w:hanging="1134"/>
        <w:rPr>
          <w:b/>
          <w:noProof/>
          <w:color w:val="000000" w:themeColor="text1"/>
        </w:rPr>
      </w:pPr>
    </w:p>
    <w:p w:rsidR="007F6BFB" w:rsidRDefault="002E27DE">
      <w:pPr>
        <w:pStyle w:val="ListBullet1"/>
        <w:spacing w:after="120"/>
        <w:rPr>
          <w:noProof/>
          <w:color w:val="000000" w:themeColor="text1"/>
        </w:rPr>
      </w:pPr>
      <w:r>
        <w:rPr>
          <w:noProof/>
          <w:color w:val="000000" w:themeColor="text1"/>
        </w:rPr>
        <w:t>UE powinna przyczynić się do poprawy koordynacji i współpracy między o</w:t>
      </w:r>
      <w:r>
        <w:rPr>
          <w:noProof/>
          <w:color w:val="000000" w:themeColor="text1"/>
        </w:rPr>
        <w:t>rganizacjami międzynarodowymi mającymi mandat w zakresie oceanów. Można tego dokonać poprzez protokoły ustaleń i umowy o współpracy w celu wzmocnienia koordynacji między organami o takich samych lub uzupełniających się celach. Komisja rozważy wznowienie tz</w:t>
      </w:r>
      <w:r>
        <w:rPr>
          <w:noProof/>
          <w:color w:val="000000" w:themeColor="text1"/>
        </w:rPr>
        <w:t>w. procesu z Kobe dotyczącego RFMO zajmujących się tuńczykiem i rozszerzenie tego procesu na wszystkie RFMO. UE będzie również wspierać rolę wielostronnych mechanizmów współpracy, np. UN-Oceans – w szczególności w kontekście przeglądu jego mandatu w 2017 r</w:t>
      </w:r>
      <w:r>
        <w:rPr>
          <w:noProof/>
          <w:color w:val="000000" w:themeColor="text1"/>
        </w:rPr>
        <w:t>., IOC, ISA oraz organizacje kontynentalne i regionalne, które opracowały strategie na rzecz ochrony i poszanowania obszarów morskich.</w:t>
      </w:r>
    </w:p>
    <w:p w:rsidR="007F6BFB" w:rsidRDefault="002E27DE">
      <w:pPr>
        <w:pStyle w:val="ListBullet1"/>
        <w:spacing w:after="120"/>
        <w:rPr>
          <w:noProof/>
          <w:color w:val="000000" w:themeColor="text1"/>
        </w:rPr>
      </w:pPr>
      <w:r>
        <w:rPr>
          <w:noProof/>
          <w:color w:val="000000" w:themeColor="text1"/>
        </w:rPr>
        <w:t>Komisja bierze udział w rozmowach dwustronnych dotyczących gospodarki morskiej i rybołówstwa z kluczowymi podmiotami poli</w:t>
      </w:r>
      <w:r>
        <w:rPr>
          <w:noProof/>
          <w:color w:val="000000" w:themeColor="text1"/>
        </w:rPr>
        <w:t xml:space="preserve">tyki w zakresie oceanów, w tym Australią, Kanadą, Chinami, Japonią, Nową Zelandią i Stanami Zjednoczonymi. W ciągu najbliższych pięciu lat zamierza stopniowo przekształcić te rozmowy w „partnerstwa oceaniczne”. Wzmocni to współpracę w kluczowych obszarach </w:t>
      </w:r>
      <w:r>
        <w:rPr>
          <w:noProof/>
          <w:color w:val="000000" w:themeColor="text1"/>
        </w:rPr>
        <w:t>zarządzania oceanami, takich jak realizacja celów zrównoważonego rozwoju w zakresie oceanów, budowanie zdolności, promowanie ochrony i zrównoważonego „niebieskiego wzrostu”, badania morskie, międzynarodowe zarządzanie rybołówstwem, godne warunki pracy, zwa</w:t>
      </w:r>
      <w:r>
        <w:rPr>
          <w:noProof/>
          <w:color w:val="000000" w:themeColor="text1"/>
        </w:rPr>
        <w:t>lczanie połowów NNN i bezpieczeństwo morskie.</w:t>
      </w:r>
    </w:p>
    <w:p w:rsidR="007F6BFB" w:rsidRDefault="002E27DE">
      <w:pPr>
        <w:pStyle w:val="Text2"/>
        <w:numPr>
          <w:ilvl w:val="0"/>
          <w:numId w:val="7"/>
        </w:numPr>
        <w:pBdr>
          <w:top w:val="single" w:sz="4" w:space="0" w:color="000000"/>
          <w:left w:val="single" w:sz="4" w:space="0" w:color="000000"/>
          <w:bottom w:val="single" w:sz="4" w:space="0" w:color="000000"/>
          <w:right w:val="single" w:sz="4" w:space="0" w:color="000000"/>
        </w:pBdr>
        <w:spacing w:after="120"/>
        <w:rPr>
          <w:i/>
          <w:noProof/>
        </w:rPr>
      </w:pPr>
      <w:r>
        <w:rPr>
          <w:i/>
          <w:noProof/>
        </w:rPr>
        <w:t xml:space="preserve">Komisja i wysoki przedstawiciel będą wspierać lepszą współpracę i koordynację między organizacjami globalnymi i regionalnymi mającymi mandat w zakresie oceanów, w tym za pośrednictwem nowych lub istniejących </w:t>
      </w:r>
      <w:r>
        <w:rPr>
          <w:i/>
          <w:noProof/>
        </w:rPr>
        <w:t>ram.</w:t>
      </w:r>
    </w:p>
    <w:p w:rsidR="007F6BFB" w:rsidRDefault="002E27DE">
      <w:pPr>
        <w:pStyle w:val="Text2"/>
        <w:numPr>
          <w:ilvl w:val="0"/>
          <w:numId w:val="7"/>
        </w:numPr>
        <w:pBdr>
          <w:top w:val="single" w:sz="4" w:space="0" w:color="000000"/>
          <w:left w:val="single" w:sz="4" w:space="0" w:color="000000"/>
          <w:bottom w:val="single" w:sz="4" w:space="0" w:color="000000"/>
          <w:right w:val="single" w:sz="4" w:space="0" w:color="000000"/>
        </w:pBdr>
        <w:spacing w:after="120"/>
        <w:rPr>
          <w:i/>
          <w:noProof/>
        </w:rPr>
      </w:pPr>
      <w:r>
        <w:rPr>
          <w:i/>
          <w:noProof/>
        </w:rPr>
        <w:t>Komisja będzie wspierać lepszą koordynację między RFMO a regionalnymi konwencjami morskimi oraz współpracę z organizacjami światowymi</w:t>
      </w:r>
      <w:r>
        <w:rPr>
          <w:rStyle w:val="FootnoteReference"/>
          <w:noProof/>
        </w:rPr>
        <w:footnoteReference w:id="13"/>
      </w:r>
      <w:r>
        <w:rPr>
          <w:noProof/>
        </w:rPr>
        <w:t>.</w:t>
      </w:r>
    </w:p>
    <w:p w:rsidR="007F6BFB" w:rsidRDefault="002E27DE">
      <w:pPr>
        <w:pStyle w:val="Text2"/>
        <w:numPr>
          <w:ilvl w:val="0"/>
          <w:numId w:val="7"/>
        </w:numPr>
        <w:pBdr>
          <w:top w:val="single" w:sz="4" w:space="0" w:color="000000"/>
          <w:left w:val="single" w:sz="4" w:space="0" w:color="000000"/>
          <w:bottom w:val="single" w:sz="4" w:space="0" w:color="000000"/>
          <w:right w:val="single" w:sz="4" w:space="0" w:color="000000"/>
        </w:pBdr>
        <w:spacing w:after="120"/>
        <w:rPr>
          <w:rFonts w:cs="Times New Roman"/>
          <w:i/>
          <w:noProof/>
        </w:rPr>
      </w:pPr>
      <w:r>
        <w:rPr>
          <w:i/>
          <w:noProof/>
          <w:color w:val="auto"/>
        </w:rPr>
        <w:t xml:space="preserve">Komisja będzie wspierać globalne wysiłki na rzecz ochrony różnorodności biologicznej mórz we wszystkich właściwych </w:t>
      </w:r>
      <w:r>
        <w:rPr>
          <w:i/>
          <w:noProof/>
          <w:color w:val="auto"/>
        </w:rPr>
        <w:t xml:space="preserve">instytucjach międzynarodowych, np. wspierając działania priorytetowe przyjęte przez </w:t>
      </w:r>
      <w:r>
        <w:rPr>
          <w:rStyle w:val="st1"/>
          <w:i/>
          <w:noProof/>
          <w:color w:val="auto"/>
        </w:rPr>
        <w:t>12. posiedzenie Konferencji Stron Konwencji o różnorodności biologicznej w sprawie różnorodności biologicznej obszarów morskich i przybrzeżnych</w:t>
      </w:r>
      <w:r>
        <w:rPr>
          <w:rStyle w:val="FootnoteReference"/>
          <w:i/>
          <w:noProof/>
          <w:color w:val="auto"/>
        </w:rPr>
        <w:footnoteReference w:id="14"/>
      </w:r>
      <w:r>
        <w:rPr>
          <w:i/>
          <w:noProof/>
          <w:color w:val="auto"/>
        </w:rPr>
        <w:t xml:space="preserve"> oraz inne decyzje związane </w:t>
      </w:r>
      <w:r>
        <w:rPr>
          <w:i/>
          <w:noProof/>
          <w:color w:val="auto"/>
        </w:rPr>
        <w:t>z identyfikacją obszarów morskich istotnych pod względem ekologicznym lub biologicznym.</w:t>
      </w:r>
    </w:p>
    <w:p w:rsidR="007F6BFB" w:rsidRDefault="002E27DE">
      <w:pPr>
        <w:pStyle w:val="Text2"/>
        <w:numPr>
          <w:ilvl w:val="0"/>
          <w:numId w:val="7"/>
        </w:numPr>
        <w:pBdr>
          <w:top w:val="single" w:sz="4" w:space="0" w:color="000000"/>
          <w:left w:val="single" w:sz="4" w:space="0" w:color="000000"/>
          <w:bottom w:val="single" w:sz="4" w:space="0" w:color="000000"/>
          <w:right w:val="single" w:sz="4" w:space="0" w:color="000000"/>
        </w:pBdr>
        <w:spacing w:after="120"/>
        <w:rPr>
          <w:i/>
          <w:noProof/>
        </w:rPr>
      </w:pPr>
      <w:r>
        <w:rPr>
          <w:i/>
          <w:noProof/>
        </w:rPr>
        <w:t>Komisja zapewni skuteczną realizację decyzji podjętych w celu ochrony gatunków morskich na 16. i 17. Konferencji Stron CITES</w:t>
      </w:r>
      <w:r>
        <w:rPr>
          <w:rStyle w:val="FootnoteReference"/>
          <w:i/>
          <w:noProof/>
        </w:rPr>
        <w:footnoteReference w:id="15"/>
      </w:r>
      <w:r>
        <w:rPr>
          <w:noProof/>
        </w:rPr>
        <w:t>.</w:t>
      </w:r>
    </w:p>
    <w:p w:rsidR="007F6BFB" w:rsidRDefault="002E27DE">
      <w:pPr>
        <w:pStyle w:val="Text2"/>
        <w:numPr>
          <w:ilvl w:val="0"/>
          <w:numId w:val="7"/>
        </w:numPr>
        <w:pBdr>
          <w:top w:val="single" w:sz="4" w:space="0" w:color="000000"/>
          <w:left w:val="single" w:sz="4" w:space="0" w:color="000000"/>
          <w:bottom w:val="single" w:sz="4" w:space="0" w:color="000000"/>
          <w:right w:val="single" w:sz="4" w:space="0" w:color="000000"/>
        </w:pBdr>
        <w:spacing w:after="120"/>
        <w:rPr>
          <w:i/>
          <w:noProof/>
        </w:rPr>
      </w:pPr>
      <w:r>
        <w:rPr>
          <w:i/>
          <w:noProof/>
        </w:rPr>
        <w:t xml:space="preserve">Komisja i wysoki przedstawiciel będą </w:t>
      </w:r>
      <w:r>
        <w:rPr>
          <w:i/>
          <w:noProof/>
        </w:rPr>
        <w:t>wspierać wielostronne mechanizmy współpracy, np. UN-Oceans, w kontekście zbliżającego się przeglądu jego mandatu oraz w celu wzmocnienia jego roli koordynującej.</w:t>
      </w:r>
    </w:p>
    <w:p w:rsidR="007F6BFB" w:rsidRDefault="002E27DE">
      <w:pPr>
        <w:pStyle w:val="Text2"/>
        <w:numPr>
          <w:ilvl w:val="0"/>
          <w:numId w:val="7"/>
        </w:numPr>
        <w:pBdr>
          <w:top w:val="single" w:sz="4" w:space="0" w:color="000000"/>
          <w:left w:val="single" w:sz="4" w:space="0" w:color="000000"/>
          <w:bottom w:val="single" w:sz="4" w:space="0" w:color="000000"/>
          <w:right w:val="single" w:sz="4" w:space="0" w:color="000000"/>
        </w:pBdr>
        <w:spacing w:after="120"/>
        <w:rPr>
          <w:i/>
          <w:noProof/>
        </w:rPr>
      </w:pPr>
      <w:r>
        <w:rPr>
          <w:i/>
          <w:noProof/>
        </w:rPr>
        <w:t>Komisja zaproponuje rozwijanie partnerstw oceanicznych z kluczowymi podmiotami polityki w zakr</w:t>
      </w:r>
      <w:r>
        <w:rPr>
          <w:i/>
          <w:noProof/>
        </w:rPr>
        <w:t>esie oceanów.</w:t>
      </w:r>
    </w:p>
    <w:p w:rsidR="007F6BFB" w:rsidRDefault="007F6BFB">
      <w:pPr>
        <w:pStyle w:val="ListBullet1"/>
        <w:keepNext/>
        <w:spacing w:after="120"/>
        <w:rPr>
          <w:rStyle w:val="None"/>
          <w:rFonts w:cs="Times New Roman"/>
          <w:b/>
          <w:bCs/>
          <w:noProof/>
          <w:color w:val="000000" w:themeColor="text1"/>
        </w:rPr>
      </w:pPr>
    </w:p>
    <w:p w:rsidR="007F6BFB" w:rsidRDefault="002E27DE">
      <w:pPr>
        <w:pStyle w:val="ListBullet1"/>
        <w:keepNext/>
        <w:spacing w:after="120"/>
        <w:rPr>
          <w:noProof/>
          <w:color w:val="000000" w:themeColor="text1"/>
        </w:rPr>
      </w:pPr>
      <w:r>
        <w:rPr>
          <w:rStyle w:val="None"/>
          <w:b/>
          <w:noProof/>
          <w:color w:val="000000" w:themeColor="text1"/>
        </w:rPr>
        <w:t xml:space="preserve">Działanie 4: Budowanie zdolności </w:t>
      </w:r>
    </w:p>
    <w:p w:rsidR="007F6BFB" w:rsidRDefault="007F6BFB">
      <w:pPr>
        <w:pStyle w:val="ListBullet1"/>
        <w:spacing w:after="120"/>
        <w:rPr>
          <w:rStyle w:val="None"/>
          <w:rFonts w:cs="Times New Roman"/>
          <w:noProof/>
          <w:color w:val="000000" w:themeColor="text1"/>
          <w:u w:color="FF0000"/>
        </w:rPr>
      </w:pPr>
    </w:p>
    <w:p w:rsidR="007F6BFB" w:rsidRDefault="002E27DE">
      <w:pPr>
        <w:pStyle w:val="ListBullet1"/>
        <w:spacing w:after="120"/>
        <w:rPr>
          <w:rStyle w:val="None"/>
          <w:rFonts w:cs="Times New Roman"/>
          <w:noProof/>
          <w:color w:val="000000" w:themeColor="text1"/>
          <w:u w:color="FF0000"/>
        </w:rPr>
      </w:pPr>
      <w:r>
        <w:rPr>
          <w:noProof/>
        </w:rPr>
        <w:t xml:space="preserve">Komisja i wysoki przedstawiciel </w:t>
      </w:r>
      <w:r>
        <w:rPr>
          <w:rStyle w:val="None"/>
          <w:noProof/>
          <w:color w:val="000000" w:themeColor="text1"/>
          <w:u w:color="FF0000"/>
        </w:rPr>
        <w:t>będą korzystać z ram polityki zewnętrznej, w tym współpracy na rzecz rozwoju, w celu promowania i budowania zdolności na rzecz lepszego zarządzania oceanami, ochrony i odbudo</w:t>
      </w:r>
      <w:r>
        <w:rPr>
          <w:rStyle w:val="None"/>
          <w:noProof/>
          <w:color w:val="000000" w:themeColor="text1"/>
          <w:u w:color="FF0000"/>
        </w:rPr>
        <w:t xml:space="preserve">wy różnorodności biologicznej oraz zrównoważonych niebieskich gospodarek wraz ze swoimi partnerami, </w:t>
      </w:r>
      <w:r>
        <w:rPr>
          <w:rStyle w:val="None"/>
          <w:noProof/>
          <w:color w:val="000000" w:themeColor="text1"/>
        </w:rPr>
        <w:t>w tym z organizacjami międzynarodowymi.</w:t>
      </w:r>
    </w:p>
    <w:p w:rsidR="007F6BFB" w:rsidRDefault="002E27DE">
      <w:pPr>
        <w:pStyle w:val="Default"/>
        <w:spacing w:after="120"/>
        <w:rPr>
          <w:rStyle w:val="None"/>
          <w:noProof/>
          <w:color w:val="auto"/>
        </w:rPr>
      </w:pPr>
      <w:r>
        <w:rPr>
          <w:rStyle w:val="None"/>
          <w:noProof/>
        </w:rPr>
        <w:t>Rozwój obszarów morskich i przybrzeżnych musi być zrównoważony ekologicznie oraz musi sprzyjać włączeniu społecznemu</w:t>
      </w:r>
      <w:r>
        <w:rPr>
          <w:rStyle w:val="None"/>
          <w:noProof/>
        </w:rPr>
        <w:t xml:space="preserve">. Interakcje i kompromisy pomiędzy sektorami i inwestycjami muszą być jasno określone i sformułowane. </w:t>
      </w:r>
    </w:p>
    <w:p w:rsidR="007F6BFB" w:rsidRDefault="002E27DE">
      <w:pPr>
        <w:pStyle w:val="Body"/>
        <w:spacing w:after="120"/>
        <w:rPr>
          <w:noProof/>
        </w:rPr>
      </w:pPr>
      <w:r>
        <w:rPr>
          <w:noProof/>
        </w:rPr>
        <w:t>UE posiada szeroką gamę dwustronnych umów o współpracy, partnerstwie i handlu, w tym umów o partnerstwie w sprawie zrównoważonych połowów, w ramach który</w:t>
      </w:r>
      <w:r>
        <w:rPr>
          <w:noProof/>
        </w:rPr>
        <w:t>ch może wzmocnić współpracę w kwestiach morskich, takich jak „niebieski wzrost”, zarządzanie obszarami morskimi i przybrzeżnymi, prawa i kwalifikacje pracownicze</w:t>
      </w:r>
      <w:r>
        <w:rPr>
          <w:rStyle w:val="FootnoteReference"/>
          <w:noProof/>
        </w:rPr>
        <w:footnoteReference w:id="16"/>
      </w:r>
      <w:r>
        <w:rPr>
          <w:noProof/>
        </w:rPr>
        <w:t xml:space="preserve">, skutki zmiany klimatu dla oceanów oraz wsparcie dla wdrożenia międzynarodowych zobowiązań. </w:t>
      </w:r>
    </w:p>
    <w:p w:rsidR="007F6BFB" w:rsidRDefault="002E27DE">
      <w:pPr>
        <w:pStyle w:val="ListBullet1"/>
        <w:spacing w:after="120"/>
        <w:rPr>
          <w:noProof/>
          <w:color w:val="000000" w:themeColor="text1"/>
        </w:rPr>
      </w:pPr>
      <w:r>
        <w:rPr>
          <w:noProof/>
          <w:color w:val="000000" w:themeColor="text1"/>
        </w:rPr>
        <w:t xml:space="preserve">Częścią tego podejścia będzie również wzmacnianie możliwości budowania zdolności na kluczowych obszarach, takich jak Zatoka Gwinejska, południowy Atlantyk, Azja Południowo-Wschodnia oraz </w:t>
      </w:r>
      <w:r>
        <w:rPr>
          <w:rStyle w:val="None"/>
          <w:noProof/>
        </w:rPr>
        <w:t>małe rozwijające się państwa wyspiarskie</w:t>
      </w:r>
      <w:r>
        <w:rPr>
          <w:noProof/>
          <w:color w:val="000000" w:themeColor="text1"/>
        </w:rPr>
        <w:t>.</w:t>
      </w:r>
    </w:p>
    <w:p w:rsidR="007F6BFB" w:rsidRDefault="002E27DE">
      <w:pPr>
        <w:pStyle w:val="ListBullet1"/>
        <w:spacing w:after="120"/>
        <w:rPr>
          <w:noProof/>
          <w:color w:val="000000" w:themeColor="text1"/>
        </w:rPr>
      </w:pPr>
      <w:r>
        <w:rPr>
          <w:noProof/>
        </w:rPr>
        <w:t>Komisja i wysoki przedstawi</w:t>
      </w:r>
      <w:r>
        <w:rPr>
          <w:noProof/>
        </w:rPr>
        <w:t>ciel uruchomią zasoby, aby wesprzeć ulepszanie planowania na rzecz zrównoważonej niebieskiej gospodarki, zwłaszcza w ramach Unii dla Śródziemnomorza i konwencji barcelońskiej</w:t>
      </w:r>
      <w:r>
        <w:rPr>
          <w:noProof/>
          <w:color w:val="000000" w:themeColor="text1"/>
        </w:rPr>
        <w:t>. Będą promować dialog regionalny poprzez forum Unii dla Śródziemnomorza w sprawie</w:t>
      </w:r>
      <w:r>
        <w:rPr>
          <w:noProof/>
          <w:color w:val="000000" w:themeColor="text1"/>
        </w:rPr>
        <w:t xml:space="preserve"> niebieskiej gospodarki i będą wspierać działania uzgodnione w tych ramach, w tym lepszą współpracę w dziedzinie badań i innowacji w sektorze morskim poprzez inicjatywę BlueMED.</w:t>
      </w:r>
      <w:r>
        <w:rPr>
          <w:rStyle w:val="FootnoteReference"/>
          <w:i/>
          <w:noProof/>
          <w:color w:val="auto"/>
        </w:rPr>
        <w:t xml:space="preserve"> </w:t>
      </w:r>
    </w:p>
    <w:p w:rsidR="007F6BFB" w:rsidRDefault="002E27DE">
      <w:pPr>
        <w:pStyle w:val="ListBullet1"/>
        <w:numPr>
          <w:ilvl w:val="0"/>
          <w:numId w:val="8"/>
        </w:numPr>
        <w:pBdr>
          <w:top w:val="single" w:sz="4" w:space="1" w:color="auto"/>
          <w:left w:val="single" w:sz="4" w:space="4" w:color="auto"/>
          <w:bottom w:val="single" w:sz="4" w:space="1" w:color="auto"/>
          <w:right w:val="single" w:sz="4" w:space="4" w:color="auto"/>
        </w:pBdr>
        <w:spacing w:after="120"/>
        <w:rPr>
          <w:rStyle w:val="None"/>
          <w:rFonts w:cs="Times New Roman"/>
          <w:i/>
          <w:noProof/>
          <w:color w:val="auto"/>
          <w:u w:color="FF0000"/>
        </w:rPr>
      </w:pPr>
      <w:r>
        <w:rPr>
          <w:i/>
          <w:noProof/>
        </w:rPr>
        <w:t>Komisja i wysoki przedstawiciel</w:t>
      </w:r>
      <w:r>
        <w:rPr>
          <w:noProof/>
        </w:rPr>
        <w:t xml:space="preserve"> </w:t>
      </w:r>
      <w:r>
        <w:rPr>
          <w:rStyle w:val="None"/>
          <w:i/>
          <w:noProof/>
          <w:color w:val="auto"/>
          <w:u w:color="FF0000"/>
        </w:rPr>
        <w:t xml:space="preserve">będą korzystać z ram polityki zewnętrznej, w </w:t>
      </w:r>
      <w:r>
        <w:rPr>
          <w:rStyle w:val="None"/>
          <w:i/>
          <w:noProof/>
          <w:color w:val="auto"/>
          <w:u w:color="FF0000"/>
        </w:rPr>
        <w:t>tym ram współpracy na rzecz rozwoju, w celu promowania i budowania zdolności na rzecz lepszego zarządzania oceanami i zrównoważonych niebieskich gospodarek wraz ze swoimi kluczowymi partnerami, w szczególności na obszarze Oceanu Spokojnego, Oceanu Indyjski</w:t>
      </w:r>
      <w:r>
        <w:rPr>
          <w:rStyle w:val="None"/>
          <w:i/>
          <w:noProof/>
          <w:color w:val="auto"/>
          <w:u w:color="FF0000"/>
        </w:rPr>
        <w:t>ego i Afryki Zachodniej.</w:t>
      </w:r>
    </w:p>
    <w:p w:rsidR="007F6BFB" w:rsidRDefault="002E27DE">
      <w:pPr>
        <w:pStyle w:val="ListBullet1"/>
        <w:numPr>
          <w:ilvl w:val="0"/>
          <w:numId w:val="8"/>
        </w:numPr>
        <w:pBdr>
          <w:top w:val="single" w:sz="4" w:space="1" w:color="auto"/>
          <w:left w:val="single" w:sz="4" w:space="4" w:color="auto"/>
          <w:bottom w:val="single" w:sz="4" w:space="1" w:color="auto"/>
          <w:right w:val="single" w:sz="4" w:space="4" w:color="auto"/>
        </w:pBdr>
        <w:spacing w:after="120"/>
        <w:rPr>
          <w:rStyle w:val="None"/>
          <w:i/>
          <w:noProof/>
          <w:color w:val="auto"/>
        </w:rPr>
      </w:pPr>
      <w:r>
        <w:rPr>
          <w:rStyle w:val="None"/>
          <w:i/>
          <w:noProof/>
          <w:color w:val="auto"/>
          <w:u w:color="FF0000"/>
        </w:rPr>
        <w:t xml:space="preserve">Opierając się na dotychczasowej współpracy UE na rzecz rozwoju, </w:t>
      </w:r>
      <w:r>
        <w:rPr>
          <w:i/>
          <w:noProof/>
        </w:rPr>
        <w:t xml:space="preserve">Komisja i wysoki przedstawiciel </w:t>
      </w:r>
      <w:r>
        <w:rPr>
          <w:rStyle w:val="None"/>
          <w:i/>
          <w:noProof/>
          <w:color w:val="auto"/>
          <w:u w:color="FF0000"/>
        </w:rPr>
        <w:t xml:space="preserve">będą angażować się w budowanie zdolności w zakresie bezpieczeństwa obszarów morskich z innymi państwami i organizacjami regionalnymi – </w:t>
      </w:r>
      <w:r>
        <w:rPr>
          <w:rStyle w:val="None"/>
          <w:i/>
          <w:noProof/>
          <w:color w:val="auto"/>
          <w:u w:color="FF0000"/>
        </w:rPr>
        <w:t>w szczególności na obszarze Zatoki Gwinejskiej i Oceanu Indyjskiego.</w:t>
      </w:r>
    </w:p>
    <w:p w:rsidR="007F6BFB" w:rsidRDefault="002E27DE">
      <w:pPr>
        <w:pStyle w:val="ListBullet1"/>
        <w:numPr>
          <w:ilvl w:val="0"/>
          <w:numId w:val="8"/>
        </w:numPr>
        <w:pBdr>
          <w:top w:val="single" w:sz="4" w:space="1" w:color="auto"/>
          <w:left w:val="single" w:sz="4" w:space="4" w:color="auto"/>
          <w:bottom w:val="single" w:sz="4" w:space="1" w:color="auto"/>
          <w:right w:val="single" w:sz="4" w:space="4" w:color="auto"/>
        </w:pBdr>
        <w:spacing w:after="120"/>
        <w:rPr>
          <w:rStyle w:val="None"/>
          <w:rFonts w:cs="Times New Roman"/>
          <w:i/>
          <w:noProof/>
          <w:color w:val="auto"/>
        </w:rPr>
      </w:pPr>
      <w:r>
        <w:rPr>
          <w:rStyle w:val="None"/>
          <w:i/>
          <w:noProof/>
          <w:color w:val="000000" w:themeColor="text1"/>
          <w:u w:color="FF0000"/>
        </w:rPr>
        <w:t xml:space="preserve">W 2017 r. Komisja i wysoki przedstawiciel będą wspierać rozwój solidnych, opartych na dowodach </w:t>
      </w:r>
      <w:r>
        <w:rPr>
          <w:rStyle w:val="None"/>
          <w:i/>
          <w:noProof/>
        </w:rPr>
        <w:t>ram rozwoju niebieskiej gospodarki.</w:t>
      </w:r>
    </w:p>
    <w:p w:rsidR="007F6BFB" w:rsidRDefault="002E27DE">
      <w:pPr>
        <w:pStyle w:val="ListBullet1"/>
        <w:numPr>
          <w:ilvl w:val="0"/>
          <w:numId w:val="8"/>
        </w:numPr>
        <w:pBdr>
          <w:top w:val="single" w:sz="4" w:space="1" w:color="auto"/>
          <w:left w:val="single" w:sz="4" w:space="4" w:color="auto"/>
          <w:bottom w:val="single" w:sz="4" w:space="1" w:color="auto"/>
          <w:right w:val="single" w:sz="4" w:space="4" w:color="auto"/>
        </w:pBdr>
        <w:spacing w:after="120"/>
        <w:rPr>
          <w:rStyle w:val="None"/>
          <w:rFonts w:cs="Times New Roman"/>
          <w:i/>
          <w:noProof/>
          <w:color w:val="auto"/>
        </w:rPr>
      </w:pPr>
      <w:r>
        <w:rPr>
          <w:rStyle w:val="None"/>
          <w:i/>
          <w:noProof/>
          <w:color w:val="auto"/>
        </w:rPr>
        <w:t xml:space="preserve">Komisja i wysoki przedstawiciel określą sposoby poprawy </w:t>
      </w:r>
      <w:r>
        <w:rPr>
          <w:rStyle w:val="None"/>
          <w:i/>
          <w:noProof/>
          <w:color w:val="auto"/>
        </w:rPr>
        <w:t xml:space="preserve">zarządzania oceanami poprzez realizację celów zrównoważonego rozwoju. Będzie to obejmować np. zwiększanie możliwości budowania zdolności na kluczowych obszarach, takich jak Zatoka Gwinejska i Azja Południowo-Wschodnia. </w:t>
      </w:r>
    </w:p>
    <w:p w:rsidR="007F6BFB" w:rsidRDefault="002E27DE">
      <w:pPr>
        <w:pStyle w:val="ListBullet1"/>
        <w:numPr>
          <w:ilvl w:val="0"/>
          <w:numId w:val="8"/>
        </w:numPr>
        <w:pBdr>
          <w:top w:val="single" w:sz="4" w:space="1" w:color="auto"/>
          <w:left w:val="single" w:sz="4" w:space="4" w:color="auto"/>
          <w:bottom w:val="single" w:sz="4" w:space="1" w:color="auto"/>
          <w:right w:val="single" w:sz="4" w:space="4" w:color="auto"/>
        </w:pBdr>
        <w:spacing w:after="120"/>
        <w:rPr>
          <w:rStyle w:val="None"/>
          <w:rFonts w:cs="Times New Roman"/>
          <w:i/>
          <w:noProof/>
          <w:color w:val="auto"/>
        </w:rPr>
      </w:pPr>
      <w:r>
        <w:rPr>
          <w:rStyle w:val="None"/>
          <w:i/>
          <w:noProof/>
        </w:rPr>
        <w:t xml:space="preserve">Komisja włączy współpracę techniczną do współpracy z Międzynarodową Organizacją Morską (IMO), której celem będzie wzmocnienie </w:t>
      </w:r>
      <w:r>
        <w:rPr>
          <w:i/>
          <w:noProof/>
        </w:rPr>
        <w:t>wdrażania i egzekwowania instrumentów IMO</w:t>
      </w:r>
      <w:r>
        <w:rPr>
          <w:rStyle w:val="None"/>
          <w:i/>
          <w:noProof/>
        </w:rPr>
        <w:t>.</w:t>
      </w:r>
    </w:p>
    <w:p w:rsidR="007F6BFB" w:rsidRDefault="002E27DE">
      <w:pPr>
        <w:pStyle w:val="ListBullet1"/>
        <w:numPr>
          <w:ilvl w:val="0"/>
          <w:numId w:val="8"/>
        </w:numPr>
        <w:pBdr>
          <w:top w:val="single" w:sz="4" w:space="1" w:color="auto"/>
          <w:left w:val="single" w:sz="4" w:space="4" w:color="auto"/>
          <w:bottom w:val="single" w:sz="4" w:space="1" w:color="auto"/>
          <w:right w:val="single" w:sz="4" w:space="4" w:color="auto"/>
        </w:pBdr>
        <w:spacing w:after="120"/>
        <w:rPr>
          <w:rStyle w:val="None"/>
          <w:rFonts w:cs="Times New Roman"/>
          <w:i/>
          <w:noProof/>
          <w:color w:val="auto"/>
        </w:rPr>
      </w:pPr>
      <w:r>
        <w:rPr>
          <w:rStyle w:val="None"/>
          <w:i/>
          <w:noProof/>
          <w:color w:val="auto"/>
        </w:rPr>
        <w:t>Komisja uruchomi środki, aby wspierać postęp w budowaniu zdolności związanych z rozwoje</w:t>
      </w:r>
      <w:r>
        <w:rPr>
          <w:rStyle w:val="None"/>
          <w:i/>
          <w:noProof/>
          <w:color w:val="auto"/>
        </w:rPr>
        <w:t>m zrównoważonej niebieskiej gospodarki na obszarze Morza Śródziemnego w ramach Unii dla Śródziemnomorza i innych organizacji, w tym</w:t>
      </w:r>
      <w:r>
        <w:rPr>
          <w:i/>
          <w:noProof/>
          <w:color w:val="000000" w:themeColor="text1"/>
        </w:rPr>
        <w:t xml:space="preserve"> konwencji barcelońskiej.</w:t>
      </w:r>
    </w:p>
    <w:p w:rsidR="007F6BFB" w:rsidRDefault="007F6BFB">
      <w:pPr>
        <w:pStyle w:val="Text2"/>
        <w:spacing w:after="120"/>
        <w:ind w:left="1134" w:hanging="1134"/>
        <w:rPr>
          <w:b/>
          <w:bCs/>
          <w:noProof/>
          <w:color w:val="000000" w:themeColor="text1"/>
        </w:rPr>
      </w:pPr>
    </w:p>
    <w:p w:rsidR="007F6BFB" w:rsidRDefault="002E27DE">
      <w:pPr>
        <w:pStyle w:val="Text2"/>
        <w:spacing w:after="120"/>
        <w:ind w:left="1134" w:hanging="1134"/>
        <w:rPr>
          <w:noProof/>
          <w:color w:val="000000" w:themeColor="text1"/>
        </w:rPr>
      </w:pPr>
      <w:r>
        <w:rPr>
          <w:b/>
          <w:noProof/>
          <w:color w:val="000000" w:themeColor="text1"/>
        </w:rPr>
        <w:t xml:space="preserve">Działanie 5: </w:t>
      </w:r>
      <w:r>
        <w:rPr>
          <w:noProof/>
        </w:rPr>
        <w:tab/>
      </w:r>
      <w:r>
        <w:rPr>
          <w:b/>
          <w:noProof/>
          <w:color w:val="000000" w:themeColor="text1"/>
        </w:rPr>
        <w:t>Zapewnianie bezpieczeństwa i ochrony mórz i oceanów</w:t>
      </w:r>
      <w:r>
        <w:rPr>
          <w:noProof/>
          <w:color w:val="000000" w:themeColor="text1"/>
        </w:rPr>
        <w:t xml:space="preserve"> </w:t>
      </w:r>
    </w:p>
    <w:p w:rsidR="007F6BFB" w:rsidRDefault="007F6BFB">
      <w:pPr>
        <w:pStyle w:val="Body"/>
        <w:spacing w:after="120"/>
        <w:rPr>
          <w:noProof/>
        </w:rPr>
      </w:pPr>
    </w:p>
    <w:p w:rsidR="007F6BFB" w:rsidRDefault="002E27DE">
      <w:pPr>
        <w:pStyle w:val="Body"/>
        <w:spacing w:after="120"/>
        <w:rPr>
          <w:rFonts w:eastAsia="Times New Roman" w:cs="Times New Roman"/>
          <w:noProof/>
        </w:rPr>
      </w:pPr>
      <w:r>
        <w:rPr>
          <w:noProof/>
        </w:rPr>
        <w:t xml:space="preserve">W EUMSS wskazuje się wyzwania </w:t>
      </w:r>
      <w:r>
        <w:rPr>
          <w:noProof/>
        </w:rPr>
        <w:t>w zakresie bezpieczeństwa, np. piractwo, handel ludźmi, bronią i narkotykami oraz ich przemyt, a także podkreśla się potrzebę wspierania współpracy i wymiany informacji między organami cywilnymi i wojskowymi. W poszukiwaniu rozwiązań globalnych potrzebne s</w:t>
      </w:r>
      <w:r>
        <w:rPr>
          <w:noProof/>
        </w:rPr>
        <w:t xml:space="preserve">ą szersza międzynarodowa debata na forach takich, jak ONZ, G7 i G20, oraz dopasowane do potrzeb partnerstwa obejmujące inne państwa i instytucje regionalne (np. Unię Afrykańską i ASEAN). </w:t>
      </w:r>
    </w:p>
    <w:p w:rsidR="007F6BFB" w:rsidRDefault="002E27DE">
      <w:pPr>
        <w:pStyle w:val="Body"/>
        <w:spacing w:after="120"/>
        <w:rPr>
          <w:noProof/>
        </w:rPr>
      </w:pPr>
      <w:r>
        <w:rPr>
          <w:noProof/>
        </w:rPr>
        <w:t xml:space="preserve">Komisja i wysoki przedstawiciel we współpracy z państwami </w:t>
      </w:r>
      <w:r>
        <w:rPr>
          <w:noProof/>
        </w:rPr>
        <w:t xml:space="preserve">członkowskimi będą podejmować działania dwustronne i wielostronne z państwami niebędącymi członkami UE i organizacjami regionalnymi na rzecz ograniczenia i wyeliminowania zagrożeń i elementów ryzyka dla bezpieczeństwa morskiego, w ramach EUMSS i strategii </w:t>
      </w:r>
      <w:r>
        <w:rPr>
          <w:noProof/>
        </w:rPr>
        <w:t>regionalnych (np. na rzecz Zatoki Gwinejskiej, Rogu Afryki), poprzez zintensyfikowanie prac w obszarach priorytetowych</w:t>
      </w:r>
      <w:r>
        <w:rPr>
          <w:rStyle w:val="FootnoteReference"/>
          <w:noProof/>
        </w:rPr>
        <w:footnoteReference w:id="17"/>
      </w:r>
      <w:r>
        <w:rPr>
          <w:noProof/>
        </w:rPr>
        <w:t>.</w:t>
      </w:r>
    </w:p>
    <w:p w:rsidR="007F6BFB" w:rsidRDefault="002E27DE">
      <w:pPr>
        <w:pStyle w:val="Body"/>
        <w:spacing w:after="120"/>
        <w:rPr>
          <w:noProof/>
        </w:rPr>
      </w:pPr>
      <w:r>
        <w:rPr>
          <w:noProof/>
        </w:rPr>
        <w:t>Nowe rozporządzenie w sprawie Europejskiej Straży Granicznej i Przybrzeżnej</w:t>
      </w:r>
      <w:r>
        <w:rPr>
          <w:rStyle w:val="FootnoteReference"/>
          <w:noProof/>
        </w:rPr>
        <w:footnoteReference w:id="18"/>
      </w:r>
      <w:r>
        <w:rPr>
          <w:noProof/>
          <w:sz w:val="20"/>
        </w:rPr>
        <w:t xml:space="preserve"> </w:t>
      </w:r>
      <w:r>
        <w:rPr>
          <w:noProof/>
        </w:rPr>
        <w:t>oraz zmienione rozporządzenia w sprawie Europejskiej Agenc</w:t>
      </w:r>
      <w:r>
        <w:rPr>
          <w:noProof/>
        </w:rPr>
        <w:t>ji Bezpieczeństwa Morskiego (EMSA) i w sprawie Europejskiej Agencji Kontroli Rybołówstwa (EFCA) stanowią podstawę do ściślejszej współpracy między agencjami UE wspierającymi organy państw członkowskich wykonujące funkcje straży przybrzeżnej oraz z państwam</w:t>
      </w:r>
      <w:r>
        <w:rPr>
          <w:noProof/>
        </w:rPr>
        <w:t>i niebędącymi członkami UE położonymi wokół europejskich basenów morskich. Prace te będą się również koncentrować na lepszej współpracy między krajowymi służbami straży przybrzeżnej w zakresie wielozadaniowych kampanii, w tym np. wykrywania nielegalnych zr</w:t>
      </w:r>
      <w:r>
        <w:rPr>
          <w:noProof/>
        </w:rPr>
        <w:t>zutów na mocy konwencji MARPOL</w:t>
      </w:r>
      <w:r>
        <w:rPr>
          <w:rStyle w:val="FootnoteReference"/>
          <w:noProof/>
        </w:rPr>
        <w:footnoteReference w:id="19"/>
      </w:r>
      <w:r>
        <w:rPr>
          <w:noProof/>
        </w:rPr>
        <w:t>. W ramach tej współpracy Frontex, EMSA i EFCA podejmują działania wielofunkcyjne, m.in. na rzecz kontroli rybołówstwa, granic i migracji w środkowej części Morza Śródziemnego.</w:t>
      </w:r>
      <w:r>
        <w:rPr>
          <w:noProof/>
          <w:color w:val="1F497D"/>
        </w:rPr>
        <w:t xml:space="preserve"> </w:t>
      </w:r>
      <w:r>
        <w:rPr>
          <w:noProof/>
        </w:rPr>
        <w:t>W celu uzupełnienia tych działań siły zbrojne UE</w:t>
      </w:r>
      <w:r>
        <w:rPr>
          <w:noProof/>
        </w:rPr>
        <w:t xml:space="preserve"> są również zaangażowane w zwalczanie przemytu ludzi, ochronę statków, przeciwdziałanie piractwu i monitorowanie działalności połowowej poprzez operację SOPHIA i ATALANTA, współpracując również z NATO przy wypełnianiu swoich obowiązków.</w:t>
      </w:r>
    </w:p>
    <w:p w:rsidR="007F6BFB" w:rsidRDefault="002E27DE">
      <w:pPr>
        <w:pStyle w:val="Body"/>
        <w:numPr>
          <w:ilvl w:val="0"/>
          <w:numId w:val="9"/>
        </w:numPr>
        <w:pBdr>
          <w:top w:val="single" w:sz="4" w:space="1" w:color="auto"/>
          <w:left w:val="single" w:sz="4" w:space="4" w:color="auto"/>
          <w:bottom w:val="single" w:sz="4" w:space="1" w:color="auto"/>
          <w:right w:val="single" w:sz="4" w:space="4" w:color="auto"/>
        </w:pBdr>
        <w:spacing w:after="120"/>
        <w:rPr>
          <w:i/>
          <w:noProof/>
        </w:rPr>
      </w:pPr>
      <w:r>
        <w:rPr>
          <w:i/>
          <w:noProof/>
        </w:rPr>
        <w:t>Komisja i wysoki pr</w:t>
      </w:r>
      <w:r>
        <w:rPr>
          <w:i/>
          <w:noProof/>
        </w:rPr>
        <w:t>zedstawiciel, we współpracy z państwami członkowskimi, będą opierać się na EUMSS przy współpracy z innymi państwami na rzecz ograniczenia i wyeliminowania zagrożeń i elementów ryzyka dla bezpieczeństwa morskiego.</w:t>
      </w:r>
    </w:p>
    <w:p w:rsidR="007F6BFB" w:rsidRDefault="002E27DE">
      <w:pPr>
        <w:pStyle w:val="Body"/>
        <w:numPr>
          <w:ilvl w:val="0"/>
          <w:numId w:val="9"/>
        </w:numPr>
        <w:pBdr>
          <w:top w:val="single" w:sz="4" w:space="1" w:color="auto"/>
          <w:left w:val="single" w:sz="4" w:space="4" w:color="auto"/>
          <w:bottom w:val="single" w:sz="4" w:space="1" w:color="auto"/>
          <w:right w:val="single" w:sz="4" w:space="4" w:color="auto"/>
        </w:pBdr>
        <w:spacing w:after="120"/>
        <w:rPr>
          <w:i/>
          <w:noProof/>
        </w:rPr>
      </w:pPr>
      <w:r>
        <w:rPr>
          <w:i/>
          <w:noProof/>
        </w:rPr>
        <w:t>Komisja i wysoki przedstawiciel będą działa</w:t>
      </w:r>
      <w:r>
        <w:rPr>
          <w:i/>
          <w:noProof/>
        </w:rPr>
        <w:t>ć na rzecz zwiększenia wymiany informacji w zakresie międzysektorowego nadzoru morskiego między państwami członkowskimi, również z udziałem EMSA, m.in. wspierając wdrażanie wspólnego mechanizmu wymiany informacji (CISE), a także z państwami niebędącymi czł</w:t>
      </w:r>
      <w:r>
        <w:rPr>
          <w:i/>
          <w:noProof/>
        </w:rPr>
        <w:t xml:space="preserve">onkami UE, ułatwiając interwencję międzynarodową. </w:t>
      </w:r>
    </w:p>
    <w:p w:rsidR="007F6BFB" w:rsidRDefault="002E27DE">
      <w:pPr>
        <w:pStyle w:val="Body"/>
        <w:numPr>
          <w:ilvl w:val="0"/>
          <w:numId w:val="9"/>
        </w:numPr>
        <w:pBdr>
          <w:top w:val="single" w:sz="4" w:space="1" w:color="auto"/>
          <w:left w:val="single" w:sz="4" w:space="4" w:color="auto"/>
          <w:bottom w:val="single" w:sz="4" w:space="1" w:color="auto"/>
          <w:right w:val="single" w:sz="4" w:space="4" w:color="auto"/>
        </w:pBdr>
        <w:spacing w:after="120"/>
        <w:rPr>
          <w:i/>
          <w:noProof/>
        </w:rPr>
      </w:pPr>
      <w:r>
        <w:rPr>
          <w:i/>
          <w:noProof/>
        </w:rPr>
        <w:t>Komisja oceni, w jaki sposób zwiększyć interoperacyjność mechanizmów nadzoru morskiego, np. CISE.</w:t>
      </w:r>
    </w:p>
    <w:p w:rsidR="007F6BFB" w:rsidRDefault="002E27DE">
      <w:pPr>
        <w:pStyle w:val="Body"/>
        <w:numPr>
          <w:ilvl w:val="0"/>
          <w:numId w:val="9"/>
        </w:numPr>
        <w:pBdr>
          <w:top w:val="single" w:sz="4" w:space="1" w:color="auto"/>
          <w:left w:val="single" w:sz="4" w:space="4" w:color="auto"/>
          <w:bottom w:val="single" w:sz="4" w:space="1" w:color="auto"/>
          <w:right w:val="single" w:sz="4" w:space="4" w:color="auto"/>
        </w:pBdr>
        <w:spacing w:after="120"/>
        <w:rPr>
          <w:i/>
          <w:noProof/>
        </w:rPr>
      </w:pPr>
      <w:r>
        <w:rPr>
          <w:i/>
          <w:noProof/>
        </w:rPr>
        <w:t>Korzystając z postępu technicznego w dziedzinie łączności satelitarnej i analizy danych oraz z istniejących</w:t>
      </w:r>
      <w:r>
        <w:rPr>
          <w:i/>
          <w:noProof/>
        </w:rPr>
        <w:t xml:space="preserve"> systemów monitorowania działalności morskiej, Komisja, we współpracy z wysokim przedstawicielem, zainicjuje pilotażowy projekt monitorowania nielegalnych połowów na całym świecie, czyniąc starania na rzecz podniesienia świadomości na temat sytuacji na obs</w:t>
      </w:r>
      <w:r>
        <w:rPr>
          <w:i/>
          <w:noProof/>
        </w:rPr>
        <w:t>zarach morskich, oraz zbada możliwości rozszerzenia monitorowania na inne sektory.</w:t>
      </w:r>
    </w:p>
    <w:p w:rsidR="007F6BFB" w:rsidRDefault="002E27DE">
      <w:pPr>
        <w:pStyle w:val="NoSpacing"/>
        <w:tabs>
          <w:tab w:val="clear" w:pos="4678"/>
          <w:tab w:val="left" w:pos="1421"/>
        </w:tabs>
        <w:spacing w:after="120"/>
        <w:rPr>
          <w:rStyle w:val="None"/>
          <w:rFonts w:cs="Times New Roman"/>
          <w:noProof/>
          <w:color w:val="000000" w:themeColor="text1"/>
        </w:rPr>
      </w:pPr>
      <w:r>
        <w:rPr>
          <w:noProof/>
        </w:rPr>
        <w:tab/>
      </w:r>
    </w:p>
    <w:p w:rsidR="007F6BFB" w:rsidRDefault="002E27DE">
      <w:pPr>
        <w:pStyle w:val="Heading"/>
        <w:spacing w:after="120"/>
        <w:rPr>
          <w:noProof/>
        </w:rPr>
      </w:pPr>
      <w:r>
        <w:rPr>
          <w:rStyle w:val="None"/>
          <w:noProof/>
          <w:color w:val="000000" w:themeColor="text1"/>
        </w:rPr>
        <w:t>3.</w:t>
      </w:r>
      <w:r>
        <w:rPr>
          <w:noProof/>
        </w:rPr>
        <w:tab/>
        <w:t xml:space="preserve">Zmniejszenie presji na morza i oceany oraz stworzenie warunków dla zrównoważonej niebieskiej gospodarki </w:t>
      </w:r>
    </w:p>
    <w:p w:rsidR="007F6BFB" w:rsidRDefault="007F6BFB">
      <w:pPr>
        <w:pStyle w:val="Text2"/>
        <w:spacing w:after="120"/>
        <w:ind w:left="0"/>
        <w:rPr>
          <w:noProof/>
          <w:color w:val="000000" w:themeColor="text1"/>
        </w:rPr>
      </w:pPr>
    </w:p>
    <w:p w:rsidR="007F6BFB" w:rsidRDefault="002E27DE">
      <w:pPr>
        <w:pStyle w:val="Text2"/>
        <w:spacing w:after="120"/>
        <w:ind w:left="0"/>
        <w:rPr>
          <w:noProof/>
          <w:color w:val="000000" w:themeColor="text1"/>
        </w:rPr>
      </w:pPr>
      <w:r>
        <w:rPr>
          <w:noProof/>
          <w:color w:val="000000" w:themeColor="text1"/>
        </w:rPr>
        <w:t>Aby zapewnić dobry stan oceanów jako systemów wspierania życia i źródła zasobów, konieczne jest zwiększenie skuteczności zarządzania oceanami. Działania UE powinny się koncentrować na zmianie klimatu oraz jej skutkach, zanieczyszczeniu i eutrofizacji mórz,</w:t>
      </w:r>
      <w:r>
        <w:rPr>
          <w:noProof/>
          <w:color w:val="000000" w:themeColor="text1"/>
        </w:rPr>
        <w:t xml:space="preserve"> zachowaniu, ochronie i odbudowie ekosystemów morskich i różnorodności biologicznej oraz zrównoważonym wykorzystaniu zasobów morskich. </w:t>
      </w:r>
    </w:p>
    <w:p w:rsidR="007F6BFB" w:rsidRDefault="007F6BFB">
      <w:pPr>
        <w:pStyle w:val="Text2"/>
        <w:keepNext/>
        <w:spacing w:after="120"/>
        <w:ind w:left="1134" w:hanging="1134"/>
        <w:rPr>
          <w:rStyle w:val="None"/>
          <w:rFonts w:cs="Times New Roman"/>
          <w:b/>
          <w:bCs/>
          <w:noProof/>
          <w:color w:val="000000" w:themeColor="text1"/>
        </w:rPr>
      </w:pPr>
    </w:p>
    <w:p w:rsidR="007F6BFB" w:rsidRDefault="002E27DE">
      <w:pPr>
        <w:pStyle w:val="Text2"/>
        <w:keepNext/>
        <w:spacing w:after="120"/>
        <w:ind w:left="1134" w:hanging="1134"/>
        <w:rPr>
          <w:strike/>
          <w:noProof/>
          <w:color w:val="000000" w:themeColor="text1"/>
        </w:rPr>
      </w:pPr>
      <w:r>
        <w:rPr>
          <w:rStyle w:val="None"/>
          <w:b/>
          <w:noProof/>
          <w:color w:val="000000" w:themeColor="text1"/>
        </w:rPr>
        <w:t xml:space="preserve">Działanie 6: </w:t>
      </w:r>
      <w:r>
        <w:rPr>
          <w:noProof/>
        </w:rPr>
        <w:tab/>
      </w:r>
      <w:r>
        <w:rPr>
          <w:rStyle w:val="None"/>
          <w:b/>
          <w:noProof/>
          <w:color w:val="000000" w:themeColor="text1"/>
        </w:rPr>
        <w:t xml:space="preserve">Wdrożenie porozumienia COP 21 oraz łagodzenie szkodliwych skutków zmiany klimatu dla oceanów, wybrzeży i </w:t>
      </w:r>
      <w:r>
        <w:rPr>
          <w:rStyle w:val="None"/>
          <w:b/>
          <w:noProof/>
          <w:color w:val="000000" w:themeColor="text1"/>
        </w:rPr>
        <w:t>ekosystemów</w:t>
      </w:r>
    </w:p>
    <w:p w:rsidR="007F6BFB" w:rsidRDefault="007F6BFB">
      <w:pPr>
        <w:pStyle w:val="Text2"/>
        <w:spacing w:after="120"/>
        <w:ind w:left="0"/>
        <w:rPr>
          <w:noProof/>
          <w:color w:val="000000" w:themeColor="text1"/>
        </w:rPr>
      </w:pPr>
    </w:p>
    <w:p w:rsidR="007F6BFB" w:rsidRDefault="002E27DE">
      <w:pPr>
        <w:pStyle w:val="Text2"/>
        <w:spacing w:after="120"/>
        <w:ind w:left="0"/>
        <w:rPr>
          <w:noProof/>
          <w:color w:val="000000" w:themeColor="text1"/>
        </w:rPr>
      </w:pPr>
      <w:r>
        <w:rPr>
          <w:noProof/>
          <w:color w:val="000000" w:themeColor="text1"/>
        </w:rPr>
        <w:t>Komisja będzie działać na rzecz ochrony roli ekosystemów morskich i przybrzeżnych w ograniczaniu skutków zmiany klimatu. We współpracy z wysokim przedstawicielem będzie dążyć do osiągnięcia szerokiego konsensusu politycznego w sprawie konieczn</w:t>
      </w:r>
      <w:r>
        <w:rPr>
          <w:noProof/>
          <w:color w:val="000000" w:themeColor="text1"/>
        </w:rPr>
        <w:t>ości zachowania naturalnej funkcji oceanów jako pochłaniacza „niebieskiego dwutlenku węgla” poprzez współpracę z unijnymi i międzynarodowymi podmiotami politycznymi, w kontekście negocjacji w sprawie zmiany klimatu i odpowiednich konwencji międzynarodowych</w:t>
      </w:r>
      <w:r>
        <w:rPr>
          <w:noProof/>
          <w:color w:val="000000" w:themeColor="text1"/>
        </w:rPr>
        <w:t xml:space="preserve"> dotyczących środowiska. </w:t>
      </w:r>
    </w:p>
    <w:p w:rsidR="007F6BFB" w:rsidRDefault="002E27DE">
      <w:pPr>
        <w:pStyle w:val="Text2"/>
        <w:spacing w:after="120"/>
        <w:ind w:left="0"/>
        <w:rPr>
          <w:rStyle w:val="None"/>
          <w:rFonts w:cs="Times New Roman"/>
          <w:iCs/>
          <w:noProof/>
          <w:color w:val="000000" w:themeColor="text1"/>
        </w:rPr>
      </w:pPr>
      <w:r>
        <w:rPr>
          <w:noProof/>
          <w:color w:val="000000" w:themeColor="text1"/>
        </w:rPr>
        <w:t>Komisja będzie działać na rzecz zintensyfikowania działań związanych z oceanami na szczeblu UE w celu wykonania porozumienia paryskiego w sprawie zmian klimatu, np. na rzecz redukcji emisji żeglugowych, przyszłego rozwoju odnawial</w:t>
      </w:r>
      <w:r>
        <w:rPr>
          <w:noProof/>
          <w:color w:val="000000" w:themeColor="text1"/>
        </w:rPr>
        <w:t>nych źródeł energii. Wraz z wysokim przedstawicielem będzie współpracować z państwami członkowskimi i partnerami międzynarodowymi na rzecz promowania włączania takich środków do krajowych działań wynikających ze zobowiązań określonych w porozumieniu parysk</w:t>
      </w:r>
      <w:r>
        <w:rPr>
          <w:noProof/>
          <w:color w:val="000000" w:themeColor="text1"/>
        </w:rPr>
        <w:t>im. Ponadto Komisja będzie wspierać przyjęty na szczeblu międzynarodowym plan działań na rzecz radzenia sobie m.in. ze skutkami ocieplenia oceanów, podniesienia się poziomu mórz i ich zakwaszenia</w:t>
      </w:r>
      <w:r>
        <w:rPr>
          <w:rStyle w:val="None"/>
          <w:noProof/>
          <w:color w:val="000000" w:themeColor="text1"/>
        </w:rPr>
        <w:t xml:space="preserve">. Prace te będą się opierać na </w:t>
      </w:r>
      <w:r>
        <w:rPr>
          <w:noProof/>
          <w:color w:val="000000" w:themeColor="text1"/>
        </w:rPr>
        <w:t xml:space="preserve">piątym sprawozdaniu </w:t>
      </w:r>
      <w:r>
        <w:rPr>
          <w:noProof/>
          <w:color w:val="000000" w:themeColor="text1"/>
        </w:rPr>
        <w:t>oceniającym Międzyrządowego Zespołu ds. Zmian Klimatu</w:t>
      </w:r>
      <w:r>
        <w:rPr>
          <w:rStyle w:val="None"/>
          <w:noProof/>
          <w:color w:val="000000" w:themeColor="text1"/>
        </w:rPr>
        <w:t xml:space="preserve"> i jego przyszłym sprawozdaniu specjalnym na temat zmiany klimatu oraz oceanów i kriosfery.</w:t>
      </w:r>
    </w:p>
    <w:p w:rsidR="007F6BFB" w:rsidRDefault="002E27DE">
      <w:pPr>
        <w:pStyle w:val="Text2"/>
        <w:numPr>
          <w:ilvl w:val="0"/>
          <w:numId w:val="10"/>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Komisja zintensyfikuje współpracę z partnerami międzynarodowymi w celu uzgodnienia wspólnych działań na rzecz o</w:t>
      </w:r>
      <w:r>
        <w:rPr>
          <w:i/>
          <w:noProof/>
          <w:color w:val="000000" w:themeColor="text1"/>
        </w:rPr>
        <w:t xml:space="preserve">chrony i odtworzenia ekosystemów morskich i przybrzeżnych. </w:t>
      </w:r>
    </w:p>
    <w:p w:rsidR="007F6BFB" w:rsidRDefault="002E27DE">
      <w:pPr>
        <w:pStyle w:val="Text2"/>
        <w:numPr>
          <w:ilvl w:val="0"/>
          <w:numId w:val="10"/>
        </w:numPr>
        <w:pBdr>
          <w:top w:val="single" w:sz="4" w:space="1" w:color="auto"/>
          <w:left w:val="single" w:sz="4" w:space="4" w:color="auto"/>
          <w:bottom w:val="single" w:sz="4" w:space="1" w:color="auto"/>
          <w:right w:val="single" w:sz="4" w:space="4" w:color="auto"/>
        </w:pBdr>
        <w:tabs>
          <w:tab w:val="clear" w:pos="2302"/>
          <w:tab w:val="left" w:pos="709"/>
        </w:tabs>
        <w:spacing w:after="120"/>
        <w:rPr>
          <w:i/>
          <w:noProof/>
          <w:color w:val="000000" w:themeColor="text1"/>
        </w:rPr>
      </w:pPr>
      <w:r>
        <w:rPr>
          <w:i/>
          <w:noProof/>
          <w:color w:val="000000" w:themeColor="text1"/>
        </w:rPr>
        <w:t>Do 2020 r. Komisja uruchomi międzynarodowe partnerstwa publiczno-prywatne w celu odtworzenia, dostosowania lub wybudowania „zielono-niebieskiej infrastruktury”.</w:t>
      </w:r>
    </w:p>
    <w:p w:rsidR="007F6BFB" w:rsidRDefault="002E27DE">
      <w:pPr>
        <w:pStyle w:val="Text2"/>
        <w:numPr>
          <w:ilvl w:val="0"/>
          <w:numId w:val="10"/>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Wraz z wysokim przedstawicielem Kom</w:t>
      </w:r>
      <w:r>
        <w:rPr>
          <w:i/>
          <w:noProof/>
          <w:color w:val="000000" w:themeColor="text1"/>
        </w:rPr>
        <w:t>isja będzie współpracować z państwami członkowskimi i partnerami międzynarodowymi na rzecz promowania ujęcia działań związanych z oceanami w krajowych działaniach wynikających ze zobowiązań określonych w porozumieniu paryskim. Bieżącą sytuację można przeds</w:t>
      </w:r>
      <w:r>
        <w:rPr>
          <w:i/>
          <w:noProof/>
          <w:color w:val="000000" w:themeColor="text1"/>
        </w:rPr>
        <w:t xml:space="preserve">tawić w ramach globalnej inwentaryzacji określonej w porozumieniu paryskim. </w:t>
      </w:r>
    </w:p>
    <w:p w:rsidR="007F6BFB" w:rsidRDefault="002E27DE">
      <w:pPr>
        <w:pStyle w:val="Text2"/>
        <w:numPr>
          <w:ilvl w:val="0"/>
          <w:numId w:val="10"/>
        </w:numPr>
        <w:pBdr>
          <w:top w:val="single" w:sz="4" w:space="1" w:color="auto"/>
          <w:left w:val="single" w:sz="4" w:space="4" w:color="auto"/>
          <w:bottom w:val="single" w:sz="4" w:space="1" w:color="auto"/>
          <w:right w:val="single" w:sz="4" w:space="4" w:color="auto"/>
        </w:pBdr>
        <w:spacing w:after="120"/>
        <w:rPr>
          <w:noProof/>
        </w:rPr>
      </w:pPr>
      <w:r>
        <w:rPr>
          <w:i/>
          <w:noProof/>
        </w:rPr>
        <w:t>Komisja zaproponuje działania na arenie międzynarodowej w następstwie m.in. skutków ocieplenia oceanów, podniesienia się poziomu mórz i ich zakwaszenia.</w:t>
      </w:r>
      <w:r>
        <w:rPr>
          <w:i/>
          <w:noProof/>
          <w:color w:val="auto"/>
        </w:rPr>
        <w:t xml:space="preserve"> Do nawiązania współpracy z</w:t>
      </w:r>
      <w:r>
        <w:rPr>
          <w:i/>
          <w:noProof/>
          <w:color w:val="auto"/>
        </w:rPr>
        <w:t xml:space="preserve"> partnerami międzynarodowymi zostanie wykorzystana sieć zielonej dyplomacji.</w:t>
      </w:r>
    </w:p>
    <w:p w:rsidR="007F6BFB" w:rsidRDefault="007F6BFB">
      <w:pPr>
        <w:pStyle w:val="Text2"/>
        <w:keepNext/>
        <w:spacing w:after="120"/>
        <w:ind w:left="1134" w:hanging="1134"/>
        <w:rPr>
          <w:rStyle w:val="None"/>
          <w:rFonts w:cs="Times New Roman"/>
          <w:b/>
          <w:bCs/>
          <w:noProof/>
          <w:color w:val="000000" w:themeColor="text1"/>
        </w:rPr>
      </w:pPr>
    </w:p>
    <w:p w:rsidR="007F6BFB" w:rsidRDefault="002E27DE">
      <w:pPr>
        <w:pStyle w:val="Text2"/>
        <w:keepNext/>
        <w:spacing w:after="120"/>
        <w:ind w:left="1134" w:hanging="1134"/>
        <w:rPr>
          <w:rStyle w:val="None"/>
          <w:rFonts w:cs="Times New Roman"/>
          <w:noProof/>
          <w:color w:val="auto"/>
        </w:rPr>
      </w:pPr>
      <w:r>
        <w:rPr>
          <w:rStyle w:val="None"/>
          <w:b/>
          <w:noProof/>
          <w:color w:val="000000" w:themeColor="text1"/>
        </w:rPr>
        <w:t xml:space="preserve">Działanie 7: </w:t>
      </w:r>
      <w:r>
        <w:rPr>
          <w:noProof/>
        </w:rPr>
        <w:tab/>
      </w:r>
      <w:r>
        <w:rPr>
          <w:rStyle w:val="None"/>
          <w:b/>
          <w:noProof/>
          <w:color w:val="000000" w:themeColor="text1"/>
        </w:rPr>
        <w:t xml:space="preserve">Zwalczanie nielegalnych połowów oraz wzmocnienie zrównoważonego zarządzania oceanicznymi zasobami żywności w skali światowej </w:t>
      </w:r>
    </w:p>
    <w:p w:rsidR="007F6BFB" w:rsidRDefault="007F6BFB">
      <w:pPr>
        <w:pStyle w:val="ListDash"/>
        <w:spacing w:after="120"/>
        <w:rPr>
          <w:rStyle w:val="None"/>
          <w:rFonts w:cs="Times New Roman"/>
          <w:noProof/>
          <w:color w:val="000000" w:themeColor="text1"/>
        </w:rPr>
      </w:pPr>
    </w:p>
    <w:p w:rsidR="007F6BFB" w:rsidRDefault="002E27DE">
      <w:pPr>
        <w:pStyle w:val="ListDash"/>
        <w:spacing w:after="120"/>
        <w:rPr>
          <w:rStyle w:val="None"/>
          <w:rFonts w:cs="Times New Roman"/>
          <w:noProof/>
          <w:color w:val="000000" w:themeColor="text1"/>
        </w:rPr>
      </w:pPr>
      <w:r>
        <w:rPr>
          <w:rStyle w:val="None"/>
          <w:noProof/>
          <w:color w:val="000000" w:themeColor="text1"/>
        </w:rPr>
        <w:t>Zwalczanie połowów NNN na całym świec</w:t>
      </w:r>
      <w:r>
        <w:rPr>
          <w:rStyle w:val="None"/>
          <w:noProof/>
          <w:color w:val="000000" w:themeColor="text1"/>
        </w:rPr>
        <w:t>ie jest jednym z priorytetów UE.</w:t>
      </w:r>
      <w:r>
        <w:rPr>
          <w:rStyle w:val="FootnoteReference"/>
          <w:noProof/>
          <w:color w:val="000000" w:themeColor="text1"/>
        </w:rPr>
        <w:t xml:space="preserve"> </w:t>
      </w:r>
      <w:r>
        <w:rPr>
          <w:noProof/>
          <w:color w:val="000000" w:themeColor="text1"/>
        </w:rPr>
        <w:t xml:space="preserve">Co najmniej 15 % połowów ryb na całym świecie jest nielegalnych, co odpowiada wartości 8–19 mld EUR rocznie. </w:t>
      </w:r>
      <w:r>
        <w:rPr>
          <w:rStyle w:val="None"/>
          <w:noProof/>
          <w:color w:val="000000" w:themeColor="text1"/>
        </w:rPr>
        <w:t>UE współpracuje z innymi państwami, aby zainicjowały one reformy strukturalne swoich systemów zarządzania rybołóws</w:t>
      </w:r>
      <w:r>
        <w:rPr>
          <w:rStyle w:val="None"/>
          <w:noProof/>
          <w:color w:val="000000" w:themeColor="text1"/>
        </w:rPr>
        <w:t>twem. Celem jest zintensyfikowanie tego działania w ciągu najbliższych 5 lat. W szczególności Komisja dąży do zintensyfikowania wielostronnych działań na rzecz ograniczenia połowów NNN poprzez wzmocnienie instrumentów, które pozwalają śledzić i identyfikow</w:t>
      </w:r>
      <w:r>
        <w:rPr>
          <w:rStyle w:val="None"/>
          <w:noProof/>
          <w:color w:val="000000" w:themeColor="text1"/>
        </w:rPr>
        <w:t>ać jednostki pływające i obywateli biorących udział w nielegalnych praktykach, oraz na rzecz zwiększenia roli najważniejszych instytucji międzynarodowych, takich jak Interpol.</w:t>
      </w:r>
    </w:p>
    <w:p w:rsidR="007F6BFB" w:rsidRDefault="002E27DE">
      <w:pPr>
        <w:pStyle w:val="ListDash"/>
        <w:spacing w:after="120"/>
        <w:rPr>
          <w:rStyle w:val="None"/>
          <w:rFonts w:cs="Times New Roman"/>
          <w:noProof/>
          <w:color w:val="auto"/>
        </w:rPr>
      </w:pPr>
      <w:r>
        <w:rPr>
          <w:rStyle w:val="None"/>
          <w:noProof/>
          <w:color w:val="000000" w:themeColor="text1"/>
        </w:rPr>
        <w:t>UE będzie współpracować z międzynarodowymi partnerami; zapewniać wsparcie dla bu</w:t>
      </w:r>
      <w:r>
        <w:rPr>
          <w:rStyle w:val="None"/>
          <w:noProof/>
          <w:color w:val="000000" w:themeColor="text1"/>
        </w:rPr>
        <w:t>dowania zdolności technicznych i administracyjnych na rzecz zwalczania połowów NNN; promować współpracę międzyinstytucjonalną; oraz dokonywać oceny negatywnych społecznych skutków tych praktyk.</w:t>
      </w:r>
    </w:p>
    <w:p w:rsidR="007F6BFB" w:rsidRDefault="002E27DE">
      <w:pPr>
        <w:pStyle w:val="ListDash"/>
        <w:numPr>
          <w:ilvl w:val="0"/>
          <w:numId w:val="14"/>
        </w:numPr>
        <w:pBdr>
          <w:top w:val="single" w:sz="4" w:space="1" w:color="auto"/>
          <w:left w:val="single" w:sz="4" w:space="4" w:color="auto"/>
          <w:bottom w:val="single" w:sz="4" w:space="1" w:color="auto"/>
          <w:right w:val="single" w:sz="4" w:space="4" w:color="auto"/>
        </w:pBdr>
        <w:spacing w:after="120"/>
        <w:rPr>
          <w:i/>
          <w:noProof/>
          <w:color w:val="auto"/>
        </w:rPr>
      </w:pPr>
      <w:r>
        <w:rPr>
          <w:i/>
          <w:noProof/>
          <w:color w:val="auto"/>
        </w:rPr>
        <w:t xml:space="preserve">Komisja zintensyfikuje działania w zakresie połowów NNN </w:t>
      </w:r>
      <w:r>
        <w:rPr>
          <w:i/>
          <w:noProof/>
          <w:color w:val="auto"/>
        </w:rPr>
        <w:t>poprzez usprawnienie obecnych systemów oraz wspieranie państw członkowskich w stosowaniu skutecznych środków kontroli poprzez rozwój narzędzi elektronicznych.</w:t>
      </w:r>
    </w:p>
    <w:p w:rsidR="007F6BFB" w:rsidRDefault="002E27DE">
      <w:pPr>
        <w:pStyle w:val="ListDash"/>
        <w:numPr>
          <w:ilvl w:val="0"/>
          <w:numId w:val="14"/>
        </w:numPr>
        <w:pBdr>
          <w:top w:val="single" w:sz="4" w:space="1" w:color="auto"/>
          <w:left w:val="single" w:sz="4" w:space="4" w:color="auto"/>
          <w:bottom w:val="single" w:sz="4" w:space="1" w:color="auto"/>
          <w:right w:val="single" w:sz="4" w:space="4" w:color="auto"/>
        </w:pBdr>
        <w:spacing w:after="120"/>
        <w:rPr>
          <w:i/>
          <w:noProof/>
          <w:color w:val="auto"/>
        </w:rPr>
      </w:pPr>
      <w:r>
        <w:rPr>
          <w:i/>
          <w:noProof/>
        </w:rPr>
        <w:t>Wraz z wysokim przedstawicielem Komisja będzie współpracować z państwami trzecimi, m.in. na rzecz</w:t>
      </w:r>
      <w:r>
        <w:rPr>
          <w:i/>
          <w:noProof/>
        </w:rPr>
        <w:t xml:space="preserve"> budowania zdolności i partnerstwa z Europejską Agencją Kontroli Rybołówstwa, w tym na rzecz realizacji umowy o środkach stosowanych przez państwo portu.</w:t>
      </w:r>
      <w:r>
        <w:rPr>
          <w:i/>
          <w:noProof/>
          <w:color w:val="auto"/>
        </w:rPr>
        <w:t xml:space="preserve"> </w:t>
      </w:r>
    </w:p>
    <w:p w:rsidR="007F6BFB" w:rsidRDefault="002E27DE">
      <w:pPr>
        <w:pStyle w:val="ListDash"/>
        <w:numPr>
          <w:ilvl w:val="0"/>
          <w:numId w:val="14"/>
        </w:numPr>
        <w:pBdr>
          <w:top w:val="single" w:sz="4" w:space="1" w:color="auto"/>
          <w:left w:val="single" w:sz="4" w:space="4" w:color="auto"/>
          <w:bottom w:val="single" w:sz="4" w:space="1" w:color="auto"/>
          <w:right w:val="single" w:sz="4" w:space="4" w:color="auto"/>
        </w:pBdr>
        <w:spacing w:after="120"/>
        <w:rPr>
          <w:i/>
          <w:noProof/>
          <w:color w:val="auto"/>
        </w:rPr>
      </w:pPr>
      <w:r>
        <w:rPr>
          <w:i/>
          <w:noProof/>
          <w:color w:val="auto"/>
        </w:rPr>
        <w:t>Komisja i wysoki przedstawiciel będą wykorzystywać dostępne fundusze UE na rozwój w celu wspierania d</w:t>
      </w:r>
      <w:r>
        <w:rPr>
          <w:i/>
          <w:noProof/>
          <w:color w:val="auto"/>
        </w:rPr>
        <w:t>ziałań przyczyniających się do zwalczania połowów NNN.</w:t>
      </w:r>
    </w:p>
    <w:p w:rsidR="007F6BFB" w:rsidRDefault="002E27DE">
      <w:pPr>
        <w:pStyle w:val="ListDash"/>
        <w:numPr>
          <w:ilvl w:val="0"/>
          <w:numId w:val="14"/>
        </w:numPr>
        <w:pBdr>
          <w:top w:val="single" w:sz="4" w:space="1" w:color="auto"/>
          <w:left w:val="single" w:sz="4" w:space="4" w:color="auto"/>
          <w:bottom w:val="single" w:sz="4" w:space="1" w:color="auto"/>
          <w:right w:val="single" w:sz="4" w:space="4" w:color="auto"/>
        </w:pBdr>
        <w:spacing w:after="120"/>
        <w:rPr>
          <w:i/>
          <w:noProof/>
          <w:color w:val="auto"/>
        </w:rPr>
      </w:pPr>
      <w:r>
        <w:rPr>
          <w:i/>
          <w:noProof/>
          <w:color w:val="auto"/>
        </w:rPr>
        <w:t>Komisja będzie współpracować z państwami niebędącymi członkami UE poprzez rozmowy dwustronne i procesy formalne (wstępna identyfikacja, identyfikacja i wpisanie w wykazie) na podstawie rozporządzenia w</w:t>
      </w:r>
      <w:r>
        <w:rPr>
          <w:i/>
          <w:noProof/>
          <w:color w:val="auto"/>
        </w:rPr>
        <w:t xml:space="preserve"> sprawie połowów NNN. </w:t>
      </w:r>
    </w:p>
    <w:p w:rsidR="007F6BFB" w:rsidRDefault="002E27DE">
      <w:pPr>
        <w:pStyle w:val="ListDash"/>
        <w:numPr>
          <w:ilvl w:val="0"/>
          <w:numId w:val="14"/>
        </w:numPr>
        <w:pBdr>
          <w:top w:val="single" w:sz="4" w:space="1" w:color="auto"/>
          <w:left w:val="single" w:sz="4" w:space="4" w:color="auto"/>
          <w:bottom w:val="single" w:sz="4" w:space="1" w:color="auto"/>
          <w:right w:val="single" w:sz="4" w:space="4" w:color="auto"/>
        </w:pBdr>
        <w:spacing w:after="120"/>
        <w:rPr>
          <w:i/>
          <w:noProof/>
          <w:color w:val="auto"/>
        </w:rPr>
      </w:pPr>
      <w:r>
        <w:rPr>
          <w:i/>
          <w:noProof/>
          <w:color w:val="auto"/>
        </w:rPr>
        <w:t>W rozmowach dwustronnych oraz na forach regionalnych i międzynarodowych Komisja i wysoki przedstawiciel zajmą się wyzwaniami związanymi z połowami NNN, takimi jak praca przymusowa i inne formy pracy naruszające prawa człowieka.</w:t>
      </w:r>
    </w:p>
    <w:p w:rsidR="007F6BFB" w:rsidRDefault="002E27DE">
      <w:pPr>
        <w:pStyle w:val="ListDash"/>
        <w:numPr>
          <w:ilvl w:val="0"/>
          <w:numId w:val="14"/>
        </w:numPr>
        <w:pBdr>
          <w:top w:val="single" w:sz="4" w:space="1" w:color="auto"/>
          <w:left w:val="single" w:sz="4" w:space="4" w:color="auto"/>
          <w:bottom w:val="single" w:sz="4" w:space="1" w:color="auto"/>
          <w:right w:val="single" w:sz="4" w:space="4" w:color="auto"/>
        </w:pBdr>
        <w:spacing w:after="120"/>
        <w:rPr>
          <w:i/>
          <w:noProof/>
          <w:color w:val="auto"/>
        </w:rPr>
      </w:pPr>
      <w:r>
        <w:rPr>
          <w:i/>
          <w:noProof/>
          <w:color w:val="auto"/>
        </w:rPr>
        <w:t>UE bę</w:t>
      </w:r>
      <w:r>
        <w:rPr>
          <w:i/>
          <w:noProof/>
          <w:color w:val="auto"/>
        </w:rPr>
        <w:t>dzie propagować działania wielostronne, w tym:</w:t>
      </w:r>
    </w:p>
    <w:p w:rsidR="007F6BFB" w:rsidRDefault="002E27DE">
      <w:pPr>
        <w:pStyle w:val="ListDash"/>
        <w:numPr>
          <w:ilvl w:val="0"/>
          <w:numId w:val="28"/>
        </w:numPr>
        <w:pBdr>
          <w:top w:val="single" w:sz="4" w:space="1" w:color="auto"/>
          <w:left w:val="single" w:sz="4" w:space="4" w:color="auto"/>
          <w:bottom w:val="single" w:sz="4" w:space="1" w:color="auto"/>
          <w:right w:val="single" w:sz="4" w:space="4" w:color="auto"/>
        </w:pBdr>
        <w:tabs>
          <w:tab w:val="clear" w:pos="283"/>
        </w:tabs>
        <w:spacing w:after="120"/>
        <w:ind w:left="1200" w:hanging="840"/>
        <w:rPr>
          <w:i/>
          <w:noProof/>
          <w:color w:val="auto"/>
        </w:rPr>
      </w:pPr>
      <w:r>
        <w:rPr>
          <w:i/>
          <w:noProof/>
          <w:color w:val="auto"/>
        </w:rPr>
        <w:t>stworzenie ogólnoświatowego rejestru floty rybackiej;</w:t>
      </w:r>
    </w:p>
    <w:p w:rsidR="007F6BFB" w:rsidRDefault="002E27DE">
      <w:pPr>
        <w:pStyle w:val="ListDash"/>
        <w:numPr>
          <w:ilvl w:val="0"/>
          <w:numId w:val="28"/>
        </w:numPr>
        <w:pBdr>
          <w:top w:val="single" w:sz="4" w:space="1" w:color="auto"/>
          <w:left w:val="single" w:sz="4" w:space="4" w:color="auto"/>
          <w:bottom w:val="single" w:sz="4" w:space="1" w:color="auto"/>
          <w:right w:val="single" w:sz="4" w:space="4" w:color="auto"/>
        </w:pBdr>
        <w:tabs>
          <w:tab w:val="clear" w:pos="283"/>
        </w:tabs>
        <w:spacing w:after="120"/>
        <w:ind w:left="1200" w:hanging="840"/>
        <w:rPr>
          <w:i/>
          <w:noProof/>
          <w:color w:val="auto"/>
        </w:rPr>
      </w:pPr>
      <w:r>
        <w:rPr>
          <w:i/>
          <w:noProof/>
          <w:color w:val="auto"/>
        </w:rPr>
        <w:t>przydzielenie handlowym statkom rybackim niepowtarzalnego identyfikatora statku (numer IMO);</w:t>
      </w:r>
    </w:p>
    <w:p w:rsidR="007F6BFB" w:rsidRDefault="002E27DE">
      <w:pPr>
        <w:pStyle w:val="ListDash"/>
        <w:numPr>
          <w:ilvl w:val="0"/>
          <w:numId w:val="28"/>
        </w:numPr>
        <w:pBdr>
          <w:top w:val="single" w:sz="4" w:space="1" w:color="auto"/>
          <w:left w:val="single" w:sz="4" w:space="4" w:color="auto"/>
          <w:bottom w:val="single" w:sz="4" w:space="1" w:color="auto"/>
          <w:right w:val="single" w:sz="4" w:space="4" w:color="auto"/>
        </w:pBdr>
        <w:tabs>
          <w:tab w:val="clear" w:pos="283"/>
        </w:tabs>
        <w:spacing w:after="120"/>
        <w:ind w:left="1200" w:hanging="840"/>
        <w:rPr>
          <w:i/>
          <w:noProof/>
          <w:color w:val="auto"/>
        </w:rPr>
      </w:pPr>
      <w:r>
        <w:rPr>
          <w:i/>
          <w:noProof/>
          <w:color w:val="auto"/>
        </w:rPr>
        <w:t xml:space="preserve">przyjęcie wytycznych dotyczących opracowania i wdrożenia </w:t>
      </w:r>
      <w:r>
        <w:rPr>
          <w:i/>
          <w:noProof/>
          <w:color w:val="auto"/>
        </w:rPr>
        <w:t>systemów dokumentacji połowów (globalne świadectwo połowowe); oraz</w:t>
      </w:r>
    </w:p>
    <w:p w:rsidR="007F6BFB" w:rsidRDefault="002E27DE">
      <w:pPr>
        <w:pStyle w:val="ListDash"/>
        <w:numPr>
          <w:ilvl w:val="0"/>
          <w:numId w:val="28"/>
        </w:numPr>
        <w:pBdr>
          <w:top w:val="single" w:sz="4" w:space="1" w:color="auto"/>
          <w:left w:val="single" w:sz="4" w:space="4" w:color="auto"/>
          <w:bottom w:val="single" w:sz="4" w:space="1" w:color="auto"/>
          <w:right w:val="single" w:sz="4" w:space="4" w:color="auto"/>
        </w:pBdr>
        <w:tabs>
          <w:tab w:val="clear" w:pos="283"/>
        </w:tabs>
        <w:spacing w:after="120"/>
        <w:ind w:left="1200" w:hanging="840"/>
        <w:rPr>
          <w:i/>
          <w:noProof/>
          <w:color w:val="auto"/>
        </w:rPr>
      </w:pPr>
      <w:r>
        <w:rPr>
          <w:i/>
          <w:noProof/>
          <w:color w:val="auto"/>
        </w:rPr>
        <w:t>wzmocnienie roli Interpolu w zwalczaniu połowów NNN.</w:t>
      </w:r>
    </w:p>
    <w:p w:rsidR="007F6BFB" w:rsidRDefault="002E27DE">
      <w:pPr>
        <w:pStyle w:val="ListDash"/>
        <w:numPr>
          <w:ilvl w:val="0"/>
          <w:numId w:val="14"/>
        </w:numPr>
        <w:pBdr>
          <w:top w:val="single" w:sz="4" w:space="1" w:color="auto"/>
          <w:left w:val="single" w:sz="4" w:space="4" w:color="auto"/>
          <w:bottom w:val="single" w:sz="4" w:space="1" w:color="auto"/>
          <w:right w:val="single" w:sz="4" w:space="4" w:color="auto"/>
        </w:pBdr>
        <w:spacing w:after="120"/>
        <w:rPr>
          <w:i/>
          <w:noProof/>
          <w:color w:val="auto"/>
        </w:rPr>
      </w:pPr>
      <w:r>
        <w:rPr>
          <w:i/>
          <w:noProof/>
          <w:color w:val="auto"/>
        </w:rPr>
        <w:t>Komisja wzmocni nadzór nad zewnętrzną flotą rybacką UE, niezależnie od obszaru działalności, zgodnie z projektem rozporządzenia w sprawi</w:t>
      </w:r>
      <w:r>
        <w:rPr>
          <w:i/>
          <w:noProof/>
          <w:color w:val="auto"/>
        </w:rPr>
        <w:t>e zrównoważonego zarządzania zewnętrzną flotą rybacką</w:t>
      </w:r>
      <w:r>
        <w:rPr>
          <w:rStyle w:val="FootnoteReference"/>
          <w:i/>
          <w:noProof/>
          <w:color w:val="auto"/>
        </w:rPr>
        <w:footnoteReference w:id="20"/>
      </w:r>
      <w:r>
        <w:rPr>
          <w:noProof/>
        </w:rPr>
        <w:t>.</w:t>
      </w:r>
    </w:p>
    <w:p w:rsidR="007F6BFB" w:rsidRDefault="007F6BFB">
      <w:pPr>
        <w:pStyle w:val="Text2"/>
        <w:keepNext/>
        <w:spacing w:after="120"/>
        <w:ind w:left="1134" w:hanging="1134"/>
        <w:rPr>
          <w:b/>
          <w:noProof/>
          <w:color w:val="000000" w:themeColor="text1"/>
        </w:rPr>
      </w:pPr>
    </w:p>
    <w:p w:rsidR="007F6BFB" w:rsidRDefault="002E27DE">
      <w:pPr>
        <w:pStyle w:val="Text2"/>
        <w:keepNext/>
        <w:spacing w:after="120"/>
        <w:ind w:left="1134" w:hanging="1134"/>
        <w:rPr>
          <w:noProof/>
          <w:color w:val="000000" w:themeColor="text1"/>
        </w:rPr>
      </w:pPr>
      <w:r>
        <w:rPr>
          <w:b/>
          <w:noProof/>
          <w:color w:val="000000" w:themeColor="text1"/>
        </w:rPr>
        <w:t xml:space="preserve">Działanie 8: </w:t>
      </w:r>
      <w:r>
        <w:rPr>
          <w:noProof/>
        </w:rPr>
        <w:tab/>
      </w:r>
      <w:r>
        <w:rPr>
          <w:rStyle w:val="None"/>
          <w:b/>
          <w:noProof/>
        </w:rPr>
        <w:t>Zakaz</w:t>
      </w:r>
      <w:r>
        <w:rPr>
          <w:b/>
          <w:noProof/>
          <w:color w:val="000000" w:themeColor="text1"/>
        </w:rPr>
        <w:t xml:space="preserve"> szkodliwych dotacji połowowych </w:t>
      </w:r>
    </w:p>
    <w:p w:rsidR="007F6BFB" w:rsidRDefault="007F6BFB">
      <w:pPr>
        <w:pStyle w:val="ListDash"/>
        <w:spacing w:after="120"/>
        <w:rPr>
          <w:rStyle w:val="None"/>
          <w:rFonts w:cs="Times New Roman"/>
          <w:noProof/>
          <w:color w:val="auto"/>
        </w:rPr>
      </w:pPr>
    </w:p>
    <w:p w:rsidR="007F6BFB" w:rsidRDefault="002E27DE">
      <w:pPr>
        <w:pStyle w:val="ListDash"/>
        <w:spacing w:after="120"/>
        <w:rPr>
          <w:noProof/>
          <w:color w:val="000000" w:themeColor="text1"/>
        </w:rPr>
      </w:pPr>
      <w:r>
        <w:rPr>
          <w:rStyle w:val="None"/>
          <w:noProof/>
        </w:rPr>
        <w:t>Dotacje połowowe przyczyniające się do przełowienia, nadmiernej zdolności połowowej oraz połowów NNN od dawna stanowią problem w skali międzynarod</w:t>
      </w:r>
      <w:r>
        <w:rPr>
          <w:rStyle w:val="None"/>
          <w:noProof/>
        </w:rPr>
        <w:t>owej. Na Światowych Szczytach Zrównoważonego Rozwoju w 2002 i 2012 r. wezwano do zaprzestania udzielania takich dotacji. Obecnie w programie działań na rzecz zrównoważonego rozwoju do roku 2030 wyznaczono termin (2020 r.) zakończenia ich udzielania.</w:t>
      </w:r>
    </w:p>
    <w:p w:rsidR="007F6BFB" w:rsidRDefault="002E27DE">
      <w:pPr>
        <w:pStyle w:val="ListDash"/>
        <w:spacing w:after="120"/>
        <w:rPr>
          <w:noProof/>
        </w:rPr>
      </w:pPr>
      <w:r>
        <w:rPr>
          <w:noProof/>
        </w:rPr>
        <w:t>Wspier</w:t>
      </w:r>
      <w:r>
        <w:rPr>
          <w:noProof/>
        </w:rPr>
        <w:t xml:space="preserve">ane będą międzynarodowe starania na rzecz ograniczenia nadmiernej zdolności połowowej światowych flot rybackich i przeławiania przez te floty oraz na rzecz zakazania szkodliwych dotacji. Pomoże to w negocjacjach w ramach WTO dotyczących zakazania dotacji, </w:t>
      </w:r>
      <w:r>
        <w:rPr>
          <w:noProof/>
        </w:rPr>
        <w:t xml:space="preserve">które przyczyniają się do przełowienia, nadmiernej zdolności połowowej oraz połowów NNN. </w:t>
      </w:r>
    </w:p>
    <w:p w:rsidR="007F6BFB" w:rsidRDefault="002E27DE">
      <w:pPr>
        <w:pStyle w:val="NoSpacing"/>
        <w:numPr>
          <w:ilvl w:val="0"/>
          <w:numId w:val="11"/>
        </w:numPr>
        <w:pBdr>
          <w:top w:val="single" w:sz="4" w:space="1" w:color="auto"/>
          <w:left w:val="single" w:sz="4" w:space="4" w:color="auto"/>
          <w:bottom w:val="single" w:sz="4" w:space="1" w:color="auto"/>
          <w:right w:val="single" w:sz="4" w:space="4" w:color="auto"/>
        </w:pBdr>
        <w:spacing w:after="120"/>
        <w:rPr>
          <w:b/>
          <w:noProof/>
          <w:color w:val="000000" w:themeColor="text1"/>
        </w:rPr>
      </w:pPr>
      <w:r>
        <w:rPr>
          <w:i/>
          <w:noProof/>
        </w:rPr>
        <w:t xml:space="preserve">UE weźmie czynny udział w negocjacjach wielostronnych w ramach WTO w celu zakazania do 2020 r. dotacji, które przyczyniają się do nadmiernej zdolności połowowej, przełowienia i połowów NNN. </w:t>
      </w:r>
    </w:p>
    <w:p w:rsidR="007F6BFB" w:rsidRDefault="007F6BFB">
      <w:pPr>
        <w:pStyle w:val="Text2"/>
        <w:keepNext/>
        <w:spacing w:after="120"/>
        <w:ind w:left="1134" w:hanging="1134"/>
        <w:rPr>
          <w:b/>
          <w:noProof/>
          <w:color w:val="000000" w:themeColor="text1"/>
        </w:rPr>
      </w:pPr>
    </w:p>
    <w:p w:rsidR="007F6BFB" w:rsidRDefault="002E27DE">
      <w:pPr>
        <w:pStyle w:val="Text2"/>
        <w:keepNext/>
        <w:spacing w:after="120"/>
        <w:ind w:left="1134" w:hanging="1134"/>
        <w:rPr>
          <w:noProof/>
          <w:color w:val="000000" w:themeColor="text1"/>
        </w:rPr>
      </w:pPr>
      <w:r>
        <w:rPr>
          <w:b/>
          <w:noProof/>
          <w:color w:val="000000" w:themeColor="text1"/>
        </w:rPr>
        <w:t xml:space="preserve">Działanie 9: </w:t>
      </w:r>
      <w:r>
        <w:rPr>
          <w:noProof/>
        </w:rPr>
        <w:tab/>
      </w:r>
      <w:r>
        <w:rPr>
          <w:b/>
          <w:noProof/>
          <w:color w:val="000000" w:themeColor="text1"/>
        </w:rPr>
        <w:t>Walka z odpadami morskimi oraz „morzem plastiku”</w:t>
      </w:r>
    </w:p>
    <w:p w:rsidR="007F6BFB" w:rsidRDefault="007F6BFB">
      <w:pPr>
        <w:pStyle w:val="ListDash"/>
        <w:spacing w:after="120"/>
        <w:rPr>
          <w:noProof/>
          <w:color w:val="000000" w:themeColor="text1"/>
        </w:rPr>
      </w:pPr>
    </w:p>
    <w:p w:rsidR="007F6BFB" w:rsidRDefault="002E27DE">
      <w:pPr>
        <w:pStyle w:val="ListDash"/>
        <w:spacing w:after="120"/>
        <w:rPr>
          <w:noProof/>
          <w:color w:val="000000" w:themeColor="text1"/>
        </w:rPr>
      </w:pPr>
      <w:r>
        <w:rPr>
          <w:noProof/>
          <w:color w:val="000000" w:themeColor="text1"/>
        </w:rPr>
        <w:t xml:space="preserve">Odpady morskie są poważnym zagrożeniem dla naszych oceanów. Komisja podjęła już działania w celu rozwiązania tego problemu u źródła i będzie znacząco wzmacniać to działanie. </w:t>
      </w:r>
    </w:p>
    <w:p w:rsidR="007F6BFB" w:rsidRDefault="002E27DE">
      <w:pPr>
        <w:spacing w:after="120"/>
        <w:jc w:val="both"/>
        <w:rPr>
          <w:noProof/>
        </w:rPr>
      </w:pPr>
      <w:r>
        <w:rPr>
          <w:noProof/>
        </w:rPr>
        <w:t>Komisja zaproponuje środki służące zminimalizowaniu wytwarzania odpadów w cyklu ż</w:t>
      </w:r>
      <w:r>
        <w:rPr>
          <w:noProof/>
        </w:rPr>
        <w:t xml:space="preserve">ycia produktu, począwszy od wyboru materiałów, poprzez projektowanie produktu, produkcję, konsumpcję i recykling, po unieszkodliwienie odpadów. </w:t>
      </w:r>
    </w:p>
    <w:p w:rsidR="007F6BFB" w:rsidRDefault="002E27DE">
      <w:pPr>
        <w:spacing w:after="120"/>
        <w:jc w:val="both"/>
        <w:rPr>
          <w:noProof/>
        </w:rPr>
      </w:pPr>
      <w:r>
        <w:rPr>
          <w:noProof/>
        </w:rPr>
        <w:t>Zgodnie z planem działania dotyczącym gospodarki o obiegu zamkniętym UE zaproponuje do 2017 r. strategię dotycz</w:t>
      </w:r>
      <w:r>
        <w:rPr>
          <w:noProof/>
        </w:rPr>
        <w:t>ącą tworzyw sztucznych obejmującą takie kwestie, jak zdolność do recyklingu, biodegradowalność, obecność substancji niebezpiecznych w niektórych tworzywach sztucznych i odpady morskie, zawierającą wyraźny element międzynarodowy dotyczący przeciwdziałania w</w:t>
      </w:r>
      <w:r>
        <w:rPr>
          <w:noProof/>
        </w:rPr>
        <w:t>yciekaniu tworzyw sztucznych do środowiska. Przyczyni się to do zmniejszenia ilości odpadów znajdywanych na plażach i zgubionych narzędzi połowowych o co najmniej 30 % do 2020 r. Przyczyni się to również do ograniczenia objętości mikrodrobin plastiku wprow</w:t>
      </w:r>
      <w:r>
        <w:rPr>
          <w:noProof/>
        </w:rPr>
        <w:t>adzanych do środowiska morskiego, w tym w razie konieczności poprzez ograniczenie ich stosowania w produktach.</w:t>
      </w:r>
    </w:p>
    <w:p w:rsidR="007F6BFB" w:rsidRDefault="002E27DE">
      <w:pPr>
        <w:spacing w:after="120"/>
        <w:jc w:val="both"/>
        <w:rPr>
          <w:strike/>
          <w:noProof/>
          <w:color w:val="000000" w:themeColor="text1"/>
        </w:rPr>
      </w:pPr>
      <w:r>
        <w:rPr>
          <w:noProof/>
        </w:rPr>
        <w:t>To z kolei przyczyni się do realizacji programu działań do roku 2030. Strategia uwzględni również globalny charakter problemu i potrzebę podjęcia</w:t>
      </w:r>
      <w:r>
        <w:rPr>
          <w:noProof/>
        </w:rPr>
        <w:t xml:space="preserve"> działań zbiorowych, w tym w kontekście wielostronnych umów środowiskowych. Zostaną rozważone możliwości usprawnienia walki z odpadami morskimi w zewnętrznych działaniach i pomocy rozwojowej UE, tak aby powstrzymać napływ odpadów z tworzyw sztucznych do oc</w:t>
      </w:r>
      <w:r>
        <w:rPr>
          <w:noProof/>
        </w:rPr>
        <w:t>eanów świata, a w przypadkach uzasadnionych ochroną środowiska i wykonalnych technicznie, uczestniczyć w dobrze skoordynowanych działaniach polegających na usuwaniu odpadów.</w:t>
      </w:r>
    </w:p>
    <w:p w:rsidR="007F6BFB" w:rsidRDefault="002E27DE">
      <w:pPr>
        <w:pStyle w:val="NoSpacing"/>
        <w:numPr>
          <w:ilvl w:val="0"/>
          <w:numId w:val="11"/>
        </w:numPr>
        <w:pBdr>
          <w:top w:val="single" w:sz="4" w:space="1" w:color="auto"/>
          <w:left w:val="single" w:sz="4" w:space="4" w:color="auto"/>
          <w:bottom w:val="single" w:sz="4" w:space="1" w:color="auto"/>
          <w:right w:val="single" w:sz="4" w:space="4" w:color="auto"/>
        </w:pBdr>
        <w:spacing w:after="120"/>
        <w:rPr>
          <w:i/>
          <w:strike/>
          <w:noProof/>
        </w:rPr>
      </w:pPr>
      <w:r>
        <w:rPr>
          <w:i/>
          <w:noProof/>
        </w:rPr>
        <w:t xml:space="preserve">W ramach strategii dotyczącej gospodarki o obiegu zamkniętym Komisja przedstawi w </w:t>
      </w:r>
      <w:r>
        <w:rPr>
          <w:i/>
          <w:noProof/>
        </w:rPr>
        <w:t>2017 r. projekt strategii dotyczącej tworzyw sztucznych, której przedmiotem będą odpady morskie, jak również takie kwestie, jak zdolność do recyklingu i biodegradowalność.</w:t>
      </w:r>
    </w:p>
    <w:p w:rsidR="007F6BFB" w:rsidRDefault="002E27DE">
      <w:pPr>
        <w:pStyle w:val="NoSpacing"/>
        <w:numPr>
          <w:ilvl w:val="0"/>
          <w:numId w:val="11"/>
        </w:numPr>
        <w:pBdr>
          <w:top w:val="single" w:sz="4" w:space="1" w:color="auto"/>
          <w:left w:val="single" w:sz="4" w:space="4" w:color="auto"/>
          <w:bottom w:val="single" w:sz="4" w:space="1" w:color="auto"/>
          <w:right w:val="single" w:sz="4" w:space="4" w:color="auto"/>
        </w:pBdr>
        <w:spacing w:after="120"/>
        <w:rPr>
          <w:i/>
          <w:noProof/>
        </w:rPr>
      </w:pPr>
      <w:r>
        <w:rPr>
          <w:i/>
          <w:noProof/>
        </w:rPr>
        <w:t>Komisja zajmie się źródłami odpadów morskich pochodzących z działalności morskiej, w</w:t>
      </w:r>
      <w:r>
        <w:rPr>
          <w:i/>
          <w:noProof/>
        </w:rPr>
        <w:t xml:space="preserve"> tym z żeglugi i rybołówstwa, poprzez nowelizację dyrektywy w sprawie portowych urządzeń do odbioru odpadów</w:t>
      </w:r>
      <w:r>
        <w:rPr>
          <w:rStyle w:val="FootnoteReference"/>
          <w:noProof/>
          <w:color w:val="000000" w:themeColor="text1"/>
        </w:rPr>
        <w:footnoteReference w:id="21"/>
      </w:r>
      <w:r>
        <w:rPr>
          <w:i/>
          <w:noProof/>
        </w:rPr>
        <w:t xml:space="preserve"> oraz w razie konieczności podejmie dodatkowe działania odnoszące się do działalności połowowej i akwakultury.</w:t>
      </w:r>
    </w:p>
    <w:p w:rsidR="007F6BFB" w:rsidRDefault="002E27DE">
      <w:pPr>
        <w:pStyle w:val="NoSpacing"/>
        <w:numPr>
          <w:ilvl w:val="0"/>
          <w:numId w:val="11"/>
        </w:numPr>
        <w:pBdr>
          <w:top w:val="single" w:sz="4" w:space="1" w:color="auto"/>
          <w:left w:val="single" w:sz="4" w:space="4" w:color="auto"/>
          <w:bottom w:val="single" w:sz="4" w:space="1" w:color="auto"/>
          <w:right w:val="single" w:sz="4" w:space="4" w:color="auto"/>
        </w:pBdr>
        <w:spacing w:after="120"/>
        <w:rPr>
          <w:i/>
          <w:noProof/>
        </w:rPr>
      </w:pPr>
      <w:r>
        <w:rPr>
          <w:i/>
          <w:noProof/>
        </w:rPr>
        <w:t>Komisja weźmie udział w ocenie skutec</w:t>
      </w:r>
      <w:r>
        <w:rPr>
          <w:i/>
          <w:noProof/>
        </w:rPr>
        <w:t>zności międzynarodowych, regionalnych i subregionalnych strategii zarządzania i podejścia do walki z odpadami morskimi z tworzyw sztucznych i mikrodrobinami plastiku, na wniosek złożony przez Zgromadzenie ONZ ds. Ochrony Środowiska.</w:t>
      </w:r>
    </w:p>
    <w:p w:rsidR="007F6BFB" w:rsidRDefault="002E27DE">
      <w:pPr>
        <w:pStyle w:val="ListDash"/>
        <w:numPr>
          <w:ilvl w:val="0"/>
          <w:numId w:val="11"/>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auto"/>
        </w:rPr>
        <w:t>Komisja zapewni wsparci</w:t>
      </w:r>
      <w:r>
        <w:rPr>
          <w:i/>
          <w:noProof/>
          <w:color w:val="auto"/>
        </w:rPr>
        <w:t>e finansowe, w szczególności z Europejskiego Funduszu Morskiego i Rybackiego, w celu poprawy zdolności do zbierania odpadów morskich i dostępności danych dotyczących koncentracji odpadów w morzach wokół UE.</w:t>
      </w:r>
    </w:p>
    <w:p w:rsidR="007F6BFB" w:rsidRDefault="002E27DE">
      <w:pPr>
        <w:pStyle w:val="NoSpacing"/>
        <w:numPr>
          <w:ilvl w:val="0"/>
          <w:numId w:val="11"/>
        </w:numPr>
        <w:pBdr>
          <w:top w:val="single" w:sz="4" w:space="1" w:color="auto"/>
          <w:left w:val="single" w:sz="4" w:space="4" w:color="auto"/>
          <w:bottom w:val="single" w:sz="4" w:space="1" w:color="auto"/>
          <w:right w:val="single" w:sz="4" w:space="4" w:color="auto"/>
        </w:pBdr>
        <w:spacing w:after="120"/>
        <w:rPr>
          <w:i/>
          <w:noProof/>
        </w:rPr>
      </w:pPr>
      <w:r>
        <w:rPr>
          <w:i/>
          <w:noProof/>
        </w:rPr>
        <w:t>Komisja złoży projekt wzmocnienia ram instytucjon</w:t>
      </w:r>
      <w:r>
        <w:rPr>
          <w:i/>
          <w:noProof/>
        </w:rPr>
        <w:t>alnych w celu rozwiązania problemu odpadów morskich, np. poprzez lepszą koordynację działań międzynarodowych, plan G7 dotyczący zwalczania odpadów morskich oraz partnerstwo globalne w sprawie odpadów morskich.</w:t>
      </w:r>
    </w:p>
    <w:p w:rsidR="007F6BFB" w:rsidRDefault="002E27DE">
      <w:pPr>
        <w:pStyle w:val="NoSpacing"/>
        <w:numPr>
          <w:ilvl w:val="0"/>
          <w:numId w:val="11"/>
        </w:numPr>
        <w:pBdr>
          <w:top w:val="single" w:sz="4" w:space="1" w:color="auto"/>
          <w:left w:val="single" w:sz="4" w:space="4" w:color="auto"/>
          <w:bottom w:val="single" w:sz="4" w:space="1" w:color="auto"/>
          <w:right w:val="single" w:sz="4" w:space="4" w:color="auto"/>
        </w:pBdr>
        <w:spacing w:after="120"/>
        <w:rPr>
          <w:i/>
          <w:noProof/>
        </w:rPr>
      </w:pPr>
      <w:r>
        <w:rPr>
          <w:i/>
          <w:noProof/>
        </w:rPr>
        <w:t xml:space="preserve">Komisja będzie prowadzić działania wynikające </w:t>
      </w:r>
      <w:r>
        <w:rPr>
          <w:i/>
          <w:noProof/>
        </w:rPr>
        <w:t xml:space="preserve">ze zobowiązań światowych i regionalnych poprzez promowanie planów działania w zakresie odpadów morskich, skupiając się na regionalnych konwencjach morskich w całej Europie. </w:t>
      </w:r>
    </w:p>
    <w:p w:rsidR="007F6BFB" w:rsidRDefault="007F6BFB">
      <w:pPr>
        <w:pStyle w:val="Text2"/>
        <w:keepNext/>
        <w:spacing w:after="120"/>
        <w:ind w:left="1134" w:hanging="1134"/>
        <w:rPr>
          <w:rStyle w:val="None"/>
          <w:rFonts w:cs="Times New Roman"/>
          <w:b/>
          <w:bCs/>
          <w:noProof/>
          <w:color w:val="000000" w:themeColor="text1"/>
        </w:rPr>
      </w:pPr>
    </w:p>
    <w:p w:rsidR="007F6BFB" w:rsidRDefault="002E27DE">
      <w:pPr>
        <w:pStyle w:val="Text2"/>
        <w:keepNext/>
        <w:spacing w:after="120"/>
        <w:ind w:left="1134" w:hanging="1134"/>
        <w:rPr>
          <w:noProof/>
          <w:color w:val="000000" w:themeColor="text1"/>
        </w:rPr>
      </w:pPr>
      <w:r>
        <w:rPr>
          <w:rStyle w:val="None"/>
          <w:b/>
          <w:noProof/>
          <w:color w:val="000000" w:themeColor="text1"/>
        </w:rPr>
        <w:t xml:space="preserve">Działanie 10: </w:t>
      </w:r>
      <w:r>
        <w:rPr>
          <w:noProof/>
        </w:rPr>
        <w:tab/>
      </w:r>
      <w:r>
        <w:rPr>
          <w:rStyle w:val="None"/>
          <w:b/>
          <w:noProof/>
          <w:color w:val="000000" w:themeColor="text1"/>
        </w:rPr>
        <w:t>Promowanie planowania przestrzennego obszarów morskich</w:t>
      </w:r>
      <w:r>
        <w:rPr>
          <w:b/>
          <w:noProof/>
          <w:color w:val="000000" w:themeColor="text1"/>
        </w:rPr>
        <w:t xml:space="preserve"> (PPOM) na p</w:t>
      </w:r>
      <w:r>
        <w:rPr>
          <w:b/>
          <w:noProof/>
          <w:color w:val="000000" w:themeColor="text1"/>
        </w:rPr>
        <w:t>oziomie światowym</w:t>
      </w:r>
    </w:p>
    <w:p w:rsidR="007F6BFB" w:rsidRDefault="007F6BFB">
      <w:pPr>
        <w:pStyle w:val="ListDash"/>
        <w:spacing w:after="120"/>
        <w:rPr>
          <w:noProof/>
          <w:color w:val="000000" w:themeColor="text1"/>
        </w:rPr>
      </w:pPr>
    </w:p>
    <w:p w:rsidR="007F6BFB" w:rsidRDefault="002E27DE">
      <w:pPr>
        <w:pStyle w:val="ListDash"/>
        <w:spacing w:after="120"/>
        <w:rPr>
          <w:noProof/>
          <w:color w:val="000000" w:themeColor="text1"/>
        </w:rPr>
      </w:pPr>
      <w:r>
        <w:rPr>
          <w:noProof/>
          <w:color w:val="000000" w:themeColor="text1"/>
        </w:rPr>
        <w:t xml:space="preserve">Zrównoważone wykorzystanie oceanów i ich różnorodności biologicznej, w tym osiągnięcie odpowiednich celów zrównoważonego rozwoju, zależy od właściwego planowania i zarządzania w zakresie działań człowieka, zarówno na obszarach </w:t>
      </w:r>
      <w:r>
        <w:rPr>
          <w:noProof/>
          <w:color w:val="000000" w:themeColor="text1"/>
        </w:rPr>
        <w:t>jurysdykcji krajowej, jak też poza takimi obszarami. PPOM może zapewnić skuteczną organizację korzystania z zasobów morskich na danym obszarze morskim, obejmującą wyznaczenie chronionych obszarów morskich, zarządzanie nimi i tworzenie ich sieci</w:t>
      </w:r>
      <w:r>
        <w:rPr>
          <w:rStyle w:val="FootnoteReference"/>
          <w:noProof/>
          <w:color w:val="000000" w:themeColor="text1"/>
        </w:rPr>
        <w:footnoteReference w:id="22"/>
      </w:r>
      <w:r>
        <w:rPr>
          <w:noProof/>
        </w:rPr>
        <w:t>.</w:t>
      </w:r>
      <w:r>
        <w:rPr>
          <w:noProof/>
          <w:color w:val="000000" w:themeColor="text1"/>
        </w:rPr>
        <w:t xml:space="preserve"> Zainteres</w:t>
      </w:r>
      <w:r>
        <w:rPr>
          <w:noProof/>
          <w:color w:val="000000" w:themeColor="text1"/>
        </w:rPr>
        <w:t xml:space="preserve">owanie PPOM wzrasta na całym świecie, a w ciągu ostatniej dekady wypracowano pokaźny zbiór doświadczeń i najlepszych praktyk. </w:t>
      </w:r>
    </w:p>
    <w:p w:rsidR="007F6BFB" w:rsidRDefault="002E27DE">
      <w:pPr>
        <w:pStyle w:val="ListDash"/>
        <w:spacing w:after="120"/>
        <w:rPr>
          <w:noProof/>
          <w:color w:val="000000" w:themeColor="text1"/>
        </w:rPr>
      </w:pPr>
      <w:r>
        <w:rPr>
          <w:noProof/>
          <w:color w:val="000000" w:themeColor="text1"/>
        </w:rPr>
        <w:t>W 2017 r. Komisja rozpocznie współpracę ze wszystkimi odpowiednimi podmiotami w celu opracowania projektów międzynarodowych wytyc</w:t>
      </w:r>
      <w:r>
        <w:rPr>
          <w:noProof/>
          <w:color w:val="000000" w:themeColor="text1"/>
        </w:rPr>
        <w:t xml:space="preserve">znych w celu promowania wykorzystania PPOM i powiązanych procesów przez państwa partnerskie i na szczeblu międzynarodowym, zwłaszcza w ramach ONZ. </w:t>
      </w:r>
    </w:p>
    <w:p w:rsidR="007F6BFB" w:rsidRDefault="002E27DE">
      <w:pPr>
        <w:pStyle w:val="ListDash"/>
        <w:numPr>
          <w:ilvl w:val="0"/>
          <w:numId w:val="12"/>
        </w:numPr>
        <w:pBdr>
          <w:top w:val="single" w:sz="4" w:space="1" w:color="auto"/>
          <w:left w:val="single" w:sz="4" w:space="4" w:color="auto"/>
          <w:bottom w:val="single" w:sz="4" w:space="1" w:color="auto"/>
          <w:right w:val="single" w:sz="4" w:space="4" w:color="auto"/>
        </w:pBdr>
        <w:spacing w:after="120"/>
        <w:rPr>
          <w:noProof/>
          <w:color w:val="000000" w:themeColor="text1"/>
        </w:rPr>
      </w:pPr>
      <w:r>
        <w:rPr>
          <w:i/>
          <w:noProof/>
          <w:color w:val="000000" w:themeColor="text1"/>
        </w:rPr>
        <w:t>W 2017 r. Komisja rozpocznie prace nad projektami międzynarodowych wytycznych dotyczących PPOM.</w:t>
      </w:r>
    </w:p>
    <w:p w:rsidR="007F6BFB" w:rsidRDefault="007F6BFB">
      <w:pPr>
        <w:spacing w:after="120"/>
        <w:jc w:val="both"/>
        <w:rPr>
          <w:b/>
          <w:noProof/>
          <w:color w:val="000000" w:themeColor="text1"/>
        </w:rPr>
      </w:pPr>
    </w:p>
    <w:p w:rsidR="007F6BFB" w:rsidRDefault="002E27DE">
      <w:pPr>
        <w:spacing w:after="120"/>
        <w:jc w:val="both"/>
        <w:rPr>
          <w:noProof/>
          <w:color w:val="000000" w:themeColor="text1"/>
        </w:rPr>
      </w:pPr>
      <w:r>
        <w:rPr>
          <w:b/>
          <w:noProof/>
          <w:color w:val="000000" w:themeColor="text1"/>
        </w:rPr>
        <w:t>Działanie 1</w:t>
      </w:r>
      <w:r>
        <w:rPr>
          <w:b/>
          <w:noProof/>
          <w:color w:val="000000" w:themeColor="text1"/>
        </w:rPr>
        <w:t>1: Osiągnięcie globalnego celu zakładającego objęcie ochroną 10 % obszarów morskich i przybrzeżnych oraz propagowanie skutecznego zarządzania chronionymi obszarami morskimi</w:t>
      </w:r>
    </w:p>
    <w:p w:rsidR="007F6BFB" w:rsidRDefault="007F6BFB">
      <w:pPr>
        <w:spacing w:after="120"/>
        <w:rPr>
          <w:noProof/>
          <w:color w:val="000000" w:themeColor="text1"/>
        </w:rPr>
      </w:pPr>
    </w:p>
    <w:p w:rsidR="007F6BFB" w:rsidRDefault="002E27DE">
      <w:pPr>
        <w:spacing w:after="120"/>
        <w:jc w:val="both"/>
        <w:rPr>
          <w:noProof/>
          <w:color w:val="000000" w:themeColor="text1"/>
        </w:rPr>
      </w:pPr>
      <w:r>
        <w:rPr>
          <w:noProof/>
          <w:color w:val="000000" w:themeColor="text1"/>
        </w:rPr>
        <w:t>Stan różnorodności biologicznej mórz jest obecnie alarmujący. W ciągu ostatnich 30</w:t>
      </w:r>
      <w:r>
        <w:rPr>
          <w:noProof/>
          <w:color w:val="000000" w:themeColor="text1"/>
        </w:rPr>
        <w:t xml:space="preserve"> lat tropikalne rafy straciły ponad połowę koralowców, z których są zbudowane. Obecnie tylko 3,4 % mórz i oceanów stanowi chronione obszary morskie – odsetek ten jest znacznie mniejszy niż globalnie uzgodniony cel ochrony na rok 2020, tj. 10 %. Odbudowa i </w:t>
      </w:r>
      <w:r>
        <w:rPr>
          <w:noProof/>
          <w:color w:val="000000" w:themeColor="text1"/>
        </w:rPr>
        <w:t>ochrona ekosystemów morskich przyniesie korzyści zarówno środowiskowe, jak i gospodarcze. Zwiększenie zasięgu chronionych obszarów morskich do 30 % mogłoby wygenerować do 920 mld USD w okresie od 2015 r. do 2050 r.</w:t>
      </w:r>
      <w:r>
        <w:rPr>
          <w:rStyle w:val="FootnoteReference"/>
          <w:noProof/>
          <w:color w:val="000000" w:themeColor="text1"/>
        </w:rPr>
        <w:footnoteReference w:id="23"/>
      </w:r>
      <w:r>
        <w:rPr>
          <w:noProof/>
        </w:rPr>
        <w:t>.</w:t>
      </w:r>
      <w:r>
        <w:rPr>
          <w:noProof/>
          <w:color w:val="000000" w:themeColor="text1"/>
        </w:rPr>
        <w:t xml:space="preserve"> </w:t>
      </w:r>
    </w:p>
    <w:p w:rsidR="007F6BFB" w:rsidRDefault="002E27DE">
      <w:pPr>
        <w:spacing w:after="120"/>
        <w:jc w:val="both"/>
        <w:rPr>
          <w:noProof/>
          <w:color w:val="000000" w:themeColor="text1"/>
        </w:rPr>
      </w:pPr>
      <w:r>
        <w:rPr>
          <w:noProof/>
          <w:color w:val="000000" w:themeColor="text1"/>
        </w:rPr>
        <w:t>Różne organizacje i fora pracują nad r</w:t>
      </w:r>
      <w:r>
        <w:rPr>
          <w:noProof/>
          <w:color w:val="000000" w:themeColor="text1"/>
        </w:rPr>
        <w:t>óżnego rodzaju narzędziami zarządzania obszarami, zgodnie ze swoimi odpowiednimi kompetencjami</w:t>
      </w:r>
      <w:r>
        <w:rPr>
          <w:rStyle w:val="FootnoteReference"/>
          <w:noProof/>
          <w:color w:val="000000" w:themeColor="text1"/>
        </w:rPr>
        <w:footnoteReference w:id="24"/>
      </w:r>
      <w:r>
        <w:rPr>
          <w:noProof/>
        </w:rPr>
        <w:t>.</w:t>
      </w:r>
      <w:r>
        <w:rPr>
          <w:noProof/>
          <w:color w:val="000000" w:themeColor="text1"/>
        </w:rPr>
        <w:t xml:space="preserve"> Chronione obszary morskie są jednak skuteczne tylko wtedy, gdy są dobrze zarządzane i stanowią ekologicznie spójną sieć. Zarządzanie nimi wymaga odpowiedniego </w:t>
      </w:r>
      <w:r>
        <w:rPr>
          <w:noProof/>
          <w:color w:val="000000" w:themeColor="text1"/>
        </w:rPr>
        <w:t xml:space="preserve">planowania, jak również zasobów ludzkich i finansowych. </w:t>
      </w:r>
    </w:p>
    <w:p w:rsidR="007F6BFB" w:rsidRDefault="002E27DE">
      <w:pPr>
        <w:pStyle w:val="NoSpacing"/>
        <w:spacing w:after="120"/>
        <w:rPr>
          <w:strike/>
          <w:noProof/>
          <w:color w:val="000000" w:themeColor="text1"/>
        </w:rPr>
      </w:pPr>
      <w:r>
        <w:rPr>
          <w:noProof/>
          <w:color w:val="000000" w:themeColor="text1"/>
        </w:rPr>
        <w:t>Komisja przyczyni się do zwiększenia skuteczności chronionych obszarów morskich na całym świecie poprzez promowanie wymiany najlepszych praktyk oraz poprzez wspieranie wysiłków na rzecz spójnych siec</w:t>
      </w:r>
      <w:r>
        <w:rPr>
          <w:noProof/>
          <w:color w:val="000000" w:themeColor="text1"/>
        </w:rPr>
        <w:t>i. Komisja będzie również wspierać współpracę regionalną i międzynarodową na rzecz opracowania długoterminowych, trwałych mechanizmów finansowania chronionych obszarów morskich</w:t>
      </w:r>
      <w:r>
        <w:rPr>
          <w:rStyle w:val="FootnoteReference"/>
          <w:noProof/>
          <w:color w:val="000000" w:themeColor="text1"/>
        </w:rPr>
        <w:footnoteReference w:id="25"/>
      </w:r>
      <w:r>
        <w:rPr>
          <w:noProof/>
        </w:rPr>
        <w:t>.</w:t>
      </w:r>
      <w:r>
        <w:rPr>
          <w:noProof/>
          <w:color w:val="000000" w:themeColor="text1"/>
        </w:rPr>
        <w:t xml:space="preserve"> </w:t>
      </w:r>
    </w:p>
    <w:p w:rsidR="007F6BFB" w:rsidRDefault="002E27DE">
      <w:pPr>
        <w:pStyle w:val="NoSpacing"/>
        <w:spacing w:after="120"/>
        <w:rPr>
          <w:noProof/>
          <w:color w:val="000000" w:themeColor="text1"/>
        </w:rPr>
      </w:pPr>
      <w:r>
        <w:rPr>
          <w:noProof/>
          <w:color w:val="000000" w:themeColor="text1"/>
        </w:rPr>
        <w:t xml:space="preserve">Nowa umowa wykonawcza na mocy UNCLOS w sprawie ochrony i zrównoważonego </w:t>
      </w:r>
      <w:r>
        <w:rPr>
          <w:noProof/>
          <w:color w:val="000000" w:themeColor="text1"/>
        </w:rPr>
        <w:t>wykorzystania różnorodności biologicznej mórz na obszarach znajdujących się poza jurysdykcją krajową może pomóc osiągnąć cel 10 % ochrony w skali światowej i znacząco zwiększyć zasięg chronionych obszarów morskich na morzu pełnym.</w:t>
      </w:r>
    </w:p>
    <w:p w:rsidR="007F6BFB" w:rsidRDefault="002E27DE">
      <w:pPr>
        <w:pStyle w:val="NoSpacing"/>
        <w:numPr>
          <w:ilvl w:val="0"/>
          <w:numId w:val="12"/>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Komisja będzie wspierać s</w:t>
      </w:r>
      <w:r>
        <w:rPr>
          <w:i/>
          <w:noProof/>
          <w:color w:val="000000" w:themeColor="text1"/>
        </w:rPr>
        <w:t>kuteczność i rozszerzanie chronionych obszarów morskich na całym świecie poprzez promowanie wymiany najlepszych praktyk oraz poprzez wspieranie wysiłków na rzecz spójnych sieci.</w:t>
      </w:r>
    </w:p>
    <w:p w:rsidR="007F6BFB" w:rsidRDefault="002E27DE">
      <w:pPr>
        <w:pStyle w:val="NoSpacing"/>
        <w:numPr>
          <w:ilvl w:val="0"/>
          <w:numId w:val="12"/>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Komisja będzie również wspierać współpracę regionalną i międzynarodową na rzec</w:t>
      </w:r>
      <w:r>
        <w:rPr>
          <w:i/>
          <w:noProof/>
          <w:color w:val="000000" w:themeColor="text1"/>
        </w:rPr>
        <w:t>z opracowania długoterminowych, trwałych mechanizmów finansowania chronionych obszarów morskich.</w:t>
      </w:r>
    </w:p>
    <w:p w:rsidR="007F6BFB" w:rsidRDefault="002E27DE">
      <w:pPr>
        <w:pStyle w:val="NoSpacing"/>
        <w:numPr>
          <w:ilvl w:val="0"/>
          <w:numId w:val="12"/>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Komisja ukończy bliźniaczy projekt dotyczący chronionych obszarów morskich ułatwiający wymianę najlepszych praktyk oraz budowanie zdolności w zakresie europejs</w:t>
      </w:r>
      <w:r>
        <w:rPr>
          <w:i/>
          <w:noProof/>
          <w:color w:val="000000" w:themeColor="text1"/>
        </w:rPr>
        <w:t>kich, afrykańskich, północno- i południowoamerykańskich chronionych obszarów morskich na Atlantyku.</w:t>
      </w:r>
    </w:p>
    <w:p w:rsidR="007F6BFB" w:rsidRDefault="002E27DE">
      <w:pPr>
        <w:pStyle w:val="NoSpacing"/>
        <w:numPr>
          <w:ilvl w:val="0"/>
          <w:numId w:val="12"/>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rPr>
        <w:t>W ramach programów „Horyzont 2020” i LIFE Komisja zapewni możliwości finansowania badań morskich, mających istotne znaczenie dla ustanowienia chronionych ob</w:t>
      </w:r>
      <w:r>
        <w:rPr>
          <w:i/>
          <w:noProof/>
        </w:rPr>
        <w:t>szarów morskich, oraz będzie promować współpracę z partnerami międzynarodowymi.</w:t>
      </w:r>
    </w:p>
    <w:p w:rsidR="007F6BFB" w:rsidRDefault="007F6BFB">
      <w:pPr>
        <w:pStyle w:val="Text2"/>
        <w:spacing w:after="120"/>
        <w:ind w:left="567" w:hanging="567"/>
        <w:rPr>
          <w:rStyle w:val="None"/>
          <w:rFonts w:cs="Times New Roman"/>
          <w:b/>
          <w:bCs/>
          <w:smallCaps/>
          <w:noProof/>
          <w:color w:val="000000" w:themeColor="text1"/>
        </w:rPr>
      </w:pPr>
    </w:p>
    <w:p w:rsidR="007F6BFB" w:rsidRDefault="002E27DE">
      <w:pPr>
        <w:pStyle w:val="Text2"/>
        <w:spacing w:after="120"/>
        <w:ind w:left="567" w:hanging="567"/>
        <w:rPr>
          <w:rStyle w:val="None"/>
          <w:rFonts w:cs="Times New Roman"/>
          <w:noProof/>
          <w:color w:val="auto"/>
        </w:rPr>
      </w:pPr>
      <w:r>
        <w:rPr>
          <w:rStyle w:val="None"/>
          <w:b/>
          <w:smallCaps/>
          <w:noProof/>
          <w:color w:val="000000" w:themeColor="text1"/>
        </w:rPr>
        <w:t>4.</w:t>
      </w:r>
      <w:r>
        <w:rPr>
          <w:noProof/>
        </w:rPr>
        <w:tab/>
      </w:r>
      <w:r>
        <w:rPr>
          <w:rStyle w:val="None"/>
          <w:b/>
          <w:smallCaps/>
          <w:noProof/>
          <w:color w:val="000000" w:themeColor="text1"/>
        </w:rPr>
        <w:t xml:space="preserve">Poprawa międzynarodowych badań i danych dotyczących oceanów </w:t>
      </w:r>
    </w:p>
    <w:p w:rsidR="007F6BFB" w:rsidRDefault="007F6BFB">
      <w:pPr>
        <w:pStyle w:val="Text1"/>
        <w:spacing w:after="120"/>
        <w:ind w:left="0"/>
        <w:rPr>
          <w:noProof/>
          <w:color w:val="000000" w:themeColor="text1"/>
        </w:rPr>
      </w:pPr>
    </w:p>
    <w:p w:rsidR="007F6BFB" w:rsidRDefault="002E27DE">
      <w:pPr>
        <w:pStyle w:val="Text1"/>
        <w:spacing w:after="120"/>
        <w:ind w:left="0"/>
        <w:rPr>
          <w:noProof/>
          <w:color w:val="000000" w:themeColor="text1"/>
        </w:rPr>
      </w:pPr>
      <w:r>
        <w:rPr>
          <w:noProof/>
          <w:color w:val="000000" w:themeColor="text1"/>
        </w:rPr>
        <w:t>Solidna wiedza naukowa o oceanach jest niezbędna do skutecznego podejmowania większości powyższych działań i gwarantuje, że zasoby są wykorzystywane w sposób zrównoważony. Wymaga to znacznych inwestycji w aktywa i sprzęt. Wymiana wiedzy i danych zapewnia m</w:t>
      </w:r>
      <w:r>
        <w:rPr>
          <w:noProof/>
          <w:color w:val="000000" w:themeColor="text1"/>
        </w:rPr>
        <w:t xml:space="preserve">aksymalne korzyści dla społeczeństwa. </w:t>
      </w:r>
    </w:p>
    <w:p w:rsidR="007F6BFB" w:rsidRDefault="002E27DE">
      <w:pPr>
        <w:pStyle w:val="Text1"/>
        <w:spacing w:after="120"/>
        <w:ind w:left="0"/>
        <w:rPr>
          <w:noProof/>
          <w:color w:val="000000" w:themeColor="text1"/>
        </w:rPr>
      </w:pPr>
      <w:r>
        <w:rPr>
          <w:noProof/>
          <w:color w:val="000000" w:themeColor="text1"/>
        </w:rPr>
        <w:t>Unia Europejska i jej państwa członkowskie mają znaczne osiągnięcia w finansowaniu badań morskich oraz poprawie dostępności danych i ich interoperacyjności. Współpraca z partnerami międzynarodowymi, w tym łączenie zas</w:t>
      </w:r>
      <w:r>
        <w:rPr>
          <w:noProof/>
          <w:color w:val="000000" w:themeColor="text1"/>
        </w:rPr>
        <w:t>obów, stanowi kolejny niezbędny krok do zapewnienia bazy wiedzy potrzebnej do skutecznego zarządzania oceanami.</w:t>
      </w:r>
    </w:p>
    <w:p w:rsidR="007F6BFB" w:rsidRDefault="007F6BFB">
      <w:pPr>
        <w:pStyle w:val="ListDash"/>
        <w:spacing w:after="120"/>
        <w:ind w:left="1134" w:hanging="1134"/>
        <w:rPr>
          <w:rStyle w:val="None"/>
          <w:rFonts w:cs="Times New Roman"/>
          <w:b/>
          <w:bCs/>
          <w:noProof/>
          <w:color w:val="000000" w:themeColor="text1"/>
        </w:rPr>
      </w:pPr>
    </w:p>
    <w:p w:rsidR="007F6BFB" w:rsidRDefault="002E27DE">
      <w:pPr>
        <w:pStyle w:val="ListDash"/>
        <w:spacing w:after="120"/>
        <w:ind w:left="1134" w:hanging="1134"/>
        <w:rPr>
          <w:rStyle w:val="None"/>
          <w:rFonts w:cs="Times New Roman"/>
          <w:noProof/>
          <w:color w:val="auto"/>
        </w:rPr>
      </w:pPr>
      <w:r>
        <w:rPr>
          <w:rStyle w:val="None"/>
          <w:b/>
          <w:noProof/>
          <w:color w:val="000000" w:themeColor="text1"/>
        </w:rPr>
        <w:t xml:space="preserve">Działanie 12: </w:t>
      </w:r>
      <w:r>
        <w:rPr>
          <w:noProof/>
        </w:rPr>
        <w:tab/>
      </w:r>
      <w:r>
        <w:rPr>
          <w:rStyle w:val="None"/>
          <w:b/>
          <w:noProof/>
          <w:color w:val="000000" w:themeColor="text1"/>
        </w:rPr>
        <w:t>Spójna strategia UE w zakresie obserwacji oceanów, danych o oceanach i rejestrowania informacji na temat środowiska morskiego</w:t>
      </w:r>
    </w:p>
    <w:p w:rsidR="007F6BFB" w:rsidRDefault="007F6BFB">
      <w:pPr>
        <w:pStyle w:val="Body"/>
        <w:spacing w:after="120"/>
        <w:rPr>
          <w:noProof/>
        </w:rPr>
      </w:pPr>
    </w:p>
    <w:p w:rsidR="007F6BFB" w:rsidRDefault="002E27DE">
      <w:pPr>
        <w:pStyle w:val="Body"/>
        <w:spacing w:after="120"/>
        <w:rPr>
          <w:noProof/>
        </w:rPr>
      </w:pPr>
      <w:r>
        <w:rPr>
          <w:noProof/>
        </w:rPr>
        <w:t>E</w:t>
      </w:r>
      <w:r>
        <w:rPr>
          <w:noProof/>
        </w:rPr>
        <w:t>uropejska sieć informacji i obserwacji środowiska morskiego (EMODnet) umożliwia badaczom, organom publicznym, przedsiębiorstwom i społeczeństwu obywatelskiemu wyszukiwanie, przeglądanie, pobieranie i wykorzystywanie danych i produktów informacyjnych z pona</w:t>
      </w:r>
      <w:r>
        <w:rPr>
          <w:noProof/>
        </w:rPr>
        <w:t>d 100 morskich instytutów badawczych w zakresie batymetrii, geologii, siedlisk, właściwości fizycznych i chemicznych oraz organizmów żywych mórz w całej Europie.</w:t>
      </w:r>
    </w:p>
    <w:p w:rsidR="007F6BFB" w:rsidRDefault="002E27DE">
      <w:pPr>
        <w:pStyle w:val="Text2"/>
        <w:spacing w:after="120"/>
        <w:ind w:left="0"/>
        <w:rPr>
          <w:noProof/>
          <w:color w:val="000000" w:themeColor="text1"/>
        </w:rPr>
      </w:pPr>
      <w:r>
        <w:rPr>
          <w:noProof/>
          <w:color w:val="000000" w:themeColor="text1"/>
        </w:rPr>
        <w:t>Dostosowanie pracy UE do działań jej międzynarodowych partnerów może znacznie poszerzyć wiedzę</w:t>
      </w:r>
      <w:r>
        <w:rPr>
          <w:noProof/>
          <w:color w:val="000000" w:themeColor="text1"/>
        </w:rPr>
        <w:t xml:space="preserve"> leżącą u podstaw zarządzania oceanami, w tym poprzez znaczne poprawienie jakości zintegrowanego systemu rejestrowania naturalnego kapitału i usług ekosystemowych, który jest opracowywany we współpracy z Europejską Agencją Środowiska i partnerami międzynar</w:t>
      </w:r>
      <w:r>
        <w:rPr>
          <w:noProof/>
          <w:color w:val="000000" w:themeColor="text1"/>
        </w:rPr>
        <w:t>odowymi.</w:t>
      </w:r>
    </w:p>
    <w:p w:rsidR="007F6BFB" w:rsidRDefault="002E27DE">
      <w:pPr>
        <w:pStyle w:val="ListParagraph"/>
        <w:numPr>
          <w:ilvl w:val="0"/>
          <w:numId w:val="12"/>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Korzystając z EMODnet, Komisja przedstawi w 2018 r. projekt spójnej strategii obserwacji oceanów zgodnej z komunikatem G7 z Tsukuby</w:t>
      </w:r>
      <w:r>
        <w:rPr>
          <w:rStyle w:val="FootnoteReference"/>
          <w:i/>
          <w:noProof/>
          <w:color w:val="000000" w:themeColor="text1"/>
        </w:rPr>
        <w:footnoteReference w:id="26"/>
      </w:r>
      <w:r>
        <w:rPr>
          <w:noProof/>
        </w:rPr>
        <w:t>.</w:t>
      </w:r>
      <w:r>
        <w:rPr>
          <w:i/>
          <w:noProof/>
          <w:color w:val="000000" w:themeColor="text1"/>
        </w:rPr>
        <w:t xml:space="preserve"> Komisja oceni, czy sieci obserwacji oceanów są celowe, oraz przeanalizuje gospodarcze, środowiskowe i społeczne k</w:t>
      </w:r>
      <w:r>
        <w:rPr>
          <w:i/>
          <w:noProof/>
          <w:color w:val="000000" w:themeColor="text1"/>
        </w:rPr>
        <w:t>orzyści z ich ulepszenia.</w:t>
      </w:r>
    </w:p>
    <w:p w:rsidR="007F6BFB" w:rsidRDefault="002E27DE">
      <w:pPr>
        <w:pStyle w:val="ListParagraph"/>
        <w:numPr>
          <w:ilvl w:val="0"/>
          <w:numId w:val="12"/>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 xml:space="preserve">W kontekście tego sprawozdania zaplanowanego na 2018 r. Komisja zaproponuje, w jaki sposób można dostosować EMODnet do innych krajowych lub regionalnych działań w zakresie gromadzenia danych na temat środowiska morskiego, tak aby </w:t>
      </w:r>
      <w:r>
        <w:rPr>
          <w:i/>
          <w:noProof/>
          <w:color w:val="000000" w:themeColor="text1"/>
        </w:rPr>
        <w:t>stworzyć międzynarodową sieć danych na temat środowiska morskiego oraz zapewnić nieograniczony dostęp do tych danych.</w:t>
      </w:r>
    </w:p>
    <w:p w:rsidR="007F6BFB" w:rsidRDefault="007F6BFB">
      <w:pPr>
        <w:pStyle w:val="ListDash"/>
        <w:keepNext/>
        <w:spacing w:after="120"/>
        <w:ind w:left="1134" w:hanging="1134"/>
        <w:rPr>
          <w:rStyle w:val="None"/>
          <w:rFonts w:cs="Times New Roman"/>
          <w:b/>
          <w:bCs/>
          <w:noProof/>
          <w:color w:val="000000" w:themeColor="text1"/>
        </w:rPr>
      </w:pPr>
    </w:p>
    <w:p w:rsidR="007F6BFB" w:rsidRDefault="002E27DE">
      <w:pPr>
        <w:pStyle w:val="ListDash"/>
        <w:keepNext/>
        <w:spacing w:after="120"/>
        <w:ind w:left="1134" w:hanging="1134"/>
        <w:rPr>
          <w:noProof/>
          <w:color w:val="000000" w:themeColor="text1"/>
        </w:rPr>
      </w:pPr>
      <w:r>
        <w:rPr>
          <w:rStyle w:val="None"/>
          <w:b/>
          <w:noProof/>
          <w:color w:val="000000" w:themeColor="text1"/>
        </w:rPr>
        <w:t xml:space="preserve">Działanie 13: </w:t>
      </w:r>
      <w:r>
        <w:rPr>
          <w:noProof/>
        </w:rPr>
        <w:tab/>
      </w:r>
      <w:r>
        <w:rPr>
          <w:rStyle w:val="None"/>
          <w:b/>
          <w:noProof/>
          <w:color w:val="000000" w:themeColor="text1"/>
        </w:rPr>
        <w:t>Zwiększenie inwestycji w „niebieską” naukę i „niebieskie” innowacje</w:t>
      </w:r>
    </w:p>
    <w:p w:rsidR="007F6BFB" w:rsidRDefault="007F6BFB">
      <w:pPr>
        <w:pStyle w:val="Text2"/>
        <w:spacing w:after="120"/>
        <w:ind w:left="0"/>
        <w:rPr>
          <w:noProof/>
          <w:color w:val="000000" w:themeColor="text1"/>
        </w:rPr>
      </w:pPr>
    </w:p>
    <w:p w:rsidR="007F6BFB" w:rsidRDefault="002E27DE">
      <w:pPr>
        <w:pStyle w:val="Text2"/>
        <w:spacing w:after="120"/>
        <w:ind w:left="0"/>
        <w:rPr>
          <w:noProof/>
          <w:color w:val="000000" w:themeColor="text1"/>
        </w:rPr>
      </w:pPr>
      <w:r>
        <w:rPr>
          <w:noProof/>
          <w:color w:val="000000" w:themeColor="text1"/>
        </w:rPr>
        <w:t>Unia Europejska i państwa członkowskie UE wydają okoł</w:t>
      </w:r>
      <w:r>
        <w:rPr>
          <w:noProof/>
          <w:color w:val="000000" w:themeColor="text1"/>
        </w:rPr>
        <w:t>o 2 mld EUR rocznie na badania morskie. Ponad 260 mln EUR pochodzi z programu w zakresie badań naukowych i innowacji „Horyzont 2020”. Ważne jest utrzymanie tego poziomu ambicji. Celem konkretnego obszaru docelowego „niebieski wzrost” są przekrojowe badania</w:t>
      </w:r>
      <w:r>
        <w:rPr>
          <w:noProof/>
          <w:color w:val="000000" w:themeColor="text1"/>
        </w:rPr>
        <w:t xml:space="preserve"> morskie; wspiera on również polityki związane z oceanami, w tym w zakresie rybołówstwa, energetyki morskiej i transportu morskiego.</w:t>
      </w:r>
    </w:p>
    <w:p w:rsidR="007F6BFB" w:rsidRDefault="002E27DE">
      <w:pPr>
        <w:pStyle w:val="Text2"/>
        <w:spacing w:after="120"/>
        <w:ind w:left="0"/>
        <w:rPr>
          <w:noProof/>
          <w:color w:val="000000" w:themeColor="text1"/>
        </w:rPr>
      </w:pPr>
      <w:r>
        <w:rPr>
          <w:noProof/>
          <w:color w:val="000000" w:themeColor="text1"/>
        </w:rPr>
        <w:t xml:space="preserve">Państwa członkowskie w coraz większym stopniu koordynują lub integrują swoje programy badawcze celem rozwiązania wspólnych </w:t>
      </w:r>
      <w:r>
        <w:rPr>
          <w:noProof/>
          <w:color w:val="000000" w:themeColor="text1"/>
        </w:rPr>
        <w:t>problemów na poziomie UE (np. poprzez inicjatywę w zakresie wspólnego planowania „Zdrowe i wydajne morza i oceany”, projekty Black Sea Horizon oraz EMBLAS) oraz na poziomie basenu morskiego (np. poprzez inicjatywy na rzecz Morza Bałtyckiego BONUS oraz Morz</w:t>
      </w:r>
      <w:r>
        <w:rPr>
          <w:noProof/>
          <w:color w:val="000000" w:themeColor="text1"/>
        </w:rPr>
        <w:t>a Śródziemnego BLUEMED).</w:t>
      </w:r>
    </w:p>
    <w:p w:rsidR="007F6BFB" w:rsidRDefault="002E27DE">
      <w:pPr>
        <w:pStyle w:val="Text2"/>
        <w:numPr>
          <w:ilvl w:val="0"/>
          <w:numId w:val="13"/>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W ramach europejskiej inicjatywy dotyczącej przetwarzania w chmurze na potrzeby nauki</w:t>
      </w:r>
      <w:r>
        <w:rPr>
          <w:rStyle w:val="FootnoteReference"/>
          <w:i/>
          <w:noProof/>
          <w:color w:val="000000" w:themeColor="text1"/>
        </w:rPr>
        <w:footnoteReference w:id="27"/>
      </w:r>
      <w:r>
        <w:rPr>
          <w:i/>
          <w:noProof/>
          <w:color w:val="000000" w:themeColor="text1"/>
        </w:rPr>
        <w:t xml:space="preserve"> Komisja ustanowi „pilotażowy projekt dotyczący przetwarzania w chmurze dla niebieskiej nauki” i będzie kontynuować inwestycje w badania i innowacje morskie.</w:t>
      </w:r>
    </w:p>
    <w:p w:rsidR="007F6BFB" w:rsidRDefault="002E27DE">
      <w:pPr>
        <w:pStyle w:val="Text2"/>
        <w:numPr>
          <w:ilvl w:val="0"/>
          <w:numId w:val="13"/>
        </w:numPr>
        <w:pBdr>
          <w:top w:val="single" w:sz="4" w:space="1" w:color="auto"/>
          <w:left w:val="single" w:sz="4" w:space="4" w:color="auto"/>
          <w:bottom w:val="single" w:sz="4" w:space="1" w:color="auto"/>
          <w:right w:val="single" w:sz="4" w:space="4" w:color="auto"/>
        </w:pBdr>
        <w:spacing w:after="120"/>
        <w:rPr>
          <w:i/>
          <w:noProof/>
          <w:color w:val="000000" w:themeColor="text1"/>
        </w:rPr>
      </w:pPr>
      <w:r>
        <w:rPr>
          <w:i/>
          <w:noProof/>
          <w:color w:val="000000" w:themeColor="text1"/>
        </w:rPr>
        <w:t>Komisja będzie współpracować z partnerami z G7, aby rozwinąć nową inicjatywę G7 „Przyszłość oceanó</w:t>
      </w:r>
      <w:r>
        <w:rPr>
          <w:i/>
          <w:noProof/>
          <w:color w:val="000000" w:themeColor="text1"/>
        </w:rPr>
        <w:t>w” służącą ulepszeniu badań i obserwacji mórz i oceanów.</w:t>
      </w:r>
    </w:p>
    <w:p w:rsidR="007F6BFB" w:rsidRDefault="007F6BFB">
      <w:pPr>
        <w:pStyle w:val="Text2"/>
        <w:spacing w:after="120"/>
        <w:ind w:left="1134" w:hanging="1134"/>
        <w:rPr>
          <w:rStyle w:val="None"/>
          <w:rFonts w:cs="Times New Roman"/>
          <w:b/>
          <w:bCs/>
          <w:noProof/>
          <w:color w:val="000000" w:themeColor="text1"/>
        </w:rPr>
      </w:pPr>
    </w:p>
    <w:p w:rsidR="007F6BFB" w:rsidRDefault="002E27DE">
      <w:pPr>
        <w:pStyle w:val="Text2"/>
        <w:spacing w:after="120"/>
        <w:ind w:left="1134" w:hanging="1134"/>
        <w:rPr>
          <w:noProof/>
          <w:color w:val="000000" w:themeColor="text1"/>
        </w:rPr>
      </w:pPr>
      <w:r>
        <w:rPr>
          <w:rStyle w:val="None"/>
          <w:b/>
          <w:noProof/>
          <w:color w:val="000000" w:themeColor="text1"/>
        </w:rPr>
        <w:t>Działanie 14:</w:t>
      </w:r>
      <w:r>
        <w:rPr>
          <w:noProof/>
        </w:rPr>
        <w:tab/>
      </w:r>
      <w:r>
        <w:rPr>
          <w:rStyle w:val="None"/>
          <w:b/>
          <w:noProof/>
          <w:color w:val="000000" w:themeColor="text1"/>
        </w:rPr>
        <w:t>Międzynarodowe partnerstwa w dziedzinie badań, innowacji i nauk oceanicznych</w:t>
      </w:r>
    </w:p>
    <w:p w:rsidR="007F6BFB" w:rsidRDefault="007F6BFB">
      <w:pPr>
        <w:pStyle w:val="Text2"/>
        <w:spacing w:after="120"/>
        <w:ind w:left="0"/>
        <w:rPr>
          <w:noProof/>
          <w:color w:val="000000" w:themeColor="text1"/>
        </w:rPr>
      </w:pPr>
    </w:p>
    <w:p w:rsidR="007F6BFB" w:rsidRDefault="002E27DE">
      <w:pPr>
        <w:pStyle w:val="Text2"/>
        <w:spacing w:after="120"/>
        <w:ind w:left="0"/>
        <w:rPr>
          <w:strike/>
          <w:noProof/>
          <w:color w:val="000000" w:themeColor="text1"/>
        </w:rPr>
      </w:pPr>
      <w:r>
        <w:rPr>
          <w:noProof/>
          <w:color w:val="000000" w:themeColor="text1"/>
        </w:rPr>
        <w:t>Unijna działalność badawczo-naukowa dotycząca oceanów może czerpać znaczne korzyści ze współpracy z instyt</w:t>
      </w:r>
      <w:r>
        <w:rPr>
          <w:noProof/>
          <w:color w:val="000000" w:themeColor="text1"/>
        </w:rPr>
        <w:t xml:space="preserve">ucjami spoza UE. Decydującym krokiem naprzód była Deklaracja z Galway z 2013 r. w sprawie współpracy w rejonie Oceanu Atlantyckiego między UE, USA a Kanadą. Komisja będzie kontynuować realizację Deklaracji z Galway. </w:t>
      </w:r>
    </w:p>
    <w:p w:rsidR="007F6BFB" w:rsidRDefault="002E27DE">
      <w:pPr>
        <w:spacing w:after="120"/>
        <w:jc w:val="both"/>
        <w:rPr>
          <w:rFonts w:eastAsia="Arial Unicode MS" w:cs="Arial Unicode MS"/>
          <w:noProof/>
          <w:color w:val="000000" w:themeColor="text1"/>
          <w:u w:color="000000"/>
        </w:rPr>
      </w:pPr>
      <w:r>
        <w:rPr>
          <w:noProof/>
          <w:color w:val="000000" w:themeColor="text1"/>
          <w:u w:color="000000"/>
        </w:rPr>
        <w:t>Aby zwiększyć umiejętności konieczne do</w:t>
      </w:r>
      <w:r>
        <w:rPr>
          <w:noProof/>
          <w:color w:val="000000" w:themeColor="text1"/>
          <w:u w:color="000000"/>
        </w:rPr>
        <w:t xml:space="preserve"> tworzenia innowacji i osiągnięcia konkurencyjności, Komisja będzie w dalszym ciągu wspierać branżowe partnerstwo w zakresie technologii morskiej</w:t>
      </w:r>
      <w:r>
        <w:rPr>
          <w:noProof/>
        </w:rPr>
        <w:t xml:space="preserve"> w kontekście planu działania na rzecz współpracy sektorowej w zakresie umiejętności</w:t>
      </w:r>
      <w:r>
        <w:rPr>
          <w:noProof/>
          <w:color w:val="000000" w:themeColor="text1"/>
          <w:u w:color="000000"/>
        </w:rPr>
        <w:t>.</w:t>
      </w:r>
    </w:p>
    <w:p w:rsidR="007F6BFB" w:rsidRDefault="002E27DE">
      <w:pPr>
        <w:spacing w:after="120"/>
        <w:jc w:val="both"/>
        <w:rPr>
          <w:noProof/>
          <w:color w:val="000000" w:themeColor="text1"/>
        </w:rPr>
      </w:pPr>
      <w:r>
        <w:rPr>
          <w:noProof/>
          <w:color w:val="000000" w:themeColor="text1"/>
        </w:rPr>
        <w:t>Zgodnie z zaleceniem OECD</w:t>
      </w:r>
      <w:r>
        <w:rPr>
          <w:noProof/>
          <w:color w:val="000000" w:themeColor="text1"/>
        </w:rPr>
        <w:t xml:space="preserve">, aby sprzyjać ściślejszej współpracy międzynarodowej w dziedzinie nauki i technologii morskiej, Komisja zbada również możliwości ustanowienia międzynarodowych sieci wymiany doświadczeń w zakresie promowania innowacyjnych technologii morskich dopasowanych </w:t>
      </w:r>
      <w:r>
        <w:rPr>
          <w:noProof/>
          <w:color w:val="000000" w:themeColor="text1"/>
        </w:rPr>
        <w:t>do istniejących narzędzi.</w:t>
      </w:r>
    </w:p>
    <w:p w:rsidR="007F6BFB" w:rsidRDefault="002E27DE">
      <w:pPr>
        <w:pStyle w:val="Text2"/>
        <w:numPr>
          <w:ilvl w:val="0"/>
          <w:numId w:val="30"/>
        </w:numPr>
        <w:pBdr>
          <w:top w:val="single" w:sz="4" w:space="1" w:color="auto"/>
          <w:left w:val="single" w:sz="4" w:space="4" w:color="auto"/>
          <w:bottom w:val="single" w:sz="4" w:space="1" w:color="auto"/>
          <w:right w:val="single" w:sz="4" w:space="4" w:color="auto"/>
        </w:pBdr>
        <w:spacing w:after="120"/>
        <w:ind w:left="851" w:hanging="425"/>
        <w:rPr>
          <w:i/>
          <w:noProof/>
          <w:color w:val="auto"/>
        </w:rPr>
      </w:pPr>
      <w:r>
        <w:rPr>
          <w:i/>
          <w:noProof/>
        </w:rPr>
        <w:t>Komisja będzie rozwijać partnerstwa w dziedzinie nauki i badań morskich we współpracy z kluczowymi partnerami w ramach istniejących umów naukowo-technologicznych, w tym w odpowiednich przypadkach partnerstwa oceaniczne oraz świato</w:t>
      </w:r>
      <w:r>
        <w:rPr>
          <w:i/>
          <w:noProof/>
        </w:rPr>
        <w:t>we sojusze, w których uczestniczy, takie jak Forum Belmont czy Grupa ds. Obserwacji Ziemi.</w:t>
      </w:r>
    </w:p>
    <w:p w:rsidR="007F6BFB" w:rsidRDefault="002E27DE">
      <w:pPr>
        <w:pStyle w:val="Text2"/>
        <w:numPr>
          <w:ilvl w:val="0"/>
          <w:numId w:val="30"/>
        </w:numPr>
        <w:pBdr>
          <w:top w:val="single" w:sz="4" w:space="1" w:color="auto"/>
          <w:left w:val="single" w:sz="4" w:space="4" w:color="auto"/>
          <w:bottom w:val="single" w:sz="4" w:space="1" w:color="auto"/>
          <w:right w:val="single" w:sz="4" w:space="4" w:color="auto"/>
        </w:pBdr>
        <w:spacing w:after="120"/>
        <w:ind w:left="851" w:hanging="425"/>
        <w:rPr>
          <w:i/>
          <w:noProof/>
          <w:color w:val="000000" w:themeColor="text1"/>
        </w:rPr>
      </w:pPr>
      <w:r>
        <w:rPr>
          <w:i/>
          <w:noProof/>
          <w:color w:val="000000" w:themeColor="text1"/>
        </w:rPr>
        <w:t xml:space="preserve">Komisja zintensyfikuje prace w zakresie Transatlantyckiego Stowarzyszenia Badań Oceanów poprzez wspieranie ulepszonych ram współpracy w zakresie obszarów morskich z </w:t>
      </w:r>
      <w:r>
        <w:rPr>
          <w:i/>
          <w:noProof/>
          <w:color w:val="000000" w:themeColor="text1"/>
        </w:rPr>
        <w:t>kluczowymi podmiotami południowego Atlantyku.</w:t>
      </w:r>
    </w:p>
    <w:p w:rsidR="007F6BFB" w:rsidRDefault="002E27DE">
      <w:pPr>
        <w:pStyle w:val="Text2"/>
        <w:numPr>
          <w:ilvl w:val="0"/>
          <w:numId w:val="30"/>
        </w:numPr>
        <w:pBdr>
          <w:top w:val="single" w:sz="4" w:space="1" w:color="auto"/>
          <w:left w:val="single" w:sz="4" w:space="4" w:color="auto"/>
          <w:bottom w:val="single" w:sz="4" w:space="1" w:color="auto"/>
          <w:right w:val="single" w:sz="4" w:space="4" w:color="auto"/>
        </w:pBdr>
        <w:spacing w:after="120"/>
        <w:ind w:left="851" w:hanging="425"/>
        <w:rPr>
          <w:i/>
          <w:noProof/>
          <w:color w:val="000000" w:themeColor="text1"/>
        </w:rPr>
      </w:pPr>
      <w:r>
        <w:rPr>
          <w:i/>
          <w:noProof/>
          <w:color w:val="000000" w:themeColor="text1"/>
        </w:rPr>
        <w:t xml:space="preserve">Komisja będzie kontynuować prace służące włączeniu południowych krajów śródziemnomorskich w inicjatywę BLUEMED. </w:t>
      </w:r>
      <w:r>
        <w:rPr>
          <w:i/>
          <w:noProof/>
        </w:rPr>
        <w:t>Będzie również zwiększać swoje zaangażowanie w dziedzinie nauki, badań i innowacji w odniesieniu d</w:t>
      </w:r>
      <w:r>
        <w:rPr>
          <w:i/>
          <w:noProof/>
        </w:rPr>
        <w:t>o Morza Czarnego w ramach synergii czarnomorskiej.</w:t>
      </w:r>
    </w:p>
    <w:p w:rsidR="007F6BFB" w:rsidRDefault="007F6BFB">
      <w:pPr>
        <w:pStyle w:val="Heading"/>
        <w:spacing w:after="120"/>
        <w:rPr>
          <w:rStyle w:val="None"/>
          <w:rFonts w:cs="Times New Roman"/>
          <w:b w:val="0"/>
          <w:bCs w:val="0"/>
          <w:smallCaps w:val="0"/>
          <w:noProof/>
          <w:color w:val="000000" w:themeColor="text1"/>
        </w:rPr>
      </w:pPr>
    </w:p>
    <w:p w:rsidR="007F6BFB" w:rsidRDefault="002E27DE">
      <w:pPr>
        <w:pStyle w:val="Heading"/>
        <w:spacing w:after="120"/>
        <w:rPr>
          <w:rStyle w:val="None"/>
          <w:rFonts w:cs="Times New Roman"/>
          <w:b w:val="0"/>
          <w:bCs w:val="0"/>
          <w:smallCaps w:val="0"/>
          <w:noProof/>
          <w:color w:val="auto"/>
        </w:rPr>
      </w:pPr>
      <w:r>
        <w:rPr>
          <w:rStyle w:val="None"/>
          <w:noProof/>
          <w:color w:val="000000" w:themeColor="text1"/>
        </w:rPr>
        <w:t>5.</w:t>
      </w:r>
      <w:r>
        <w:rPr>
          <w:noProof/>
        </w:rPr>
        <w:tab/>
      </w:r>
      <w:r>
        <w:rPr>
          <w:rStyle w:val="None"/>
          <w:noProof/>
          <w:color w:val="000000" w:themeColor="text1"/>
        </w:rPr>
        <w:t xml:space="preserve">Wnioski </w:t>
      </w:r>
    </w:p>
    <w:p w:rsidR="007F6BFB" w:rsidRDefault="007F6BFB">
      <w:pPr>
        <w:pStyle w:val="Body"/>
        <w:spacing w:after="120"/>
        <w:rPr>
          <w:rFonts w:cs="Times New Roman"/>
          <w:noProof/>
        </w:rPr>
      </w:pPr>
    </w:p>
    <w:p w:rsidR="007F6BFB" w:rsidRDefault="002E27DE">
      <w:pPr>
        <w:pStyle w:val="Body"/>
        <w:spacing w:after="120"/>
        <w:rPr>
          <w:rFonts w:cs="Times New Roman"/>
          <w:noProof/>
        </w:rPr>
      </w:pPr>
      <w:r>
        <w:rPr>
          <w:noProof/>
        </w:rPr>
        <w:t xml:space="preserve">Na UE spoczywa ważny obowiązek wobec oceanów i mórz. Odgrywa ona istotną rolę jako orędownik zrównoważonego rozwoju, globalny uczestnik ram zarządzania oceanami oraz użytkownik zasobów </w:t>
      </w:r>
      <w:r>
        <w:rPr>
          <w:noProof/>
        </w:rPr>
        <w:t>oceanów. UE powinna zintensyfikować swoje starania służące zagwarantowaniu, aby oceany były bezpieczne, chronione, czyste i zarządzane w sposób zrównoważony, ku pożytkowi współczesnych i przyszłych pokoleń.</w:t>
      </w:r>
    </w:p>
    <w:p w:rsidR="007F6BFB" w:rsidRDefault="002E27DE">
      <w:pPr>
        <w:pStyle w:val="Text2"/>
        <w:spacing w:after="120"/>
        <w:ind w:left="0"/>
        <w:rPr>
          <w:rFonts w:cs="Times New Roman"/>
          <w:noProof/>
          <w:color w:val="000000" w:themeColor="text1"/>
        </w:rPr>
      </w:pPr>
      <w:r>
        <w:rPr>
          <w:noProof/>
          <w:color w:val="000000" w:themeColor="text1"/>
        </w:rPr>
        <w:t xml:space="preserve">Komisja i wysoki przedstawiciel są zaangażowani w poprawę zarządzania oceanami, skupiając się na przedstawionych powyżej obszarach priorytetowych. W ramach tych starań będą propagować efekty synergii między politykami i strategiami UE sprzyjające lepszemu </w:t>
      </w:r>
      <w:r>
        <w:rPr>
          <w:noProof/>
          <w:color w:val="000000" w:themeColor="text1"/>
        </w:rPr>
        <w:t xml:space="preserve">zarządzaniu oceanami, np. poprzez zwiększenie bezpieczeństwa morskiego i promowanie zrównoważonego rozwoju. </w:t>
      </w:r>
    </w:p>
    <w:p w:rsidR="007F6BFB" w:rsidRDefault="002E27DE">
      <w:pPr>
        <w:pStyle w:val="Text2"/>
        <w:spacing w:after="120"/>
        <w:ind w:left="0"/>
        <w:rPr>
          <w:rFonts w:cs="Times New Roman"/>
          <w:strike/>
          <w:noProof/>
          <w:color w:val="000000" w:themeColor="text1"/>
        </w:rPr>
      </w:pPr>
      <w:r>
        <w:rPr>
          <w:noProof/>
          <w:color w:val="000000" w:themeColor="text1"/>
        </w:rPr>
        <w:t>Będą współdziałać z państwami członkowskimi, organizacjami i partnerami międzynarodowymi oraz organizacjami i podmiotami regionalnymi w celu realiz</w:t>
      </w:r>
      <w:r>
        <w:rPr>
          <w:noProof/>
          <w:color w:val="000000" w:themeColor="text1"/>
        </w:rPr>
        <w:t>acji proponowanych działań i szukania nowych sposobów i środków usprawniania międzynarodowego zarządzania oceanami. Wspólnie z wysokim przedstawicielem Komisja stworzy unijne forum zainteresowanych stron poświęcone oceanom i morzom na całym świecie. Będzie</w:t>
      </w:r>
      <w:r>
        <w:rPr>
          <w:noProof/>
          <w:color w:val="000000" w:themeColor="text1"/>
        </w:rPr>
        <w:t xml:space="preserve"> ono służyć pomocą w dalszej realizacji omawianej inicjatywy i umożliwi regularny dialog na temat działań UE na rzecz poprawy międzynarodowego zarządzania oceanami. Pierwsze spotkanie forum odbędzie się w 2017 r.</w:t>
      </w:r>
    </w:p>
    <w:p w:rsidR="007F6BFB" w:rsidRDefault="002E27DE">
      <w:pPr>
        <w:pStyle w:val="Text2"/>
        <w:spacing w:after="120"/>
        <w:ind w:left="0"/>
        <w:rPr>
          <w:rFonts w:cs="Times New Roman"/>
          <w:noProof/>
          <w:color w:val="000000" w:themeColor="text1"/>
        </w:rPr>
      </w:pPr>
      <w:r>
        <w:rPr>
          <w:noProof/>
          <w:color w:val="000000" w:themeColor="text1"/>
        </w:rPr>
        <w:t>Komisja i wysoki przedstawiciel będą przeka</w:t>
      </w:r>
      <w:r>
        <w:rPr>
          <w:noProof/>
          <w:color w:val="000000" w:themeColor="text1"/>
        </w:rPr>
        <w:t>zywać regularne sprawozdania z postępów powyższych działań, a pierwsze z nich zostanie przedstawione w ciągu dwóch lat od przyjęcia niniejszego komunikatu.</w:t>
      </w:r>
    </w:p>
    <w:sectPr w:rsidR="007F6BFB">
      <w:headerReference w:type="even" r:id="rId16"/>
      <w:headerReference w:type="default" r:id="rId17"/>
      <w:footerReference w:type="even" r:id="rId18"/>
      <w:footerReference w:type="default" r:id="rId19"/>
      <w:headerReference w:type="first" r:id="rId20"/>
      <w:footerReference w:type="first" r:id="rId21"/>
      <w:endnotePr>
        <w:numFmt w:val="decimal"/>
      </w:endnotePr>
      <w:pgSz w:w="11900" w:h="16840"/>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BFB" w:rsidRDefault="002E27DE">
      <w:r>
        <w:separator/>
      </w:r>
    </w:p>
  </w:endnote>
  <w:endnote w:type="continuationSeparator" w:id="0">
    <w:p w:rsidR="007F6BFB" w:rsidRDefault="002E2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DE" w:rsidRDefault="002E27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BFB" w:rsidRDefault="002E27DE" w:rsidP="002E27DE">
    <w:pPr>
      <w:pStyle w:val="FooterCoverPage"/>
      <w:numPr>
        <w:ilvl w:val="0"/>
        <w:numId w:val="0"/>
      </w:numPr>
      <w:ind w:left="-850"/>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DE" w:rsidRDefault="002E27D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BFB" w:rsidRDefault="007F6BF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BFB" w:rsidRDefault="002E27DE">
    <w:pPr>
      <w:pStyle w:val="Footer1"/>
      <w:spacing w:before="120"/>
      <w:jc w:val="center"/>
      <w:rPr>
        <w:rFonts w:ascii="Times New Roman" w:hAnsi="Times New Roman" w:cs="Times New Roman"/>
        <w:color w:val="auto"/>
        <w:sz w:val="20"/>
        <w:szCs w:val="20"/>
      </w:rPr>
    </w:pPr>
    <w:r>
      <w:fldChar w:fldCharType="begin"/>
    </w:r>
    <w:r>
      <w:instrText xml:space="preserve"> PAGE </w:instrText>
    </w:r>
    <w:r>
      <w:fldChar w:fldCharType="separate"/>
    </w:r>
    <w:r>
      <w:rPr>
        <w:noProof/>
      </w:rPr>
      <w:t>19</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1235622293"/>
      <w:docPartObj>
        <w:docPartGallery w:val="Page Numbers (Bottom of Page)"/>
        <w:docPartUnique/>
      </w:docPartObj>
    </w:sdtPr>
    <w:sdtEndPr>
      <w:rPr>
        <w:noProof/>
      </w:rPr>
    </w:sdtEndPr>
    <w:sdtContent>
      <w:p w:rsidR="007F6BFB" w:rsidRDefault="002E27DE">
        <w:pPr>
          <w:pStyle w:val="Foote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Pr>
            <w:rFonts w:ascii="Arial" w:hAnsi="Arial" w:cs="Arial"/>
            <w:noProof/>
            <w:sz w:val="16"/>
            <w:szCs w:val="16"/>
          </w:rPr>
          <w:t>2</w:t>
        </w:r>
        <w:r>
          <w:rPr>
            <w:rFonts w:ascii="Arial" w:hAnsi="Arial" w:cs="Arial"/>
            <w:noProof/>
            <w:sz w:val="16"/>
            <w:szCs w:val="16"/>
          </w:rPr>
          <w:fldChar w:fldCharType="end"/>
        </w:r>
      </w:p>
    </w:sdtContent>
  </w:sdt>
  <w:p w:rsidR="007F6BFB" w:rsidRDefault="007F6BFB">
    <w:pPr>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BFB" w:rsidRDefault="002E27DE">
      <w:r>
        <w:separator/>
      </w:r>
    </w:p>
  </w:footnote>
  <w:footnote w:type="continuationSeparator" w:id="0">
    <w:p w:rsidR="007F6BFB" w:rsidRDefault="002E27DE">
      <w:r>
        <w:continuationSeparator/>
      </w:r>
    </w:p>
  </w:footnote>
  <w:footnote w:id="1">
    <w:p w:rsidR="007F6BFB" w:rsidRDefault="002E27DE">
      <w:pPr>
        <w:pStyle w:val="FootnoteText"/>
        <w:spacing w:after="0"/>
        <w:ind w:left="142" w:hanging="142"/>
      </w:pPr>
      <w:r>
        <w:rPr>
          <w:vertAlign w:val="superscript"/>
        </w:rPr>
        <w:footnoteRef/>
      </w:r>
      <w:r>
        <w:t xml:space="preserve"> </w:t>
      </w:r>
      <w:r>
        <w:tab/>
      </w:r>
      <w:r>
        <w:rPr>
          <w:i/>
        </w:rPr>
        <w:t>The ocean economy in 2030</w:t>
      </w:r>
      <w:r>
        <w:t xml:space="preserve"> [Gospodarka oceaniczna w 2030 r.], OECD Publishing, Paryż (2016).</w:t>
      </w:r>
    </w:p>
  </w:footnote>
  <w:footnote w:id="2">
    <w:p w:rsidR="007F6BFB" w:rsidRDefault="002E27DE">
      <w:pPr>
        <w:pStyle w:val="FootnoteText"/>
        <w:spacing w:after="0"/>
        <w:ind w:left="142" w:hanging="142"/>
      </w:pPr>
      <w:r>
        <w:rPr>
          <w:rStyle w:val="FootnoteReference"/>
        </w:rPr>
        <w:footnoteRef/>
      </w:r>
      <w:r>
        <w:t xml:space="preserve"> </w:t>
      </w:r>
      <w:r>
        <w:rPr>
          <w:i/>
        </w:rPr>
        <w:t>Climate change 2014 – Impacts, adaptation and vulnerability</w:t>
      </w:r>
      <w:r>
        <w:t xml:space="preserve"> [Zmiana klimatu w 2014 r. – skutki, przystosowanie i zagrożenia], piąte sprawozdanie oceniające Międzyrządowego Zespołu ds. Zmi</w:t>
      </w:r>
      <w:r>
        <w:t>an Klimatu (IPCC), grupa robocza II, rozdział 6.</w:t>
      </w:r>
    </w:p>
  </w:footnote>
  <w:footnote w:id="3">
    <w:p w:rsidR="007F6BFB" w:rsidRDefault="002E27DE">
      <w:pPr>
        <w:pStyle w:val="FootnoteText"/>
        <w:spacing w:after="0"/>
        <w:ind w:left="142" w:hanging="142"/>
      </w:pPr>
      <w:r>
        <w:rPr>
          <w:rStyle w:val="FootnoteReference"/>
        </w:rPr>
        <w:footnoteRef/>
      </w:r>
      <w:r>
        <w:t xml:space="preserve"> </w:t>
      </w:r>
      <w:r>
        <w:tab/>
        <w:t>Oceany i obszary przybrzeżne są uwzględnione nie tylko w SDG 14 (oceany), ale w szeregu innych celów zrównoważonego rozwoju, takich jak: eliminacja ubóstwa (SDG 1), bezpieczeństwo żywnościowe i zrównoważo</w:t>
      </w:r>
      <w:r>
        <w:t>ne rolnictwo (SDG 2), zdrowie (SDG 3), czysta woda i system sanitarny (SDG 6), nowoczesna energia (SDG 7), wzrost gospodarczy i zatrudnienie (SDG 8), klimat (SDG 13), ekosystemy i różnorodność biologiczna (SDG 15) oraz partnerstwa (SDG 17).</w:t>
      </w:r>
    </w:p>
  </w:footnote>
  <w:footnote w:id="4">
    <w:p w:rsidR="007F6BFB" w:rsidRDefault="002E27DE">
      <w:pPr>
        <w:pStyle w:val="FootnoteText"/>
        <w:spacing w:after="0"/>
        <w:ind w:left="240" w:hanging="240"/>
      </w:pPr>
      <w:r>
        <w:rPr>
          <w:rStyle w:val="FootnoteReference"/>
        </w:rPr>
        <w:footnoteRef/>
      </w:r>
      <w:r>
        <w:t xml:space="preserve"> </w:t>
      </w:r>
      <w:r>
        <w:tab/>
      </w:r>
      <w:r>
        <w:rPr>
          <w:i/>
        </w:rPr>
        <w:t>Shared Visio</w:t>
      </w:r>
      <w:r>
        <w:rPr>
          <w:i/>
        </w:rPr>
        <w:t>n, Common Action: A Stronger Europe – A Global Strategy for the European Union’s Foreign and Security Policy</w:t>
      </w:r>
      <w:r>
        <w:t xml:space="preserve"> [Wspólna wizja, wspólne działanie: Silniejsza Europa – globalna strategia na rzecz polityki zagranicznej i bezpieczeństwa Unii Europejskiej] (28 cz</w:t>
      </w:r>
      <w:r>
        <w:t>erwca 2016 r.).</w:t>
      </w:r>
    </w:p>
  </w:footnote>
  <w:footnote w:id="5">
    <w:p w:rsidR="007F6BFB" w:rsidRDefault="002E27DE">
      <w:pPr>
        <w:pStyle w:val="FootnoteText"/>
        <w:spacing w:after="0"/>
        <w:ind w:left="240" w:hanging="240"/>
      </w:pPr>
      <w:r>
        <w:rPr>
          <w:rStyle w:val="FootnoteReference"/>
        </w:rPr>
        <w:footnoteRef/>
      </w:r>
      <w:r>
        <w:t xml:space="preserve"> </w:t>
      </w:r>
      <w:r>
        <w:tab/>
        <w:t>Obejmują one IMO w odniesieniu do żeglugi, ISA w odniesieniu do górnictwa morskiego, FAO oraz RFMO w odniesieniu do rybołówstwa, UNEP, wielostronne umowy środowiskowe, regionalne konwencje morskie i inne wielostronne umowy środowiskowe w</w:t>
      </w:r>
      <w:r>
        <w:t xml:space="preserve"> odniesieniu do ochrony i zrównoważonego wykorzystania środowiska morskiego oraz Międzyrządową Komisję Oceanograficzną UNESCO w odniesieniu do naukowych badań morza. W UNCLOS przewidziano również mechanizm sądowniczy służący obowiązkowemu pokojowemu rozstr</w:t>
      </w:r>
      <w:r>
        <w:t xml:space="preserve">zyganiu sporów dotyczących jej wykładni lub stosowania: Międzynarodowy Trybunał Prawa Morza. </w:t>
      </w:r>
    </w:p>
  </w:footnote>
  <w:footnote w:id="6">
    <w:p w:rsidR="007F6BFB" w:rsidRDefault="002E27DE">
      <w:pPr>
        <w:pStyle w:val="FootnoteText"/>
        <w:spacing w:after="0"/>
        <w:ind w:left="240" w:hanging="240"/>
      </w:pPr>
      <w:r>
        <w:rPr>
          <w:vertAlign w:val="superscript"/>
        </w:rPr>
        <w:footnoteRef/>
      </w:r>
      <w:r>
        <w:rPr>
          <w:vertAlign w:val="superscript"/>
        </w:rPr>
        <w:t xml:space="preserve"> </w:t>
      </w:r>
      <w:r>
        <w:tab/>
      </w:r>
      <w:r>
        <w:rPr>
          <w:color w:val="000000"/>
        </w:rPr>
        <w:t>http://ec.europa.eu/dgs/maritimeaffairs_fisheries/consultations/ocean-governance/doc/ocean-governance-summary_en.pdf.</w:t>
      </w:r>
    </w:p>
  </w:footnote>
  <w:footnote w:id="7">
    <w:p w:rsidR="007F6BFB" w:rsidRDefault="002E27DE">
      <w:pPr>
        <w:pStyle w:val="FootnoteText"/>
        <w:spacing w:after="0"/>
        <w:ind w:left="240" w:hanging="240"/>
      </w:pPr>
      <w:r>
        <w:rPr>
          <w:rStyle w:val="FootnoteReference"/>
        </w:rPr>
        <w:footnoteRef/>
      </w:r>
      <w:r>
        <w:t xml:space="preserve"> </w:t>
      </w:r>
      <w:r>
        <w:tab/>
      </w:r>
      <w:r>
        <w:rPr>
          <w:i/>
        </w:rPr>
        <w:t>Program działań ONZ na rzecz zrównoważ</w:t>
      </w:r>
      <w:r>
        <w:rPr>
          <w:i/>
        </w:rPr>
        <w:t xml:space="preserve">onego rozwoju do roku 2030, </w:t>
      </w:r>
      <w:r>
        <w:t xml:space="preserve">cel zrównoważonego rozwoju 14.5 oraz </w:t>
      </w:r>
      <w:r>
        <w:rPr>
          <w:i/>
        </w:rPr>
        <w:t>plan strategiczny na lata 2011-2020</w:t>
      </w:r>
      <w:r>
        <w:t>, cel 11 z Aichi dotyczący różnorodności biologicznej.</w:t>
      </w:r>
    </w:p>
  </w:footnote>
  <w:footnote w:id="8">
    <w:p w:rsidR="007F6BFB" w:rsidRDefault="002E27DE">
      <w:pPr>
        <w:pStyle w:val="FootnoteText"/>
        <w:spacing w:after="0"/>
        <w:ind w:left="240" w:hanging="240"/>
      </w:pPr>
      <w:r>
        <w:rPr>
          <w:rStyle w:val="FootnoteReference"/>
        </w:rPr>
        <w:footnoteRef/>
      </w:r>
      <w:r>
        <w:t xml:space="preserve"> </w:t>
      </w:r>
      <w:r>
        <w:tab/>
      </w:r>
      <w:r>
        <w:rPr>
          <w:rStyle w:val="None"/>
        </w:rPr>
        <w:t>Np. Konwencja o różnorodności biologicznej/Międzynarodowa Organizacja Morska; Organizacja ds. Wyży</w:t>
      </w:r>
      <w:r>
        <w:rPr>
          <w:rStyle w:val="None"/>
        </w:rPr>
        <w:t>wienia i Rolnictwa/regionalne organizacje ds. zarządzania rybołówstwem/</w:t>
      </w:r>
      <w:r>
        <w:rPr>
          <w:rStyle w:val="st"/>
        </w:rPr>
        <w:t>Konwencja o międzynarodowym handlu dzikimi zwierzętami i roślinami gatunków zagrożonych wyginięciem/</w:t>
      </w:r>
      <w:r>
        <w:rPr>
          <w:rStyle w:val="None"/>
        </w:rPr>
        <w:t>Konwencja o różnorodności biologicznej.</w:t>
      </w:r>
    </w:p>
  </w:footnote>
  <w:footnote w:id="9">
    <w:p w:rsidR="007F6BFB" w:rsidRDefault="002E27DE">
      <w:pPr>
        <w:autoSpaceDE w:val="0"/>
        <w:autoSpaceDN w:val="0"/>
        <w:adjustRightInd w:val="0"/>
        <w:ind w:left="284" w:hanging="284"/>
        <w:rPr>
          <w:sz w:val="20"/>
          <w:szCs w:val="20"/>
        </w:rPr>
      </w:pPr>
      <w:r>
        <w:rPr>
          <w:rStyle w:val="FootnoteReference"/>
        </w:rPr>
        <w:footnoteRef/>
      </w:r>
      <w:r>
        <w:t xml:space="preserve"> </w:t>
      </w:r>
      <w:r>
        <w:tab/>
      </w:r>
      <w:r>
        <w:rPr>
          <w:i/>
          <w:sz w:val="20"/>
        </w:rPr>
        <w:t>Strategia Unii Europejskiej w zakresie bez</w:t>
      </w:r>
      <w:r>
        <w:rPr>
          <w:i/>
          <w:sz w:val="20"/>
        </w:rPr>
        <w:t>pieczeństwa morskiego</w:t>
      </w:r>
      <w:r>
        <w:rPr>
          <w:sz w:val="20"/>
        </w:rPr>
        <w:t>, 11205/14, przyjęta przez Radę do Spraw Ogólnych w dniu 24 czerwca 2014 r.</w:t>
      </w:r>
    </w:p>
  </w:footnote>
  <w:footnote w:id="10">
    <w:p w:rsidR="007F6BFB" w:rsidRDefault="002E27DE">
      <w:pPr>
        <w:pStyle w:val="FootnoteText"/>
        <w:spacing w:after="0"/>
        <w:ind w:left="284" w:hanging="284"/>
      </w:pPr>
      <w:r>
        <w:rPr>
          <w:rStyle w:val="FootnoteReference"/>
        </w:rPr>
        <w:footnoteRef/>
      </w:r>
      <w:r>
        <w:t xml:space="preserve"> </w:t>
      </w:r>
      <w:r>
        <w:tab/>
      </w:r>
      <w:r>
        <w:rPr>
          <w:i/>
        </w:rPr>
        <w:t xml:space="preserve">Strategia Unii Europejskiej dotycząca Zatoki Gwinejskiej, </w:t>
      </w:r>
      <w:r>
        <w:t xml:space="preserve">przyjęta przez Radę do Spraw Zagranicznych w dniu 17 marca 2014 r.; </w:t>
      </w:r>
      <w:r>
        <w:rPr>
          <w:i/>
        </w:rPr>
        <w:t xml:space="preserve">Unijne Ramy Strategiczne dla </w:t>
      </w:r>
      <w:r>
        <w:rPr>
          <w:i/>
        </w:rPr>
        <w:t>Rogu Afryki</w:t>
      </w:r>
      <w:r>
        <w:t>, przyjęte przez Radę do Spraw Zagranicznych w dniu 14 listopada 2011 r.</w:t>
      </w:r>
    </w:p>
  </w:footnote>
  <w:footnote w:id="11">
    <w:p w:rsidR="007F6BFB" w:rsidRDefault="002E27DE">
      <w:pPr>
        <w:pStyle w:val="FootnoteText"/>
        <w:spacing w:after="0"/>
        <w:ind w:left="284" w:hanging="284"/>
      </w:pPr>
      <w:r>
        <w:rPr>
          <w:rStyle w:val="FootnoteReference"/>
        </w:rPr>
        <w:footnoteRef/>
      </w:r>
      <w:r>
        <w:t xml:space="preserve"> </w:t>
      </w:r>
      <w:r>
        <w:tab/>
        <w:t>W odniesieniu do Zatoki Gwinejskiej (od Senegalu do Angoli) UE, zgodnie z „kompleksowym podejściem”, opracowała strategię (2014 r.) oraz plan działania (2015 r.), aby we</w:t>
      </w:r>
      <w:r>
        <w:t>sprzeć podjętą pod przewodnictwem afrykańskim inicjatywę w zakresie procesu z Jaunde, uzgodnioną przez przywódców państw Afryki Zachodniej i Środkowej w czerwcu 2013 r.</w:t>
      </w:r>
    </w:p>
  </w:footnote>
  <w:footnote w:id="12">
    <w:p w:rsidR="007F6BFB" w:rsidRDefault="002E27DE">
      <w:pPr>
        <w:pStyle w:val="FootnoteText"/>
        <w:ind w:left="426" w:hanging="426"/>
      </w:pPr>
      <w:r>
        <w:rPr>
          <w:rStyle w:val="FootnoteReference"/>
        </w:rPr>
        <w:footnoteRef/>
      </w:r>
      <w:r>
        <w:t xml:space="preserve"> Wspólny komunikat pt. </w:t>
      </w:r>
      <w:r>
        <w:tab/>
      </w:r>
      <w:r>
        <w:rPr>
          <w:i/>
        </w:rPr>
        <w:t>Zintegrowana polityka Unii Europejskiej w sprawie Arktyki</w:t>
      </w:r>
      <w:r>
        <w:t>, JOI</w:t>
      </w:r>
      <w:r>
        <w:t>N(2016) 21 final.</w:t>
      </w:r>
    </w:p>
  </w:footnote>
  <w:footnote w:id="13">
    <w:p w:rsidR="007F6BFB" w:rsidRDefault="002E27DE">
      <w:pPr>
        <w:pStyle w:val="FootnoteText"/>
        <w:spacing w:after="0"/>
        <w:ind w:left="240" w:hanging="240"/>
      </w:pPr>
      <w:r>
        <w:rPr>
          <w:rStyle w:val="FootnoteReference"/>
        </w:rPr>
        <w:footnoteRef/>
      </w:r>
      <w:r>
        <w:t xml:space="preserve"> Np. Międzynarodowa Organizacja Dna Morskiego; Konwencja o międzynarodowym handlu dzikimi zwierzętami i roślinami gatunków zagrożonych wyginięciem; Program Narodów Zjednoczonych ds. Ochrony Środowiska; Organizacja Współpracy Gospodarczej</w:t>
      </w:r>
      <w:r>
        <w:t xml:space="preserve"> i Rozwoju oraz Światowa Organizacja Handlu.</w:t>
      </w:r>
    </w:p>
  </w:footnote>
  <w:footnote w:id="14">
    <w:p w:rsidR="007F6BFB" w:rsidRDefault="002E27DE">
      <w:pPr>
        <w:pStyle w:val="Text2"/>
        <w:tabs>
          <w:tab w:val="clear" w:pos="2302"/>
        </w:tabs>
        <w:spacing w:after="0"/>
        <w:ind w:left="240" w:hanging="240"/>
        <w:rPr>
          <w:i/>
          <w:color w:val="auto"/>
          <w:sz w:val="20"/>
          <w:szCs w:val="20"/>
          <w:lang w:val="en-GB"/>
        </w:rPr>
      </w:pPr>
      <w:r>
        <w:rPr>
          <w:rStyle w:val="FootnoteReference"/>
          <w:sz w:val="20"/>
        </w:rPr>
        <w:footnoteRef/>
      </w:r>
      <w:r>
        <w:rPr>
          <w:sz w:val="20"/>
          <w:lang w:val="en-GB"/>
        </w:rPr>
        <w:t xml:space="preserve"> </w:t>
      </w:r>
      <w:r>
        <w:rPr>
          <w:lang w:val="en-GB"/>
        </w:rPr>
        <w:tab/>
      </w:r>
      <w:r>
        <w:rPr>
          <w:i/>
          <w:color w:val="auto"/>
          <w:sz w:val="20"/>
          <w:lang w:val="en-GB"/>
        </w:rPr>
        <w:t xml:space="preserve">CBD COP XII/23; </w:t>
      </w:r>
    </w:p>
    <w:p w:rsidR="007F6BFB" w:rsidRDefault="002E27DE">
      <w:pPr>
        <w:pStyle w:val="Text2"/>
        <w:tabs>
          <w:tab w:val="clear" w:pos="2302"/>
          <w:tab w:val="left" w:pos="284"/>
        </w:tabs>
        <w:spacing w:after="0"/>
        <w:ind w:left="284"/>
        <w:rPr>
          <w:sz w:val="20"/>
          <w:szCs w:val="20"/>
          <w:lang w:val="en-GB"/>
        </w:rPr>
      </w:pPr>
      <w:hyperlink r:id="rId1">
        <w:r>
          <w:rPr>
            <w:rStyle w:val="Hyperlink"/>
            <w:sz w:val="20"/>
            <w:lang w:val="en-GB"/>
          </w:rPr>
          <w:t>https://www.cbd.int/decision/cop/default.shtml?id=13386</w:t>
        </w:r>
      </w:hyperlink>
    </w:p>
  </w:footnote>
  <w:footnote w:id="15">
    <w:p w:rsidR="007F6BFB" w:rsidRDefault="002E27DE">
      <w:pPr>
        <w:pStyle w:val="FootnoteText"/>
        <w:spacing w:after="0"/>
        <w:ind w:left="240" w:hanging="240"/>
        <w:rPr>
          <w:lang w:val="en-GB"/>
        </w:rPr>
      </w:pPr>
      <w:r>
        <w:rPr>
          <w:rStyle w:val="FootnoteReference"/>
        </w:rPr>
        <w:footnoteRef/>
      </w:r>
      <w:r>
        <w:rPr>
          <w:lang w:val="en-GB"/>
        </w:rPr>
        <w:t xml:space="preserve"> </w:t>
      </w:r>
      <w:r>
        <w:rPr>
          <w:lang w:val="en-GB"/>
        </w:rPr>
        <w:tab/>
        <w:t>https://cites.org/eng/res/index.php</w:t>
      </w:r>
    </w:p>
  </w:footnote>
  <w:footnote w:id="16">
    <w:p w:rsidR="007F6BFB" w:rsidRDefault="002E27DE">
      <w:pPr>
        <w:pStyle w:val="FootnoteText"/>
        <w:spacing w:after="0"/>
        <w:ind w:left="240" w:hanging="240"/>
      </w:pPr>
      <w:r>
        <w:rPr>
          <w:rStyle w:val="FootnoteReference"/>
        </w:rPr>
        <w:footnoteRef/>
      </w:r>
      <w:r>
        <w:t xml:space="preserve"> M.in. poprzez Międz</w:t>
      </w:r>
      <w:r>
        <w:t>ynarodową konwencję IMO o wymaganiach w zakresie wyszkolenia, wydawania świadectw oraz pełnienia wacht dla załóg statków rybackich, 1995 r. (STCW-F)</w:t>
      </w:r>
    </w:p>
  </w:footnote>
  <w:footnote w:id="17">
    <w:p w:rsidR="007F6BFB" w:rsidRDefault="002E27DE">
      <w:pPr>
        <w:pStyle w:val="FootnoteText"/>
        <w:spacing w:after="0"/>
        <w:ind w:left="240" w:hanging="240"/>
      </w:pPr>
      <w:r>
        <w:rPr>
          <w:rStyle w:val="FootnoteReference"/>
        </w:rPr>
        <w:footnoteRef/>
      </w:r>
      <w:r>
        <w:t xml:space="preserve"> Obejmuje to: prace nad skoordynowanym podejściem do kwestii związanych z bezpieczeństwem morskim na forac</w:t>
      </w:r>
      <w:r>
        <w:t>h międzynarodowych (np. ONZ, G7 oraz G20) oraz w drodze rozmów na wysokim szczeblu; usprawnianie i wspieranie unijnego reagowania na poziomie regionalnym w dziedzinie obszarów morskich (np. antypiracka operacja „Atalanta” na Oceanie Indyjskim oraz operacja</w:t>
      </w:r>
      <w:r>
        <w:t xml:space="preserve"> EUNAVFOR MED Sophia na Morzu Śródziemnym w celu zwalczania sieci przemytu ludzi i handlu ludźmi); oraz budowanie zdolności w zakresie bezpieczeństwa morskiego wraz z państwami niebędącymi członkami UE i organizacjami regionalnymi.</w:t>
      </w:r>
    </w:p>
  </w:footnote>
  <w:footnote w:id="18">
    <w:p w:rsidR="007F6BFB" w:rsidRDefault="002E27DE">
      <w:pPr>
        <w:pStyle w:val="FootnoteText"/>
        <w:spacing w:after="0"/>
        <w:ind w:left="284" w:hanging="284"/>
      </w:pPr>
      <w:r>
        <w:rPr>
          <w:rStyle w:val="FootnoteReference"/>
        </w:rPr>
        <w:footnoteRef/>
      </w:r>
      <w:r>
        <w:t xml:space="preserve"> </w:t>
      </w:r>
      <w:r>
        <w:tab/>
      </w:r>
      <w:r>
        <w:rPr>
          <w:color w:val="000000"/>
        </w:rPr>
        <w:t>Rozporządzenie (UE) 2</w:t>
      </w:r>
      <w:r>
        <w:rPr>
          <w:color w:val="000000"/>
        </w:rPr>
        <w:t>016/1624 w sprawie Europejskiej Straży Granicznej i Przybrzeżnej oraz zmieniające rozporządzenie Parlamentu Europejskiego i Rady (UE) 2016/399 i uchylające rozporządzenie (WE) nr 863/2007 Parlamentu Europejskiego i Rady, rozporządzenie Rady (WE) nr 2007/20</w:t>
      </w:r>
      <w:r>
        <w:rPr>
          <w:color w:val="000000"/>
        </w:rPr>
        <w:t>04 i decyzję Rady 2005/267/WE.</w:t>
      </w:r>
    </w:p>
  </w:footnote>
  <w:footnote w:id="19">
    <w:p w:rsidR="007F6BFB" w:rsidRDefault="002E27DE">
      <w:pPr>
        <w:pStyle w:val="FootnoteText"/>
      </w:pPr>
      <w:r>
        <w:rPr>
          <w:rStyle w:val="FootnoteReference"/>
        </w:rPr>
        <w:footnoteRef/>
      </w:r>
      <w:r>
        <w:t xml:space="preserve"> Międzynarodowa konwencja o zapobieganiu zanieczyszczaniu morza przez statki; MARPOL 73/78.</w:t>
      </w:r>
    </w:p>
  </w:footnote>
  <w:footnote w:id="20">
    <w:p w:rsidR="007F6BFB" w:rsidRDefault="002E27DE">
      <w:pPr>
        <w:pStyle w:val="FootnoteText"/>
      </w:pPr>
      <w:r>
        <w:rPr>
          <w:rStyle w:val="FootnoteReference"/>
        </w:rPr>
        <w:footnoteRef/>
      </w:r>
      <w:r>
        <w:t xml:space="preserve"> COM(2015) 636 final.</w:t>
      </w:r>
    </w:p>
  </w:footnote>
  <w:footnote w:id="21">
    <w:p w:rsidR="007F6BFB" w:rsidRDefault="002E27DE">
      <w:pPr>
        <w:pStyle w:val="FootnoteText"/>
        <w:tabs>
          <w:tab w:val="left" w:pos="284"/>
        </w:tabs>
        <w:spacing w:after="0"/>
        <w:ind w:left="284" w:hanging="284"/>
      </w:pPr>
      <w:r>
        <w:rPr>
          <w:rStyle w:val="FootnoteReference"/>
        </w:rPr>
        <w:footnoteRef/>
      </w:r>
      <w:r>
        <w:t xml:space="preserve"> Dyrektywa 2000/59/WE Parlamentu Europejskiego i Rady z dnia 27 listopada 2000 r. w sprawie portowych urządz</w:t>
      </w:r>
      <w:r>
        <w:t>eń do odbioru odpadów wytwarzanych przez statki i pozostałości ładunku.</w:t>
      </w:r>
    </w:p>
  </w:footnote>
  <w:footnote w:id="22">
    <w:p w:rsidR="007F6BFB" w:rsidRDefault="002E27DE">
      <w:pPr>
        <w:pStyle w:val="FootnoteText"/>
        <w:spacing w:after="0"/>
        <w:ind w:left="284" w:hanging="284"/>
      </w:pPr>
      <w:r>
        <w:rPr>
          <w:rStyle w:val="FootnoteReference"/>
        </w:rPr>
        <w:footnoteRef/>
      </w:r>
      <w:r>
        <w:t xml:space="preserve"> </w:t>
      </w:r>
      <w:r>
        <w:tab/>
        <w:t>Dyrektywa UE z 2014 r. w sprawie PPOM, komunikat z 2008 r. w sprawie podejścia UE do PPOM oraz wytyczne UNESCO w sprawie PPOM zawierają szereg elementów wspierających rozwój PPOM.</w:t>
      </w:r>
    </w:p>
  </w:footnote>
  <w:footnote w:id="23">
    <w:p w:rsidR="007F6BFB" w:rsidRDefault="002E27DE">
      <w:pPr>
        <w:pStyle w:val="FootnoteText"/>
        <w:spacing w:after="0"/>
        <w:rPr>
          <w:lang w:val="en-GB"/>
        </w:rPr>
      </w:pPr>
      <w:r>
        <w:rPr>
          <w:rStyle w:val="FootnoteReference"/>
        </w:rPr>
        <w:footnoteRef/>
      </w:r>
      <w:r>
        <w:rPr>
          <w:lang w:val="en-GB"/>
        </w:rPr>
        <w:t xml:space="preserve"> O</w:t>
      </w:r>
      <w:r>
        <w:rPr>
          <w:rStyle w:val="Link1"/>
          <w:color w:val="000000"/>
          <w:u w:val="none" w:color="000000"/>
          <w:lang w:val="en-GB"/>
        </w:rPr>
        <w:t xml:space="preserve">ECD. </w:t>
      </w:r>
      <w:r>
        <w:rPr>
          <w:rStyle w:val="Link1"/>
          <w:i/>
          <w:color w:val="000000"/>
          <w:u w:val="none" w:color="000000"/>
          <w:lang w:val="en-GB"/>
        </w:rPr>
        <w:t>The Ocean Economy in 2030</w:t>
      </w:r>
      <w:r>
        <w:rPr>
          <w:rStyle w:val="Link1"/>
          <w:color w:val="000000"/>
          <w:u w:val="none" w:color="000000"/>
          <w:lang w:val="en-GB"/>
        </w:rPr>
        <w:t xml:space="preserve"> [Gospodarka oceaniczna w 2030 r.], OECD Publishing, Paryż (2016).</w:t>
      </w:r>
    </w:p>
  </w:footnote>
  <w:footnote w:id="24">
    <w:p w:rsidR="007F6BFB" w:rsidRDefault="002E27DE">
      <w:pPr>
        <w:pStyle w:val="FootnoteText"/>
        <w:spacing w:after="0"/>
        <w:ind w:left="240" w:hanging="240"/>
      </w:pPr>
      <w:r>
        <w:rPr>
          <w:rStyle w:val="FootnoteReference"/>
        </w:rPr>
        <w:footnoteRef/>
      </w:r>
      <w:r>
        <w:t xml:space="preserve"> RFMO, regionalne konwencje morskie (Konwencja o ochronie środowiska morskiego obszaru północno-wschodniego Atlantyku – konwencja OSPAR) w sprawie chronionych obszarów morskich, IMO w sprawie szczególnie wrażliwego obszaru morskiego (PSSA); dyskusje na tem</w:t>
      </w:r>
      <w:r>
        <w:t>at chronionych obszarów morskich na obszarach znajdujących się poza jurysdykcją krajową są częścią negocjacji w sprawie różnorodności biologicznej na obszarach znajdujących się poza jurysdykcją krajową.</w:t>
      </w:r>
    </w:p>
  </w:footnote>
  <w:footnote w:id="25">
    <w:p w:rsidR="007F6BFB" w:rsidRDefault="002E27DE">
      <w:pPr>
        <w:pStyle w:val="FootnoteText"/>
        <w:spacing w:after="0"/>
        <w:ind w:left="426" w:hanging="426"/>
      </w:pPr>
      <w:r>
        <w:rPr>
          <w:rStyle w:val="FootnoteReference"/>
        </w:rPr>
        <w:footnoteRef/>
      </w:r>
      <w:r>
        <w:t xml:space="preserve"> W tym poprzez projekty finansowane ze środków unijn</w:t>
      </w:r>
      <w:r>
        <w:t>ych, takie jak program pilotażowy PE w sprawie transatlantyckiej współpracy dotyczącej chronionych obszarów morskich</w:t>
      </w:r>
      <w:r>
        <w:rPr>
          <w:rStyle w:val="Hyperlink"/>
          <w:u w:val="none"/>
        </w:rPr>
        <w:t>.</w:t>
      </w:r>
    </w:p>
  </w:footnote>
  <w:footnote w:id="26">
    <w:p w:rsidR="007F6BFB" w:rsidRDefault="002E27DE">
      <w:pPr>
        <w:pStyle w:val="FootnoteText"/>
        <w:spacing w:after="0"/>
        <w:ind w:left="426" w:hanging="426"/>
      </w:pPr>
      <w:r>
        <w:rPr>
          <w:rStyle w:val="FootnoteReference"/>
        </w:rPr>
        <w:footnoteRef/>
      </w:r>
      <w:r>
        <w:t xml:space="preserve"> </w:t>
      </w:r>
      <w:hyperlink r:id="rId2">
        <w:r>
          <w:rPr>
            <w:rStyle w:val="Hyperlink"/>
          </w:rPr>
          <w:t>http://www.japan.go.jp/g7/_userdata/common/dat</w:t>
        </w:r>
        <w:r>
          <w:rPr>
            <w:rStyle w:val="Hyperlink"/>
          </w:rPr>
          <w:t>a/20160517communique.pdf</w:t>
        </w:r>
      </w:hyperlink>
      <w:r>
        <w:rPr>
          <w:rStyle w:val="Hyperlink"/>
        </w:rPr>
        <w:t xml:space="preserve"> </w:t>
      </w:r>
    </w:p>
  </w:footnote>
  <w:footnote w:id="27">
    <w:p w:rsidR="007F6BFB" w:rsidRDefault="002E27DE">
      <w:pPr>
        <w:pStyle w:val="FootnoteText"/>
        <w:ind w:left="426" w:hanging="426"/>
      </w:pPr>
      <w:r>
        <w:rPr>
          <w:rStyle w:val="FootnoteReference"/>
        </w:rPr>
        <w:footnoteRef/>
      </w:r>
      <w:r>
        <w:t xml:space="preserve"> Komunikat – </w:t>
      </w:r>
      <w:r>
        <w:rPr>
          <w:i/>
        </w:rPr>
        <w:t>Strategia jednolitego rynku cyfrowego dla Europy</w:t>
      </w:r>
      <w:r>
        <w:t xml:space="preserve"> (COM(2015) 192 z 6.5.2015 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DE" w:rsidRDefault="002E27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DE" w:rsidRDefault="002E27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DE" w:rsidRDefault="002E27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BFB" w:rsidRDefault="007F6BF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BFB" w:rsidRDefault="007F6BF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BFB" w:rsidRDefault="007F6B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4AFD"/>
    <w:multiLevelType w:val="hybridMultilevel"/>
    <w:tmpl w:val="11FAF976"/>
    <w:lvl w:ilvl="0" w:tplc="97866726">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Arial Unicode M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Unicode M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Unicode MS"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C04C32"/>
    <w:multiLevelType w:val="hybridMultilevel"/>
    <w:tmpl w:val="A8E848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576326"/>
    <w:multiLevelType w:val="hybridMultilevel"/>
    <w:tmpl w:val="CAA6B810"/>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626ABC"/>
    <w:multiLevelType w:val="hybridMultilevel"/>
    <w:tmpl w:val="1C680FB6"/>
    <w:lvl w:ilvl="0" w:tplc="2C341E0C">
      <w:start w:val="1"/>
      <w:numFmt w:val="bullet"/>
      <w:lvlText w:val="-"/>
      <w:lvlJc w:val="left"/>
      <w:pPr>
        <w:ind w:left="1922" w:hanging="360"/>
      </w:pPr>
      <w:rPr>
        <w:rFonts w:ascii="SimSun" w:eastAsia="SimSun" w:hAnsi="SimSun" w:hint="eastAsia"/>
      </w:rPr>
    </w:lvl>
    <w:lvl w:ilvl="1" w:tplc="08090003" w:tentative="1">
      <w:start w:val="1"/>
      <w:numFmt w:val="bullet"/>
      <w:lvlText w:val="o"/>
      <w:lvlJc w:val="left"/>
      <w:pPr>
        <w:ind w:left="2642" w:hanging="360"/>
      </w:pPr>
      <w:rPr>
        <w:rFonts w:ascii="Courier New" w:hAnsi="Courier New" w:cs="Courier New" w:hint="default"/>
      </w:rPr>
    </w:lvl>
    <w:lvl w:ilvl="2" w:tplc="08090005" w:tentative="1">
      <w:start w:val="1"/>
      <w:numFmt w:val="bullet"/>
      <w:lvlText w:val=""/>
      <w:lvlJc w:val="left"/>
      <w:pPr>
        <w:ind w:left="3362" w:hanging="360"/>
      </w:pPr>
      <w:rPr>
        <w:rFonts w:ascii="Wingdings" w:hAnsi="Wingdings" w:hint="default"/>
      </w:rPr>
    </w:lvl>
    <w:lvl w:ilvl="3" w:tplc="08090001" w:tentative="1">
      <w:start w:val="1"/>
      <w:numFmt w:val="bullet"/>
      <w:lvlText w:val=""/>
      <w:lvlJc w:val="left"/>
      <w:pPr>
        <w:ind w:left="4082" w:hanging="360"/>
      </w:pPr>
      <w:rPr>
        <w:rFonts w:ascii="Symbol" w:hAnsi="Symbol" w:hint="default"/>
      </w:rPr>
    </w:lvl>
    <w:lvl w:ilvl="4" w:tplc="08090003" w:tentative="1">
      <w:start w:val="1"/>
      <w:numFmt w:val="bullet"/>
      <w:lvlText w:val="o"/>
      <w:lvlJc w:val="left"/>
      <w:pPr>
        <w:ind w:left="4802" w:hanging="360"/>
      </w:pPr>
      <w:rPr>
        <w:rFonts w:ascii="Courier New" w:hAnsi="Courier New" w:cs="Courier New" w:hint="default"/>
      </w:rPr>
    </w:lvl>
    <w:lvl w:ilvl="5" w:tplc="08090005" w:tentative="1">
      <w:start w:val="1"/>
      <w:numFmt w:val="bullet"/>
      <w:lvlText w:val=""/>
      <w:lvlJc w:val="left"/>
      <w:pPr>
        <w:ind w:left="5522" w:hanging="360"/>
      </w:pPr>
      <w:rPr>
        <w:rFonts w:ascii="Wingdings" w:hAnsi="Wingdings" w:hint="default"/>
      </w:rPr>
    </w:lvl>
    <w:lvl w:ilvl="6" w:tplc="08090001" w:tentative="1">
      <w:start w:val="1"/>
      <w:numFmt w:val="bullet"/>
      <w:lvlText w:val=""/>
      <w:lvlJc w:val="left"/>
      <w:pPr>
        <w:ind w:left="6242" w:hanging="360"/>
      </w:pPr>
      <w:rPr>
        <w:rFonts w:ascii="Symbol" w:hAnsi="Symbol" w:hint="default"/>
      </w:rPr>
    </w:lvl>
    <w:lvl w:ilvl="7" w:tplc="08090003" w:tentative="1">
      <w:start w:val="1"/>
      <w:numFmt w:val="bullet"/>
      <w:lvlText w:val="o"/>
      <w:lvlJc w:val="left"/>
      <w:pPr>
        <w:ind w:left="6962" w:hanging="360"/>
      </w:pPr>
      <w:rPr>
        <w:rFonts w:ascii="Courier New" w:hAnsi="Courier New" w:cs="Courier New" w:hint="default"/>
      </w:rPr>
    </w:lvl>
    <w:lvl w:ilvl="8" w:tplc="08090005" w:tentative="1">
      <w:start w:val="1"/>
      <w:numFmt w:val="bullet"/>
      <w:lvlText w:val=""/>
      <w:lvlJc w:val="left"/>
      <w:pPr>
        <w:ind w:left="7682" w:hanging="360"/>
      </w:pPr>
      <w:rPr>
        <w:rFonts w:ascii="Wingdings" w:hAnsi="Wingdings" w:hint="default"/>
      </w:rPr>
    </w:lvl>
  </w:abstractNum>
  <w:abstractNum w:abstractNumId="4">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205F22FF"/>
    <w:multiLevelType w:val="hybridMultilevel"/>
    <w:tmpl w:val="4BBE2E4C"/>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Arial Unicode MS"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Arial Unicode MS"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Arial Unicode MS" w:hint="default"/>
      </w:rPr>
    </w:lvl>
    <w:lvl w:ilvl="8" w:tplc="08090005" w:tentative="1">
      <w:start w:val="1"/>
      <w:numFmt w:val="bullet"/>
      <w:lvlText w:val=""/>
      <w:lvlJc w:val="left"/>
      <w:pPr>
        <w:ind w:left="6540" w:hanging="360"/>
      </w:pPr>
      <w:rPr>
        <w:rFonts w:ascii="Wingdings" w:hAnsi="Wingdings" w:hint="default"/>
      </w:rPr>
    </w:lvl>
  </w:abstractNum>
  <w:abstractNum w:abstractNumId="6">
    <w:nsid w:val="22E44180"/>
    <w:multiLevelType w:val="multilevel"/>
    <w:tmpl w:val="DFC88CEC"/>
    <w:name w:val="NumPar"/>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nsid w:val="28393C96"/>
    <w:multiLevelType w:val="hybridMultilevel"/>
    <w:tmpl w:val="EEA27996"/>
    <w:lvl w:ilvl="0" w:tplc="F5B6D4FA">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D36951"/>
    <w:multiLevelType w:val="hybridMultilevel"/>
    <w:tmpl w:val="C52478AE"/>
    <w:lvl w:ilvl="0" w:tplc="97866726">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Arial Unicode M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Unicode M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Unicode MS"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11C3F47"/>
    <w:multiLevelType w:val="multilevel"/>
    <w:tmpl w:val="ADEA97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31B95425"/>
    <w:multiLevelType w:val="hybridMultilevel"/>
    <w:tmpl w:val="CF06D1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6D42F2C"/>
    <w:multiLevelType w:val="hybridMultilevel"/>
    <w:tmpl w:val="F1FCF680"/>
    <w:lvl w:ilvl="0" w:tplc="08090009">
      <w:start w:val="1"/>
      <w:numFmt w:val="bullet"/>
      <w:lvlText w:val=""/>
      <w:lvlJc w:val="left"/>
      <w:pPr>
        <w:ind w:left="720" w:hanging="360"/>
      </w:pPr>
      <w:rPr>
        <w:rFonts w:ascii="Wingdings" w:hAnsi="Wingdings" w:hint="default"/>
        <w:sz w:val="24"/>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15049B"/>
    <w:multiLevelType w:val="hybridMultilevel"/>
    <w:tmpl w:val="DF5E9A44"/>
    <w:lvl w:ilvl="0" w:tplc="B896F8E4">
      <w:start w:val="1"/>
      <w:numFmt w:val="bullet"/>
      <w:lvlText w:val=""/>
      <w:lvlJc w:val="left"/>
      <w:pPr>
        <w:ind w:left="720" w:hanging="360"/>
      </w:pPr>
      <w:rPr>
        <w:rFonts w:ascii="Wingdings" w:hAnsi="Wingdings" w:hint="default"/>
        <w:sz w:val="24"/>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3C437E"/>
    <w:multiLevelType w:val="hybridMultilevel"/>
    <w:tmpl w:val="B63CC318"/>
    <w:lvl w:ilvl="0" w:tplc="F5B6D4FA">
      <w:numFmt w:val="bullet"/>
      <w:lvlText w:val="-"/>
      <w:lvlJc w:val="left"/>
      <w:pPr>
        <w:ind w:left="720" w:hanging="360"/>
      </w:pPr>
      <w:rPr>
        <w:rFonts w:ascii="Times New Roman" w:eastAsia="Arial Unicode MS" w:hAnsi="Times New Roman" w:cs="Times New Roman" w:hint="default"/>
      </w:rPr>
    </w:lvl>
    <w:lvl w:ilvl="1" w:tplc="F4C024B6">
      <w:start w:val="1"/>
      <w:numFmt w:val="bullet"/>
      <w:lvlText w:val="o"/>
      <w:lvlJc w:val="left"/>
      <w:pPr>
        <w:ind w:left="1440" w:hanging="360"/>
      </w:pPr>
      <w:rPr>
        <w:rFonts w:ascii="Courier New" w:hAnsi="Courier New" w:cs="Arial Unicode MS" w:hint="default"/>
      </w:rPr>
    </w:lvl>
    <w:lvl w:ilvl="2" w:tplc="CC44C4D4" w:tentative="1">
      <w:start w:val="1"/>
      <w:numFmt w:val="bullet"/>
      <w:lvlText w:val=""/>
      <w:lvlJc w:val="left"/>
      <w:pPr>
        <w:ind w:left="2160" w:hanging="360"/>
      </w:pPr>
      <w:rPr>
        <w:rFonts w:ascii="Wingdings" w:hAnsi="Wingdings" w:hint="default"/>
      </w:rPr>
    </w:lvl>
    <w:lvl w:ilvl="3" w:tplc="859E79F8" w:tentative="1">
      <w:start w:val="1"/>
      <w:numFmt w:val="bullet"/>
      <w:lvlText w:val=""/>
      <w:lvlJc w:val="left"/>
      <w:pPr>
        <w:ind w:left="2880" w:hanging="360"/>
      </w:pPr>
      <w:rPr>
        <w:rFonts w:ascii="Symbol" w:hAnsi="Symbol" w:hint="default"/>
      </w:rPr>
    </w:lvl>
    <w:lvl w:ilvl="4" w:tplc="81AE9488" w:tentative="1">
      <w:start w:val="1"/>
      <w:numFmt w:val="bullet"/>
      <w:lvlText w:val="o"/>
      <w:lvlJc w:val="left"/>
      <w:pPr>
        <w:ind w:left="3600" w:hanging="360"/>
      </w:pPr>
      <w:rPr>
        <w:rFonts w:ascii="Courier New" w:hAnsi="Courier New" w:cs="Arial Unicode MS" w:hint="default"/>
      </w:rPr>
    </w:lvl>
    <w:lvl w:ilvl="5" w:tplc="9A1CA60A" w:tentative="1">
      <w:start w:val="1"/>
      <w:numFmt w:val="bullet"/>
      <w:lvlText w:val=""/>
      <w:lvlJc w:val="left"/>
      <w:pPr>
        <w:ind w:left="4320" w:hanging="360"/>
      </w:pPr>
      <w:rPr>
        <w:rFonts w:ascii="Wingdings" w:hAnsi="Wingdings" w:hint="default"/>
      </w:rPr>
    </w:lvl>
    <w:lvl w:ilvl="6" w:tplc="3DE261CE" w:tentative="1">
      <w:start w:val="1"/>
      <w:numFmt w:val="bullet"/>
      <w:lvlText w:val=""/>
      <w:lvlJc w:val="left"/>
      <w:pPr>
        <w:ind w:left="5040" w:hanging="360"/>
      </w:pPr>
      <w:rPr>
        <w:rFonts w:ascii="Symbol" w:hAnsi="Symbol" w:hint="default"/>
      </w:rPr>
    </w:lvl>
    <w:lvl w:ilvl="7" w:tplc="AE7AF702" w:tentative="1">
      <w:start w:val="1"/>
      <w:numFmt w:val="bullet"/>
      <w:lvlText w:val="o"/>
      <w:lvlJc w:val="left"/>
      <w:pPr>
        <w:ind w:left="5760" w:hanging="360"/>
      </w:pPr>
      <w:rPr>
        <w:rFonts w:ascii="Courier New" w:hAnsi="Courier New" w:cs="Arial Unicode MS" w:hint="default"/>
      </w:rPr>
    </w:lvl>
    <w:lvl w:ilvl="8" w:tplc="AD18E73E" w:tentative="1">
      <w:start w:val="1"/>
      <w:numFmt w:val="bullet"/>
      <w:lvlText w:val=""/>
      <w:lvlJc w:val="left"/>
      <w:pPr>
        <w:ind w:left="6480" w:hanging="360"/>
      </w:pPr>
      <w:rPr>
        <w:rFonts w:ascii="Wingdings" w:hAnsi="Wingdings" w:hint="default"/>
      </w:rPr>
    </w:lvl>
  </w:abstractNum>
  <w:abstractNum w:abstractNumId="14">
    <w:nsid w:val="4A4802A3"/>
    <w:multiLevelType w:val="hybridMultilevel"/>
    <w:tmpl w:val="B478E1C4"/>
    <w:lvl w:ilvl="0" w:tplc="97866726">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Arial Unicode M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Unicode M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Unicode MS"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ADE589C"/>
    <w:multiLevelType w:val="hybridMultilevel"/>
    <w:tmpl w:val="57B2A422"/>
    <w:lvl w:ilvl="0" w:tplc="97866726">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Arial Unicode M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Unicode M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Unicode MS"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F867E80"/>
    <w:multiLevelType w:val="hybridMultilevel"/>
    <w:tmpl w:val="B51A2A3E"/>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nsid w:val="579A6E67"/>
    <w:multiLevelType w:val="hybridMultilevel"/>
    <w:tmpl w:val="B4C8ED90"/>
    <w:lvl w:ilvl="0" w:tplc="0809000B">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Arial Unicode M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Unicode M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Unicode MS"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9">
    <w:nsid w:val="5FF6255C"/>
    <w:multiLevelType w:val="multilevel"/>
    <w:tmpl w:val="2444A23A"/>
    <w:lvl w:ilvl="0">
      <w:numFmt w:val="decimal"/>
      <w:pStyle w:val="FooterCoverPage"/>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5CB5E7E"/>
    <w:multiLevelType w:val="hybridMultilevel"/>
    <w:tmpl w:val="C56AE55E"/>
    <w:lvl w:ilvl="0" w:tplc="A584289C">
      <w:start w:val="1"/>
      <w:numFmt w:val="bullet"/>
      <w:lvlText w:val=""/>
      <w:lvlJc w:val="left"/>
      <w:pPr>
        <w:ind w:left="720" w:hanging="360"/>
      </w:pPr>
      <w:rPr>
        <w:rFonts w:ascii="Symbol" w:hAnsi="Symbol" w:hint="default"/>
      </w:rPr>
    </w:lvl>
    <w:lvl w:ilvl="1" w:tplc="45E277B6" w:tentative="1">
      <w:start w:val="1"/>
      <w:numFmt w:val="bullet"/>
      <w:lvlText w:val="o"/>
      <w:lvlJc w:val="left"/>
      <w:pPr>
        <w:ind w:left="1440" w:hanging="360"/>
      </w:pPr>
      <w:rPr>
        <w:rFonts w:ascii="Courier New" w:hAnsi="Courier New" w:cs="Arial Unicode MS" w:hint="default"/>
      </w:rPr>
    </w:lvl>
    <w:lvl w:ilvl="2" w:tplc="F48661A2" w:tentative="1">
      <w:start w:val="1"/>
      <w:numFmt w:val="bullet"/>
      <w:lvlText w:val=""/>
      <w:lvlJc w:val="left"/>
      <w:pPr>
        <w:ind w:left="2160" w:hanging="360"/>
      </w:pPr>
      <w:rPr>
        <w:rFonts w:ascii="Wingdings" w:hAnsi="Wingdings" w:hint="default"/>
      </w:rPr>
    </w:lvl>
    <w:lvl w:ilvl="3" w:tplc="1B4CA752" w:tentative="1">
      <w:start w:val="1"/>
      <w:numFmt w:val="bullet"/>
      <w:lvlText w:val=""/>
      <w:lvlJc w:val="left"/>
      <w:pPr>
        <w:ind w:left="2880" w:hanging="360"/>
      </w:pPr>
      <w:rPr>
        <w:rFonts w:ascii="Symbol" w:hAnsi="Symbol" w:hint="default"/>
      </w:rPr>
    </w:lvl>
    <w:lvl w:ilvl="4" w:tplc="7BA6158C" w:tentative="1">
      <w:start w:val="1"/>
      <w:numFmt w:val="bullet"/>
      <w:lvlText w:val="o"/>
      <w:lvlJc w:val="left"/>
      <w:pPr>
        <w:ind w:left="3600" w:hanging="360"/>
      </w:pPr>
      <w:rPr>
        <w:rFonts w:ascii="Courier New" w:hAnsi="Courier New" w:cs="Arial Unicode MS" w:hint="default"/>
      </w:rPr>
    </w:lvl>
    <w:lvl w:ilvl="5" w:tplc="0764D298" w:tentative="1">
      <w:start w:val="1"/>
      <w:numFmt w:val="bullet"/>
      <w:lvlText w:val=""/>
      <w:lvlJc w:val="left"/>
      <w:pPr>
        <w:ind w:left="4320" w:hanging="360"/>
      </w:pPr>
      <w:rPr>
        <w:rFonts w:ascii="Wingdings" w:hAnsi="Wingdings" w:hint="default"/>
      </w:rPr>
    </w:lvl>
    <w:lvl w:ilvl="6" w:tplc="AB685F1A" w:tentative="1">
      <w:start w:val="1"/>
      <w:numFmt w:val="bullet"/>
      <w:lvlText w:val=""/>
      <w:lvlJc w:val="left"/>
      <w:pPr>
        <w:ind w:left="5040" w:hanging="360"/>
      </w:pPr>
      <w:rPr>
        <w:rFonts w:ascii="Symbol" w:hAnsi="Symbol" w:hint="default"/>
      </w:rPr>
    </w:lvl>
    <w:lvl w:ilvl="7" w:tplc="002A8BC2" w:tentative="1">
      <w:start w:val="1"/>
      <w:numFmt w:val="bullet"/>
      <w:lvlText w:val="o"/>
      <w:lvlJc w:val="left"/>
      <w:pPr>
        <w:ind w:left="5760" w:hanging="360"/>
      </w:pPr>
      <w:rPr>
        <w:rFonts w:ascii="Courier New" w:hAnsi="Courier New" w:cs="Arial Unicode MS" w:hint="default"/>
      </w:rPr>
    </w:lvl>
    <w:lvl w:ilvl="8" w:tplc="064A9042" w:tentative="1">
      <w:start w:val="1"/>
      <w:numFmt w:val="bullet"/>
      <w:lvlText w:val=""/>
      <w:lvlJc w:val="left"/>
      <w:pPr>
        <w:ind w:left="6480" w:hanging="360"/>
      </w:pPr>
      <w:rPr>
        <w:rFonts w:ascii="Wingdings" w:hAnsi="Wingdings" w:hint="default"/>
      </w:rPr>
    </w:lvl>
  </w:abstractNum>
  <w:abstractNum w:abstractNumId="21">
    <w:nsid w:val="7337467B"/>
    <w:multiLevelType w:val="hybridMultilevel"/>
    <w:tmpl w:val="2C949AAA"/>
    <w:lvl w:ilvl="0" w:tplc="0809000B">
      <w:start w:val="1"/>
      <w:numFmt w:val="bullet"/>
      <w:lvlText w:val=""/>
      <w:lvlJc w:val="left"/>
      <w:pPr>
        <w:ind w:left="720" w:hanging="360"/>
      </w:pPr>
      <w:rPr>
        <w:rFonts w:ascii="Wingdings" w:hAnsi="Wingdings" w:hint="default"/>
        <w:sz w:val="24"/>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3623BC2"/>
    <w:multiLevelType w:val="hybridMultilevel"/>
    <w:tmpl w:val="A3AEF9F4"/>
    <w:lvl w:ilvl="0" w:tplc="0409000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Arial Unicode M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Unicode M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Unicode MS"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641119"/>
    <w:multiLevelType w:val="hybridMultilevel"/>
    <w:tmpl w:val="28B8A526"/>
    <w:lvl w:ilvl="0" w:tplc="97866726">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Arial Unicode M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Unicode M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Unicode MS"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B134B1B"/>
    <w:multiLevelType w:val="hybridMultilevel"/>
    <w:tmpl w:val="1878F3B8"/>
    <w:lvl w:ilvl="0" w:tplc="2C341E0C">
      <w:start w:val="1"/>
      <w:numFmt w:val="bullet"/>
      <w:lvlText w:val="-"/>
      <w:lvlJc w:val="left"/>
      <w:pPr>
        <w:ind w:left="720" w:hanging="360"/>
      </w:pPr>
      <w:rPr>
        <w:rFonts w:ascii="SimSun" w:eastAsia="SimSun" w:hAnsi="SimSu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0"/>
  </w:num>
  <w:num w:numId="6">
    <w:abstractNumId w:val="13"/>
  </w:num>
  <w:num w:numId="7">
    <w:abstractNumId w:val="23"/>
  </w:num>
  <w:num w:numId="8">
    <w:abstractNumId w:val="17"/>
  </w:num>
  <w:num w:numId="9">
    <w:abstractNumId w:val="14"/>
  </w:num>
  <w:num w:numId="10">
    <w:abstractNumId w:val="0"/>
  </w:num>
  <w:num w:numId="11">
    <w:abstractNumId w:val="22"/>
  </w:num>
  <w:num w:numId="12">
    <w:abstractNumId w:val="8"/>
  </w:num>
  <w:num w:numId="13">
    <w:abstractNumId w:val="15"/>
  </w:num>
  <w:num w:numId="14">
    <w:abstractNumId w:val="7"/>
  </w:num>
  <w:num w:numId="15">
    <w:abstractNumId w:val="2"/>
  </w:num>
  <w:num w:numId="16">
    <w:abstractNumId w:val="16"/>
  </w:num>
  <w:num w:numId="17">
    <w:abstractNumId w:val="12"/>
  </w:num>
  <w:num w:numId="18">
    <w:abstractNumId w:val="24"/>
  </w:num>
  <w:num w:numId="19">
    <w:abstractNumId w:val="13"/>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
  </w:num>
  <w:num w:numId="29">
    <w:abstractNumId w:val="10"/>
  </w:num>
  <w:num w:numId="30">
    <w:abstractNumId w:val="3"/>
  </w:num>
  <w:num w:numId="31">
    <w:abstractNumId w:val="11"/>
  </w:num>
  <w:num w:numId="32">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hideSpellingErrors/>
  <w:hideGrammaticalErrors/>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16385" style="v-text-anchor:middle" fillcolor="white" strokecolor="#4f81bd">
      <v:fill color="white"/>
      <v:stroke color="#4f81bd" weight="2pt"/>
      <v:shadow on="t" opacity="22937f" offset="0,.63889mm"/>
      <v:textbox style="mso-fit-shape-to-text:t" inset="3.6pt,,3.6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386DF22DC5C4D23964394CF66BDC7B4"/>
    <w:docVar w:name="LW_CROSSREFERENCE" w:val="{SWD(2016) 352 final}"/>
    <w:docVar w:name="LW_DocType" w:val="NORMAL"/>
    <w:docVar w:name="LW_EMISSION" w:val="10.11.2016"/>
    <w:docVar w:name="LW_EMISSION_ISODATE" w:val="2016-11-10"/>
    <w:docVar w:name="LW_EMISSION_LOCATION" w:val="BRX"/>
    <w:docVar w:name="LW_EMISSION_PREFIX" w:val="Bruksela, dnia "/>
    <w:docVar w:name="LW_EMISSION_SUFFIX" w:val=" r."/>
    <w:docVar w:name="LW_ID_DOCTYPE_NONLW" w:val="CP-016"/>
    <w:docVar w:name="LW_LANGUE" w:val="PL"/>
    <w:docVar w:name="LW_MARKING" w:val="&lt;UNUSED&gt;"/>
    <w:docVar w:name="LW_NOM.INST" w:val="KOMISJA EUROPEJSKA"/>
    <w:docVar w:name="LW_NOM.INST_JOINTDOC" w:val="WYSOKI PRZEDSTAWICIEL UNII_x000b_DO SPRAW ZAGRANICZNYCH I_x000b_ POLITYKI BEZPIECZE\u323?STWA"/>
    <w:docVar w:name="LW_PART_NBR" w:val="1"/>
    <w:docVar w:name="LW_PART_NBR_TOTAL" w:val="1"/>
    <w:docVar w:name="LW_REF.INST.NEW" w:val="JOIN"/>
    <w:docVar w:name="LW_REF.INST.NEW_ADOPTED" w:val="final"/>
    <w:docVar w:name="LW_REF.INST.NEW_TEXT" w:val="(2016) 49"/>
    <w:docVar w:name="LW_REF.INTERNE" w:val="&lt;UNUSED&gt;"/>
    <w:docVar w:name="LW_SOUS.TITRE.OBJ.CP" w:val="&lt;UNUSED&gt;"/>
    <w:docVar w:name="LW_SUPERTITRE" w:val="&lt;UNUSED&gt;"/>
    <w:docVar w:name="LW_TITRE.OBJ.CP" w:val="Mi\u281?dzynarodowe zarz\u261?dzanie oceanami - program dzia\u322?a\u324? na rzecz przysz\u322?o\u347?ci oceanów"/>
    <w:docVar w:name="LW_TYPE.DOC.CP" w:val="WSPÓLNY KOMUNIKAT DO PARLAMENTU EUROPEJSKIEGO, RADY, EUROPEJSKIEGO KOMITETU EKONOMICZNO-SPO\u321?ECZNEGO I KOMITETU REGIONÓW"/>
    <w:docVar w:name="LW_TYPE.DOC.CP.USERTEXT" w:val="&lt;EMPTY&gt;"/>
  </w:docVars>
  <w:rsids>
    <w:rsidRoot w:val="007F6BFB"/>
    <w:rsid w:val="002E27DE"/>
    <w:rsid w:val="007F6BF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style="v-text-anchor:middle" fillcolor="white" strokecolor="#4f81bd">
      <v:fill color="white"/>
      <v:stroke color="#4f81bd" weight="2pt"/>
      <v:shadow on="t" opacity="22937f" offset="0,.63889mm"/>
      <v:textbox style="mso-fit-shape-to-text:t" inset="3.6pt,,3.6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pl-PL" w:eastAsia="pl-PL" w:bidi="pl-PL"/>
      </w:rPr>
    </w:rPrDefault>
    <w:pPrDefault/>
  </w:docDefaults>
  <w:latentStyles w:defLockedState="0" w:defUIPriority="0" w:defSemiHidden="0" w:defUnhideWhenUsed="0" w:defQFormat="0" w:count="267">
    <w:lsdException w:name="footnote text" w:uiPriority="99"/>
    <w:lsdException w:name="footer" w:uiPriority="99"/>
    <w:lsdException w:name="footnote reference" w:uiPriority="99" w:qFormat="1"/>
    <w:lsdException w:name="annotation reference" w:uiPriority="99"/>
    <w:lsdException w:name="endnote reference" w:uiPriority="99"/>
    <w:lsdException w:name="Strong" w:uiPriority="22" w:qFormat="1"/>
    <w:lsdException w:name="Emphasis" w:uiPriority="20" w:qFormat="1"/>
    <w:lsdException w:name="No Spacing" w:uiPriority="1" w:qFormat="1"/>
    <w:lsdException w:name="List Paragraph" w:uiPriority="34" w:qFormat="1"/>
  </w:latentStyles>
  <w:style w:type="paragraph" w:default="1" w:styleId="Normal">
    <w:name w:val="Normal"/>
    <w:qFormat/>
  </w:style>
  <w:style w:type="paragraph" w:styleId="Heading1">
    <w:name w:val="heading 1"/>
    <w:basedOn w:val="Normal"/>
    <w:next w:val="Normal"/>
    <w:link w:val="Heading1Char"/>
    <w:qFormat/>
    <w:locked/>
    <w:pPr>
      <w:keepNext/>
      <w:numPr>
        <w:numId w:val="3"/>
      </w:numPr>
      <w:spacing w:before="240" w:after="240"/>
      <w:jc w:val="both"/>
      <w:outlineLvl w:val="0"/>
    </w:pPr>
    <w:rPr>
      <w:b/>
      <w:smallCaps/>
      <w:szCs w:val="20"/>
    </w:rPr>
  </w:style>
  <w:style w:type="paragraph" w:styleId="Heading2">
    <w:name w:val="heading 2"/>
    <w:basedOn w:val="Normal"/>
    <w:next w:val="Normal"/>
    <w:link w:val="Heading2Char"/>
    <w:semiHidden/>
    <w:unhideWhenUsed/>
    <w:qFormat/>
    <w:locked/>
    <w:pPr>
      <w:keepNext/>
      <w:numPr>
        <w:ilvl w:val="1"/>
        <w:numId w:val="3"/>
      </w:numPr>
      <w:spacing w:after="240"/>
      <w:jc w:val="both"/>
      <w:outlineLvl w:val="1"/>
    </w:pPr>
    <w:rPr>
      <w:b/>
      <w:szCs w:val="20"/>
    </w:rPr>
  </w:style>
  <w:style w:type="paragraph" w:styleId="Heading3">
    <w:name w:val="heading 3"/>
    <w:basedOn w:val="Normal"/>
    <w:next w:val="Normal"/>
    <w:link w:val="Heading3Char"/>
    <w:semiHidden/>
    <w:unhideWhenUsed/>
    <w:qFormat/>
    <w:locked/>
    <w:pPr>
      <w:keepNext/>
      <w:numPr>
        <w:ilvl w:val="2"/>
        <w:numId w:val="3"/>
      </w:numPr>
      <w:spacing w:after="240"/>
      <w:jc w:val="both"/>
      <w:outlineLvl w:val="2"/>
    </w:pPr>
    <w:rPr>
      <w:i/>
      <w:szCs w:val="20"/>
    </w:rPr>
  </w:style>
  <w:style w:type="paragraph" w:styleId="Heading4">
    <w:name w:val="heading 4"/>
    <w:basedOn w:val="Normal"/>
    <w:next w:val="Normal"/>
    <w:link w:val="Heading4Char"/>
    <w:semiHidden/>
    <w:unhideWhenUsed/>
    <w:qFormat/>
    <w:locked/>
    <w:pPr>
      <w:keepNext/>
      <w:numPr>
        <w:ilvl w:val="3"/>
        <w:numId w:val="3"/>
      </w:numPr>
      <w:spacing w:after="240"/>
      <w:jc w:val="both"/>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utoRedefine/>
    <w:rPr>
      <w:u w:val="single"/>
    </w:rPr>
  </w:style>
  <w:style w:type="paragraph" w:customStyle="1" w:styleId="HeaderFooter">
    <w:name w:val="Header &amp; Footer"/>
    <w:autoRedefine/>
    <w:pPr>
      <w:tabs>
        <w:tab w:val="right" w:pos="9020"/>
      </w:tabs>
    </w:pPr>
    <w:rPr>
      <w:rFonts w:ascii="Helvetica" w:eastAsia="Arial Unicode MS" w:hAnsi="Helvetica" w:cs="Arial Unicode MS"/>
      <w:color w:val="000000"/>
    </w:rPr>
  </w:style>
  <w:style w:type="paragraph" w:customStyle="1" w:styleId="Footer1">
    <w:name w:val="Footer1"/>
    <w:rPr>
      <w:rFonts w:ascii="Arial" w:eastAsia="Arial Unicode MS" w:hAnsi="Arial" w:cs="Arial Unicode MS"/>
      <w:color w:val="000000"/>
      <w:sz w:val="16"/>
      <w:szCs w:val="16"/>
      <w:u w:color="000000"/>
    </w:rPr>
  </w:style>
  <w:style w:type="paragraph" w:customStyle="1" w:styleId="References">
    <w:name w:val="References"/>
    <w:uiPriority w:val="99"/>
    <w:pPr>
      <w:spacing w:after="240"/>
      <w:ind w:left="5103"/>
    </w:pPr>
    <w:rPr>
      <w:rFonts w:eastAsia="Arial Unicode MS" w:cs="Arial Unicode MS"/>
      <w:color w:val="000000"/>
      <w:u w:color="000000"/>
    </w:rPr>
  </w:style>
  <w:style w:type="paragraph" w:customStyle="1" w:styleId="Heading">
    <w:name w:val="Heading"/>
    <w:next w:val="Text1"/>
    <w:link w:val="HeadingChar"/>
    <w:autoRedefine/>
    <w:pPr>
      <w:keepNext/>
      <w:spacing w:after="240"/>
      <w:ind w:left="567" w:hanging="567"/>
      <w:jc w:val="both"/>
      <w:outlineLvl w:val="0"/>
    </w:pPr>
    <w:rPr>
      <w:rFonts w:eastAsia="Arial Unicode MS" w:cs="Arial Unicode MS"/>
      <w:b/>
      <w:bCs/>
      <w:smallCaps/>
      <w:color w:val="000000"/>
      <w:u w:color="000000"/>
    </w:rPr>
  </w:style>
  <w:style w:type="paragraph" w:customStyle="1" w:styleId="Text1">
    <w:name w:val="Text 1"/>
    <w:pPr>
      <w:spacing w:after="240"/>
      <w:ind w:left="482"/>
      <w:jc w:val="both"/>
    </w:pPr>
    <w:rPr>
      <w:rFonts w:eastAsia="Arial Unicode MS" w:cs="Arial Unicode MS"/>
      <w:color w:val="000000"/>
      <w:u w:color="000000"/>
    </w:rPr>
  </w:style>
  <w:style w:type="numbering" w:customStyle="1" w:styleId="ImportedStyle2">
    <w:name w:val="Imported Style 2"/>
  </w:style>
  <w:style w:type="paragraph" w:customStyle="1" w:styleId="Body">
    <w:name w:val="Body"/>
    <w:autoRedefine/>
    <w:pPr>
      <w:spacing w:after="240"/>
      <w:jc w:val="both"/>
    </w:pPr>
    <w:rPr>
      <w:rFonts w:eastAsia="Arial Unicode MS" w:cs="Arial Unicode MS"/>
      <w:iCs/>
      <w:color w:val="000000" w:themeColor="text1"/>
      <w:u w:color="000000"/>
    </w:rPr>
  </w:style>
  <w:style w:type="paragraph" w:styleId="NoSpacing">
    <w:name w:val="No Spacing"/>
    <w:uiPriority w:val="1"/>
    <w:qFormat/>
    <w:pPr>
      <w:tabs>
        <w:tab w:val="left" w:pos="4678"/>
      </w:tabs>
      <w:spacing w:after="240"/>
      <w:jc w:val="both"/>
    </w:pPr>
    <w:rPr>
      <w:rFonts w:eastAsia="Arial Unicode MS" w:cs="Arial Unicode MS"/>
      <w:u w:color="000000"/>
    </w:rPr>
  </w:style>
  <w:style w:type="character" w:customStyle="1" w:styleId="FootnoteReference1">
    <w:name w:val="Footnote Reference1"/>
    <w:autoRedefine/>
    <w:rPr>
      <w:vertAlign w:val="superscript"/>
    </w:rPr>
  </w:style>
  <w:style w:type="paragraph" w:customStyle="1" w:styleId="EndnoteText1">
    <w:name w:val="Endnote Text1"/>
    <w:autoRedefine/>
    <w:pPr>
      <w:spacing w:after="120"/>
      <w:ind w:left="426" w:hanging="426"/>
      <w:jc w:val="both"/>
    </w:pPr>
    <w:rPr>
      <w:color w:val="000000"/>
      <w:sz w:val="20"/>
      <w:szCs w:val="20"/>
      <w:u w:color="000000"/>
    </w:rPr>
  </w:style>
  <w:style w:type="character" w:customStyle="1" w:styleId="Link1">
    <w:name w:val="Link1"/>
    <w:autoRedefine/>
    <w:rPr>
      <w:color w:val="0000FF"/>
      <w:u w:val="single" w:color="0000FF"/>
    </w:rPr>
  </w:style>
  <w:style w:type="character" w:customStyle="1" w:styleId="Hyperlink0">
    <w:name w:val="Hyperlink.0"/>
    <w:autoRedefine/>
    <w:rPr>
      <w:sz w:val="20"/>
      <w:szCs w:val="20"/>
    </w:rPr>
  </w:style>
  <w:style w:type="paragraph" w:customStyle="1" w:styleId="CommentText1">
    <w:name w:val="Comment Text1"/>
    <w:autoRedefine/>
    <w:pPr>
      <w:spacing w:after="240"/>
      <w:jc w:val="both"/>
    </w:pPr>
    <w:rPr>
      <w:color w:val="000000"/>
      <w:u w:color="000000"/>
    </w:rPr>
  </w:style>
  <w:style w:type="character" w:customStyle="1" w:styleId="Hyperlink1">
    <w:name w:val="Hyperlink.1"/>
    <w:autoRedefine/>
    <w:rPr>
      <w:color w:val="000000"/>
      <w:u w:color="000000"/>
    </w:rPr>
  </w:style>
  <w:style w:type="paragraph" w:customStyle="1" w:styleId="ListDash">
    <w:name w:val="List Dash"/>
    <w:pPr>
      <w:tabs>
        <w:tab w:val="left" w:pos="283"/>
      </w:tabs>
      <w:spacing w:after="240"/>
      <w:jc w:val="both"/>
    </w:pPr>
    <w:rPr>
      <w:rFonts w:eastAsia="Arial Unicode MS" w:cs="Arial Unicode MS"/>
      <w:color w:val="000000"/>
      <w:u w:color="000000"/>
    </w:rPr>
  </w:style>
  <w:style w:type="numbering" w:customStyle="1" w:styleId="ImportedStyle4">
    <w:name w:val="Imported Style 4"/>
  </w:style>
  <w:style w:type="paragraph" w:styleId="ListParagraph">
    <w:name w:val="List Paragraph"/>
    <w:uiPriority w:val="34"/>
    <w:qFormat/>
    <w:pPr>
      <w:spacing w:after="240"/>
      <w:ind w:left="720"/>
      <w:jc w:val="both"/>
    </w:pPr>
    <w:rPr>
      <w:rFonts w:eastAsia="Arial Unicode MS" w:cs="Arial Unicode MS"/>
      <w:color w:val="000000"/>
      <w:u w:color="000000"/>
    </w:rPr>
  </w:style>
  <w:style w:type="numbering" w:customStyle="1" w:styleId="ImportedStyle5">
    <w:name w:val="Imported Style 5"/>
    <w:autoRedefine/>
  </w:style>
  <w:style w:type="numbering" w:customStyle="1" w:styleId="ImportedStyle6">
    <w:name w:val="Imported Style 6"/>
  </w:style>
  <w:style w:type="character" w:customStyle="1" w:styleId="None">
    <w:name w:val="None"/>
    <w:autoRedefine/>
  </w:style>
  <w:style w:type="character" w:customStyle="1" w:styleId="Hyperlink2">
    <w:name w:val="Hyperlink.2"/>
    <w:rPr>
      <w:sz w:val="20"/>
      <w:szCs w:val="20"/>
    </w:rPr>
  </w:style>
  <w:style w:type="paragraph" w:customStyle="1" w:styleId="Text2">
    <w:name w:val="Text 2"/>
    <w:pPr>
      <w:tabs>
        <w:tab w:val="left" w:pos="2302"/>
      </w:tabs>
      <w:spacing w:after="240"/>
      <w:ind w:left="1202"/>
      <w:jc w:val="both"/>
    </w:pPr>
    <w:rPr>
      <w:rFonts w:eastAsia="Arial Unicode MS" w:cs="Arial Unicode MS"/>
      <w:color w:val="000000"/>
      <w:u w:color="000000"/>
    </w:rPr>
  </w:style>
  <w:style w:type="paragraph" w:customStyle="1" w:styleId="Default">
    <w:name w:val="Default"/>
    <w:autoRedefine/>
    <w:pPr>
      <w:jc w:val="both"/>
    </w:pPr>
    <w:rPr>
      <w:rFonts w:eastAsia="Arial Unicode MS"/>
      <w:color w:val="000000" w:themeColor="text1"/>
      <w:u w:color="FF0000"/>
    </w:rPr>
  </w:style>
  <w:style w:type="paragraph" w:customStyle="1" w:styleId="ListBullet1">
    <w:name w:val="List Bullet 1"/>
    <w:pPr>
      <w:tabs>
        <w:tab w:val="left" w:pos="765"/>
      </w:tabs>
      <w:spacing w:after="240"/>
      <w:jc w:val="both"/>
    </w:pPr>
    <w:rPr>
      <w:rFonts w:eastAsia="Arial Unicode MS" w:cs="Arial Unicode MS"/>
      <w:color w:val="000000"/>
      <w:u w:color="000000"/>
    </w:rPr>
  </w:style>
  <w:style w:type="numbering" w:customStyle="1" w:styleId="ImportedStyle8">
    <w:name w:val="Imported Style 8"/>
    <w:autoRedefine/>
  </w:style>
  <w:style w:type="numbering" w:customStyle="1" w:styleId="ImportedStyle9">
    <w:name w:val="Imported Style 9"/>
    <w:autoRedefine/>
  </w:style>
  <w:style w:type="character" w:customStyle="1" w:styleId="Hyperlink3">
    <w:name w:val="Hyperlink.3"/>
    <w:autoRedefine/>
    <w:rPr>
      <w:color w:val="000000"/>
      <w:u w:val="none" w:color="000000"/>
    </w:rPr>
  </w:style>
  <w:style w:type="paragraph" w:customStyle="1" w:styleId="FootnoteText1">
    <w:name w:val="Footnote Text1"/>
    <w:pPr>
      <w:spacing w:after="240"/>
      <w:ind w:left="357" w:hanging="357"/>
      <w:jc w:val="both"/>
    </w:pPr>
    <w:rPr>
      <w:color w:val="000000"/>
      <w:u w:color="000000"/>
    </w:rPr>
  </w:style>
  <w:style w:type="numbering" w:customStyle="1" w:styleId="ImportedStyle10">
    <w:name w:val="Imported Style 10"/>
  </w:style>
  <w:style w:type="character" w:customStyle="1" w:styleId="Hyperlink4">
    <w:name w:val="Hyperlink.4"/>
    <w:rPr>
      <w:color w:val="000000"/>
      <w:sz w:val="20"/>
      <w:szCs w:val="20"/>
      <w:u w:val="none" w:color="000000"/>
    </w:rPr>
  </w:style>
  <w:style w:type="paragraph" w:styleId="BalloonText">
    <w:name w:val="Balloon Text"/>
    <w:basedOn w:val="Normal"/>
    <w:link w:val="BalloonTextChar"/>
    <w:locked/>
    <w:rPr>
      <w:rFonts w:ascii="Tahoma" w:hAnsi="Tahoma" w:cs="Tahoma"/>
      <w:sz w:val="16"/>
      <w:szCs w:val="16"/>
    </w:rPr>
  </w:style>
  <w:style w:type="character" w:customStyle="1" w:styleId="BalloonTextChar">
    <w:name w:val="Balloon Text Char"/>
    <w:link w:val="BalloonText"/>
    <w:rPr>
      <w:rFonts w:ascii="Tahoma" w:hAnsi="Tahoma" w:cs="Tahoma"/>
      <w:sz w:val="16"/>
      <w:szCs w:val="16"/>
      <w:lang w:val="pl-PL" w:eastAsia="pl-PL"/>
    </w:rPr>
  </w:style>
  <w:style w:type="paragraph" w:styleId="EndnoteText">
    <w:name w:val="endnote text"/>
    <w:basedOn w:val="Normal"/>
    <w:link w:val="EndnoteTextChar"/>
    <w:locked/>
    <w:rPr>
      <w:sz w:val="20"/>
      <w:szCs w:val="20"/>
    </w:rPr>
  </w:style>
  <w:style w:type="character" w:customStyle="1" w:styleId="EndnoteTextChar">
    <w:name w:val="Endnote Text Char"/>
    <w:link w:val="EndnoteText"/>
    <w:rPr>
      <w:lang w:val="pl-PL" w:eastAsia="pl-PL"/>
    </w:rPr>
  </w:style>
  <w:style w:type="character" w:styleId="EndnoteReference">
    <w:name w:val="endnote reference"/>
    <w:uiPriority w:val="99"/>
    <w:locked/>
    <w:rPr>
      <w:vertAlign w:val="superscript"/>
    </w:rPr>
  </w:style>
  <w:style w:type="paragraph" w:customStyle="1" w:styleId="ListDash2">
    <w:name w:val="List Dash 2"/>
    <w:basedOn w:val="Text2"/>
    <w:pPr>
      <w:numPr>
        <w:numId w:val="2"/>
      </w:numPr>
      <w:tabs>
        <w:tab w:val="clear" w:pos="2302"/>
      </w:tabs>
    </w:pPr>
    <w:rPr>
      <w:rFonts w:eastAsia="Times New Roman" w:cs="Times New Roman"/>
      <w:color w:val="auto"/>
      <w:szCs w:val="20"/>
    </w:rPr>
  </w:style>
  <w:style w:type="character" w:styleId="CommentReference">
    <w:name w:val="annotation reference"/>
    <w:uiPriority w:val="99"/>
    <w:locked/>
    <w:rPr>
      <w:sz w:val="16"/>
      <w:szCs w:val="16"/>
    </w:rPr>
  </w:style>
  <w:style w:type="paragraph" w:styleId="CommentText">
    <w:name w:val="annotation text"/>
    <w:basedOn w:val="Normal"/>
    <w:link w:val="CommentTextChar"/>
    <w:locked/>
    <w:rPr>
      <w:sz w:val="20"/>
      <w:szCs w:val="20"/>
    </w:rPr>
  </w:style>
  <w:style w:type="character" w:customStyle="1" w:styleId="CommentTextChar">
    <w:name w:val="Comment Text Char"/>
    <w:link w:val="CommentText"/>
    <w:rPr>
      <w:lang w:val="pl-PL" w:eastAsia="pl-PL"/>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link w:val="CommentSubject"/>
    <w:rPr>
      <w:b/>
      <w:bCs/>
      <w:lang w:val="pl-PL" w:eastAsia="pl-PL"/>
    </w:rPr>
  </w:style>
  <w:style w:type="paragraph" w:styleId="Revision">
    <w:name w:val="Revision"/>
    <w:hidden/>
    <w:uiPriority w:val="99"/>
    <w:semiHidden/>
  </w:style>
  <w:style w:type="character" w:styleId="Emphasis">
    <w:name w:val="Emphasis"/>
    <w:uiPriority w:val="20"/>
    <w:qFormat/>
    <w:locked/>
    <w:rPr>
      <w:b/>
      <w:bCs/>
      <w:i w:val="0"/>
      <w:iCs w:val="0"/>
    </w:rPr>
  </w:style>
  <w:style w:type="character" w:customStyle="1" w:styleId="st1">
    <w:name w:val="st1"/>
  </w:style>
  <w:style w:type="paragraph" w:styleId="BodyTextIndent3">
    <w:name w:val="Body Text Indent 3"/>
    <w:basedOn w:val="Normal"/>
    <w:link w:val="BodyTextIndent3Char"/>
    <w:locked/>
    <w:pPr>
      <w:spacing w:after="120"/>
      <w:ind w:left="283"/>
      <w:jc w:val="both"/>
    </w:pPr>
    <w:rPr>
      <w:sz w:val="16"/>
      <w:szCs w:val="20"/>
    </w:rPr>
  </w:style>
  <w:style w:type="character" w:customStyle="1" w:styleId="BodyTextIndent3Char">
    <w:name w:val="Body Text Indent 3 Char"/>
    <w:link w:val="BodyTextIndent3"/>
    <w:rPr>
      <w:sz w:val="16"/>
      <w:lang w:eastAsia="pl-PL"/>
    </w:rPr>
  </w:style>
  <w:style w:type="paragraph" w:styleId="Header">
    <w:name w:val="header"/>
    <w:basedOn w:val="Normal"/>
    <w:link w:val="HeaderChar"/>
    <w:locked/>
    <w:pPr>
      <w:tabs>
        <w:tab w:val="center" w:pos="4536"/>
        <w:tab w:val="right" w:pos="9072"/>
      </w:tabs>
    </w:pPr>
  </w:style>
  <w:style w:type="character" w:customStyle="1" w:styleId="HeaderChar">
    <w:name w:val="Header Char"/>
    <w:link w:val="Header"/>
    <w:rPr>
      <w:sz w:val="24"/>
      <w:szCs w:val="24"/>
      <w:lang w:val="pl-PL" w:eastAsia="pl-PL"/>
    </w:rPr>
  </w:style>
  <w:style w:type="paragraph" w:styleId="Footer">
    <w:name w:val="footer"/>
    <w:basedOn w:val="Normal"/>
    <w:link w:val="FooterChar"/>
    <w:uiPriority w:val="99"/>
    <w:locked/>
    <w:pPr>
      <w:tabs>
        <w:tab w:val="center" w:pos="4536"/>
        <w:tab w:val="right" w:pos="9072"/>
      </w:tabs>
    </w:pPr>
  </w:style>
  <w:style w:type="character" w:customStyle="1" w:styleId="FooterChar">
    <w:name w:val="Footer Char"/>
    <w:link w:val="Footer"/>
    <w:uiPriority w:val="99"/>
    <w:rPr>
      <w:sz w:val="24"/>
      <w:szCs w:val="24"/>
      <w:lang w:val="pl-PL" w:eastAsia="pl-PL"/>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
    <w:basedOn w:val="Normal"/>
    <w:link w:val="FootnoteTextChar"/>
    <w:uiPriority w:val="99"/>
    <w:locked/>
    <w:pPr>
      <w:spacing w:after="240"/>
      <w:ind w:left="357" w:hanging="357"/>
      <w:jc w:val="both"/>
    </w:pPr>
    <w:rPr>
      <w:sz w:val="20"/>
      <w:szCs w:val="20"/>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
    <w:link w:val="FootnoteText"/>
    <w:uiPriority w:val="99"/>
    <w:rPr>
      <w:lang w:eastAsia="pl-PL"/>
    </w:rPr>
  </w:style>
  <w:style w:type="character" w:styleId="FootnoteReference">
    <w:name w:val="footnote reference"/>
    <w:aliases w:val="stylish,Appel note de bas de page,16 Point,Superscript 6 Point,Ref,de nota al pie"/>
    <w:uiPriority w:val="99"/>
    <w:unhideWhenUsed/>
    <w:qFormat/>
    <w:locked/>
    <w:rPr>
      <w:vertAlign w:val="superscript"/>
    </w:rPr>
  </w:style>
  <w:style w:type="character" w:customStyle="1" w:styleId="Heading1Char">
    <w:name w:val="Heading 1 Char"/>
    <w:link w:val="Heading1"/>
    <w:rPr>
      <w:b/>
      <w:smallCaps/>
      <w:szCs w:val="20"/>
      <w:lang w:eastAsia="pl-PL"/>
    </w:rPr>
  </w:style>
  <w:style w:type="character" w:customStyle="1" w:styleId="Heading2Char">
    <w:name w:val="Heading 2 Char"/>
    <w:link w:val="Heading2"/>
    <w:semiHidden/>
    <w:rPr>
      <w:b/>
      <w:szCs w:val="20"/>
      <w:lang w:eastAsia="pl-PL"/>
    </w:rPr>
  </w:style>
  <w:style w:type="character" w:customStyle="1" w:styleId="Heading3Char">
    <w:name w:val="Heading 3 Char"/>
    <w:link w:val="Heading3"/>
    <w:semiHidden/>
    <w:rPr>
      <w:i/>
      <w:szCs w:val="20"/>
      <w:lang w:eastAsia="pl-PL"/>
    </w:rPr>
  </w:style>
  <w:style w:type="character" w:customStyle="1" w:styleId="Heading4Char">
    <w:name w:val="Heading 4 Char"/>
    <w:link w:val="Heading4"/>
    <w:semiHidden/>
    <w:rPr>
      <w:szCs w:val="20"/>
      <w:lang w:eastAsia="pl-PL"/>
    </w:rPr>
  </w:style>
  <w:style w:type="paragraph" w:styleId="BodyText">
    <w:name w:val="Body Text"/>
    <w:basedOn w:val="Normal"/>
    <w:link w:val="BodyTextChar"/>
    <w:locked/>
    <w:pPr>
      <w:spacing w:after="120"/>
    </w:pPr>
  </w:style>
  <w:style w:type="character" w:customStyle="1" w:styleId="BodyTextChar">
    <w:name w:val="Body Text Char"/>
    <w:link w:val="BodyText"/>
    <w:rPr>
      <w:sz w:val="24"/>
      <w:szCs w:val="24"/>
      <w:lang w:val="pl-PL" w:eastAsia="pl-PL"/>
    </w:rPr>
  </w:style>
  <w:style w:type="paragraph" w:customStyle="1" w:styleId="action">
    <w:name w:val="action"/>
    <w:basedOn w:val="Normal"/>
    <w:pPr>
      <w:spacing w:after="200" w:line="276" w:lineRule="auto"/>
    </w:pPr>
    <w:rPr>
      <w:rFonts w:ascii="Cambria" w:eastAsia="Calibri" w:hAnsi="Cambria"/>
      <w:b/>
      <w:bCs/>
      <w:sz w:val="22"/>
      <w:szCs w:val="22"/>
    </w:rPr>
  </w:style>
  <w:style w:type="paragraph" w:styleId="Title">
    <w:name w:val="Title"/>
    <w:basedOn w:val="Normal"/>
    <w:next w:val="Normal"/>
    <w:link w:val="TitleChar"/>
    <w:qFormat/>
    <w:locked/>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pl-PL" w:eastAsia="pl-PL"/>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jc w:val="both"/>
    </w:pPr>
    <w:rPr>
      <w:rFonts w:eastAsia="Calibri"/>
      <w:szCs w:val="22"/>
    </w:rPr>
  </w:style>
  <w:style w:type="paragraph" w:customStyle="1" w:styleId="FooterCoverPage">
    <w:name w:val="Footer Cover Page"/>
    <w:basedOn w:val="Normal"/>
    <w:link w:val="FooterCoverPageChar"/>
    <w:pPr>
      <w:numPr>
        <w:numId w:val="1"/>
      </w:numPr>
      <w:tabs>
        <w:tab w:val="center" w:pos="4535"/>
        <w:tab w:val="right" w:pos="9071"/>
        <w:tab w:val="right" w:pos="9921"/>
      </w:tabs>
      <w:spacing w:before="360"/>
      <w:ind w:left="-850" w:right="-850"/>
    </w:pPr>
    <w:rPr>
      <w:rFonts w:eastAsia="Arial Unicode MS" w:cs="Arial Unicode MS"/>
      <w:color w:val="000000"/>
      <w:u w:color="000000"/>
    </w:rPr>
  </w:style>
  <w:style w:type="character" w:customStyle="1" w:styleId="HeadingChar">
    <w:name w:val="Heading Char"/>
    <w:link w:val="Heading"/>
    <w:rPr>
      <w:rFonts w:eastAsia="Arial Unicode MS" w:cs="Arial Unicode MS"/>
      <w:b/>
      <w:bCs/>
      <w:smallCaps/>
      <w:color w:val="000000"/>
      <w:u w:color="000000"/>
      <w:lang w:val="pl-PL"/>
    </w:rPr>
  </w:style>
  <w:style w:type="character" w:customStyle="1" w:styleId="FooterCoverPageChar">
    <w:name w:val="Footer Cover Page Char"/>
    <w:link w:val="FooterCoverPage"/>
    <w:rPr>
      <w:rFonts w:eastAsia="Arial Unicode MS" w:cs="Arial Unicode MS"/>
      <w:color w:val="000000"/>
      <w:u w:color="000000"/>
    </w:rPr>
  </w:style>
  <w:style w:type="paragraph" w:customStyle="1" w:styleId="HeaderCoverPage">
    <w:name w:val="Header Cover Page"/>
    <w:basedOn w:val="Normal"/>
    <w:link w:val="HeaderCoverPageChar"/>
    <w:pPr>
      <w:tabs>
        <w:tab w:val="center" w:pos="4535"/>
        <w:tab w:val="right" w:pos="9071"/>
      </w:tabs>
      <w:spacing w:after="120"/>
      <w:jc w:val="both"/>
    </w:pPr>
    <w:rPr>
      <w:rFonts w:eastAsia="Arial Unicode MS" w:cs="Arial Unicode MS"/>
      <w:color w:val="000000"/>
      <w:u w:color="000000"/>
    </w:rPr>
  </w:style>
  <w:style w:type="character" w:customStyle="1" w:styleId="HeaderCoverPageChar">
    <w:name w:val="Header Cover Page Char"/>
    <w:link w:val="HeaderCoverPage"/>
    <w:rPr>
      <w:rFonts w:eastAsia="Arial Unicode MS" w:cs="Arial Unicode MS"/>
      <w:color w:val="000000"/>
      <w:u w:color="000000"/>
    </w:rPr>
  </w:style>
  <w:style w:type="paragraph" w:customStyle="1" w:styleId="NumPar1">
    <w:name w:val="NumPar 1"/>
    <w:basedOn w:val="Normal"/>
    <w:next w:val="Normal"/>
    <w:pPr>
      <w:numPr>
        <w:numId w:val="20"/>
      </w:numPr>
      <w:spacing w:before="120" w:after="120"/>
      <w:jc w:val="both"/>
    </w:pPr>
    <w:rPr>
      <w:szCs w:val="22"/>
    </w:rPr>
  </w:style>
  <w:style w:type="paragraph" w:customStyle="1" w:styleId="NumPar2">
    <w:name w:val="NumPar 2"/>
    <w:basedOn w:val="Normal"/>
    <w:next w:val="Normal"/>
    <w:pPr>
      <w:numPr>
        <w:ilvl w:val="1"/>
        <w:numId w:val="20"/>
      </w:numPr>
      <w:spacing w:before="120" w:after="120"/>
      <w:jc w:val="both"/>
    </w:pPr>
    <w:rPr>
      <w:szCs w:val="22"/>
    </w:rPr>
  </w:style>
  <w:style w:type="paragraph" w:customStyle="1" w:styleId="NumPar3">
    <w:name w:val="NumPar 3"/>
    <w:basedOn w:val="Normal"/>
    <w:next w:val="Normal"/>
    <w:pPr>
      <w:numPr>
        <w:ilvl w:val="2"/>
        <w:numId w:val="20"/>
      </w:numPr>
      <w:spacing w:before="120" w:after="120"/>
      <w:jc w:val="both"/>
    </w:pPr>
    <w:rPr>
      <w:szCs w:val="22"/>
    </w:rPr>
  </w:style>
  <w:style w:type="paragraph" w:customStyle="1" w:styleId="NumPar4">
    <w:name w:val="NumPar 4"/>
    <w:basedOn w:val="Normal"/>
    <w:next w:val="Normal"/>
    <w:pPr>
      <w:numPr>
        <w:ilvl w:val="3"/>
        <w:numId w:val="20"/>
      </w:numPr>
      <w:spacing w:before="120" w:after="120"/>
      <w:jc w:val="both"/>
    </w:pPr>
    <w:rPr>
      <w:szCs w:val="22"/>
    </w:rPr>
  </w:style>
  <w:style w:type="character" w:styleId="FollowedHyperlink">
    <w:name w:val="FollowedHyperlink"/>
    <w:basedOn w:val="DefaultParagraphFont"/>
    <w:rPr>
      <w:color w:val="954F72" w:themeColor="followedHyperlink"/>
      <w:u w:val="single"/>
    </w:rPr>
  </w:style>
  <w:style w:type="character" w:customStyle="1" w:styleId="st">
    <w:name w:val="st"/>
    <w:basedOn w:val="DefaultParagraphFont"/>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l-PL" w:eastAsia="pl-PL" w:bidi="pl-PL"/>
      </w:rPr>
    </w:rPrDefault>
    <w:pPrDefault/>
  </w:docDefaults>
  <w:latentStyles w:defLockedState="0" w:defUIPriority="0" w:defSemiHidden="0" w:defUnhideWhenUsed="0" w:defQFormat="0" w:count="267">
    <w:lsdException w:name="footnote text" w:uiPriority="99"/>
    <w:lsdException w:name="footer" w:uiPriority="99"/>
    <w:lsdException w:name="footnote reference" w:uiPriority="99" w:qFormat="1"/>
    <w:lsdException w:name="annotation reference" w:uiPriority="99"/>
    <w:lsdException w:name="endnote reference" w:uiPriority="99"/>
    <w:lsdException w:name="Strong" w:uiPriority="22" w:qFormat="1"/>
    <w:lsdException w:name="Emphasis" w:uiPriority="20" w:qFormat="1"/>
    <w:lsdException w:name="No Spacing" w:uiPriority="1" w:qFormat="1"/>
    <w:lsdException w:name="List Paragraph" w:uiPriority="34" w:qFormat="1"/>
  </w:latentStyles>
  <w:style w:type="paragraph" w:default="1" w:styleId="Normal">
    <w:name w:val="Normal"/>
    <w:qFormat/>
  </w:style>
  <w:style w:type="paragraph" w:styleId="Heading1">
    <w:name w:val="heading 1"/>
    <w:basedOn w:val="Normal"/>
    <w:next w:val="Normal"/>
    <w:link w:val="Heading1Char"/>
    <w:qFormat/>
    <w:locked/>
    <w:pPr>
      <w:keepNext/>
      <w:numPr>
        <w:numId w:val="3"/>
      </w:numPr>
      <w:spacing w:before="240" w:after="240"/>
      <w:jc w:val="both"/>
      <w:outlineLvl w:val="0"/>
    </w:pPr>
    <w:rPr>
      <w:b/>
      <w:smallCaps/>
      <w:szCs w:val="20"/>
    </w:rPr>
  </w:style>
  <w:style w:type="paragraph" w:styleId="Heading2">
    <w:name w:val="heading 2"/>
    <w:basedOn w:val="Normal"/>
    <w:next w:val="Normal"/>
    <w:link w:val="Heading2Char"/>
    <w:semiHidden/>
    <w:unhideWhenUsed/>
    <w:qFormat/>
    <w:locked/>
    <w:pPr>
      <w:keepNext/>
      <w:numPr>
        <w:ilvl w:val="1"/>
        <w:numId w:val="3"/>
      </w:numPr>
      <w:spacing w:after="240"/>
      <w:jc w:val="both"/>
      <w:outlineLvl w:val="1"/>
    </w:pPr>
    <w:rPr>
      <w:b/>
      <w:szCs w:val="20"/>
    </w:rPr>
  </w:style>
  <w:style w:type="paragraph" w:styleId="Heading3">
    <w:name w:val="heading 3"/>
    <w:basedOn w:val="Normal"/>
    <w:next w:val="Normal"/>
    <w:link w:val="Heading3Char"/>
    <w:semiHidden/>
    <w:unhideWhenUsed/>
    <w:qFormat/>
    <w:locked/>
    <w:pPr>
      <w:keepNext/>
      <w:numPr>
        <w:ilvl w:val="2"/>
        <w:numId w:val="3"/>
      </w:numPr>
      <w:spacing w:after="240"/>
      <w:jc w:val="both"/>
      <w:outlineLvl w:val="2"/>
    </w:pPr>
    <w:rPr>
      <w:i/>
      <w:szCs w:val="20"/>
    </w:rPr>
  </w:style>
  <w:style w:type="paragraph" w:styleId="Heading4">
    <w:name w:val="heading 4"/>
    <w:basedOn w:val="Normal"/>
    <w:next w:val="Normal"/>
    <w:link w:val="Heading4Char"/>
    <w:semiHidden/>
    <w:unhideWhenUsed/>
    <w:qFormat/>
    <w:locked/>
    <w:pPr>
      <w:keepNext/>
      <w:numPr>
        <w:ilvl w:val="3"/>
        <w:numId w:val="3"/>
      </w:numPr>
      <w:spacing w:after="240"/>
      <w:jc w:val="both"/>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utoRedefine/>
    <w:rPr>
      <w:u w:val="single"/>
    </w:rPr>
  </w:style>
  <w:style w:type="paragraph" w:customStyle="1" w:styleId="HeaderFooter">
    <w:name w:val="Header &amp; Footer"/>
    <w:autoRedefine/>
    <w:pPr>
      <w:tabs>
        <w:tab w:val="right" w:pos="9020"/>
      </w:tabs>
    </w:pPr>
    <w:rPr>
      <w:rFonts w:ascii="Helvetica" w:eastAsia="Arial Unicode MS" w:hAnsi="Helvetica" w:cs="Arial Unicode MS"/>
      <w:color w:val="000000"/>
    </w:rPr>
  </w:style>
  <w:style w:type="paragraph" w:customStyle="1" w:styleId="Footer1">
    <w:name w:val="Footer1"/>
    <w:rPr>
      <w:rFonts w:ascii="Arial" w:eastAsia="Arial Unicode MS" w:hAnsi="Arial" w:cs="Arial Unicode MS"/>
      <w:color w:val="000000"/>
      <w:sz w:val="16"/>
      <w:szCs w:val="16"/>
      <w:u w:color="000000"/>
    </w:rPr>
  </w:style>
  <w:style w:type="paragraph" w:customStyle="1" w:styleId="References">
    <w:name w:val="References"/>
    <w:uiPriority w:val="99"/>
    <w:pPr>
      <w:spacing w:after="240"/>
      <w:ind w:left="5103"/>
    </w:pPr>
    <w:rPr>
      <w:rFonts w:eastAsia="Arial Unicode MS" w:cs="Arial Unicode MS"/>
      <w:color w:val="000000"/>
      <w:u w:color="000000"/>
    </w:rPr>
  </w:style>
  <w:style w:type="paragraph" w:customStyle="1" w:styleId="Heading">
    <w:name w:val="Heading"/>
    <w:next w:val="Text1"/>
    <w:link w:val="HeadingChar"/>
    <w:autoRedefine/>
    <w:pPr>
      <w:keepNext/>
      <w:spacing w:after="240"/>
      <w:ind w:left="567" w:hanging="567"/>
      <w:jc w:val="both"/>
      <w:outlineLvl w:val="0"/>
    </w:pPr>
    <w:rPr>
      <w:rFonts w:eastAsia="Arial Unicode MS" w:cs="Arial Unicode MS"/>
      <w:b/>
      <w:bCs/>
      <w:smallCaps/>
      <w:color w:val="000000"/>
      <w:u w:color="000000"/>
    </w:rPr>
  </w:style>
  <w:style w:type="paragraph" w:customStyle="1" w:styleId="Text1">
    <w:name w:val="Text 1"/>
    <w:pPr>
      <w:spacing w:after="240"/>
      <w:ind w:left="482"/>
      <w:jc w:val="both"/>
    </w:pPr>
    <w:rPr>
      <w:rFonts w:eastAsia="Arial Unicode MS" w:cs="Arial Unicode MS"/>
      <w:color w:val="000000"/>
      <w:u w:color="000000"/>
    </w:rPr>
  </w:style>
  <w:style w:type="numbering" w:customStyle="1" w:styleId="ImportedStyle2">
    <w:name w:val="Imported Style 2"/>
  </w:style>
  <w:style w:type="paragraph" w:customStyle="1" w:styleId="Body">
    <w:name w:val="Body"/>
    <w:autoRedefine/>
    <w:pPr>
      <w:spacing w:after="240"/>
      <w:jc w:val="both"/>
    </w:pPr>
    <w:rPr>
      <w:rFonts w:eastAsia="Arial Unicode MS" w:cs="Arial Unicode MS"/>
      <w:iCs/>
      <w:color w:val="000000" w:themeColor="text1"/>
      <w:u w:color="000000"/>
    </w:rPr>
  </w:style>
  <w:style w:type="paragraph" w:styleId="NoSpacing">
    <w:name w:val="No Spacing"/>
    <w:uiPriority w:val="1"/>
    <w:qFormat/>
    <w:pPr>
      <w:tabs>
        <w:tab w:val="left" w:pos="4678"/>
      </w:tabs>
      <w:spacing w:after="240"/>
      <w:jc w:val="both"/>
    </w:pPr>
    <w:rPr>
      <w:rFonts w:eastAsia="Arial Unicode MS" w:cs="Arial Unicode MS"/>
      <w:u w:color="000000"/>
    </w:rPr>
  </w:style>
  <w:style w:type="character" w:customStyle="1" w:styleId="FootnoteReference1">
    <w:name w:val="Footnote Reference1"/>
    <w:autoRedefine/>
    <w:rPr>
      <w:vertAlign w:val="superscript"/>
    </w:rPr>
  </w:style>
  <w:style w:type="paragraph" w:customStyle="1" w:styleId="EndnoteText1">
    <w:name w:val="Endnote Text1"/>
    <w:autoRedefine/>
    <w:pPr>
      <w:spacing w:after="120"/>
      <w:ind w:left="426" w:hanging="426"/>
      <w:jc w:val="both"/>
    </w:pPr>
    <w:rPr>
      <w:color w:val="000000"/>
      <w:sz w:val="20"/>
      <w:szCs w:val="20"/>
      <w:u w:color="000000"/>
    </w:rPr>
  </w:style>
  <w:style w:type="character" w:customStyle="1" w:styleId="Link1">
    <w:name w:val="Link1"/>
    <w:autoRedefine/>
    <w:rPr>
      <w:color w:val="0000FF"/>
      <w:u w:val="single" w:color="0000FF"/>
    </w:rPr>
  </w:style>
  <w:style w:type="character" w:customStyle="1" w:styleId="Hyperlink0">
    <w:name w:val="Hyperlink.0"/>
    <w:autoRedefine/>
    <w:rPr>
      <w:sz w:val="20"/>
      <w:szCs w:val="20"/>
    </w:rPr>
  </w:style>
  <w:style w:type="paragraph" w:customStyle="1" w:styleId="CommentText1">
    <w:name w:val="Comment Text1"/>
    <w:autoRedefine/>
    <w:pPr>
      <w:spacing w:after="240"/>
      <w:jc w:val="both"/>
    </w:pPr>
    <w:rPr>
      <w:color w:val="000000"/>
      <w:u w:color="000000"/>
    </w:rPr>
  </w:style>
  <w:style w:type="character" w:customStyle="1" w:styleId="Hyperlink1">
    <w:name w:val="Hyperlink.1"/>
    <w:autoRedefine/>
    <w:rPr>
      <w:color w:val="000000"/>
      <w:u w:color="000000"/>
    </w:rPr>
  </w:style>
  <w:style w:type="paragraph" w:customStyle="1" w:styleId="ListDash">
    <w:name w:val="List Dash"/>
    <w:pPr>
      <w:tabs>
        <w:tab w:val="left" w:pos="283"/>
      </w:tabs>
      <w:spacing w:after="240"/>
      <w:jc w:val="both"/>
    </w:pPr>
    <w:rPr>
      <w:rFonts w:eastAsia="Arial Unicode MS" w:cs="Arial Unicode MS"/>
      <w:color w:val="000000"/>
      <w:u w:color="000000"/>
    </w:rPr>
  </w:style>
  <w:style w:type="numbering" w:customStyle="1" w:styleId="ImportedStyle4">
    <w:name w:val="Imported Style 4"/>
  </w:style>
  <w:style w:type="paragraph" w:styleId="ListParagraph">
    <w:name w:val="List Paragraph"/>
    <w:uiPriority w:val="34"/>
    <w:qFormat/>
    <w:pPr>
      <w:spacing w:after="240"/>
      <w:ind w:left="720"/>
      <w:jc w:val="both"/>
    </w:pPr>
    <w:rPr>
      <w:rFonts w:eastAsia="Arial Unicode MS" w:cs="Arial Unicode MS"/>
      <w:color w:val="000000"/>
      <w:u w:color="000000"/>
    </w:rPr>
  </w:style>
  <w:style w:type="numbering" w:customStyle="1" w:styleId="ImportedStyle5">
    <w:name w:val="Imported Style 5"/>
    <w:autoRedefine/>
  </w:style>
  <w:style w:type="numbering" w:customStyle="1" w:styleId="ImportedStyle6">
    <w:name w:val="Imported Style 6"/>
  </w:style>
  <w:style w:type="character" w:customStyle="1" w:styleId="None">
    <w:name w:val="None"/>
    <w:autoRedefine/>
  </w:style>
  <w:style w:type="character" w:customStyle="1" w:styleId="Hyperlink2">
    <w:name w:val="Hyperlink.2"/>
    <w:rPr>
      <w:sz w:val="20"/>
      <w:szCs w:val="20"/>
    </w:rPr>
  </w:style>
  <w:style w:type="paragraph" w:customStyle="1" w:styleId="Text2">
    <w:name w:val="Text 2"/>
    <w:pPr>
      <w:tabs>
        <w:tab w:val="left" w:pos="2302"/>
      </w:tabs>
      <w:spacing w:after="240"/>
      <w:ind w:left="1202"/>
      <w:jc w:val="both"/>
    </w:pPr>
    <w:rPr>
      <w:rFonts w:eastAsia="Arial Unicode MS" w:cs="Arial Unicode MS"/>
      <w:color w:val="000000"/>
      <w:u w:color="000000"/>
    </w:rPr>
  </w:style>
  <w:style w:type="paragraph" w:customStyle="1" w:styleId="Default">
    <w:name w:val="Default"/>
    <w:autoRedefine/>
    <w:pPr>
      <w:jc w:val="both"/>
    </w:pPr>
    <w:rPr>
      <w:rFonts w:eastAsia="Arial Unicode MS"/>
      <w:color w:val="000000" w:themeColor="text1"/>
      <w:u w:color="FF0000"/>
    </w:rPr>
  </w:style>
  <w:style w:type="paragraph" w:customStyle="1" w:styleId="ListBullet1">
    <w:name w:val="List Bullet 1"/>
    <w:pPr>
      <w:tabs>
        <w:tab w:val="left" w:pos="765"/>
      </w:tabs>
      <w:spacing w:after="240"/>
      <w:jc w:val="both"/>
    </w:pPr>
    <w:rPr>
      <w:rFonts w:eastAsia="Arial Unicode MS" w:cs="Arial Unicode MS"/>
      <w:color w:val="000000"/>
      <w:u w:color="000000"/>
    </w:rPr>
  </w:style>
  <w:style w:type="numbering" w:customStyle="1" w:styleId="ImportedStyle8">
    <w:name w:val="Imported Style 8"/>
    <w:autoRedefine/>
  </w:style>
  <w:style w:type="numbering" w:customStyle="1" w:styleId="ImportedStyle9">
    <w:name w:val="Imported Style 9"/>
    <w:autoRedefine/>
  </w:style>
  <w:style w:type="character" w:customStyle="1" w:styleId="Hyperlink3">
    <w:name w:val="Hyperlink.3"/>
    <w:autoRedefine/>
    <w:rPr>
      <w:color w:val="000000"/>
      <w:u w:val="none" w:color="000000"/>
    </w:rPr>
  </w:style>
  <w:style w:type="paragraph" w:customStyle="1" w:styleId="FootnoteText1">
    <w:name w:val="Footnote Text1"/>
    <w:pPr>
      <w:spacing w:after="240"/>
      <w:ind w:left="357" w:hanging="357"/>
      <w:jc w:val="both"/>
    </w:pPr>
    <w:rPr>
      <w:color w:val="000000"/>
      <w:u w:color="000000"/>
    </w:rPr>
  </w:style>
  <w:style w:type="numbering" w:customStyle="1" w:styleId="ImportedStyle10">
    <w:name w:val="Imported Style 10"/>
  </w:style>
  <w:style w:type="character" w:customStyle="1" w:styleId="Hyperlink4">
    <w:name w:val="Hyperlink.4"/>
    <w:rPr>
      <w:color w:val="000000"/>
      <w:sz w:val="20"/>
      <w:szCs w:val="20"/>
      <w:u w:val="none" w:color="000000"/>
    </w:rPr>
  </w:style>
  <w:style w:type="paragraph" w:styleId="BalloonText">
    <w:name w:val="Balloon Text"/>
    <w:basedOn w:val="Normal"/>
    <w:link w:val="BalloonTextChar"/>
    <w:locked/>
    <w:rPr>
      <w:rFonts w:ascii="Tahoma" w:hAnsi="Tahoma" w:cs="Tahoma"/>
      <w:sz w:val="16"/>
      <w:szCs w:val="16"/>
    </w:rPr>
  </w:style>
  <w:style w:type="character" w:customStyle="1" w:styleId="BalloonTextChar">
    <w:name w:val="Balloon Text Char"/>
    <w:link w:val="BalloonText"/>
    <w:rPr>
      <w:rFonts w:ascii="Tahoma" w:hAnsi="Tahoma" w:cs="Tahoma"/>
      <w:sz w:val="16"/>
      <w:szCs w:val="16"/>
      <w:lang w:val="pl-PL" w:eastAsia="pl-PL"/>
    </w:rPr>
  </w:style>
  <w:style w:type="paragraph" w:styleId="EndnoteText">
    <w:name w:val="endnote text"/>
    <w:basedOn w:val="Normal"/>
    <w:link w:val="EndnoteTextChar"/>
    <w:locked/>
    <w:rPr>
      <w:sz w:val="20"/>
      <w:szCs w:val="20"/>
    </w:rPr>
  </w:style>
  <w:style w:type="character" w:customStyle="1" w:styleId="EndnoteTextChar">
    <w:name w:val="Endnote Text Char"/>
    <w:link w:val="EndnoteText"/>
    <w:rPr>
      <w:lang w:val="pl-PL" w:eastAsia="pl-PL"/>
    </w:rPr>
  </w:style>
  <w:style w:type="character" w:styleId="EndnoteReference">
    <w:name w:val="endnote reference"/>
    <w:uiPriority w:val="99"/>
    <w:locked/>
    <w:rPr>
      <w:vertAlign w:val="superscript"/>
    </w:rPr>
  </w:style>
  <w:style w:type="paragraph" w:customStyle="1" w:styleId="ListDash2">
    <w:name w:val="List Dash 2"/>
    <w:basedOn w:val="Text2"/>
    <w:pPr>
      <w:numPr>
        <w:numId w:val="2"/>
      </w:numPr>
      <w:tabs>
        <w:tab w:val="clear" w:pos="2302"/>
      </w:tabs>
    </w:pPr>
    <w:rPr>
      <w:rFonts w:eastAsia="Times New Roman" w:cs="Times New Roman"/>
      <w:color w:val="auto"/>
      <w:szCs w:val="20"/>
    </w:rPr>
  </w:style>
  <w:style w:type="character" w:styleId="CommentReference">
    <w:name w:val="annotation reference"/>
    <w:uiPriority w:val="99"/>
    <w:locked/>
    <w:rPr>
      <w:sz w:val="16"/>
      <w:szCs w:val="16"/>
    </w:rPr>
  </w:style>
  <w:style w:type="paragraph" w:styleId="CommentText">
    <w:name w:val="annotation text"/>
    <w:basedOn w:val="Normal"/>
    <w:link w:val="CommentTextChar"/>
    <w:locked/>
    <w:rPr>
      <w:sz w:val="20"/>
      <w:szCs w:val="20"/>
    </w:rPr>
  </w:style>
  <w:style w:type="character" w:customStyle="1" w:styleId="CommentTextChar">
    <w:name w:val="Comment Text Char"/>
    <w:link w:val="CommentText"/>
    <w:rPr>
      <w:lang w:val="pl-PL" w:eastAsia="pl-PL"/>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link w:val="CommentSubject"/>
    <w:rPr>
      <w:b/>
      <w:bCs/>
      <w:lang w:val="pl-PL" w:eastAsia="pl-PL"/>
    </w:rPr>
  </w:style>
  <w:style w:type="paragraph" w:styleId="Revision">
    <w:name w:val="Revision"/>
    <w:hidden/>
    <w:uiPriority w:val="99"/>
    <w:semiHidden/>
  </w:style>
  <w:style w:type="character" w:styleId="Emphasis">
    <w:name w:val="Emphasis"/>
    <w:uiPriority w:val="20"/>
    <w:qFormat/>
    <w:locked/>
    <w:rPr>
      <w:b/>
      <w:bCs/>
      <w:i w:val="0"/>
      <w:iCs w:val="0"/>
    </w:rPr>
  </w:style>
  <w:style w:type="character" w:customStyle="1" w:styleId="st1">
    <w:name w:val="st1"/>
  </w:style>
  <w:style w:type="paragraph" w:styleId="BodyTextIndent3">
    <w:name w:val="Body Text Indent 3"/>
    <w:basedOn w:val="Normal"/>
    <w:link w:val="BodyTextIndent3Char"/>
    <w:locked/>
    <w:pPr>
      <w:spacing w:after="120"/>
      <w:ind w:left="283"/>
      <w:jc w:val="both"/>
    </w:pPr>
    <w:rPr>
      <w:sz w:val="16"/>
      <w:szCs w:val="20"/>
    </w:rPr>
  </w:style>
  <w:style w:type="character" w:customStyle="1" w:styleId="BodyTextIndent3Char">
    <w:name w:val="Body Text Indent 3 Char"/>
    <w:link w:val="BodyTextIndent3"/>
    <w:rPr>
      <w:sz w:val="16"/>
      <w:lang w:eastAsia="pl-PL"/>
    </w:rPr>
  </w:style>
  <w:style w:type="paragraph" w:styleId="Header">
    <w:name w:val="header"/>
    <w:basedOn w:val="Normal"/>
    <w:link w:val="HeaderChar"/>
    <w:locked/>
    <w:pPr>
      <w:tabs>
        <w:tab w:val="center" w:pos="4536"/>
        <w:tab w:val="right" w:pos="9072"/>
      </w:tabs>
    </w:pPr>
  </w:style>
  <w:style w:type="character" w:customStyle="1" w:styleId="HeaderChar">
    <w:name w:val="Header Char"/>
    <w:link w:val="Header"/>
    <w:rPr>
      <w:sz w:val="24"/>
      <w:szCs w:val="24"/>
      <w:lang w:val="pl-PL" w:eastAsia="pl-PL"/>
    </w:rPr>
  </w:style>
  <w:style w:type="paragraph" w:styleId="Footer">
    <w:name w:val="footer"/>
    <w:basedOn w:val="Normal"/>
    <w:link w:val="FooterChar"/>
    <w:uiPriority w:val="99"/>
    <w:locked/>
    <w:pPr>
      <w:tabs>
        <w:tab w:val="center" w:pos="4536"/>
        <w:tab w:val="right" w:pos="9072"/>
      </w:tabs>
    </w:pPr>
  </w:style>
  <w:style w:type="character" w:customStyle="1" w:styleId="FooterChar">
    <w:name w:val="Footer Char"/>
    <w:link w:val="Footer"/>
    <w:uiPriority w:val="99"/>
    <w:rPr>
      <w:sz w:val="24"/>
      <w:szCs w:val="24"/>
      <w:lang w:val="pl-PL" w:eastAsia="pl-PL"/>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
    <w:basedOn w:val="Normal"/>
    <w:link w:val="FootnoteTextChar"/>
    <w:uiPriority w:val="99"/>
    <w:locked/>
    <w:pPr>
      <w:spacing w:after="240"/>
      <w:ind w:left="357" w:hanging="357"/>
      <w:jc w:val="both"/>
    </w:pPr>
    <w:rPr>
      <w:sz w:val="20"/>
      <w:szCs w:val="20"/>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
    <w:link w:val="FootnoteText"/>
    <w:uiPriority w:val="99"/>
    <w:rPr>
      <w:lang w:eastAsia="pl-PL"/>
    </w:rPr>
  </w:style>
  <w:style w:type="character" w:styleId="FootnoteReference">
    <w:name w:val="footnote reference"/>
    <w:aliases w:val="stylish,Appel note de bas de page,16 Point,Superscript 6 Point,Ref,de nota al pie"/>
    <w:uiPriority w:val="99"/>
    <w:unhideWhenUsed/>
    <w:qFormat/>
    <w:locked/>
    <w:rPr>
      <w:vertAlign w:val="superscript"/>
    </w:rPr>
  </w:style>
  <w:style w:type="character" w:customStyle="1" w:styleId="Heading1Char">
    <w:name w:val="Heading 1 Char"/>
    <w:link w:val="Heading1"/>
    <w:rPr>
      <w:b/>
      <w:smallCaps/>
      <w:szCs w:val="20"/>
      <w:lang w:eastAsia="pl-PL"/>
    </w:rPr>
  </w:style>
  <w:style w:type="character" w:customStyle="1" w:styleId="Heading2Char">
    <w:name w:val="Heading 2 Char"/>
    <w:link w:val="Heading2"/>
    <w:semiHidden/>
    <w:rPr>
      <w:b/>
      <w:szCs w:val="20"/>
      <w:lang w:eastAsia="pl-PL"/>
    </w:rPr>
  </w:style>
  <w:style w:type="character" w:customStyle="1" w:styleId="Heading3Char">
    <w:name w:val="Heading 3 Char"/>
    <w:link w:val="Heading3"/>
    <w:semiHidden/>
    <w:rPr>
      <w:i/>
      <w:szCs w:val="20"/>
      <w:lang w:eastAsia="pl-PL"/>
    </w:rPr>
  </w:style>
  <w:style w:type="character" w:customStyle="1" w:styleId="Heading4Char">
    <w:name w:val="Heading 4 Char"/>
    <w:link w:val="Heading4"/>
    <w:semiHidden/>
    <w:rPr>
      <w:szCs w:val="20"/>
      <w:lang w:eastAsia="pl-PL"/>
    </w:rPr>
  </w:style>
  <w:style w:type="paragraph" w:styleId="BodyText">
    <w:name w:val="Body Text"/>
    <w:basedOn w:val="Normal"/>
    <w:link w:val="BodyTextChar"/>
    <w:locked/>
    <w:pPr>
      <w:spacing w:after="120"/>
    </w:pPr>
  </w:style>
  <w:style w:type="character" w:customStyle="1" w:styleId="BodyTextChar">
    <w:name w:val="Body Text Char"/>
    <w:link w:val="BodyText"/>
    <w:rPr>
      <w:sz w:val="24"/>
      <w:szCs w:val="24"/>
      <w:lang w:val="pl-PL" w:eastAsia="pl-PL"/>
    </w:rPr>
  </w:style>
  <w:style w:type="paragraph" w:customStyle="1" w:styleId="action">
    <w:name w:val="action"/>
    <w:basedOn w:val="Normal"/>
    <w:pPr>
      <w:spacing w:after="200" w:line="276" w:lineRule="auto"/>
    </w:pPr>
    <w:rPr>
      <w:rFonts w:ascii="Cambria" w:eastAsia="Calibri" w:hAnsi="Cambria"/>
      <w:b/>
      <w:bCs/>
      <w:sz w:val="22"/>
      <w:szCs w:val="22"/>
    </w:rPr>
  </w:style>
  <w:style w:type="paragraph" w:styleId="Title">
    <w:name w:val="Title"/>
    <w:basedOn w:val="Normal"/>
    <w:next w:val="Normal"/>
    <w:link w:val="TitleChar"/>
    <w:qFormat/>
    <w:locked/>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pl-PL" w:eastAsia="pl-PL"/>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jc w:val="both"/>
    </w:pPr>
    <w:rPr>
      <w:rFonts w:eastAsia="Calibri"/>
      <w:szCs w:val="22"/>
    </w:rPr>
  </w:style>
  <w:style w:type="paragraph" w:customStyle="1" w:styleId="FooterCoverPage">
    <w:name w:val="Footer Cover Page"/>
    <w:basedOn w:val="Normal"/>
    <w:link w:val="FooterCoverPageChar"/>
    <w:pPr>
      <w:numPr>
        <w:numId w:val="1"/>
      </w:numPr>
      <w:tabs>
        <w:tab w:val="center" w:pos="4535"/>
        <w:tab w:val="right" w:pos="9071"/>
        <w:tab w:val="right" w:pos="9921"/>
      </w:tabs>
      <w:spacing w:before="360"/>
      <w:ind w:left="-850" w:right="-850"/>
    </w:pPr>
    <w:rPr>
      <w:rFonts w:eastAsia="Arial Unicode MS" w:cs="Arial Unicode MS"/>
      <w:color w:val="000000"/>
      <w:u w:color="000000"/>
    </w:rPr>
  </w:style>
  <w:style w:type="character" w:customStyle="1" w:styleId="HeadingChar">
    <w:name w:val="Heading Char"/>
    <w:link w:val="Heading"/>
    <w:rPr>
      <w:rFonts w:eastAsia="Arial Unicode MS" w:cs="Arial Unicode MS"/>
      <w:b/>
      <w:bCs/>
      <w:smallCaps/>
      <w:color w:val="000000"/>
      <w:u w:color="000000"/>
      <w:lang w:val="pl-PL"/>
    </w:rPr>
  </w:style>
  <w:style w:type="character" w:customStyle="1" w:styleId="FooterCoverPageChar">
    <w:name w:val="Footer Cover Page Char"/>
    <w:link w:val="FooterCoverPage"/>
    <w:rPr>
      <w:rFonts w:eastAsia="Arial Unicode MS" w:cs="Arial Unicode MS"/>
      <w:color w:val="000000"/>
      <w:u w:color="000000"/>
    </w:rPr>
  </w:style>
  <w:style w:type="paragraph" w:customStyle="1" w:styleId="HeaderCoverPage">
    <w:name w:val="Header Cover Page"/>
    <w:basedOn w:val="Normal"/>
    <w:link w:val="HeaderCoverPageChar"/>
    <w:pPr>
      <w:tabs>
        <w:tab w:val="center" w:pos="4535"/>
        <w:tab w:val="right" w:pos="9071"/>
      </w:tabs>
      <w:spacing w:after="120"/>
      <w:jc w:val="both"/>
    </w:pPr>
    <w:rPr>
      <w:rFonts w:eastAsia="Arial Unicode MS" w:cs="Arial Unicode MS"/>
      <w:color w:val="000000"/>
      <w:u w:color="000000"/>
    </w:rPr>
  </w:style>
  <w:style w:type="character" w:customStyle="1" w:styleId="HeaderCoverPageChar">
    <w:name w:val="Header Cover Page Char"/>
    <w:link w:val="HeaderCoverPage"/>
    <w:rPr>
      <w:rFonts w:eastAsia="Arial Unicode MS" w:cs="Arial Unicode MS"/>
      <w:color w:val="000000"/>
      <w:u w:color="000000"/>
    </w:rPr>
  </w:style>
  <w:style w:type="paragraph" w:customStyle="1" w:styleId="NumPar1">
    <w:name w:val="NumPar 1"/>
    <w:basedOn w:val="Normal"/>
    <w:next w:val="Normal"/>
    <w:pPr>
      <w:numPr>
        <w:numId w:val="20"/>
      </w:numPr>
      <w:spacing w:before="120" w:after="120"/>
      <w:jc w:val="both"/>
    </w:pPr>
    <w:rPr>
      <w:szCs w:val="22"/>
    </w:rPr>
  </w:style>
  <w:style w:type="paragraph" w:customStyle="1" w:styleId="NumPar2">
    <w:name w:val="NumPar 2"/>
    <w:basedOn w:val="Normal"/>
    <w:next w:val="Normal"/>
    <w:pPr>
      <w:numPr>
        <w:ilvl w:val="1"/>
        <w:numId w:val="20"/>
      </w:numPr>
      <w:spacing w:before="120" w:after="120"/>
      <w:jc w:val="both"/>
    </w:pPr>
    <w:rPr>
      <w:szCs w:val="22"/>
    </w:rPr>
  </w:style>
  <w:style w:type="paragraph" w:customStyle="1" w:styleId="NumPar3">
    <w:name w:val="NumPar 3"/>
    <w:basedOn w:val="Normal"/>
    <w:next w:val="Normal"/>
    <w:pPr>
      <w:numPr>
        <w:ilvl w:val="2"/>
        <w:numId w:val="20"/>
      </w:numPr>
      <w:spacing w:before="120" w:after="120"/>
      <w:jc w:val="both"/>
    </w:pPr>
    <w:rPr>
      <w:szCs w:val="22"/>
    </w:rPr>
  </w:style>
  <w:style w:type="paragraph" w:customStyle="1" w:styleId="NumPar4">
    <w:name w:val="NumPar 4"/>
    <w:basedOn w:val="Normal"/>
    <w:next w:val="Normal"/>
    <w:pPr>
      <w:numPr>
        <w:ilvl w:val="3"/>
        <w:numId w:val="20"/>
      </w:numPr>
      <w:spacing w:before="120" w:after="120"/>
      <w:jc w:val="both"/>
    </w:pPr>
    <w:rPr>
      <w:szCs w:val="22"/>
    </w:rPr>
  </w:style>
  <w:style w:type="character" w:styleId="FollowedHyperlink">
    <w:name w:val="FollowedHyperlink"/>
    <w:basedOn w:val="DefaultParagraphFont"/>
    <w:rPr>
      <w:color w:val="954F72" w:themeColor="followedHyperlink"/>
      <w:u w:val="single"/>
    </w:rPr>
  </w:style>
  <w:style w:type="character" w:customStyle="1" w:styleId="st">
    <w:name w:val="st"/>
    <w:basedOn w:val="DefaultParagraphFont"/>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35638">
      <w:bodyDiv w:val="1"/>
      <w:marLeft w:val="0"/>
      <w:marRight w:val="0"/>
      <w:marTop w:val="0"/>
      <w:marBottom w:val="0"/>
      <w:divBdr>
        <w:top w:val="none" w:sz="0" w:space="0" w:color="auto"/>
        <w:left w:val="none" w:sz="0" w:space="0" w:color="auto"/>
        <w:bottom w:val="none" w:sz="0" w:space="0" w:color="auto"/>
        <w:right w:val="none" w:sz="0" w:space="0" w:color="auto"/>
      </w:divBdr>
    </w:div>
    <w:div w:id="153882733">
      <w:bodyDiv w:val="1"/>
      <w:marLeft w:val="0"/>
      <w:marRight w:val="0"/>
      <w:marTop w:val="0"/>
      <w:marBottom w:val="0"/>
      <w:divBdr>
        <w:top w:val="none" w:sz="0" w:space="0" w:color="auto"/>
        <w:left w:val="none" w:sz="0" w:space="0" w:color="auto"/>
        <w:bottom w:val="none" w:sz="0" w:space="0" w:color="auto"/>
        <w:right w:val="none" w:sz="0" w:space="0" w:color="auto"/>
      </w:divBdr>
    </w:div>
    <w:div w:id="357242097">
      <w:bodyDiv w:val="1"/>
      <w:marLeft w:val="0"/>
      <w:marRight w:val="0"/>
      <w:marTop w:val="0"/>
      <w:marBottom w:val="0"/>
      <w:divBdr>
        <w:top w:val="none" w:sz="0" w:space="0" w:color="auto"/>
        <w:left w:val="none" w:sz="0" w:space="0" w:color="auto"/>
        <w:bottom w:val="none" w:sz="0" w:space="0" w:color="auto"/>
        <w:right w:val="none" w:sz="0" w:space="0" w:color="auto"/>
      </w:divBdr>
    </w:div>
    <w:div w:id="360984197">
      <w:bodyDiv w:val="1"/>
      <w:marLeft w:val="0"/>
      <w:marRight w:val="0"/>
      <w:marTop w:val="0"/>
      <w:marBottom w:val="0"/>
      <w:divBdr>
        <w:top w:val="none" w:sz="0" w:space="0" w:color="auto"/>
        <w:left w:val="none" w:sz="0" w:space="0" w:color="auto"/>
        <w:bottom w:val="none" w:sz="0" w:space="0" w:color="auto"/>
        <w:right w:val="none" w:sz="0" w:space="0" w:color="auto"/>
      </w:divBdr>
    </w:div>
    <w:div w:id="501434638">
      <w:bodyDiv w:val="1"/>
      <w:marLeft w:val="0"/>
      <w:marRight w:val="0"/>
      <w:marTop w:val="0"/>
      <w:marBottom w:val="0"/>
      <w:divBdr>
        <w:top w:val="none" w:sz="0" w:space="0" w:color="auto"/>
        <w:left w:val="none" w:sz="0" w:space="0" w:color="auto"/>
        <w:bottom w:val="none" w:sz="0" w:space="0" w:color="auto"/>
        <w:right w:val="none" w:sz="0" w:space="0" w:color="auto"/>
      </w:divBdr>
    </w:div>
    <w:div w:id="525872619">
      <w:bodyDiv w:val="1"/>
      <w:marLeft w:val="0"/>
      <w:marRight w:val="0"/>
      <w:marTop w:val="0"/>
      <w:marBottom w:val="0"/>
      <w:divBdr>
        <w:top w:val="none" w:sz="0" w:space="0" w:color="auto"/>
        <w:left w:val="none" w:sz="0" w:space="0" w:color="auto"/>
        <w:bottom w:val="none" w:sz="0" w:space="0" w:color="auto"/>
        <w:right w:val="none" w:sz="0" w:space="0" w:color="auto"/>
      </w:divBdr>
    </w:div>
    <w:div w:id="551815195">
      <w:bodyDiv w:val="1"/>
      <w:marLeft w:val="0"/>
      <w:marRight w:val="0"/>
      <w:marTop w:val="0"/>
      <w:marBottom w:val="0"/>
      <w:divBdr>
        <w:top w:val="none" w:sz="0" w:space="0" w:color="auto"/>
        <w:left w:val="none" w:sz="0" w:space="0" w:color="auto"/>
        <w:bottom w:val="none" w:sz="0" w:space="0" w:color="auto"/>
        <w:right w:val="none" w:sz="0" w:space="0" w:color="auto"/>
      </w:divBdr>
    </w:div>
    <w:div w:id="556473639">
      <w:bodyDiv w:val="1"/>
      <w:marLeft w:val="0"/>
      <w:marRight w:val="0"/>
      <w:marTop w:val="0"/>
      <w:marBottom w:val="0"/>
      <w:divBdr>
        <w:top w:val="none" w:sz="0" w:space="0" w:color="auto"/>
        <w:left w:val="none" w:sz="0" w:space="0" w:color="auto"/>
        <w:bottom w:val="none" w:sz="0" w:space="0" w:color="auto"/>
        <w:right w:val="none" w:sz="0" w:space="0" w:color="auto"/>
      </w:divBdr>
    </w:div>
    <w:div w:id="691146546">
      <w:bodyDiv w:val="1"/>
      <w:marLeft w:val="0"/>
      <w:marRight w:val="0"/>
      <w:marTop w:val="0"/>
      <w:marBottom w:val="0"/>
      <w:divBdr>
        <w:top w:val="none" w:sz="0" w:space="0" w:color="auto"/>
        <w:left w:val="none" w:sz="0" w:space="0" w:color="auto"/>
        <w:bottom w:val="none" w:sz="0" w:space="0" w:color="auto"/>
        <w:right w:val="none" w:sz="0" w:space="0" w:color="auto"/>
      </w:divBdr>
    </w:div>
    <w:div w:id="712729513">
      <w:bodyDiv w:val="1"/>
      <w:marLeft w:val="0"/>
      <w:marRight w:val="0"/>
      <w:marTop w:val="0"/>
      <w:marBottom w:val="0"/>
      <w:divBdr>
        <w:top w:val="none" w:sz="0" w:space="0" w:color="auto"/>
        <w:left w:val="none" w:sz="0" w:space="0" w:color="auto"/>
        <w:bottom w:val="none" w:sz="0" w:space="0" w:color="auto"/>
        <w:right w:val="none" w:sz="0" w:space="0" w:color="auto"/>
      </w:divBdr>
    </w:div>
    <w:div w:id="732585370">
      <w:bodyDiv w:val="1"/>
      <w:marLeft w:val="0"/>
      <w:marRight w:val="0"/>
      <w:marTop w:val="0"/>
      <w:marBottom w:val="0"/>
      <w:divBdr>
        <w:top w:val="none" w:sz="0" w:space="0" w:color="auto"/>
        <w:left w:val="none" w:sz="0" w:space="0" w:color="auto"/>
        <w:bottom w:val="none" w:sz="0" w:space="0" w:color="auto"/>
        <w:right w:val="none" w:sz="0" w:space="0" w:color="auto"/>
      </w:divBdr>
    </w:div>
    <w:div w:id="740908069">
      <w:bodyDiv w:val="1"/>
      <w:marLeft w:val="0"/>
      <w:marRight w:val="0"/>
      <w:marTop w:val="0"/>
      <w:marBottom w:val="0"/>
      <w:divBdr>
        <w:top w:val="none" w:sz="0" w:space="0" w:color="auto"/>
        <w:left w:val="none" w:sz="0" w:space="0" w:color="auto"/>
        <w:bottom w:val="none" w:sz="0" w:space="0" w:color="auto"/>
        <w:right w:val="none" w:sz="0" w:space="0" w:color="auto"/>
      </w:divBdr>
    </w:div>
    <w:div w:id="820342748">
      <w:bodyDiv w:val="1"/>
      <w:marLeft w:val="0"/>
      <w:marRight w:val="0"/>
      <w:marTop w:val="0"/>
      <w:marBottom w:val="0"/>
      <w:divBdr>
        <w:top w:val="none" w:sz="0" w:space="0" w:color="auto"/>
        <w:left w:val="none" w:sz="0" w:space="0" w:color="auto"/>
        <w:bottom w:val="none" w:sz="0" w:space="0" w:color="auto"/>
        <w:right w:val="none" w:sz="0" w:space="0" w:color="auto"/>
      </w:divBdr>
    </w:div>
    <w:div w:id="846095000">
      <w:bodyDiv w:val="1"/>
      <w:marLeft w:val="0"/>
      <w:marRight w:val="0"/>
      <w:marTop w:val="0"/>
      <w:marBottom w:val="0"/>
      <w:divBdr>
        <w:top w:val="none" w:sz="0" w:space="0" w:color="auto"/>
        <w:left w:val="none" w:sz="0" w:space="0" w:color="auto"/>
        <w:bottom w:val="none" w:sz="0" w:space="0" w:color="auto"/>
        <w:right w:val="none" w:sz="0" w:space="0" w:color="auto"/>
      </w:divBdr>
    </w:div>
    <w:div w:id="895625587">
      <w:bodyDiv w:val="1"/>
      <w:marLeft w:val="0"/>
      <w:marRight w:val="0"/>
      <w:marTop w:val="0"/>
      <w:marBottom w:val="0"/>
      <w:divBdr>
        <w:top w:val="none" w:sz="0" w:space="0" w:color="auto"/>
        <w:left w:val="none" w:sz="0" w:space="0" w:color="auto"/>
        <w:bottom w:val="none" w:sz="0" w:space="0" w:color="auto"/>
        <w:right w:val="none" w:sz="0" w:space="0" w:color="auto"/>
      </w:divBdr>
    </w:div>
    <w:div w:id="1006446583">
      <w:bodyDiv w:val="1"/>
      <w:marLeft w:val="0"/>
      <w:marRight w:val="0"/>
      <w:marTop w:val="0"/>
      <w:marBottom w:val="0"/>
      <w:divBdr>
        <w:top w:val="none" w:sz="0" w:space="0" w:color="auto"/>
        <w:left w:val="none" w:sz="0" w:space="0" w:color="auto"/>
        <w:bottom w:val="none" w:sz="0" w:space="0" w:color="auto"/>
        <w:right w:val="none" w:sz="0" w:space="0" w:color="auto"/>
      </w:divBdr>
    </w:div>
    <w:div w:id="1090547370">
      <w:bodyDiv w:val="1"/>
      <w:marLeft w:val="0"/>
      <w:marRight w:val="0"/>
      <w:marTop w:val="0"/>
      <w:marBottom w:val="0"/>
      <w:divBdr>
        <w:top w:val="none" w:sz="0" w:space="0" w:color="auto"/>
        <w:left w:val="none" w:sz="0" w:space="0" w:color="auto"/>
        <w:bottom w:val="none" w:sz="0" w:space="0" w:color="auto"/>
        <w:right w:val="none" w:sz="0" w:space="0" w:color="auto"/>
      </w:divBdr>
    </w:div>
    <w:div w:id="1244335228">
      <w:bodyDiv w:val="1"/>
      <w:marLeft w:val="0"/>
      <w:marRight w:val="0"/>
      <w:marTop w:val="0"/>
      <w:marBottom w:val="0"/>
      <w:divBdr>
        <w:top w:val="none" w:sz="0" w:space="0" w:color="auto"/>
        <w:left w:val="none" w:sz="0" w:space="0" w:color="auto"/>
        <w:bottom w:val="none" w:sz="0" w:space="0" w:color="auto"/>
        <w:right w:val="none" w:sz="0" w:space="0" w:color="auto"/>
      </w:divBdr>
    </w:div>
    <w:div w:id="1332566909">
      <w:bodyDiv w:val="1"/>
      <w:marLeft w:val="0"/>
      <w:marRight w:val="0"/>
      <w:marTop w:val="0"/>
      <w:marBottom w:val="0"/>
      <w:divBdr>
        <w:top w:val="none" w:sz="0" w:space="0" w:color="auto"/>
        <w:left w:val="none" w:sz="0" w:space="0" w:color="auto"/>
        <w:bottom w:val="none" w:sz="0" w:space="0" w:color="auto"/>
        <w:right w:val="none" w:sz="0" w:space="0" w:color="auto"/>
      </w:divBdr>
    </w:div>
    <w:div w:id="1346712274">
      <w:bodyDiv w:val="1"/>
      <w:marLeft w:val="0"/>
      <w:marRight w:val="0"/>
      <w:marTop w:val="0"/>
      <w:marBottom w:val="0"/>
      <w:divBdr>
        <w:top w:val="none" w:sz="0" w:space="0" w:color="auto"/>
        <w:left w:val="none" w:sz="0" w:space="0" w:color="auto"/>
        <w:bottom w:val="none" w:sz="0" w:space="0" w:color="auto"/>
        <w:right w:val="none" w:sz="0" w:space="0" w:color="auto"/>
      </w:divBdr>
    </w:div>
    <w:div w:id="1381712164">
      <w:bodyDiv w:val="1"/>
      <w:marLeft w:val="0"/>
      <w:marRight w:val="0"/>
      <w:marTop w:val="0"/>
      <w:marBottom w:val="0"/>
      <w:divBdr>
        <w:top w:val="none" w:sz="0" w:space="0" w:color="auto"/>
        <w:left w:val="none" w:sz="0" w:space="0" w:color="auto"/>
        <w:bottom w:val="none" w:sz="0" w:space="0" w:color="auto"/>
        <w:right w:val="none" w:sz="0" w:space="0" w:color="auto"/>
      </w:divBdr>
    </w:div>
    <w:div w:id="1388724511">
      <w:bodyDiv w:val="1"/>
      <w:marLeft w:val="0"/>
      <w:marRight w:val="0"/>
      <w:marTop w:val="0"/>
      <w:marBottom w:val="0"/>
      <w:divBdr>
        <w:top w:val="none" w:sz="0" w:space="0" w:color="auto"/>
        <w:left w:val="none" w:sz="0" w:space="0" w:color="auto"/>
        <w:bottom w:val="none" w:sz="0" w:space="0" w:color="auto"/>
        <w:right w:val="none" w:sz="0" w:space="0" w:color="auto"/>
      </w:divBdr>
    </w:div>
    <w:div w:id="1400253217">
      <w:bodyDiv w:val="1"/>
      <w:marLeft w:val="0"/>
      <w:marRight w:val="0"/>
      <w:marTop w:val="0"/>
      <w:marBottom w:val="0"/>
      <w:divBdr>
        <w:top w:val="none" w:sz="0" w:space="0" w:color="auto"/>
        <w:left w:val="none" w:sz="0" w:space="0" w:color="auto"/>
        <w:bottom w:val="none" w:sz="0" w:space="0" w:color="auto"/>
        <w:right w:val="none" w:sz="0" w:space="0" w:color="auto"/>
      </w:divBdr>
    </w:div>
    <w:div w:id="1419669821">
      <w:bodyDiv w:val="1"/>
      <w:marLeft w:val="0"/>
      <w:marRight w:val="0"/>
      <w:marTop w:val="0"/>
      <w:marBottom w:val="0"/>
      <w:divBdr>
        <w:top w:val="none" w:sz="0" w:space="0" w:color="auto"/>
        <w:left w:val="none" w:sz="0" w:space="0" w:color="auto"/>
        <w:bottom w:val="none" w:sz="0" w:space="0" w:color="auto"/>
        <w:right w:val="none" w:sz="0" w:space="0" w:color="auto"/>
      </w:divBdr>
    </w:div>
    <w:div w:id="1465347902">
      <w:bodyDiv w:val="1"/>
      <w:marLeft w:val="0"/>
      <w:marRight w:val="0"/>
      <w:marTop w:val="0"/>
      <w:marBottom w:val="0"/>
      <w:divBdr>
        <w:top w:val="none" w:sz="0" w:space="0" w:color="auto"/>
        <w:left w:val="none" w:sz="0" w:space="0" w:color="auto"/>
        <w:bottom w:val="none" w:sz="0" w:space="0" w:color="auto"/>
        <w:right w:val="none" w:sz="0" w:space="0" w:color="auto"/>
      </w:divBdr>
    </w:div>
    <w:div w:id="1512601200">
      <w:bodyDiv w:val="1"/>
      <w:marLeft w:val="0"/>
      <w:marRight w:val="0"/>
      <w:marTop w:val="0"/>
      <w:marBottom w:val="0"/>
      <w:divBdr>
        <w:top w:val="none" w:sz="0" w:space="0" w:color="auto"/>
        <w:left w:val="none" w:sz="0" w:space="0" w:color="auto"/>
        <w:bottom w:val="none" w:sz="0" w:space="0" w:color="auto"/>
        <w:right w:val="none" w:sz="0" w:space="0" w:color="auto"/>
      </w:divBdr>
    </w:div>
    <w:div w:id="1515539009">
      <w:bodyDiv w:val="1"/>
      <w:marLeft w:val="0"/>
      <w:marRight w:val="0"/>
      <w:marTop w:val="0"/>
      <w:marBottom w:val="0"/>
      <w:divBdr>
        <w:top w:val="none" w:sz="0" w:space="0" w:color="auto"/>
        <w:left w:val="none" w:sz="0" w:space="0" w:color="auto"/>
        <w:bottom w:val="none" w:sz="0" w:space="0" w:color="auto"/>
        <w:right w:val="none" w:sz="0" w:space="0" w:color="auto"/>
      </w:divBdr>
    </w:div>
    <w:div w:id="1569344706">
      <w:bodyDiv w:val="1"/>
      <w:marLeft w:val="0"/>
      <w:marRight w:val="0"/>
      <w:marTop w:val="0"/>
      <w:marBottom w:val="0"/>
      <w:divBdr>
        <w:top w:val="none" w:sz="0" w:space="0" w:color="auto"/>
        <w:left w:val="none" w:sz="0" w:space="0" w:color="auto"/>
        <w:bottom w:val="none" w:sz="0" w:space="0" w:color="auto"/>
        <w:right w:val="none" w:sz="0" w:space="0" w:color="auto"/>
      </w:divBdr>
    </w:div>
    <w:div w:id="1676416651">
      <w:bodyDiv w:val="1"/>
      <w:marLeft w:val="0"/>
      <w:marRight w:val="0"/>
      <w:marTop w:val="0"/>
      <w:marBottom w:val="0"/>
      <w:divBdr>
        <w:top w:val="none" w:sz="0" w:space="0" w:color="auto"/>
        <w:left w:val="none" w:sz="0" w:space="0" w:color="auto"/>
        <w:bottom w:val="none" w:sz="0" w:space="0" w:color="auto"/>
        <w:right w:val="none" w:sz="0" w:space="0" w:color="auto"/>
      </w:divBdr>
    </w:div>
    <w:div w:id="1684240599">
      <w:bodyDiv w:val="1"/>
      <w:marLeft w:val="0"/>
      <w:marRight w:val="0"/>
      <w:marTop w:val="0"/>
      <w:marBottom w:val="0"/>
      <w:divBdr>
        <w:top w:val="none" w:sz="0" w:space="0" w:color="auto"/>
        <w:left w:val="none" w:sz="0" w:space="0" w:color="auto"/>
        <w:bottom w:val="none" w:sz="0" w:space="0" w:color="auto"/>
        <w:right w:val="none" w:sz="0" w:space="0" w:color="auto"/>
      </w:divBdr>
    </w:div>
    <w:div w:id="1754207585">
      <w:bodyDiv w:val="1"/>
      <w:marLeft w:val="0"/>
      <w:marRight w:val="0"/>
      <w:marTop w:val="0"/>
      <w:marBottom w:val="0"/>
      <w:divBdr>
        <w:top w:val="none" w:sz="0" w:space="0" w:color="auto"/>
        <w:left w:val="none" w:sz="0" w:space="0" w:color="auto"/>
        <w:bottom w:val="none" w:sz="0" w:space="0" w:color="auto"/>
        <w:right w:val="none" w:sz="0" w:space="0" w:color="auto"/>
      </w:divBdr>
    </w:div>
    <w:div w:id="1860971926">
      <w:bodyDiv w:val="1"/>
      <w:marLeft w:val="0"/>
      <w:marRight w:val="0"/>
      <w:marTop w:val="0"/>
      <w:marBottom w:val="0"/>
      <w:divBdr>
        <w:top w:val="none" w:sz="0" w:space="0" w:color="auto"/>
        <w:left w:val="none" w:sz="0" w:space="0" w:color="auto"/>
        <w:bottom w:val="none" w:sz="0" w:space="0" w:color="auto"/>
        <w:right w:val="none" w:sz="0" w:space="0" w:color="auto"/>
      </w:divBdr>
    </w:div>
    <w:div w:id="1882522368">
      <w:bodyDiv w:val="1"/>
      <w:marLeft w:val="0"/>
      <w:marRight w:val="0"/>
      <w:marTop w:val="0"/>
      <w:marBottom w:val="0"/>
      <w:divBdr>
        <w:top w:val="none" w:sz="0" w:space="0" w:color="auto"/>
        <w:left w:val="none" w:sz="0" w:space="0" w:color="auto"/>
        <w:bottom w:val="none" w:sz="0" w:space="0" w:color="auto"/>
        <w:right w:val="none" w:sz="0" w:space="0" w:color="auto"/>
      </w:divBdr>
    </w:div>
    <w:div w:id="1966811972">
      <w:bodyDiv w:val="1"/>
      <w:marLeft w:val="0"/>
      <w:marRight w:val="0"/>
      <w:marTop w:val="0"/>
      <w:marBottom w:val="0"/>
      <w:divBdr>
        <w:top w:val="none" w:sz="0" w:space="0" w:color="auto"/>
        <w:left w:val="none" w:sz="0" w:space="0" w:color="auto"/>
        <w:bottom w:val="none" w:sz="0" w:space="0" w:color="auto"/>
        <w:right w:val="none" w:sz="0" w:space="0" w:color="auto"/>
      </w:divBdr>
    </w:div>
    <w:div w:id="1971011681">
      <w:bodyDiv w:val="1"/>
      <w:marLeft w:val="0"/>
      <w:marRight w:val="0"/>
      <w:marTop w:val="0"/>
      <w:marBottom w:val="0"/>
      <w:divBdr>
        <w:top w:val="none" w:sz="0" w:space="0" w:color="auto"/>
        <w:left w:val="none" w:sz="0" w:space="0" w:color="auto"/>
        <w:bottom w:val="none" w:sz="0" w:space="0" w:color="auto"/>
        <w:right w:val="none" w:sz="0" w:space="0" w:color="auto"/>
      </w:divBdr>
    </w:div>
    <w:div w:id="2056270332">
      <w:bodyDiv w:val="1"/>
      <w:marLeft w:val="0"/>
      <w:marRight w:val="0"/>
      <w:marTop w:val="0"/>
      <w:marBottom w:val="0"/>
      <w:divBdr>
        <w:top w:val="none" w:sz="0" w:space="0" w:color="auto"/>
        <w:left w:val="none" w:sz="0" w:space="0" w:color="auto"/>
        <w:bottom w:val="none" w:sz="0" w:space="0" w:color="auto"/>
        <w:right w:val="none" w:sz="0" w:space="0" w:color="auto"/>
      </w:divBdr>
    </w:div>
    <w:div w:id="2062558280">
      <w:bodyDiv w:val="1"/>
      <w:marLeft w:val="0"/>
      <w:marRight w:val="0"/>
      <w:marTop w:val="0"/>
      <w:marBottom w:val="0"/>
      <w:divBdr>
        <w:top w:val="none" w:sz="0" w:space="0" w:color="auto"/>
        <w:left w:val="none" w:sz="0" w:space="0" w:color="auto"/>
        <w:bottom w:val="none" w:sz="0" w:space="0" w:color="auto"/>
        <w:right w:val="none" w:sz="0" w:space="0" w:color="auto"/>
      </w:divBdr>
    </w:div>
    <w:div w:id="2069957685">
      <w:bodyDiv w:val="1"/>
      <w:marLeft w:val="0"/>
      <w:marRight w:val="0"/>
      <w:marTop w:val="0"/>
      <w:marBottom w:val="0"/>
      <w:divBdr>
        <w:top w:val="none" w:sz="0" w:space="0" w:color="auto"/>
        <w:left w:val="none" w:sz="0" w:space="0" w:color="auto"/>
        <w:bottom w:val="none" w:sz="0" w:space="0" w:color="auto"/>
        <w:right w:val="none" w:sz="0" w:space="0" w:color="auto"/>
      </w:divBdr>
    </w:div>
    <w:div w:id="2112817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japan.go.jp/g7/_userdata/common/data/20160517communique.pdf" TargetMode="External"/><Relationship Id="rId1" Type="http://schemas.openxmlformats.org/officeDocument/2006/relationships/hyperlink" Target="https://www.cbd.int/decision/cop/default.shtml?id=133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4F94F-1C49-4019-A20E-425F5BDB9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19</Pages>
  <Words>7125</Words>
  <Characters>40614</Characters>
  <Application>Microsoft Office Word</Application>
  <DocSecurity>0</DocSecurity>
  <Lines>338</Lines>
  <Paragraphs>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47644</CharactersWithSpaces>
  <SharedDoc>false</SharedDoc>
  <HLinks>
    <vt:vector size="48" baseType="variant">
      <vt:variant>
        <vt:i4>4522061</vt:i4>
      </vt:variant>
      <vt:variant>
        <vt:i4>0</vt:i4>
      </vt:variant>
      <vt:variant>
        <vt:i4>0</vt:i4>
      </vt:variant>
      <vt:variant>
        <vt:i4>5</vt:i4>
      </vt:variant>
      <vt:variant>
        <vt:lpwstr>http://pages.au.int/maritime</vt:lpwstr>
      </vt:variant>
      <vt:variant>
        <vt:lpwstr/>
      </vt:variant>
      <vt:variant>
        <vt:i4>2162751</vt:i4>
      </vt:variant>
      <vt:variant>
        <vt:i4>18</vt:i4>
      </vt:variant>
      <vt:variant>
        <vt:i4>0</vt:i4>
      </vt:variant>
      <vt:variant>
        <vt:i4>5</vt:i4>
      </vt:variant>
      <vt:variant>
        <vt:lpwstr>http://dx.doi.org/10.1787/9789264251724-en</vt:lpwstr>
      </vt:variant>
      <vt:variant>
        <vt:lpwstr/>
      </vt:variant>
      <vt:variant>
        <vt:i4>3670108</vt:i4>
      </vt:variant>
      <vt:variant>
        <vt:i4>15</vt:i4>
      </vt:variant>
      <vt:variant>
        <vt:i4>0</vt:i4>
      </vt:variant>
      <vt:variant>
        <vt:i4>5</vt:i4>
      </vt:variant>
      <vt:variant>
        <vt:lpwstr>http://www.japan.go.jp/g7/_userdata/common/data/20160517communique.pdf</vt:lpwstr>
      </vt:variant>
      <vt:variant>
        <vt:lpwstr/>
      </vt:variant>
      <vt:variant>
        <vt:i4>2162751</vt:i4>
      </vt:variant>
      <vt:variant>
        <vt:i4>12</vt:i4>
      </vt:variant>
      <vt:variant>
        <vt:i4>0</vt:i4>
      </vt:variant>
      <vt:variant>
        <vt:i4>5</vt:i4>
      </vt:variant>
      <vt:variant>
        <vt:lpwstr>http://dx.doi.org/10.1787/9789264251724-en</vt:lpwstr>
      </vt:variant>
      <vt:variant>
        <vt:lpwstr/>
      </vt:variant>
      <vt:variant>
        <vt:i4>3735664</vt:i4>
      </vt:variant>
      <vt:variant>
        <vt:i4>9</vt:i4>
      </vt:variant>
      <vt:variant>
        <vt:i4>0</vt:i4>
      </vt:variant>
      <vt:variant>
        <vt:i4>5</vt:i4>
      </vt:variant>
      <vt:variant>
        <vt:lpwstr>http://eur-lex.europa.eu/legal-content/EN/TXT/?uri=COM:2015:636:FIN</vt:lpwstr>
      </vt:variant>
      <vt:variant>
        <vt:lpwstr/>
      </vt:variant>
      <vt:variant>
        <vt:i4>4194381</vt:i4>
      </vt:variant>
      <vt:variant>
        <vt:i4>6</vt:i4>
      </vt:variant>
      <vt:variant>
        <vt:i4>0</vt:i4>
      </vt:variant>
      <vt:variant>
        <vt:i4>5</vt:i4>
      </vt:variant>
      <vt:variant>
        <vt:lpwstr>http://www.ellenmacarthurfoundation.org/publications</vt:lpwstr>
      </vt:variant>
      <vt:variant>
        <vt:lpwstr/>
      </vt:variant>
      <vt:variant>
        <vt:i4>2162751</vt:i4>
      </vt:variant>
      <vt:variant>
        <vt:i4>3</vt:i4>
      </vt:variant>
      <vt:variant>
        <vt:i4>0</vt:i4>
      </vt:variant>
      <vt:variant>
        <vt:i4>5</vt:i4>
      </vt:variant>
      <vt:variant>
        <vt:lpwstr>http://dx.doi.org/10.1787/9789264251724-en</vt:lpwstr>
      </vt:variant>
      <vt:variant>
        <vt:lpwstr/>
      </vt:variant>
      <vt:variant>
        <vt:i4>1376343</vt:i4>
      </vt:variant>
      <vt:variant>
        <vt:i4>0</vt:i4>
      </vt:variant>
      <vt:variant>
        <vt:i4>0</vt:i4>
      </vt:variant>
      <vt:variant>
        <vt:i4>5</vt:i4>
      </vt:variant>
      <vt:variant>
        <vt:lpwstr>http://ec.europa.eu/dgs/maritimeaffairs_fisheries/consultations/ocean-governance/doc/ocean-governance-summary_en.pdf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26</cp:revision>
  <cp:lastPrinted>2016-11-09T11:47:00Z</cp:lastPrinted>
  <dcterms:created xsi:type="dcterms:W3CDTF">2016-10-27T13:20:00Z</dcterms:created>
  <dcterms:modified xsi:type="dcterms:W3CDTF">2016-11-10T10:45:00Z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