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Pagedecouverture"/>
        <w:rPr>
          <w:noProof/>
        </w:rPr>
      </w:pPr>
      <w:bookmarkStart w:id="0" w:name="LW_BM_COVERPAGE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alt="4110630E0FE44754A45CC9C3D8375605" style="width:451pt;height:347.9pt">
            <v:imagedata r:id="rId9" o:title=""/>
          </v:shape>
        </w:pict>
      </w:r>
    </w:p>
    <w:bookmarkEnd w:id="0"/>
    <w:p>
      <w:pPr>
        <w:rPr>
          <w:rFonts w:ascii="Times New Roman" w:hAnsi="Times New Roman" w:cs="Times New Roman"/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417" w:bottom="1134" w:left="1417" w:header="709" w:footer="709" w:gutter="0"/>
          <w:pgNumType w:start="1"/>
          <w:cols w:space="720"/>
          <w:docGrid w:linePitch="360"/>
        </w:sectPr>
      </w:pPr>
    </w:p>
    <w:p>
      <w:pPr>
        <w:pStyle w:val="ListParagraph"/>
        <w:keepNext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smallCaps/>
          <w:noProof/>
          <w:sz w:val="24"/>
        </w:rPr>
        <w:lastRenderedPageBreak/>
        <w:t>Wprowadzenie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Sektor transportu czeka gruntowna zmiana, zarówno w Europie, jak i w innych częściach świata. Fala innowacji technologicznych i przełomowych modeli biznesowych doprowadziła do rosnącego zapotrzebowania na nowe usługi w zakresie mobilności. Jednocześnie sektor reaguje na niecierpiącą zwłoki konieczność zwiększenia bezpieczeństwa, efektywności i trwałości transportu. Wynikające z tego przemiany stwarzają ogromne możliwości społeczne i gospodarcze, które Europa musi teraz wykorzystać, aby zapewnić korzyści dla obywateli i przedsiębiorstw.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Technologie cyfrowe umożliwiają i pobudzają ten proces, być może w największym stopniu. Dzięki wymianie danych między różnymi podmiotami w systemie transportowym popyt i podaż można dopasowywać w czasie rzeczywistym, co skutkuje bardziej efektywnym wykorzystaniem zasobów, niezależnie od tego, czy chodzi o wspólny samochód, kontener czy sieć kolejową. Technologie cyfrowe przyczyniają się do ograniczenia błędów ludzkich, które są zdecydowanie najważniejszą przyczyną wypadków w transporcie. Mogą też spowodować powstanie prawdziwie multimodalnego systemu transportowego, łączącego wszystkie rodzaje transportu w jedną usługę w zakresie mobilności i umożliwiającego sprawny przewóz ludzi i ładunków „od drzwi do drzwi”. Mogą one również pobudzać innowacje społeczne i zapewnić mobilność wszystkim, przy czym pojawiają się nowe podmioty i nowe formy tworzenia wartości, na przykład gospodarka dzielenia się.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Potencjał technologii cyfrowych i powiązanych z nimi modeli biznesowych w transporcie drogowym jest znaczny, podobnie jak potrzeba działania. Nastąpiło spowolnienie stałej i pozytywnej tendencji w zakresie bezpieczeństwa ruchu drogowego obserwowanej w UE w ostatnim dziesięcioleciu. Transport drogowy jest wciąż odpowiedzialny za ogromną ilość emisji transportowych, w ujęciu emisji gazów cieplarnianych i czynników zanieczyszczenia powietrza</w:t>
      </w:r>
      <w:r>
        <w:rPr>
          <w:rStyle w:val="FootnoteReference"/>
          <w:rFonts w:ascii="Times New Roman" w:hAnsi="Times New Roman"/>
          <w:noProof/>
          <w:sz w:val="24"/>
        </w:rPr>
        <w:footnoteReference w:id="1"/>
      </w:r>
      <w:r>
        <w:rPr>
          <w:rFonts w:ascii="Times New Roman" w:hAnsi="Times New Roman"/>
          <w:noProof/>
          <w:sz w:val="24"/>
          <w:vertAlign w:val="superscript"/>
        </w:rPr>
        <w:t>,</w:t>
      </w:r>
      <w:bookmarkStart w:id="2" w:name="_Ref464146642"/>
      <w:r>
        <w:rPr>
          <w:rStyle w:val="FootnoteReference"/>
          <w:rFonts w:ascii="Times New Roman" w:hAnsi="Times New Roman"/>
          <w:noProof/>
          <w:sz w:val="24"/>
        </w:rPr>
        <w:footnoteReference w:id="2"/>
      </w:r>
      <w:bookmarkEnd w:id="2"/>
      <w:r>
        <w:rPr>
          <w:rFonts w:ascii="Times New Roman" w:hAnsi="Times New Roman"/>
          <w:noProof/>
          <w:sz w:val="24"/>
        </w:rPr>
        <w:t>. Codziennie zatłoczone drogi stanowią ogromny koszt dla gospodarki UE</w:t>
      </w:r>
      <w:r>
        <w:rPr>
          <w:rStyle w:val="FootnoteReference"/>
          <w:rFonts w:ascii="Times New Roman" w:hAnsi="Times New Roman"/>
          <w:noProof/>
          <w:sz w:val="24"/>
        </w:rPr>
        <w:footnoteReference w:id="3"/>
      </w:r>
      <w:r>
        <w:rPr>
          <w:rFonts w:ascii="Times New Roman" w:hAnsi="Times New Roman"/>
          <w:noProof/>
          <w:sz w:val="24"/>
        </w:rPr>
        <w:t>. Jako że miejsca pracy milionów Europejczyków zależą bezpośrednio lub pośrednio od przemysłu motoryzacyjnego i transportowego, zasadnicze znaczenie ma zapewnienie w tym sektorze warunków umożliwiających mu pozostanie światowym liderem.</w:t>
      </w:r>
    </w:p>
    <w:p>
      <w:pPr>
        <w:spacing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Niniejszy komunikat jest zatem ściśle związany z priorytetami polityki Komisji, w szczególności jej agendą na rzecz zatrudnienia, wzrostu i inwestycji, jednolitym rynkiem cyfrowym i strategią na rzecz unii energetycznej</w:t>
      </w:r>
      <w:r>
        <w:rPr>
          <w:rStyle w:val="FootnoteReference"/>
          <w:rFonts w:ascii="Times New Roman" w:hAnsi="Times New Roman"/>
          <w:noProof/>
        </w:rPr>
        <w:footnoteReference w:id="4"/>
      </w:r>
      <w:r>
        <w:rPr>
          <w:rFonts w:ascii="Times New Roman" w:hAnsi="Times New Roman"/>
          <w:noProof/>
          <w:sz w:val="24"/>
        </w:rPr>
        <w:t>. W Europejskiej strategii na rzecz mobilności niskoemisyjnej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begin" w:fldLock="1"/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instrText xml:space="preserve"> NOTEREF _Ref464146642 \h  \* MERGEFORMAT </w:instrTex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noProof/>
          <w:sz w:val="24"/>
          <w:szCs w:val="24"/>
          <w:vertAlign w:val="superscript"/>
        </w:rPr>
        <w:fldChar w:fldCharType="end"/>
      </w:r>
      <w:r>
        <w:rPr>
          <w:rFonts w:ascii="Times New Roman" w:hAnsi="Times New Roman"/>
          <w:noProof/>
          <w:sz w:val="24"/>
        </w:rPr>
        <w:t>, przyjętej w lipcu 2016 r., podkreśla się potencjał pojazdów współpracujących, połączonych i zautomatyzowanych w zakresie zmniejszenia zużycia energii i emisji pochodzących z transportu. W strategii cyfryzacji europejskiego przemysłu</w:t>
      </w:r>
      <w:r>
        <w:rPr>
          <w:rStyle w:val="FootnoteReference"/>
          <w:rFonts w:ascii="Times New Roman" w:hAnsi="Times New Roman"/>
          <w:noProof/>
        </w:rPr>
        <w:footnoteReference w:id="5"/>
      </w:r>
      <w:r>
        <w:rPr>
          <w:rFonts w:ascii="Times New Roman" w:hAnsi="Times New Roman"/>
          <w:noProof/>
          <w:sz w:val="24"/>
        </w:rPr>
        <w:t xml:space="preserve"> wskazano pojazdy współpracujące, połączone i zautomatyzowane jako temat priorytetowy w kontekście zwiększenia konkurencyjności europejskiego przemysłu. W przeprowadzanych badaniach wartość potencjału rynkowego związanego z pojazdami współpracującymi, połączonymi i zautomatyzowanymi szacuje się na dziesiątki miliardów euro rocznie, a nowe miejsca pracy można liczyć w setkach tysięcy</w:t>
      </w:r>
      <w:r>
        <w:rPr>
          <w:rStyle w:val="FootnoteReference"/>
          <w:rFonts w:ascii="Times New Roman" w:hAnsi="Times New Roman"/>
          <w:noProof/>
        </w:rPr>
        <w:footnoteReference w:id="6"/>
      </w:r>
      <w:r>
        <w:rPr>
          <w:rFonts w:ascii="Times New Roman" w:hAnsi="Times New Roman"/>
          <w:noProof/>
          <w:sz w:val="24"/>
        </w:rPr>
        <w:t>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Dzisiejsze pojazdy są już pod wieloma względami urządzeniami połączonymi. W niedalekiej przyszłości będą one jednak również współdziałać bezpośrednio z innymi pojazdami oraz z infrastrukturą drogową. To współdziałanie jest domeną współpracujących inteligentnych systemów transportowych (C-ITS), które umożliwią użytkownikom dróg i zarządzającym ruchem wymianę i wykorzystywanie wcześniej niedostępnych informacji  oraz koordynowanie ich działań. Przewiduje się, że ten element współpracy</w:t>
      </w:r>
      <w:r>
        <w:rPr>
          <w:rStyle w:val="FootnoteReference"/>
          <w:rFonts w:ascii="Times New Roman" w:hAnsi="Times New Roman"/>
          <w:noProof/>
          <w:sz w:val="24"/>
        </w:rPr>
        <w:footnoteReference w:id="7"/>
      </w:r>
      <w:r>
        <w:rPr>
          <w:rFonts w:ascii="Times New Roman" w:hAnsi="Times New Roman"/>
          <w:noProof/>
          <w:sz w:val="24"/>
        </w:rPr>
        <w:t xml:space="preserve"> – możliwy dzięki łączności cyfrowej – znacznie poprawi bezpieczeństwo ruchu drogowego, jego efektywność oraz komfort jazdy, poprzez pomoc kierowcy w podejmowaniu właściwych decyzji i dostosowaniu się do sytuacji na drodze.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Komunikacja między pojazdami, infrastrukturą oraz z innymi użytkownikami dróg jest niezbędna także w celu zwiększenia bezpieczeństwa zautomatyzowanych pojazdów i ich pełnej integracji z całym systemem transportowym. Współpraca, łączność i automatyzacja nie tylko uzupełniają się technologicznie, ale wzmacniają się wzajemnie, a z czasem całkowicie się scalą. Dobrym przykładem jest </w:t>
      </w:r>
      <w:r>
        <w:rPr>
          <w:rFonts w:ascii="Times New Roman" w:hAnsi="Times New Roman"/>
          <w:i/>
          <w:noProof/>
          <w:sz w:val="24"/>
        </w:rPr>
        <w:t>platooning</w:t>
      </w:r>
      <w:r>
        <w:rPr>
          <w:rFonts w:ascii="Times New Roman" w:hAnsi="Times New Roman"/>
          <w:noProof/>
          <w:sz w:val="24"/>
        </w:rPr>
        <w:t xml:space="preserve"> (jazda w kolumnie ciężarówek komunikujących się, aby automatycznie i bezpiecznie podążać za sobą w bardzo niewielkiej odległości); aby ta metoda zadziałała, konieczne jest scalenie łączności, współpracy i automatyzacji. Natomiast współpraca będzie jeszcze bardziej potrzebna, gdy w przyszłości pojazdy zautomatyzowane będą musiały rozwiązywać znacznie bardziej skomplikowane problemy na drodze w sposób bezpieczny i efektywny.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Państwa na całym świecie (np. USA, Australia, Japonia, Korea i Chiny) w szybkim tempie wdrażają technologie cyfrowe, a w niektórych z nich pojazdy i usługi C-ITS są już dostępne na rynku. Ministrowie transportu państw grupy G7</w:t>
      </w:r>
      <w:r>
        <w:rPr>
          <w:rStyle w:val="FootnoteReference"/>
          <w:rFonts w:ascii="Times New Roman" w:hAnsi="Times New Roman"/>
          <w:noProof/>
          <w:sz w:val="24"/>
        </w:rPr>
        <w:footnoteReference w:id="8"/>
      </w:r>
      <w:r>
        <w:rPr>
          <w:rFonts w:ascii="Times New Roman" w:hAnsi="Times New Roman"/>
          <w:noProof/>
          <w:sz w:val="24"/>
        </w:rPr>
        <w:t xml:space="preserve"> wielokrotnie podkreślali potrzebę działania. Niektóre państwa członkowskie rozpoczęły działania w warunkach rzeczywistych na rzecz wdrażania C-ITS poprzez strategiczne sojusze, takie jak unijny korytarz współpracy</w:t>
      </w:r>
      <w:r>
        <w:rPr>
          <w:rStyle w:val="FootnoteReference"/>
          <w:rFonts w:ascii="Times New Roman" w:hAnsi="Times New Roman"/>
          <w:noProof/>
          <w:sz w:val="24"/>
        </w:rPr>
        <w:footnoteReference w:id="9"/>
      </w:r>
      <w:r>
        <w:rPr>
          <w:rFonts w:ascii="Times New Roman" w:hAnsi="Times New Roman"/>
          <w:noProof/>
          <w:sz w:val="24"/>
        </w:rPr>
        <w:t xml:space="preserve"> łączący Rotterdam z Frankfurtem i Wiedniem czy grupa amsterdamska</w:t>
      </w:r>
      <w:r>
        <w:rPr>
          <w:rStyle w:val="FootnoteReference"/>
          <w:rFonts w:ascii="Times New Roman" w:hAnsi="Times New Roman"/>
          <w:noProof/>
          <w:sz w:val="24"/>
        </w:rPr>
        <w:footnoteReference w:id="10"/>
      </w:r>
      <w:r>
        <w:rPr>
          <w:rFonts w:ascii="Times New Roman" w:hAnsi="Times New Roman"/>
          <w:noProof/>
          <w:sz w:val="24"/>
        </w:rPr>
        <w:t xml:space="preserve">. W </w:t>
      </w:r>
      <w:r>
        <w:rPr>
          <w:rStyle w:val="s1"/>
          <w:rFonts w:ascii="Times New Roman" w:hAnsi="Times New Roman"/>
          <w:noProof/>
          <w:sz w:val="24"/>
        </w:rPr>
        <w:t>Strategii kosmicznej dla Europy</w:t>
      </w:r>
      <w:bookmarkStart w:id="3" w:name="_Ref465865070"/>
      <w:r>
        <w:rPr>
          <w:rStyle w:val="FootnoteReference"/>
          <w:rFonts w:ascii="Times New Roman" w:hAnsi="Times New Roman"/>
          <w:noProof/>
          <w:sz w:val="24"/>
        </w:rPr>
        <w:footnoteReference w:id="11"/>
      </w:r>
      <w:bookmarkEnd w:id="3"/>
      <w:r>
        <w:rPr>
          <w:rStyle w:val="s1"/>
          <w:rFonts w:ascii="Times New Roman" w:hAnsi="Times New Roman"/>
          <w:noProof/>
          <w:sz w:val="24"/>
        </w:rPr>
        <w:t xml:space="preserve"> podkreślono konieczność zachęcania do wprowadzania technologii kosmicznych do strategii w zakresie samochodów połączonych, </w:t>
      </w:r>
      <w:r>
        <w:rPr>
          <w:rFonts w:ascii="Times New Roman" w:hAnsi="Times New Roman"/>
          <w:noProof/>
          <w:sz w:val="24"/>
        </w:rPr>
        <w:t>przy jednoczesnym czerpaniu korzyści w szczególności z użycia systemów GALILEO i EGNOS.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deklaracji z Amsterdamu</w:t>
      </w:r>
      <w:r>
        <w:rPr>
          <w:rStyle w:val="FootnoteReference"/>
          <w:rFonts w:ascii="Times New Roman" w:hAnsi="Times New Roman"/>
          <w:noProof/>
          <w:sz w:val="24"/>
        </w:rPr>
        <w:footnoteReference w:id="12"/>
      </w:r>
      <w:r>
        <w:rPr>
          <w:rFonts w:ascii="Times New Roman" w:hAnsi="Times New Roman"/>
          <w:noProof/>
          <w:sz w:val="24"/>
        </w:rPr>
        <w:t xml:space="preserve"> z kwietnia 2016 r. europejscy ministrowie transportu wezwali Komisję Europejską do opracowania europejskiej strategii na rzecz współpracujących, połączonych i zautomatyzowanych pojazdów. Co równie istotne, przedstawiciele przemysłu wyrazili zamiar rozpoczęcia w 2019 r. pełnego wdrażania pojazdów funkcjonujących w C-ITS.</w:t>
      </w:r>
      <w:r>
        <w:rPr>
          <w:rFonts w:ascii="Times New Roman" w:hAnsi="Times New Roman"/>
          <w:noProof/>
          <w:sz w:val="24"/>
          <w:vertAlign w:val="superscript"/>
        </w:rPr>
        <w:footnoteReference w:id="13"/>
      </w:r>
      <w:r>
        <w:rPr>
          <w:rFonts w:ascii="Times New Roman" w:hAnsi="Times New Roman"/>
          <w:noProof/>
          <w:sz w:val="24"/>
        </w:rPr>
        <w:t xml:space="preserve"> Aby się tak jednak stało, natychmiast należy wprowadzać koordynację na poziomie europejskim.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Wskutek szybko rozwijającej się technologii i inwestowania przez sektor publiczny i sektor prywatny znacznych kwot w tworzenie i testowanie technologii C-ITS istnieje ryzyko, że bez ram na szczeblu europejskim nie zostanie osiągnięta na czas interoperacyjność w całej UE. To doprowadziłoby do niekorzystnej pozycji europejskiego przemysłu w stosunku jego konkurentów i opóźniłoby wdrożenie C-ITS w Europie, a tym samym opóźniłoby wiele korzyści w odniesieniu do transportu i ogółu społeczeństwa.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niniejszym komunikacie przedstawiono strategię UE na rzecz skoordynowanego wdrażania C-ITS w celu uniknięcia rozdrobnienia rynku wewnętrznego w obszarze C-ITS i stworzenia synergii między różnymi inicjatywami. Odnosi się on do najbardziej zasadniczych kwestii, w tym bezpieczeństwa cybernetycznego, ochrony danych (zagadnień szczególnie ważnych w kontekście akceptacji społecznej) i interoperacyjności oraz zawiera zalecenia dotyczące działań na różnych poziomach, tak aby dotrzymać docelowego terminu w 2019 r. Tym samym niniejszy komunikat stanowi ważny element strategii UE w sprawie pojazdów współpracujących, połączonych i zautomatyzowanych.</w:t>
      </w:r>
    </w:p>
    <w:p>
      <w:pPr>
        <w:pStyle w:val="ListParagraph"/>
        <w:keepNext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Działania europejskie w celu umożliwienia wdrożenia mobilności pojazdów współpracujących, połączonych i zautomatyzowanych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Niniejszy komunikat jest efektem intensywnych prac z ekspertami z sektora publicznego i prywatnego. Od listopada 2014 r. Komisja prowadzi platformę C-ITS</w:t>
      </w:r>
      <w:r>
        <w:rPr>
          <w:rStyle w:val="FootnoteReference"/>
          <w:rFonts w:ascii="Times New Roman" w:hAnsi="Times New Roman"/>
          <w:noProof/>
          <w:sz w:val="24"/>
        </w:rPr>
        <w:footnoteReference w:id="14"/>
      </w:r>
      <w:r>
        <w:rPr>
          <w:rFonts w:ascii="Times New Roman" w:hAnsi="Times New Roman"/>
          <w:noProof/>
          <w:sz w:val="24"/>
        </w:rPr>
        <w:t xml:space="preserve"> mającą na celu określenie pozostałych barier i zaproponowanie rozwiązań w zakresie wdrożenia C-ITS w Europie. Pierwszy etap platformy C-ITS zakończył się ekspertyzą</w:t>
      </w:r>
      <w:r>
        <w:rPr>
          <w:rStyle w:val="FootnoteReference"/>
          <w:rFonts w:ascii="Times New Roman" w:hAnsi="Times New Roman"/>
          <w:noProof/>
          <w:sz w:val="24"/>
        </w:rPr>
        <w:footnoteReference w:id="15"/>
      </w:r>
      <w:r>
        <w:rPr>
          <w:rFonts w:ascii="Times New Roman" w:hAnsi="Times New Roman"/>
          <w:noProof/>
          <w:sz w:val="24"/>
        </w:rPr>
        <w:t>, popartą jednomyślnie przez uczestników platformy w styczniu 2016 r. Ekspertyza została uzupełniona analizą kosztów i korzyści</w:t>
      </w:r>
      <w:bookmarkStart w:id="4" w:name="_Ref465896810"/>
      <w:r>
        <w:rPr>
          <w:rStyle w:val="FootnoteReference"/>
          <w:rFonts w:ascii="Times New Roman" w:hAnsi="Times New Roman"/>
          <w:noProof/>
          <w:sz w:val="24"/>
        </w:rPr>
        <w:footnoteReference w:id="16"/>
      </w:r>
      <w:bookmarkEnd w:id="4"/>
      <w:r>
        <w:rPr>
          <w:rStyle w:val="FootnoteReference"/>
          <w:rFonts w:ascii="Times New Roman" w:hAnsi="Times New Roman"/>
          <w:noProof/>
          <w:sz w:val="24"/>
        </w:rPr>
        <w:t xml:space="preserve"> </w:t>
      </w:r>
      <w:r>
        <w:rPr>
          <w:rFonts w:ascii="Times New Roman" w:hAnsi="Times New Roman"/>
          <w:noProof/>
          <w:sz w:val="24"/>
        </w:rPr>
        <w:t>oraz konsultacjami społecznymi</w:t>
      </w:r>
      <w:r>
        <w:rPr>
          <w:rStyle w:val="FootnoteReference"/>
          <w:rFonts w:ascii="Times New Roman" w:hAnsi="Times New Roman"/>
          <w:noProof/>
          <w:sz w:val="24"/>
        </w:rPr>
        <w:footnoteReference w:id="17"/>
      </w:r>
      <w:r>
        <w:rPr>
          <w:rFonts w:ascii="Times New Roman" w:hAnsi="Times New Roman"/>
          <w:noProof/>
          <w:sz w:val="24"/>
        </w:rPr>
        <w:t>, które wspólnie stanowiły podstawę sporządzenia niniejszego komunikatu. W międzyczasie, w lipcu 2016 r. platforma C-ITS weszła w drugi etap.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UE udostępniła już znaczne środki</w:t>
      </w:r>
      <w:r>
        <w:rPr>
          <w:rStyle w:val="FootnoteReference"/>
          <w:rFonts w:ascii="Times New Roman" w:hAnsi="Times New Roman"/>
          <w:noProof/>
          <w:sz w:val="24"/>
        </w:rPr>
        <w:footnoteReference w:id="18"/>
      </w:r>
      <w:r>
        <w:rPr>
          <w:rFonts w:ascii="Times New Roman" w:hAnsi="Times New Roman"/>
          <w:noProof/>
          <w:sz w:val="24"/>
        </w:rPr>
        <w:t xml:space="preserve"> na pojazdy współpracujące, połączone i zautomatyzowane. Przez ponad 15 lat projekty badawcze i wdrożeniowe wykazały wykonalność usług C-ITS. Niedawno w ramach programu „Horyzont 2020” w badaniach nad inteligentnymi systemami transportowymi przesunięto punkt ciężkości na integrację różnych środków transportu i powiązania z automatyzacją. W 2016 r. ogłoszono specjalne zaproszenie do składania wniosków projektowych dotyczących zautomatyzowanego transportu drogowego. W ramach strategicznego programu badań i innowacji w dziedzinie transportu Komisja opracowuje plan działania dotyczący transportu pojazdami połączonymi i zautomatyzowanymi, tak aby ukierunkować i koordynować przyszłe działania w dziedzinie badań i innowacji w Europie. W uzupełnieniu tych prac prowadzone są projekty wdrażania na dużą skalę służące tworzeniu współpracujących systemów w ramach transeuropejskiej sieci transportowej w 13 państwach,</w:t>
      </w:r>
      <w:r>
        <w:rPr>
          <w:rStyle w:val="FootnoteReference"/>
          <w:rFonts w:ascii="Times New Roman" w:hAnsi="Times New Roman"/>
          <w:noProof/>
          <w:sz w:val="24"/>
        </w:rPr>
        <w:footnoteReference w:id="19"/>
      </w:r>
      <w:r>
        <w:rPr>
          <w:rFonts w:ascii="Times New Roman" w:hAnsi="Times New Roman"/>
          <w:noProof/>
          <w:sz w:val="24"/>
        </w:rPr>
        <w:t xml:space="preserve"> z wykorzystaniem unijnych programów finansowania, na przykład instrumentu „Łącząc Europę”.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zakresie polityki na rzecz pojazdów wysoce zautomatyzowanych i połączonych szereg organów państw członkowskich, organizacji pozarządowych i przedstawicieli przemysłu współpracuje z odpowiednimi komisarzami w ramach ustanowionej w październiku 2015 r. grupy wysokiego szczebla GEAR 2030, analizującej przyszłość sektora motoryzacyjnego. Wyniki platformy C-ITS zostaną przekazane GEAR 2030, umożliwiając jej spojrzenie z perspektywy systemu transportowego. Celem tej grupy jest zaprezentowanie pierwszych zaleceń do końca 2016 r., a zaleceń końcowych – do połowy 2017 r.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Jesienią 2015 r. rozpoczęto dialog wysokiego szczebla, w formie okrągłego stołu z udziałem branży telekomunikacji i produkcji pojazdów, aby pomóc w osiągnięciu efektów synergii w obszarze pojazdów połączonych i zautomatyzowanych. Dialog ten powinien pomóc sektorowi motoryzacyjnemu wykorzystać rozwiązania cyfrowe, takie jak internet rzeczy, duże zbiory danych, polityka telekomunikacji i cyfryzacja przemysłu, i zaowocował już zobowiązaniem obu branży do tworzenia nowych sojuszy i eksperymentowania z technologiami 5G.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Jak określono w programie prac Komisji na 2017 r. Komisja będzie kontynuować prace w zakresie otoczenia regulacyjnego, rozwoju ekosystemu, efektywnego gospodarowania zasobami oraz standaryzacji, tak aby ułatwić wprowadzenie na rynek coraz bardziej wydajnych pojazdów współpracujących, połączonych i zautomatyzowanych.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oparciu o powyższe inicjatywy dla skutecznego wdrożenia C-ITS konieczny jest bezprecedensowy poziom współpracy w wielu sektorach. Zacierają się role i obowiązki wzdłuż łańcucha wartości, stawiając pod znakiem zapytania dotychczasowe koncepcje. Aby uniknąć ewentualnych „efektów odbicia”, takich jak wzrost netto ruchu i emisji, konieczna jest ścisła współpraca z władzami lokalnymi. Jest ona niezbędna na przykład w celu uwzględnienia pojazdów współpracujących, połączonych i zautomatyzowanych w planowaniu mobilności zgodnej z zasadami zrównoważonego rozwoju lub w koncepcji „mobilności jako usługi”, obejmujących transport publiczny i aktywne formy podróży, takie jak chodzenie i jazda na rowerze. W celu zapewnienia szerokiej akceptacji dla technologii C-ITS i maksymalizacji ich skutków gospodarczych i społecznych kluczowe znaczenie ma zaangażowanie obywateli, a wdrażanie C-ITS powinno się koncentrować na użytkowniku.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Cyfrowy system transportowy wymaga myślenia w kategoriach warstw horyzontalnych, uwzględniając różne rodzaje transportu i sektory przemysłu, a nie w kategoriach pionowych konglomeratów (takich jak transport, energetyka czy telekomunikacja). Nie można się już skupiać tylko na warstwie infrastruktury (na przykład drogach i pojazdach). Technologie cyfrowe opierają się także na warstwie danych, która zawiera zarówno dane statyczne, na przykład mapy cyfrowe czy przepisy ruchu drogowego, jak i dane dynamiczne, na przykład informacje o ruchu w czasie rzeczywistym. Dane te są następnie wykorzystywane do opracowywania warstwy innowacyjnych usług i zastosowań, które są udostępniane przez warstwę sieci. Aby jak najlepiej wykorzystać technologie cyfrowe, należy zapewnić dostęp do rynku i uczciwą konkurencję w każdej z tych warstw, zgodnie z zaleceniami zawartymi w komunikacie Komisji dotyczącym platform internetowych</w:t>
      </w:r>
      <w:r>
        <w:rPr>
          <w:rStyle w:val="FootnoteReference"/>
          <w:rFonts w:ascii="Times New Roman" w:hAnsi="Times New Roman"/>
          <w:noProof/>
          <w:sz w:val="24"/>
        </w:rPr>
        <w:footnoteReference w:id="20"/>
      </w:r>
      <w:r>
        <w:rPr>
          <w:noProof/>
        </w:rPr>
        <w:t>.</w:t>
      </w:r>
    </w:p>
    <w:p>
      <w:pPr>
        <w:pStyle w:val="ListParagraph"/>
        <w:keepNext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Droga w kierunku wdrożenia C-ITS w 2019 r.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Zgodnie z zaleceniami platformy C-ITS</w:t>
      </w:r>
      <w:r>
        <w:rPr>
          <w:rStyle w:val="FootnoteReference"/>
          <w:rFonts w:ascii="Times New Roman" w:hAnsi="Times New Roman"/>
          <w:noProof/>
          <w:sz w:val="24"/>
        </w:rPr>
        <w:footnoteReference w:id="21"/>
      </w:r>
      <w:r>
        <w:rPr>
          <w:rFonts w:ascii="Times New Roman" w:hAnsi="Times New Roman"/>
          <w:noProof/>
          <w:sz w:val="24"/>
        </w:rPr>
        <w:t xml:space="preserve"> Komisja wskazała problemy, które należy rozwiązać na szczeblu UE w celu zapewnienia skoordynowanego wdrażania usług C-ITS w 2019 r. W poniższych rozdziałach proponuje się konkretne działania służące rozwiązaniu każdego problemu, w tym sprzyjające warunki na poziomie europejskim, państw członkowskich, władz publicznych i przemysłu.</w:t>
      </w:r>
    </w:p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Priorytety w zakresie wdrażania usług C-ITS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Ciągłość usług, tj. dostępność usług C-ITS w całej UE dla użytkowników końcowych, jest najważniejszym czynnikiem służącym szybkiemu wdrożeniu C-ITS w Europie. Wdrożone usługi powinny od początku być dostępne w jak najszerszym zakresie, zarówno po stronie infrastruktury, jak i pojazdów. Dlatego też w niniejszym komunikacie określa się priorytety dotyczące skoordynowanego wdrażania usług C-ITS przez państwa członkowskie i przemysł.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Na wniosek Komisji platforma C-ITS dokonała analizy kosztów i korzyści wynikających z wdrożenia usług C-ITS dla transportu drogowego w państwach członkowskich</w:t>
      </w:r>
      <w:r>
        <w:rPr>
          <w:rStyle w:val="FootnoteReference"/>
          <w:rFonts w:ascii="Times New Roman" w:hAnsi="Times New Roman" w:cs="Times New Roman"/>
          <w:noProof/>
        </w:rPr>
        <w:fldChar w:fldCharType="begin" w:fldLock="1"/>
      </w:r>
      <w:r>
        <w:rPr>
          <w:rStyle w:val="FootnoteReference"/>
          <w:rFonts w:ascii="Times New Roman" w:hAnsi="Times New Roman" w:cs="Times New Roman"/>
          <w:noProof/>
        </w:rPr>
        <w:instrText xml:space="preserve"> NOTEREF _Ref465896810 \h  \* MERGEFORMAT </w:instrText>
      </w:r>
      <w:r>
        <w:rPr>
          <w:rStyle w:val="FootnoteReference"/>
          <w:rFonts w:ascii="Times New Roman" w:hAnsi="Times New Roman" w:cs="Times New Roman"/>
          <w:noProof/>
        </w:rPr>
      </w:r>
      <w:r>
        <w:rPr>
          <w:rStyle w:val="FootnoteReference"/>
          <w:rFonts w:ascii="Times New Roman" w:hAnsi="Times New Roman" w:cs="Times New Roman"/>
          <w:noProof/>
        </w:rPr>
        <w:fldChar w:fldCharType="separate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t>16</w:t>
      </w:r>
      <w:r>
        <w:rPr>
          <w:rStyle w:val="FootnoteReference"/>
          <w:rFonts w:ascii="Times New Roman" w:hAnsi="Times New Roman" w:cs="Times New Roman"/>
          <w:noProof/>
        </w:rPr>
        <w:fldChar w:fldCharType="end"/>
      </w:r>
      <w:r>
        <w:rPr>
          <w:rFonts w:ascii="Times New Roman" w:hAnsi="Times New Roman"/>
          <w:noProof/>
          <w:sz w:val="24"/>
        </w:rPr>
        <w:t>. W tym celu w ramach platformy omówiono najbardziej obiecujące scenariusze wdrożenia pod kątem szybkiego i powszechnego zastosowania.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Stwierdzono, że w przypadku gdy usługi C-ITS dnia 1 zostaną wdrożone w interoperacyjny sposób w całej Europie, stosunek ich korzyści do kosztów osiągnie poziom 3 do 1, uwzględniając skumulowane koszty i korzyści w okresie od 2018 do 2030 r. Oznacza to, że każde euro zainwestowane w usługi C-ITS dnia 1 powinno wygenerować do trzech euro korzyści. Szybkie wdrożenie jak największej liczby usług będzie również oznaczać szybszy zwrot kosztów i uzyskanie większych ogólnych korzyści, głównie ze względu na efekt sieciowy (co oznacza, że powolne początkowe tempo stosowania spowodowałoby stosunkowo długie okresy z nielicznymi korzyściami).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 xml:space="preserve">Na podstawie tych prac Komisja uważa, że należy szybko wdrożyć listę odpowiednio zaawansowanych technologicznie i bardzo korzystnych usług C-ITS, tak aby użytkownicy końcowi i ogół społeczeństwa mogli z nich jak najszybciej korzystać. Taka lista szybkiego wdrożenia została podana poniżej jako </w:t>
      </w:r>
      <w:r>
        <w:rPr>
          <w:rFonts w:ascii="Times New Roman" w:hAnsi="Times New Roman"/>
          <w:i/>
          <w:noProof/>
          <w:sz w:val="24"/>
        </w:rPr>
        <w:t>lista usług C-ITS dnia 1</w:t>
      </w:r>
      <w:r>
        <w:rPr>
          <w:rFonts w:ascii="Times New Roman" w:hAnsi="Times New Roman"/>
          <w:noProof/>
          <w:sz w:val="24"/>
        </w:rPr>
        <w:t>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drugiej fazie może być wdrożona</w:t>
      </w:r>
      <w:r>
        <w:rPr>
          <w:rFonts w:ascii="Times New Roman" w:hAnsi="Times New Roman"/>
          <w:i/>
          <w:noProof/>
          <w:sz w:val="24"/>
        </w:rPr>
        <w:t xml:space="preserve"> lista usług C-ITS dnia 1</w:t>
      </w:r>
      <w:r>
        <w:rPr>
          <w:rFonts w:ascii="Times New Roman" w:hAnsi="Times New Roman"/>
          <w:noProof/>
          <w:sz w:val="24"/>
        </w:rPr>
        <w:t>.5. Jest to lista usług, w przypadku których pełne specyfikacje lub normy mogą nie być w pełni gotowe do wdrożenia na dużą skalę od 2019 r., mimo że uznaje się je za ogólnie odpowiednio zaawansowane.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Respondenci w ramach konsultacji społecznych zgodzili się, że wszystkie usługi (z obu list) powinny być uwzględnione na etapie szybkiego wdrażania.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Lista usług C-ITS dnia 1</w:t>
            </w:r>
          </w:p>
        </w:tc>
      </w:tr>
      <w:tr>
        <w:trPr>
          <w:trHeight w:val="282"/>
          <w:jc w:val="center"/>
        </w:trPr>
        <w:tc>
          <w:tcPr>
            <w:tcW w:w="9042" w:type="dxa"/>
            <w:tcBorders>
              <w:bottom w:val="single" w:sz="4" w:space="0" w:color="auto"/>
            </w:tcBorders>
          </w:tcPr>
          <w:p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Powiadomienie o niebezpiecznej lokalizacji: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ostrzeżenie o powolnych lub stojących pojazdach i ruchu z przodu;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ostrzeżenie o robotach drogowych;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warunki pogodowe;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światło hamowania awaryjnego;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zbliżanie się pojazdu uprzywilejowanego;</w:t>
            </w:r>
          </w:p>
          <w:p>
            <w:pPr>
              <w:pStyle w:val="ListParagraph"/>
              <w:numPr>
                <w:ilvl w:val="0"/>
                <w:numId w:val="51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inne niebezpieczeństwa.</w:t>
            </w:r>
          </w:p>
          <w:p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Zastosowania oznakowania</w:t>
            </w:r>
            <w:r>
              <w:rPr>
                <w:noProof/>
              </w:rPr>
              <w:t>: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oznakowanie pokładowe pojazdu;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pokładowe ograniczenia prędkości pojazdu;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naruszenie sygnału / bezpieczeństwo skrzyżowań;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prośba oznaczonych pojazdów o pierwszeństwo sygnalizacji ruchu;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informacja o optymalnej prędkości na zielonym świetle;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dane z sond pojazdu;</w:t>
            </w:r>
          </w:p>
          <w:p>
            <w:pPr>
              <w:pStyle w:val="ListParagraph"/>
              <w:numPr>
                <w:ilvl w:val="0"/>
                <w:numId w:val="52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tłumienie fali uderzeniowej (mieści się w kategorii „ostrzeżenia o miejscowym zagrożeniu” Europejskiego Instytutu Norm Telekomunikacyjnych (ETSI)).</w:t>
            </w:r>
          </w:p>
        </w:tc>
      </w:tr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Lista usług C-ITS dnia 1.5</w:t>
            </w:r>
          </w:p>
        </w:tc>
      </w:tr>
      <w:tr>
        <w:trPr>
          <w:trHeight w:val="282"/>
          <w:jc w:val="center"/>
        </w:trPr>
        <w:tc>
          <w:tcPr>
            <w:tcW w:w="9042" w:type="dxa"/>
          </w:tcPr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informacje na temat stacji paliw i ładowania dla pojazdów o napędzie alternatywnym;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ochrona niechronionych użytkowników dróg;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zarządzanie parkowaniem na ulicy i informacje w tym zakresie;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informacje o parkowaniu poza ulicą;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informacje dotyczące systemów „parkuj i jedź”;;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nawigacja pojazdów połączonych i współpracujących do i z miasta (pierwszy i ostatni odcinek transportu, parkowanie, informacje o trasie, skoordynowana sygnalizacja świetlna);</w:t>
            </w:r>
          </w:p>
          <w:p>
            <w:pPr>
              <w:pStyle w:val="ListParagraph"/>
              <w:numPr>
                <w:ilvl w:val="0"/>
                <w:numId w:val="5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informacje o ruchu i inteligentne wytyczanie tras.</w:t>
            </w:r>
          </w:p>
        </w:tc>
      </w:tr>
    </w:tbl>
    <w:p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Państwa członkowskie, lokalne władze, producenci pojazdów, zarządcy dróg i sektor ITS powinni wdrożyć C-ITS i zapewnić pełną obsługę przynajmniej usług z listy usług C-ITS dnia 1.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będzie wspierać państwa członkowskie i przemysł we wdrażaniu usług C-ITS dnia 1, w szczególności poprzez instrument „Łącząc Europę”, europejskie fundusze strukturalne i inwestycyjne oraz Europejski Fundusz na rzecz Inwestycji Strategicznych.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zapewni finansowanie badań i innowacji poprzez program „Horyzont 2020” i ewentualnie poprzez europejskie fundusze strukturalne i inwestycyjne, w zakresie usług C-ITS dnia 1.5 i kolejnych usług, w tym wyższych poziomów automatyzacji.</w:t>
            </w:r>
          </w:p>
          <w:p>
            <w:pPr>
              <w:pStyle w:val="ListParagraph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będzie zachęcać do uaktualniania listy usług C-ITS dnia 1.5 i przyszłych list usług C-ITS poprzez kontynuację procesu platformy C-ITS.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Bezpieczeństwo komunikacji w ramach C-ITS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Ponieważ system transportu ulega coraz większej cyfryzacji, może również stać się bardziej narażony na włamania i ataki cybernetyczne. Bezpieczeństwo cybernetyczne komunikacji w ramach C-ITS ma zatem zasadnicze znaczenie i wymaga działań na poziomie europejskim. Bez jasnych przepisów, przyjętych na poziomie Unii, wdrożenie C-ITS w UE będzie opóźnione, gdyż inwestorzy oczekują wspólnego podejścia w odniesieniu do rynku wewnętrznego. Fragmentaryczne rozwiązania w zakresie bezpieczeństwa również narażą na ryzyko interoperacyjność i bezpieczeństwo użytkowników końcowych.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związku z tym Komisja uważa, że należy opracować wspólną politykę bezpieczeństwa i certyfikacji</w:t>
      </w:r>
      <w:r>
        <w:rPr>
          <w:rStyle w:val="FootnoteReference"/>
          <w:rFonts w:ascii="Times New Roman" w:hAnsi="Times New Roman"/>
          <w:noProof/>
          <w:sz w:val="24"/>
        </w:rPr>
        <w:footnoteReference w:id="22"/>
      </w:r>
      <w:r>
        <w:rPr>
          <w:rFonts w:ascii="Times New Roman" w:hAnsi="Times New Roman"/>
          <w:noProof/>
          <w:sz w:val="24"/>
        </w:rPr>
        <w:t xml:space="preserve"> w odniesieniu do wdrożenia C-ITS w Europie. Pogląd ten jest zgodny z zaleceniami przekazanymi przez platformę C-ITS i wynikającymi z konsultacji społecznych. Stworzenie takiej polityki zależy od poparcia politycznego w Europie dla jednolitego i powszechnie akceptowanego rozwiązania w zakresie bezpieczeństwa pojazdów współpracujących i połączonych oraz związanych z nimi elementów infrastruktury publicznej.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Aby stworzyć i ustanowić w całej UE ramy bezpieczeństwa, oparte na technologii infrastruktury klucza publicznego,</w:t>
      </w:r>
      <w:r>
        <w:rPr>
          <w:rStyle w:val="FootnoteReference"/>
          <w:rFonts w:ascii="Times New Roman" w:hAnsi="Times New Roman"/>
          <w:noProof/>
          <w:sz w:val="24"/>
        </w:rPr>
        <w:footnoteReference w:id="23"/>
      </w:r>
      <w:r>
        <w:rPr>
          <w:rFonts w:ascii="Times New Roman" w:hAnsi="Times New Roman"/>
          <w:noProof/>
          <w:sz w:val="24"/>
        </w:rPr>
        <w:t xml:space="preserve"> dla pojazdów i elementów infrastruktury publicznej, w tym procesu oceny zgodności, zaangażowane muszą być wszystkie zainteresowane strony. Kluczowym wyzwaniem będzie zatem ustanowienie niezbędnego zarządzania na poziomie UE, krajowym i branżowym obejmującego wszystkie główne zainteresowane strony, w tym organy publiczne (np. ministerstwa transportu i właściwe krajowe stowarzyszenia ds. bezpieczeństwa), zarządców dróg, producentów pojazdów, usługodawców i operatorów C-ITS. Stworzenie wspólnego rozwiązania w zakresie bezpieczeństwa dla wdrożenia i eksploatacji C-ITS w Europie położy z kolei fundament pod większe bezpieczeństwo na wyższych poziomach automatyzacji (w tym komunikacji pojazdu z pojazdem oraz pojazdu z infrastrukturą).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będzie współpracować ze wszystkimi zainteresowanymi stronami w dziedzinie C-ITS, kierując opracowywaniem wspólnej polityki bezpieczeństwa i certyfikacji na potrzeby wdrożenia i eksploatacji C-ITS w Europie. W 2017 r. opublikuje wytyczne dotyczące europejskiej polityki bezpieczeństwa i certyfikacji C-ITS.</w:t>
            </w:r>
          </w:p>
          <w:p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Wszystkie inicjatywy dotyczące wdrażania C-ITS powinny przyczyniać się do opracowania tej wspólnej polityki bezpieczeństwa, zobowiązując się od początku do wdrażania nieulegających dezaktualizacji usług C-ITS w Europie.</w:t>
            </w:r>
          </w:p>
        </w:tc>
      </w:tr>
      <w:tr>
        <w:trPr>
          <w:jc w:val="center"/>
        </w:trPr>
        <w:tc>
          <w:tcPr>
            <w:tcW w:w="9042" w:type="dxa"/>
            <w:tcBorders>
              <w:top w:val="nil"/>
            </w:tcBorders>
            <w:shd w:val="clear" w:color="auto" w:fill="D9D9D9" w:themeFill="background1" w:themeFillShade="D9"/>
            <w:vAlign w:val="center"/>
          </w:tcPr>
          <w:p>
            <w:pPr>
              <w:pStyle w:val="ListParagraph"/>
              <w:numPr>
                <w:ilvl w:val="0"/>
                <w:numId w:val="55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przeanalizuje role i zadania europejskiego modelu zaufania C-ITS oraz to, czy niektóre funkcje operacyjne i funkcje zarządzania powinny zostać przejęte przez Komisję (na przykład w przypadku inteligentnego tachografu</w:t>
            </w:r>
            <w:r>
              <w:rPr>
                <w:rFonts w:ascii="Times New Roman" w:hAnsi="Times New Roman"/>
                <w:noProof/>
                <w:vertAlign w:val="superscript"/>
              </w:rPr>
              <w:footnoteReference w:id="24"/>
            </w:r>
            <w:r>
              <w:rPr>
                <w:rFonts w:ascii="Times New Roman" w:hAnsi="Times New Roman"/>
                <w:noProof/>
                <w:sz w:val="24"/>
              </w:rPr>
              <w:t>).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Środki ochronne w zakresie ochrony prywatności i danych osobowych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Ochrona danych osobowych i prywatności jest czynnikiem decydującym o pomyślnym wdrożeniu pojazdów współpracujących, połączonych i zautomatyzowanych. Użytkownicy muszą mieć pewność, że dane osobowe nie są towarem, oraz muszą wiedzieć, że mogą skutecznie kontrolować sposób i cel użycia ich danych.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Dane transmitowane przez C-ITS z pojazdów co do zasady zostaną uznane za dane osobowe, ponieważ odnoszą się do zidentyfikowanej lub możliwej do zidentyfikowania osoby fizycznej. Wdrożenie C-ITS wymaga zatem zgodności z obowiązującymi ramami prawnymi w zakresie ochrony danych</w:t>
      </w:r>
      <w:r>
        <w:rPr>
          <w:rStyle w:val="FootnoteReference"/>
          <w:rFonts w:ascii="Times New Roman" w:hAnsi="Times New Roman"/>
          <w:noProof/>
          <w:sz w:val="24"/>
        </w:rPr>
        <w:footnoteReference w:id="25"/>
      </w:r>
      <w:r>
        <w:rPr>
          <w:rFonts w:ascii="Times New Roman" w:hAnsi="Times New Roman"/>
          <w:noProof/>
          <w:sz w:val="24"/>
        </w:rPr>
        <w:t>. W przepisach tych przewiduje się, że przetwarzanie takich danych jest zgodne z prawem tylko wówczas, jeśli opiera się na jednej z wymienionych w nich podstaw, na przykład zgodzie użytkowników.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Ochrona danych w fazie projektowania oraz zgodnie z zasadą domyślności oraz oceny skutków w zakresie ochrony danych mają zasadnicze znaczenie w podstawowej konfiguracji i inżynierii systemu C-ITS, zwłaszcza w kontekście stosowanego systemu bezpieczeństwa komunikacji. Odpowiedzi udzielone w ramach konsultacji społecznych wskazują, że gdy powyższe warunki są spełnione, gotowość użytkowników końcowych do wyrażenia zgody na transmitowanie danych nie jest przeszkodą, w szczególności wtedy, gdy dane mają być stosowane w celu zwiększenia bezpieczeństwa ruchu drogowego lub lepszego zarządzania ruchem.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Usługodawcy C-ITS powinni oferować użytkownikom końcowym przejrzyste warunki za pomocą jasnego i prostego języka w zrozumiały sposób i w łatwo dostępnych formach, umożliwiając im wyrażenie zgody na przetwarzanie ich danych osobowych.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W 2018 r. Komisja opublikuje pierwsze wytyczne dotyczące  projektowej i domyślnej ochrony danych, odnoszące się szczegółowo do C-ITS.</w:t>
            </w:r>
          </w:p>
          <w:p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Inicjatywy w zakresie wdrożenia C-ITS powinny: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pracować nad kampaniami informacyjnymi służącymi budowaniu niezbędnego zaufania wśród użytkowników końcowych i osiągnięciu akceptacji społecznej;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pokazywać, jak wykorzystanie danych osobowych może poprawić bezpieczeństwo i efektywność systemu transportowego, przy jednoczesnym zapewnieniu zgodności z przepisami dotyczącymi ochrony danych i prywatności;</w:t>
            </w:r>
          </w:p>
          <w:p>
            <w:pPr>
              <w:pStyle w:val="ListParagraph"/>
              <w:numPr>
                <w:ilvl w:val="1"/>
                <w:numId w:val="45"/>
              </w:numPr>
              <w:ind w:left="586"/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konsultować się z unijnymi organami ds. ochrony danych w celu opracowania branżowego wzoru oceny skutków w zakresie ochrony danych, który będzie wykorzystywany przy wprowadzaniu nowych usług C-ITS.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Technologie i częstotliwości komunikacji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Wiadomości C-ITS będą przekazywane w odniesieniu do szerokiej gamy usług, w różnych sytuacjach komunikacyjnych oraz między różnymi podmiotami. Na ogół kierowców nie obchodzi, jaka technologia komunikacyjna jest używana do transmisji wiadomości C-ITS, ale będą coraz częściej chcieli otrzymywać informacje o warunkach drogowych i warunkach bezpieczeństwa bez zakłóceń w całej Europie. Można to osiągnąć jedynie poprzez podejście oparte na komunikacji hybrydowej, czyli poprzez połączenie komplementarnych technologii komunikacyjnych.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Aby obsługiwać wszystkie usługi C-ITS po stronie pojazdu, na pokładzie musi się znajdować pełny zestaw komunikacji hybrydowej</w:t>
      </w:r>
      <w:r>
        <w:rPr>
          <w:rStyle w:val="FootnoteReference"/>
          <w:rFonts w:ascii="Times New Roman" w:hAnsi="Times New Roman"/>
          <w:noProof/>
          <w:sz w:val="24"/>
        </w:rPr>
        <w:footnoteReference w:id="26"/>
      </w:r>
      <w:r>
        <w:rPr>
          <w:noProof/>
        </w:rPr>
        <w:t>.</w:t>
      </w:r>
      <w:r>
        <w:rPr>
          <w:rFonts w:ascii="Times New Roman" w:hAnsi="Times New Roman"/>
          <w:noProof/>
          <w:sz w:val="24"/>
        </w:rPr>
        <w:t xml:space="preserve"> Po stronie infrastruktury wybór technologii komunikacyjnej będzie zależeć od lokalizacji, rodzaju usług i opłacalności. Wiadomości C-ITS powinny działać bez rozpoznawania zastosowanej technologii komunikacyjnej i powinny tym samym być elastyczne w tym względzie, ułatwiając zastosowanie przyszłych technologii (np. sieci 5G</w:t>
      </w:r>
      <w:r>
        <w:rPr>
          <w:rStyle w:val="FootnoteReference"/>
          <w:rFonts w:ascii="Times New Roman" w:hAnsi="Times New Roman"/>
          <w:noProof/>
          <w:sz w:val="24"/>
        </w:rPr>
        <w:footnoteReference w:id="27"/>
      </w:r>
      <w:r>
        <w:rPr>
          <w:rFonts w:ascii="Times New Roman" w:hAnsi="Times New Roman"/>
          <w:noProof/>
          <w:sz w:val="24"/>
        </w:rPr>
        <w:t xml:space="preserve"> i łączności satelitarnej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begin" w:fldLock="1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instrText xml:space="preserve"> NOTEREF _Ref465865070 \h  \* MERGEFORMAT </w:instrTex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separate"/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t>11</w:t>
      </w:r>
      <w:r>
        <w:rPr>
          <w:rStyle w:val="FootnoteReference"/>
          <w:rFonts w:ascii="Times New Roman" w:hAnsi="Times New Roman" w:cs="Times New Roman"/>
          <w:noProof/>
          <w:sz w:val="24"/>
          <w:szCs w:val="24"/>
        </w:rPr>
        <w:fldChar w:fldCharType="end"/>
      </w:r>
      <w:r>
        <w:rPr>
          <w:rFonts w:ascii="Times New Roman" w:hAnsi="Times New Roman"/>
          <w:noProof/>
          <w:sz w:val="24"/>
        </w:rPr>
        <w:t>) w zestawie komunikacji hybrydowej.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Obecnie najbardziej obiecującym zestawem komunikacji hybrydowej jest połączenie ETSI ITS-G5 i istniejących sieci komórkowych. Zapewnia to możliwie najlepsze wsparcie dla wdrożenia wszystkich usług C-ITS dnia 1. Rozwiązanie to łączy w sobie niskie opóźnienie ETSI ITS-G5 dla uzależnionych czasowo wiadomości C-ITS związanych z bezpieczeństwem z szerokim zasięgiem geograficznym i dostępem do dużych grup użytkowników istniejących sieci komórkowych.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2008 r. Komisja wyznaczyła określone pasmo częstotliwości dla aplikacji związanych z bezpieczeństwem</w:t>
      </w:r>
      <w:r>
        <w:rPr>
          <w:rStyle w:val="FootnoteReference"/>
          <w:rFonts w:ascii="Times New Roman" w:hAnsi="Times New Roman"/>
          <w:noProof/>
          <w:sz w:val="24"/>
        </w:rPr>
        <w:footnoteReference w:id="28"/>
      </w:r>
      <w:r>
        <w:rPr>
          <w:noProof/>
        </w:rPr>
        <w:t>.</w:t>
      </w:r>
      <w:r>
        <w:rPr>
          <w:rFonts w:ascii="Times New Roman" w:hAnsi="Times New Roman"/>
          <w:noProof/>
          <w:sz w:val="24"/>
        </w:rPr>
        <w:t xml:space="preserve"> Początkowe wdrożenie komunikacji krótkiego zasięgu pojazd-pojazd i pojazd-infrastruktura będzie opierać się na dostępnych już technologiach wykorzystujących to pasmo i w stosownych przypadkach będzie płynnie współdziałać z 5G, zgodnie z zasadą komplementarności. W celu ochrony przed szkodliwymi zakłóceniami istniejących i przyszłych aplikacji związanych z bezpieczeństwem należy zapewnić współistnienie z aplikacjami korzystającymi z sąsiednich pasm lub tego samego widma. Należy określić i wdrożyć odpowiednie techniki osłabiania zakłóceń (np. współistnienie z opłatami za przejazd) oraz należy starannie ocenić alokację widma (np. efekt proponowanego rozszerzenia lokalnej sieci radiowej na to pasmo częstotliwości).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Respondenci w konsultacjach społecznych udzielają szerokiego poparcia dla podejścia opartego na komunikacji hybrydowej. Mniej niż 5 % z nich nie zgadza się na początkowe wdrożenie w oparciu o ETSI ITS-G5, a większość uznaje, że sieć 5G będzie odgrywać ważną rolę w dłuższej perspektywie czasu.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Organy administracji drogowej, usługodawcy, producenci pojazdów i urządzeń radiowych i inne podmioty branżowe powinny przyjąć strategię na rzecz komunikacji hybrydowej w przypadku zamówień i produkcji seryjnej, tak aby wesprzeć wdrożenie pełnej listy usług C-ITS dnia 1.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Operatorzy telekomunikacyjni obsługujący usługi C-ITS powinni odpowiednio zarządzać obciążeniem sieci w zakresie usług C-ITS związanych z bezpieczeństwem ruchu drogowego.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utrzyma przydział widma wykorzystywanego przez ETSI ITS-G5 dla usług ITS związanych z bezpieczeństwem ruchu drogowego oraz będzie wspierać środki służące ochronie tego pasma częstotliwości przed szkodliwymi zakłóceniami, zarówno na poziomie europejskim, jak i międzynarodowym (Międzynarodowy Związek Telekomunikacyjny ONZ oraz Europejska Konferencja Administracji Pocztowych i Telekomunikacyjnych).</w:t>
            </w:r>
          </w:p>
          <w:p>
            <w:pPr>
              <w:pStyle w:val="ListParagraph"/>
              <w:numPr>
                <w:ilvl w:val="0"/>
                <w:numId w:val="46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Inicjatywy dotyczące wdrażania C-ITS powinny wprowadzać odpowiednie techniki osłabiania zakłóceń służące współistnieniu zgodnie z normami i procedurami ETSI.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Interoperacyjność na wszystkich poziomach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bookmarkStart w:id="5" w:name="_Ref460306791"/>
      <w:r>
        <w:rPr>
          <w:rFonts w:ascii="Times New Roman" w:hAnsi="Times New Roman"/>
          <w:noProof/>
          <w:sz w:val="24"/>
        </w:rPr>
        <w:t>Zintegrowany system transportowy opiera się na interoperacyjności jego elementów. Oznacza to, że systemy muszą być w stanie współdziałać ze sobą ponad granicami i niezależnie od rodzaju transportu, na wszystkich poziomach: infrastruktury, danych, usług, aplikacji i sieci. O ile działania na rzecz normalizacji są konieczne, to same w sobie nie są wystarczające dla zapewnienia interoperacyjności. Dlatego należy określić i uzgodnić ogólnounijne specyfikacje dotyczące wdrożenia. Wiąże się to z zapewnieniem zrozumienia i konsekwentnego stosowania obowiązujących norm UE</w:t>
      </w:r>
      <w:r>
        <w:rPr>
          <w:rStyle w:val="FootnoteReference"/>
          <w:rFonts w:ascii="Times New Roman" w:hAnsi="Times New Roman"/>
          <w:noProof/>
          <w:sz w:val="24"/>
        </w:rPr>
        <w:footnoteReference w:id="29"/>
      </w:r>
      <w:r>
        <w:rPr>
          <w:rFonts w:ascii="Times New Roman" w:hAnsi="Times New Roman"/>
          <w:noProof/>
          <w:sz w:val="24"/>
        </w:rPr>
        <w:t>.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tym celu w ramach inicjatyw dotyczących wdrażania C-ITS w UE należy określić i opublikować techniczne profile komunikacji C-ITS niezbędne do zapewnienia interoperacyjności usług C-ITS dnia 1. Należy również opracować procedury testowe, aby sprawdzać interoperacyjność tych profili. Przyznanie wzajemnego dostępu do profili komunikacji zapewni wymianę najlepszych praktyk oraz doświadczeń z rzeczywistego działania. Powinno to również prowadzić do stopniowej konwergencji profili, tworząc warunki dla interoperacyjności w całej UE. Celem jest stworzenie odpowiednich warunków dla jednolitego rynku usług C-ITS w Europie w oparciu o wspólne profile komunikacji, które utrzymają jednak możliwość wprowadzania przyszłych innowacyjnych usług.</w:t>
      </w:r>
    </w:p>
    <w:p>
      <w:pPr>
        <w:tabs>
          <w:tab w:val="left" w:pos="1866"/>
        </w:tabs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2016 r. państwa członkowskie i Komisja uruchomiły platformę C-Roads</w:t>
      </w:r>
      <w:r>
        <w:rPr>
          <w:rStyle w:val="FootnoteReference"/>
          <w:rFonts w:ascii="Times New Roman" w:hAnsi="Times New Roman"/>
          <w:noProof/>
          <w:sz w:val="24"/>
        </w:rPr>
        <w:footnoteReference w:id="30"/>
      </w:r>
      <w:r>
        <w:rPr>
          <w:rFonts w:ascii="Times New Roman" w:hAnsi="Times New Roman"/>
          <w:noProof/>
          <w:sz w:val="24"/>
        </w:rPr>
        <w:t>, aby powiązać działania w zakresie wdrożenia C-ITS; aby wspólnie opracowywać i udostępniać dane techniczne; oraz aby sprawdzać interoperacyjność poprzez badania w różnych miejscach. Choć platforma C-Roads była pierwotnie stworzona na potrzeby inicjatyw dotyczących wdrażania C-ITS współfinansowanych przez UE, jest ona otwarta dla wszystkich działań wdrożeniowych na rzecz badania interoperacyjności.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będzie w pełni korzystać z platformy C-Roads jako mechanizmu koordynacji wdrażania C-ITS na poziomie operacyjnym.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Państwa członkowskie powinny przyłączyć się do platformy C-Roads na potrzeby badania i zatwierdzenia, zapewniając interoperacyjność usług C-ITS dnia 1 w całej UE.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W ramach inicjatyw dotyczących wdrażania C-ITS należy ukończyć profile komunikacji C-ITS i opublikować je wraz z normami badania i obowiązującymi normami zatwierdzania.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Platforma C-Roads powinna zacząć opracowywać badania systemu oparte na wspólnych profilach komunikacji w ciągu jednego roku od rozpoczęcia projektu oraz w pełni udostępnić te profile komunikacji osobom trzecim i podmiotom branżowym, które powinny wykorzystać te możliwości zatwierdzania.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Ocena zgodności</w:t>
      </w:r>
      <w:bookmarkEnd w:id="5"/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Sprawne wdrożenie usług C-ITS dnia 1 wymaga skutecznych ram oceny zgodności umożliwiających sprawdzenie usług pod kątem wymogów systemowych obowiązujących w całej UE. Szczególnie w przypadku aplikacji związanych z bezpieczeństwem drogowym w bezsprzecznym interesie publicznym leży opracowanie takich ram dla kluczowych elementów sieci C-ITS, takich jak bezpieczeństwo, ochrona danych czy interoperacyjność, aby zagwarantować, że kierowcy otrzymują spójne ostrzeżenia w różnych środowiskach ruchu w całej UE.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Pierwszym krokiem do ustanowienia takich ram będzie określenie wspólnych minimalnych wymogów dotyczących wdrożenia usług C-ITS dnia 1, zatwierdzonych przez wszystkie zainteresowane strony. Będzie to stanowić podstawę konieczną do wspólnego opracowania całościowego procesu oceny zgodności dla usług C-ITS dnia 1. Jest to również konieczny warunek wprowadzania nowych usług (na przykład usług dnia 2) bądź rozszerzania istniejących usług o nowe obszary zastosowania (na przykład w pełni zautomatyzowane pojazdy oraz ich komunikację). Ważną zasadą przewodnią dla wszystkich przyszłych działań wdrożeniowych jest to, że muszą one być zgodne, zarówno po stronie infrastruktury, jak i po stronie pojazdu, z pełną listą usług C-ITS dnia 1.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Inicjatywy dotyczące wdrażania C-ITS powinny wspierać opracowanie procesu oceny zgodności dla usług C-ITS dnia 1 oraz opublikować go, zapewniając pełny dostęp osobom trzecim.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 będzie wspierać inicjatywy wdrożeniowe w opracowywaniu całościowego wspólnego procesu oceny zgodności w odniesieniu do wszystkich kluczowych elementów, tak aby zapewnić ciągłość usług C-ITS oraz uwzględnić potencjalne rozszerzenia usług.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Ramy prawne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Jeżeli UE zamierza wdrożyć usługi C-ITS dnia 1 w 2019 r., inwestycje i ramy regulacyjne muszą być zbieżne w całej Europie. Szybki rozwój technologiczny i złożoność omawianych kwestii oznaczają, że koniczne są odpowiednie ramy prawne. Komisja uważa, że ramy prawne należy opracować poprzez praktyczne doświadczenia, wykorzystując informacje pochodzące z inicjatyw dotyczących wdrażania C-ITS i platformy C-ITS oraz interakcję między nimi.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 rezultacie takiego procesu oraz w ścisłej współpracy ze wszystkimi zainteresowanymi stronami Komisja rozważy wykorzystanie dyrektywy 2010/40/UE w sprawie inteligentnych systemów transportowych</w:t>
      </w:r>
      <w:r>
        <w:rPr>
          <w:rStyle w:val="FootnoteReference"/>
          <w:rFonts w:ascii="Times New Roman" w:hAnsi="Times New Roman"/>
          <w:noProof/>
          <w:sz w:val="24"/>
        </w:rPr>
        <w:footnoteReference w:id="31"/>
      </w:r>
      <w:r>
        <w:rPr>
          <w:rFonts w:ascii="Times New Roman" w:hAnsi="Times New Roman"/>
          <w:noProof/>
          <w:sz w:val="24"/>
        </w:rPr>
        <w:t>. Można również rozważyć inne instrumenty prawne, na przykład w odniesieniu do procesów oceny zgodności. Konsultacje społeczne wykazały, że 70 % respondentów popiera działania Komisji na rzecz wspierania pokładowych urządzeń łączności w pojazdach i wdrożenia wybranych usług C-ITS.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W odpowiednich przypadkach Komisja rozważy wykorzystanie swojego mandatu wynikającego z dyrektywy w sprawie inteligentnych systemów transportowych do przyjęcia do 2018 r. aktu delegowanego (aktów delegowanych) w sprawie: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zapewnienia ciągłości usług C-ITS;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ustanowienia przepisów mających na celu zapewnienie bezpieczeństwa komunikacji C-ITS;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zapewnienia wdrożenia w praktyce ogólnego rozporządzenia o ochronie danych w obszarze C-ITS;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zapewnienia przyszłościowego podejścia opartego na komunikacji hybrydowej;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ustanowienia przepisów dotyczących interoperacyjności;</w:t>
            </w:r>
          </w:p>
          <w:p>
            <w:pPr>
              <w:pStyle w:val="ListParagraph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 xml:space="preserve">ustanowienia przepisów dotyczących procesów oceny zgodności. </w:t>
            </w:r>
          </w:p>
        </w:tc>
      </w:tr>
    </w:tbl>
    <w:p>
      <w:pPr>
        <w:pStyle w:val="ListParagraph"/>
        <w:keepNext/>
        <w:numPr>
          <w:ilvl w:val="1"/>
          <w:numId w:val="12"/>
        </w:numPr>
        <w:spacing w:before="240" w:line="240" w:lineRule="auto"/>
        <w:contextualSpacing w:val="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</w:rPr>
        <w:t>Współpraca międzynarodowa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Współpraca międzynarodowa w dziedzinie pojazdów współpracujących, połączonych i zautomatyzowanych ma podstawowe znaczenie, jako że rynki rozwijają się w skali globalnej. Władze publiczne są zainteresowane wzajemną wymianą doświadczeń oraz zapewnieniem szybkiego wdrażania nowoczesnych technologii. Również podmioty przemysłowe są żywotnie zainteresowane współpracą międzynarodową, gdyż, tworząc urządzenia, usługi i modele biznesowe, poszukują one globalnych rynków.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UE już czerpie korzyści ze współpracy z Australią, Japonią, Singapurem i USA w takich dziedzinach, jak badania, bezpieczeństwo i harmonizacja norm. UE powinna nadal współpracować z partnerami międzynarodowymi i w dalszym ciągu czerpać z ich doświadczeń, szczególnie tych zdobywanych w ramach inicjatyw wdrażania dużych projektów.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Uwzględnić tu należy propagowanie międzynarodowej normalizacji (na przykład przepisów dotyczących pojazdów i przepisów ruchu drogowego w ramach Europejskiej Komisji Gospodarczej ONZ), ochronę prywatności osób i ich danych osobowych oraz bezpieczeństwo cybernetyczne, uwzględnienie aspektów prawnych oraz umożliwienie koordynacji badań.</w:t>
      </w:r>
    </w:p>
    <w:p>
      <w:pPr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Grupa G7 również stała się ważnym forum koordynacji i konwergencji polityki na poziomie międzynarodowym. Ministrowie transportu państw grupy G7 uzgodnili niedawno dwie deklaracje popierające bezpieczną i skuteczną szybką komercjalizację technologii pojazdów współpracujących, połączonych i zautomatyzowanych.</w:t>
      </w:r>
    </w:p>
    <w:tbl>
      <w:tblPr>
        <w:tblStyle w:val="TableGrid"/>
        <w:tblW w:w="9042" w:type="dxa"/>
        <w:jc w:val="center"/>
        <w:tblLook w:val="04A0" w:firstRow="1" w:lastRow="0" w:firstColumn="1" w:lastColumn="0" w:noHBand="0" w:noVBand="1"/>
      </w:tblPr>
      <w:tblGrid>
        <w:gridCol w:w="9042"/>
      </w:tblGrid>
      <w:tr>
        <w:trPr>
          <w:jc w:val="center"/>
        </w:trPr>
        <w:tc>
          <w:tcPr>
            <w:tcW w:w="9042" w:type="dxa"/>
            <w:shd w:val="clear" w:color="auto" w:fill="D9D9D9" w:themeFill="background1" w:themeFillShade="D9"/>
            <w:vAlign w:val="center"/>
          </w:tcPr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t>Konkretne działania</w:t>
            </w:r>
          </w:p>
          <w:p>
            <w:p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Komisja:</w:t>
            </w:r>
          </w:p>
          <w:p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będzie nadal promować konwergencję i koordynację działań na rzecz rozwoju i wdrażania C-ITS we współpracy z partnerami międzynarodowymi i w ramach międzynarodowych inicjatyw;</w:t>
            </w:r>
          </w:p>
          <w:p>
            <w:pPr>
              <w:pStyle w:val="ListParagraph"/>
              <w:numPr>
                <w:ilvl w:val="0"/>
                <w:numId w:val="49"/>
              </w:numP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t>będzie w dalszym ciągu działać na rzecz kojarzenia projektów badawczych i innowacyjnych w ramach programu „Horyzont 2020” w dziedzinie ITS z podobnymi projektami w państwach trzecich.</w:t>
            </w:r>
          </w:p>
        </w:tc>
      </w:tr>
    </w:tbl>
    <w:p>
      <w:pPr>
        <w:pStyle w:val="ListParagraph"/>
        <w:keepNext/>
        <w:numPr>
          <w:ilvl w:val="0"/>
          <w:numId w:val="4"/>
        </w:numPr>
        <w:spacing w:before="24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smallCaps/>
          <w:noProof/>
          <w:sz w:val="24"/>
          <w:szCs w:val="24"/>
        </w:rPr>
      </w:pPr>
      <w:r>
        <w:rPr>
          <w:rFonts w:ascii="Times New Roman" w:hAnsi="Times New Roman"/>
          <w:b/>
          <w:smallCaps/>
          <w:noProof/>
          <w:sz w:val="24"/>
        </w:rPr>
        <w:t>Wnioski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Skoordynowane i szybkie wdrożenie pojazdów współpracujących, połączonych i zautomatyzowanych w transporcie drogowym wymaga pilnych działań UE. Jeżeli pojazdy takie zostaną z powodzeniem zastosowane, przyczyni się to do poprawy bezpieczeństwa ruchu drogowego, zwiększenia efektywności transportu drogowego i zwiększenia konkurencyjności przemysłu UE.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Niniejszy komunikat stanowi dla Komisji ważny etap tworzenia europejskiej strategii na rzecz wdrożenia pojazdów współpracujących, połączonych i zautomatyzowanych, do czego wezwano w deklaracji z Amsterdamu. Wraz z innymi inicjatywami drogowymi, które Komisja zamierza przyjąć w 2017 r., niniejszy komunikat powinien przyczynić się do ukształtowania przyszłego systemu transportu drogowego w UE oraz przezwyciężenia kluczowych wyzwań, przed którymi stoi obecnie UE. Wskazano działania konieczne do osiągnięcia powyższego celu oraz ich ramy czasowe, a wymagają one wspólnego wysiłku wszystkich zaangażowanych podmiotów.</w:t>
      </w:r>
    </w:p>
    <w:p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</w:rPr>
        <w:t>Komisja będzie dążyła do zapewnienia spójności i synergii między obecnymi i przyszłymi inicjatywami oraz będzie wspierała wiodącą pozycję Unii w dziedzinie pojazdów współpracujących, połączonych i zautomatyzowanych. Komisja wzywa wszystkie zainteresowane strony, a w szczególności państwa członkowskie i przemysł, do wsparcia podejścia przedstawionego w niniejszym komunikacie oraz do współpracy na wszystkich szczeblach i w ramach różnych sektorów, tak aby w 2019 r. z powodzeniem rozpocząć wdrażanie współpracujących inteligentnych systemów transportowych.</w:t>
      </w:r>
    </w:p>
    <w:sectPr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pgNumType w:start="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.SFUIText-Regular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  <w:rPr>
        <w:rFonts w:ascii="Arial" w:hAnsi="Arial" w:cs="Arial"/>
        <w:b/>
        <w:sz w:val="48"/>
      </w:rPr>
    </w:pPr>
    <w:r>
      <w:rPr>
        <w:rFonts w:ascii="Arial" w:hAnsi="Arial" w:cs="Arial"/>
        <w:b/>
        <w:sz w:val="48"/>
      </w:rPr>
      <w:t>PL</w:t>
    </w:r>
    <w:r>
      <w:rPr>
        <w:rFonts w:ascii="Arial" w:hAnsi="Arial" w:cs="Arial"/>
        <w:b/>
        <w:sz w:val="48"/>
      </w:rPr>
      <w:tab/>
    </w:r>
    <w:r>
      <w:rPr>
        <w:rFonts w:ascii="Arial" w:hAnsi="Arial" w:cs="Arial"/>
        <w:b/>
        <w:sz w:val="48"/>
      </w:rPr>
      <w:tab/>
    </w:r>
    <w:r>
      <w:fldChar w:fldCharType="begin"/>
    </w:r>
    <w:r>
      <w:instrText xml:space="preserve"> DOCVARIABLE "LW_Confidence" \* MERGEFORMAT </w:instrText>
    </w:r>
    <w:r>
      <w:fldChar w:fldCharType="separate"/>
    </w:r>
    <w:r>
      <w:t xml:space="preserve"> </w:t>
    </w:r>
    <w:r>
      <w:fldChar w:fldCharType="end"/>
    </w:r>
    <w:r>
      <w:tab/>
    </w:r>
    <w:r>
      <w:rPr>
        <w:rFonts w:ascii="Arial" w:hAnsi="Arial" w:cs="Arial"/>
        <w:b/>
        <w:sz w:val="48"/>
      </w:rPr>
      <w:t>PL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CoverPag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1017274871"/>
      <w:docPartObj>
        <w:docPartGallery w:val="Page Numbers (Bottom of Page)"/>
        <w:docPartUnique/>
      </w:docPartObj>
    </w:sdtPr>
    <w:sdtEndPr>
      <w:rPr>
        <w:noProof/>
      </w:rPr>
    </w:sdtEndPr>
    <w:sdtContent>
      <w:p>
        <w:pPr>
          <w:pStyle w:val="Footer"/>
          <w:jc w:val="center"/>
          <w:rPr>
            <w:rFonts w:ascii="Times New Roman" w:hAnsi="Times New Roman" w:cs="Times New Roman"/>
            <w:noProof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  <w:footnote w:id="1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Ponad 70 % emisji gazów cieplarnianych pochodzących z transportu, 39 % NO</w:t>
      </w:r>
      <w:r>
        <w:rPr>
          <w:rFonts w:ascii="Times New Roman" w:hAnsi="Times New Roman"/>
          <w:vertAlign w:val="subscript"/>
        </w:rPr>
        <w:t>x</w:t>
      </w:r>
      <w:r>
        <w:rPr>
          <w:rFonts w:ascii="Times New Roman" w:hAnsi="Times New Roman"/>
        </w:rPr>
        <w:t xml:space="preserve"> oraz 13 % cząstek stałych.</w:t>
      </w:r>
    </w:p>
  </w:footnote>
  <w:footnote w:id="2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Europejska strategia na rzecz mobilności niskoemisyjnej, </w:t>
      </w:r>
      <w:hyperlink r:id="rId1">
        <w:r>
          <w:rPr>
            <w:rStyle w:val="Hyperlink"/>
            <w:rFonts w:ascii="Times New Roman" w:hAnsi="Times New Roman"/>
          </w:rPr>
          <w:t>COM(2016) 501 final</w:t>
        </w:r>
      </w:hyperlink>
      <w:r>
        <w:t>.</w:t>
      </w:r>
    </w:p>
  </w:footnote>
  <w:footnote w:id="3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Ogólne koszty zatorów komunikacyjnych szacuje się obecnie na 1 % PKB (</w:t>
      </w:r>
      <w:hyperlink r:id="rId2">
        <w:r>
          <w:rPr>
            <w:rStyle w:val="Hyperlink"/>
            <w:rFonts w:ascii="Times New Roman" w:hAnsi="Times New Roman"/>
          </w:rPr>
          <w:t>EC JRC</w:t>
        </w:r>
      </w:hyperlink>
      <w:r>
        <w:rPr>
          <w:rFonts w:ascii="Times New Roman" w:hAnsi="Times New Roman"/>
        </w:rPr>
        <w:t>, 2012).</w:t>
      </w:r>
    </w:p>
  </w:footnote>
  <w:footnote w:id="4">
    <w:p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Strategia ramowa na rzecz stabilnej unii energetycznej opartej na przyszłościowej polityce w dziedzinie klimatu, </w:t>
      </w:r>
      <w:hyperlink r:id="rId3">
        <w:r>
          <w:rPr>
            <w:rStyle w:val="Hyperlink"/>
            <w:rFonts w:ascii="Times New Roman" w:hAnsi="Times New Roman"/>
          </w:rPr>
          <w:t>COM(2015) 80 final</w:t>
        </w:r>
      </w:hyperlink>
      <w:r>
        <w:rPr>
          <w:rFonts w:ascii="Times New Roman" w:hAnsi="Times New Roman"/>
        </w:rPr>
        <w:t>, ZAŁĄCZNIK 1.</w:t>
      </w:r>
    </w:p>
  </w:footnote>
  <w:footnote w:id="5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Cyfryzacja europejskiego przemysłu - </w:t>
      </w:r>
      <w:hyperlink r:id="rId4">
        <w:r>
          <w:rPr>
            <w:rStyle w:val="Hyperlink"/>
            <w:rFonts w:ascii="Times New Roman" w:hAnsi="Times New Roman"/>
          </w:rPr>
          <w:t>COM(2016) 180</w:t>
        </w:r>
      </w:hyperlink>
      <w:r>
        <w:rPr>
          <w:rFonts w:ascii="Times New Roman" w:hAnsi="Times New Roman"/>
        </w:rPr>
        <w:t xml:space="preserve">, </w:t>
      </w:r>
      <w:hyperlink r:id="rId5">
        <w:r>
          <w:rPr>
            <w:rStyle w:val="Hyperlink"/>
            <w:rFonts w:ascii="Times New Roman" w:hAnsi="Times New Roman"/>
          </w:rPr>
          <w:t>SWD(2016) 110</w:t>
        </w:r>
      </w:hyperlink>
      <w:r>
        <w:t>.</w:t>
      </w:r>
    </w:p>
  </w:footnote>
  <w:footnote w:id="6">
    <w:p>
      <w:pPr>
        <w:pStyle w:val="FootnoteText"/>
        <w:rPr>
          <w:rFonts w:ascii="Times New Roman" w:hAnsi="Times New Roman" w:cs="Times New Roman"/>
          <w:lang w:val="en-GB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n-GB"/>
        </w:rPr>
        <w:t xml:space="preserve"> Roland Berger, </w:t>
      </w:r>
      <w:r>
        <w:rPr>
          <w:rFonts w:ascii="Times New Roman" w:hAnsi="Times New Roman"/>
          <w:i/>
          <w:lang w:val="en-GB"/>
        </w:rPr>
        <w:t>autonomous driving</w:t>
      </w:r>
      <w:r>
        <w:rPr>
          <w:rFonts w:ascii="Times New Roman" w:hAnsi="Times New Roman"/>
          <w:lang w:val="en-GB"/>
        </w:rPr>
        <w:t xml:space="preserve"> [jazda autonomiczna], Think:Act, grudzień 2014 r.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AT Kearney, </w:t>
      </w:r>
      <w:r>
        <w:rPr>
          <w:rFonts w:ascii="Times New Roman" w:hAnsi="Times New Roman"/>
          <w:i/>
        </w:rPr>
        <w:t>Roadmap towards Autonomous Driving</w:t>
      </w:r>
      <w:r>
        <w:rPr>
          <w:rFonts w:ascii="Times New Roman" w:hAnsi="Times New Roman"/>
        </w:rPr>
        <w:t xml:space="preserve"> [Plan działania na rzecz jazdy autonomicznej], wrzesień 2015 r.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KPMG, </w:t>
      </w:r>
      <w:r>
        <w:rPr>
          <w:rFonts w:ascii="Times New Roman" w:hAnsi="Times New Roman"/>
          <w:i/>
        </w:rPr>
        <w:t>Connected and autonomous vehicles – the UK economic opportunity</w:t>
      </w:r>
      <w:r>
        <w:rPr>
          <w:rFonts w:ascii="Times New Roman" w:hAnsi="Times New Roman"/>
        </w:rPr>
        <w:t xml:space="preserve"> [Pojazdy połączone i autonomiczne – szansa brytyjskiej gospodarki], marzec 2015 r.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Strategy&amp;, </w:t>
      </w:r>
      <w:r>
        <w:rPr>
          <w:rFonts w:ascii="Times New Roman" w:hAnsi="Times New Roman"/>
          <w:i/>
        </w:rPr>
        <w:t>Connected car report 2016: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Opportunities, risk, and turmoil on the road to autonomous vehicles</w:t>
      </w:r>
      <w:r>
        <w:rPr>
          <w:rFonts w:ascii="Times New Roman" w:hAnsi="Times New Roman"/>
        </w:rPr>
        <w:t xml:space="preserve"> [Sprawozdanie w sprawie samochodów połączonych z 2016 r. – szanse, zagrożenia i chaos na szlaku w kierunku pojazdów autonomicznych],</w:t>
      </w:r>
    </w:p>
    <w:p>
      <w:pPr>
        <w:pStyle w:val="FootnoteText"/>
        <w:ind w:firstLine="142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wrzesień 2016 r.</w:t>
      </w:r>
    </w:p>
  </w:footnote>
  <w:footnote w:id="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Współpraca oznacza, że pojazdy ostrzegają się wzajemnie o potencjalnie niebezpiecznych sytuacjach (na przykład o nagłym hamowaniu lub o zatorze drogowym) i komunikują się z lokalną infrastrukturą drogową (na przykład sygnalizacją świetlną w celu uzyskania informacji o optymalnej prędkości). Ponadto dwukierunkowa komunikacja między pojazdami i centrami kontroli ruchu pozwala na szybsze wykrycie problemów (na przykład korków lub gołoledzi) i łagodzenie ich skutków poprzez przekazanie użytkownikom dróg lepszych informacji w szybszym czasie.</w:t>
      </w:r>
    </w:p>
  </w:footnote>
  <w:footnote w:id="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Spotkanie państw G7 w Niemczech, wrzesień 2015 r.: </w:t>
      </w:r>
      <w:hyperlink r:id="rId6">
        <w:r>
          <w:rPr>
            <w:rStyle w:val="Hyperlink"/>
            <w:rFonts w:ascii="Times New Roman" w:hAnsi="Times New Roman"/>
          </w:rPr>
          <w:t>Deklaracja grupy G7</w:t>
        </w:r>
      </w:hyperlink>
      <w:r>
        <w:rPr>
          <w:rFonts w:ascii="Times New Roman" w:hAnsi="Times New Roman"/>
        </w:rPr>
        <w:t xml:space="preserve"> w sprawie jazdy pojazdami zautomatyzowanymi i połączonymi;</w:t>
      </w:r>
    </w:p>
    <w:p>
      <w:pPr>
        <w:pStyle w:val="FootnoteTex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Spotkanie państw G7 w Japonii, wrzesień 2016 r.:  </w:t>
      </w:r>
      <w:hyperlink r:id="rId7">
        <w:r>
          <w:rPr>
            <w:rStyle w:val="Hyperlink"/>
            <w:rFonts w:ascii="Times New Roman" w:hAnsi="Times New Roman"/>
          </w:rPr>
          <w:t>Deklaracja grupy G7</w:t>
        </w:r>
      </w:hyperlink>
      <w:r>
        <w:rPr>
          <w:rFonts w:ascii="Times New Roman" w:hAnsi="Times New Roman"/>
        </w:rPr>
        <w:t xml:space="preserve"> w sprawie rozwoju i szerokiego zastosowania </w:t>
      </w:r>
    </w:p>
    <w:p>
      <w:pPr>
        <w:pStyle w:val="FootnoteTex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zaawansowanych technologii dotyczących pojazdów i dróg.</w:t>
      </w:r>
    </w:p>
  </w:footnote>
  <w:footnote w:id="9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8">
        <w:r>
          <w:rPr>
            <w:rStyle w:val="Hyperlink"/>
            <w:rFonts w:ascii="Times New Roman" w:hAnsi="Times New Roman"/>
          </w:rPr>
          <w:t>Korytarz współpracy w ramach ITS</w:t>
        </w:r>
      </w:hyperlink>
      <w:r>
        <w:rPr>
          <w:rFonts w:ascii="Times New Roman" w:hAnsi="Times New Roman"/>
        </w:rPr>
        <w:t xml:space="preserve"> Rotterdam – Frankfurt nad Menem – Wiedeń. </w:t>
      </w:r>
    </w:p>
  </w:footnote>
  <w:footnote w:id="1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9">
        <w:r>
          <w:rPr>
            <w:rStyle w:val="Hyperlink"/>
            <w:rFonts w:ascii="Times New Roman" w:hAnsi="Times New Roman"/>
          </w:rPr>
          <w:t>Grupa amsterdamska (ang. Amsterdam Group)</w:t>
        </w:r>
      </w:hyperlink>
      <w:r>
        <w:rPr>
          <w:rFonts w:ascii="Times New Roman" w:hAnsi="Times New Roman"/>
        </w:rPr>
        <w:t>: sojusz między organami administracji drogowej (Europejskim Stowarzyszeniem Koncesjonariuszy i Operatorów Płatnych Autostrad, Konferencją Europejskich Dyrektorów Dróg), miastami aktywnymi w ramach POLIS (sieci europejskich miast i regionów) oraz branżą motoryzacyjną zorganizowaną w ramach konsorcjum komunikacyjnego Car2Car.</w:t>
      </w:r>
    </w:p>
  </w:footnote>
  <w:footnote w:id="11">
    <w:p>
      <w:pPr>
        <w:pStyle w:val="Default"/>
      </w:pPr>
      <w:r>
        <w:rPr>
          <w:rStyle w:val="FootnoteReference"/>
          <w:sz w:val="20"/>
        </w:rPr>
        <w:footnoteRef/>
      </w:r>
      <w:r>
        <w:rPr>
          <w:sz w:val="20"/>
        </w:rPr>
        <w:t xml:space="preserve"> </w:t>
      </w:r>
      <w:r>
        <w:rPr>
          <w:color w:val="auto"/>
          <w:sz w:val="20"/>
        </w:rPr>
        <w:t xml:space="preserve">Strategia kosmiczna dla Europy, </w:t>
      </w:r>
      <w:hyperlink r:id="rId10">
        <w:r>
          <w:rPr>
            <w:rStyle w:val="Hyperlink"/>
            <w:sz w:val="20"/>
          </w:rPr>
          <w:t>COM(2016)705</w:t>
        </w:r>
      </w:hyperlink>
      <w:r>
        <w:t>.</w:t>
      </w:r>
    </w:p>
  </w:footnote>
  <w:footnote w:id="12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1">
        <w:r>
          <w:rPr>
            <w:rStyle w:val="Hyperlink"/>
            <w:rFonts w:ascii="Times New Roman" w:hAnsi="Times New Roman"/>
          </w:rPr>
          <w:t>Deklaracja z Amsterdamu</w:t>
        </w:r>
      </w:hyperlink>
      <w:r>
        <w:rPr>
          <w:rFonts w:ascii="Times New Roman" w:hAnsi="Times New Roman"/>
        </w:rPr>
        <w:t xml:space="preserve"> w sprawie współpracy w dziedzinie jazdy pojazdami połączonymi i zautomatyzowanymi, 14 kwietnia 2016 r.</w:t>
      </w:r>
    </w:p>
  </w:footnote>
  <w:footnote w:id="13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Konsorcjum komunikacyjne Car2Car </w:t>
      </w:r>
      <w:hyperlink r:id="rId12">
        <w:r>
          <w:rPr>
            <w:rStyle w:val="Hyperlink"/>
            <w:rFonts w:ascii="Times New Roman" w:hAnsi="Times New Roman"/>
          </w:rPr>
          <w:t>komunikaty prasowe</w:t>
        </w:r>
      </w:hyperlink>
      <w:r>
        <w:rPr>
          <w:rFonts w:ascii="Times New Roman" w:hAnsi="Times New Roman"/>
        </w:rPr>
        <w:t>, październik 2015 r.</w:t>
      </w:r>
    </w:p>
  </w:footnote>
  <w:footnote w:id="14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Platforma na rzecz wdrażania C-ITS w Unii Europejskiej (platforma C-ITS – uruchomiona w listopadzie 2014 r. jako grupa ekspertów Komisji) stanowi operacyjne narzędzie służące dialogowi, wymianie wiedzy technicznej i współpracy między Komisją, zainteresowanymi podmiotami publicznymi z państw członkowskich, lokalnymi / regionalnymi organami władzy i podmiotami prywatnymi, na przykład producentami pojazdów, producentami urządzeń, zarządcami dróg, operatorami telekomunikacyjnymi i dostawcami usług.</w:t>
      </w:r>
    </w:p>
  </w:footnote>
  <w:footnote w:id="15">
    <w:p>
      <w:pPr>
        <w:pStyle w:val="FootnoteText"/>
        <w:jc w:val="both"/>
        <w:rPr>
          <w:rFonts w:ascii="Times New Roman" w:hAnsi="Times New Roman" w:cs="Times New Roman"/>
          <w:highlight w:val="yellow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3">
        <w:r>
          <w:rPr>
            <w:rStyle w:val="Hyperlink"/>
            <w:rFonts w:ascii="Times New Roman" w:hAnsi="Times New Roman"/>
          </w:rPr>
          <w:t>Sprawozdanie końcowe platformy C-ITS</w:t>
        </w:r>
      </w:hyperlink>
      <w:r>
        <w:rPr>
          <w:rFonts w:ascii="Times New Roman" w:hAnsi="Times New Roman"/>
        </w:rPr>
        <w:t>, styczeń 2016 r.</w:t>
      </w:r>
    </w:p>
  </w:footnote>
  <w:footnote w:id="16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4">
        <w:r>
          <w:rPr>
            <w:rStyle w:val="Hyperlink"/>
            <w:rFonts w:ascii="Times New Roman" w:hAnsi="Times New Roman"/>
            <w:i/>
          </w:rPr>
          <w:t>Study on the Deployment of C-ITS in Europe:</w:t>
        </w:r>
        <w:r>
          <w:rPr>
            <w:rStyle w:val="Hyperlink"/>
            <w:rFonts w:ascii="Times New Roman" w:hAnsi="Times New Roman"/>
          </w:rPr>
          <w:t xml:space="preserve"> </w:t>
        </w:r>
        <w:r>
          <w:rPr>
            <w:rStyle w:val="Hyperlink"/>
            <w:rFonts w:ascii="Times New Roman" w:hAnsi="Times New Roman"/>
            <w:i/>
          </w:rPr>
          <w:t>Final Report</w:t>
        </w:r>
      </w:hyperlink>
      <w:r>
        <w:rPr>
          <w:rFonts w:ascii="Times New Roman" w:hAnsi="Times New Roman"/>
        </w:rPr>
        <w:t xml:space="preserve"> [Badanie dotyczące wdrażania C-ITS w Europie – sprawozdanie końcowe], luty 2016 r.</w:t>
      </w:r>
    </w:p>
  </w:footnote>
  <w:footnote w:id="1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15">
        <w:r>
          <w:rPr>
            <w:rStyle w:val="Hyperlink"/>
            <w:rFonts w:ascii="Times New Roman" w:hAnsi="Times New Roman"/>
          </w:rPr>
          <w:t>Analiza odpowiedzi udzielonych w ramach konsultacji społecznych w sprawie C-ITS</w:t>
        </w:r>
      </w:hyperlink>
      <w:r>
        <w:rPr>
          <w:rFonts w:ascii="Times New Roman" w:hAnsi="Times New Roman"/>
        </w:rPr>
        <w:t xml:space="preserve"> (DG MOVE, konsultacje prowadzone w okresie czerwiec–wrzesień 2016 r.).</w:t>
      </w:r>
    </w:p>
  </w:footnote>
  <w:footnote w:id="1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Na tematykę pojazdów współpracujących, połączonych i zautomatyzowanych przeznaczono współfinansowanie ze środków UE na poziomie powyżej 130 mln EUR tylko od 2014 r. za pośrednictwem instrumentu „Łącząc Europę” i programu „Horyzont 2020”.</w:t>
      </w:r>
    </w:p>
  </w:footnote>
  <w:footnote w:id="19">
    <w:p>
      <w:pPr>
        <w:pStyle w:val="FootnoteText"/>
        <w:jc w:val="both"/>
        <w:rPr>
          <w:rFonts w:ascii="Times New Roman" w:hAnsi="Times New Roman" w:cs="Times New Roman"/>
          <w:lang w:val="es-ES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  <w:lang w:val="es-ES"/>
        </w:rPr>
        <w:t xml:space="preserve"> AT, BE, CZ, DE, DK, ES, FI, FR, NL, NO, SE, SI, UK.</w:t>
      </w:r>
    </w:p>
  </w:footnote>
  <w:footnote w:id="2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Platformy internetowe i jednolity rynek cyfrowy. Szanse i wyzwania dla Europy</w:t>
      </w:r>
      <w:hyperlink r:id="rId16">
        <w:r>
          <w:rPr>
            <w:rStyle w:val="Hyperlink"/>
            <w:rFonts w:ascii="Times New Roman" w:hAnsi="Times New Roman"/>
          </w:rPr>
          <w:t>COM(2016) 288</w:t>
        </w:r>
      </w:hyperlink>
      <w:r>
        <w:t>.</w:t>
      </w:r>
    </w:p>
  </w:footnote>
  <w:footnote w:id="21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Zgodnie ze sprawozdaniem końcowym platformy C-ITS są one następujące: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– lista „dnia 1” dotycząca wdrożenia wspólnie uzgodnionych usług C-ITS w całej UE;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– wspólna wizja zapewnienia bezpieczeństwa cybernetycznego opisana szczegółowo w uzgodnionym modelu zaufania;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– ocena korzyści wynikających z C-ITS w całej Europie, na podstawie podejścia opartego na komunikacji hybrydowej;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– zasady przewodnie w zakresie dostępu do danych pokładowych. Niezbędne są dalsze analizy prawne i techniczne oraz opracowanie scenariuszy w oparciu o ocenę kosztów i korzyści różnych możliwych rozwiązań technicznych. Wyniki specjalnego badania Komisji będą dostępne w połowie 2017 r.;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– szczegółowa analiza dotycząca ochrony prywatności i danych osobowych, stanowiąca solidną podstawę dalszych prac nad wdrożeniem nowych wymogów wynikających z nowego ogólnego rozporządzenia o ochronie danych.</w:t>
      </w:r>
    </w:p>
  </w:footnote>
  <w:footnote w:id="22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Dokumenty wspólnej polityki bezpieczeństwa i certyfikacji będą na przykład zawierać opis europejskiego modelu zaufania C-ITS opartego na infrastrukturze klucza publicznego. Określone w nich będą między inni wymogi prawne, organizacyjne i techniczne w zakresie zarządzania certyfikatami klucza publicznego dla usług C-ITS w oparciu o struktury określone w (IETF) RFC 3647.</w:t>
      </w:r>
    </w:p>
  </w:footnote>
  <w:footnote w:id="23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W tym kontekście infrastruktura klucza publicznego to połączenie oprogramowania, technologii kryptografii asymetrycznej, procesów i usług, które umożliwiają organizacji zabezpieczenie komunikacji w ramach C-ITS.</w:t>
      </w:r>
    </w:p>
  </w:footnote>
  <w:footnote w:id="24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Tachograf cyfrowy zapisuje działania kierowców zawodowych (godziny odpoczynku i jazdy). Zapewnia wiarygodne informacje dla funkcjonariuszy UE sprawdzających zgodność z rozporządzeniem w sprawie przepisów socjalnych (WE) nr 561/2006: </w:t>
      </w:r>
      <w:hyperlink r:id="rId17">
        <w:r>
          <w:rPr>
            <w:rStyle w:val="Hyperlink"/>
            <w:rFonts w:ascii="Times New Roman" w:hAnsi="Times New Roman"/>
          </w:rPr>
          <w:t>https://dtc.jrc.ec.europa.eu/</w:t>
        </w:r>
      </w:hyperlink>
      <w:r>
        <w:rPr>
          <w:rFonts w:ascii="Times New Roman" w:hAnsi="Times New Roman"/>
        </w:rPr>
        <w:t>. Nowa wersja tachografu cyfrowego (inteligentnego tachografu) została określona w rozporządzeniu (WE) nr 165/2014.</w:t>
      </w:r>
    </w:p>
  </w:footnote>
  <w:footnote w:id="25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Dyrektywa 95/46/WE ma zastosowanie do 24 maja 2018 r. Została ona uchylona </w:t>
      </w:r>
      <w:hyperlink r:id="rId18">
        <w:r>
          <w:rPr>
            <w:rStyle w:val="Hyperlink"/>
            <w:rFonts w:ascii="Times New Roman" w:hAnsi="Times New Roman"/>
          </w:rPr>
          <w:t>rozporządzeniem (UE) 2016/679</w:t>
        </w:r>
      </w:hyperlink>
      <w:r>
        <w:rPr>
          <w:rFonts w:ascii="Times New Roman" w:hAnsi="Times New Roman"/>
        </w:rPr>
        <w:t xml:space="preserve"> – ogólnym rozporządzeniem o ochronie danych, obowiązującym od 25 maja 2018 r. Dyrektywa 2002/58/WE z dnia 12 lipca 2002 r. dotycząca przetwarzania danych osobowych i ochrony prywatności w sektorze łączności elektronicznej jest obecnie przedmiotem programu REFIT Komisji.</w:t>
      </w:r>
    </w:p>
  </w:footnote>
  <w:footnote w:id="26">
    <w:p>
      <w:pPr>
        <w:pStyle w:val="FootnoteText"/>
        <w:rPr>
          <w:rStyle w:val="Hyperlink"/>
          <w:rFonts w:ascii="Times" w:hAnsi="Times" w:cs="Times New Roman"/>
        </w:rPr>
      </w:pPr>
      <w:r>
        <w:rPr>
          <w:rStyle w:val="FootnoteReference"/>
          <w:rFonts w:ascii="Times" w:hAnsi="Times"/>
        </w:rPr>
        <w:footnoteRef/>
      </w:r>
      <w:r>
        <w:rPr>
          <w:rFonts w:ascii="Times" w:hAnsi="Times"/>
        </w:rPr>
        <w:t xml:space="preserve"> Przy poszanowaniu dyrektywy w sprawie urządzeń radiowych </w:t>
      </w:r>
      <w:hyperlink r:id="rId19">
        <w:r>
          <w:rPr>
            <w:rStyle w:val="Hyperlink"/>
            <w:rFonts w:ascii="Times" w:hAnsi="Times"/>
          </w:rPr>
          <w:t>2014/53/UE</w:t>
        </w:r>
      </w:hyperlink>
      <w:r>
        <w:t>.</w:t>
      </w:r>
    </w:p>
  </w:footnote>
  <w:footnote w:id="27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" w:hAnsi="Times"/>
        </w:rPr>
        <w:footnoteRef/>
      </w:r>
      <w:r>
        <w:rPr>
          <w:rFonts w:ascii="Times" w:hAnsi="Times"/>
        </w:rPr>
        <w:t xml:space="preserve"> </w:t>
      </w:r>
      <w:hyperlink r:id="rId20">
        <w:r>
          <w:rPr>
            <w:rStyle w:val="Hyperlink"/>
            <w:rFonts w:ascii="Times" w:hAnsi="Times"/>
          </w:rPr>
          <w:t>COM(2016)588</w:t>
        </w:r>
      </w:hyperlink>
      <w:r>
        <w:rPr>
          <w:rFonts w:ascii="Times" w:hAnsi="Times"/>
        </w:rPr>
        <w:t xml:space="preserve">: Sieć 5G dla Europy: plan działania oraz towarzyszący dokument roboczy służb Komisji </w:t>
      </w:r>
      <w:hyperlink r:id="rId21">
        <w:r>
          <w:rPr>
            <w:rStyle w:val="Hyperlink"/>
            <w:rFonts w:ascii="Times New Roman" w:hAnsi="Times New Roman"/>
          </w:rPr>
          <w:t>SWD(2016)306</w:t>
        </w:r>
      </w:hyperlink>
      <w:r>
        <w:t>.</w:t>
      </w:r>
    </w:p>
  </w:footnote>
  <w:footnote w:id="28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22">
        <w:r>
          <w:rPr>
            <w:rStyle w:val="Hyperlink"/>
            <w:rFonts w:ascii="Times New Roman" w:hAnsi="Times New Roman"/>
          </w:rPr>
          <w:t>Decyzja 2008/671/WE.</w:t>
        </w:r>
      </w:hyperlink>
    </w:p>
  </w:footnote>
  <w:footnote w:id="29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M/453 (2009): Zlecenie normalizacji skierowane do CEN, CENELEC oraz ETSI w obszarze technologii informacyjno-komunikacyjnych w celu obsługi interoperacyjności współpracujących inteligentnych systemów transportowych we Wspólnocie Europejskiej;</w:t>
      </w:r>
    </w:p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>M/284,329,358,363 w ramach RTTED (1999/5/WE), obecnie skonsolidowane w ramach M/536 w ramach RED.</w:t>
      </w:r>
    </w:p>
  </w:footnote>
  <w:footnote w:id="30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</w:t>
      </w:r>
      <w:hyperlink r:id="rId23">
        <w:r>
          <w:rPr>
            <w:rStyle w:val="Hyperlink"/>
            <w:rFonts w:ascii="Times New Roman" w:hAnsi="Times New Roman"/>
          </w:rPr>
          <w:t>Platforma C-Roads</w:t>
        </w:r>
      </w:hyperlink>
      <w:r>
        <w:rPr>
          <w:rFonts w:ascii="Times New Roman" w:hAnsi="Times New Roman"/>
        </w:rPr>
        <w:t xml:space="preserve"> jest współfinansowana w ramach instrumentu „Łącząc Europę”.</w:t>
      </w:r>
    </w:p>
  </w:footnote>
  <w:footnote w:id="31">
    <w:p>
      <w:pPr>
        <w:pStyle w:val="FootnoteText"/>
        <w:jc w:val="both"/>
        <w:rPr>
          <w:rFonts w:ascii="Times New Roman" w:hAnsi="Times New Roman" w:cs="Times New Roman"/>
        </w:rPr>
      </w:pPr>
      <w:r>
        <w:rPr>
          <w:rStyle w:val="FootnoteReference"/>
          <w:rFonts w:ascii="Times New Roman" w:hAnsi="Times New Roman"/>
        </w:rPr>
        <w:footnoteRef/>
      </w:r>
      <w:r>
        <w:rPr>
          <w:rFonts w:ascii="Times New Roman" w:hAnsi="Times New Roman"/>
        </w:rPr>
        <w:t xml:space="preserve"> Dyrektywa 2010/40/UE w sprawie inteligentnych systemów transportowych może być wykorzystana jako podstawa do przyjęcia spójnego zbioru przepisów na poziomie UE w celu stworzenia jednolitego rynku pojazdów współpracujących, połączonych i zautomatyzowanych. W art. 2 dyrektywy określono obszary priorytetowe dotyczące opracowania i stosowania specyfikacji i norm, wśród których uwzględniono powiązanie pojazdu z infrastrukturą transportową. Działania, jakie należy podjąć w tym obszarze priorytetowym, są szczegółowo opisane w załączniku 1 do przywołanej dyrektywy i obejmują, między innymi, określenie koniecznych środków służących zintegrowaniu różnych aplikacji ITS na otwartej platformie pokładowej i dalszym postępom w zakresie rozwoju i wprowadzania systemów współpracujących (pojazd-pojazd, pojazd-infrastruktura, infrastruktura-infrastruktura). Zgodnie z art. 6 tejże dyrektywy Komisja jest uprawniona do przyjęcia specyfikacji zapewniających zgodność, interoperacyjność i ciągłość w celu wdrożenia i operacyjnego stosowania ITS w odniesieniu do innych działań, które należy podjąć w obszarach priorytetowych określonych w art. 2. Specyfikacje te powinny zostać przyjęte w ramach aktu delegowanego. Ponadto Komisja może również skorzystać z uprawnień nadanych jej w obszarze priorytetowym III, który odnosi się do aplikacji ITS związanych z bezpieczeństwem i ochroną ruchu drogowego i który jest szczegółowo opisany w pkt 4 załącznika I do dyrektywy w sprawie inteligentnych systemów transportowych. Komisja przygotowuje przedłużenie ram czasowych mandatu do przyjmowania aktów delegowanych na mocy dyrektywy 2010/40/UE w sprawie inteligentnych systemów transportowych.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CoverPag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733E7"/>
    <w:multiLevelType w:val="hybridMultilevel"/>
    <w:tmpl w:val="E02CA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4D704F"/>
    <w:multiLevelType w:val="hybridMultilevel"/>
    <w:tmpl w:val="AF1E85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650291"/>
    <w:multiLevelType w:val="hybridMultilevel"/>
    <w:tmpl w:val="48DED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159DD"/>
    <w:multiLevelType w:val="hybridMultilevel"/>
    <w:tmpl w:val="7D7CA0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017CF"/>
    <w:multiLevelType w:val="hybridMultilevel"/>
    <w:tmpl w:val="223494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15E67AC"/>
    <w:multiLevelType w:val="hybridMultilevel"/>
    <w:tmpl w:val="FF6A26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1A3223"/>
    <w:multiLevelType w:val="hybridMultilevel"/>
    <w:tmpl w:val="657250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2590A"/>
    <w:multiLevelType w:val="hybridMultilevel"/>
    <w:tmpl w:val="5B7066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68B1A8A"/>
    <w:multiLevelType w:val="hybridMultilevel"/>
    <w:tmpl w:val="4DF8A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165357"/>
    <w:multiLevelType w:val="hybridMultilevel"/>
    <w:tmpl w:val="EFF89F7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BC80F0C"/>
    <w:multiLevelType w:val="hybridMultilevel"/>
    <w:tmpl w:val="CF5C7EB2"/>
    <w:lvl w:ilvl="0" w:tplc="04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11">
    <w:nsid w:val="1C5B75CF"/>
    <w:multiLevelType w:val="hybridMultilevel"/>
    <w:tmpl w:val="4C049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47FDC"/>
    <w:multiLevelType w:val="hybridMultilevel"/>
    <w:tmpl w:val="C8808E8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CFB056F"/>
    <w:multiLevelType w:val="hybridMultilevel"/>
    <w:tmpl w:val="295ABB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640EDC"/>
    <w:multiLevelType w:val="hybridMultilevel"/>
    <w:tmpl w:val="6B46CD9C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997651"/>
    <w:multiLevelType w:val="hybridMultilevel"/>
    <w:tmpl w:val="B8786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E8033B"/>
    <w:multiLevelType w:val="hybridMultilevel"/>
    <w:tmpl w:val="42BCB8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C478D8"/>
    <w:multiLevelType w:val="hybridMultilevel"/>
    <w:tmpl w:val="575A82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BB66E0"/>
    <w:multiLevelType w:val="hybridMultilevel"/>
    <w:tmpl w:val="E8DCC36C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5B6810"/>
    <w:multiLevelType w:val="hybridMultilevel"/>
    <w:tmpl w:val="1C7E7E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9431EEC"/>
    <w:multiLevelType w:val="hybridMultilevel"/>
    <w:tmpl w:val="0768A3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A0562F"/>
    <w:multiLevelType w:val="hybridMultilevel"/>
    <w:tmpl w:val="FA9611C0"/>
    <w:lvl w:ilvl="0" w:tplc="84BE09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C61537"/>
    <w:multiLevelType w:val="hybridMultilevel"/>
    <w:tmpl w:val="22766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C574F7D"/>
    <w:multiLevelType w:val="hybridMultilevel"/>
    <w:tmpl w:val="4594CC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306A18D3"/>
    <w:multiLevelType w:val="multilevel"/>
    <w:tmpl w:val="754AFE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317640C2"/>
    <w:multiLevelType w:val="hybridMultilevel"/>
    <w:tmpl w:val="3664FA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7CB1976"/>
    <w:multiLevelType w:val="hybridMultilevel"/>
    <w:tmpl w:val="EE724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BD76C01"/>
    <w:multiLevelType w:val="hybridMultilevel"/>
    <w:tmpl w:val="4E129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CE675A1"/>
    <w:multiLevelType w:val="hybridMultilevel"/>
    <w:tmpl w:val="EA7A0A2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CEF655F"/>
    <w:multiLevelType w:val="hybridMultilevel"/>
    <w:tmpl w:val="54B4DDB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7F6DFA"/>
    <w:multiLevelType w:val="hybridMultilevel"/>
    <w:tmpl w:val="998057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E590BF0"/>
    <w:multiLevelType w:val="hybridMultilevel"/>
    <w:tmpl w:val="5DC0F2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41E05FF"/>
    <w:multiLevelType w:val="hybridMultilevel"/>
    <w:tmpl w:val="4EDEFC5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300E7E"/>
    <w:multiLevelType w:val="hybridMultilevel"/>
    <w:tmpl w:val="E44617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F9D100B"/>
    <w:multiLevelType w:val="hybridMultilevel"/>
    <w:tmpl w:val="5332FCB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5C1DB9"/>
    <w:multiLevelType w:val="hybridMultilevel"/>
    <w:tmpl w:val="08DE69A2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B52AD8"/>
    <w:multiLevelType w:val="hybridMultilevel"/>
    <w:tmpl w:val="9D58BE9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D3165CF"/>
    <w:multiLevelType w:val="hybridMultilevel"/>
    <w:tmpl w:val="E82220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60766A96"/>
    <w:multiLevelType w:val="hybridMultilevel"/>
    <w:tmpl w:val="B746A71A"/>
    <w:lvl w:ilvl="0" w:tplc="080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39">
    <w:nsid w:val="6389405B"/>
    <w:multiLevelType w:val="hybridMultilevel"/>
    <w:tmpl w:val="238027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675E45E1"/>
    <w:multiLevelType w:val="hybridMultilevel"/>
    <w:tmpl w:val="1108B01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83D45A5"/>
    <w:multiLevelType w:val="hybridMultilevel"/>
    <w:tmpl w:val="8028FE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19B1959"/>
    <w:multiLevelType w:val="hybridMultilevel"/>
    <w:tmpl w:val="52B43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2322C6F"/>
    <w:multiLevelType w:val="hybridMultilevel"/>
    <w:tmpl w:val="856E74D2"/>
    <w:lvl w:ilvl="0" w:tplc="1FEAC934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4">
    <w:nsid w:val="733C0D99"/>
    <w:multiLevelType w:val="hybridMultilevel"/>
    <w:tmpl w:val="9B743108"/>
    <w:lvl w:ilvl="0" w:tplc="0809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5">
    <w:nsid w:val="762541DC"/>
    <w:multiLevelType w:val="hybridMultilevel"/>
    <w:tmpl w:val="C5E0A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9255BCD"/>
    <w:multiLevelType w:val="hybridMultilevel"/>
    <w:tmpl w:val="011E4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A1741A"/>
    <w:multiLevelType w:val="hybridMultilevel"/>
    <w:tmpl w:val="BB38E3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BAB1C06"/>
    <w:multiLevelType w:val="hybridMultilevel"/>
    <w:tmpl w:val="702CB58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7C7F641C"/>
    <w:multiLevelType w:val="hybridMultilevel"/>
    <w:tmpl w:val="A3BA8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7DD63FED"/>
    <w:multiLevelType w:val="hybridMultilevel"/>
    <w:tmpl w:val="356A7A0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1"/>
  </w:num>
  <w:num w:numId="4">
    <w:abstractNumId w:val="24"/>
  </w:num>
  <w:num w:numId="5">
    <w:abstractNumId w:val="20"/>
  </w:num>
  <w:num w:numId="6">
    <w:abstractNumId w:val="50"/>
  </w:num>
  <w:num w:numId="7">
    <w:abstractNumId w:val="28"/>
  </w:num>
  <w:num w:numId="8">
    <w:abstractNumId w:val="14"/>
  </w:num>
  <w:num w:numId="9">
    <w:abstractNumId w:val="47"/>
  </w:num>
  <w:num w:numId="10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4" w:hanging="79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1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10" w:hanging="510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2">
    <w:abstractNumId w:val="2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454" w:hanging="45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13">
    <w:abstractNumId w:val="25"/>
  </w:num>
  <w:num w:numId="14">
    <w:abstractNumId w:val="6"/>
  </w:num>
  <w:num w:numId="15">
    <w:abstractNumId w:val="29"/>
  </w:num>
  <w:num w:numId="16">
    <w:abstractNumId w:val="35"/>
  </w:num>
  <w:num w:numId="17">
    <w:abstractNumId w:val="3"/>
  </w:num>
  <w:num w:numId="18">
    <w:abstractNumId w:val="34"/>
  </w:num>
  <w:num w:numId="19">
    <w:abstractNumId w:val="18"/>
  </w:num>
  <w:num w:numId="20">
    <w:abstractNumId w:val="33"/>
  </w:num>
  <w:num w:numId="21">
    <w:abstractNumId w:val="1"/>
  </w:num>
  <w:num w:numId="22">
    <w:abstractNumId w:val="42"/>
  </w:num>
  <w:num w:numId="23">
    <w:abstractNumId w:val="30"/>
  </w:num>
  <w:num w:numId="24">
    <w:abstractNumId w:val="12"/>
  </w:num>
  <w:num w:numId="25">
    <w:abstractNumId w:val="36"/>
  </w:num>
  <w:num w:numId="26">
    <w:abstractNumId w:val="46"/>
  </w:num>
  <w:num w:numId="27">
    <w:abstractNumId w:val="26"/>
  </w:num>
  <w:num w:numId="28">
    <w:abstractNumId w:val="32"/>
  </w:num>
  <w:num w:numId="29">
    <w:abstractNumId w:val="22"/>
  </w:num>
  <w:num w:numId="30">
    <w:abstractNumId w:val="21"/>
  </w:num>
  <w:num w:numId="31">
    <w:abstractNumId w:val="40"/>
  </w:num>
  <w:num w:numId="32">
    <w:abstractNumId w:val="44"/>
  </w:num>
  <w:num w:numId="33">
    <w:abstractNumId w:val="43"/>
  </w:num>
  <w:num w:numId="34">
    <w:abstractNumId w:val="8"/>
  </w:num>
  <w:num w:numId="35">
    <w:abstractNumId w:val="11"/>
  </w:num>
  <w:num w:numId="36">
    <w:abstractNumId w:val="5"/>
  </w:num>
  <w:num w:numId="37">
    <w:abstractNumId w:val="15"/>
  </w:num>
  <w:num w:numId="38">
    <w:abstractNumId w:val="38"/>
  </w:num>
  <w:num w:numId="39">
    <w:abstractNumId w:val="16"/>
  </w:num>
  <w:num w:numId="40">
    <w:abstractNumId w:val="23"/>
  </w:num>
  <w:num w:numId="41">
    <w:abstractNumId w:val="31"/>
  </w:num>
  <w:num w:numId="42">
    <w:abstractNumId w:val="9"/>
  </w:num>
  <w:num w:numId="43">
    <w:abstractNumId w:val="4"/>
  </w:num>
  <w:num w:numId="44">
    <w:abstractNumId w:val="39"/>
  </w:num>
  <w:num w:numId="45">
    <w:abstractNumId w:val="37"/>
  </w:num>
  <w:num w:numId="46">
    <w:abstractNumId w:val="19"/>
  </w:num>
  <w:num w:numId="47">
    <w:abstractNumId w:val="48"/>
  </w:num>
  <w:num w:numId="48">
    <w:abstractNumId w:val="13"/>
  </w:num>
  <w:num w:numId="49">
    <w:abstractNumId w:val="49"/>
  </w:num>
  <w:num w:numId="50">
    <w:abstractNumId w:val="7"/>
  </w:num>
  <w:num w:numId="51">
    <w:abstractNumId w:val="2"/>
  </w:num>
  <w:num w:numId="52">
    <w:abstractNumId w:val="27"/>
  </w:num>
  <w:num w:numId="53">
    <w:abstractNumId w:val="0"/>
  </w:num>
  <w:num w:numId="54">
    <w:abstractNumId w:val="10"/>
  </w:num>
  <w:num w:numId="55">
    <w:abstractNumId w:val="4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revisionView w:markup="0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VERPAGE_EXISTS" w:val="True"/>
    <w:docVar w:name="DocStatus" w:val="Green"/>
    <w:docVar w:name="LW_CONFIDENCE" w:val=" "/>
    <w:docVar w:name="LW_CONST_RESTREINT_UE" w:val="RESTREINT UE"/>
    <w:docVar w:name="LW_CORRIGENDUM" w:val="&lt;UNUSED&gt;"/>
    <w:docVar w:name="LW_COVERPAGE_GUID" w:val="4110630E0FE44754A45CC9C3D8375605"/>
    <w:docVar w:name="LW_CROSSREFERENCE" w:val="&lt;UNUSED&gt;"/>
    <w:docVar w:name="LW_DocType" w:val="NORMAL"/>
    <w:docVar w:name="LW_EMISSION" w:val="30.11.2016"/>
    <w:docVar w:name="LW_EMISSION_ISODATE" w:val="2016-11-30"/>
    <w:docVar w:name="LW_EMISSION_LOCATION" w:val="BRX"/>
    <w:docVar w:name="LW_EMISSION_PREFIX" w:val="Bruksela, dnia "/>
    <w:docVar w:name="LW_EMISSION_SUFFIX" w:val=" r."/>
    <w:docVar w:name="LW_ID_DOCTYPE_NONLW" w:val="CP-014"/>
    <w:docVar w:name="LW_LANGUE" w:val="PL"/>
    <w:docVar w:name="LW_MARKING" w:val="&lt;UNUSED&gt;"/>
    <w:docVar w:name="LW_NOM.INST" w:val="KOMISJA EUROPEJSKA"/>
    <w:docVar w:name="LW_NOM.INST_JOINTDOC" w:val="&lt;EMPTY&gt;"/>
    <w:docVar w:name="LW_PART_NBR" w:val="1"/>
    <w:docVar w:name="LW_PART_NBR_TOTAL" w:val="1"/>
    <w:docVar w:name="LW_REF.INST.NEW" w:val="COM"/>
    <w:docVar w:name="LW_REF.INST.NEW_ADOPTED" w:val="final"/>
    <w:docVar w:name="LW_REF.INST.NEW_TEXT" w:val="(2016) 766"/>
    <w:docVar w:name="LW_REF.INTERNE" w:val="&lt;UNUSED&gt;"/>
    <w:docVar w:name="LW_SOUS.TITRE.OBJ" w:val="The first European milestone towards cooperative, connected and automated mobility"/>
    <w:docVar w:name="LW_SOUS.TITRE.OBJ.CP" w:val="&lt;UNUSED&gt;"/>
    <w:docVar w:name="LW_SUPERTITRE" w:val="&lt;UNUSED&gt;"/>
    <w:docVar w:name="LW_TITRE.OBJ.CP" w:val="Europejska strategia na rzecz wspó\u322?pracuj\u261?cych inteligentnych systemów transportowych \u8211? wa\u380?ny krok w kierunku mobilno\u347?ci pojazdów wspó\u322?pracuj\u261?cych, po\u322?\u261?czonych i zautomatyzowanych"/>
    <w:docVar w:name="LW_TYPE.DOC.CP" w:val="KOMUNIKAT KOMISJI DO PARLAMENTU EUROPEJSKIEGO, RADY, EUROPEJSKIEGO KOMITETU EKONOMICZNO-SPO\u321?ECZNEGO I KOMITETU REGIONÓW"/>
    <w:docVar w:name="LW_TYPE.DOC.CP.USERTEXT" w:val="&lt;EMPTY&gt;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</w:style>
  <w:style w:type="paragraph" w:customStyle="1" w:styleId="Typedudocument">
    <w:name w:val="Type du document"/>
    <w:basedOn w:val="Normal"/>
    <w:next w:val="Normal"/>
    <w:pPr>
      <w:spacing w:before="360" w:after="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Titreobjet">
    <w:name w:val="Titre objet"/>
    <w:basedOn w:val="Normal"/>
    <w:next w:val="Normal"/>
    <w:pPr>
      <w:spacing w:before="360" w:after="360" w:line="240" w:lineRule="auto"/>
      <w:jc w:val="center"/>
    </w:pPr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customStyle="1" w:styleId="mainbidtable">
    <w:name w:val="main bid table"/>
    <w:basedOn w:val="TableNormal"/>
    <w:uiPriority w:val="99"/>
    <w:pPr>
      <w:spacing w:before="60" w:after="0" w:line="240" w:lineRule="auto"/>
    </w:pPr>
    <w:rPr>
      <w:rFonts w:ascii="Arial" w:eastAsia="Times New Roman" w:hAnsi="Arial" w:cs="Times New Roman"/>
      <w:sz w:val="20"/>
      <w:szCs w:val="20"/>
    </w:rPr>
    <w:tblPr>
      <w:tblStyleRowBandSize w:val="1"/>
      <w:tblStyleColBandSize w:val="1"/>
      <w:tblInd w:w="0" w:type="dxa"/>
      <w:tblBorders>
        <w:left w:val="single" w:sz="4" w:space="0" w:color="0055A0"/>
        <w:bottom w:val="single" w:sz="4" w:space="0" w:color="0055A0"/>
        <w:right w:val="single" w:sz="4" w:space="0" w:color="0055A0"/>
        <w:insideV w:val="single" w:sz="4" w:space="0" w:color="0055A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top w:val="nil"/>
          <w:left w:val="single" w:sz="4" w:space="0" w:color="0055A0"/>
          <w:bottom w:val="nil"/>
          <w:right w:val="single" w:sz="4" w:space="0" w:color="0055A0"/>
          <w:insideH w:val="nil"/>
          <w:insideV w:val="nil"/>
          <w:tl2br w:val="nil"/>
          <w:tr2bl w:val="nil"/>
        </w:tcBorders>
        <w:shd w:val="clear" w:color="auto" w:fill="006BB7"/>
      </w:tcPr>
    </w:tblStylePr>
    <w:tblStylePr w:type="band1Vert">
      <w:pPr>
        <w:jc w:val="left"/>
      </w:pPr>
      <w:tblPr/>
      <w:tcPr>
        <w:shd w:val="clear" w:color="auto" w:fill="F5F9FC"/>
      </w:tcPr>
    </w:tblStylePr>
    <w:tblStylePr w:type="band1Horz">
      <w:tblPr/>
      <w:tcPr>
        <w:shd w:val="clear" w:color="auto" w:fill="EDF3F7"/>
      </w:tcPr>
    </w:tblStylePr>
    <w:tblStylePr w:type="band2Horz">
      <w:tblPr/>
      <w:tcPr>
        <w:tcBorders>
          <w:insideV w:val="single" w:sz="4" w:space="0" w:color="0055A0"/>
        </w:tcBorders>
        <w:shd w:val="clear" w:color="auto" w:fill="FFFFFF" w:themeFill="background1"/>
      </w:tcPr>
    </w:tblStylePr>
  </w:style>
  <w:style w:type="paragraph" w:styleId="Caption">
    <w:name w:val="caption"/>
    <w:aliases w:val="cap,cap1"/>
    <w:basedOn w:val="Normal"/>
    <w:next w:val="Normal"/>
    <w:unhideWhenUsed/>
    <w:qFormat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b/>
      <w:bCs/>
      <w:color w:val="4F81BD" w:themeColor="accent1"/>
      <w:sz w:val="18"/>
      <w:szCs w:val="18"/>
      <w:bdr w:val="nil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customStyle="1" w:styleId="Sous-titreobjet">
    <w:name w:val="Sous-titre objet"/>
    <w:basedOn w:val="Normal"/>
    <w:pPr>
      <w:spacing w:after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s1">
    <w:name w:val="s1"/>
    <w:basedOn w:val="DefaultParagraphFont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pl-P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paragraph" w:customStyle="1" w:styleId="Pagedecouverture">
    <w:name w:val="Page de couverture"/>
    <w:basedOn w:val="Normal"/>
    <w:next w:val="Normal"/>
    <w:pPr>
      <w:spacing w:after="0" w:line="240" w:lineRule="auto"/>
      <w:jc w:val="both"/>
    </w:pPr>
    <w:rPr>
      <w:rFonts w:ascii="Times New Roman" w:hAnsi="Times New Roman" w:cs="Times New Roman"/>
      <w:sz w:val="24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FooterCoverPage">
    <w:name w:val="Footer Cover Page"/>
    <w:basedOn w:val="Normal"/>
    <w:link w:val="FooterCoverPageChar"/>
    <w:pPr>
      <w:tabs>
        <w:tab w:val="center" w:pos="4535"/>
        <w:tab w:val="right" w:pos="9071"/>
        <w:tab w:val="right" w:pos="9921"/>
      </w:tabs>
      <w:spacing w:before="360" w:after="0" w:line="240" w:lineRule="auto"/>
      <w:ind w:left="-850" w:right="-850"/>
    </w:pPr>
    <w:rPr>
      <w:rFonts w:ascii="Times New Roman" w:hAnsi="Times New Roman" w:cs="Times New Roman"/>
      <w:sz w:val="24"/>
    </w:rPr>
  </w:style>
  <w:style w:type="character" w:customStyle="1" w:styleId="FooterCoverPageChar">
    <w:name w:val="Footer Cover Page Char"/>
    <w:basedOn w:val="DefaultParagraphFont"/>
    <w:link w:val="FooterCoverPage"/>
    <w:rPr>
      <w:rFonts w:ascii="Times New Roman" w:hAnsi="Times New Roman" w:cs="Times New Roman"/>
      <w:sz w:val="24"/>
    </w:rPr>
  </w:style>
  <w:style w:type="paragraph" w:customStyle="1" w:styleId="HeaderCoverPage">
    <w:name w:val="Header Cover Page"/>
    <w:basedOn w:val="Normal"/>
    <w:link w:val="HeaderCoverPageChar"/>
    <w:pPr>
      <w:tabs>
        <w:tab w:val="center" w:pos="4535"/>
        <w:tab w:val="right" w:pos="9071"/>
      </w:tabs>
      <w:spacing w:after="120" w:line="240" w:lineRule="auto"/>
      <w:jc w:val="both"/>
    </w:pPr>
    <w:rPr>
      <w:rFonts w:ascii="Times New Roman" w:hAnsi="Times New Roman" w:cs="Times New Roman"/>
      <w:sz w:val="24"/>
    </w:rPr>
  </w:style>
  <w:style w:type="character" w:customStyle="1" w:styleId="HeaderCoverPageChar">
    <w:name w:val="Header Cover Page Char"/>
    <w:basedOn w:val="DefaultParagraphFont"/>
    <w:link w:val="HeaderCoverPage"/>
    <w:rPr>
      <w:rFonts w:ascii="Times New Roman" w:hAnsi="Times New Roman" w:cs="Times New Roman"/>
      <w:sz w:val="24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</w:style>
  <w:style w:type="paragraph" w:customStyle="1" w:styleId="Typedudocument">
    <w:name w:val="Type du document"/>
    <w:basedOn w:val="Normal"/>
    <w:next w:val="Normal"/>
    <w:pPr>
      <w:spacing w:before="360" w:after="0" w:line="240" w:lineRule="auto"/>
      <w:jc w:val="center"/>
    </w:pPr>
    <w:rPr>
      <w:rFonts w:ascii="Times New Roman" w:hAnsi="Times New Roman" w:cs="Times New Roman"/>
      <w:b/>
      <w:sz w:val="24"/>
    </w:rPr>
  </w:style>
  <w:style w:type="paragraph" w:customStyle="1" w:styleId="Titreobjet">
    <w:name w:val="Titre objet"/>
    <w:basedOn w:val="Normal"/>
    <w:next w:val="Normal"/>
    <w:pPr>
      <w:spacing w:before="360" w:after="360" w:line="240" w:lineRule="auto"/>
      <w:jc w:val="center"/>
    </w:pPr>
    <w:rPr>
      <w:rFonts w:ascii="Times New Roman" w:hAnsi="Times New Roman" w:cs="Times New Roman"/>
      <w:b/>
      <w:sz w:val="24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table" w:customStyle="1" w:styleId="mainbidtable">
    <w:name w:val="main bid table"/>
    <w:basedOn w:val="TableNormal"/>
    <w:uiPriority w:val="99"/>
    <w:pPr>
      <w:spacing w:before="60" w:after="0" w:line="240" w:lineRule="auto"/>
    </w:pPr>
    <w:rPr>
      <w:rFonts w:ascii="Arial" w:eastAsia="Times New Roman" w:hAnsi="Arial" w:cs="Times New Roman"/>
      <w:sz w:val="20"/>
      <w:szCs w:val="20"/>
    </w:rPr>
    <w:tblPr>
      <w:tblStyleRowBandSize w:val="1"/>
      <w:tblStyleColBandSize w:val="1"/>
      <w:tblInd w:w="0" w:type="dxa"/>
      <w:tblBorders>
        <w:left w:val="single" w:sz="4" w:space="0" w:color="0055A0"/>
        <w:bottom w:val="single" w:sz="4" w:space="0" w:color="0055A0"/>
        <w:right w:val="single" w:sz="4" w:space="0" w:color="0055A0"/>
        <w:insideV w:val="single" w:sz="4" w:space="0" w:color="0055A0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rPr>
        <w:color w:val="FFFFFF" w:themeColor="background1"/>
      </w:rPr>
      <w:tblPr/>
      <w:tcPr>
        <w:tcBorders>
          <w:top w:val="nil"/>
          <w:left w:val="single" w:sz="4" w:space="0" w:color="0055A0"/>
          <w:bottom w:val="nil"/>
          <w:right w:val="single" w:sz="4" w:space="0" w:color="0055A0"/>
          <w:insideH w:val="nil"/>
          <w:insideV w:val="nil"/>
          <w:tl2br w:val="nil"/>
          <w:tr2bl w:val="nil"/>
        </w:tcBorders>
        <w:shd w:val="clear" w:color="auto" w:fill="006BB7"/>
      </w:tcPr>
    </w:tblStylePr>
    <w:tblStylePr w:type="band1Vert">
      <w:pPr>
        <w:jc w:val="left"/>
      </w:pPr>
      <w:tblPr/>
      <w:tcPr>
        <w:shd w:val="clear" w:color="auto" w:fill="F5F9FC"/>
      </w:tcPr>
    </w:tblStylePr>
    <w:tblStylePr w:type="band1Horz">
      <w:tblPr/>
      <w:tcPr>
        <w:shd w:val="clear" w:color="auto" w:fill="EDF3F7"/>
      </w:tcPr>
    </w:tblStylePr>
    <w:tblStylePr w:type="band2Horz">
      <w:tblPr/>
      <w:tcPr>
        <w:tcBorders>
          <w:insideV w:val="single" w:sz="4" w:space="0" w:color="0055A0"/>
        </w:tcBorders>
        <w:shd w:val="clear" w:color="auto" w:fill="FFFFFF" w:themeFill="background1"/>
      </w:tcPr>
    </w:tblStylePr>
  </w:style>
  <w:style w:type="paragraph" w:styleId="Caption">
    <w:name w:val="caption"/>
    <w:aliases w:val="cap,cap1"/>
    <w:basedOn w:val="Normal"/>
    <w:next w:val="Normal"/>
    <w:unhideWhenUsed/>
    <w:qFormat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Times New Roman" w:eastAsia="Arial Unicode MS" w:hAnsi="Times New Roman" w:cs="Times New Roman"/>
      <w:b/>
      <w:bCs/>
      <w:color w:val="4F81BD" w:themeColor="accent1"/>
      <w:sz w:val="18"/>
      <w:szCs w:val="18"/>
      <w:bdr w:val="nil"/>
    </w:rPr>
  </w:style>
  <w:style w:type="paragraph" w:styleId="NoSpacing">
    <w:name w:val="No Spacing"/>
    <w:uiPriority w:val="1"/>
    <w:qFormat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Revision">
    <w:name w:val="Revision"/>
    <w:hidden/>
    <w:uiPriority w:val="99"/>
    <w:semiHidden/>
    <w:pPr>
      <w:spacing w:after="0" w:line="240" w:lineRule="auto"/>
    </w:pPr>
  </w:style>
  <w:style w:type="paragraph" w:customStyle="1" w:styleId="Sous-titreobjet">
    <w:name w:val="Sous-titre objet"/>
    <w:basedOn w:val="Normal"/>
    <w:pPr>
      <w:spacing w:after="0" w:line="240" w:lineRule="auto"/>
      <w:jc w:val="center"/>
    </w:pPr>
    <w:rPr>
      <w:rFonts w:ascii="Times New Roman" w:hAnsi="Times New Roman" w:cs="Times New Roman"/>
      <w:b/>
      <w:sz w:val="24"/>
    </w:rPr>
  </w:style>
  <w:style w:type="character" w:customStyle="1" w:styleId="s1">
    <w:name w:val="s1"/>
    <w:basedOn w:val="DefaultParagraphFont"/>
    <w:rPr>
      <w:rFonts w:ascii=".SFUIText-Regular" w:hAnsi=".SFUIText-Regular" w:hint="default"/>
      <w:b w:val="0"/>
      <w:bCs w:val="0"/>
      <w:i w:val="0"/>
      <w:iCs w:val="0"/>
      <w:sz w:val="34"/>
      <w:szCs w:val="34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notes.xml.rels><?xml version='1.0' encoding='UTF-8' standalone='yes'?>
<Relationships xmlns="http://schemas.openxmlformats.org/package/2006/relationships"><Relationship Id="rId8" Type="http://schemas.openxmlformats.org/officeDocument/2006/relationships/hyperlink" Target="http://c-its-korridor.de/" TargetMode="External"/><Relationship Id="rId13" Type="http://schemas.openxmlformats.org/officeDocument/2006/relationships/hyperlink" Target="http://ec.europa.eu/transport/themes/its/c-its_en.htm" TargetMode="External"/><Relationship Id="rId18" Type="http://schemas.openxmlformats.org/officeDocument/2006/relationships/hyperlink" Target="http://eur-lex.europa.eu/legal-content/pl/TXT/?uri=CELEX:32016R0679" TargetMode="External"/><Relationship Id="rId3" Type="http://schemas.openxmlformats.org/officeDocument/2006/relationships/hyperlink" Target="http://eur-lex.europa.eu/legal-content/PL/TXT/?uri=COM:2015:80:FIN" TargetMode="External"/><Relationship Id="rId21" Type="http://schemas.openxmlformats.org/officeDocument/2006/relationships/hyperlink" Target="http://eur-lex.europa.eu/legal-content/PL/TXT/?qid=1479301730611&amp;uri=CELEX:52016SC0306" TargetMode="External"/><Relationship Id="rId7" Type="http://schemas.openxmlformats.org/officeDocument/2006/relationships/hyperlink" Target="http://www.mlit.go.jp/common/001146631.pdf" TargetMode="External"/><Relationship Id="rId12" Type="http://schemas.openxmlformats.org/officeDocument/2006/relationships/hyperlink" Target="https://www.car-2-car.org/index.php?id=214" TargetMode="External"/><Relationship Id="rId17" Type="http://schemas.openxmlformats.org/officeDocument/2006/relationships/hyperlink" Target="https://dtc.jrc.ec.europa.eu/" TargetMode="External"/><Relationship Id="rId2" Type="http://schemas.openxmlformats.org/officeDocument/2006/relationships/hyperlink" Target="http://ftp.jrc.es/EURdoc/JRC69961.pdf" TargetMode="External"/><Relationship Id="rId16" Type="http://schemas.openxmlformats.org/officeDocument/2006/relationships/hyperlink" Target="http://eur-lex.europa.eu/legal-content/PL/TXT/?qid=1479300918497&amp;uri=CELEX:52016DC0288" TargetMode="External"/><Relationship Id="rId20" Type="http://schemas.openxmlformats.org/officeDocument/2006/relationships/hyperlink" Target="http://eur-lex.europa.eu/legal-content/PL/TXT/?qid=1479301654220&amp;uri=CELEX:52016DC0588" TargetMode="External"/><Relationship Id="rId1" Type="http://schemas.openxmlformats.org/officeDocument/2006/relationships/hyperlink" Target="http://eur-lex.europa.eu/legal-content/PL/TXT/?qid=1476374593053&amp;uri=CELEX:52016DC0501" TargetMode="External"/><Relationship Id="rId6" Type="http://schemas.openxmlformats.org/officeDocument/2006/relationships/hyperlink" Target="http://www.bmvi.de/SharedDocs/EN/Artikel/K/G7/g7-dokumente.html" TargetMode="External"/><Relationship Id="rId11" Type="http://schemas.openxmlformats.org/officeDocument/2006/relationships/hyperlink" Target="https://english.eu2016.nl/documents/publications/2016/04/14/declaration-of-amsterdam" TargetMode="External"/><Relationship Id="rId5" Type="http://schemas.openxmlformats.org/officeDocument/2006/relationships/hyperlink" Target="http://eur-lex.europa.eu/legal-content/de/TXT/?uri=CELEX:52016SC0110" TargetMode="External"/><Relationship Id="rId15" Type="http://schemas.openxmlformats.org/officeDocument/2006/relationships/hyperlink" Target="http://ec.europa.eu/transport/sites/transport/files/2016-c-its-deployment-study-public-consultation.pdf" TargetMode="External"/><Relationship Id="rId23" Type="http://schemas.openxmlformats.org/officeDocument/2006/relationships/hyperlink" Target="http://www.c-roads.eu/" TargetMode="External"/><Relationship Id="rId10" Type="http://schemas.openxmlformats.org/officeDocument/2006/relationships/hyperlink" Target="http://eur-lex.europa.eu/legal-content/PL/TXT/?qid=1479300756981&amp;uri=CELEX:52016DC0705" TargetMode="External"/><Relationship Id="rId19" Type="http://schemas.openxmlformats.org/officeDocument/2006/relationships/hyperlink" Target="http://eur-lex.europa.eu/legal-content/PL/TXT/?uri=celex:32014L0053" TargetMode="External"/><Relationship Id="rId4" Type="http://schemas.openxmlformats.org/officeDocument/2006/relationships/hyperlink" Target="http://eur-lex.europa.eu/legal-content/PL/TXT/?qid=1479300554594&amp;uri=CELEX:52016DC0180" TargetMode="External"/><Relationship Id="rId9" Type="http://schemas.openxmlformats.org/officeDocument/2006/relationships/hyperlink" Target="https://amsterdamgroup.mett.nl/" TargetMode="External"/><Relationship Id="rId14" Type="http://schemas.openxmlformats.org/officeDocument/2006/relationships/hyperlink" Target="http://ec.europa.eu/transport/sites/transport/files/2016-c-its-deployment-study-final-report.pdf" TargetMode="External"/><Relationship Id="rId22" Type="http://schemas.openxmlformats.org/officeDocument/2006/relationships/hyperlink" Target="http://eur-lex.europa.eu/legal-content/PL/TXT/?uri=CELEX:32008D0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8D369-F637-4CD5-8E6C-2D06BDB70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14</Pages>
  <Words>4434</Words>
  <Characters>30512</Characters>
  <Application>Microsoft Office Word</Application>
  <DocSecurity>0</DocSecurity>
  <Lines>484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18</cp:revision>
  <cp:lastPrinted>2016-11-03T14:43:00Z</cp:lastPrinted>
  <dcterms:created xsi:type="dcterms:W3CDTF">2016-11-28T09:01:00Z</dcterms:created>
  <dcterms:modified xsi:type="dcterms:W3CDTF">2016-12-16T13:17:00Z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art">
    <vt:lpwstr>1</vt:lpwstr>
  </property>
  <property fmtid="{D5CDD505-2E9C-101B-9397-08002B2CF9AE}" pid="3" name="Total parts">
    <vt:lpwstr>1</vt:lpwstr>
  </property>
  <property fmtid="{D5CDD505-2E9C-101B-9397-08002B2CF9AE}" pid="4" name="Classification">
    <vt:lpwstr> </vt:lpwstr>
  </property>
  <property fmtid="{D5CDD505-2E9C-101B-9397-08002B2CF9AE}" pid="5" name="DocStatus">
    <vt:lpwstr>Green</vt:lpwstr>
  </property>
  <property name="OP_sanitized" fmtid="{D5CDD505-2E9C-101B-9397-08002B2CF9AE}" pid="6">
    <vt:lpwstr>True</vt:lpwstr>
  </property>
</Properties>
</file>