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29C5E5B8BCF04A72851F0B664966AA69" style="width:450.75pt;height:366pt">
            <v:imagedata r:id="rId11" o:title=""/>
          </v:shape>
        </w:pict>
      </w:r>
    </w:p>
    <w:p>
      <w:pPr>
        <w:rPr>
          <w:noProof/>
        </w:rPr>
        <w:sectPr>
          <w:footerReference w:type="default" r:id="rId12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</w:p>
    <w:p>
      <w:pPr>
        <w:rPr>
          <w:noProof/>
        </w:rPr>
      </w:pPr>
    </w:p>
    <w:p>
      <w:pPr>
        <w:pStyle w:val="Statut"/>
        <w:rPr>
          <w:noProof/>
        </w:rPr>
      </w:pPr>
      <w:r>
        <w:rPr>
          <w:noProof/>
        </w:rPr>
        <w:t>Zalecenie</w:t>
      </w:r>
    </w:p>
    <w:p>
      <w:pPr>
        <w:pStyle w:val="Typedudocument"/>
        <w:rPr>
          <w:noProof/>
        </w:rPr>
      </w:pPr>
      <w:r>
        <w:rPr>
          <w:noProof/>
        </w:rPr>
        <w:t>ZALECENIE RADY</w:t>
      </w:r>
    </w:p>
    <w:p>
      <w:pPr>
        <w:pStyle w:val="Titreobjet"/>
        <w:rPr>
          <w:noProof/>
        </w:rPr>
      </w:pPr>
      <w:r>
        <w:rPr>
          <w:noProof/>
        </w:rPr>
        <w:t>w sprawie krajowego programu reform Danii na 2016 r.</w:t>
      </w:r>
      <w:r>
        <w:rPr>
          <w:noProof/>
        </w:rPr>
        <w:br/>
      </w:r>
      <w:r>
        <w:rPr>
          <w:noProof/>
        </w:rPr>
        <w:br/>
        <w:t>oraz zawierające opinię Rady na temat przedstawionego przez Danię programu konwergencji na 2016 r.</w:t>
      </w:r>
    </w:p>
    <w:p>
      <w:pPr>
        <w:pStyle w:val="Institutionquiagit"/>
        <w:rPr>
          <w:noProof/>
        </w:rPr>
      </w:pPr>
      <w:r>
        <w:rPr>
          <w:noProof/>
        </w:rPr>
        <w:t>RADA UNII EUROPEJSKIEJ,</w:t>
      </w:r>
    </w:p>
    <w:p>
      <w:pPr>
        <w:rPr>
          <w:noProof/>
        </w:rPr>
      </w:pPr>
      <w:r>
        <w:rPr>
          <w:noProof/>
        </w:rPr>
        <w:t>uwzględniając Traktat o funkcjonowaniu Unii Europejskiej, w szczególności jego art. 121 ust. 2 i art. 148 ust. 4,</w:t>
      </w:r>
    </w:p>
    <w:p>
      <w:pPr>
        <w:rPr>
          <w:noProof/>
        </w:rPr>
      </w:pPr>
      <w:r>
        <w:rPr>
          <w:noProof/>
        </w:rPr>
        <w:t>uwzględniając rozporządzenie Rady (WE) nr 1466/97 z dnia 7 lipca 1997 r. w sprawie wzmocnienia nadzoru pozycji budżetowych oraz nadzoru i koordynacji polityk gospodarczych</w:t>
      </w:r>
      <w:r>
        <w:rPr>
          <w:rStyle w:val="FootnoteReference"/>
          <w:noProof/>
        </w:rPr>
        <w:footnoteReference w:id="2"/>
      </w:r>
      <w:r>
        <w:rPr>
          <w:noProof/>
        </w:rPr>
        <w:t>, w szczególności jego art. 9 ust. 2,</w:t>
      </w:r>
    </w:p>
    <w:p>
      <w:pPr>
        <w:rPr>
          <w:noProof/>
        </w:rPr>
      </w:pPr>
      <w:r>
        <w:rPr>
          <w:noProof/>
        </w:rPr>
        <w:t>uwzględniając zalecenie Komisji Europejskiej</w:t>
      </w:r>
      <w:r>
        <w:rPr>
          <w:rStyle w:val="FootnoteReference"/>
          <w:noProof/>
        </w:rPr>
        <w:footnoteReference w:id="3"/>
      </w:r>
      <w:r>
        <w:rPr>
          <w:noProof/>
        </w:rPr>
        <w:t>,</w:t>
      </w:r>
    </w:p>
    <w:p>
      <w:pPr>
        <w:rPr>
          <w:noProof/>
        </w:rPr>
      </w:pPr>
      <w:r>
        <w:rPr>
          <w:noProof/>
        </w:rPr>
        <w:t>uwzględniając rezolucje Parlamentu Europejskiego</w:t>
      </w:r>
      <w:r>
        <w:rPr>
          <w:rStyle w:val="FootnoteReference"/>
          <w:noProof/>
        </w:rPr>
        <w:footnoteReference w:id="4"/>
      </w:r>
      <w:r>
        <w:rPr>
          <w:noProof/>
        </w:rPr>
        <w:t>,</w:t>
      </w:r>
    </w:p>
    <w:p>
      <w:pPr>
        <w:outlineLvl w:val="0"/>
        <w:rPr>
          <w:noProof/>
        </w:rPr>
      </w:pPr>
      <w:r>
        <w:rPr>
          <w:noProof/>
        </w:rPr>
        <w:t>uwzględniając konkluzje Rady Europejskiej,</w:t>
      </w:r>
    </w:p>
    <w:p>
      <w:pPr>
        <w:rPr>
          <w:noProof/>
        </w:rPr>
      </w:pPr>
      <w:r>
        <w:rPr>
          <w:noProof/>
        </w:rPr>
        <w:t>uwzględniając opinię Komitetu Zatrudnienia,</w:t>
      </w:r>
    </w:p>
    <w:p>
      <w:pPr>
        <w:rPr>
          <w:noProof/>
        </w:rPr>
      </w:pPr>
      <w:r>
        <w:rPr>
          <w:noProof/>
        </w:rPr>
        <w:t>uwzględniając opinię Komitetu Ekonomiczno-Finansowego,</w:t>
      </w:r>
    </w:p>
    <w:p>
      <w:pPr>
        <w:rPr>
          <w:noProof/>
        </w:rPr>
      </w:pPr>
      <w:r>
        <w:rPr>
          <w:noProof/>
        </w:rPr>
        <w:t>uwzględniając opinię Komitetu Ochrony Socjalnej,</w:t>
      </w:r>
    </w:p>
    <w:p>
      <w:pPr>
        <w:rPr>
          <w:noProof/>
        </w:rPr>
      </w:pPr>
      <w:r>
        <w:rPr>
          <w:noProof/>
        </w:rPr>
        <w:t>uwzględniając opinię Komitetu Polityki Gospodarczej,</w:t>
      </w:r>
    </w:p>
    <w:p>
      <w:pPr>
        <w:rPr>
          <w:noProof/>
        </w:rPr>
      </w:pPr>
      <w:r>
        <w:rPr>
          <w:noProof/>
        </w:rPr>
        <w:t>a także mając na uwadze, co następuje:</w:t>
      </w:r>
    </w:p>
    <w:p>
      <w:pPr>
        <w:pStyle w:val="Point0number"/>
        <w:numPr>
          <w:ilvl w:val="0"/>
          <w:numId w:val="9"/>
        </w:numPr>
        <w:rPr>
          <w:noProof/>
        </w:rPr>
      </w:pPr>
      <w:r>
        <w:rPr>
          <w:noProof/>
        </w:rPr>
        <w:t>W dniu 26 listopada 2015 r. Komisja przyjęła roczną analizę wzrostu gospodarczego</w:t>
      </w:r>
      <w:r>
        <w:rPr>
          <w:rStyle w:val="FootnoteReference"/>
          <w:noProof/>
        </w:rPr>
        <w:footnoteReference w:id="5"/>
      </w:r>
      <w:r>
        <w:rPr>
          <w:noProof/>
        </w:rPr>
        <w:t>, rozpoczynając tym samym europejski semestr na rzecz koordynacji polityki gospodarczej w 2016 r. Priorytety określone w rocznej analizie wzrostu gospodarczego zostały zatwierdzone przez Radę Europejską na posiedzeniu w dniach 17–18 marca 2016 r. W dniu 26 listopada 2015 r. na podstawie rozporządzenia (UE) nr 1176/2011 Komisja przyjęła sprawozdanie przedkładane w ramach mechanizmu ostrzegania</w:t>
      </w:r>
      <w:r>
        <w:rPr>
          <w:rStyle w:val="FootnoteReference"/>
          <w:noProof/>
        </w:rPr>
        <w:footnoteReference w:id="6"/>
      </w:r>
      <w:r>
        <w:rPr>
          <w:noProof/>
        </w:rPr>
        <w:t xml:space="preserve">, w którym nie wskazała Danii jako jednego z państw członkowskich, w przypadku których przeprowadzona zostanie szczegółowa ocena sytuacji. </w:t>
      </w:r>
    </w:p>
    <w:p>
      <w:pPr>
        <w:pStyle w:val="Point0number"/>
        <w:rPr>
          <w:noProof/>
        </w:rPr>
      </w:pPr>
      <w:r>
        <w:rPr>
          <w:noProof/>
        </w:rPr>
        <w:lastRenderedPageBreak/>
        <w:t>W dniu 26 lutego 2016 r. opublikowano sprawozdanie krajowe na 2016 r. dotyczące Danii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. Zawarto w nim ocenę postępów Danii w realizacji zaleceń dla tego kraju, przyjętych przez Radę w dniu 14 lipca 2015 r., i postępów Danii w realizacji swoich krajowych celów w ramach strategii „Europa 2020”. </w:t>
      </w:r>
    </w:p>
    <w:p>
      <w:pPr>
        <w:pStyle w:val="Point0number"/>
        <w:rPr>
          <w:noProof/>
        </w:rPr>
      </w:pPr>
      <w:r>
        <w:rPr>
          <w:noProof/>
        </w:rPr>
        <w:t>W dniu 26 kwietnia 2016 r. Dania przedłożyła swój krajowy program reform na 2016 r. i swój program konwergencji na 2016 r. W celu uwzględnienia powiązań między tymi dwoma programami poddano je jednoczesnej ocenie.</w:t>
      </w:r>
    </w:p>
    <w:p>
      <w:pPr>
        <w:pStyle w:val="Point0number"/>
        <w:rPr>
          <w:noProof/>
        </w:rPr>
      </w:pPr>
      <w:r>
        <w:rPr>
          <w:noProof/>
        </w:rPr>
        <w:t>Zalecenia dla poszczególnych krajów znalazły odzwierciedlenie w programowaniu europejskich funduszy strukturalnych i inwestycyjnych na lata 2014–2020. Jak przewidziano w art. 23 rozporządzenia (UE) nr 1303/2013, Komisja może zwrócić się do państwa członkowskiego z wnioskiem o dokonanie przeglądu oraz zaproponowanie zmian w umowie partnerstwa i odpowiednich programach wówczas, gdy jest to konieczne do wsparcia realizacji stosownych zaleceń Rady. Komisja przedstawiła dalsze szczegóły dotyczące wykorzystania przez nią tego przepisu w wytycznych w sprawie stosowania działań łączących skuteczność europejskich funduszy strukturalnych i inwestycyjnych z należytym zarządzaniem gospodarczym</w:t>
      </w:r>
      <w:r>
        <w:rPr>
          <w:rStyle w:val="FootnoteReference"/>
          <w:noProof/>
        </w:rPr>
        <w:footnoteReference w:id="8"/>
      </w:r>
      <w:r>
        <w:rPr>
          <w:noProof/>
        </w:rPr>
        <w:t>.</w:t>
      </w:r>
    </w:p>
    <w:p>
      <w:pPr>
        <w:pStyle w:val="Point0number"/>
        <w:rPr>
          <w:noProof/>
        </w:rPr>
      </w:pPr>
      <w:r>
        <w:rPr>
          <w:noProof/>
        </w:rPr>
        <w:t xml:space="preserve">Dania jest obecnie objęta funkcją zapobiegawczą paktu stabilności i wzrostu. W swoim programie konwergencji na 2016 r. rząd planuje poprawę salda nominalnego i zrównoważenie budżetu w 2020 r. Osiągnięcie średniookresowego celu budżetowego, tj. deficytu wynoszącego 0,5 % PKB w kategoriach strukturalnych, jest przewidywane na 2016 r. W programie konwergencji założono, że relacja długu do PKB wyniesie 35,1 % w 2020 r. Scenariusz makroekonomiczny, na którym oparto te prognozy budżetowe, jest wiarygodny. W prognozie Komisji z wiosny 2016 r. przewiduje się, że Dania osiągnie zgodność z zalecaną korektą budżetową w 2016 i 2017 r. Opierając się na ocenie programu konwergencji i biorąc pod uwagę prognozę Komisji z wiosny 2016 r., Rada jest zdania, że zgodnie z przewidywaniami Dania spełni warunki paktu stabilności i wzrostu.  </w:t>
      </w:r>
    </w:p>
    <w:p>
      <w:pPr>
        <w:pStyle w:val="Point0number"/>
        <w:rPr>
          <w:noProof/>
        </w:rPr>
      </w:pPr>
      <w:r>
        <w:rPr>
          <w:noProof/>
        </w:rPr>
        <w:t xml:space="preserve">Warunkiem wstępnym zrównoważonego wzrostu gospodarczego w Danii jest zapewnienie podaży siły roboczej przy starzejącym się społeczeństwie. Szereg gruntownych reform rynku pracy prowadzonych w ostatnich latach ma na celu w szczególności zwiększenie zachęt do pracy i skuteczności aktywnej polityki rynku pracy. Reformy te mogłyby przyczynić się do osiągnięcia określonego dla Danii w ramach strategii „Europa 2020” celu dotyczącego zatrudnienia oraz do trwałości duńskiego modelu bezpieczeństwa socjalnego. Potrzeba jednak jeszcze dużo starań, aby osiągnąć wyznaczony w ramach tej strategii krajowy cel dotyczący włączenia społecznego, który zakłada obniżenie liczby osób żyjących w gospodarstwach domowych o bardzo małej intensywności pracy. Problematyczne pozostają integracja na rynku pracy i poprawa szans na zatrudnienie grup w trudnej sytuacji. Dotyczy to szczególnie osób ze środowisk migracyjnych spoza UE, w tym tych, które mieszkają w Danii już od dłuższego czasu, oraz osób młodych o niskim poziomie wykształcenia. Środki na rzecz integracji na rynku pracy uzgodnione w wyniki trójstronnych negocjacji z 2016 r. mogłyby poprawić sytuację nowo przybyłych </w:t>
      </w:r>
      <w:r>
        <w:rPr>
          <w:noProof/>
        </w:rPr>
        <w:lastRenderedPageBreak/>
        <w:t>uchodźców i migrantów. Należy jednak podjąć dalsze działania, aby skutecznej włączyć inne marginalizowane grupy do rynku pracy.</w:t>
      </w:r>
    </w:p>
    <w:p>
      <w:pPr>
        <w:pStyle w:val="Point0number"/>
        <w:rPr>
          <w:noProof/>
        </w:rPr>
      </w:pPr>
      <w:r>
        <w:rPr>
          <w:noProof/>
        </w:rPr>
        <w:t>Aby utrzymać względnie wysoki poziom bezpieczeństwa socjalnego zapewniany w Danii, konieczny jest większy wzrost wydajności. Jej wzrost był tymczasem słaby przez ostatnie dwa dziesięciolecia Jedną ze wskazanych przyczyn tej sytuacji jest utrzymujący się brak konkurencji w krajowym sektorze usług, szczególnie w handlu detalicznym i budownictwie. Dania musi zatem zwiększyć wysiłki w celu poprawy wydajności w budownictwie przez usunięcie barier i wprowadzenie proporcjonalnych systemów zezwoleń, tam gdzie systemy takie uważa się za niezbędne. Powinna ona również złagodzić restrykcje dotyczące placówek handlu detalicznego, przede wszystkim wdrażając reformy zaplanowane przez rząd.</w:t>
      </w:r>
    </w:p>
    <w:p>
      <w:pPr>
        <w:pStyle w:val="Point0number"/>
        <w:rPr>
          <w:noProof/>
        </w:rPr>
      </w:pPr>
      <w:r>
        <w:rPr>
          <w:noProof/>
        </w:rPr>
        <w:t>Ogólny poziom inwestycji jest w Danii bardzo niski od czasu drastycznego spadku inwestycji prywatnych podczas kryzysu gospodarczego. Stanowi to po części odzwierciedlenie niskiego poziomu inwestycji mieszkaniowych w następstwie pęknięcia bańki budowlanej i niewykorzystywanych mocy produkcyjnych w sektorze przedsiębiorstw. Ożywienie inwestycji pomogłoby Danii w zwiększeniu wzrostu gospodarczego i poprawie wydajności. W sektorze usług i badań naukowych stwierdzono istnienie barier dla inwestycji. Sektory handlu detalicznego i budownictwa borykają się z przeszkodami w rozpoczynaniu działalności, co z kolej szkodzi konkurencyjności i hamuje wzrost wydajności. Powinno się również zwiększyć wysiłki, aby przełożyć wyniki badań prowadzonych w ośrodkach uniwersyteckich na innowacje w przedsiębiorstwach.</w:t>
      </w:r>
    </w:p>
    <w:p>
      <w:pPr>
        <w:pStyle w:val="Point0number"/>
        <w:rPr>
          <w:noProof/>
        </w:rPr>
      </w:pPr>
      <w:r>
        <w:rPr>
          <w:noProof/>
        </w:rPr>
        <w:t>W ramach europejskiego semestru Komisja przeprowadziła wszechstronną analizę polityki gospodarczej Danii, którą opublikowała w sprawozdaniu krajowym na 2016 r. Komisja oceniła również program konwergencji i krajowy program reform, a także działania następcze podjęte w odpowiedzi na zalecenia skierowane do Danii w poprzednich latach. Wzięła pod uwagę nie tylko ich znaczenie dla stabilnej polityki budżetowej i społeczno-gospodarczej w Danii, ale także ich zgodność z przepisami i wytycznymi UE, ze względu na konieczność wzmocnienia ogólnego zarządzania gospodarczego w Unii Europejskiej przez wnoszenie na szczeblu UE wkładu w przyszłe decyzje krajowe. Zalecenia</w:t>
      </w:r>
      <w:bookmarkStart w:id="1" w:name="temp"/>
      <w:bookmarkEnd w:id="1"/>
      <w:r>
        <w:rPr>
          <w:noProof/>
        </w:rPr>
        <w:t xml:space="preserve"> w ramach europejskiego semestru znajdują odzwierciedlenie w zaleceniach 1 i 2 poniżej.</w:t>
      </w:r>
    </w:p>
    <w:p>
      <w:pPr>
        <w:pStyle w:val="Point0number"/>
        <w:rPr>
          <w:noProof/>
        </w:rPr>
      </w:pPr>
      <w:r>
        <w:rPr>
          <w:noProof/>
        </w:rPr>
        <w:t>W świetle powyższej oceny Rada przeanalizowała program konwergencji Danii, a jej opinia</w:t>
      </w:r>
      <w:r>
        <w:rPr>
          <w:rStyle w:val="FootnoteReference"/>
          <w:noProof/>
        </w:rPr>
        <w:footnoteReference w:id="9"/>
      </w:r>
      <w:r>
        <w:rPr>
          <w:noProof/>
        </w:rPr>
        <w:t xml:space="preserve"> znajduje odzwierciedlenie w szczególności w zaleceniu 1 poniżej,</w:t>
      </w:r>
    </w:p>
    <w:p>
      <w:pPr>
        <w:pStyle w:val="Formuledadoption"/>
        <w:rPr>
          <w:noProof/>
        </w:rPr>
      </w:pPr>
      <w:r>
        <w:rPr>
          <w:noProof/>
        </w:rPr>
        <w:t>NINIEJSZYM ZALECA DANII podjęcie w latach 2016 i 2017 działań mających na celu:</w:t>
      </w:r>
    </w:p>
    <w:p>
      <w:pPr>
        <w:pStyle w:val="ManualNumPar1"/>
        <w:rPr>
          <w:noProof/>
        </w:rPr>
      </w:pPr>
      <w:bookmarkStart w:id="2" w:name="_CopyToNewDocument_"/>
      <w:bookmarkEnd w:id="2"/>
      <w:r>
        <w:rPr>
          <w:noProof/>
        </w:rPr>
        <w:t>1.</w:t>
      </w:r>
      <w:r>
        <w:rPr>
          <w:noProof/>
        </w:rPr>
        <w:tab/>
        <w:t>Osiągnięcie średniookresowego celu budżetowego w 2016 r. i dokonanie rocznej korekty budżetowej w wysokości 0,25 % PKB prowadzącej do osiągnięcia średniookresowego celu budżetowego w 2017 r.</w:t>
      </w:r>
    </w:p>
    <w:p>
      <w:pPr>
        <w:pStyle w:val="ManualNumPar1"/>
        <w:rPr>
          <w:noProof/>
        </w:rPr>
      </w:pPr>
      <w:r>
        <w:rPr>
          <w:noProof/>
        </w:rPr>
        <w:t>2.</w:t>
      </w:r>
      <w:r>
        <w:rPr>
          <w:noProof/>
        </w:rPr>
        <w:tab/>
        <w:t>Wzrost wydajności i inwestycji sektora prywatnego przez zwiększenie konkurencyjności w krajowym sektorze usług, w szczególności przez ułatwianie rozpoczynania działalności w sektorach budownictwa i handlu detalicznego. Wprowadzenie zachęt do współpracy między przedsiębiorstwami a ośrodkami uniwersyteckimi.</w:t>
      </w:r>
    </w:p>
    <w:p>
      <w:pPr>
        <w:rPr>
          <w:noProof/>
        </w:rPr>
      </w:pPr>
    </w:p>
    <w:p>
      <w:pPr>
        <w:pStyle w:val="Fait"/>
        <w:rPr>
          <w:noProof/>
        </w:rPr>
      </w:pPr>
      <w:r>
        <w:rPr>
          <w:noProof/>
        </w:rPr>
        <w:t>Sporządzono w Brukseli dnia  r.</w:t>
      </w:r>
    </w:p>
    <w:p>
      <w:pPr>
        <w:pStyle w:val="Institutionquisigne"/>
        <w:rPr>
          <w:noProof/>
        </w:rPr>
      </w:pPr>
      <w:r>
        <w:rPr>
          <w:noProof/>
        </w:rPr>
        <w:tab/>
        <w:t>W imieniu Rady</w:t>
      </w:r>
    </w:p>
    <w:p>
      <w:pPr>
        <w:pStyle w:val="Personnequisigne"/>
        <w:rPr>
          <w:noProof/>
        </w:rPr>
      </w:pPr>
      <w:r>
        <w:rPr>
          <w:noProof/>
        </w:rPr>
        <w:tab/>
        <w:t>Przewodniczący</w:t>
      </w:r>
    </w:p>
    <w:sectPr>
      <w:footerReference w:type="default" r:id="rId13"/>
      <w:footerReference w:type="first" r:id="rId14"/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  <w:endnote w:type="continuationNotice" w:id="1">
    <w:p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type="continuationNotice" w:id="1">
    <w:p>
      <w:pPr>
        <w:spacing w:before="0" w:after="0"/>
      </w:pPr>
    </w:p>
  </w:footnote>
  <w:footnote w:id="2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ab/>
        <w:t>Dz.U. L 209 z 2.8.1997, s. 1.</w:t>
      </w:r>
    </w:p>
  </w:footnote>
  <w:footnote w:id="3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ab/>
        <w:t>COM(2016) 325 final.</w:t>
      </w:r>
    </w:p>
  </w:footnote>
  <w:footnote w:id="4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ab/>
        <w:t>P8_TA(2016)0058, P8_TA(2016)0059 i P8_TA(2016)0060.</w:t>
      </w:r>
    </w:p>
  </w:footnote>
  <w:footnote w:id="5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ab/>
        <w:t>COM(2015) 690 final.</w:t>
      </w:r>
    </w:p>
  </w:footnote>
  <w:footnote w:id="6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rPr>
          <w:lang w:val="pt-PT"/>
        </w:rPr>
        <w:tab/>
        <w:t>COM(2015) 691 final.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ab/>
        <w:t>SWD(2016) 74 final.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ab/>
        <w:t>COM(2014) 494 final.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ab/>
        <w:t>Na mocy art. 9 ust. 2 rozporządzenia Rady (WE) nr 1466/97.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5B38C5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7EA4E9A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2FE6022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9490F0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1FCA0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C9E4E5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3F463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F74239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removeDateAndTime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972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05-20 12:03:32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NFIDENCE" w:val=" "/>
    <w:docVar w:name="LW_CONST_RESTREINT_UE" w:val="RESTREINT UE"/>
    <w:docVar w:name="LW_CORRIGENDUM" w:val="&lt;UNUSED&gt;"/>
    <w:docVar w:name="LW_COVERPAGE_GUID" w:val="29C5E5B8BCF04A72851F0B664966AA69"/>
    <w:docVar w:name="LW_CROSSREFERENCE" w:val="&lt;UNUSED&gt;"/>
    <w:docVar w:name="LW_DocType" w:val="COM"/>
    <w:docVar w:name="LW_EMISSION" w:val="18.5.2016"/>
    <w:docVar w:name="LW_EMISSION_ISODATE" w:val="2016-05-18"/>
    <w:docVar w:name="LW_EMISSION_LOCATION" w:val="BRX"/>
    <w:docVar w:name="LW_EMISSION_PREFIX" w:val="Bruksela, dnia "/>
    <w:docVar w:name="LW_EMISSION_SUFFIX" w:val=" r."/>
    <w:docVar w:name="LW_ID_DOCMODEL" w:val="SG-002"/>
    <w:docVar w:name="LW_ID_DOCSIGNATURE" w:val="SG-002"/>
    <w:docVar w:name="LW_ID_DOCSTRUCTURE" w:val="COM/PL/ORG"/>
    <w:docVar w:name="LW_ID_DOCTYPE" w:val="SG-002"/>
    <w:docVar w:name="LW_ID_STATUT" w:val="SG-002"/>
    <w:docVar w:name="LW_INTERETEEE.CP" w:val="&lt;UNUSED&gt;"/>
    <w:docVar w:name="LW_LANGUE" w:val="PL"/>
    <w:docVar w:name="LW_MARKING" w:val="&lt;UNUSED&gt;"/>
    <w:docVar w:name="LW_NOM.INST" w:val="KOMISJA EUROPEJSKA"/>
    <w:docVar w:name="LW_NOM.INST_JOINTDOC" w:val="&lt;EMPTY&gt;"/>
    <w:docVar w:name="LW_PART_NBR" w:val="1"/>
    <w:docVar w:name="LW_PART_NBR_TOTAL" w:val="1"/>
    <w:docVar w:name="LW_REF.II.NEW.CP" w:val="&lt;UNUSED&gt;"/>
    <w:docVar w:name="LW_REF.II.NEW.CP_NUMBER" w:val="&lt;UNUSED&gt;"/>
    <w:docVar w:name="LW_REF.II.NEW.CP_YEAR" w:val="2016"/>
    <w:docVar w:name="LW_REF.INST.NEW" w:val="COM"/>
    <w:docVar w:name="LW_REF.INST.NEW_ADOPTED" w:val="final"/>
    <w:docVar w:name="LW_REF.INST.NEW_TEXT" w:val="(2016) 325"/>
    <w:docVar w:name="LW_REF.INTERNE" w:val="&lt;UNUSED&gt;"/>
    <w:docVar w:name="LW_SOUS.TITRE.OBJ.CP" w:val="&lt;UNUSED&gt;"/>
    <w:docVar w:name="LW_STATUT.CP" w:val="Zalecenie"/>
    <w:docVar w:name="LW_SUPERTITRE" w:val="&lt;UNUSED&gt;"/>
    <w:docVar w:name="LW_TITRE.OBJ.CP" w:val="w sprawie krajowego programu reform Danii na 2016 r._x000b__x000b_oraz zawieraj\u261?ce opini\u281? Rady na temat przedstawionego przez Dani\u281? programu konwergencji na 2016 r."/>
    <w:docVar w:name="LW_TYPE.DOC.CP" w:val="ZALECENIE RADY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Normal"/>
    <w:link w:val="Heading5Char"/>
    <w:qFormat/>
    <w:pPr>
      <w:tabs>
        <w:tab w:val="num" w:pos="1440"/>
      </w:tabs>
      <w:spacing w:after="240"/>
      <w:ind w:left="1440" w:hanging="144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pPr>
      <w:tabs>
        <w:tab w:val="num" w:pos="1440"/>
      </w:tabs>
      <w:spacing w:after="240"/>
      <w:ind w:left="1440" w:hanging="1440"/>
      <w:outlineLvl w:val="5"/>
    </w:pPr>
    <w:rPr>
      <w:szCs w:val="20"/>
    </w:rPr>
  </w:style>
  <w:style w:type="paragraph" w:styleId="Heading7">
    <w:name w:val="heading 7"/>
    <w:basedOn w:val="Normal"/>
    <w:next w:val="Normal"/>
    <w:link w:val="Heading7Char"/>
    <w:qFormat/>
    <w:pPr>
      <w:tabs>
        <w:tab w:val="num" w:pos="1440"/>
      </w:tabs>
      <w:spacing w:after="240"/>
      <w:ind w:left="1440" w:hanging="1440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qFormat/>
    <w:pPr>
      <w:tabs>
        <w:tab w:val="num" w:pos="1440"/>
      </w:tabs>
      <w:spacing w:after="240"/>
      <w:ind w:left="1440" w:hanging="1440"/>
      <w:outlineLvl w:val="7"/>
    </w:pPr>
    <w:rPr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pl-PL"/>
    </w:rPr>
  </w:style>
  <w:style w:type="character" w:customStyle="1" w:styleId="Heading5Char">
    <w:name w:val="Heading 5 Char"/>
    <w:link w:val="Heading5"/>
    <w:rPr>
      <w:rFonts w:ascii="Times New Roman" w:eastAsia="Calibri" w:hAnsi="Times New Roman" w:cs="Times New Roman"/>
      <w:sz w:val="24"/>
      <w:szCs w:val="20"/>
      <w:lang w:val="pl-PL"/>
    </w:rPr>
  </w:style>
  <w:style w:type="character" w:customStyle="1" w:styleId="Heading6Char">
    <w:name w:val="Heading 6 Char"/>
    <w:link w:val="Heading6"/>
    <w:rPr>
      <w:rFonts w:ascii="Times New Roman" w:eastAsia="Calibri" w:hAnsi="Times New Roman" w:cs="Times New Roman"/>
      <w:sz w:val="24"/>
      <w:szCs w:val="20"/>
      <w:lang w:val="pl-PL"/>
    </w:rPr>
  </w:style>
  <w:style w:type="character" w:customStyle="1" w:styleId="Heading7Char">
    <w:name w:val="Heading 7 Char"/>
    <w:link w:val="Heading7"/>
    <w:rPr>
      <w:rFonts w:ascii="Times New Roman" w:eastAsia="Calibri" w:hAnsi="Times New Roman" w:cs="Times New Roman"/>
      <w:sz w:val="24"/>
      <w:szCs w:val="20"/>
      <w:lang w:val="pl-PL"/>
    </w:rPr>
  </w:style>
  <w:style w:type="character" w:customStyle="1" w:styleId="Heading8Char">
    <w:name w:val="Heading 8 Char"/>
    <w:link w:val="Heading8"/>
    <w:rPr>
      <w:rFonts w:ascii="Times New Roman" w:eastAsia="Calibri" w:hAnsi="Times New Roman" w:cs="Times New Roman"/>
      <w:sz w:val="24"/>
      <w:szCs w:val="20"/>
      <w:lang w:val="pl-PL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spacing w:after="240"/>
      <w:ind w:left="720"/>
      <w:contextualSpacing/>
    </w:pPr>
    <w:rPr>
      <w:szCs w:val="20"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rFonts w:eastAsiaTheme="minorHAnsi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HAnsi" w:hAnsi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rFonts w:eastAsiaTheme="minorHAnsi"/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Normal"/>
    <w:link w:val="Heading5Char"/>
    <w:qFormat/>
    <w:pPr>
      <w:tabs>
        <w:tab w:val="num" w:pos="1440"/>
      </w:tabs>
      <w:spacing w:after="240"/>
      <w:ind w:left="1440" w:hanging="144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pPr>
      <w:tabs>
        <w:tab w:val="num" w:pos="1440"/>
      </w:tabs>
      <w:spacing w:after="240"/>
      <w:ind w:left="1440" w:hanging="1440"/>
      <w:outlineLvl w:val="5"/>
    </w:pPr>
    <w:rPr>
      <w:szCs w:val="20"/>
    </w:rPr>
  </w:style>
  <w:style w:type="paragraph" w:styleId="Heading7">
    <w:name w:val="heading 7"/>
    <w:basedOn w:val="Normal"/>
    <w:next w:val="Normal"/>
    <w:link w:val="Heading7Char"/>
    <w:qFormat/>
    <w:pPr>
      <w:tabs>
        <w:tab w:val="num" w:pos="1440"/>
      </w:tabs>
      <w:spacing w:after="240"/>
      <w:ind w:left="1440" w:hanging="1440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qFormat/>
    <w:pPr>
      <w:tabs>
        <w:tab w:val="num" w:pos="1440"/>
      </w:tabs>
      <w:spacing w:after="240"/>
      <w:ind w:left="1440" w:hanging="1440"/>
      <w:outlineLvl w:val="7"/>
    </w:pPr>
    <w:rPr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pl-PL"/>
    </w:rPr>
  </w:style>
  <w:style w:type="character" w:customStyle="1" w:styleId="Heading5Char">
    <w:name w:val="Heading 5 Char"/>
    <w:link w:val="Heading5"/>
    <w:rPr>
      <w:rFonts w:ascii="Times New Roman" w:eastAsia="Calibri" w:hAnsi="Times New Roman" w:cs="Times New Roman"/>
      <w:sz w:val="24"/>
      <w:szCs w:val="20"/>
      <w:lang w:val="pl-PL"/>
    </w:rPr>
  </w:style>
  <w:style w:type="character" w:customStyle="1" w:styleId="Heading6Char">
    <w:name w:val="Heading 6 Char"/>
    <w:link w:val="Heading6"/>
    <w:rPr>
      <w:rFonts w:ascii="Times New Roman" w:eastAsia="Calibri" w:hAnsi="Times New Roman" w:cs="Times New Roman"/>
      <w:sz w:val="24"/>
      <w:szCs w:val="20"/>
      <w:lang w:val="pl-PL"/>
    </w:rPr>
  </w:style>
  <w:style w:type="character" w:customStyle="1" w:styleId="Heading7Char">
    <w:name w:val="Heading 7 Char"/>
    <w:link w:val="Heading7"/>
    <w:rPr>
      <w:rFonts w:ascii="Times New Roman" w:eastAsia="Calibri" w:hAnsi="Times New Roman" w:cs="Times New Roman"/>
      <w:sz w:val="24"/>
      <w:szCs w:val="20"/>
      <w:lang w:val="pl-PL"/>
    </w:rPr>
  </w:style>
  <w:style w:type="character" w:customStyle="1" w:styleId="Heading8Char">
    <w:name w:val="Heading 8 Char"/>
    <w:link w:val="Heading8"/>
    <w:rPr>
      <w:rFonts w:ascii="Times New Roman" w:eastAsia="Calibri" w:hAnsi="Times New Roman" w:cs="Times New Roman"/>
      <w:sz w:val="24"/>
      <w:szCs w:val="20"/>
      <w:lang w:val="pl-PL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spacing w:after="240"/>
      <w:ind w:left="720"/>
      <w:contextualSpacing/>
    </w:pPr>
    <w:rPr>
      <w:szCs w:val="20"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rFonts w:eastAsiaTheme="minorHAnsi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HAnsi" w:hAnsi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rFonts w:eastAsiaTheme="minorHAnsi"/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59C034196E3757489169EA8E8E1B4C16" ma:contentTypeVersion="1" ma:contentTypeDescription="Create a new document in this library." ma:contentTypeScope="" ma:versionID="aeddc8888498fa536f50d3e231ff526e">
  <xsd:schema xmlns:xsd="http://www.w3.org/2001/XMLSchema" xmlns:xs="http://www.w3.org/2001/XMLSchema" xmlns:p="http://schemas.microsoft.com/office/2006/metadata/properties" xmlns:ns2="http://schemas.microsoft.com/sharepoint/v3/fields" xmlns:ns3="f1740c95-8c94-4e2b-bb68-099fa8775224" targetNamespace="http://schemas.microsoft.com/office/2006/metadata/properties" ma:root="true" ma:fieldsID="2658a571dec28f573b4d7987cc77c626" ns2:_="" ns3:_="">
    <xsd:import namespace="http://schemas.microsoft.com/sharepoint/v3/fields"/>
    <xsd:import namespace="f1740c95-8c94-4e2b-bb68-099fa8775224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40c95-8c94-4e2b-bb68-099fa8775224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Status xmlns="f1740c95-8c94-4e2b-bb68-099fa8775224">Not Started</EC_Collab_Status>
    <_Status xmlns="http://schemas.microsoft.com/sharepoint/v3/fields">Not Started</_Status>
    <EC_Collab_DocumentLanguage xmlns="f1740c95-8c94-4e2b-bb68-099fa8775224">EN</EC_Collab_DocumentLanguage>
    <EC_Collab_Reference xmlns="f1740c95-8c94-4e2b-bb68-099fa877522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94079-39DD-4D85-97AD-69EE0D274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f1740c95-8c94-4e2b-bb68-099fa8775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1B063-D91C-4F0B-82D2-221B8B4D0748}">
  <ds:schemaRefs>
    <ds:schemaRef ds:uri="http://purl.org/dc/dcmitype/"/>
    <ds:schemaRef ds:uri="f1740c95-8c94-4e2b-bb68-099fa8775224"/>
    <ds:schemaRef ds:uri="http://schemas.openxmlformats.org/package/2006/metadata/core-properties"/>
    <ds:schemaRef ds:uri="http://schemas.microsoft.com/sharepoint/v3/fields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6D06764-21B9-48C8-BD65-A71D4282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0</TotalTime>
  <Pages>5</Pages>
  <Words>1067</Words>
  <Characters>6835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2016-05-19T13:51:00Z</dcterms:created>
  <dcterms:modified xsi:type="dcterms:W3CDTF">2016-05-20T10:03:00Z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LW 5.8.4, Build 20150407</vt:lpwstr>
  </property>
  <property fmtid="{D5CDD505-2E9C-101B-9397-08002B2CF9AE}" pid="3" name="Classification">
    <vt:lpwstr> </vt:lpwstr>
  </property>
  <property fmtid="{D5CDD505-2E9C-101B-9397-08002B2CF9AE}" pid="4" name="Category">
    <vt:lpwstr>COM/PL/ORG</vt:lpwstr>
  </property>
  <property fmtid="{D5CDD505-2E9C-101B-9397-08002B2CF9AE}" pid="5" name="Part">
    <vt:lpwstr>1</vt:lpwstr>
  </property>
  <property fmtid="{D5CDD505-2E9C-101B-9397-08002B2CF9AE}" pid="6" name="Total parts">
    <vt:lpwstr>1</vt:lpwstr>
  </property>
  <property fmtid="{D5CDD505-2E9C-101B-9397-08002B2CF9AE}" pid="7" name="LWTemplateID">
    <vt:lpwstr>SG-002</vt:lpwstr>
  </property>
  <property fmtid="{D5CDD505-2E9C-101B-9397-08002B2CF9AE}" pid="8" name="_NewReviewCycle">
    <vt:lpwstr/>
  </property>
  <property fmtid="{D5CDD505-2E9C-101B-9397-08002B2CF9AE}" pid="9" name="DQCStatus">
    <vt:lpwstr>Green (DQC version 03)</vt:lpwstr>
  </property>
</Properties>
</file>