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gedecouvertur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alt="759DB662495D4B69AE8B5270CE84168F" style="width:451.25pt;height:366.7pt">
            <v:imagedata r:id="rId11" o:title=""/>
          </v:shape>
        </w:pict>
      </w:r>
    </w:p>
    <w:p>
      <w:pPr>
        <w:rPr>
          <w:noProof/>
        </w:rPr>
        <w:sectPr>
          <w:footerReference w:type="default" r:id="rId12"/>
          <w:pgSz w:w="11907" w:h="16839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p>
      <w:pPr>
        <w:pStyle w:val="Exposdesmotifstitre"/>
        <w:rPr>
          <w:noProof/>
        </w:rPr>
      </w:pPr>
      <w:bookmarkStart w:id="0" w:name="_GoBack"/>
      <w:bookmarkEnd w:id="0"/>
    </w:p>
    <w:p>
      <w:pPr>
        <w:rPr>
          <w:noProof/>
        </w:rPr>
      </w:pPr>
    </w:p>
    <w:p>
      <w:pPr>
        <w:pStyle w:val="Statut"/>
        <w:rPr>
          <w:noProof/>
        </w:rPr>
      </w:pPr>
      <w:r>
        <w:rPr>
          <w:noProof/>
        </w:rPr>
        <w:t>Zalecenie</w:t>
      </w:r>
    </w:p>
    <w:p>
      <w:pPr>
        <w:pStyle w:val="Typedudocument"/>
        <w:rPr>
          <w:noProof/>
        </w:rPr>
      </w:pPr>
      <w:r>
        <w:rPr>
          <w:noProof/>
        </w:rPr>
        <w:t>ZALECENIE RADY</w:t>
      </w:r>
    </w:p>
    <w:p>
      <w:pPr>
        <w:pStyle w:val="Titreobjet"/>
        <w:rPr>
          <w:noProof/>
        </w:rPr>
      </w:pPr>
      <w:r>
        <w:rPr>
          <w:noProof/>
        </w:rPr>
        <w:t>w sprawie krajowego programu reform Bułgarii na 2016 r.</w:t>
      </w:r>
      <w:r>
        <w:rPr>
          <w:noProof/>
        </w:rPr>
        <w:br/>
      </w:r>
      <w:r>
        <w:rPr>
          <w:noProof/>
        </w:rPr>
        <w:br/>
        <w:t>oraz zawierające opinię Rady na temat przedstawionego przez Bułgarię programu konwergencji na 2016 r.</w:t>
      </w:r>
    </w:p>
    <w:p>
      <w:pPr>
        <w:pStyle w:val="Institutionquiagit"/>
        <w:rPr>
          <w:noProof/>
        </w:rPr>
      </w:pPr>
      <w:r>
        <w:rPr>
          <w:noProof/>
        </w:rPr>
        <w:t>RADA UNII EUROPEJSKIEJ,</w:t>
      </w:r>
    </w:p>
    <w:p>
      <w:pPr>
        <w:rPr>
          <w:noProof/>
        </w:rPr>
      </w:pPr>
      <w:r>
        <w:rPr>
          <w:noProof/>
        </w:rPr>
        <w:t>uwzględniając Traktat o funkcjonowaniu Unii Europejskiej, w szczególności jego art. 121 ust. 2 i art. 148 ust. 4,</w:t>
      </w:r>
    </w:p>
    <w:p>
      <w:pPr>
        <w:rPr>
          <w:noProof/>
        </w:rPr>
      </w:pPr>
      <w:r>
        <w:rPr>
          <w:noProof/>
        </w:rPr>
        <w:t>uwzględniając rozporządzenie Rady (WE) nr 1466/97 z dnia 7 lipca 1997 r. w sprawie wzmocnienia nadzoru pozycji budżetowych oraz nadzoru i koordynacji polityk gospodarczych</w:t>
      </w:r>
      <w:r>
        <w:rPr>
          <w:rStyle w:val="FootnoteReference"/>
          <w:noProof/>
        </w:rPr>
        <w:footnoteReference w:id="2"/>
      </w:r>
      <w:r>
        <w:rPr>
          <w:noProof/>
        </w:rPr>
        <w:t>, w szczególności jego art. 9 ust. 2,</w:t>
      </w:r>
    </w:p>
    <w:p>
      <w:pPr>
        <w:rPr>
          <w:noProof/>
        </w:rPr>
      </w:pPr>
      <w:r>
        <w:rPr>
          <w:noProof/>
        </w:rPr>
        <w:t>uwzględniając rozporządzenie Parlamentu Europejskiego i Rady (UE) nr 1176/2011 z dnia 16 listopada 2011 r. w sprawie zapobiegania zakłóceniom równowagi makroekonomicznej i ich korygowania</w:t>
      </w:r>
      <w:r>
        <w:rPr>
          <w:rStyle w:val="FootnoteReference"/>
          <w:noProof/>
        </w:rPr>
        <w:footnoteReference w:id="3"/>
      </w:r>
      <w:r>
        <w:rPr>
          <w:noProof/>
        </w:rPr>
        <w:t>, w szczególności jego art. 6 ust. 1,</w:t>
      </w:r>
    </w:p>
    <w:p>
      <w:pPr>
        <w:rPr>
          <w:noProof/>
        </w:rPr>
      </w:pPr>
      <w:r>
        <w:rPr>
          <w:noProof/>
        </w:rPr>
        <w:t>uwzględniając zalecenie Komisji Europejskiej</w:t>
      </w:r>
      <w:r>
        <w:rPr>
          <w:rStyle w:val="FootnoteReference"/>
          <w:noProof/>
        </w:rPr>
        <w:footnoteReference w:id="4"/>
      </w:r>
      <w:r>
        <w:rPr>
          <w:noProof/>
        </w:rPr>
        <w:t>,</w:t>
      </w:r>
    </w:p>
    <w:p>
      <w:pPr>
        <w:rPr>
          <w:noProof/>
        </w:rPr>
      </w:pPr>
      <w:r>
        <w:rPr>
          <w:noProof/>
        </w:rPr>
        <w:t>uwzględniając rezolucje Parlamentu Europejskiego</w:t>
      </w:r>
      <w:r>
        <w:rPr>
          <w:rStyle w:val="FootnoteReference"/>
          <w:noProof/>
        </w:rPr>
        <w:footnoteReference w:id="5"/>
      </w:r>
      <w:r>
        <w:rPr>
          <w:noProof/>
        </w:rPr>
        <w:t>,</w:t>
      </w:r>
    </w:p>
    <w:p>
      <w:pPr>
        <w:outlineLvl w:val="0"/>
        <w:rPr>
          <w:noProof/>
        </w:rPr>
      </w:pPr>
      <w:r>
        <w:rPr>
          <w:noProof/>
        </w:rPr>
        <w:t>uwzględniając konkluzje Rady Europejskiej,</w:t>
      </w:r>
    </w:p>
    <w:p>
      <w:pPr>
        <w:rPr>
          <w:noProof/>
        </w:rPr>
      </w:pPr>
      <w:r>
        <w:rPr>
          <w:noProof/>
        </w:rPr>
        <w:t>uwzględniając opinię Komitetu Zatrudnienia,</w:t>
      </w:r>
    </w:p>
    <w:p>
      <w:pPr>
        <w:rPr>
          <w:noProof/>
        </w:rPr>
      </w:pPr>
      <w:r>
        <w:rPr>
          <w:noProof/>
        </w:rPr>
        <w:t>uwzględniając opinię Komitetu Ekonomiczno-Finansowego,</w:t>
      </w:r>
    </w:p>
    <w:p>
      <w:pPr>
        <w:rPr>
          <w:noProof/>
        </w:rPr>
      </w:pPr>
      <w:r>
        <w:rPr>
          <w:noProof/>
        </w:rPr>
        <w:t>uwzględniając opinię Komitetu Ochrony Socjalnej,</w:t>
      </w:r>
    </w:p>
    <w:p>
      <w:pPr>
        <w:rPr>
          <w:noProof/>
        </w:rPr>
      </w:pPr>
      <w:r>
        <w:rPr>
          <w:noProof/>
        </w:rPr>
        <w:t>uwzględniając opinię Komitetu Polityki Gospodarczej,</w:t>
      </w:r>
    </w:p>
    <w:p>
      <w:pPr>
        <w:rPr>
          <w:noProof/>
        </w:rPr>
      </w:pPr>
      <w:r>
        <w:rPr>
          <w:noProof/>
        </w:rPr>
        <w:t>a także mając na uwadze, co następuje:</w:t>
      </w:r>
    </w:p>
    <w:p>
      <w:pPr>
        <w:pStyle w:val="Point0number"/>
        <w:numPr>
          <w:ilvl w:val="0"/>
          <w:numId w:val="9"/>
        </w:numPr>
        <w:rPr>
          <w:noProof/>
        </w:rPr>
      </w:pPr>
      <w:r>
        <w:rPr>
          <w:noProof/>
        </w:rPr>
        <w:t>W dniu 26 listopada 2015 r. Komisja przyjęła roczną analizę wzrostu gospodarczego</w:t>
      </w:r>
      <w:r>
        <w:rPr>
          <w:rStyle w:val="FootnoteReference"/>
          <w:noProof/>
        </w:rPr>
        <w:footnoteReference w:id="6"/>
      </w:r>
      <w:r>
        <w:rPr>
          <w:noProof/>
        </w:rPr>
        <w:t xml:space="preserve">, rozpoczynając tym samym europejski semestr na rzecz koordynacji polityki gospodarczej w 2016 r. Priorytety określone w rocznej analizie wzrostu gospodarczego zostały zatwierdzone przez Radę Europejską na posiedzeniu w dniach 17–18 marca 2016 r. W dniu 26 listopada 2015 r. na podstawie rozporządzenia (UE) nr 1176/2011 Komisja przyjęła sprawozdanie przedkładane w ramach mechanizmu </w:t>
      </w:r>
      <w:r>
        <w:rPr>
          <w:noProof/>
        </w:rPr>
        <w:lastRenderedPageBreak/>
        <w:t>ostrzegania</w:t>
      </w:r>
      <w:r>
        <w:rPr>
          <w:rStyle w:val="FootnoteReference"/>
          <w:noProof/>
        </w:rPr>
        <w:footnoteReference w:id="7"/>
      </w:r>
      <w:r>
        <w:rPr>
          <w:noProof/>
        </w:rPr>
        <w:t xml:space="preserve">, w którym wskazała Bułgarię jako jedno z państw członkowskich, w przypadku których przeprowadzona zostanie szczegółowa ocena sytuacji. </w:t>
      </w:r>
    </w:p>
    <w:p>
      <w:pPr>
        <w:pStyle w:val="Point0number"/>
        <w:rPr>
          <w:noProof/>
        </w:rPr>
      </w:pPr>
      <w:r>
        <w:rPr>
          <w:noProof/>
        </w:rPr>
        <w:t>Sprawozdanie krajowe na 2016 r. dotyczące Bułgarii</w:t>
      </w:r>
      <w:r>
        <w:rPr>
          <w:rStyle w:val="FootnoteReference"/>
          <w:noProof/>
        </w:rPr>
        <w:footnoteReference w:id="8"/>
      </w:r>
      <w:r>
        <w:rPr>
          <w:noProof/>
        </w:rPr>
        <w:t xml:space="preserve"> opublikowano w dniu 26 lutego 2016 r. Zawarto w nim ocenę postępów Bułgarii w realizacji zaleceń dla tego kraju, przyjętych przez Radę w dniu 14 lipca 2015 r., i postępów Bułgarii w realizacji jej krajowych celów w ramach strategii „Europa 2020”. W sprawozdaniu zawarto również wyniki szczegółowej oceny sytuacji przeprowadzonej na podstawie art. 5 rozporządzenia (UE) nr 1176/2011. W dniu 8 marca 2016 r. Komisja przyjęła komunikat</w:t>
      </w:r>
      <w:r>
        <w:rPr>
          <w:rStyle w:val="FootnoteReference"/>
          <w:noProof/>
        </w:rPr>
        <w:footnoteReference w:id="9"/>
      </w:r>
      <w:r>
        <w:rPr>
          <w:noProof/>
        </w:rPr>
        <w:t xml:space="preserve">, w którym przedstawiono wyniki szczegółowej oceny sytuacji. W wyniku analizy Komisja doszła do wniosku, że w Bułgarii występują nadmierne zakłócenia równowagi makroekonomicznej. Charakterystyczna dla gospodarki tego kraju jest zwłaszcza utrzymująca się niestabilność sektora finansowego i wysokie zadłużenie przedsiębiorstw, którym towarzyszy wysokie bezrobocie. </w:t>
      </w:r>
    </w:p>
    <w:p>
      <w:pPr>
        <w:pStyle w:val="Point0number"/>
        <w:rPr>
          <w:noProof/>
        </w:rPr>
      </w:pPr>
      <w:r>
        <w:rPr>
          <w:noProof/>
        </w:rPr>
        <w:t>W dniu 15 kwietnia 2016 r. Bułgaria przedłożyła swój krajowy program reform na 2016 r. oraz program konwergencji na 2016 r. W celu uwzględnienia powiązań między tymi dwoma programami poddano je jednoczesnej ocenie.</w:t>
      </w:r>
    </w:p>
    <w:p>
      <w:pPr>
        <w:pStyle w:val="Point0number"/>
        <w:rPr>
          <w:noProof/>
        </w:rPr>
      </w:pPr>
      <w:r>
        <w:rPr>
          <w:noProof/>
        </w:rPr>
        <w:t>Zalecenia dla poszczególnych krajów znalazły odzwierciedlenie w programowaniu europejskich funduszy strukturalnych i inwestycyjnych na lata 2014–2020. Jak przewidziano w art. 23 rozporządzenia (UE) nr 1303/2013, Komisja może zwrócić się do państwa członkowskiego z wnioskiem o dokonanie przeglądu oraz zaproponowanie zmian w umowie partnerstwa i odpowiednich programach, gdy jest to konieczne do wsparcia realizacji stosownych zaleceń Rady. Komisja przedstawiła dalsze szczegóły dotyczące wykorzystania przez nią tego przepisu w wytycznych w sprawie stosowania działań łączących skuteczność europejskich funduszy strukturalnych i inwestycyjnych z należytym zarządzaniem gospodarczym</w:t>
      </w:r>
      <w:r>
        <w:rPr>
          <w:rStyle w:val="FootnoteReference"/>
          <w:noProof/>
        </w:rPr>
        <w:footnoteReference w:id="10"/>
      </w:r>
      <w:r>
        <w:rPr>
          <w:noProof/>
        </w:rPr>
        <w:t>.</w:t>
      </w:r>
    </w:p>
    <w:p>
      <w:pPr>
        <w:pStyle w:val="Point0number"/>
        <w:rPr>
          <w:noProof/>
        </w:rPr>
      </w:pPr>
      <w:r>
        <w:rPr>
          <w:noProof/>
        </w:rPr>
        <w:t xml:space="preserve">Bułgaria jest obecnie objęta funkcją zapobiegawczą paktu stabilności i wzrostu. W programie konwergencji na 2016 r. rząd planuje stopniową poprawę salda nominalnego do poziomu -1,9 % PKB w 2016 r., a w 2019 r. do -0,2 % PKB. Osiągnięcie średniookresowego celu budżetowego, tj. deficytu strukturalnego wynoszącego 1 % PKB, jest planowane na 2017 r. Zgodnie z programem konwergencji spodziewane jest, że relacja długu sektora instytucji rządowych i samorządowych do PKB osiągnie wartość szczytową na poziomie 31,8 % w 2018 r., po czym będzie spadać, osiągając w 2019 r. poziom 30,8 %. Scenariusz makroekonomiczny, na którym oparto prognozy budżetowe, wydaje się zbyt optymistyczny. Środki niezbędne do osiągnięcia deficytu docelowego począwszy od 2017 r. nie zostały jednak jeszcze dostatecznie sprecyzowane. W prognozie Komisji z wiosny 2016 r. wskazuje się na ryzyko wystąpienia w 2016 r. i w 2017 r. pewnego odchylenia od ścieżki prowadzącej do osiągnięcia średniookresowego celu budżetowego, przy założeniu niezmiennego kursu polityki. Opierając się na ocenie programu konwergencji i biorąc pod uwagę prognozę Komisji z wiosny 2016 r., Rada jest zdania, że – zgodnie z przewidywaniami – Bułgaria zasadniczo spełni </w:t>
      </w:r>
      <w:r>
        <w:rPr>
          <w:noProof/>
        </w:rPr>
        <w:lastRenderedPageBreak/>
        <w:t xml:space="preserve">warunki paktu stabilności i wzrostu. Zarówno w 2016, jak i w 2017 r., konieczne będą dalsze działania w celu zapewnienia spełnienia tych warunków. </w:t>
      </w:r>
    </w:p>
    <w:p>
      <w:pPr>
        <w:pStyle w:val="Point0number"/>
        <w:rPr>
          <w:noProof/>
        </w:rPr>
      </w:pPr>
      <w:r>
        <w:rPr>
          <w:noProof/>
        </w:rPr>
        <w:t>Bułgaria osiągnęła pewne postępy w realizacji ubiegłorocznych zaleceń w celu poprawy efektywności wydatków na opiekę zdrowotną, w szczególności poprzez utworzenie krajowej mapy zdrowia, która umożliwi planowanie wydatków medycznych zgodnie z kryterium terytorialnym i potrzebami ludności. Bułgarski system ochrony zdrowia stoi przed poważnymi wyzwaniami, takimi jak ograniczony dostęp, ograniczone finansowanie oraz niekorzystne wyniki w opiece zdrowotnej. Pomimo niedawnych wysiłków mających na celu usprawnienie ściągania podatków, szara strefa nadal pozostaje znaczącym wyzwaniem niekorzystnie wpływającym na dochody publiczne. Praca nierejestrowana, w tym niski poziom zgłaszania wynagrodzenia i uchylanie się od płacenia składek na ubezpieczenie społeczne, zakłóca funkcjonowanie rynku pracy i zmniejsza wpływy podatkowe.</w:t>
      </w:r>
    </w:p>
    <w:p>
      <w:pPr>
        <w:pStyle w:val="Point0number"/>
        <w:rPr>
          <w:noProof/>
        </w:rPr>
      </w:pPr>
      <w:r>
        <w:rPr>
          <w:noProof/>
        </w:rPr>
        <w:t xml:space="preserve">Przypadki nieostrożnych praktyk handlowych w całym sektorze finansowym, w połączeniu z nieskutecznym nadzorem, stworzyły warunki sprzyjające akumulacji zaburzeń równowagi. Ukończenie w sposób przejrzysty i zgodnie z najlepszymi praktykami międzynarodowymi niedawno rozpoczętych przeglądów sektora bankowości, ubezpieczeń i funduszy emerytalnych oraz podjęcie koniecznych działań następczych wzmocni zaufanie do sektora finansowego. Ponadto dalsze wysiłki zmierzające do poprawy nadzoru finansowego, zarówno w sektorze bankowym, jak i pozabankowym, będą odgrywać znaczną rolę we wzmocnieniu systemu finansowego i nadaniu mu funkcji wspierającej rozpoczętego ożywienia makroekonomicznego. </w:t>
      </w:r>
    </w:p>
    <w:p>
      <w:pPr>
        <w:pStyle w:val="Point0number"/>
        <w:rPr>
          <w:noProof/>
        </w:rPr>
      </w:pPr>
      <w:r>
        <w:rPr>
          <w:noProof/>
        </w:rPr>
        <w:t xml:space="preserve">Odnotowano nieznaczną poprawę na rynku pracy, ale utrzymujące się słabości nadal utrudniają wzrost gospodarczy i ograniczają zdolności dostosowawcze gospodarki. Dostosowanie rynku pracy utrudnione jest strukturalnym charakterem bezrobocia długotrwałego, kurczeniem się zasobów siły roboczej i jej starzeniem się, niskim współczynnikiem aktywności zawodowej i niedopasowaniem umiejętności do potrzeb rynku pracy. Poziom bezrobocia stopniowo spada, lecz nadal istnieją poważne wyzwania, np. w odniesieniu do osób długotrwale bezrobotnych oraz młodzieży niekształcącej się, niepracującej ani nieszkolącej się. Aktywne polityki w zakresie rynku pracy mogłyby odgrywać większą rolę przy wspieraniu tych grup w dostępie do rynku pracy. Aktywizacja osób pobierających świadczenia jest utrudniona z powodu fragmentacji i ograniczonej współpracy między różnymi agencjami wypłacającymi zasiłki i świadczącymi usługi w zakresie integracji na rynku pracy. W ramach projektu pilotażowego uruchomiono specjalne ośrodki pośrednictwa pracy i pomocy socjalnej, łączące usługi agencji pośrednictwa pracy i agencji pomocy społecznej, ale brakuje decyzji, aby wprowadzić je na szerszą skalę po zakończeniu fazy pilotażowej w grudniu 2016 r. </w:t>
      </w:r>
    </w:p>
    <w:p>
      <w:pPr>
        <w:pStyle w:val="Point0number"/>
        <w:rPr>
          <w:noProof/>
        </w:rPr>
      </w:pPr>
      <w:r>
        <w:rPr>
          <w:noProof/>
        </w:rPr>
        <w:t xml:space="preserve">Choć poziom minimalnego wynagrodzenia w Bułgarii jest nadal jednym z najniższych w UE, to jednak znacznie wzrósł od 2011 r. Brak obiektywnych kryteriów w zakresie ustalania minimalnego wynagrodzenia powoduje brak pewności. Mimo wysiłków podejmowanych w tym zakresie przez rząd i partnerów społecznych Bułgaria nadal nie ma jasnych wytycznych ani przejrzystych kryteriów ustalania minimalnego wynagrodzenia za pracę, które uwzględniałyby jego wpływ na tworzenie miejsc pracy, warunki socjalne i konkurencyjność. </w:t>
      </w:r>
    </w:p>
    <w:p>
      <w:pPr>
        <w:pStyle w:val="Point0number"/>
        <w:rPr>
          <w:noProof/>
        </w:rPr>
      </w:pPr>
      <w:r>
        <w:rPr>
          <w:noProof/>
        </w:rPr>
        <w:lastRenderedPageBreak/>
        <w:t>W Bułgarii nadal utrzymuje się bardzo wysoki poziom zagrożenia ubóstwem lub wykluczeniem społecznym oraz wysoki poziom nierówności społecznych. Postępy w rozwiązywaniu problemu ubóstwa i wykluczenia społecznego są utrudnione stałym wyzwaniem związanym z integracją Romów na rynku pracy, ułatwianiem przejścia od kształcenia do zatrudnienia oraz zwiększeniem zakresu i skuteczności usług socjalnych, opieki zdrowotnej i polityki rynku pracy. Powszechny system dochodu minimalnego zapewnia niewielkie wsparcie i ma niewielki zasięg. Poziom świadczeń jest poniżej progu ubóstwa i nie zwiększono go stosownie do średniej zmiany minimalnych wynagrodzeń w ostatnich latach. Szacunkowe dane dotyczące zakresu świadczeń wskazują na to, że duża część potencjalnych beneficjentów ich nie otrzymuje. Poprawa zasięgu świadczeń przy utrzymaniu odpowiedzialności budżetowej pomogłaby zmniejszyć ubóstwo grup docelowych.</w:t>
      </w:r>
    </w:p>
    <w:p>
      <w:pPr>
        <w:pStyle w:val="Point0number"/>
        <w:rPr>
          <w:noProof/>
        </w:rPr>
      </w:pPr>
      <w:r>
        <w:rPr>
          <w:noProof/>
        </w:rPr>
        <w:t xml:space="preserve">System edukacji ma ograniczoną zdolność do integracji grup słabszych społecznie i przekazania uczniom odpowiednich umiejętności. Słabsze społecznie grupy, takie jak Romowie czy dzieci z ubogich rodzin, wciąż napotykają na poważne przeszkody w dostępie do szkolnictwa i ukończeniu kształcenia. Poziom uczestnictwa Romów we wszystkich poziomach kształcenia jest znacznie niższy niż grup innej narodowości. Odsetek osób wcześnie kończących naukę wciąż wzrasta i jest szczególnie wysoki na obszarach wiejskich i mniej rozwiniętych. </w:t>
      </w:r>
      <w:r>
        <w:rPr>
          <w:noProof/>
          <w:color w:val="000000"/>
        </w:rPr>
        <w:t>Zniesienie ograniczeń uczestniczenia we wczesnej edukacji dzieci ze środowisk defaworyzowanych ma zasadnicze znaczenie dla poprawy wyników w nauczaniu i zapobiegania przedwczesnemu zakończeniu nauki.</w:t>
      </w:r>
      <w:r>
        <w:rPr>
          <w:noProof/>
        </w:rPr>
        <w:t xml:space="preserve"> Nowa ustawa o edukacji przedszkolnej i szkolnej, przyjęta przez parlament we wrześniu 2015 r., stanowi ważny krok na rzecz kompleksowej reformy systemu szkolnictwa. Wdrożenie tych przepisów, wraz z celowymi środkami na rzecz przezwyciężenia barier nieustawodawczych pełnego uczestnictwa grup defaworyzowanych w szkolnictwie, powinna przyczynić się do zwiększenia potencjału wzrostu bułgarskiej gospodarki i spójności społecznej w perspektywie długoterminowej. Odsetek osób podejmujących i kończących wyższe studia wzrasta, a wskaźnik zatrudnienia absolwentów, którzy niedawno ukończyli naukę powoli się poprawia, choć pozostaje na znacznie niższym poziomie niż średnia unijna.</w:t>
      </w:r>
    </w:p>
    <w:p>
      <w:pPr>
        <w:pStyle w:val="Point0number"/>
        <w:rPr>
          <w:noProof/>
        </w:rPr>
      </w:pPr>
      <w:r>
        <w:rPr>
          <w:noProof/>
        </w:rPr>
        <w:t xml:space="preserve">Ryzyko wynikające z wysokiego zadłużenia przedsiębiorstw i bariery zmniejszenia zadłużenia utrzymują się na wysokim poziomie. Obowiązujące przepisy dotyczące niewypłacalności nie stwarzają dużych możliwości skutecznego procesu spłaty długu i w niewielkim stopniu rozwiązują problem wysokiego poziomu zadłużenia przedsiębiorstw. Reformy procedur w sytuacji niewypłacalności przedsiębiorstw mogłyby poprawić zmniejszenie zadłużenia i utorować drogę nowym pożyczkom i inwestycjom. </w:t>
      </w:r>
    </w:p>
    <w:p>
      <w:pPr>
        <w:pStyle w:val="Point0number"/>
        <w:rPr>
          <w:noProof/>
        </w:rPr>
      </w:pPr>
      <w:r>
        <w:rPr>
          <w:noProof/>
        </w:rPr>
        <w:t>System zamówień publicznych w Bułgarii nadal charakteryzuje się słabością strukturalną, objawiającą się m.in. systematycznymi nieprawidłowościami w procedurach udzielania zamówień, brakiem zdolności administracyjnych i niewystarczającymi mechanizmami kontroli, w połączeniu z systematycznymi odwołaniami sądowymi, które często opóźniają prace w terenie. Postępy w przechodzeniu na pełen system e-zamówień są ograniczone. Niedociągnięciami bułgarskiego systemu zamówień publicznych doprowadziły do przerwania płatności i korekt finansowych w programach finansowania UE, i wpływają również na szersze otoczenie biznesu.</w:t>
      </w:r>
    </w:p>
    <w:p>
      <w:pPr>
        <w:pStyle w:val="Point0number"/>
        <w:rPr>
          <w:noProof/>
        </w:rPr>
      </w:pPr>
      <w:r>
        <w:rPr>
          <w:noProof/>
        </w:rPr>
        <w:lastRenderedPageBreak/>
        <w:t>Niestabilna polityka oraz brak zaufania do głównych instytucji publicznych, takich jak sądownictwo, stanowią istotne czynniki zniechęcające do inwestowania w bułgarską gospodarkę. Powolne tempo wdrażania reformy administracji publicznej, jak również reform w konkretnych sektorach, takich jak badania naukowe, innowacje i energia utrudniają poprawę klimatu inwestycyjnego. Bułgaria przyjęła wprawdzie strategiczne ramy na rzecz reformy i modernizuje administrację publiczną, postępy są jednak powolne, a realizacja reform często odkładana. Nowe przepisy nie są poddawane systematycznej ocenie skutków, choć pojawiły się pewne działania na rzecz zmiany tej sytuacji. Częste zmiany ram prawnych są źródłem braku pewności i wpływają na otoczenie biznesu. Korupcja pozostaje poważnym problemem, zaś odpowiedź władz krajowych na ten problem jest nadal hamowana przez słabe i rozdrobnione instytucje. W ramach mechanizmu współpracy i weryfikacji Bułgaria otrzymuje zalecenia w zakresie reformy systemu sądownictwa oraz walki z korupcją i przestępczością zorganizowaną. Chociaż obszary te mają istotne znaczenie dla ogólnej sytuacji gospodarczej, nie są one jednak uwzględnione w zaleceniach dla poszczególnych krajów skierowanych do Bułgarii.</w:t>
      </w:r>
    </w:p>
    <w:p>
      <w:pPr>
        <w:pStyle w:val="Point0number"/>
        <w:rPr>
          <w:noProof/>
        </w:rPr>
      </w:pPr>
      <w:r>
        <w:rPr>
          <w:noProof/>
        </w:rPr>
        <w:t>W ramach europejskiego semestru Komisja przeprowadziła wszechstronną analizę polityki gospodarczej Bułgarii, którą opublikowała w sprawozdaniu krajowym na 2016 r. Komisja oceniła również program konwergencji i krajowy program reform, a także działania następcze podjęte w odpowiedzi na zalecenia skierowane do Bułgarii w poprzednich latach. Wzięła pod uwagę nie tylko ich znaczenie dla stabilnej polityki budżetowej i społeczno-gospodarczej Bułgarii, ale także ich zgodność z przepisami i wytycznymi UE, ze względu na konieczność wzmocnienia ogólnego zarządzania gospodarczego w Unii Europejskiej przez wnoszenie na szczeblu UE wkładu w przyszłe decyzje krajowe. Zalecenia</w:t>
      </w:r>
      <w:bookmarkStart w:id="1" w:name="temp"/>
      <w:bookmarkEnd w:id="1"/>
      <w:r>
        <w:rPr>
          <w:noProof/>
        </w:rPr>
        <w:t xml:space="preserve"> w ramach europejskiego semestru znajdują odzwierciedlenie w zaleceniach 1–4 poniżej.</w:t>
      </w:r>
    </w:p>
    <w:p>
      <w:pPr>
        <w:pStyle w:val="Point0number"/>
        <w:rPr>
          <w:noProof/>
        </w:rPr>
      </w:pPr>
      <w:r>
        <w:rPr>
          <w:noProof/>
        </w:rPr>
        <w:t>W świetle powyższej oceny Rada przeanalizowała program konwergencji Bułgarii, a jej opinia</w:t>
      </w:r>
      <w:r>
        <w:rPr>
          <w:rStyle w:val="FootnoteReference"/>
          <w:noProof/>
        </w:rPr>
        <w:footnoteReference w:id="11"/>
      </w:r>
      <w:r>
        <w:rPr>
          <w:noProof/>
        </w:rPr>
        <w:t xml:space="preserve"> znajduje odzwierciedlenie w szczególności w zaleceniu 1 poniżej.</w:t>
      </w:r>
    </w:p>
    <w:p>
      <w:pPr>
        <w:pStyle w:val="Point0number"/>
        <w:rPr>
          <w:noProof/>
        </w:rPr>
      </w:pPr>
      <w:r>
        <w:rPr>
          <w:noProof/>
        </w:rPr>
        <w:t xml:space="preserve">W świetle dokonanej przez Komisję szczegółowej oceny sytuacji i powyższej oceny Rada przeanalizowała krajowy program reform i program konwergencji. Zalecenia Rady na mocy art. 6 rozporządzenia (UE) nr 1176/2011 znajdują odzwierciedlenie w zaleceniach 1–4 poniżej, </w:t>
      </w:r>
    </w:p>
    <w:p>
      <w:pPr>
        <w:pStyle w:val="Formuledadoption"/>
        <w:rPr>
          <w:noProof/>
        </w:rPr>
      </w:pPr>
      <w:r>
        <w:rPr>
          <w:noProof/>
        </w:rPr>
        <w:t>NINIEJSZYM ZALECA Bułgarii podjęcie w latach 2016 i 2017 działań mających na celu:</w:t>
      </w:r>
    </w:p>
    <w:p>
      <w:pPr>
        <w:pStyle w:val="ManualNumPar1"/>
        <w:rPr>
          <w:noProof/>
        </w:rPr>
      </w:pPr>
      <w:bookmarkStart w:id="2" w:name="_CopyToNewDocument_"/>
      <w:bookmarkEnd w:id="2"/>
      <w:r>
        <w:rPr>
          <w:noProof/>
        </w:rPr>
        <w:t>1.</w:t>
      </w:r>
      <w:r>
        <w:rPr>
          <w:noProof/>
        </w:rPr>
        <w:tab/>
        <w:t xml:space="preserve">Osiągnięcie rocznej korekty budżetowej wynoszącej 0,5 % PKB, prowadzącej do osiągnięcia średniookresowego celu budżetowego w latach 2016 i 2017. Dalszą poprawę poboru podatków i podjęcie środków mających na celu zmniejszenie rozmiaru zjawiska gospodarki nieformalnej, w tym pracy nierejestrowanej. </w:t>
      </w:r>
    </w:p>
    <w:p>
      <w:pPr>
        <w:pStyle w:val="ManualNumPar1"/>
        <w:rPr>
          <w:noProof/>
        </w:rPr>
      </w:pPr>
      <w:r>
        <w:rPr>
          <w:noProof/>
        </w:rPr>
        <w:t>2.</w:t>
      </w:r>
      <w:r>
        <w:rPr>
          <w:noProof/>
        </w:rPr>
        <w:tab/>
        <w:t xml:space="preserve">Zakończenie do końca 2016 r. oceny jakości aktywów i testów warunków skrajnych w bankach. Ukończenie do końca 2016 r. przeglądu bilansów i testów warunków skrajnych towarzystw ubezpieczeniowych oraz przeglądu aktywów prywatnych funduszy emerytalnych. Podjęcie niezbędnych działań następczych we wszystkich trzech sektorach oraz dalszą poprawę nadzoru bankowego i pozabankowego. </w:t>
      </w:r>
    </w:p>
    <w:p>
      <w:pPr>
        <w:pStyle w:val="ManualNumPar1"/>
        <w:rPr>
          <w:noProof/>
        </w:rPr>
      </w:pPr>
      <w:r>
        <w:rPr>
          <w:noProof/>
        </w:rPr>
        <w:lastRenderedPageBreak/>
        <w:t>3.</w:t>
      </w:r>
      <w:r>
        <w:rPr>
          <w:noProof/>
        </w:rPr>
        <w:tab/>
        <w:t>Wzmocnienie i integrację usług społecznych i aktywnych polityk rynku pracy, zwłaszcza w przypadku osób długotrwale bezrobotnych oraz młodzieży niekształcącej się, niepracującej ani nieszkolącej się. Zwiększenie możliwości kształcenia wysokiej jakości dla grup defaworyzowanych, w tym dla Romów. Poprawę skuteczności systemu opieki zdrowotnej, poprzez poprawę dostępu do niego i jego finansowania, jak i poprawę wyników w opiece zdrowotnej. Opracowanie, we współpracy z partnerami społecznymi, wytycznych i kryteriów w zakresie ustalania minimalnych płac. Zwiększenie zasięgu i adekwatności systemu minimalnego dochodu.</w:t>
      </w:r>
    </w:p>
    <w:p>
      <w:pPr>
        <w:pStyle w:val="Text1"/>
        <w:tabs>
          <w:tab w:val="left" w:pos="851"/>
        </w:tabs>
        <w:ind w:left="851" w:hanging="851"/>
        <w:rPr>
          <w:noProof/>
        </w:rPr>
      </w:pPr>
      <w:r>
        <w:rPr>
          <w:noProof/>
        </w:rPr>
        <w:t xml:space="preserve">4. </w:t>
      </w:r>
      <w:r>
        <w:rPr>
          <w:noProof/>
        </w:rPr>
        <w:tab/>
        <w:t>Reformę ram dotyczących niewypłacalności w celu przyspieszenia procedur naprawczych oraz restrukturyzacji i uporządkowanej likwidacji, jak i poprawy ich skuteczności i przejrzystości. Zwiększenie zdolności sądów dotyczącej postępowań upadłościowych. Wzmocnienie zdolności agencji zamówień publicznych i podmiotów zamawiających oraz poprawę opracowywania i kontroli publicznych procedur przetargowych. Przyspieszenie wprowadzania elektronicznych zamówień publicznych.</w:t>
      </w:r>
    </w:p>
    <w:p>
      <w:pPr>
        <w:rPr>
          <w:noProof/>
        </w:rPr>
      </w:pPr>
    </w:p>
    <w:p>
      <w:pPr>
        <w:pStyle w:val="Fait"/>
        <w:rPr>
          <w:noProof/>
        </w:rPr>
      </w:pPr>
      <w:r>
        <w:rPr>
          <w:noProof/>
        </w:rPr>
        <w:t>Sporządzono w Brukseli dnia  r.</w:t>
      </w:r>
    </w:p>
    <w:p>
      <w:pPr>
        <w:pStyle w:val="Institutionquisigne"/>
        <w:rPr>
          <w:noProof/>
        </w:rPr>
      </w:pPr>
      <w:r>
        <w:rPr>
          <w:noProof/>
        </w:rPr>
        <w:tab/>
        <w:t>W imieniu Rady</w:t>
      </w:r>
    </w:p>
    <w:p>
      <w:pPr>
        <w:pStyle w:val="Personnequisigne"/>
        <w:rPr>
          <w:noProof/>
        </w:rPr>
      </w:pPr>
      <w:r>
        <w:rPr>
          <w:noProof/>
        </w:rPr>
        <w:tab/>
        <w:t>Przewodniczący</w:t>
      </w:r>
    </w:p>
    <w:sectPr>
      <w:footerReference w:type="default" r:id="rId13"/>
      <w:footerReference w:type="first" r:id="rId14"/>
      <w:pgSz w:w="11907" w:h="16839"/>
      <w:pgMar w:top="113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before="0" w:after="0"/>
      </w:pPr>
      <w:r>
        <w:separator/>
      </w:r>
    </w:p>
  </w:endnote>
  <w:endnote w:type="continuationSeparator" w:id="0">
    <w:p>
      <w:pPr>
        <w:spacing w:before="0" w:after="0"/>
      </w:pPr>
      <w:r>
        <w:continuationSeparator/>
      </w:r>
    </w:p>
  </w:endnote>
  <w:endnote w:type="continuationNotice" w:id="1">
    <w:p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PL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DOCVARIABLE "LW_Confidence" \* MERGEFORMAT </w:instrText>
    </w:r>
    <w:r>
      <w:fldChar w:fldCharType="separate"/>
    </w:r>
    <w:r>
      <w:t xml:space="preserve"> </w:t>
    </w:r>
    <w:r>
      <w:fldChar w:fldCharType="end"/>
    </w:r>
    <w:r>
      <w:tab/>
    </w:r>
    <w:r>
      <w:rPr>
        <w:rFonts w:ascii="Arial" w:hAnsi="Arial" w:cs="Arial"/>
        <w:b/>
        <w:sz w:val="48"/>
      </w:rPr>
      <w:t>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PL</w:t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7</w:t>
    </w:r>
    <w:r>
      <w:fldChar w:fldCharType="end"/>
    </w:r>
    <w:r>
      <w:tab/>
    </w:r>
    <w:r>
      <w:fldChar w:fldCharType="begin"/>
    </w:r>
    <w:r>
      <w:instrText xml:space="preserve"> DOCVARIABLE "LW_Confidence" \* MERGEFORMAT </w:instrText>
    </w:r>
    <w:r>
      <w:fldChar w:fldCharType="separate"/>
    </w:r>
    <w:r>
      <w:t xml:space="preserve"> </w:t>
    </w:r>
    <w:r>
      <w:fldChar w:fldCharType="end"/>
    </w:r>
    <w:r>
      <w:tab/>
    </w:r>
    <w:r>
      <w:rPr>
        <w:rFonts w:ascii="Arial" w:hAnsi="Arial" w:cs="Arial"/>
        <w:b/>
        <w:sz w:val="48"/>
      </w:rPr>
      <w:t>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before="0" w:after="0"/>
      </w:pPr>
      <w:r>
        <w:separator/>
      </w:r>
    </w:p>
  </w:footnote>
  <w:footnote w:type="continuationSeparator" w:id="0">
    <w:p>
      <w:pPr>
        <w:spacing w:before="0" w:after="0"/>
      </w:pPr>
      <w:r>
        <w:continuationSeparator/>
      </w:r>
    </w:p>
  </w:footnote>
  <w:footnote w:type="continuationNotice" w:id="1">
    <w:p>
      <w:pPr>
        <w:spacing w:before="0" w:after="0"/>
      </w:pP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ab/>
        <w:t>Dz.U. L 209 z 2.8.1997, s. 1.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ab/>
        <w:t>Dz.U. L 306 z 23.11.2011, s. 25.</w:t>
      </w:r>
    </w:p>
  </w:footnote>
  <w:footnote w:id="4">
    <w:p>
      <w:pPr>
        <w:pStyle w:val="FootnoteText"/>
        <w:rPr>
          <w:lang w:val="pt-PT"/>
        </w:rPr>
      </w:pPr>
      <w:r>
        <w:rPr>
          <w:rStyle w:val="FootnoteReference"/>
        </w:rPr>
        <w:footnoteRef/>
      </w:r>
      <w:r>
        <w:rPr>
          <w:lang w:val="pt-PT"/>
        </w:rPr>
        <w:tab/>
        <w:t>COM(2016) 323 final.</w:t>
      </w:r>
    </w:p>
  </w:footnote>
  <w:footnote w:id="5">
    <w:p>
      <w:pPr>
        <w:pStyle w:val="FootnoteText"/>
        <w:rPr>
          <w:lang w:val="pt-PT"/>
        </w:rPr>
      </w:pPr>
      <w:r>
        <w:rPr>
          <w:rStyle w:val="FootnoteReference"/>
        </w:rPr>
        <w:footnoteRef/>
      </w:r>
      <w:r>
        <w:rPr>
          <w:lang w:val="pt-PT"/>
        </w:rPr>
        <w:tab/>
        <w:t>P8_TA(2016)0058, P8_TA(2016)0059 i P8_TA(2016)0060.</w:t>
      </w:r>
    </w:p>
  </w:footnote>
  <w:footnote w:id="6">
    <w:p>
      <w:pPr>
        <w:pStyle w:val="FootnoteText"/>
        <w:rPr>
          <w:lang w:val="pt-PT"/>
        </w:rPr>
      </w:pPr>
      <w:r>
        <w:rPr>
          <w:rStyle w:val="FootnoteReference"/>
        </w:rPr>
        <w:footnoteRef/>
      </w:r>
      <w:r>
        <w:rPr>
          <w:lang w:val="pt-PT"/>
        </w:rPr>
        <w:tab/>
        <w:t>COM(2015) 690 final.</w:t>
      </w:r>
    </w:p>
  </w:footnote>
  <w:footnote w:id="7">
    <w:p>
      <w:pPr>
        <w:pStyle w:val="FootnoteText"/>
        <w:rPr>
          <w:lang w:val="pt-PT"/>
        </w:rPr>
      </w:pPr>
      <w:r>
        <w:rPr>
          <w:rStyle w:val="FootnoteReference"/>
        </w:rPr>
        <w:footnoteRef/>
      </w:r>
      <w:r>
        <w:rPr>
          <w:lang w:val="pt-PT"/>
        </w:rPr>
        <w:tab/>
        <w:t>COM(2015) 691 final.</w:t>
      </w:r>
    </w:p>
  </w:footnote>
  <w:footnote w:id="8">
    <w:p>
      <w:pPr>
        <w:pStyle w:val="FootnoteText"/>
        <w:rPr>
          <w:lang w:val="pt-PT"/>
        </w:rPr>
      </w:pPr>
      <w:r>
        <w:rPr>
          <w:rStyle w:val="FootnoteReference"/>
        </w:rPr>
        <w:footnoteRef/>
      </w:r>
      <w:r>
        <w:rPr>
          <w:lang w:val="pt-PT"/>
        </w:rPr>
        <w:tab/>
        <w:t>SWD(2016) 72 final.</w:t>
      </w:r>
    </w:p>
  </w:footnote>
  <w:footnote w:id="9">
    <w:p>
      <w:pPr>
        <w:pStyle w:val="FootnoteText"/>
        <w:rPr>
          <w:lang w:val="pt-PT"/>
        </w:rPr>
      </w:pPr>
      <w:r>
        <w:rPr>
          <w:rStyle w:val="FootnoteReference"/>
        </w:rPr>
        <w:footnoteRef/>
      </w:r>
      <w:r>
        <w:rPr>
          <w:lang w:val="pt-PT"/>
        </w:rPr>
        <w:tab/>
        <w:t>COM(2016) 95 final.</w:t>
      </w:r>
    </w:p>
  </w:footnote>
  <w:footnote w:id="10">
    <w:p>
      <w:pPr>
        <w:pStyle w:val="FootnoteText"/>
      </w:pPr>
      <w:r>
        <w:rPr>
          <w:rStyle w:val="FootnoteReference"/>
        </w:rPr>
        <w:footnoteRef/>
      </w:r>
      <w:r>
        <w:tab/>
        <w:t>COM(2014) 494 final.</w:t>
      </w:r>
    </w:p>
  </w:footnote>
  <w:footnote w:id="11">
    <w:p>
      <w:pPr>
        <w:pStyle w:val="FootnoteText"/>
      </w:pPr>
      <w:r>
        <w:rPr>
          <w:rStyle w:val="FootnoteReference"/>
        </w:rPr>
        <w:footnoteRef/>
      </w:r>
      <w:r>
        <w:tab/>
        <w:t>Na mocy art. 9 ust. 2 rozporządzenia Rady (WE) nr 1466/97.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5B38C57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7EA4E9A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2FE6022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1"/>
    <w:multiLevelType w:val="singleLevel"/>
    <w:tmpl w:val="9490F0D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1FCA0F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C9E4E53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43F463E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F74239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5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6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7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1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2"/>
  </w:num>
  <w:num w:numId="12">
    <w:abstractNumId w:val="20"/>
  </w:num>
  <w:num w:numId="13">
    <w:abstractNumId w:val="11"/>
  </w:num>
  <w:num w:numId="14">
    <w:abstractNumId w:val="13"/>
  </w:num>
  <w:num w:numId="15">
    <w:abstractNumId w:val="9"/>
  </w:num>
  <w:num w:numId="16">
    <w:abstractNumId w:val="19"/>
  </w:num>
  <w:num w:numId="17">
    <w:abstractNumId w:val="8"/>
  </w:num>
  <w:num w:numId="18">
    <w:abstractNumId w:val="14"/>
  </w:num>
  <w:num w:numId="19">
    <w:abstractNumId w:val="16"/>
  </w:num>
  <w:num w:numId="20">
    <w:abstractNumId w:val="17"/>
  </w:num>
  <w:num w:numId="21">
    <w:abstractNumId w:val="10"/>
  </w:num>
  <w:num w:numId="22">
    <w:abstractNumId w:val="15"/>
  </w:num>
  <w:num w:numId="23">
    <w:abstractNumId w:val="21"/>
  </w:num>
  <w:num w:numId="24">
    <w:abstractNumId w:val="18"/>
  </w:num>
  <w:num w:numId="25">
    <w:abstractNumId w:val="12"/>
  </w:num>
  <w:num w:numId="26">
    <w:abstractNumId w:val="20"/>
  </w:num>
  <w:num w:numId="27">
    <w:abstractNumId w:val="11"/>
  </w:num>
  <w:num w:numId="28">
    <w:abstractNumId w:val="13"/>
  </w:num>
  <w:num w:numId="29">
    <w:abstractNumId w:val="9"/>
  </w:num>
  <w:num w:numId="30">
    <w:abstractNumId w:val="19"/>
  </w:num>
  <w:num w:numId="31">
    <w:abstractNumId w:val="8"/>
  </w:num>
  <w:num w:numId="32">
    <w:abstractNumId w:val="14"/>
  </w:num>
  <w:num w:numId="33">
    <w:abstractNumId w:val="16"/>
  </w:num>
  <w:num w:numId="34">
    <w:abstractNumId w:val="17"/>
  </w:num>
  <w:num w:numId="35">
    <w:abstractNumId w:val="10"/>
  </w:num>
  <w:num w:numId="36">
    <w:abstractNumId w:val="15"/>
  </w:num>
  <w:num w:numId="37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movePersonalInformation/>
  <w:removeDateAndTime/>
  <w:hideSpellingErrors/>
  <w:hideGrammaticalErrors/>
  <w:attachedTemplate r:id="rId1"/>
  <w:revisionView w:markup="0"/>
  <w:defaultTabStop w:val="720"/>
  <w:hyphenationZone w:val="425"/>
  <w:characterSpacingControl w:val="doNotCompress"/>
  <w:hdrShapeDefaults>
    <o:shapedefaults v:ext="edit" spidmax="911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VERPAGE_EXISTS" w:val="True"/>
    <w:docVar w:name="DQCDateTime" w:val="2016-05-20 15:22:27"/>
    <w:docVar w:name="DQCResult_Distribution" w:val="0;0"/>
    <w:docVar w:name="DQCResult_DocumentContent" w:val="0;0"/>
    <w:docVar w:name="DQCResult_DocumentSize" w:val="0;0"/>
    <w:docVar w:name="DQCResult_DocumentVersions" w:val="0;0"/>
    <w:docVar w:name="DQCResult_ExistenceOfMacros" w:val="0;0"/>
    <w:docVar w:name="DQCResult_InvalidFootnotes" w:val="0;0"/>
    <w:docVar w:name="DQCResult_LinkedStyles" w:val="0;0"/>
    <w:docVar w:name="DQCResult_ModifiedMargins" w:val="0;1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3"/>
    <w:docVar w:name="DQCResult_UnknownFonts" w:val="0;0"/>
    <w:docVar w:name="DQCResult_UnknownStyles" w:val="0;0"/>
    <w:docVar w:name="DQCStatus" w:val="Green"/>
    <w:docVar w:name="DQCVersion" w:val="3"/>
    <w:docVar w:name="DQCWithWarnings" w:val="0"/>
    <w:docVar w:name="LW_CONFIDENCE" w:val=" "/>
    <w:docVar w:name="LW_CONST_RESTREINT_UE" w:val="RESTREINT UE"/>
    <w:docVar w:name="LW_CORRIGENDUM" w:val="&lt;UNUSED&gt;"/>
    <w:docVar w:name="LW_COVERPAGE_GUID" w:val="759DB662495D4B69AE8B5270CE84168F"/>
    <w:docVar w:name="LW_CROSSREFERENCE" w:val="&lt;UNUSED&gt;"/>
    <w:docVar w:name="LW_DocType" w:val="COM"/>
    <w:docVar w:name="LW_EMISSION" w:val="18.5.2016"/>
    <w:docVar w:name="LW_EMISSION_ISODATE" w:val="2016-05-18"/>
    <w:docVar w:name="LW_EMISSION_LOCATION" w:val="BRX"/>
    <w:docVar w:name="LW_EMISSION_PREFIX" w:val="Bruksela, dnia "/>
    <w:docVar w:name="LW_EMISSION_SUFFIX" w:val=" r."/>
    <w:docVar w:name="LW_ID_DOCMODEL" w:val="SG-002"/>
    <w:docVar w:name="LW_ID_DOCSIGNATURE" w:val="SG-002"/>
    <w:docVar w:name="LW_ID_DOCSTRUCTURE" w:val="COM/PL/ORG"/>
    <w:docVar w:name="LW_ID_DOCTYPE" w:val="SG-002"/>
    <w:docVar w:name="LW_ID_STATUT" w:val="SG-002"/>
    <w:docVar w:name="LW_INTERETEEE.CP" w:val="&lt;UNUSED&gt;"/>
    <w:docVar w:name="LW_LANGUE" w:val="PL"/>
    <w:docVar w:name="LW_MARKING" w:val="&lt;UNUSED&gt;"/>
    <w:docVar w:name="LW_NOM.INST" w:val="KOMISJA EUROPEJSKA"/>
    <w:docVar w:name="LW_NOM.INST_JOINTDOC" w:val="&lt;EMPTY&gt;"/>
    <w:docVar w:name="LW_PART_NBR" w:val="1"/>
    <w:docVar w:name="LW_PART_NBR_TOTAL" w:val="1"/>
    <w:docVar w:name="LW_REF.II.NEW.CP" w:val="&lt;UNUSED&gt;"/>
    <w:docVar w:name="LW_REF.II.NEW.CP_NUMBER" w:val="&lt;UNUSED&gt;"/>
    <w:docVar w:name="LW_REF.II.NEW.CP_YEAR" w:val="2016"/>
    <w:docVar w:name="LW_REF.INST.NEW" w:val="COM"/>
    <w:docVar w:name="LW_REF.INST.NEW_ADOPTED" w:val="final"/>
    <w:docVar w:name="LW_REF.INST.NEW_TEXT" w:val="(2016) 323"/>
    <w:docVar w:name="LW_REF.INTERNE" w:val="&lt;UNUSED&gt;"/>
    <w:docVar w:name="LW_SOUS.TITRE.OBJ.CP" w:val="&lt;UNUSED&gt;"/>
    <w:docVar w:name="LW_STATUT.CP" w:val="Zalecenie"/>
    <w:docVar w:name="LW_SUPERTITRE" w:val="&lt;UNUSED&gt;"/>
    <w:docVar w:name="LW_TITRE.OBJ.CP" w:val="w sprawie krajowego programu reform Bu\u322?garii na 2016 r._x000b__x000b_oraz zawieraj\u261?ce opini\u281? Rady na temat przedstawionego przez Bu\u322?gari\u281? programu konwergencji na 2016 r."/>
    <w:docVar w:name="LW_TYPE.DOC.CP" w:val="ZALECENIE RADY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30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30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30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30"/>
      </w:numPr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Normal"/>
    <w:link w:val="Heading5Char"/>
    <w:qFormat/>
    <w:pPr>
      <w:tabs>
        <w:tab w:val="num" w:pos="1440"/>
      </w:tabs>
      <w:spacing w:after="240"/>
      <w:ind w:left="1440" w:hanging="1440"/>
      <w:outlineLvl w:val="4"/>
    </w:pPr>
    <w:rPr>
      <w:szCs w:val="20"/>
    </w:rPr>
  </w:style>
  <w:style w:type="paragraph" w:styleId="Heading6">
    <w:name w:val="heading 6"/>
    <w:basedOn w:val="Normal"/>
    <w:next w:val="Normal"/>
    <w:link w:val="Heading6Char"/>
    <w:qFormat/>
    <w:pPr>
      <w:tabs>
        <w:tab w:val="num" w:pos="1440"/>
      </w:tabs>
      <w:spacing w:after="240"/>
      <w:ind w:left="1440" w:hanging="1440"/>
      <w:outlineLvl w:val="5"/>
    </w:pPr>
    <w:rPr>
      <w:szCs w:val="20"/>
    </w:rPr>
  </w:style>
  <w:style w:type="paragraph" w:styleId="Heading7">
    <w:name w:val="heading 7"/>
    <w:basedOn w:val="Normal"/>
    <w:next w:val="Normal"/>
    <w:link w:val="Heading7Char"/>
    <w:qFormat/>
    <w:pPr>
      <w:tabs>
        <w:tab w:val="num" w:pos="1440"/>
      </w:tabs>
      <w:spacing w:after="240"/>
      <w:ind w:left="1440" w:hanging="1440"/>
      <w:outlineLvl w:val="6"/>
    </w:pPr>
    <w:rPr>
      <w:szCs w:val="20"/>
    </w:rPr>
  </w:style>
  <w:style w:type="paragraph" w:styleId="Heading8">
    <w:name w:val="heading 8"/>
    <w:basedOn w:val="Normal"/>
    <w:next w:val="Normal"/>
    <w:link w:val="Heading8Char"/>
    <w:qFormat/>
    <w:pPr>
      <w:tabs>
        <w:tab w:val="num" w:pos="1440"/>
      </w:tabs>
      <w:spacing w:after="240"/>
      <w:ind w:left="1440" w:hanging="1440"/>
      <w:outlineLvl w:val="7"/>
    </w:pPr>
    <w:rPr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0" w:after="200"/>
    </w:pPr>
    <w:rPr>
      <w:b/>
      <w:bCs/>
      <w:color w:val="4F81BD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8"/>
      </w:numPr>
      <w:contextualSpacing/>
    </w:p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rFonts w:ascii="Times New Roman" w:hAnsi="Times New Roman" w:cs="Times New Roman"/>
      <w:sz w:val="20"/>
      <w:szCs w:val="20"/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Times New Roman" w:hAnsi="Times New Roman" w:cs="Times New Roman"/>
      <w:b/>
      <w:bCs/>
      <w:sz w:val="20"/>
      <w:szCs w:val="20"/>
      <w:lang w:val="pl-PL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pl-PL"/>
    </w:rPr>
  </w:style>
  <w:style w:type="character" w:customStyle="1" w:styleId="Heading5Char">
    <w:name w:val="Heading 5 Char"/>
    <w:link w:val="Heading5"/>
    <w:rPr>
      <w:rFonts w:ascii="Times New Roman" w:eastAsia="Calibri" w:hAnsi="Times New Roman" w:cs="Times New Roman"/>
      <w:sz w:val="24"/>
      <w:szCs w:val="20"/>
      <w:lang w:val="pl-PL"/>
    </w:rPr>
  </w:style>
  <w:style w:type="character" w:customStyle="1" w:styleId="Heading6Char">
    <w:name w:val="Heading 6 Char"/>
    <w:link w:val="Heading6"/>
    <w:rPr>
      <w:rFonts w:ascii="Times New Roman" w:eastAsia="Calibri" w:hAnsi="Times New Roman" w:cs="Times New Roman"/>
      <w:sz w:val="24"/>
      <w:szCs w:val="20"/>
      <w:lang w:val="pl-PL"/>
    </w:rPr>
  </w:style>
  <w:style w:type="character" w:customStyle="1" w:styleId="Heading7Char">
    <w:name w:val="Heading 7 Char"/>
    <w:link w:val="Heading7"/>
    <w:rPr>
      <w:rFonts w:ascii="Times New Roman" w:eastAsia="Calibri" w:hAnsi="Times New Roman" w:cs="Times New Roman"/>
      <w:sz w:val="24"/>
      <w:szCs w:val="20"/>
      <w:lang w:val="pl-PL"/>
    </w:rPr>
  </w:style>
  <w:style w:type="character" w:customStyle="1" w:styleId="Heading8Char">
    <w:name w:val="Heading 8 Char"/>
    <w:link w:val="Heading8"/>
    <w:rPr>
      <w:rFonts w:ascii="Times New Roman" w:eastAsia="Calibri" w:hAnsi="Times New Roman" w:cs="Times New Roman"/>
      <w:sz w:val="24"/>
      <w:szCs w:val="20"/>
      <w:lang w:val="pl-PL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uiPriority w:val="20"/>
    <w:qFormat/>
    <w:rPr>
      <w:i/>
      <w:iCs/>
    </w:rPr>
  </w:style>
  <w:style w:type="paragraph" w:styleId="ListParagraph">
    <w:name w:val="List Paragraph"/>
    <w:basedOn w:val="Normal"/>
    <w:uiPriority w:val="34"/>
    <w:qFormat/>
    <w:pPr>
      <w:spacing w:after="240"/>
      <w:ind w:left="720"/>
      <w:contextualSpacing/>
    </w:pPr>
    <w:rPr>
      <w:szCs w:val="20"/>
    </w:rPr>
  </w:style>
  <w:style w:type="paragraph" w:styleId="Revision">
    <w:name w:val="Revision"/>
    <w:hidden/>
    <w:uiPriority w:val="99"/>
    <w:semiHidden/>
    <w:rPr>
      <w:rFonts w:ascii="Times New Roman" w:hAnsi="Times New Roman"/>
      <w:sz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before="0"/>
    </w:pPr>
    <w:rPr>
      <w:rFonts w:eastAsiaTheme="minorHAnsi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Theme="minorHAnsi" w:hAnsi="Times New Roman"/>
      <w:sz w:val="24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before="0"/>
    </w:pPr>
    <w:rPr>
      <w:rFonts w:eastAsiaTheme="minorHAnsi"/>
      <w:lang w:eastAsia="en-US" w:bidi="ar-SA"/>
    </w:r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Tiret0">
    <w:name w:val="Tiret 0"/>
    <w:basedOn w:val="Point0"/>
    <w:pPr>
      <w:numPr>
        <w:numId w:val="24"/>
      </w:numPr>
    </w:pPr>
  </w:style>
  <w:style w:type="paragraph" w:customStyle="1" w:styleId="Tiret1">
    <w:name w:val="Tiret 1"/>
    <w:basedOn w:val="Point1"/>
    <w:pPr>
      <w:numPr>
        <w:numId w:val="25"/>
      </w:numPr>
    </w:pPr>
  </w:style>
  <w:style w:type="paragraph" w:customStyle="1" w:styleId="Tiret2">
    <w:name w:val="Tiret 2"/>
    <w:basedOn w:val="Point2"/>
    <w:pPr>
      <w:numPr>
        <w:numId w:val="26"/>
      </w:numPr>
    </w:pPr>
  </w:style>
  <w:style w:type="paragraph" w:customStyle="1" w:styleId="Tiret3">
    <w:name w:val="Tiret 3"/>
    <w:basedOn w:val="Point3"/>
    <w:pPr>
      <w:numPr>
        <w:numId w:val="27"/>
      </w:numPr>
    </w:pPr>
  </w:style>
  <w:style w:type="paragraph" w:customStyle="1" w:styleId="Tiret4">
    <w:name w:val="Tiret 4"/>
    <w:basedOn w:val="Point4"/>
    <w:pPr>
      <w:numPr>
        <w:numId w:val="28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29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29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29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29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31"/>
      </w:numPr>
    </w:pPr>
  </w:style>
  <w:style w:type="paragraph" w:customStyle="1" w:styleId="Point1number">
    <w:name w:val="Point 1 (number)"/>
    <w:basedOn w:val="Normal"/>
    <w:pPr>
      <w:numPr>
        <w:ilvl w:val="2"/>
        <w:numId w:val="31"/>
      </w:numPr>
    </w:pPr>
  </w:style>
  <w:style w:type="paragraph" w:customStyle="1" w:styleId="Point2number">
    <w:name w:val="Point 2 (number)"/>
    <w:basedOn w:val="Normal"/>
    <w:pPr>
      <w:numPr>
        <w:ilvl w:val="4"/>
        <w:numId w:val="31"/>
      </w:numPr>
    </w:pPr>
  </w:style>
  <w:style w:type="paragraph" w:customStyle="1" w:styleId="Point3number">
    <w:name w:val="Point 3 (number)"/>
    <w:basedOn w:val="Normal"/>
    <w:pPr>
      <w:numPr>
        <w:ilvl w:val="6"/>
        <w:numId w:val="31"/>
      </w:numPr>
    </w:pPr>
  </w:style>
  <w:style w:type="paragraph" w:customStyle="1" w:styleId="Point0letter">
    <w:name w:val="Point 0 (letter)"/>
    <w:basedOn w:val="Normal"/>
    <w:pPr>
      <w:numPr>
        <w:ilvl w:val="1"/>
        <w:numId w:val="31"/>
      </w:numPr>
    </w:pPr>
  </w:style>
  <w:style w:type="paragraph" w:customStyle="1" w:styleId="Point1letter">
    <w:name w:val="Point 1 (letter)"/>
    <w:basedOn w:val="Normal"/>
    <w:pPr>
      <w:numPr>
        <w:ilvl w:val="3"/>
        <w:numId w:val="31"/>
      </w:numPr>
    </w:pPr>
  </w:style>
  <w:style w:type="paragraph" w:customStyle="1" w:styleId="Point2letter">
    <w:name w:val="Point 2 (letter)"/>
    <w:basedOn w:val="Normal"/>
    <w:pPr>
      <w:numPr>
        <w:ilvl w:val="5"/>
        <w:numId w:val="31"/>
      </w:numPr>
    </w:pPr>
  </w:style>
  <w:style w:type="paragraph" w:customStyle="1" w:styleId="Point3letter">
    <w:name w:val="Point 3 (letter)"/>
    <w:basedOn w:val="Normal"/>
    <w:pPr>
      <w:numPr>
        <w:ilvl w:val="7"/>
        <w:numId w:val="31"/>
      </w:numPr>
    </w:pPr>
  </w:style>
  <w:style w:type="paragraph" w:customStyle="1" w:styleId="Point4letter">
    <w:name w:val="Point 4 (letter)"/>
    <w:basedOn w:val="Normal"/>
    <w:pPr>
      <w:numPr>
        <w:ilvl w:val="8"/>
        <w:numId w:val="31"/>
      </w:numPr>
    </w:pPr>
  </w:style>
  <w:style w:type="paragraph" w:customStyle="1" w:styleId="Bullet0">
    <w:name w:val="Bullet 0"/>
    <w:basedOn w:val="Normal"/>
    <w:pPr>
      <w:numPr>
        <w:numId w:val="32"/>
      </w:numPr>
    </w:pPr>
  </w:style>
  <w:style w:type="paragraph" w:customStyle="1" w:styleId="Bullet1">
    <w:name w:val="Bullet 1"/>
    <w:basedOn w:val="Normal"/>
    <w:pPr>
      <w:numPr>
        <w:numId w:val="33"/>
      </w:numPr>
    </w:pPr>
  </w:style>
  <w:style w:type="paragraph" w:customStyle="1" w:styleId="Bullet2">
    <w:name w:val="Bullet 2"/>
    <w:basedOn w:val="Normal"/>
    <w:pPr>
      <w:numPr>
        <w:numId w:val="34"/>
      </w:numPr>
    </w:pPr>
  </w:style>
  <w:style w:type="paragraph" w:customStyle="1" w:styleId="Bullet3">
    <w:name w:val="Bullet 3"/>
    <w:basedOn w:val="Normal"/>
    <w:pPr>
      <w:numPr>
        <w:numId w:val="35"/>
      </w:numPr>
    </w:pPr>
  </w:style>
  <w:style w:type="paragraph" w:customStyle="1" w:styleId="Bullet4">
    <w:name w:val="Bullet 4"/>
    <w:basedOn w:val="Normal"/>
    <w:pPr>
      <w:numPr>
        <w:numId w:val="36"/>
      </w:numPr>
    </w:p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37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ous-titreobjet">
    <w:name w:val="Sous-titre objet"/>
    <w:basedOn w:val="Normal"/>
    <w:pPr>
      <w:spacing w:before="0" w:after="0"/>
      <w:jc w:val="center"/>
    </w:pPr>
    <w:rPr>
      <w:b/>
    </w:r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Sous-titreobjet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ous-titreobjetPagedecouverture">
    <w:name w:val="Sous-titre objet (Page de couverture)"/>
    <w:basedOn w:val="Sous-titreobje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Sous-titreobjet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30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30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30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30"/>
      </w:numPr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Normal"/>
    <w:link w:val="Heading5Char"/>
    <w:qFormat/>
    <w:pPr>
      <w:tabs>
        <w:tab w:val="num" w:pos="1440"/>
      </w:tabs>
      <w:spacing w:after="240"/>
      <w:ind w:left="1440" w:hanging="1440"/>
      <w:outlineLvl w:val="4"/>
    </w:pPr>
    <w:rPr>
      <w:szCs w:val="20"/>
    </w:rPr>
  </w:style>
  <w:style w:type="paragraph" w:styleId="Heading6">
    <w:name w:val="heading 6"/>
    <w:basedOn w:val="Normal"/>
    <w:next w:val="Normal"/>
    <w:link w:val="Heading6Char"/>
    <w:qFormat/>
    <w:pPr>
      <w:tabs>
        <w:tab w:val="num" w:pos="1440"/>
      </w:tabs>
      <w:spacing w:after="240"/>
      <w:ind w:left="1440" w:hanging="1440"/>
      <w:outlineLvl w:val="5"/>
    </w:pPr>
    <w:rPr>
      <w:szCs w:val="20"/>
    </w:rPr>
  </w:style>
  <w:style w:type="paragraph" w:styleId="Heading7">
    <w:name w:val="heading 7"/>
    <w:basedOn w:val="Normal"/>
    <w:next w:val="Normal"/>
    <w:link w:val="Heading7Char"/>
    <w:qFormat/>
    <w:pPr>
      <w:tabs>
        <w:tab w:val="num" w:pos="1440"/>
      </w:tabs>
      <w:spacing w:after="240"/>
      <w:ind w:left="1440" w:hanging="1440"/>
      <w:outlineLvl w:val="6"/>
    </w:pPr>
    <w:rPr>
      <w:szCs w:val="20"/>
    </w:rPr>
  </w:style>
  <w:style w:type="paragraph" w:styleId="Heading8">
    <w:name w:val="heading 8"/>
    <w:basedOn w:val="Normal"/>
    <w:next w:val="Normal"/>
    <w:link w:val="Heading8Char"/>
    <w:qFormat/>
    <w:pPr>
      <w:tabs>
        <w:tab w:val="num" w:pos="1440"/>
      </w:tabs>
      <w:spacing w:after="240"/>
      <w:ind w:left="1440" w:hanging="1440"/>
      <w:outlineLvl w:val="7"/>
    </w:pPr>
    <w:rPr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0" w:after="200"/>
    </w:pPr>
    <w:rPr>
      <w:b/>
      <w:bCs/>
      <w:color w:val="4F81BD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8"/>
      </w:numPr>
      <w:contextualSpacing/>
    </w:p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rFonts w:ascii="Times New Roman" w:hAnsi="Times New Roman" w:cs="Times New Roman"/>
      <w:sz w:val="20"/>
      <w:szCs w:val="20"/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Times New Roman" w:hAnsi="Times New Roman" w:cs="Times New Roman"/>
      <w:b/>
      <w:bCs/>
      <w:sz w:val="20"/>
      <w:szCs w:val="20"/>
      <w:lang w:val="pl-PL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pl-PL"/>
    </w:rPr>
  </w:style>
  <w:style w:type="character" w:customStyle="1" w:styleId="Heading5Char">
    <w:name w:val="Heading 5 Char"/>
    <w:link w:val="Heading5"/>
    <w:rPr>
      <w:rFonts w:ascii="Times New Roman" w:eastAsia="Calibri" w:hAnsi="Times New Roman" w:cs="Times New Roman"/>
      <w:sz w:val="24"/>
      <w:szCs w:val="20"/>
      <w:lang w:val="pl-PL"/>
    </w:rPr>
  </w:style>
  <w:style w:type="character" w:customStyle="1" w:styleId="Heading6Char">
    <w:name w:val="Heading 6 Char"/>
    <w:link w:val="Heading6"/>
    <w:rPr>
      <w:rFonts w:ascii="Times New Roman" w:eastAsia="Calibri" w:hAnsi="Times New Roman" w:cs="Times New Roman"/>
      <w:sz w:val="24"/>
      <w:szCs w:val="20"/>
      <w:lang w:val="pl-PL"/>
    </w:rPr>
  </w:style>
  <w:style w:type="character" w:customStyle="1" w:styleId="Heading7Char">
    <w:name w:val="Heading 7 Char"/>
    <w:link w:val="Heading7"/>
    <w:rPr>
      <w:rFonts w:ascii="Times New Roman" w:eastAsia="Calibri" w:hAnsi="Times New Roman" w:cs="Times New Roman"/>
      <w:sz w:val="24"/>
      <w:szCs w:val="20"/>
      <w:lang w:val="pl-PL"/>
    </w:rPr>
  </w:style>
  <w:style w:type="character" w:customStyle="1" w:styleId="Heading8Char">
    <w:name w:val="Heading 8 Char"/>
    <w:link w:val="Heading8"/>
    <w:rPr>
      <w:rFonts w:ascii="Times New Roman" w:eastAsia="Calibri" w:hAnsi="Times New Roman" w:cs="Times New Roman"/>
      <w:sz w:val="24"/>
      <w:szCs w:val="20"/>
      <w:lang w:val="pl-PL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uiPriority w:val="20"/>
    <w:qFormat/>
    <w:rPr>
      <w:i/>
      <w:iCs/>
    </w:rPr>
  </w:style>
  <w:style w:type="paragraph" w:styleId="ListParagraph">
    <w:name w:val="List Paragraph"/>
    <w:basedOn w:val="Normal"/>
    <w:uiPriority w:val="34"/>
    <w:qFormat/>
    <w:pPr>
      <w:spacing w:after="240"/>
      <w:ind w:left="720"/>
      <w:contextualSpacing/>
    </w:pPr>
    <w:rPr>
      <w:szCs w:val="20"/>
    </w:rPr>
  </w:style>
  <w:style w:type="paragraph" w:styleId="Revision">
    <w:name w:val="Revision"/>
    <w:hidden/>
    <w:uiPriority w:val="99"/>
    <w:semiHidden/>
    <w:rPr>
      <w:rFonts w:ascii="Times New Roman" w:hAnsi="Times New Roman"/>
      <w:sz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before="0"/>
    </w:pPr>
    <w:rPr>
      <w:rFonts w:eastAsiaTheme="minorHAnsi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Theme="minorHAnsi" w:hAnsi="Times New Roman"/>
      <w:sz w:val="24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before="0"/>
    </w:pPr>
    <w:rPr>
      <w:rFonts w:eastAsiaTheme="minorHAnsi"/>
      <w:lang w:eastAsia="en-US" w:bidi="ar-SA"/>
    </w:r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Tiret0">
    <w:name w:val="Tiret 0"/>
    <w:basedOn w:val="Point0"/>
    <w:pPr>
      <w:numPr>
        <w:numId w:val="24"/>
      </w:numPr>
    </w:pPr>
  </w:style>
  <w:style w:type="paragraph" w:customStyle="1" w:styleId="Tiret1">
    <w:name w:val="Tiret 1"/>
    <w:basedOn w:val="Point1"/>
    <w:pPr>
      <w:numPr>
        <w:numId w:val="25"/>
      </w:numPr>
    </w:pPr>
  </w:style>
  <w:style w:type="paragraph" w:customStyle="1" w:styleId="Tiret2">
    <w:name w:val="Tiret 2"/>
    <w:basedOn w:val="Point2"/>
    <w:pPr>
      <w:numPr>
        <w:numId w:val="26"/>
      </w:numPr>
    </w:pPr>
  </w:style>
  <w:style w:type="paragraph" w:customStyle="1" w:styleId="Tiret3">
    <w:name w:val="Tiret 3"/>
    <w:basedOn w:val="Point3"/>
    <w:pPr>
      <w:numPr>
        <w:numId w:val="27"/>
      </w:numPr>
    </w:pPr>
  </w:style>
  <w:style w:type="paragraph" w:customStyle="1" w:styleId="Tiret4">
    <w:name w:val="Tiret 4"/>
    <w:basedOn w:val="Point4"/>
    <w:pPr>
      <w:numPr>
        <w:numId w:val="28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29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29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29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29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31"/>
      </w:numPr>
    </w:pPr>
  </w:style>
  <w:style w:type="paragraph" w:customStyle="1" w:styleId="Point1number">
    <w:name w:val="Point 1 (number)"/>
    <w:basedOn w:val="Normal"/>
    <w:pPr>
      <w:numPr>
        <w:ilvl w:val="2"/>
        <w:numId w:val="31"/>
      </w:numPr>
    </w:pPr>
  </w:style>
  <w:style w:type="paragraph" w:customStyle="1" w:styleId="Point2number">
    <w:name w:val="Point 2 (number)"/>
    <w:basedOn w:val="Normal"/>
    <w:pPr>
      <w:numPr>
        <w:ilvl w:val="4"/>
        <w:numId w:val="31"/>
      </w:numPr>
    </w:pPr>
  </w:style>
  <w:style w:type="paragraph" w:customStyle="1" w:styleId="Point3number">
    <w:name w:val="Point 3 (number)"/>
    <w:basedOn w:val="Normal"/>
    <w:pPr>
      <w:numPr>
        <w:ilvl w:val="6"/>
        <w:numId w:val="31"/>
      </w:numPr>
    </w:pPr>
  </w:style>
  <w:style w:type="paragraph" w:customStyle="1" w:styleId="Point0letter">
    <w:name w:val="Point 0 (letter)"/>
    <w:basedOn w:val="Normal"/>
    <w:pPr>
      <w:numPr>
        <w:ilvl w:val="1"/>
        <w:numId w:val="31"/>
      </w:numPr>
    </w:pPr>
  </w:style>
  <w:style w:type="paragraph" w:customStyle="1" w:styleId="Point1letter">
    <w:name w:val="Point 1 (letter)"/>
    <w:basedOn w:val="Normal"/>
    <w:pPr>
      <w:numPr>
        <w:ilvl w:val="3"/>
        <w:numId w:val="31"/>
      </w:numPr>
    </w:pPr>
  </w:style>
  <w:style w:type="paragraph" w:customStyle="1" w:styleId="Point2letter">
    <w:name w:val="Point 2 (letter)"/>
    <w:basedOn w:val="Normal"/>
    <w:pPr>
      <w:numPr>
        <w:ilvl w:val="5"/>
        <w:numId w:val="31"/>
      </w:numPr>
    </w:pPr>
  </w:style>
  <w:style w:type="paragraph" w:customStyle="1" w:styleId="Point3letter">
    <w:name w:val="Point 3 (letter)"/>
    <w:basedOn w:val="Normal"/>
    <w:pPr>
      <w:numPr>
        <w:ilvl w:val="7"/>
        <w:numId w:val="31"/>
      </w:numPr>
    </w:pPr>
  </w:style>
  <w:style w:type="paragraph" w:customStyle="1" w:styleId="Point4letter">
    <w:name w:val="Point 4 (letter)"/>
    <w:basedOn w:val="Normal"/>
    <w:pPr>
      <w:numPr>
        <w:ilvl w:val="8"/>
        <w:numId w:val="31"/>
      </w:numPr>
    </w:pPr>
  </w:style>
  <w:style w:type="paragraph" w:customStyle="1" w:styleId="Bullet0">
    <w:name w:val="Bullet 0"/>
    <w:basedOn w:val="Normal"/>
    <w:pPr>
      <w:numPr>
        <w:numId w:val="32"/>
      </w:numPr>
    </w:pPr>
  </w:style>
  <w:style w:type="paragraph" w:customStyle="1" w:styleId="Bullet1">
    <w:name w:val="Bullet 1"/>
    <w:basedOn w:val="Normal"/>
    <w:pPr>
      <w:numPr>
        <w:numId w:val="33"/>
      </w:numPr>
    </w:pPr>
  </w:style>
  <w:style w:type="paragraph" w:customStyle="1" w:styleId="Bullet2">
    <w:name w:val="Bullet 2"/>
    <w:basedOn w:val="Normal"/>
    <w:pPr>
      <w:numPr>
        <w:numId w:val="34"/>
      </w:numPr>
    </w:pPr>
  </w:style>
  <w:style w:type="paragraph" w:customStyle="1" w:styleId="Bullet3">
    <w:name w:val="Bullet 3"/>
    <w:basedOn w:val="Normal"/>
    <w:pPr>
      <w:numPr>
        <w:numId w:val="35"/>
      </w:numPr>
    </w:pPr>
  </w:style>
  <w:style w:type="paragraph" w:customStyle="1" w:styleId="Bullet4">
    <w:name w:val="Bullet 4"/>
    <w:basedOn w:val="Normal"/>
    <w:pPr>
      <w:numPr>
        <w:numId w:val="36"/>
      </w:numPr>
    </w:p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37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ous-titreobjet">
    <w:name w:val="Sous-titre objet"/>
    <w:basedOn w:val="Normal"/>
    <w:pPr>
      <w:spacing w:before="0" w:after="0"/>
      <w:jc w:val="center"/>
    </w:pPr>
    <w:rPr>
      <w:b/>
    </w:r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Sous-titreobjet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ous-titreobjetPagedecouverture">
    <w:name w:val="Sous-titre objet (Page de couverture)"/>
    <w:basedOn w:val="Sous-titreobje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Sous-titreobjet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_Collab_Status xmlns="f1740c95-8c94-4e2b-bb68-099fa8775224">Not Started</EC_Collab_Status>
    <_Status xmlns="http://schemas.microsoft.com/sharepoint/v3/fields">Not Started</_Status>
    <EC_Collab_DocumentLanguage xmlns="f1740c95-8c94-4e2b-bb68-099fa8775224">EN</EC_Collab_DocumentLanguage>
    <EC_Collab_Reference xmlns="f1740c95-8c94-4e2b-bb68-099fa877522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59C034196E3757489169EA8E8E1B4C16" ma:contentTypeVersion="1" ma:contentTypeDescription="Create a new document in this library." ma:contentTypeScope="" ma:versionID="aeddc8888498fa536f50d3e231ff526e">
  <xsd:schema xmlns:xsd="http://www.w3.org/2001/XMLSchema" xmlns:xs="http://www.w3.org/2001/XMLSchema" xmlns:p="http://schemas.microsoft.com/office/2006/metadata/properties" xmlns:ns2="http://schemas.microsoft.com/sharepoint/v3/fields" xmlns:ns3="f1740c95-8c94-4e2b-bb68-099fa8775224" targetNamespace="http://schemas.microsoft.com/office/2006/metadata/properties" ma:root="true" ma:fieldsID="2658a571dec28f573b4d7987cc77c626" ns2:_="" ns3:_="">
    <xsd:import namespace="http://schemas.microsoft.com/sharepoint/v3/fields"/>
    <xsd:import namespace="f1740c95-8c94-4e2b-bb68-099fa8775224"/>
    <xsd:element name="properties">
      <xsd:complexType>
        <xsd:sequence>
          <xsd:element name="documentManagement">
            <xsd:complexType>
              <xsd:all>
                <xsd:element ref="ns3:EC_Collab_Reference" minOccurs="0"/>
                <xsd:element ref="ns2:_Status" minOccurs="0"/>
                <xsd:element ref="ns3:EC_Collab_DocumentLanguage"/>
                <xsd:element ref="ns3:EC_Collab_Statu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3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40c95-8c94-4e2b-bb68-099fa8775224" elementFormDefault="qualified">
    <xsd:import namespace="http://schemas.microsoft.com/office/2006/documentManagement/types"/>
    <xsd:import namespace="http://schemas.microsoft.com/office/infopath/2007/PartnerControls"/>
    <xsd:element name="EC_Collab_Reference" ma:index="12" nillable="true" ma:displayName="Reference" ma:internalName="EC_Collab_Reference">
      <xsd:simpleType>
        <xsd:restriction base="dms:Text"/>
      </xsd:simpleType>
    </xsd:element>
    <xsd:element name="EC_Collab_DocumentLanguage" ma:index="14" ma:displayName="Language" ma:default="EN" ma:internalName="EC_Collab_DocumentLanguage">
      <xsd:simpleType>
        <xsd:restriction base="dms:Choice">
          <xsd:enumeration value="BG"/>
          <xsd:enumeration value="ES"/>
          <xsd:enumeration value="CS"/>
          <xsd:enumeration value="DA"/>
          <xsd:enumeration value="DE"/>
          <xsd:enumeration value="ET"/>
          <xsd:enumeration value="EL"/>
          <xsd:enumeration value="EN"/>
          <xsd:enumeration value="FR"/>
          <xsd:enumeration value="GA"/>
          <xsd:enumeration value="IT"/>
          <xsd:enumeration value="LT"/>
          <xsd:enumeration value="LV"/>
          <xsd:enumeration value="HU"/>
          <xsd:enumeration value="MT"/>
          <xsd:enumeration value="NL"/>
          <xsd:enumeration value="PL"/>
          <xsd:enumeration value="PT"/>
          <xsd:enumeration value="RO"/>
          <xsd:enumeration value="SK"/>
          <xsd:enumeration value="SL"/>
          <xsd:enumeration value="FI"/>
          <xsd:enumeration value="SV"/>
          <xsd:enumeration value="HR"/>
          <xsd:enumeration value="MK"/>
          <xsd:enumeration value="TR"/>
          <xsd:enumeration value="EU"/>
          <xsd:enumeration value="CA"/>
          <xsd:enumeration value="GL"/>
          <xsd:enumeration value="AB"/>
          <xsd:enumeration value="AA"/>
          <xsd:enumeration value="AF"/>
          <xsd:enumeration value="AK"/>
          <xsd:enumeration value="SQ"/>
          <xsd:enumeration value="AM"/>
          <xsd:enumeration value="AR"/>
          <xsd:enumeration value="AN"/>
          <xsd:enumeration value="HY"/>
          <xsd:enumeration value="AS"/>
          <xsd:enumeration value="AV"/>
          <xsd:enumeration value="AE"/>
          <xsd:enumeration value="AY"/>
          <xsd:enumeration value="AZ"/>
          <xsd:enumeration value="BM"/>
          <xsd:enumeration value="BA"/>
          <xsd:enumeration value="BE"/>
          <xsd:enumeration value="BN"/>
          <xsd:enumeration value="BH"/>
          <xsd:enumeration value="BI"/>
          <xsd:enumeration value="NB"/>
          <xsd:enumeration value="BS"/>
          <xsd:enumeration value="BR"/>
          <xsd:enumeration value="MY"/>
          <xsd:enumeration value="KM"/>
          <xsd:enumeration value="CH"/>
          <xsd:enumeration value="CE"/>
          <xsd:enumeration value="NY"/>
          <xsd:enumeration value="ZH"/>
          <xsd:enumeration value="CU"/>
          <xsd:enumeration value="CV"/>
          <xsd:enumeration value="KW"/>
          <xsd:enumeration value="CO"/>
          <xsd:enumeration value="CR"/>
          <xsd:enumeration value="DV"/>
          <xsd:enumeration value="DZ"/>
          <xsd:enumeration value="EO"/>
          <xsd:enumeration value="EE"/>
          <xsd:enumeration value="FO"/>
          <xsd:enumeration value="FJ"/>
          <xsd:enumeration value="FF"/>
          <xsd:enumeration value="GD"/>
          <xsd:enumeration value="LG"/>
          <xsd:enumeration value="KA"/>
          <xsd:enumeration value="GN"/>
          <xsd:enumeration value="GU"/>
          <xsd:enumeration value="HT"/>
          <xsd:enumeration value="HA"/>
          <xsd:enumeration value="HE"/>
          <xsd:enumeration value="HZ"/>
          <xsd:enumeration value="HI"/>
          <xsd:enumeration value="HO"/>
          <xsd:enumeration value="IS"/>
          <xsd:enumeration value="IO"/>
          <xsd:enumeration value="IG"/>
          <xsd:enumeration value="ID"/>
          <xsd:enumeration value="IA"/>
          <xsd:enumeration value="IE"/>
          <xsd:enumeration value="IU"/>
          <xsd:enumeration value="IK"/>
          <xsd:enumeration value="JA"/>
          <xsd:enumeration value="JV"/>
          <xsd:enumeration value="KL"/>
          <xsd:enumeration value="KN"/>
          <xsd:enumeration value="KR"/>
          <xsd:enumeration value="KS"/>
          <xsd:enumeration value="KK"/>
          <xsd:enumeration value="KI"/>
          <xsd:enumeration value="RW"/>
          <xsd:enumeration value="KY"/>
          <xsd:enumeration value="KV"/>
          <xsd:enumeration value="KG"/>
          <xsd:enumeration value="KO"/>
          <xsd:enumeration value="KJ"/>
          <xsd:enumeration value="KU"/>
          <xsd:enumeration value="LO"/>
          <xsd:enumeration value="LA"/>
          <xsd:enumeration value="LI"/>
          <xsd:enumeration value="LN"/>
          <xsd:enumeration value="LU"/>
          <xsd:enumeration value="LB"/>
          <xsd:enumeration value="MG"/>
          <xsd:enumeration value="MS"/>
          <xsd:enumeration value="ML"/>
          <xsd:enumeration value="GV"/>
          <xsd:enumeration value="MI"/>
          <xsd:enumeration value="MR"/>
          <xsd:enumeration value="MH"/>
          <xsd:enumeration value="MN"/>
          <xsd:enumeration value="NA"/>
          <xsd:enumeration value="NV"/>
          <xsd:enumeration value="ND"/>
          <xsd:enumeration value="NR"/>
          <xsd:enumeration value="NG"/>
          <xsd:enumeration value="NE"/>
          <xsd:enumeration value="SE"/>
          <xsd:enumeration value="NO"/>
          <xsd:enumeration value="NN"/>
          <xsd:enumeration value="OC"/>
          <xsd:enumeration value="OJ"/>
          <xsd:enumeration value="OR"/>
          <xsd:enumeration value="OM"/>
          <xsd:enumeration value="OS"/>
          <xsd:enumeration value="PI"/>
          <xsd:enumeration value="PA"/>
          <xsd:enumeration value="FA"/>
          <xsd:enumeration value="PS"/>
          <xsd:enumeration value="QU"/>
          <xsd:enumeration value="RM"/>
          <xsd:enumeration value="RN"/>
          <xsd:enumeration value="RU"/>
          <xsd:enumeration value="SM"/>
          <xsd:enumeration value="SG"/>
          <xsd:enumeration value="SA"/>
          <xsd:enumeration value="SC"/>
          <xsd:enumeration value="SR"/>
          <xsd:enumeration value="SN"/>
          <xsd:enumeration value="II"/>
          <xsd:enumeration value="SD"/>
          <xsd:enumeration value="SI"/>
          <xsd:enumeration value="SO"/>
          <xsd:enumeration value="ST"/>
          <xsd:enumeration value="SU"/>
          <xsd:enumeration value="SW"/>
          <xsd:enumeration value="SS"/>
          <xsd:enumeration value="TL"/>
          <xsd:enumeration value="TY"/>
          <xsd:enumeration value="TG"/>
          <xsd:enumeration value="TA"/>
          <xsd:enumeration value="TT"/>
          <xsd:enumeration value="TE"/>
          <xsd:enumeration value="TH"/>
          <xsd:enumeration value="BO"/>
          <xsd:enumeration value="TI"/>
          <xsd:enumeration value="TO"/>
          <xsd:enumeration value="TS"/>
          <xsd:enumeration value="TN"/>
          <xsd:enumeration value="TK"/>
          <xsd:enumeration value="TW"/>
          <xsd:enumeration value="UG"/>
          <xsd:enumeration value="UK"/>
          <xsd:enumeration value="UR"/>
          <xsd:enumeration value="UZ"/>
          <xsd:enumeration value="VE"/>
          <xsd:enumeration value="VI"/>
          <xsd:enumeration value="VO"/>
          <xsd:enumeration value="WA"/>
          <xsd:enumeration value="CY"/>
          <xsd:enumeration value="FY"/>
          <xsd:enumeration value="WO"/>
          <xsd:enumeration value="XH"/>
          <xsd:enumeration value="YI"/>
          <xsd:enumeration value="YO"/>
          <xsd:enumeration value="ZA"/>
          <xsd:enumeration value="ZU"/>
        </xsd:restriction>
      </xsd:simpleType>
    </xsd:element>
    <xsd:element name="EC_Collab_Status" ma:index="15" ma:displayName="EC Status" ma:default="Not Started" ma:internalName="EC_Collab_Status">
      <xsd:simpleType>
        <xsd:restriction base="dms:Choice">
          <xsd:enumeration value="Not Started"/>
          <xsd:enumeration value="Draft"/>
          <xsd:enumeration value="Reviewed"/>
          <xsd:enumeration value="Scheduled"/>
          <xsd:enumeration value="Published"/>
          <xsd:enumeration value="Final"/>
          <xsd:enumeration value="Expir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9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 ma:index="8" ma:displayName="Subject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20123-F34C-48FA-AFB8-1E938A201133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f1740c95-8c94-4e2b-bb68-099fa8775224"/>
    <ds:schemaRef ds:uri="http://schemas.microsoft.com/sharepoint/v3/field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FE94079-39DD-4D85-97AD-69EE0D274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f1740c95-8c94-4e2b-bb68-099fa8775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AA2F5D-A81E-4033-B84B-1132EF003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0</TotalTime>
  <Pages>7</Pages>
  <Words>2048</Words>
  <Characters>13824</Characters>
  <Application>Microsoft Office Word</Application>
  <DocSecurity>0</DocSecurity>
  <Lines>230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2016-05-19T08:09:00Z</dcterms:created>
  <dcterms:modified xsi:type="dcterms:W3CDTF">2016-05-20T13:22:00Z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 edited using">
    <vt:lpwstr>LW 5.8.4, Build 20150407</vt:lpwstr>
  </property>
  <property fmtid="{D5CDD505-2E9C-101B-9397-08002B2CF9AE}" pid="3" name="Classification">
    <vt:lpwstr> </vt:lpwstr>
  </property>
  <property fmtid="{D5CDD505-2E9C-101B-9397-08002B2CF9AE}" pid="4" name="Category">
    <vt:lpwstr>COM/PL/ORG</vt:lpwstr>
  </property>
  <property fmtid="{D5CDD505-2E9C-101B-9397-08002B2CF9AE}" pid="5" name="Part">
    <vt:lpwstr>1</vt:lpwstr>
  </property>
  <property fmtid="{D5CDD505-2E9C-101B-9397-08002B2CF9AE}" pid="6" name="Total parts">
    <vt:lpwstr>1</vt:lpwstr>
  </property>
  <property fmtid="{D5CDD505-2E9C-101B-9397-08002B2CF9AE}" pid="7" name="LWTemplateID">
    <vt:lpwstr>SG-002</vt:lpwstr>
  </property>
  <property fmtid="{D5CDD505-2E9C-101B-9397-08002B2CF9AE}" pid="8" name="_NewReviewCycle">
    <vt:lpwstr/>
  </property>
  <property fmtid="{D5CDD505-2E9C-101B-9397-08002B2CF9AE}" pid="9" name="_DocHome">
    <vt:i4>1601812521</vt:i4>
  </property>
  <property fmtid="{D5CDD505-2E9C-101B-9397-08002B2CF9AE}" pid="10" name="DQCStatus">
    <vt:lpwstr>Green (DQC version 03)</vt:lpwstr>
  </property>
</Properties>
</file>