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85" w:rsidRDefault="0024368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53432F7633C44B3997DA3F28FF4CB60" style="width:450.35pt;height:388.55pt">
            <v:imagedata r:id="rId9" o:title=""/>
          </v:shape>
        </w:pict>
      </w:r>
    </w:p>
    <w:bookmarkEnd w:id="0"/>
    <w:p w:rsidR="006B6A85" w:rsidRDefault="006B6A85">
      <w:pPr>
        <w:spacing w:before="120" w:after="120" w:line="240" w:lineRule="auto"/>
        <w:rPr>
          <w:noProof/>
          <w:lang w:val="pl-PL"/>
        </w:rPr>
        <w:sectPr w:rsidR="006B6A8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6B6A85" w:rsidRDefault="00243683">
      <w:pPr>
        <w:spacing w:before="120" w:after="120" w:line="240" w:lineRule="auto"/>
        <w:rPr>
          <w:rFonts w:ascii="Times New Roman" w:hAnsi="Times New Roman"/>
          <w:b/>
          <w:noProof/>
          <w:sz w:val="24"/>
          <w:szCs w:val="24"/>
          <w:lang w:val="pl-PL"/>
        </w:rPr>
      </w:pPr>
      <w:r>
        <w:rPr>
          <w:rFonts w:ascii="Times New Roman Bold" w:hAnsi="Times New Roman Bold"/>
          <w:b/>
          <w:smallCaps/>
          <w:noProof/>
          <w:sz w:val="26"/>
          <w:lang w:val="pl-PL"/>
        </w:rPr>
        <w:lastRenderedPageBreak/>
        <w:t>1.</w:t>
      </w:r>
      <w:r>
        <w:rPr>
          <w:rFonts w:ascii="Times New Roman Bold" w:hAnsi="Times New Roman Bold"/>
          <w:b/>
          <w:smallCaps/>
          <w:noProof/>
          <w:sz w:val="26"/>
          <w:lang w:val="pl-PL"/>
        </w:rPr>
        <w:tab/>
        <w:t>Wprowadzenie</w:t>
      </w:r>
    </w:p>
    <w:p w:rsidR="006B6A85" w:rsidRDefault="006B6A85">
      <w:pPr>
        <w:spacing w:before="120" w:after="120" w:line="240" w:lineRule="auto"/>
        <w:jc w:val="both"/>
        <w:rPr>
          <w:rFonts w:ascii="Times New Roman" w:hAnsi="Times New Roman"/>
          <w:b/>
          <w:noProof/>
          <w:sz w:val="24"/>
          <w:szCs w:val="24"/>
          <w:lang w:val="pl-PL"/>
        </w:rPr>
      </w:pP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 xml:space="preserve">Semestr europejski jest istotnym motorem reform na szczeblu krajowym i unijnym. </w:t>
      </w:r>
      <w:r>
        <w:rPr>
          <w:rFonts w:ascii="Times New Roman" w:hAnsi="Times New Roman"/>
          <w:b/>
          <w:noProof/>
          <w:sz w:val="24"/>
          <w:lang w:val="pl-PL"/>
        </w:rPr>
        <w:t>Umożliwia on skupienie i koordynację wysiłków wszystkich państw członkowskich na reformach makroekonomicznych, budżetowych i strukturalnych.</w:t>
      </w:r>
      <w:r>
        <w:rPr>
          <w:rFonts w:ascii="Times New Roman" w:hAnsi="Times New Roman"/>
          <w:noProof/>
          <w:sz w:val="24"/>
          <w:lang w:val="pl-PL"/>
        </w:rPr>
        <w:t xml:space="preserve"> W następstwie komunikatu Komisji w sprawie działań na rzecz dokończenia budowy unii gospodarczej i walutowej</w:t>
      </w:r>
      <w:r>
        <w:rPr>
          <w:rFonts w:ascii="Times New Roman" w:hAnsi="Times New Roman"/>
          <w:noProof/>
          <w:sz w:val="24"/>
          <w:vertAlign w:val="superscript"/>
          <w:lang w:val="pl-PL"/>
        </w:rPr>
        <w:footnoteReference w:id="2"/>
      </w:r>
      <w:r>
        <w:rPr>
          <w:rFonts w:ascii="Times New Roman" w:hAnsi="Times New Roman"/>
          <w:noProof/>
          <w:sz w:val="24"/>
          <w:lang w:val="pl-PL"/>
        </w:rPr>
        <w:t xml:space="preserve"> europ</w:t>
      </w:r>
      <w:r>
        <w:rPr>
          <w:rFonts w:ascii="Times New Roman" w:hAnsi="Times New Roman"/>
          <w:noProof/>
          <w:sz w:val="24"/>
          <w:lang w:val="pl-PL"/>
        </w:rPr>
        <w:t>ejski semestr 2016 stanowi kontynuację usprawnionego procesu zapoczątkowanego w 2015 r. Połączono w nim kwestie dotyczące strefy euro z wymiarem krajowym i położono większy nacisk na zatrudnienie, sytuację społeczną, inwestycje i konkurencyjność. Promuje s</w:t>
      </w:r>
      <w:r>
        <w:rPr>
          <w:rFonts w:ascii="Times New Roman" w:hAnsi="Times New Roman"/>
          <w:noProof/>
          <w:sz w:val="24"/>
          <w:lang w:val="pl-PL"/>
        </w:rPr>
        <w:t xml:space="preserve">ię w nim konwergencję i uznaje znaczenie wsparcia dla reform z funduszy europejskich, zwłaszcza z europejskich funduszy strukturalnych i inwestycyjnych, oraz ze środków dostępnych w ramach pomocy technicznej. </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W rocznej analizie wzrostu gospodarczego na 20</w:t>
      </w:r>
      <w:r>
        <w:rPr>
          <w:rFonts w:ascii="Times New Roman" w:hAnsi="Times New Roman"/>
          <w:b/>
          <w:noProof/>
          <w:sz w:val="24"/>
          <w:lang w:val="pl-PL"/>
        </w:rPr>
        <w:t>16 r.</w:t>
      </w:r>
      <w:r>
        <w:rPr>
          <w:rFonts w:ascii="Times New Roman" w:hAnsi="Times New Roman"/>
          <w:b/>
          <w:noProof/>
          <w:sz w:val="24"/>
          <w:vertAlign w:val="superscript"/>
          <w:lang w:val="pl-PL"/>
        </w:rPr>
        <w:footnoteReference w:id="3"/>
      </w:r>
      <w:r>
        <w:rPr>
          <w:rFonts w:ascii="Times New Roman" w:hAnsi="Times New Roman"/>
          <w:b/>
          <w:noProof/>
          <w:sz w:val="24"/>
          <w:lang w:val="pl-PL"/>
        </w:rPr>
        <w:t xml:space="preserve"> Komisja położyła nacisk na potrzebę konsolidacji ożywienia gospodarczego, zapewnienia jego trwałości i przyśpieszenia procesu pozytywnej konwergencji.</w:t>
      </w:r>
      <w:r>
        <w:rPr>
          <w:rFonts w:ascii="Times New Roman" w:hAnsi="Times New Roman"/>
          <w:noProof/>
          <w:sz w:val="24"/>
          <w:lang w:val="pl-PL"/>
        </w:rPr>
        <w:t xml:space="preserve"> W zaleceniu dotyczącym polityki gospodarczej strefy euro przedstawiono również wyzwania i prioryte</w:t>
      </w:r>
      <w:r>
        <w:rPr>
          <w:rFonts w:ascii="Times New Roman" w:hAnsi="Times New Roman"/>
          <w:noProof/>
          <w:sz w:val="24"/>
          <w:lang w:val="pl-PL"/>
        </w:rPr>
        <w:t>ty dla tej strefy.</w:t>
      </w:r>
      <w:r>
        <w:rPr>
          <w:rFonts w:ascii="Times New Roman" w:hAnsi="Times New Roman"/>
          <w:noProof/>
          <w:sz w:val="24"/>
          <w:vertAlign w:val="superscript"/>
          <w:lang w:val="pl-PL"/>
        </w:rPr>
        <w:footnoteReference w:id="4"/>
      </w:r>
      <w:r>
        <w:rPr>
          <w:rFonts w:ascii="Times New Roman" w:hAnsi="Times New Roman"/>
          <w:noProof/>
          <w:sz w:val="24"/>
          <w:lang w:val="pl-PL"/>
        </w:rPr>
        <w:t xml:space="preserve"> Aby móc zlikwidować różnice między państwami członkowskimi, niezbędna jest pozytywna konwergencja społeczno-gospodarcza. W tym kontekście Komisja zachęciła państwa członkowskie do wykorzystania obecnego umiarkowanego ożywienia gospodarc</w:t>
      </w:r>
      <w:r>
        <w:rPr>
          <w:rFonts w:ascii="Times New Roman" w:hAnsi="Times New Roman"/>
          <w:noProof/>
          <w:sz w:val="24"/>
          <w:lang w:val="pl-PL"/>
        </w:rPr>
        <w:t xml:space="preserve">zego w celu skupienia działań na trzech następujących priorytetach: ożywienie inwestycji, realizacja reform strukturalnych służących modernizacji gospodarek unijnych oraz odpowiedzialna polityka budżetowa. </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Sprawozdania krajowe w ramach europejskiego semes</w:t>
      </w:r>
      <w:r>
        <w:rPr>
          <w:rFonts w:ascii="Times New Roman" w:hAnsi="Times New Roman"/>
          <w:b/>
          <w:noProof/>
          <w:sz w:val="24"/>
          <w:lang w:val="pl-PL"/>
        </w:rPr>
        <w:t>tru 2016 opublikowane zostały w czasie, w którym kluczowe jest utrzymanie ożywienia gospodarczego i zadbanie o to, aby było ono wspierane niezbędnymi działaniami i strategiami umożliwiającymi dalszy wzrost.</w:t>
      </w:r>
      <w:r>
        <w:rPr>
          <w:rFonts w:ascii="Times New Roman" w:hAnsi="Times New Roman"/>
          <w:noProof/>
          <w:sz w:val="24"/>
          <w:lang w:val="pl-PL"/>
        </w:rPr>
        <w:t xml:space="preserve"> Ze sprawozdań wynika, że państwa członkowskie pod</w:t>
      </w:r>
      <w:r>
        <w:rPr>
          <w:rFonts w:ascii="Times New Roman" w:hAnsi="Times New Roman"/>
          <w:noProof/>
          <w:sz w:val="24"/>
          <w:lang w:val="pl-PL"/>
        </w:rPr>
        <w:t>jęły pewne działania w tym kierunku. Choć skutki niektórych reform będą widoczne dopiero po latach, reformy strukturalne stworzą po pewnym czasie podstawę trwałego wzrostu, konkurencyjnej gospodarki, zatrudnienia oraz inwestycji. Ze względu na tempo możliw</w:t>
      </w:r>
      <w:r>
        <w:rPr>
          <w:rFonts w:ascii="Times New Roman" w:hAnsi="Times New Roman"/>
          <w:noProof/>
          <w:sz w:val="24"/>
          <w:lang w:val="pl-PL"/>
        </w:rPr>
        <w:t>ych zmian warunków makroekonomicznych w globalnej gospodarce trzeba jak najszybciej wykorzystać występujące obecnie czynniki wzrostu oraz przyspieszyć tempo reform, aby zwiększyć konkurencyjność Unii Europejskiej. Polityka gospodarcza i społeczna będzie ró</w:t>
      </w:r>
      <w:r>
        <w:rPr>
          <w:rFonts w:ascii="Times New Roman" w:hAnsi="Times New Roman"/>
          <w:noProof/>
          <w:sz w:val="24"/>
          <w:lang w:val="pl-PL"/>
        </w:rPr>
        <w:t>wnież musiała uwzględniać mający obecnie miejsce przypływ migrantów i uchodźców, zwłaszcza ich najpilniejsze potrzeby i konieczność integracji na rynku pracy.</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color w:val="000000"/>
          <w:sz w:val="24"/>
          <w:lang w:val="pl-PL"/>
        </w:rPr>
        <w:t>Kluczowy dla pozytywnych wyników jest aktywny udział parlamentów narodowych, partnerów społecznyc</w:t>
      </w:r>
      <w:r>
        <w:rPr>
          <w:rFonts w:ascii="Times New Roman" w:hAnsi="Times New Roman"/>
          <w:b/>
          <w:noProof/>
          <w:color w:val="000000"/>
          <w:sz w:val="24"/>
          <w:lang w:val="pl-PL"/>
        </w:rPr>
        <w:t>h, społeczeństwa obywatelskiego oraz innych zainteresowanych stron w opracowywaniu i wdrażaniu reform.</w:t>
      </w:r>
      <w:r>
        <w:rPr>
          <w:rFonts w:ascii="Times New Roman" w:hAnsi="Times New Roman"/>
          <w:noProof/>
          <w:color w:val="000000"/>
          <w:sz w:val="24"/>
          <w:lang w:val="pl-PL"/>
        </w:rPr>
        <w:t xml:space="preserve"> Konieczna jest większa skuteczność reform i odpowiedzialność za nie w państwach członkowskich. Kwestię tę Komisja zawarła w przekazanych państwom członkowskim wytycznych w sprawie przygotowywania krajowych programów reform. Komisja nawiązała również bliżs</w:t>
      </w:r>
      <w:r>
        <w:rPr>
          <w:rFonts w:ascii="Times New Roman" w:hAnsi="Times New Roman"/>
          <w:noProof/>
          <w:color w:val="000000"/>
          <w:sz w:val="24"/>
          <w:lang w:val="pl-PL"/>
        </w:rPr>
        <w:t xml:space="preserve">ze kontakty z partnerami społecznymi na szczeblu europejskim i krajowym w celu omówienia głównych etapów europejskiego semestru. Należy również nadal wykorzystywać zaangażowanie społeczeństwa obywatelskiego we wdrażanie strategii „Europa 2020”. </w:t>
      </w:r>
    </w:p>
    <w:p w:rsidR="006B6A85" w:rsidRDefault="00243683">
      <w:pPr>
        <w:spacing w:before="120" w:after="120" w:line="240" w:lineRule="auto"/>
        <w:jc w:val="both"/>
        <w:rPr>
          <w:rFonts w:ascii="Times New Roman" w:hAnsi="Times New Roman"/>
          <w:noProof/>
          <w:sz w:val="24"/>
          <w:lang w:val="pl-PL"/>
        </w:rPr>
      </w:pPr>
      <w:r>
        <w:rPr>
          <w:rFonts w:ascii="Times New Roman" w:hAnsi="Times New Roman"/>
          <w:b/>
          <w:noProof/>
          <w:sz w:val="24"/>
          <w:lang w:val="pl-PL"/>
        </w:rPr>
        <w:lastRenderedPageBreak/>
        <w:t>Sprawozdan</w:t>
      </w:r>
      <w:r>
        <w:rPr>
          <w:rFonts w:ascii="Times New Roman" w:hAnsi="Times New Roman"/>
          <w:b/>
          <w:noProof/>
          <w:sz w:val="24"/>
          <w:lang w:val="pl-PL"/>
        </w:rPr>
        <w:t>ia krajowe dotyczące 26 państw członkowskich</w:t>
      </w:r>
      <w:r>
        <w:rPr>
          <w:rFonts w:ascii="Times New Roman" w:hAnsi="Times New Roman"/>
          <w:b/>
          <w:noProof/>
          <w:sz w:val="24"/>
          <w:vertAlign w:val="superscript"/>
          <w:lang w:val="pl-PL"/>
        </w:rPr>
        <w:footnoteReference w:id="5"/>
      </w:r>
      <w:r>
        <w:rPr>
          <w:noProof/>
          <w:lang w:val="pl-PL"/>
        </w:rPr>
        <w:t xml:space="preserve"> </w:t>
      </w:r>
      <w:r>
        <w:rPr>
          <w:rFonts w:ascii="Times New Roman" w:hAnsi="Times New Roman"/>
          <w:b/>
          <w:noProof/>
          <w:sz w:val="24"/>
          <w:lang w:val="pl-PL"/>
        </w:rPr>
        <w:t>dają obraz ogólnej sytuacji gospodarczej i społecznej w każdym z nich</w:t>
      </w:r>
      <w:r>
        <w:rPr>
          <w:rFonts w:ascii="Times New Roman" w:hAnsi="Times New Roman"/>
          <w:noProof/>
          <w:sz w:val="24"/>
          <w:lang w:val="pl-PL"/>
        </w:rPr>
        <w:t>. W sprawozdaniach tych oceniono postępy osiągnięte w rozwiązywaniu kwestii wskazanych w zaleceniach dla poszczególnych krajów za 2015 r. ora</w:t>
      </w:r>
      <w:r>
        <w:rPr>
          <w:rFonts w:ascii="Times New Roman" w:hAnsi="Times New Roman"/>
          <w:noProof/>
          <w:sz w:val="24"/>
          <w:lang w:val="pl-PL"/>
        </w:rPr>
        <w:t>z zawarto – w odniesieniu do 18 państw członkowskich – szczegółowe analizy sytuacji w ramach procedury dotyczącej zakłóceń równowagi makroekonomicznej. Na podstawie tej analizy Komisja proponuje aktualizację statusu niektórych z państw członkowskich objęty</w:t>
      </w:r>
      <w:r>
        <w:rPr>
          <w:rFonts w:ascii="Times New Roman" w:hAnsi="Times New Roman"/>
          <w:noProof/>
          <w:sz w:val="24"/>
          <w:lang w:val="pl-PL"/>
        </w:rPr>
        <w:t>ch tą procedurą.</w:t>
      </w:r>
      <w:r>
        <w:rPr>
          <w:noProof/>
          <w:lang w:val="pl-PL"/>
        </w:rPr>
        <w:t xml:space="preserve"> </w:t>
      </w:r>
      <w:r>
        <w:rPr>
          <w:rFonts w:ascii="Times New Roman" w:hAnsi="Times New Roman"/>
          <w:noProof/>
          <w:sz w:val="24"/>
          <w:lang w:val="pl-PL"/>
        </w:rPr>
        <w:t>Sprawozdania dotyczą również innych obszarów o</w:t>
      </w:r>
    </w:p>
    <w:p w:rsidR="006B6A85" w:rsidRDefault="006B6A85">
      <w:pPr>
        <w:spacing w:before="120" w:after="120" w:line="240" w:lineRule="auto"/>
        <w:jc w:val="both"/>
        <w:rPr>
          <w:rFonts w:ascii="Times New Roman" w:hAnsi="Times New Roman"/>
          <w:noProof/>
          <w:sz w:val="24"/>
          <w:lang w:val="pl-PL"/>
        </w:rPr>
      </w:pP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noProof/>
          <w:sz w:val="24"/>
          <w:lang w:val="pl-PL"/>
        </w:rPr>
        <w:t xml:space="preserve"> znaczeniu makroekonomicznym, takich jak polityka klimatyczna i energetyczna, objętych odrębnymi procedurami politycznymi</w:t>
      </w:r>
      <w:r>
        <w:rPr>
          <w:rFonts w:ascii="Times New Roman" w:hAnsi="Times New Roman"/>
          <w:noProof/>
          <w:sz w:val="24"/>
          <w:vertAlign w:val="superscript"/>
          <w:lang w:val="pl-PL"/>
        </w:rPr>
        <w:footnoteReference w:id="6"/>
      </w:r>
      <w:r>
        <w:rPr>
          <w:rFonts w:ascii="Times New Roman" w:hAnsi="Times New Roman"/>
          <w:noProof/>
          <w:sz w:val="24"/>
          <w:lang w:val="pl-PL"/>
        </w:rPr>
        <w:t>.</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Analizie poddano także sytuację budżetową państw członkowskich</w:t>
      </w:r>
      <w:r>
        <w:rPr>
          <w:rFonts w:ascii="Times New Roman" w:hAnsi="Times New Roman"/>
          <w:noProof/>
          <w:sz w:val="24"/>
          <w:lang w:val="pl-PL"/>
        </w:rPr>
        <w:t xml:space="preserve">. </w:t>
      </w:r>
      <w:r>
        <w:rPr>
          <w:rFonts w:ascii="Times New Roman" w:hAnsi="Times New Roman"/>
          <w:noProof/>
          <w:sz w:val="24"/>
          <w:lang w:val="pl-PL"/>
        </w:rPr>
        <w:t>Jest ona oparta na najnowszych prognozach gospodarczych Komisji</w:t>
      </w:r>
      <w:r>
        <w:rPr>
          <w:rFonts w:ascii="Times New Roman" w:hAnsi="Times New Roman"/>
          <w:noProof/>
          <w:sz w:val="24"/>
          <w:vertAlign w:val="superscript"/>
          <w:lang w:val="pl-PL"/>
        </w:rPr>
        <w:footnoteReference w:id="7"/>
      </w:r>
      <w:r>
        <w:rPr>
          <w:rFonts w:ascii="Times New Roman" w:hAnsi="Times New Roman"/>
          <w:noProof/>
          <w:sz w:val="24"/>
          <w:lang w:val="pl-PL"/>
        </w:rPr>
        <w:t xml:space="preserve"> i czerpie z opinii Komisji na temat projektów planów budżetowych dla państw strefy euro na 2016 r., publikowanych w listopadzie 2015 r., jak również z wytycznych</w:t>
      </w:r>
      <w:r>
        <w:rPr>
          <w:rFonts w:ascii="Times New Roman" w:hAnsi="Times New Roman"/>
          <w:noProof/>
          <w:sz w:val="24"/>
          <w:vertAlign w:val="superscript"/>
          <w:lang w:val="pl-PL"/>
        </w:rPr>
        <w:footnoteReference w:id="8"/>
      </w:r>
      <w:r>
        <w:rPr>
          <w:rFonts w:ascii="Times New Roman" w:hAnsi="Times New Roman"/>
          <w:noProof/>
          <w:sz w:val="24"/>
          <w:lang w:val="pl-PL"/>
        </w:rPr>
        <w:t xml:space="preserve"> przyjętych przez Komisję w z</w:t>
      </w:r>
      <w:r>
        <w:rPr>
          <w:rFonts w:ascii="Times New Roman" w:hAnsi="Times New Roman"/>
          <w:noProof/>
          <w:sz w:val="24"/>
          <w:lang w:val="pl-PL"/>
        </w:rPr>
        <w:t>eszłym roku w sprawie sposobu wspierania unijnej strategii na rzecz zatrudnienia i wzrostu gospodarczego przez wspólne ramy budżetowe.</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W sprawozdaniach krajowych szczegółowo przeanalizowano przeszkody dla inwestycji wskazane przez Komisję w ubiegłym roku i</w:t>
      </w:r>
      <w:r>
        <w:rPr>
          <w:rFonts w:ascii="Times New Roman" w:hAnsi="Times New Roman"/>
          <w:b/>
          <w:noProof/>
          <w:sz w:val="24"/>
          <w:lang w:val="pl-PL"/>
        </w:rPr>
        <w:t xml:space="preserve"> przedstawione wraz z roczną analizą wzrostu gospodarczego na 2016 r.</w:t>
      </w:r>
      <w:r>
        <w:rPr>
          <w:rFonts w:ascii="Times New Roman" w:hAnsi="Times New Roman"/>
          <w:noProof/>
          <w:sz w:val="24"/>
          <w:lang w:val="pl-PL"/>
        </w:rPr>
        <w:t xml:space="preserve"> Państwa członkowskie powinny ściśle współpracować między sobą i z instytucjami UE w kontekście semestru europejskiego, aby zlikwidować te przeszkody i osiągnąć cele trzeciego filaru plan</w:t>
      </w:r>
      <w:r>
        <w:rPr>
          <w:rFonts w:ascii="Times New Roman" w:hAnsi="Times New Roman"/>
          <w:noProof/>
          <w:sz w:val="24"/>
          <w:lang w:val="pl-PL"/>
        </w:rPr>
        <w:t>u inwestycyjnego dla Europy</w:t>
      </w:r>
      <w:r>
        <w:rPr>
          <w:rFonts w:ascii="Times New Roman" w:hAnsi="Times New Roman"/>
          <w:noProof/>
          <w:sz w:val="24"/>
          <w:vertAlign w:val="superscript"/>
          <w:lang w:val="pl-PL"/>
        </w:rPr>
        <w:footnoteReference w:id="9"/>
      </w:r>
      <w:r>
        <w:rPr>
          <w:rFonts w:ascii="Times New Roman" w:hAnsi="Times New Roman"/>
          <w:noProof/>
          <w:sz w:val="24"/>
          <w:lang w:val="pl-PL"/>
        </w:rPr>
        <w:t>.</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Sprawozdania krajowe stanowią punkt wyjścia dla dialogu z państwami członkowskimi na temat stojących przed nimi wyzwań gospodarczych i społecznych.</w:t>
      </w:r>
      <w:r>
        <w:rPr>
          <w:rFonts w:ascii="Times New Roman" w:hAnsi="Times New Roman"/>
          <w:noProof/>
          <w:sz w:val="24"/>
          <w:lang w:val="pl-PL"/>
        </w:rPr>
        <w:t xml:space="preserve"> Dialogi te, w połączeniu z zaleceniem dla strefy euro, powinny zostać uwzględn</w:t>
      </w:r>
      <w:r>
        <w:rPr>
          <w:rFonts w:ascii="Times New Roman" w:hAnsi="Times New Roman"/>
          <w:noProof/>
          <w:sz w:val="24"/>
          <w:lang w:val="pl-PL"/>
        </w:rPr>
        <w:t>ione podczas przygotowywania krajowych programów reform, których prezentacja przewidziana jest na kwiecień. Co do zasady Komisja nie wyda zaleceń dotyczących kwestii nieuznanych w sprawozdaniach krajowych za wyzwania i zaproponuje ograniczoną liczbę zalece</w:t>
      </w:r>
      <w:r>
        <w:rPr>
          <w:rFonts w:ascii="Times New Roman" w:hAnsi="Times New Roman"/>
          <w:noProof/>
          <w:sz w:val="24"/>
          <w:lang w:val="pl-PL"/>
        </w:rPr>
        <w:t xml:space="preserve">ń dla poszczególnych krajów. Zalecenia te będą się odpowiednio różnić w zależności od powagi wyzwań, co znajdzie również odzwierciedlenie w sytuacji danego państwa pod kątem procedury dotyczącej zakłóceń równowagi makroekonomicznej. </w:t>
      </w:r>
    </w:p>
    <w:p w:rsidR="006B6A85" w:rsidRDefault="006B6A85">
      <w:pPr>
        <w:autoSpaceDE w:val="0"/>
        <w:autoSpaceDN w:val="0"/>
        <w:adjustRightInd w:val="0"/>
        <w:spacing w:before="120" w:after="120" w:line="240" w:lineRule="auto"/>
        <w:jc w:val="both"/>
        <w:rPr>
          <w:rFonts w:ascii="Times New Roman" w:hAnsi="Times New Roman"/>
          <w:noProof/>
          <w:sz w:val="24"/>
          <w:szCs w:val="24"/>
          <w:lang w:val="pl-PL"/>
        </w:rPr>
      </w:pPr>
    </w:p>
    <w:p w:rsidR="006B6A85" w:rsidRDefault="00243683">
      <w:pPr>
        <w:spacing w:before="120" w:after="120" w:line="240" w:lineRule="auto"/>
        <w:jc w:val="both"/>
        <w:rPr>
          <w:rFonts w:ascii="Times New Roman Bold" w:hAnsi="Times New Roman Bold"/>
          <w:b/>
          <w:smallCaps/>
          <w:noProof/>
          <w:sz w:val="26"/>
          <w:lang w:val="pl-PL"/>
        </w:rPr>
      </w:pPr>
      <w:r>
        <w:rPr>
          <w:rFonts w:ascii="Times New Roman Bold" w:hAnsi="Times New Roman Bold"/>
          <w:b/>
          <w:smallCaps/>
          <w:noProof/>
          <w:sz w:val="26"/>
          <w:lang w:val="pl-PL"/>
        </w:rPr>
        <w:t xml:space="preserve">2. </w:t>
      </w:r>
      <w:r>
        <w:rPr>
          <w:rFonts w:ascii="Times New Roman Bold" w:hAnsi="Times New Roman Bold"/>
          <w:b/>
          <w:smallCaps/>
          <w:noProof/>
          <w:sz w:val="26"/>
          <w:lang w:val="pl-PL"/>
        </w:rPr>
        <w:tab/>
        <w:t>Kontekst gospodar</w:t>
      </w:r>
      <w:r>
        <w:rPr>
          <w:rFonts w:ascii="Times New Roman Bold" w:hAnsi="Times New Roman Bold"/>
          <w:b/>
          <w:smallCaps/>
          <w:noProof/>
          <w:sz w:val="26"/>
          <w:lang w:val="pl-PL"/>
        </w:rPr>
        <w:t>czy</w:t>
      </w:r>
    </w:p>
    <w:p w:rsidR="006B6A85" w:rsidRDefault="006B6A85">
      <w:pPr>
        <w:spacing w:before="120" w:after="120" w:line="240" w:lineRule="auto"/>
        <w:jc w:val="both"/>
        <w:rPr>
          <w:rFonts w:ascii="Times New Roman" w:eastAsia="Times New Roman" w:hAnsi="Times New Roman"/>
          <w:noProof/>
          <w:sz w:val="8"/>
          <w:szCs w:val="8"/>
          <w:lang w:val="pl-PL"/>
        </w:rPr>
      </w:pPr>
    </w:p>
    <w:p w:rsidR="006B6A85" w:rsidRDefault="00243683">
      <w:pPr>
        <w:spacing w:before="120" w:after="120" w:line="240" w:lineRule="auto"/>
        <w:jc w:val="both"/>
        <w:rPr>
          <w:rFonts w:ascii="Times New Roman" w:eastAsia="Times New Roman" w:hAnsi="Times New Roman"/>
          <w:noProof/>
          <w:sz w:val="24"/>
          <w:szCs w:val="24"/>
          <w:lang w:val="pl-PL" w:eastAsia="en-GB"/>
        </w:rPr>
      </w:pPr>
      <w:r>
        <w:rPr>
          <w:rFonts w:ascii="Times New Roman" w:hAnsi="Times New Roman"/>
          <w:b/>
          <w:noProof/>
          <w:sz w:val="24"/>
          <w:lang w:val="pl-PL"/>
        </w:rPr>
        <w:t xml:space="preserve">Choć europejska gospodarka podąża ścieżką ożywienia, zagrożenia zewnętrzne wzrosły. </w:t>
      </w:r>
      <w:r>
        <w:rPr>
          <w:rFonts w:ascii="Times New Roman" w:hAnsi="Times New Roman"/>
          <w:noProof/>
          <w:sz w:val="24"/>
          <w:lang w:val="pl-PL"/>
        </w:rPr>
        <w:t>Przy wzroście PKB w 2015 r. wynoszącym jedynie około 3 %, światowa gospodarka ulega spowolnieniu, a ożywieniu zagraża wiele czynników.</w:t>
      </w:r>
      <w:r>
        <w:rPr>
          <w:rFonts w:ascii="Times New Roman" w:hAnsi="Times New Roman"/>
          <w:noProof/>
          <w:sz w:val="24"/>
          <w:vertAlign w:val="superscript"/>
          <w:lang w:val="pl-PL"/>
        </w:rPr>
        <w:footnoteReference w:id="10"/>
      </w:r>
      <w:r>
        <w:rPr>
          <w:rFonts w:ascii="Times New Roman" w:hAnsi="Times New Roman"/>
          <w:noProof/>
          <w:sz w:val="24"/>
          <w:lang w:val="pl-PL"/>
        </w:rPr>
        <w:t xml:space="preserve"> Podczas gdy największe zaawansowane gospodarki odnotowują stałe ożywienie lub dojrzałe cykle, sytuacja wielu gospodarek rynków wschodzących jest trudna. Oczekuje się, że wzrost w Chinach ulegnie dalszemu spowolnieniu, co wpływa negatywnie przede wszystkim</w:t>
      </w:r>
      <w:r>
        <w:rPr>
          <w:rFonts w:ascii="Times New Roman" w:hAnsi="Times New Roman"/>
          <w:noProof/>
          <w:sz w:val="24"/>
          <w:lang w:val="pl-PL"/>
        </w:rPr>
        <w:t xml:space="preserve"> na inne gospodarki wschodzące i rozwijające się oraz oddziałuje na globalne przepływy kapitałowe. </w:t>
      </w:r>
    </w:p>
    <w:p w:rsidR="006B6A85" w:rsidRDefault="00243683">
      <w:pPr>
        <w:spacing w:before="120" w:after="120" w:line="240" w:lineRule="auto"/>
        <w:jc w:val="both"/>
        <w:rPr>
          <w:rFonts w:ascii="Times New Roman" w:hAnsi="Times New Roman"/>
          <w:noProof/>
          <w:sz w:val="24"/>
          <w:lang w:val="pl-PL"/>
        </w:rPr>
      </w:pPr>
      <w:r>
        <w:rPr>
          <w:rFonts w:ascii="Times New Roman" w:hAnsi="Times New Roman"/>
          <w:b/>
          <w:noProof/>
          <w:sz w:val="24"/>
          <w:lang w:val="pl-PL"/>
        </w:rPr>
        <w:lastRenderedPageBreak/>
        <w:t xml:space="preserve">Europejskiej gospodarce jak dotąd udało się uniknąć zagrożeń, lecz coraz bardziej odczuwalny jest wpływ mniej korzystnego środowiska zewnętrznego. </w:t>
      </w:r>
      <w:r>
        <w:rPr>
          <w:rFonts w:ascii="Times New Roman" w:hAnsi="Times New Roman"/>
          <w:noProof/>
          <w:sz w:val="24"/>
          <w:lang w:val="pl-PL"/>
        </w:rPr>
        <w:t>Ponowny s</w:t>
      </w:r>
      <w:r>
        <w:rPr>
          <w:rFonts w:ascii="Times New Roman" w:hAnsi="Times New Roman"/>
          <w:noProof/>
          <w:sz w:val="24"/>
          <w:lang w:val="pl-PL"/>
        </w:rPr>
        <w:t>padek cen energii powinien nadal zwiększać siłę nabywczą gospodarstw domowych. Napływ niespotykanej dotąd liczby uchodźców i migrantów wymagał dodatkowych wydatków publicznych ze względu na zwiększone środki służące przyjmowaniu tych osób i inne związane z</w:t>
      </w:r>
      <w:r>
        <w:rPr>
          <w:rFonts w:ascii="Times New Roman" w:hAnsi="Times New Roman"/>
          <w:noProof/>
          <w:sz w:val="24"/>
          <w:lang w:val="pl-PL"/>
        </w:rPr>
        <w:t xml:space="preserve"> uchodźcami działania. Wszystko wskazuje na to, że warunki pieniężne nadal będą w tym roku bardzo korzystne, a polityka budżetowa ma dalej sprzyjać ożywieniu. Finansowe skutki uboczne powolnego wzrostu poza UE mogą być jednak poważniejsze niż bezpośredni e</w:t>
      </w:r>
      <w:r>
        <w:rPr>
          <w:rFonts w:ascii="Times New Roman" w:hAnsi="Times New Roman"/>
          <w:noProof/>
          <w:sz w:val="24"/>
          <w:lang w:val="pl-PL"/>
        </w:rPr>
        <w:t>fekt obrotów handlowych. Niskie ceny towarów również mogą stanowić zagrożenie, jeżeli zdestabilizują gospodarkę światową. Niestabilność rynków finansowych zdecydowanie ostatnio wzrosła. W szczególności rezerwy banków doświadczały wyraźnych spadków cen, a p</w:t>
      </w:r>
      <w:r>
        <w:rPr>
          <w:rFonts w:ascii="Times New Roman" w:hAnsi="Times New Roman"/>
          <w:noProof/>
          <w:sz w:val="24"/>
          <w:lang w:val="pl-PL"/>
        </w:rPr>
        <w:t>oziom ryzyka związanego z niewypłacalnością państwa zwiększył się w niektórych państwach członkowskich.</w:t>
      </w:r>
    </w:p>
    <w:p w:rsidR="006B6A85" w:rsidRPr="00243683" w:rsidRDefault="006B6A85">
      <w:pPr>
        <w:spacing w:before="120" w:after="120" w:line="120" w:lineRule="auto"/>
        <w:jc w:val="both"/>
        <w:rPr>
          <w:rFonts w:ascii="Times New Roman" w:eastAsia="Times New Roman" w:hAnsi="Times New Roman"/>
          <w:b/>
          <w:noProof/>
          <w:sz w:val="24"/>
          <w:szCs w:val="24"/>
          <w:lang w:val="pl-PL" w:eastAsia="en-GB"/>
        </w:rPr>
      </w:pPr>
    </w:p>
    <w:p w:rsidR="006B6A85" w:rsidRPr="00243683" w:rsidRDefault="006B6A85">
      <w:pPr>
        <w:spacing w:before="120" w:after="120" w:line="120" w:lineRule="auto"/>
        <w:jc w:val="both"/>
        <w:rPr>
          <w:rFonts w:ascii="Times New Roman" w:eastAsia="Times New Roman" w:hAnsi="Times New Roman"/>
          <w:b/>
          <w:noProof/>
          <w:sz w:val="24"/>
          <w:szCs w:val="24"/>
          <w:lang w:val="pl-PL" w:eastAsia="en-GB"/>
        </w:rPr>
      </w:pPr>
    </w:p>
    <w:p w:rsidR="006B6A85" w:rsidRDefault="00243683">
      <w:pPr>
        <w:spacing w:before="120" w:after="120" w:line="240" w:lineRule="auto"/>
        <w:jc w:val="both"/>
        <w:rPr>
          <w:rFonts w:ascii="Times New Roman" w:eastAsia="Times New Roman" w:hAnsi="Times New Roman"/>
          <w:noProof/>
          <w:sz w:val="24"/>
          <w:szCs w:val="24"/>
          <w:highlight w:val="yellow"/>
          <w:lang w:val="pl-PL"/>
        </w:rPr>
      </w:pPr>
      <w:r>
        <w:rPr>
          <w:rFonts w:ascii="Times New Roman" w:hAnsi="Times New Roman"/>
          <w:b/>
          <w:noProof/>
          <w:sz w:val="24"/>
          <w:lang w:val="pl-PL"/>
        </w:rPr>
        <w:t>Ożywienie gospodarcze w UE jest nadal powolne i niepewne, co uwypukla potrzebę zwiększenia tempa reform strukturalnych, zachęcania do inwestycji i zwi</w:t>
      </w:r>
      <w:r>
        <w:rPr>
          <w:rFonts w:ascii="Times New Roman" w:hAnsi="Times New Roman"/>
          <w:b/>
          <w:noProof/>
          <w:sz w:val="24"/>
          <w:lang w:val="pl-PL"/>
        </w:rPr>
        <w:t xml:space="preserve">ększenia konkurencyjności gospodarki. </w:t>
      </w:r>
      <w:r>
        <w:rPr>
          <w:rFonts w:ascii="Times New Roman" w:hAnsi="Times New Roman"/>
          <w:noProof/>
          <w:sz w:val="24"/>
          <w:lang w:val="pl-PL"/>
        </w:rPr>
        <w:t xml:space="preserve">Ożywienie to jest słabe zarówno z ujęciu historycznym, jak w porównaniu z innymi zaawansowanymi gospodarkami. Przewiduje się, że wzrost gospodarczy w UE wyniesie w tym roku 1,9 % PKB, a w 2017 r. 2 %. Stopy bezrobocia </w:t>
      </w:r>
      <w:r>
        <w:rPr>
          <w:rFonts w:ascii="Times New Roman" w:hAnsi="Times New Roman"/>
          <w:noProof/>
          <w:sz w:val="24"/>
          <w:lang w:val="pl-PL"/>
        </w:rPr>
        <w:t>w UE mają spaść z 9,5 % w 2015 r. do 9 % w 2016 r., przy czym spadek ten będzie bardziej wyraźny w tych państwach członkowskich, które przeprowadziły reformy rynku pracy. Zgodnie z oczekiwaniami spożycie prywatne nadal ma być głównym czynnikiem wzrostu, na</w:t>
      </w:r>
      <w:r>
        <w:rPr>
          <w:rFonts w:ascii="Times New Roman" w:hAnsi="Times New Roman"/>
          <w:noProof/>
          <w:sz w:val="24"/>
          <w:lang w:val="pl-PL"/>
        </w:rPr>
        <w:t xml:space="preserve"> który wpływać będzie także lepsza sytuacja na rynkach pracy i wzrost realnych dochodów do dyspozycji. Ponieważ słabnący popyt światowy ogranicza możliwości ożywienia gospodarczego napędzanego wywozem, konieczny będzie skokowy wzrost inwestycji z obecnych </w:t>
      </w:r>
      <w:r>
        <w:rPr>
          <w:rFonts w:ascii="Times New Roman" w:hAnsi="Times New Roman"/>
          <w:noProof/>
          <w:sz w:val="24"/>
          <w:lang w:val="pl-PL"/>
        </w:rPr>
        <w:t xml:space="preserve">niskich poziomów, aby utrzymać ożywienie gospodarczej oparte na większej liczbie czynników i odwrócić spadkową tendencję potencjalnego wzrostu. </w:t>
      </w:r>
    </w:p>
    <w:p w:rsidR="006B6A85" w:rsidRDefault="006B6A85">
      <w:pPr>
        <w:spacing w:before="120" w:after="120" w:line="240" w:lineRule="auto"/>
        <w:jc w:val="both"/>
        <w:rPr>
          <w:rFonts w:ascii="Times New Roman" w:eastAsia="Times New Roman" w:hAnsi="Times New Roman"/>
          <w:noProof/>
          <w:sz w:val="24"/>
          <w:szCs w:val="24"/>
          <w:lang w:val="pl-PL"/>
        </w:rPr>
      </w:pPr>
    </w:p>
    <w:p w:rsidR="006B6A85" w:rsidRDefault="00243683">
      <w:pPr>
        <w:spacing w:before="120" w:after="120" w:line="240" w:lineRule="auto"/>
        <w:jc w:val="both"/>
        <w:rPr>
          <w:rFonts w:ascii="Times New Roman Bold" w:hAnsi="Times New Roman Bold"/>
          <w:b/>
          <w:smallCaps/>
          <w:noProof/>
          <w:sz w:val="26"/>
          <w:lang w:val="pl-PL"/>
        </w:rPr>
      </w:pPr>
      <w:r>
        <w:rPr>
          <w:rFonts w:ascii="Times New Roman Bold" w:hAnsi="Times New Roman Bold"/>
          <w:b/>
          <w:smallCaps/>
          <w:noProof/>
          <w:sz w:val="26"/>
          <w:lang w:val="pl-PL"/>
        </w:rPr>
        <w:t>3. Postępy we wdrażaniu zaleceń dla poszczególnych krajów</w:t>
      </w:r>
    </w:p>
    <w:p w:rsidR="006B6A85" w:rsidRDefault="00243683">
      <w:pPr>
        <w:spacing w:before="120" w:after="120" w:line="240" w:lineRule="auto"/>
        <w:jc w:val="both"/>
        <w:rPr>
          <w:rFonts w:ascii="Times New Roman" w:hAnsi="Times New Roman"/>
          <w:noProof/>
          <w:sz w:val="24"/>
          <w:szCs w:val="24"/>
          <w:lang w:val="pl-PL"/>
        </w:rPr>
      </w:pPr>
      <w:r>
        <w:rPr>
          <w:noProof/>
          <w:lang w:val="pl-PL"/>
        </w:rPr>
        <w:br/>
      </w:r>
      <w:r>
        <w:rPr>
          <w:rFonts w:ascii="Times New Roman" w:hAnsi="Times New Roman"/>
          <w:b/>
          <w:noProof/>
          <w:sz w:val="24"/>
          <w:lang w:val="pl-PL"/>
        </w:rPr>
        <w:t>W kontekście ogólnej stabilizacji makroekonomicznej</w:t>
      </w:r>
      <w:r>
        <w:rPr>
          <w:rFonts w:ascii="Times New Roman" w:hAnsi="Times New Roman"/>
          <w:b/>
          <w:noProof/>
          <w:sz w:val="24"/>
          <w:lang w:val="pl-PL"/>
        </w:rPr>
        <w:t xml:space="preserve"> państwa członkowskie osiągnęły pewne postępy w rozwiązywaniu kwestii wskazanych w zaleceniach dla poszczególnych krajów za 2015 r.</w:t>
      </w:r>
      <w:r>
        <w:rPr>
          <w:rFonts w:ascii="Times New Roman" w:hAnsi="Times New Roman"/>
          <w:noProof/>
          <w:sz w:val="24"/>
          <w:lang w:val="pl-PL"/>
        </w:rPr>
        <w:t xml:space="preserve"> Ze sprawozdań krajowych z 2016 r. wynika, że postępy odnotowywane z roku na rok pozostają na podobnym poziomie. Dłuższa pers</w:t>
      </w:r>
      <w:r>
        <w:rPr>
          <w:rFonts w:ascii="Times New Roman" w:hAnsi="Times New Roman"/>
          <w:noProof/>
          <w:sz w:val="24"/>
          <w:lang w:val="pl-PL"/>
        </w:rPr>
        <w:t xml:space="preserve">pektywa czasowa wyraźnie pokazuje, że wdrażanie głównych reform zajmuje dużo czasu. Powodowane jest to zarówno złożonością planowanych reform, np. reform rynku pracy i rynków produktowych, systemów emerytalno-rentowych i sektora bankowego, jak i krajowymi </w:t>
      </w:r>
      <w:r>
        <w:rPr>
          <w:rFonts w:ascii="Times New Roman" w:hAnsi="Times New Roman"/>
          <w:noProof/>
          <w:sz w:val="24"/>
          <w:lang w:val="pl-PL"/>
        </w:rPr>
        <w:t>kalendarzami wyborczymi. W niektórych państwach członkowskich (w Danii, Estonii, Hiszpanii, Irlandii, Chorwacji, Polsce, Portugalii i na Słowacji) w 2015 r. lub na początku 2016 r. odbyły się wybory do parlamentów narodowych lub wybory prezydenckie. Zmieni</w:t>
      </w:r>
      <w:r>
        <w:rPr>
          <w:rFonts w:ascii="Times New Roman" w:hAnsi="Times New Roman"/>
          <w:noProof/>
          <w:sz w:val="24"/>
          <w:lang w:val="pl-PL"/>
        </w:rPr>
        <w:t>ły się także zarówno liczba, jak i zakres zaleceń dla poszczególnych krajów wydanych w roku 2014 i 2015. Komisja zaprezentuje swoją pełną ocenę przy okazji przedstawienia w maju tego roku nowych zaleceń dla poszczególnych krajów.</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Ogólnie rzecz biorąc, Unia</w:t>
      </w:r>
      <w:r>
        <w:rPr>
          <w:rFonts w:ascii="Times New Roman" w:hAnsi="Times New Roman"/>
          <w:b/>
          <w:noProof/>
          <w:sz w:val="24"/>
          <w:lang w:val="pl-PL"/>
        </w:rPr>
        <w:t xml:space="preserve"> Europejska jest na dobrej drodze do osiągnięcia części celów strategii „Europa 2020”. </w:t>
      </w:r>
      <w:r>
        <w:rPr>
          <w:rFonts w:ascii="Times New Roman" w:hAnsi="Times New Roman"/>
          <w:noProof/>
          <w:sz w:val="24"/>
          <w:lang w:val="pl-PL"/>
        </w:rPr>
        <w:t>Państwa członkowskie dążą do osiągnięcia celów związanych ze zmianą klimatu i energią, przy czym większość z nich prawdopodobnie osiągnie do 2020 r. cele dotyczące zmnie</w:t>
      </w:r>
      <w:r>
        <w:rPr>
          <w:rFonts w:ascii="Times New Roman" w:hAnsi="Times New Roman"/>
          <w:noProof/>
          <w:sz w:val="24"/>
          <w:lang w:val="pl-PL"/>
        </w:rPr>
        <w:t>jszenia emisji, energii odnawialnej i efektywności energetycznej. Zgodnie z najnowszymi danymi UE jest również na dobrej drodze, jeśli chodzi o cele dotyczące szkolnictwa, gdyż 17 państw członkowskich już osiągnęło swoje cele w zakresie przedwczesnego końc</w:t>
      </w:r>
      <w:r>
        <w:rPr>
          <w:rFonts w:ascii="Times New Roman" w:hAnsi="Times New Roman"/>
          <w:noProof/>
          <w:sz w:val="24"/>
          <w:lang w:val="pl-PL"/>
        </w:rPr>
        <w:t>zenia nauki, a 12 państw spełniło swe założenia co do odsetka osób z wyższym wykształceniem. Choć spełnienie celu dotyczącego zatrudnienia będzie nadal trudne dla wielu państw członkowskich, sytuacja w tej dziedzinie poprawiła się w niemal wszystkich państ</w:t>
      </w:r>
      <w:r>
        <w:rPr>
          <w:rFonts w:ascii="Times New Roman" w:hAnsi="Times New Roman"/>
          <w:noProof/>
          <w:sz w:val="24"/>
          <w:lang w:val="pl-PL"/>
        </w:rPr>
        <w:t>wach. Pod koniec 2015 r. wskaźnik zatrudnienia był wyższy o 1,1 % i osiągnął</w:t>
      </w:r>
      <w:r>
        <w:rPr>
          <w:noProof/>
          <w:lang w:val="pl-PL"/>
        </w:rPr>
        <w:t xml:space="preserve"> </w:t>
      </w:r>
      <w:r>
        <w:rPr>
          <w:rFonts w:ascii="Times New Roman" w:hAnsi="Times New Roman"/>
          <w:noProof/>
          <w:sz w:val="24"/>
          <w:lang w:val="pl-PL"/>
        </w:rPr>
        <w:t>poziom sprzed kryzysu wynoszący 70,5 %</w:t>
      </w:r>
      <w:r>
        <w:rPr>
          <w:rFonts w:ascii="Times New Roman" w:hAnsi="Times New Roman"/>
          <w:noProof/>
          <w:color w:val="1F497D"/>
          <w:sz w:val="24"/>
          <w:lang w:val="pl-PL"/>
        </w:rPr>
        <w:t xml:space="preserve">. </w:t>
      </w:r>
      <w:r>
        <w:rPr>
          <w:rFonts w:ascii="Times New Roman" w:hAnsi="Times New Roman"/>
          <w:noProof/>
          <w:color w:val="000000"/>
          <w:sz w:val="24"/>
          <w:lang w:val="pl-PL"/>
        </w:rPr>
        <w:t xml:space="preserve">Wskaźnik zatrudnienia kobiet rośnie szybciej, choć zróżnicowanie ze względu na płeć jest nadal spore. </w:t>
      </w:r>
      <w:r>
        <w:rPr>
          <w:rFonts w:ascii="Times New Roman" w:hAnsi="Times New Roman"/>
          <w:noProof/>
          <w:sz w:val="24"/>
          <w:lang w:val="pl-PL"/>
        </w:rPr>
        <w:t>Potrzebne są dalsze działania, aby zm</w:t>
      </w:r>
      <w:r>
        <w:rPr>
          <w:rFonts w:ascii="Times New Roman" w:hAnsi="Times New Roman"/>
          <w:noProof/>
          <w:sz w:val="24"/>
          <w:lang w:val="pl-PL"/>
        </w:rPr>
        <w:t>niejszyć różnicę wskaźnika zatrudnienia kobiet i mężczyzn. Wydatki na badania i rozwój jako odsetek PKB również wzrosły w około połowie państw członkowskich, lecz cel UE nadal wydaje się niełatwy do osiągnięcia. Szczególne trudności utrzymują się w odniesi</w:t>
      </w:r>
      <w:r>
        <w:rPr>
          <w:rFonts w:ascii="Times New Roman" w:hAnsi="Times New Roman"/>
          <w:noProof/>
          <w:sz w:val="24"/>
          <w:lang w:val="pl-PL"/>
        </w:rPr>
        <w:t>eniu do osiągnięcia celu dotyczącego poziomu ubóstwa, gdyż liczba osób zagrożonych ubóstwem lub wykluczeniem społecznym w Europie wzrosła na skutek kryzysu gospodarczego. Najnowsze tendencje są jednak bardziej korzystne, gdyż liczba takich osób spadła w po</w:t>
      </w:r>
      <w:r>
        <w:rPr>
          <w:rFonts w:ascii="Times New Roman" w:hAnsi="Times New Roman"/>
          <w:noProof/>
          <w:sz w:val="24"/>
          <w:lang w:val="pl-PL"/>
        </w:rPr>
        <w:t xml:space="preserve">nad połowie państw członkowskich. Zgodnie z oczekiwaniami tendencja ta miałyby się utrzymać w 2015 r. ze względu na lepsze warunki na rynku pracy. W załączniku 2 zawarto przegląd wszystkich celów strategii „Europa 2020”. </w:t>
      </w:r>
    </w:p>
    <w:p w:rsidR="006B6A85" w:rsidRDefault="006B6A85">
      <w:pPr>
        <w:spacing w:before="120" w:after="120" w:line="240" w:lineRule="auto"/>
        <w:jc w:val="both"/>
        <w:rPr>
          <w:rFonts w:ascii="Times New Roman" w:hAnsi="Times New Roman"/>
          <w:noProof/>
          <w:sz w:val="24"/>
          <w:szCs w:val="24"/>
          <w:lang w:val="pl-PL"/>
        </w:rPr>
      </w:pPr>
    </w:p>
    <w:p w:rsidR="006B6A85" w:rsidRDefault="006B6A85">
      <w:pPr>
        <w:spacing w:before="120" w:after="120" w:line="120" w:lineRule="auto"/>
        <w:jc w:val="both"/>
        <w:rPr>
          <w:rFonts w:ascii="Times New Roman" w:hAnsi="Times New Roman"/>
          <w:noProof/>
          <w:sz w:val="24"/>
          <w:szCs w:val="24"/>
          <w:lang w:val="pl-PL"/>
        </w:rPr>
      </w:pPr>
    </w:p>
    <w:p w:rsidR="006B6A85" w:rsidRDefault="00243683">
      <w:pPr>
        <w:spacing w:after="0" w:line="240" w:lineRule="auto"/>
        <w:rPr>
          <w:rFonts w:ascii="Times New Roman Bold" w:hAnsi="Times New Roman Bold"/>
          <w:b/>
          <w:smallCaps/>
          <w:noProof/>
          <w:sz w:val="26"/>
          <w:lang w:val="pl-PL"/>
        </w:rPr>
      </w:pPr>
      <w:r>
        <w:rPr>
          <w:rFonts w:ascii="Times New Roman Bold" w:hAnsi="Times New Roman Bold"/>
          <w:b/>
          <w:smallCaps/>
          <w:noProof/>
          <w:sz w:val="26"/>
          <w:lang w:val="pl-PL"/>
        </w:rPr>
        <w:t>4. Usuwanie zakłóceń równowagi</w:t>
      </w:r>
      <w:r>
        <w:rPr>
          <w:rFonts w:ascii="Times New Roman Bold" w:hAnsi="Times New Roman Bold"/>
          <w:b/>
          <w:smallCaps/>
          <w:noProof/>
          <w:sz w:val="26"/>
          <w:lang w:val="pl-PL"/>
        </w:rPr>
        <w:t xml:space="preserve"> makroekonomicznej </w:t>
      </w:r>
    </w:p>
    <w:p w:rsidR="006B6A85" w:rsidRDefault="006B6A85">
      <w:pPr>
        <w:spacing w:after="0" w:line="120" w:lineRule="auto"/>
        <w:jc w:val="both"/>
        <w:rPr>
          <w:rFonts w:ascii="Times New Roman" w:hAnsi="Times New Roman"/>
          <w:b/>
          <w:noProof/>
          <w:sz w:val="24"/>
          <w:lang w:val="pl-PL"/>
        </w:rPr>
      </w:pPr>
    </w:p>
    <w:p w:rsidR="006B6A85" w:rsidRDefault="00243683">
      <w:pPr>
        <w:spacing w:after="0" w:line="240" w:lineRule="auto"/>
        <w:rPr>
          <w:rFonts w:ascii="Times New Roman" w:eastAsia="Times New Roman" w:hAnsi="Times New Roman"/>
          <w:noProof/>
          <w:sz w:val="24"/>
          <w:szCs w:val="24"/>
          <w:lang w:val="pl-PL"/>
        </w:rPr>
      </w:pPr>
      <w:r>
        <w:rPr>
          <w:rFonts w:ascii="Times New Roman" w:hAnsi="Times New Roman"/>
          <w:b/>
          <w:noProof/>
          <w:sz w:val="24"/>
          <w:lang w:val="pl-PL"/>
        </w:rPr>
        <w:t>UE i państwa członkowskie należące do strefy euro osiągają pewne postępy w przywracaniu równowagi ich gospodarkom.</w:t>
      </w:r>
      <w:r>
        <w:rPr>
          <w:rFonts w:ascii="Times New Roman" w:hAnsi="Times New Roman"/>
          <w:noProof/>
          <w:sz w:val="24"/>
          <w:lang w:val="pl-PL"/>
        </w:rPr>
        <w:t xml:space="preserve"> Niektóre z zakłóceń równowagi wynikają z kryzysu, jednak wiele z nich istniało już wcześniej i przyczyniło się do zwięks</w:t>
      </w:r>
      <w:r>
        <w:rPr>
          <w:rFonts w:ascii="Times New Roman" w:hAnsi="Times New Roman"/>
          <w:noProof/>
          <w:sz w:val="24"/>
          <w:lang w:val="pl-PL"/>
        </w:rPr>
        <w:t>zenia jego wpływu. Sprowadzenie gospodarek na ścieżkę trwałego powrotu do równowagi jest istotne nie tylko dla poszczególnych państw członkowskich, ale również dla całej UE i strefy euro, aby osiągnąć większą odporność na przyszłe wstrząsy oraz wzrost bard</w:t>
      </w:r>
      <w:r>
        <w:rPr>
          <w:rFonts w:ascii="Times New Roman" w:hAnsi="Times New Roman"/>
          <w:noProof/>
          <w:sz w:val="24"/>
          <w:lang w:val="pl-PL"/>
        </w:rPr>
        <w:t>ziej zdecydowany, zrównoważony i spójny.</w:t>
      </w:r>
    </w:p>
    <w:p w:rsidR="006B6A85" w:rsidRDefault="00243683">
      <w:pPr>
        <w:spacing w:before="120" w:after="120"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Ze szczegółowych ocen sytuacji wynika całościowa analiza zakłóceń doświadczanych przez państwa członkowskie.</w:t>
      </w:r>
      <w:r>
        <w:rPr>
          <w:rFonts w:ascii="Times New Roman" w:hAnsi="Times New Roman"/>
          <w:noProof/>
          <w:sz w:val="24"/>
          <w:lang w:val="pl-PL"/>
        </w:rPr>
        <w:t xml:space="preserve"> W ocenach tych rozróżniono korekty wynikające z czynników cyklicznych oraz te powodowane przez reformy str</w:t>
      </w:r>
      <w:r>
        <w:rPr>
          <w:rFonts w:ascii="Times New Roman" w:hAnsi="Times New Roman"/>
          <w:noProof/>
          <w:sz w:val="24"/>
          <w:lang w:val="pl-PL"/>
        </w:rPr>
        <w:t>ukturalne oraz potwierdzono, że jedynie te ostatnie stanowią podstawę zrównoważonego wzrostu. Ze względu na znaczenie handlu i powiązań finansowych między państwami UE analizie poddano również transgraniczne skutki przywracania równowagi, wskazując na potr</w:t>
      </w:r>
      <w:r>
        <w:rPr>
          <w:rFonts w:ascii="Times New Roman" w:hAnsi="Times New Roman"/>
          <w:noProof/>
          <w:sz w:val="24"/>
          <w:lang w:val="pl-PL"/>
        </w:rPr>
        <w:t>zebę jej przywrócenia zarówno w państwach o dużym poziomie zobowiązań zewnętrznych, jak i w tych, które odnotowują nadwyżki. Należy nadal pilnie obniżyć poziom zadłużenia. Choć w niektórych przypadkach obniżanie długu publicznego lub zadłużenia sektora pry</w:t>
      </w:r>
      <w:r>
        <w:rPr>
          <w:rFonts w:ascii="Times New Roman" w:hAnsi="Times New Roman"/>
          <w:noProof/>
          <w:sz w:val="24"/>
          <w:lang w:val="pl-PL"/>
        </w:rPr>
        <w:t>watnego przebiega korzystnie, wysoki poziom długu nadal może narazić gospodarki na potencjalne wstrząsy. W innych przypadkach niskie, lecz rosnące poziomy długu mogą oznaczać rosnącą podatność na zagrożenia.</w:t>
      </w:r>
    </w:p>
    <w:p w:rsidR="006B6A85" w:rsidRDefault="006B6A85">
      <w:pPr>
        <w:spacing w:before="120" w:after="120" w:line="240" w:lineRule="auto"/>
        <w:jc w:val="both"/>
        <w:rPr>
          <w:rFonts w:ascii="Times New Roman" w:hAnsi="Times New Roman"/>
          <w:b/>
          <w:noProof/>
          <w:sz w:val="24"/>
          <w:szCs w:val="24"/>
          <w:lang w:val="pl-PL"/>
        </w:rPr>
      </w:pPr>
    </w:p>
    <w:p w:rsidR="006B6A85" w:rsidRDefault="00243683">
      <w:pPr>
        <w:spacing w:before="120" w:after="120" w:line="240" w:lineRule="auto"/>
        <w:jc w:val="both"/>
        <w:rPr>
          <w:rFonts w:ascii="Times New Roman" w:hAnsi="Times New Roman"/>
          <w:b/>
          <w:noProof/>
          <w:sz w:val="24"/>
          <w:szCs w:val="24"/>
          <w:lang w:val="pl-PL"/>
        </w:rPr>
      </w:pPr>
      <w:r>
        <w:rPr>
          <w:rFonts w:ascii="Times New Roman" w:hAnsi="Times New Roman"/>
          <w:b/>
          <w:noProof/>
          <w:sz w:val="24"/>
          <w:lang w:val="pl-PL"/>
        </w:rPr>
        <w:t>4.1. Przywracanie równowagi w UE i strefie euro</w:t>
      </w:r>
    </w:p>
    <w:p w:rsidR="006B6A85" w:rsidRDefault="00243683">
      <w:pPr>
        <w:autoSpaceDE w:val="0"/>
        <w:autoSpaceDN w:val="0"/>
        <w:adjustRightInd w:val="0"/>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 xml:space="preserve">Korektę istniejących zakłóceń równowagi utrudniają różne czynniki. </w:t>
      </w:r>
      <w:r>
        <w:rPr>
          <w:rFonts w:ascii="Times New Roman" w:hAnsi="Times New Roman"/>
          <w:noProof/>
          <w:sz w:val="24"/>
          <w:lang w:val="pl-PL"/>
        </w:rPr>
        <w:t xml:space="preserve">Stłumiony wzrost nominalny i bardzo niskie poziomy inflacji hamują proces oddłużania. Słabnący popyt światowy ogranicza możliwości ożywienia gospodarczego napędzanego wywozem. Utrzymujące </w:t>
      </w:r>
      <w:r>
        <w:rPr>
          <w:rFonts w:ascii="Times New Roman" w:hAnsi="Times New Roman"/>
          <w:noProof/>
          <w:sz w:val="24"/>
          <w:lang w:val="pl-PL"/>
        </w:rPr>
        <w:t xml:space="preserve">się w niektórych państwach członkowskich bezrobocie może ograniczyć potencjalny wzrost produkcji, również z powodu utraty umiejętności i zdolności do zatrudnienia. </w:t>
      </w:r>
    </w:p>
    <w:p w:rsidR="006B6A85" w:rsidRDefault="00243683">
      <w:pPr>
        <w:spacing w:before="120" w:after="120" w:line="240" w:lineRule="auto"/>
        <w:jc w:val="both"/>
        <w:rPr>
          <w:rFonts w:ascii="Times New Roman" w:hAnsi="Times New Roman"/>
          <w:noProof/>
          <w:sz w:val="24"/>
          <w:szCs w:val="20"/>
          <w:lang w:val="pl-PL"/>
        </w:rPr>
      </w:pPr>
      <w:r>
        <w:rPr>
          <w:rFonts w:ascii="Times New Roman" w:hAnsi="Times New Roman"/>
          <w:b/>
          <w:noProof/>
          <w:sz w:val="24"/>
          <w:lang w:val="pl-PL"/>
        </w:rPr>
        <w:t>Trwa korekta zewnętrznych zakłóceń równowagi</w:t>
      </w:r>
      <w:r>
        <w:rPr>
          <w:rFonts w:ascii="Times New Roman" w:hAnsi="Times New Roman"/>
          <w:noProof/>
          <w:sz w:val="24"/>
          <w:lang w:val="pl-PL"/>
        </w:rPr>
        <w:t>. W</w:t>
      </w:r>
      <w:r>
        <w:rPr>
          <w:rFonts w:ascii="Times New Roman" w:hAnsi="Times New Roman"/>
          <w:b/>
          <w:noProof/>
          <w:sz w:val="24"/>
          <w:lang w:val="pl-PL"/>
        </w:rPr>
        <w:t xml:space="preserve"> </w:t>
      </w:r>
      <w:r>
        <w:rPr>
          <w:rFonts w:ascii="Times New Roman" w:hAnsi="Times New Roman"/>
          <w:noProof/>
          <w:sz w:val="24"/>
          <w:lang w:val="pl-PL"/>
        </w:rPr>
        <w:t>państwach o znacznych zobowiązaniach zewnętrznych wysokie deficyty na rachunkach bieżących sprzed kryzysu zostały znacznie zmniejszone lub przekształcone w nadwyżkę. Dzięki czynnikom zewnętrznym konkurencyjność pod kątem kosztów ogólnie się poprawiła. W ni</w:t>
      </w:r>
      <w:r>
        <w:rPr>
          <w:rFonts w:ascii="Times New Roman" w:hAnsi="Times New Roman"/>
          <w:noProof/>
          <w:sz w:val="24"/>
          <w:lang w:val="pl-PL"/>
        </w:rPr>
        <w:t>ektórych państwach członkowskich widoczna jest korekta strukturalna polegająca na przenoszeniu zasobów do sektora produkującego dobra zbywalne. Rachunek bieżący strefy euro wykazuje obecnie jedną z największych nadwyżek na świecie. Poziom nadwyżki niewielk</w:t>
      </w:r>
      <w:r>
        <w:rPr>
          <w:rFonts w:ascii="Times New Roman" w:hAnsi="Times New Roman"/>
          <w:noProof/>
          <w:sz w:val="24"/>
          <w:lang w:val="pl-PL"/>
        </w:rPr>
        <w:t xml:space="preserve">iej liczby państw członkowskich wyraźnie odstaje od innych i wskazuje na to, że zarówno popyt wewnętrzny, jak i inwestycje są w nich stłumione. </w:t>
      </w:r>
    </w:p>
    <w:p w:rsidR="006B6A85" w:rsidRDefault="00243683">
      <w:pPr>
        <w:autoSpaceDE w:val="0"/>
        <w:autoSpaceDN w:val="0"/>
        <w:adjustRightInd w:val="0"/>
        <w:spacing w:before="120" w:after="120" w:line="240" w:lineRule="auto"/>
        <w:jc w:val="both"/>
        <w:rPr>
          <w:rFonts w:ascii="Times New Roman" w:hAnsi="Times New Roman"/>
          <w:noProof/>
          <w:sz w:val="24"/>
          <w:szCs w:val="20"/>
          <w:lang w:val="pl-PL"/>
        </w:rPr>
      </w:pPr>
      <w:r>
        <w:rPr>
          <w:rFonts w:ascii="Times New Roman" w:hAnsi="Times New Roman"/>
          <w:b/>
          <w:noProof/>
          <w:sz w:val="24"/>
          <w:lang w:val="pl-PL"/>
        </w:rPr>
        <w:t xml:space="preserve">Powodem do obaw nadal jest podatność na zagrożenia połączona z wysokim poziomem zadłużenia. </w:t>
      </w:r>
      <w:r>
        <w:rPr>
          <w:rFonts w:ascii="Times New Roman" w:hAnsi="Times New Roman"/>
          <w:noProof/>
          <w:sz w:val="24"/>
          <w:lang w:val="pl-PL"/>
        </w:rPr>
        <w:t>W większości państw</w:t>
      </w:r>
      <w:r>
        <w:rPr>
          <w:rFonts w:ascii="Times New Roman" w:hAnsi="Times New Roman"/>
          <w:noProof/>
          <w:sz w:val="24"/>
          <w:lang w:val="pl-PL"/>
        </w:rPr>
        <w:t xml:space="preserve"> członkowskich proces naprawy bilansu idzie do przodu, obejmując oddłużanie gospodarstw domowych i przedsiębiorstw. Oddłużaniu towarzyszy jednak często ograniczanie wydatków. W niektórych państwach poziom zadłużenia sektora prywatnego w stosunku do PKB spa</w:t>
      </w:r>
      <w:r>
        <w:rPr>
          <w:rFonts w:ascii="Times New Roman" w:hAnsi="Times New Roman"/>
          <w:noProof/>
          <w:sz w:val="24"/>
          <w:lang w:val="pl-PL"/>
        </w:rPr>
        <w:t>dł dzięki ponownemu trwałemu wzrostowi gospodarczemu. W innych państwach członkowskich zobowiązania pozostają na historycznie wysokim poziomie. W państwach, w których presja na oddłużenie oddziałuje na ożywienie gospodarcze i ogranicza perspektywy inwestyc</w:t>
      </w:r>
      <w:r>
        <w:rPr>
          <w:rFonts w:ascii="Times New Roman" w:hAnsi="Times New Roman"/>
          <w:noProof/>
          <w:sz w:val="24"/>
          <w:lang w:val="pl-PL"/>
        </w:rPr>
        <w:t xml:space="preserve">ji i konsumpcji, trzeba dodatkowo skupić się na tworzeniu warunków sprzyjających zwiększaniu wydajności i konkurencyjności, aby ograniczyć wpływ oddłużania na wzrost gospodarczy i zatrudnienie. </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Sektor bankowy zwiększył swoją kapitalizację, lecz pewna pres</w:t>
      </w:r>
      <w:r>
        <w:rPr>
          <w:rFonts w:ascii="Times New Roman" w:hAnsi="Times New Roman"/>
          <w:b/>
          <w:noProof/>
          <w:sz w:val="24"/>
          <w:lang w:val="pl-PL"/>
        </w:rPr>
        <w:t>ja pozostaje i wynika z gorszej jakości kredytów i aktywów oraz niskiej rentowności.</w:t>
      </w:r>
      <w:r>
        <w:rPr>
          <w:rFonts w:ascii="Times New Roman" w:hAnsi="Times New Roman"/>
          <w:noProof/>
          <w:sz w:val="24"/>
          <w:lang w:val="pl-PL"/>
        </w:rPr>
        <w:t xml:space="preserve"> Banki osiągnęły znaczne postępy w korygowaniu swoich bilansów, a instytucje bankowe są ogólnie dobrze dokapitalizowane i płynne. Jednocześnie, ze względu na połączenie róż</w:t>
      </w:r>
      <w:r>
        <w:rPr>
          <w:rFonts w:ascii="Times New Roman" w:hAnsi="Times New Roman"/>
          <w:noProof/>
          <w:sz w:val="24"/>
          <w:lang w:val="pl-PL"/>
        </w:rPr>
        <w:t>nych czynników, sektor bankowy w niektórych państwach nadal cechuje się wysokim poziomem kredytów zagrożonych i aktywów złej jakości. O ile nie zostaną one wyeliminowane, te słabe punkty mogą doprowadzić do stłumionego wzrostu akcji kredytowej i nieoptymal</w:t>
      </w:r>
      <w:r>
        <w:rPr>
          <w:rFonts w:ascii="Times New Roman" w:hAnsi="Times New Roman"/>
          <w:noProof/>
          <w:sz w:val="24"/>
          <w:lang w:val="pl-PL"/>
        </w:rPr>
        <w:t>nego rozdziału kredytu. Ponadto niski wzrost i niskie stopy procentowe wpływają na zyski sektora bankowego.</w:t>
      </w:r>
    </w:p>
    <w:p w:rsidR="006B6A85" w:rsidRDefault="00243683">
      <w:pPr>
        <w:autoSpaceDE w:val="0"/>
        <w:autoSpaceDN w:val="0"/>
        <w:adjustRightInd w:val="0"/>
        <w:spacing w:before="120" w:after="120" w:line="240" w:lineRule="auto"/>
        <w:jc w:val="both"/>
        <w:rPr>
          <w:rFonts w:ascii="Times New Roman" w:hAnsi="Times New Roman"/>
          <w:noProof/>
          <w:sz w:val="24"/>
          <w:szCs w:val="20"/>
          <w:lang w:val="pl-PL"/>
        </w:rPr>
      </w:pPr>
      <w:r>
        <w:rPr>
          <w:rFonts w:ascii="Times New Roman" w:hAnsi="Times New Roman"/>
          <w:b/>
          <w:noProof/>
          <w:sz w:val="24"/>
          <w:lang w:val="pl-PL"/>
        </w:rPr>
        <w:t>Potrzebne są reformy strukturalne w celu ułatwienia realokacji zasobów między przedsiębiorstwami, sektorami i regionami z myślą o zwiększeniu wydajn</w:t>
      </w:r>
      <w:r>
        <w:rPr>
          <w:rFonts w:ascii="Times New Roman" w:hAnsi="Times New Roman"/>
          <w:b/>
          <w:noProof/>
          <w:sz w:val="24"/>
          <w:lang w:val="pl-PL"/>
        </w:rPr>
        <w:t>ości, konkurencyjności i zrównoważonego zatrudnienia.</w:t>
      </w:r>
      <w:r>
        <w:rPr>
          <w:rFonts w:ascii="Times New Roman" w:hAnsi="Times New Roman"/>
          <w:noProof/>
          <w:sz w:val="24"/>
          <w:lang w:val="pl-PL"/>
        </w:rPr>
        <w:t xml:space="preserve"> Państwa członkowskie powinny udoskonalić realokację zasobów przez przeniesienie ich do sektorów produkujących towary zbywalne i do najbardziej wydajnych przedsiębiorstw działających w każdym z sektorów </w:t>
      </w:r>
      <w:r>
        <w:rPr>
          <w:rFonts w:ascii="Times New Roman" w:hAnsi="Times New Roman"/>
          <w:noProof/>
          <w:sz w:val="24"/>
          <w:lang w:val="pl-PL"/>
        </w:rPr>
        <w:t xml:space="preserve">gospodarki. Służyć mogą temu reformy otwierające rynki produktowe i usługowe, co stanowiłoby również bodziec dla rynku wewnętrznego UE, oraz reformy strukturalne mające wyeliminować przeszkody dla swobodnego przepływu towarów i usług. </w:t>
      </w:r>
    </w:p>
    <w:p w:rsidR="006B6A85" w:rsidRDefault="006B6A85">
      <w:pPr>
        <w:autoSpaceDE w:val="0"/>
        <w:autoSpaceDN w:val="0"/>
        <w:adjustRightInd w:val="0"/>
        <w:spacing w:before="120" w:after="120" w:line="240" w:lineRule="auto"/>
        <w:jc w:val="both"/>
        <w:rPr>
          <w:rFonts w:ascii="Times New Roman" w:hAnsi="Times New Roman"/>
          <w:b/>
          <w:noProof/>
          <w:sz w:val="8"/>
          <w:szCs w:val="8"/>
          <w:lang w:val="pl-PL"/>
        </w:rPr>
      </w:pPr>
    </w:p>
    <w:p w:rsidR="006B6A85" w:rsidRDefault="00243683">
      <w:pPr>
        <w:spacing w:before="120" w:after="120" w:line="240" w:lineRule="auto"/>
        <w:jc w:val="both"/>
        <w:rPr>
          <w:rFonts w:ascii="Times New Roman" w:hAnsi="Times New Roman"/>
          <w:b/>
          <w:noProof/>
          <w:sz w:val="24"/>
          <w:szCs w:val="24"/>
          <w:lang w:val="pl-PL"/>
        </w:rPr>
      </w:pPr>
      <w:r>
        <w:rPr>
          <w:rFonts w:ascii="Times New Roman" w:hAnsi="Times New Roman"/>
          <w:b/>
          <w:noProof/>
          <w:sz w:val="24"/>
          <w:lang w:val="pl-PL"/>
        </w:rPr>
        <w:t>4.2. Wdrażanie proc</w:t>
      </w:r>
      <w:r>
        <w:rPr>
          <w:rFonts w:ascii="Times New Roman" w:hAnsi="Times New Roman"/>
          <w:b/>
          <w:noProof/>
          <w:sz w:val="24"/>
          <w:lang w:val="pl-PL"/>
        </w:rPr>
        <w:t xml:space="preserve">edury dotyczącej zakłóceń równowagi makroekonomicznej </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 xml:space="preserve">Komisja zwiększyła przejrzystość tej procedury. </w:t>
      </w:r>
      <w:r>
        <w:rPr>
          <w:rFonts w:ascii="Times New Roman" w:hAnsi="Times New Roman"/>
          <w:noProof/>
          <w:sz w:val="24"/>
          <w:lang w:val="pl-PL"/>
        </w:rPr>
        <w:t>Oceny w sprawozdaniach krajowych odzwierciedlają zobowiązania zawarte w komunikacie Komisji w sprawie działań na rzecz ukończenia budowy unii gospodarcze</w:t>
      </w:r>
      <w:r>
        <w:rPr>
          <w:rFonts w:ascii="Times New Roman" w:hAnsi="Times New Roman"/>
          <w:noProof/>
          <w:sz w:val="24"/>
          <w:lang w:val="pl-PL"/>
        </w:rPr>
        <w:t>j i walutowej</w:t>
      </w:r>
      <w:r>
        <w:rPr>
          <w:rFonts w:ascii="Times New Roman" w:hAnsi="Times New Roman"/>
          <w:noProof/>
          <w:sz w:val="24"/>
          <w:vertAlign w:val="superscript"/>
          <w:lang w:val="pl-PL"/>
        </w:rPr>
        <w:footnoteReference w:id="11"/>
      </w:r>
      <w:r>
        <w:rPr>
          <w:rFonts w:ascii="Times New Roman" w:hAnsi="Times New Roman"/>
          <w:noProof/>
          <w:sz w:val="24"/>
          <w:lang w:val="pl-PL"/>
        </w:rPr>
        <w:t>, zwłaszcza większą przejrzystość we wdrażaniu procedury. W sprawozdaniach krajowych lepiej przedstawiono – za pomocą tabel podsumowujących – ustalenia ze szczegółowych ocen sytuacji i opisano źródła zakłóceń równowagi oraz główne ustalenia d</w:t>
      </w:r>
      <w:r>
        <w:rPr>
          <w:rFonts w:ascii="Times New Roman" w:hAnsi="Times New Roman"/>
          <w:noProof/>
          <w:sz w:val="24"/>
          <w:lang w:val="pl-PL"/>
        </w:rPr>
        <w:t>otyczące kształtowania się odpowiednich zmiennych ekonomicznych, działania polityczne i utrzymujące się w polityce luki. Służby Komisji opublikują również kompendium, w którym zawarte zostaną istotne informacje o procedurze zakłóceń równowagi makroekonomic</w:t>
      </w:r>
      <w:r>
        <w:rPr>
          <w:rFonts w:ascii="Times New Roman" w:hAnsi="Times New Roman"/>
          <w:noProof/>
          <w:sz w:val="24"/>
          <w:lang w:val="pl-PL"/>
        </w:rPr>
        <w:t>znej.</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 xml:space="preserve">Komisja upraszcza i ustala kategorie zakłóceń równowagi makroekonomicznej. </w:t>
      </w:r>
      <w:r>
        <w:rPr>
          <w:rFonts w:ascii="Times New Roman" w:hAnsi="Times New Roman"/>
          <w:noProof/>
          <w:sz w:val="24"/>
          <w:lang w:val="pl-PL"/>
        </w:rPr>
        <w:t>Aby zapewnić bardziej skuteczną i prostszą komunikację, w tym roku sześć wcześniejszych kategorii zostało uproszczonych do czterech kategorii: brak zakłóceń, pewne zakłócenia,</w:t>
      </w:r>
      <w:r>
        <w:rPr>
          <w:rFonts w:ascii="Times New Roman" w:hAnsi="Times New Roman"/>
          <w:noProof/>
          <w:sz w:val="24"/>
          <w:lang w:val="pl-PL"/>
        </w:rPr>
        <w:t xml:space="preserve"> nadmierne zakłócenia i nadmierne zakłócenia wymagające działań naprawczych. Kategorie te nie będą zmieniane w nadchodzących latach. W przypadku występowania pewnych lub nadmiernych zakłóceń zastosowane zostanie szczegółowe monitorowanie, które będzie dost</w:t>
      </w:r>
      <w:r>
        <w:rPr>
          <w:rFonts w:ascii="Times New Roman" w:hAnsi="Times New Roman"/>
          <w:noProof/>
          <w:sz w:val="24"/>
          <w:lang w:val="pl-PL"/>
        </w:rPr>
        <w:t>osowywane do powagi wyzwań stojących za zakłóceniami. Zalecenia dla poszczególnych krajów będą dopasowywane w celu odzwierciedlenia charakteru zakłóceń, w świetle reform zaproponowanych w krajowych programach reform przedstawionych przez państwa członkowsk</w:t>
      </w:r>
      <w:r>
        <w:rPr>
          <w:rFonts w:ascii="Times New Roman" w:hAnsi="Times New Roman"/>
          <w:noProof/>
          <w:sz w:val="24"/>
          <w:lang w:val="pl-PL"/>
        </w:rPr>
        <w:t xml:space="preserve">ie. </w:t>
      </w:r>
    </w:p>
    <w:p w:rsidR="006B6A85" w:rsidRDefault="006B6A85">
      <w:pPr>
        <w:spacing w:before="120" w:after="120" w:line="240" w:lineRule="auto"/>
        <w:jc w:val="both"/>
        <w:rPr>
          <w:rFonts w:ascii="Times New Roman" w:hAnsi="Times New Roman"/>
          <w:noProof/>
          <w:sz w:val="8"/>
          <w:szCs w:val="8"/>
          <w:lang w:val="pl-PL"/>
        </w:rPr>
      </w:pPr>
    </w:p>
    <w:p w:rsidR="006B6A85" w:rsidRDefault="00243683">
      <w:pPr>
        <w:spacing w:before="120" w:after="120" w:line="240" w:lineRule="auto"/>
        <w:rPr>
          <w:rFonts w:ascii="Times New Roman" w:hAnsi="Times New Roman"/>
          <w:b/>
          <w:noProof/>
          <w:sz w:val="24"/>
          <w:szCs w:val="24"/>
          <w:lang w:val="pl-PL"/>
        </w:rPr>
      </w:pPr>
      <w:r>
        <w:rPr>
          <w:rFonts w:ascii="Times New Roman" w:hAnsi="Times New Roman"/>
          <w:b/>
          <w:noProof/>
          <w:sz w:val="24"/>
          <w:lang w:val="pl-PL"/>
        </w:rPr>
        <w:t>Tabela 1: Podział zakłóceń równowagi makroekonomicznej na kategorie w dotyczącej ich procedurze</w:t>
      </w:r>
    </w:p>
    <w:tbl>
      <w:tblPr>
        <w:tblW w:w="8706" w:type="dxa"/>
        <w:jc w:val="center"/>
        <w:tblInd w:w="-15" w:type="dxa"/>
        <w:tblCellMar>
          <w:left w:w="0" w:type="dxa"/>
          <w:right w:w="0" w:type="dxa"/>
        </w:tblCellMar>
        <w:tblLook w:val="04A0" w:firstRow="1" w:lastRow="0" w:firstColumn="1" w:lastColumn="0" w:noHBand="0" w:noVBand="1"/>
      </w:tblPr>
      <w:tblGrid>
        <w:gridCol w:w="4353"/>
        <w:gridCol w:w="4353"/>
      </w:tblGrid>
      <w:tr w:rsidR="006B6A85">
        <w:trPr>
          <w:trHeight w:val="464"/>
          <w:jc w:val="center"/>
        </w:trPr>
        <w:tc>
          <w:tcPr>
            <w:tcW w:w="4353" w:type="dxa"/>
            <w:tcBorders>
              <w:top w:val="single" w:sz="4" w:space="0" w:color="auto"/>
              <w:bottom w:val="single" w:sz="4" w:space="0" w:color="auto"/>
            </w:tcBorders>
            <w:tcMar>
              <w:top w:w="0" w:type="dxa"/>
              <w:left w:w="108" w:type="dxa"/>
              <w:bottom w:w="0" w:type="dxa"/>
              <w:right w:w="108" w:type="dxa"/>
            </w:tcMar>
            <w:vAlign w:val="center"/>
          </w:tcPr>
          <w:p w:rsidR="006B6A85" w:rsidRDefault="00243683">
            <w:pPr>
              <w:spacing w:before="120" w:after="0" w:line="240" w:lineRule="auto"/>
              <w:jc w:val="both"/>
              <w:rPr>
                <w:rFonts w:ascii="Times New Roman" w:hAnsi="Times New Roman"/>
                <w:b/>
                <w:bCs/>
                <w:noProof/>
                <w:color w:val="000000"/>
                <w:sz w:val="18"/>
                <w:szCs w:val="18"/>
                <w:lang w:val="pl-PL"/>
              </w:rPr>
            </w:pPr>
            <w:r>
              <w:rPr>
                <w:rFonts w:ascii="Times New Roman" w:hAnsi="Times New Roman"/>
                <w:b/>
                <w:noProof/>
                <w:color w:val="000000"/>
                <w:sz w:val="18"/>
                <w:lang w:val="pl-PL"/>
              </w:rPr>
              <w:t xml:space="preserve">Wcześniejsze kategorie </w:t>
            </w:r>
          </w:p>
        </w:tc>
        <w:tc>
          <w:tcPr>
            <w:tcW w:w="4353" w:type="dxa"/>
            <w:tcBorders>
              <w:top w:val="single" w:sz="4" w:space="0" w:color="auto"/>
              <w:bottom w:val="single" w:sz="4" w:space="0" w:color="auto"/>
            </w:tcBorders>
            <w:vAlign w:val="center"/>
          </w:tcPr>
          <w:p w:rsidR="006B6A85" w:rsidRDefault="00243683">
            <w:pPr>
              <w:spacing w:before="120" w:after="0" w:line="240" w:lineRule="auto"/>
              <w:ind w:left="284"/>
              <w:jc w:val="both"/>
              <w:rPr>
                <w:rFonts w:ascii="Times New Roman" w:hAnsi="Times New Roman"/>
                <w:b/>
                <w:noProof/>
                <w:sz w:val="18"/>
                <w:szCs w:val="18"/>
                <w:lang w:val="pl-PL"/>
              </w:rPr>
            </w:pPr>
            <w:r>
              <w:rPr>
                <w:rFonts w:ascii="Times New Roman" w:hAnsi="Times New Roman"/>
                <w:b/>
                <w:noProof/>
                <w:sz w:val="18"/>
                <w:lang w:val="pl-PL"/>
              </w:rPr>
              <w:t xml:space="preserve">Uproszczone kategorie </w:t>
            </w:r>
          </w:p>
        </w:tc>
      </w:tr>
      <w:tr w:rsidR="006B6A85">
        <w:trPr>
          <w:trHeight w:val="464"/>
          <w:jc w:val="center"/>
        </w:trPr>
        <w:tc>
          <w:tcPr>
            <w:tcW w:w="4353" w:type="dxa"/>
            <w:tcBorders>
              <w:top w:val="single" w:sz="4" w:space="0" w:color="auto"/>
            </w:tcBorders>
            <w:tcMar>
              <w:top w:w="0" w:type="dxa"/>
              <w:left w:w="108" w:type="dxa"/>
              <w:bottom w:w="0" w:type="dxa"/>
              <w:right w:w="108" w:type="dxa"/>
            </w:tcMar>
            <w:vAlign w:val="center"/>
          </w:tcPr>
          <w:p w:rsidR="006B6A85" w:rsidRDefault="00243683">
            <w:pPr>
              <w:spacing w:before="120" w:after="0" w:line="240" w:lineRule="auto"/>
              <w:jc w:val="both"/>
              <w:rPr>
                <w:rFonts w:ascii="Times New Roman" w:hAnsi="Times New Roman"/>
                <w:bCs/>
                <w:noProof/>
                <w:color w:val="000000"/>
                <w:sz w:val="18"/>
                <w:szCs w:val="18"/>
                <w:lang w:val="pl-PL"/>
              </w:rPr>
            </w:pPr>
            <w:r>
              <w:rPr>
                <w:rFonts w:ascii="Times New Roman" w:hAnsi="Times New Roman"/>
                <w:noProof/>
                <w:color w:val="000000"/>
                <w:sz w:val="18"/>
                <w:lang w:val="pl-PL"/>
              </w:rPr>
              <w:t>Brak zakłóceń</w:t>
            </w:r>
          </w:p>
        </w:tc>
        <w:tc>
          <w:tcPr>
            <w:tcW w:w="4353" w:type="dxa"/>
            <w:tcBorders>
              <w:top w:val="single" w:sz="4" w:space="0" w:color="auto"/>
            </w:tcBorders>
            <w:vAlign w:val="center"/>
          </w:tcPr>
          <w:p w:rsidR="006B6A85" w:rsidRDefault="00243683">
            <w:pPr>
              <w:spacing w:before="120" w:after="0" w:line="240" w:lineRule="auto"/>
              <w:ind w:left="284"/>
              <w:jc w:val="both"/>
              <w:rPr>
                <w:rFonts w:ascii="Times New Roman" w:hAnsi="Times New Roman"/>
                <w:bCs/>
                <w:noProof/>
                <w:color w:val="000000"/>
                <w:sz w:val="18"/>
                <w:szCs w:val="18"/>
                <w:lang w:val="pl-PL"/>
              </w:rPr>
            </w:pPr>
            <w:r>
              <w:rPr>
                <w:rFonts w:ascii="Times New Roman" w:hAnsi="Times New Roman"/>
                <w:noProof/>
                <w:sz w:val="18"/>
                <w:lang w:val="pl-PL"/>
              </w:rPr>
              <w:t>Brak zakłóceń</w:t>
            </w:r>
          </w:p>
        </w:tc>
      </w:tr>
      <w:tr w:rsidR="006B6A85">
        <w:trPr>
          <w:trHeight w:val="464"/>
          <w:jc w:val="center"/>
        </w:trPr>
        <w:tc>
          <w:tcPr>
            <w:tcW w:w="4353" w:type="dxa"/>
            <w:tcMar>
              <w:top w:w="0" w:type="dxa"/>
              <w:left w:w="108" w:type="dxa"/>
              <w:bottom w:w="0" w:type="dxa"/>
              <w:right w:w="108" w:type="dxa"/>
            </w:tcMar>
            <w:vAlign w:val="center"/>
            <w:hideMark/>
          </w:tcPr>
          <w:p w:rsidR="006B6A85" w:rsidRDefault="00243683">
            <w:pPr>
              <w:spacing w:before="120" w:after="0" w:line="240" w:lineRule="auto"/>
              <w:jc w:val="both"/>
              <w:rPr>
                <w:rFonts w:ascii="Times New Roman" w:hAnsi="Times New Roman"/>
                <w:bCs/>
                <w:noProof/>
                <w:color w:val="000000"/>
                <w:sz w:val="18"/>
                <w:szCs w:val="18"/>
                <w:lang w:val="pl-PL"/>
              </w:rPr>
            </w:pPr>
            <w:r>
              <w:rPr>
                <w:rFonts w:ascii="Times New Roman" w:hAnsi="Times New Roman"/>
                <w:noProof/>
                <w:color w:val="000000"/>
                <w:sz w:val="18"/>
                <w:lang w:val="pl-PL"/>
              </w:rPr>
              <w:t>Zakłócenia wymagające działań politycznych i monitorowania</w:t>
            </w:r>
          </w:p>
        </w:tc>
        <w:tc>
          <w:tcPr>
            <w:tcW w:w="4353" w:type="dxa"/>
            <w:vMerge w:val="restart"/>
            <w:vAlign w:val="center"/>
          </w:tcPr>
          <w:p w:rsidR="006B6A85" w:rsidRDefault="00243683">
            <w:pPr>
              <w:spacing w:before="120" w:after="0" w:line="240" w:lineRule="auto"/>
              <w:ind w:left="284"/>
              <w:jc w:val="both"/>
              <w:rPr>
                <w:rFonts w:ascii="Times New Roman" w:hAnsi="Times New Roman"/>
                <w:bCs/>
                <w:noProof/>
                <w:color w:val="000000"/>
                <w:sz w:val="18"/>
                <w:szCs w:val="18"/>
                <w:lang w:val="pl-PL"/>
              </w:rPr>
            </w:pPr>
            <w:r>
              <w:rPr>
                <w:rFonts w:ascii="Times New Roman" w:hAnsi="Times New Roman"/>
                <w:noProof/>
                <w:sz w:val="18"/>
                <w:lang w:val="pl-PL"/>
              </w:rPr>
              <w:t>Pewne zakłócenia</w:t>
            </w:r>
          </w:p>
        </w:tc>
      </w:tr>
      <w:tr w:rsidR="006B6A85" w:rsidRPr="00243683">
        <w:trPr>
          <w:trHeight w:val="464"/>
          <w:jc w:val="center"/>
        </w:trPr>
        <w:tc>
          <w:tcPr>
            <w:tcW w:w="4353" w:type="dxa"/>
            <w:tcMar>
              <w:top w:w="0" w:type="dxa"/>
              <w:left w:w="108" w:type="dxa"/>
              <w:bottom w:w="0" w:type="dxa"/>
              <w:right w:w="108" w:type="dxa"/>
            </w:tcMar>
            <w:vAlign w:val="center"/>
            <w:hideMark/>
          </w:tcPr>
          <w:p w:rsidR="006B6A85" w:rsidRDefault="00243683">
            <w:pPr>
              <w:spacing w:before="120" w:after="0" w:line="240" w:lineRule="auto"/>
              <w:jc w:val="both"/>
              <w:rPr>
                <w:rFonts w:ascii="Times New Roman" w:hAnsi="Times New Roman"/>
                <w:bCs/>
                <w:noProof/>
                <w:color w:val="000000"/>
                <w:sz w:val="18"/>
                <w:szCs w:val="18"/>
                <w:lang w:val="pl-PL"/>
              </w:rPr>
            </w:pPr>
            <w:r>
              <w:rPr>
                <w:rFonts w:ascii="Times New Roman" w:hAnsi="Times New Roman"/>
                <w:noProof/>
                <w:color w:val="000000"/>
                <w:sz w:val="18"/>
                <w:lang w:val="pl-PL"/>
              </w:rPr>
              <w:t>Zakłócenia wymagające zdecydowanych działań politycznych i monitorowania</w:t>
            </w:r>
          </w:p>
        </w:tc>
        <w:tc>
          <w:tcPr>
            <w:tcW w:w="4353" w:type="dxa"/>
            <w:vMerge/>
            <w:vAlign w:val="center"/>
          </w:tcPr>
          <w:p w:rsidR="006B6A85" w:rsidRDefault="006B6A85">
            <w:pPr>
              <w:spacing w:before="120" w:after="0" w:line="240" w:lineRule="auto"/>
              <w:jc w:val="both"/>
              <w:rPr>
                <w:rFonts w:ascii="Times New Roman" w:hAnsi="Times New Roman"/>
                <w:bCs/>
                <w:noProof/>
                <w:color w:val="000000"/>
                <w:sz w:val="18"/>
                <w:szCs w:val="18"/>
                <w:lang w:val="pl-PL"/>
              </w:rPr>
            </w:pPr>
          </w:p>
        </w:tc>
      </w:tr>
      <w:tr w:rsidR="006B6A85" w:rsidRPr="00243683">
        <w:trPr>
          <w:trHeight w:val="464"/>
          <w:jc w:val="center"/>
        </w:trPr>
        <w:tc>
          <w:tcPr>
            <w:tcW w:w="4353" w:type="dxa"/>
            <w:tcMar>
              <w:top w:w="0" w:type="dxa"/>
              <w:left w:w="108" w:type="dxa"/>
              <w:bottom w:w="0" w:type="dxa"/>
              <w:right w:w="108" w:type="dxa"/>
            </w:tcMar>
            <w:vAlign w:val="center"/>
            <w:hideMark/>
          </w:tcPr>
          <w:p w:rsidR="006B6A85" w:rsidRDefault="00243683">
            <w:pPr>
              <w:spacing w:before="120" w:after="0" w:line="240" w:lineRule="auto"/>
              <w:jc w:val="both"/>
              <w:rPr>
                <w:rFonts w:ascii="Times New Roman" w:hAnsi="Times New Roman"/>
                <w:bCs/>
                <w:noProof/>
                <w:color w:val="000000"/>
                <w:sz w:val="18"/>
                <w:szCs w:val="18"/>
                <w:lang w:val="pl-PL"/>
              </w:rPr>
            </w:pPr>
            <w:r>
              <w:rPr>
                <w:rFonts w:ascii="Times New Roman" w:hAnsi="Times New Roman"/>
                <w:noProof/>
                <w:color w:val="000000"/>
                <w:sz w:val="18"/>
                <w:lang w:val="pl-PL"/>
              </w:rPr>
              <w:t>Zakłócenia wymagające zdecydowanych działań politycznych i szczegółowego monitorowania</w:t>
            </w:r>
          </w:p>
        </w:tc>
        <w:tc>
          <w:tcPr>
            <w:tcW w:w="4353" w:type="dxa"/>
            <w:vMerge/>
            <w:vAlign w:val="center"/>
          </w:tcPr>
          <w:p w:rsidR="006B6A85" w:rsidRDefault="006B6A85">
            <w:pPr>
              <w:spacing w:before="120" w:after="0" w:line="240" w:lineRule="auto"/>
              <w:jc w:val="both"/>
              <w:rPr>
                <w:rFonts w:ascii="Times New Roman" w:hAnsi="Times New Roman"/>
                <w:bCs/>
                <w:noProof/>
                <w:color w:val="000000"/>
                <w:sz w:val="18"/>
                <w:szCs w:val="18"/>
                <w:lang w:val="pl-PL"/>
              </w:rPr>
            </w:pPr>
          </w:p>
        </w:tc>
      </w:tr>
      <w:tr w:rsidR="006B6A85">
        <w:trPr>
          <w:trHeight w:val="464"/>
          <w:jc w:val="center"/>
        </w:trPr>
        <w:tc>
          <w:tcPr>
            <w:tcW w:w="4353" w:type="dxa"/>
            <w:tcMar>
              <w:top w:w="0" w:type="dxa"/>
              <w:left w:w="108" w:type="dxa"/>
              <w:bottom w:w="0" w:type="dxa"/>
              <w:right w:w="108" w:type="dxa"/>
            </w:tcMar>
            <w:vAlign w:val="center"/>
            <w:hideMark/>
          </w:tcPr>
          <w:p w:rsidR="006B6A85" w:rsidRDefault="00243683">
            <w:pPr>
              <w:spacing w:before="120" w:after="0" w:line="240" w:lineRule="auto"/>
              <w:jc w:val="both"/>
              <w:rPr>
                <w:rFonts w:ascii="Times New Roman" w:hAnsi="Times New Roman"/>
                <w:bCs/>
                <w:noProof/>
                <w:color w:val="000000"/>
                <w:sz w:val="18"/>
                <w:szCs w:val="18"/>
                <w:lang w:val="pl-PL"/>
              </w:rPr>
            </w:pPr>
            <w:r>
              <w:rPr>
                <w:rFonts w:ascii="Times New Roman" w:hAnsi="Times New Roman"/>
                <w:noProof/>
                <w:color w:val="000000"/>
                <w:sz w:val="18"/>
                <w:lang w:val="pl-PL"/>
              </w:rPr>
              <w:t>Nadmierne zakłócenia wymagające zdecydowanych działań politycznych i szczegółowego monitorow</w:t>
            </w:r>
            <w:r>
              <w:rPr>
                <w:rFonts w:ascii="Times New Roman" w:hAnsi="Times New Roman"/>
                <w:noProof/>
                <w:color w:val="000000"/>
                <w:sz w:val="18"/>
                <w:lang w:val="pl-PL"/>
              </w:rPr>
              <w:t>ania</w:t>
            </w:r>
          </w:p>
        </w:tc>
        <w:tc>
          <w:tcPr>
            <w:tcW w:w="4353" w:type="dxa"/>
            <w:vAlign w:val="center"/>
          </w:tcPr>
          <w:p w:rsidR="006B6A85" w:rsidRDefault="00243683">
            <w:pPr>
              <w:spacing w:before="120" w:after="0" w:line="240" w:lineRule="auto"/>
              <w:ind w:left="284"/>
              <w:jc w:val="both"/>
              <w:rPr>
                <w:rFonts w:ascii="Times New Roman" w:hAnsi="Times New Roman"/>
                <w:bCs/>
                <w:noProof/>
                <w:color w:val="000000"/>
                <w:sz w:val="18"/>
                <w:szCs w:val="18"/>
                <w:lang w:val="pl-PL"/>
              </w:rPr>
            </w:pPr>
            <w:r>
              <w:rPr>
                <w:rFonts w:ascii="Times New Roman" w:hAnsi="Times New Roman"/>
                <w:noProof/>
                <w:sz w:val="18"/>
                <w:lang w:val="pl-PL"/>
              </w:rPr>
              <w:t>Nadmierne zakłócenia równowagi makroekonomicznej</w:t>
            </w:r>
          </w:p>
        </w:tc>
      </w:tr>
      <w:tr w:rsidR="006B6A85" w:rsidRPr="00243683">
        <w:trPr>
          <w:trHeight w:val="464"/>
          <w:jc w:val="center"/>
        </w:trPr>
        <w:tc>
          <w:tcPr>
            <w:tcW w:w="4353" w:type="dxa"/>
            <w:tcBorders>
              <w:top w:val="nil"/>
              <w:left w:val="nil"/>
              <w:bottom w:val="single" w:sz="4" w:space="0" w:color="auto"/>
              <w:right w:val="nil"/>
            </w:tcBorders>
            <w:tcMar>
              <w:top w:w="0" w:type="dxa"/>
              <w:left w:w="108" w:type="dxa"/>
              <w:bottom w:w="0" w:type="dxa"/>
              <w:right w:w="108" w:type="dxa"/>
            </w:tcMar>
            <w:vAlign w:val="center"/>
          </w:tcPr>
          <w:p w:rsidR="006B6A85" w:rsidRDefault="00243683">
            <w:pPr>
              <w:spacing w:before="120" w:after="0" w:line="240" w:lineRule="auto"/>
              <w:jc w:val="both"/>
              <w:rPr>
                <w:rFonts w:ascii="Times New Roman" w:hAnsi="Times New Roman"/>
                <w:bCs/>
                <w:noProof/>
                <w:color w:val="000000"/>
                <w:sz w:val="18"/>
                <w:szCs w:val="18"/>
                <w:lang w:val="pl-PL"/>
              </w:rPr>
            </w:pPr>
            <w:r>
              <w:rPr>
                <w:rFonts w:ascii="Times New Roman" w:hAnsi="Times New Roman"/>
                <w:noProof/>
                <w:color w:val="000000"/>
                <w:sz w:val="18"/>
                <w:lang w:val="pl-PL"/>
              </w:rPr>
              <w:t>Nadmierne zakłócenia równowagi makroekonomicznej wymagające działań naprawczych</w:t>
            </w:r>
            <w:r>
              <w:rPr>
                <w:rFonts w:ascii="Times New Roman" w:hAnsi="Times New Roman"/>
                <w:noProof/>
                <w:sz w:val="18"/>
                <w:szCs w:val="18"/>
                <w:lang w:val="pl-PL"/>
              </w:rPr>
              <w:t>*</w:t>
            </w:r>
          </w:p>
        </w:tc>
        <w:tc>
          <w:tcPr>
            <w:tcW w:w="4353" w:type="dxa"/>
            <w:tcBorders>
              <w:top w:val="nil"/>
              <w:left w:val="nil"/>
              <w:bottom w:val="single" w:sz="4" w:space="0" w:color="auto"/>
              <w:right w:val="nil"/>
            </w:tcBorders>
            <w:vAlign w:val="center"/>
          </w:tcPr>
          <w:p w:rsidR="006B6A85" w:rsidRDefault="00243683">
            <w:pPr>
              <w:spacing w:before="120" w:after="0" w:line="240" w:lineRule="auto"/>
              <w:ind w:left="284" w:hanging="1"/>
              <w:jc w:val="both"/>
              <w:rPr>
                <w:rFonts w:ascii="Times New Roman" w:hAnsi="Times New Roman"/>
                <w:bCs/>
                <w:noProof/>
                <w:color w:val="000000"/>
                <w:sz w:val="18"/>
                <w:szCs w:val="18"/>
                <w:lang w:val="pl-PL"/>
              </w:rPr>
            </w:pPr>
            <w:r>
              <w:rPr>
                <w:rFonts w:ascii="Times New Roman" w:hAnsi="Times New Roman"/>
                <w:noProof/>
                <w:sz w:val="18"/>
                <w:lang w:val="pl-PL"/>
              </w:rPr>
              <w:t>Nadmierne zakłócenia równowagi makroekonomicznej wymagające działań naprawczych</w:t>
            </w:r>
          </w:p>
        </w:tc>
      </w:tr>
    </w:tbl>
    <w:p w:rsidR="006B6A85" w:rsidRDefault="00243683">
      <w:pPr>
        <w:spacing w:before="120" w:after="120" w:line="240" w:lineRule="auto"/>
        <w:jc w:val="both"/>
        <w:rPr>
          <w:rFonts w:ascii="Times New Roman" w:hAnsi="Times New Roman"/>
          <w:noProof/>
          <w:sz w:val="18"/>
          <w:szCs w:val="18"/>
          <w:lang w:val="pl-PL"/>
        </w:rPr>
      </w:pPr>
      <w:r>
        <w:rPr>
          <w:rFonts w:ascii="Times New Roman" w:hAnsi="Times New Roman"/>
          <w:noProof/>
          <w:sz w:val="18"/>
          <w:szCs w:val="18"/>
          <w:lang w:val="pl-PL"/>
        </w:rPr>
        <w:t>*</w:t>
      </w:r>
      <w:r>
        <w:rPr>
          <w:rFonts w:ascii="Times New Roman" w:hAnsi="Times New Roman"/>
          <w:noProof/>
          <w:sz w:val="18"/>
          <w:lang w:val="pl-PL"/>
        </w:rPr>
        <w:t xml:space="preserve">Kategoria „nadmierne zakłócenia </w:t>
      </w:r>
      <w:r>
        <w:rPr>
          <w:rFonts w:ascii="Times New Roman" w:hAnsi="Times New Roman"/>
          <w:noProof/>
          <w:sz w:val="18"/>
          <w:lang w:val="pl-PL"/>
        </w:rPr>
        <w:t>wymagające działań naprawczych” oznacza rozpoczęcie procedury dotyczącej nadmiernych zakłóceń równowagi na podstawie rozporządzenia (UE) nr 1176/2011.</w:t>
      </w:r>
    </w:p>
    <w:p w:rsidR="006B6A85" w:rsidRDefault="006B6A85">
      <w:pPr>
        <w:spacing w:before="120" w:after="120" w:line="240" w:lineRule="auto"/>
        <w:jc w:val="both"/>
        <w:rPr>
          <w:rFonts w:ascii="Times New Roman" w:hAnsi="Times New Roman"/>
          <w:noProof/>
          <w:sz w:val="24"/>
          <w:szCs w:val="24"/>
          <w:lang w:val="pl-PL"/>
        </w:rPr>
      </w:pPr>
    </w:p>
    <w:p w:rsidR="006B6A85" w:rsidRDefault="00243683">
      <w:pPr>
        <w:spacing w:before="120" w:after="120" w:line="240" w:lineRule="auto"/>
        <w:jc w:val="both"/>
        <w:rPr>
          <w:rFonts w:ascii="Times New Roman" w:hAnsi="Times New Roman"/>
          <w:b/>
          <w:noProof/>
          <w:sz w:val="24"/>
          <w:szCs w:val="24"/>
          <w:lang w:val="pl-PL"/>
        </w:rPr>
      </w:pPr>
      <w:r>
        <w:rPr>
          <w:rFonts w:ascii="Times New Roman" w:hAnsi="Times New Roman"/>
          <w:b/>
          <w:noProof/>
          <w:sz w:val="24"/>
          <w:lang w:val="pl-PL"/>
        </w:rPr>
        <w:t>W szczegółowych ocenach sytuacji uwzględniono również skutki uboczne na innych rynkach i kwestie systemo</w:t>
      </w:r>
      <w:r>
        <w:rPr>
          <w:rFonts w:ascii="Times New Roman" w:hAnsi="Times New Roman"/>
          <w:b/>
          <w:noProof/>
          <w:sz w:val="24"/>
          <w:lang w:val="pl-PL"/>
        </w:rPr>
        <w:t xml:space="preserve">we. </w:t>
      </w:r>
      <w:r>
        <w:rPr>
          <w:rFonts w:ascii="Times New Roman" w:hAnsi="Times New Roman"/>
          <w:noProof/>
          <w:sz w:val="24"/>
          <w:lang w:val="pl-PL"/>
        </w:rPr>
        <w:t xml:space="preserve">Identyfikacja i ocena zakłóceń równowagi makroekonomicznej uwzględniają fakt, że do usunięcia zakłóceń niezbędne jest skoordynowane podejście w całej strefie euro, przy jednoczesnym stymulowaniu ożywienia gospodarczego. Celem procedury dotyczącej </w:t>
      </w:r>
      <w:r>
        <w:rPr>
          <w:rFonts w:ascii="Times New Roman" w:hAnsi="Times New Roman"/>
          <w:noProof/>
          <w:sz w:val="24"/>
          <w:lang w:val="pl-PL"/>
        </w:rPr>
        <w:t>zakłóceń równowagi makroekonomicznej jest zapobieganie zakłóceniom szkodliwym dla danego państwa, strefy euro i całej UE oraz ich korygowanie. W swym sprawozdaniu przedkładanym w ramach mechanizmu ostrzegania na 2016 r.</w:t>
      </w:r>
      <w:r>
        <w:rPr>
          <w:rStyle w:val="FootnoteReference"/>
          <w:rFonts w:ascii="Times New Roman" w:hAnsi="Times New Roman"/>
          <w:noProof/>
          <w:sz w:val="24"/>
          <w:lang w:val="pl-PL"/>
        </w:rPr>
        <w:footnoteReference w:id="12"/>
      </w:r>
      <w:r>
        <w:rPr>
          <w:rFonts w:ascii="Times New Roman" w:hAnsi="Times New Roman"/>
          <w:noProof/>
          <w:sz w:val="24"/>
          <w:lang w:val="pl-PL"/>
        </w:rPr>
        <w:t xml:space="preserve"> i opublikowanym wraz z rocznym bada</w:t>
      </w:r>
      <w:r>
        <w:rPr>
          <w:rFonts w:ascii="Times New Roman" w:hAnsi="Times New Roman"/>
          <w:noProof/>
          <w:sz w:val="24"/>
          <w:lang w:val="pl-PL"/>
        </w:rPr>
        <w:t>niem wzrostu gospodarczego na 2016 r. Komisja uznała, że należy szczegółowo ocenić sytuację w 18 państwach członkowskich, aby dogłębnie przeanalizować powagę ewentualnych zakłóceń.</w:t>
      </w:r>
    </w:p>
    <w:p w:rsidR="006B6A85" w:rsidRDefault="00243683">
      <w:pPr>
        <w:spacing w:before="120" w:after="120" w:line="240" w:lineRule="auto"/>
        <w:jc w:val="both"/>
        <w:rPr>
          <w:rFonts w:ascii="Times New Roman" w:hAnsi="Times New Roman"/>
          <w:noProof/>
          <w:sz w:val="24"/>
          <w:lang w:val="pl-PL"/>
        </w:rPr>
      </w:pPr>
      <w:r>
        <w:rPr>
          <w:rFonts w:ascii="Times New Roman" w:hAnsi="Times New Roman"/>
          <w:b/>
          <w:noProof/>
          <w:sz w:val="24"/>
          <w:lang w:val="pl-PL"/>
        </w:rPr>
        <w:t>Liczba państwa doświadczających zakłóceń zmalała w porównaniu z ubiegłym ro</w:t>
      </w:r>
      <w:r>
        <w:rPr>
          <w:rFonts w:ascii="Times New Roman" w:hAnsi="Times New Roman"/>
          <w:b/>
          <w:noProof/>
          <w:sz w:val="24"/>
          <w:lang w:val="pl-PL"/>
        </w:rPr>
        <w:t>kiem.</w:t>
      </w:r>
      <w:r>
        <w:rPr>
          <w:rFonts w:ascii="Times New Roman" w:hAnsi="Times New Roman"/>
          <w:noProof/>
          <w:sz w:val="24"/>
          <w:lang w:val="pl-PL"/>
        </w:rPr>
        <w:t xml:space="preserve"> W wyniku szczegółowej oceny sytuacji uznano, że z 18 państw przewidzianych do dalszej analizy sześć państw nie doświadcza żadnych zakłóceń, siedem doświadcza pewnych zakłóceń, a pięć państw doświadcza nadmiernych zakłóceń. Jeśli chodzi o Chorwację i </w:t>
      </w:r>
      <w:r>
        <w:rPr>
          <w:rFonts w:ascii="Times New Roman" w:hAnsi="Times New Roman"/>
          <w:noProof/>
          <w:sz w:val="24"/>
          <w:lang w:val="pl-PL"/>
        </w:rPr>
        <w:t>Portugalię, Komisja dokonana przeglądu swojej oceny w maju z uwzględnieniem poziomu ambicji ich krajowych programów reform. W załączniku 3 podsumowano ustalenia szczegółowych ocen sytuacji w każdym z tych państw.</w:t>
      </w:r>
    </w:p>
    <w:p w:rsidR="006B6A85" w:rsidRDefault="006B6A85">
      <w:pPr>
        <w:spacing w:before="120" w:after="120" w:line="240" w:lineRule="auto"/>
        <w:jc w:val="both"/>
        <w:rPr>
          <w:rFonts w:ascii="Times New Roman" w:hAnsi="Times New Roman"/>
          <w:noProof/>
          <w:sz w:val="24"/>
          <w:szCs w:val="24"/>
          <w:lang w:val="pl-PL"/>
        </w:rPr>
      </w:pPr>
    </w:p>
    <w:p w:rsidR="006B6A85" w:rsidRDefault="00243683">
      <w:pPr>
        <w:spacing w:before="120" w:after="120" w:line="240" w:lineRule="auto"/>
        <w:rPr>
          <w:rFonts w:ascii="Times New Roman" w:hAnsi="Times New Roman"/>
          <w:noProof/>
          <w:sz w:val="24"/>
          <w:szCs w:val="24"/>
          <w:lang w:val="pl-PL"/>
        </w:rPr>
      </w:pPr>
      <w:r>
        <w:rPr>
          <w:noProof/>
          <w:lang w:val="pl-PL"/>
        </w:rPr>
        <w:br/>
      </w:r>
      <w:r>
        <w:rPr>
          <w:rFonts w:ascii="Times New Roman" w:hAnsi="Times New Roman"/>
          <w:b/>
          <w:noProof/>
          <w:sz w:val="24"/>
          <w:lang w:val="pl-PL"/>
        </w:rPr>
        <w:t xml:space="preserve">Tabela 2: Wyniki szczegółowych ocen sytuacji w 2016 r. (kategorie uproszczone) </w:t>
      </w:r>
    </w:p>
    <w:tbl>
      <w:tblPr>
        <w:tblW w:w="7969" w:type="dxa"/>
        <w:jc w:val="center"/>
        <w:tblInd w:w="170" w:type="dxa"/>
        <w:tblBorders>
          <w:top w:val="single" w:sz="4" w:space="0" w:color="auto"/>
          <w:bottom w:val="single" w:sz="4" w:space="0" w:color="auto"/>
        </w:tblBorders>
        <w:tblLayout w:type="fixed"/>
        <w:tblLook w:val="04A0" w:firstRow="1" w:lastRow="0" w:firstColumn="1" w:lastColumn="0" w:noHBand="0" w:noVBand="1"/>
      </w:tblPr>
      <w:tblGrid>
        <w:gridCol w:w="5118"/>
        <w:gridCol w:w="2851"/>
      </w:tblGrid>
      <w:tr w:rsidR="006B6A85">
        <w:trPr>
          <w:jc w:val="center"/>
        </w:trPr>
        <w:tc>
          <w:tcPr>
            <w:tcW w:w="5118" w:type="dxa"/>
            <w:shd w:val="clear" w:color="auto" w:fill="auto"/>
          </w:tcPr>
          <w:p w:rsidR="006B6A85" w:rsidRDefault="00243683">
            <w:pPr>
              <w:spacing w:before="120" w:after="120"/>
              <w:rPr>
                <w:rFonts w:ascii="Times New Roman" w:hAnsi="Times New Roman"/>
                <w:b/>
                <w:noProof/>
                <w:color w:val="000000"/>
                <w:sz w:val="20"/>
                <w:szCs w:val="20"/>
                <w:lang w:val="pl-PL"/>
              </w:rPr>
            </w:pPr>
            <w:r>
              <w:rPr>
                <w:rFonts w:ascii="Times New Roman" w:hAnsi="Times New Roman"/>
                <w:b/>
                <w:noProof/>
                <w:color w:val="000000"/>
                <w:sz w:val="20"/>
                <w:lang w:val="pl-PL"/>
              </w:rPr>
              <w:t xml:space="preserve">Brak zakłóceń </w:t>
            </w:r>
          </w:p>
        </w:tc>
        <w:tc>
          <w:tcPr>
            <w:tcW w:w="2851" w:type="dxa"/>
            <w:shd w:val="clear" w:color="auto" w:fill="auto"/>
          </w:tcPr>
          <w:p w:rsidR="006B6A85" w:rsidRPr="00243683" w:rsidRDefault="00243683">
            <w:pPr>
              <w:spacing w:before="120" w:after="120"/>
              <w:rPr>
                <w:rFonts w:ascii="Times New Roman" w:hAnsi="Times New Roman"/>
                <w:noProof/>
                <w:sz w:val="20"/>
                <w:szCs w:val="20"/>
              </w:rPr>
            </w:pPr>
            <w:r w:rsidRPr="00243683">
              <w:rPr>
                <w:rFonts w:ascii="Times New Roman" w:hAnsi="Times New Roman"/>
                <w:noProof/>
                <w:sz w:val="20"/>
              </w:rPr>
              <w:t>BE, EE, HU, AT, RO, UK</w:t>
            </w:r>
          </w:p>
        </w:tc>
      </w:tr>
      <w:tr w:rsidR="006B6A85" w:rsidRPr="00243683">
        <w:trPr>
          <w:jc w:val="center"/>
        </w:trPr>
        <w:tc>
          <w:tcPr>
            <w:tcW w:w="5118" w:type="dxa"/>
            <w:shd w:val="clear" w:color="auto" w:fill="auto"/>
          </w:tcPr>
          <w:p w:rsidR="006B6A85" w:rsidRDefault="00243683">
            <w:pPr>
              <w:spacing w:before="120" w:after="120"/>
              <w:rPr>
                <w:rFonts w:ascii="Times New Roman" w:hAnsi="Times New Roman"/>
                <w:b/>
                <w:noProof/>
                <w:color w:val="000000"/>
                <w:sz w:val="20"/>
                <w:szCs w:val="20"/>
                <w:lang w:val="pl-PL"/>
              </w:rPr>
            </w:pPr>
            <w:r>
              <w:rPr>
                <w:rFonts w:ascii="Times New Roman" w:hAnsi="Times New Roman"/>
                <w:b/>
                <w:noProof/>
                <w:color w:val="000000"/>
                <w:sz w:val="20"/>
                <w:lang w:val="pl-PL"/>
              </w:rPr>
              <w:t xml:space="preserve">Pewne zakłócenia* </w:t>
            </w:r>
          </w:p>
        </w:tc>
        <w:tc>
          <w:tcPr>
            <w:tcW w:w="2851" w:type="dxa"/>
            <w:shd w:val="clear" w:color="auto" w:fill="auto"/>
          </w:tcPr>
          <w:p w:rsidR="006B6A85" w:rsidRPr="00243683" w:rsidRDefault="00243683">
            <w:pPr>
              <w:spacing w:before="120" w:after="120"/>
              <w:rPr>
                <w:rFonts w:ascii="Times New Roman" w:hAnsi="Times New Roman"/>
                <w:noProof/>
                <w:color w:val="000000"/>
                <w:sz w:val="20"/>
                <w:szCs w:val="20"/>
                <w:lang w:val="es-ES"/>
              </w:rPr>
            </w:pPr>
            <w:r w:rsidRPr="00243683">
              <w:rPr>
                <w:rFonts w:ascii="Times New Roman" w:hAnsi="Times New Roman"/>
                <w:noProof/>
                <w:color w:val="000000"/>
                <w:sz w:val="20"/>
                <w:lang w:val="es-ES"/>
              </w:rPr>
              <w:t>DE, IE, ES, NL, SI, FI, SE</w:t>
            </w:r>
          </w:p>
        </w:tc>
      </w:tr>
      <w:tr w:rsidR="006B6A85">
        <w:trPr>
          <w:jc w:val="center"/>
        </w:trPr>
        <w:tc>
          <w:tcPr>
            <w:tcW w:w="5118" w:type="dxa"/>
            <w:shd w:val="clear" w:color="auto" w:fill="auto"/>
          </w:tcPr>
          <w:p w:rsidR="006B6A85" w:rsidRDefault="00243683">
            <w:pPr>
              <w:spacing w:before="120" w:after="120"/>
              <w:rPr>
                <w:rFonts w:ascii="Times New Roman" w:hAnsi="Times New Roman"/>
                <w:b/>
                <w:noProof/>
                <w:color w:val="000000"/>
                <w:sz w:val="20"/>
                <w:szCs w:val="20"/>
                <w:lang w:val="pl-PL"/>
              </w:rPr>
            </w:pPr>
            <w:r>
              <w:rPr>
                <w:rFonts w:ascii="Times New Roman" w:hAnsi="Times New Roman"/>
                <w:b/>
                <w:noProof/>
                <w:color w:val="000000"/>
                <w:sz w:val="20"/>
                <w:lang w:val="pl-PL"/>
              </w:rPr>
              <w:t xml:space="preserve">Nadmierne zakłócenia* </w:t>
            </w:r>
          </w:p>
        </w:tc>
        <w:tc>
          <w:tcPr>
            <w:tcW w:w="2851" w:type="dxa"/>
            <w:shd w:val="clear" w:color="auto" w:fill="auto"/>
          </w:tcPr>
          <w:p w:rsidR="006B6A85" w:rsidRPr="00243683" w:rsidRDefault="00243683">
            <w:pPr>
              <w:spacing w:before="120" w:after="120"/>
              <w:rPr>
                <w:rFonts w:ascii="Times New Roman" w:hAnsi="Times New Roman"/>
                <w:noProof/>
                <w:color w:val="000000"/>
                <w:sz w:val="20"/>
                <w:szCs w:val="20"/>
              </w:rPr>
            </w:pPr>
            <w:r w:rsidRPr="00243683">
              <w:rPr>
                <w:rFonts w:ascii="Times New Roman" w:hAnsi="Times New Roman"/>
                <w:noProof/>
                <w:color w:val="000000"/>
                <w:sz w:val="20"/>
              </w:rPr>
              <w:t>BG, FR, HR, IT, PT</w:t>
            </w:r>
          </w:p>
        </w:tc>
      </w:tr>
    </w:tbl>
    <w:p w:rsidR="006B6A85" w:rsidRDefault="00243683">
      <w:pPr>
        <w:spacing w:before="60" w:after="120"/>
        <w:jc w:val="both"/>
        <w:rPr>
          <w:rFonts w:ascii="Times New Roman" w:hAnsi="Times New Roman"/>
          <w:noProof/>
          <w:sz w:val="18"/>
          <w:szCs w:val="18"/>
          <w:lang w:val="pl-PL"/>
        </w:rPr>
      </w:pPr>
      <w:r>
        <w:rPr>
          <w:rFonts w:ascii="Times New Roman" w:hAnsi="Times New Roman"/>
          <w:noProof/>
          <w:sz w:val="18"/>
          <w:lang w:val="pl-PL"/>
        </w:rPr>
        <w:t xml:space="preserve">*Zarówno kategoria „pewne zakłócenia”, jak i kategoria „nadmierne zakłócenia” wiąże się z potrzebą prowadzenia szczegółowego monitorowania, które będzie dostosowywane do powagi problemu. </w:t>
      </w:r>
    </w:p>
    <w:p w:rsidR="006B6A85" w:rsidRDefault="006B6A85">
      <w:pPr>
        <w:spacing w:before="120" w:after="120" w:line="240" w:lineRule="auto"/>
        <w:jc w:val="both"/>
        <w:rPr>
          <w:rFonts w:ascii="Times New Roman" w:hAnsi="Times New Roman"/>
          <w:b/>
          <w:noProof/>
          <w:sz w:val="24"/>
          <w:szCs w:val="24"/>
          <w:lang w:val="pl-PL"/>
        </w:rPr>
      </w:pPr>
    </w:p>
    <w:p w:rsidR="006B6A85" w:rsidRDefault="006B6A85">
      <w:pPr>
        <w:spacing w:before="120" w:after="120" w:line="240" w:lineRule="auto"/>
        <w:jc w:val="both"/>
        <w:rPr>
          <w:rFonts w:ascii="Times New Roman" w:hAnsi="Times New Roman"/>
          <w:b/>
          <w:noProof/>
          <w:sz w:val="24"/>
          <w:szCs w:val="24"/>
          <w:lang w:val="pl-PL"/>
        </w:rPr>
      </w:pPr>
    </w:p>
    <w:p w:rsidR="006B6A85" w:rsidRDefault="00243683">
      <w:pPr>
        <w:spacing w:before="120" w:after="120" w:line="240" w:lineRule="auto"/>
        <w:jc w:val="both"/>
        <w:rPr>
          <w:rFonts w:ascii="Times New Roman" w:hAnsi="Times New Roman"/>
          <w:noProof/>
          <w:sz w:val="24"/>
          <w:szCs w:val="24"/>
          <w:highlight w:val="yellow"/>
          <w:lang w:val="pl-PL"/>
        </w:rPr>
      </w:pPr>
      <w:r>
        <w:rPr>
          <w:rFonts w:ascii="Times New Roman" w:hAnsi="Times New Roman"/>
          <w:b/>
          <w:noProof/>
          <w:sz w:val="24"/>
          <w:lang w:val="pl-PL"/>
        </w:rPr>
        <w:t>Zgodnie z uproszczonymi kategoriami w ramach omawianej procedury n</w:t>
      </w:r>
      <w:r>
        <w:rPr>
          <w:rFonts w:ascii="Times New Roman" w:hAnsi="Times New Roman"/>
          <w:b/>
          <w:noProof/>
          <w:sz w:val="24"/>
          <w:lang w:val="pl-PL"/>
        </w:rPr>
        <w:t xml:space="preserve">adzór obejmował będzie szczegółowe monitorowanie wszystkich państw członkowskich, w których występują pewne zakłócenia i nadmierne zakłócenia. </w:t>
      </w:r>
      <w:r>
        <w:rPr>
          <w:rFonts w:ascii="Times New Roman" w:hAnsi="Times New Roman"/>
          <w:noProof/>
          <w:sz w:val="24"/>
          <w:lang w:val="pl-PL"/>
        </w:rPr>
        <w:t>Szczegółowe monitorowanie powinno zapewnić zwiększony nadzór nad działaniami politycznymi w reakcji na stwierdzon</w:t>
      </w:r>
      <w:r>
        <w:rPr>
          <w:rFonts w:ascii="Times New Roman" w:hAnsi="Times New Roman"/>
          <w:noProof/>
          <w:sz w:val="24"/>
          <w:lang w:val="pl-PL"/>
        </w:rPr>
        <w:t>e zakłócenia i będzie się odbywało poprzez zintensyfikowany dialog z organami krajowymi, wizyty ekspertów i regularne sprawozdania z postępów, omawiane ze wszystkimi państwami członkowskimi. Takie kontakty ułatwią również monitorowanie wdrażania zaleceń dl</w:t>
      </w:r>
      <w:r>
        <w:rPr>
          <w:rFonts w:ascii="Times New Roman" w:hAnsi="Times New Roman"/>
          <w:noProof/>
          <w:sz w:val="24"/>
          <w:lang w:val="pl-PL"/>
        </w:rPr>
        <w:t>a danych państw członkowskich. Monitorowanie może różnić się w zależności od charakteru zakłóceń. Co do zasady państwa doświadczające nadmiernych zakłóceń objęte zostaną ściślejszym monitorowaniem. Państwa w kategorii „nadmierne zakłócenia wymagające dział</w:t>
      </w:r>
      <w:r>
        <w:rPr>
          <w:rFonts w:ascii="Times New Roman" w:hAnsi="Times New Roman"/>
          <w:noProof/>
          <w:sz w:val="24"/>
          <w:lang w:val="pl-PL"/>
        </w:rPr>
        <w:t>ań naprawczych” objęte zostaną procedurą dotyczącą nadmiernych zakłóceń równowagi, co pociąga za sobą zalecenia polityczne w celu usunięcia zakłóceń i działania następcze w postaci planu działań naprawczych.</w:t>
      </w:r>
    </w:p>
    <w:p w:rsidR="006B6A85" w:rsidRDefault="006B6A85">
      <w:pPr>
        <w:spacing w:before="120" w:after="120" w:line="240" w:lineRule="auto"/>
        <w:jc w:val="both"/>
        <w:rPr>
          <w:rFonts w:ascii="Times New Roman Bold" w:hAnsi="Times New Roman Bold"/>
          <w:b/>
          <w:smallCaps/>
          <w:noProof/>
          <w:sz w:val="26"/>
          <w:lang w:val="pl-PL"/>
        </w:rPr>
      </w:pPr>
    </w:p>
    <w:p w:rsidR="006B6A85" w:rsidRDefault="00243683">
      <w:pPr>
        <w:spacing w:before="120" w:after="120" w:line="240" w:lineRule="auto"/>
        <w:jc w:val="both"/>
        <w:rPr>
          <w:rFonts w:ascii="Times New Roman Bold" w:hAnsi="Times New Roman Bold"/>
          <w:b/>
          <w:smallCaps/>
          <w:noProof/>
          <w:sz w:val="26"/>
          <w:lang w:val="pl-PL"/>
        </w:rPr>
      </w:pPr>
      <w:r>
        <w:rPr>
          <w:rFonts w:ascii="Times New Roman Bold" w:hAnsi="Times New Roman Bold"/>
          <w:b/>
          <w:smallCaps/>
          <w:noProof/>
          <w:sz w:val="26"/>
          <w:lang w:val="pl-PL"/>
        </w:rPr>
        <w:t xml:space="preserve">5. Reformy państw członkowskich </w:t>
      </w:r>
    </w:p>
    <w:p w:rsidR="006B6A85" w:rsidRPr="00243683" w:rsidRDefault="006B6A85">
      <w:pPr>
        <w:spacing w:before="120" w:after="120" w:line="120" w:lineRule="auto"/>
        <w:jc w:val="both"/>
        <w:rPr>
          <w:rFonts w:ascii="Times New Roman" w:hAnsi="Times New Roman"/>
          <w:b/>
          <w:noProof/>
          <w:sz w:val="24"/>
          <w:szCs w:val="24"/>
          <w:lang w:val="pl-PL"/>
        </w:rPr>
      </w:pP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 xml:space="preserve">W </w:t>
      </w:r>
      <w:r>
        <w:rPr>
          <w:rFonts w:ascii="Times New Roman" w:hAnsi="Times New Roman"/>
          <w:b/>
          <w:noProof/>
          <w:sz w:val="24"/>
          <w:lang w:val="pl-PL"/>
        </w:rPr>
        <w:t>większości państw członkowskich odnotowano postępy we wdrażaniu reform</w:t>
      </w:r>
      <w:r>
        <w:rPr>
          <w:rFonts w:ascii="Times New Roman" w:hAnsi="Times New Roman"/>
          <w:noProof/>
          <w:sz w:val="24"/>
          <w:lang w:val="pl-PL"/>
        </w:rPr>
        <w:t xml:space="preserve">. Należy kontynuować te wysiłki i je nasilać, a w ten sposób przygotowywać gospodarki na przyszłe wstrząsy i zwiększać konkurencyjność. Siła i trwałość ożywienia gospodarczego zależy od </w:t>
      </w:r>
      <w:r>
        <w:rPr>
          <w:rFonts w:ascii="Times New Roman" w:hAnsi="Times New Roman"/>
          <w:noProof/>
          <w:sz w:val="24"/>
          <w:lang w:val="pl-PL"/>
        </w:rPr>
        <w:t>tempa i skuteczności przyjmowania i wdrażania reform. Dla ułatwienia reform można i należy wykorzystać fundusze unijne, zwłaszcza europejskie fundusze strukturalne i inwestycyjne. Mimo że w ubiegłorocznych zaleceniach dla poszczególnych krajów określone zo</w:t>
      </w:r>
      <w:r>
        <w:rPr>
          <w:rFonts w:ascii="Times New Roman" w:hAnsi="Times New Roman"/>
          <w:noProof/>
          <w:sz w:val="24"/>
          <w:lang w:val="pl-PL"/>
        </w:rPr>
        <w:t>stały najważniejsze tematy debat społeczno-gospodarczych w państwach członkowskich, w kilku sprawozdaniach krajowych zwrócono uwagę na nowe okoliczności, takie jak napływ migrantów i uchodźców.</w:t>
      </w:r>
    </w:p>
    <w:p w:rsidR="006B6A85" w:rsidRDefault="00243683">
      <w:pPr>
        <w:spacing w:before="120" w:after="120" w:line="240" w:lineRule="auto"/>
        <w:jc w:val="both"/>
        <w:rPr>
          <w:rFonts w:ascii="Times New Roman" w:hAnsi="Times New Roman" w:cs="Arial"/>
          <w:noProof/>
          <w:sz w:val="24"/>
          <w:szCs w:val="30"/>
          <w:lang w:val="pl-PL"/>
        </w:rPr>
      </w:pPr>
      <w:r>
        <w:rPr>
          <w:rFonts w:ascii="Times New Roman" w:hAnsi="Times New Roman"/>
          <w:b/>
          <w:noProof/>
          <w:sz w:val="24"/>
          <w:lang w:val="pl-PL"/>
        </w:rPr>
        <w:t>Dla powodzenia reform istotny jest ich aspekt jakościowy</w:t>
      </w:r>
      <w:r>
        <w:rPr>
          <w:rFonts w:ascii="Times New Roman" w:hAnsi="Times New Roman"/>
          <w:noProof/>
          <w:sz w:val="24"/>
          <w:lang w:val="pl-PL"/>
        </w:rPr>
        <w:t>. Efek</w:t>
      </w:r>
      <w:r>
        <w:rPr>
          <w:rFonts w:ascii="Times New Roman" w:hAnsi="Times New Roman"/>
          <w:noProof/>
          <w:sz w:val="24"/>
          <w:lang w:val="pl-PL"/>
        </w:rPr>
        <w:t xml:space="preserve">tywne przydzielanie zasobów dla najbardziej wydajnych przedsiębiorstw pozwoliłoby podnieść wydajność i stopę wzrostu. Zwiększyłoby tez inwestycje wydajniejszych przedsiębiorstw, wzmacniając długoterminowy potencjał wzrostu gospodarek państw członkowskich. </w:t>
      </w:r>
      <w:r>
        <w:rPr>
          <w:rFonts w:ascii="Times New Roman" w:hAnsi="Times New Roman"/>
          <w:noProof/>
          <w:sz w:val="24"/>
          <w:lang w:val="pl-PL"/>
        </w:rPr>
        <w:t>Potrzeba czasu, aby reformy na rynkach produktów, usług i pracy zaczęły przynosić rezultaty, ale sprzyjają one zmianie alokacji zasobów, stymulując inwestycje i modernizując bazę produkcyjną unijnej gospodarki.</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Reformy na poziomie poszczególnych państw czł</w:t>
      </w:r>
      <w:r>
        <w:rPr>
          <w:rFonts w:ascii="Times New Roman" w:hAnsi="Times New Roman"/>
          <w:b/>
          <w:noProof/>
          <w:sz w:val="24"/>
          <w:lang w:val="pl-PL"/>
        </w:rPr>
        <w:t xml:space="preserve">onkowskich są potrzebne w celu uzupełnienia reform wdrażanych w całej UE. </w:t>
      </w:r>
      <w:r>
        <w:rPr>
          <w:rFonts w:ascii="Times New Roman" w:hAnsi="Times New Roman"/>
          <w:noProof/>
          <w:sz w:val="24"/>
          <w:lang w:val="pl-PL"/>
        </w:rPr>
        <w:t>Na poziomie unijnym uzgodniono szereg reform w ramach realizowanej polityki oraz instrumentów jej realizacji, mających na celu stworzenie lepszego otoczenia biznesu oraz nacechowaneg</w:t>
      </w:r>
      <w:r>
        <w:rPr>
          <w:rFonts w:ascii="Times New Roman" w:hAnsi="Times New Roman"/>
          <w:noProof/>
          <w:sz w:val="24"/>
          <w:lang w:val="pl-PL"/>
        </w:rPr>
        <w:t>o większą pewnością i stabilnością otoczenia regulacyjnego, takich jak strategia na rzecz jednolitego rynku, jednolity rynek cyfrowy, unia energetyczna, unia rynków kapitałowych, pakiet dotyczący gospodarki o obiegu zamkniętym oraz program lepszego stanowi</w:t>
      </w:r>
      <w:r>
        <w:rPr>
          <w:rFonts w:ascii="Times New Roman" w:hAnsi="Times New Roman"/>
          <w:noProof/>
          <w:sz w:val="24"/>
          <w:lang w:val="pl-PL"/>
        </w:rPr>
        <w:t xml:space="preserve">enia prawa. Poniżej opisano postępy poczynione przez poszczególne państwa członkowskie w zakresie realizacji reform w obszarach określonych w ubiegłorocznych zaleceniach dla poszczególnych krajów. </w:t>
      </w:r>
    </w:p>
    <w:p w:rsidR="006B6A85" w:rsidRDefault="006B6A85">
      <w:pPr>
        <w:tabs>
          <w:tab w:val="left" w:pos="7621"/>
        </w:tabs>
        <w:spacing w:before="120" w:after="120" w:line="240" w:lineRule="auto"/>
        <w:jc w:val="both"/>
        <w:rPr>
          <w:rFonts w:ascii="Times New Roman" w:hAnsi="Times New Roman"/>
          <w:noProof/>
          <w:sz w:val="24"/>
          <w:szCs w:val="24"/>
          <w:lang w:val="pl-PL"/>
        </w:rPr>
      </w:pPr>
    </w:p>
    <w:p w:rsidR="006B6A85" w:rsidRDefault="00243683">
      <w:pPr>
        <w:spacing w:before="120" w:after="120" w:line="240" w:lineRule="auto"/>
        <w:jc w:val="both"/>
        <w:rPr>
          <w:rFonts w:ascii="Times New Roman" w:hAnsi="Times New Roman"/>
          <w:i/>
          <w:noProof/>
          <w:sz w:val="24"/>
          <w:szCs w:val="24"/>
          <w:lang w:val="pl-PL"/>
        </w:rPr>
      </w:pPr>
      <w:r>
        <w:rPr>
          <w:rFonts w:ascii="Times New Roman" w:hAnsi="Times New Roman"/>
          <w:b/>
          <w:i/>
          <w:noProof/>
          <w:sz w:val="24"/>
          <w:lang w:val="pl-PL"/>
        </w:rPr>
        <w:t>5.1</w:t>
      </w:r>
      <w:r>
        <w:rPr>
          <w:rFonts w:ascii="Times New Roman" w:hAnsi="Times New Roman"/>
          <w:b/>
          <w:i/>
          <w:noProof/>
          <w:sz w:val="24"/>
          <w:lang w:val="pl-PL"/>
        </w:rPr>
        <w:tab/>
        <w:t>Ożywienie inwestycji</w:t>
      </w:r>
      <w:r>
        <w:rPr>
          <w:rFonts w:ascii="Times New Roman" w:hAnsi="Times New Roman"/>
          <w:i/>
          <w:noProof/>
          <w:sz w:val="24"/>
          <w:lang w:val="pl-PL"/>
        </w:rPr>
        <w:t xml:space="preserve"> </w:t>
      </w:r>
    </w:p>
    <w:p w:rsidR="006B6A85" w:rsidRDefault="006B6A85">
      <w:pPr>
        <w:spacing w:before="120" w:after="120" w:line="240" w:lineRule="auto"/>
        <w:jc w:val="both"/>
        <w:rPr>
          <w:rFonts w:ascii="Times New Roman" w:hAnsi="Times New Roman"/>
          <w:noProof/>
          <w:sz w:val="24"/>
          <w:szCs w:val="24"/>
          <w:lang w:val="pl-PL"/>
        </w:rPr>
      </w:pP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lang w:val="pl-PL"/>
        </w:rPr>
      </w:pPr>
      <w:r>
        <w:rPr>
          <w:rFonts w:ascii="Times New Roman" w:hAnsi="Times New Roman"/>
          <w:b/>
          <w:noProof/>
          <w:color w:val="000000"/>
          <w:sz w:val="24"/>
          <w:lang w:val="pl-PL"/>
        </w:rPr>
        <w:t xml:space="preserve">Poprawa warunków inwestowania </w:t>
      </w:r>
      <w:r>
        <w:rPr>
          <w:rFonts w:ascii="Times New Roman" w:hAnsi="Times New Roman"/>
          <w:b/>
          <w:noProof/>
          <w:color w:val="000000"/>
          <w:sz w:val="24"/>
          <w:lang w:val="pl-PL"/>
        </w:rPr>
        <w:t>wymaga działań na różnych polach. Należy przyciągnąć więcej prywatnych środków na inwestycje w realną gospodarkę oraz zapewnić inwestycje publiczne wysokiej jakości.</w:t>
      </w:r>
      <w:r>
        <w:rPr>
          <w:rFonts w:ascii="Times New Roman" w:hAnsi="Times New Roman"/>
          <w:noProof/>
          <w:color w:val="000000"/>
          <w:sz w:val="24"/>
          <w:lang w:val="pl-PL"/>
        </w:rPr>
        <w:t xml:space="preserve"> Zgodnie z planem inwestycyjnym dla Europy inwestycje mogą w większym stopniu przyczyniać s</w:t>
      </w:r>
      <w:r>
        <w:rPr>
          <w:rFonts w:ascii="Times New Roman" w:hAnsi="Times New Roman"/>
          <w:noProof/>
          <w:color w:val="000000"/>
          <w:sz w:val="24"/>
          <w:lang w:val="pl-PL"/>
        </w:rPr>
        <w:t>ię do wzrostu i tworzenia miejsc pracy, dopiero gdy poprawi się sposób finansowania ryzyka, stworzy lepsze otoczenie dla inwestycji i opracuje lepiej skonstruowane i bardziej widoczne projekty inwestycyjne. Komisja wdrożyła już na szczeblu europejskim szer</w:t>
      </w:r>
      <w:r>
        <w:rPr>
          <w:rFonts w:ascii="Times New Roman" w:hAnsi="Times New Roman"/>
          <w:noProof/>
          <w:color w:val="000000"/>
          <w:sz w:val="24"/>
          <w:lang w:val="pl-PL"/>
        </w:rPr>
        <w:t>eg reform pobudzających inwestycje, takich jak wniosek w ramach projektu Wypłacalność II. Służby Komisji określiły też szczegółowo najważniejsze trudności związane z inwestycjami w każdym państwie członkowskim</w:t>
      </w:r>
      <w:r>
        <w:rPr>
          <w:rFonts w:ascii="Times New Roman" w:hAnsi="Times New Roman"/>
          <w:noProof/>
          <w:color w:val="000000"/>
          <w:sz w:val="24"/>
          <w:vertAlign w:val="superscript"/>
          <w:lang w:val="pl-PL"/>
        </w:rPr>
        <w:footnoteReference w:id="13"/>
      </w:r>
      <w:r>
        <w:rPr>
          <w:rFonts w:ascii="Times New Roman" w:hAnsi="Times New Roman"/>
          <w:noProof/>
          <w:color w:val="000000"/>
          <w:sz w:val="24"/>
          <w:lang w:val="pl-PL"/>
        </w:rPr>
        <w:t>. Dotyczą one utrudnień regulacyjnych i admini</w:t>
      </w:r>
      <w:r>
        <w:rPr>
          <w:rFonts w:ascii="Times New Roman" w:hAnsi="Times New Roman"/>
          <w:noProof/>
          <w:color w:val="000000"/>
          <w:sz w:val="24"/>
          <w:lang w:val="pl-PL"/>
        </w:rPr>
        <w:t>stracyjnych, zamówień publicznych, opodatkowania, systemów sądowych, dostępu do finansowania i ram prawnych dotyczących niewypłacalności, kształcenia i umiejętności oraz przepisów sektorowych. Komisja wskazała ponadto na konieczność udostępnienia większych</w:t>
      </w:r>
      <w:r>
        <w:rPr>
          <w:rFonts w:ascii="Times New Roman" w:hAnsi="Times New Roman"/>
          <w:noProof/>
          <w:color w:val="000000"/>
          <w:sz w:val="24"/>
          <w:lang w:val="pl-PL"/>
        </w:rPr>
        <w:t xml:space="preserve"> i bardziej zróżnicowanych źródeł finansowania, a także na konieczność rozszerzenia priorytetów poza obszar tradycyjnej infrastruktury, tak aby uwzględnić w nich kapitał ludzki i związane z nim inwestycje społeczne.</w:t>
      </w:r>
    </w:p>
    <w:p w:rsidR="006B6A85" w:rsidRPr="00243683" w:rsidRDefault="006B6A85">
      <w:pPr>
        <w:pBdr>
          <w:top w:val="nil"/>
          <w:left w:val="nil"/>
          <w:bottom w:val="nil"/>
          <w:right w:val="nil"/>
          <w:between w:val="nil"/>
          <w:bar w:val="nil"/>
        </w:pBdr>
        <w:spacing w:before="120" w:after="120" w:line="240" w:lineRule="auto"/>
        <w:jc w:val="both"/>
        <w:rPr>
          <w:rFonts w:ascii="Times New Roman" w:hAnsi="Times New Roman"/>
          <w:b/>
          <w:noProof/>
          <w:color w:val="000000"/>
          <w:sz w:val="24"/>
          <w:szCs w:val="24"/>
          <w:u w:color="000000"/>
          <w:bdr w:val="nil"/>
          <w:lang w:val="pl-PL" w:eastAsia="en-GB"/>
        </w:rPr>
      </w:pPr>
    </w:p>
    <w:p w:rsidR="006B6A85" w:rsidRDefault="00243683">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lang w:val="pl-PL"/>
        </w:rPr>
      </w:pPr>
      <w:r>
        <w:rPr>
          <w:rFonts w:ascii="Times New Roman" w:hAnsi="Times New Roman"/>
          <w:b/>
          <w:noProof/>
          <w:color w:val="000000"/>
          <w:sz w:val="24"/>
          <w:lang w:val="pl-PL"/>
        </w:rPr>
        <w:t>Inwestycje nie okazały się jak dotąd</w:t>
      </w:r>
      <w:r>
        <w:rPr>
          <w:rFonts w:ascii="Times New Roman" w:hAnsi="Times New Roman"/>
          <w:b/>
          <w:noProof/>
          <w:color w:val="000000"/>
          <w:sz w:val="24"/>
          <w:lang w:val="pl-PL"/>
        </w:rPr>
        <w:t xml:space="preserve"> silnym bodźcem dla ożywienia gospodarczego.</w:t>
      </w:r>
      <w:r>
        <w:rPr>
          <w:rFonts w:ascii="Times New Roman" w:hAnsi="Times New Roman"/>
          <w:b/>
          <w:noProof/>
          <w:color w:val="000000"/>
          <w:sz w:val="24"/>
          <w:vertAlign w:val="superscript"/>
          <w:lang w:val="pl-PL"/>
        </w:rPr>
        <w:footnoteReference w:id="14"/>
      </w:r>
      <w:r>
        <w:rPr>
          <w:rFonts w:ascii="Times New Roman" w:hAnsi="Times New Roman"/>
          <w:noProof/>
          <w:color w:val="000000"/>
          <w:sz w:val="24"/>
          <w:lang w:val="pl-PL"/>
        </w:rPr>
        <w:t xml:space="preserve"> Zachęca się państwa członkowskie do zapewniania warunków sprzyjających inwestycjom – przez eliminowanie wąskich gardeł, zapewnienie większej przewidywalności otoczenia regulacyjnego, wzmocnienie jednolitego ryn</w:t>
      </w:r>
      <w:r>
        <w:rPr>
          <w:rFonts w:ascii="Times New Roman" w:hAnsi="Times New Roman"/>
          <w:noProof/>
          <w:color w:val="000000"/>
          <w:sz w:val="24"/>
          <w:lang w:val="pl-PL"/>
        </w:rPr>
        <w:t>ku, określenie stabilnej procedury realizacji projektów oraz zapewnienie koordynacji i planowania na wszystkich poziomach administracji. W przypadku większości państw członkowskich negatywny wpływ kryzysu finansowego na inwestycje jest nadal odczuwalny, na</w:t>
      </w:r>
      <w:r>
        <w:rPr>
          <w:rFonts w:ascii="Times New Roman" w:hAnsi="Times New Roman"/>
          <w:noProof/>
          <w:color w:val="000000"/>
          <w:sz w:val="24"/>
          <w:lang w:val="pl-PL"/>
        </w:rPr>
        <w:t>tomiast w niektórych z nich nastąpiło przesunięcie względnej równowagi między inwestycjami publicznymi a inwestycjami osób fizycznych lub przedsiębiorstw. Irlandia jest przykładem państwa członkowskiego, w którym po szeroko zakrojonym i trudnym procesie do</w:t>
      </w:r>
      <w:r>
        <w:rPr>
          <w:rFonts w:ascii="Times New Roman" w:hAnsi="Times New Roman"/>
          <w:noProof/>
          <w:color w:val="000000"/>
          <w:sz w:val="24"/>
          <w:lang w:val="pl-PL"/>
        </w:rPr>
        <w:t>stosowania rozbudowane inwestycje sektora prywatnego odgrywają kluczową rolę w ożywieniu gospodarczym.</w:t>
      </w:r>
    </w:p>
    <w:p w:rsidR="006B6A85" w:rsidRDefault="00243683">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lang w:val="pl-PL"/>
        </w:rPr>
      </w:pPr>
      <w:r>
        <w:rPr>
          <w:rFonts w:ascii="Times New Roman" w:hAnsi="Times New Roman"/>
          <w:b/>
          <w:noProof/>
          <w:color w:val="000000"/>
          <w:sz w:val="24"/>
          <w:lang w:val="pl-PL"/>
        </w:rPr>
        <w:t xml:space="preserve">W wielu państwach członkowskich istotną rolę nadal odgrywają fundusze unijne. </w:t>
      </w:r>
      <w:r>
        <w:rPr>
          <w:rFonts w:ascii="Times New Roman" w:hAnsi="Times New Roman"/>
          <w:noProof/>
          <w:color w:val="000000"/>
          <w:sz w:val="24"/>
          <w:lang w:val="pl-PL"/>
        </w:rPr>
        <w:t xml:space="preserve">W Bułgarii, Republice Czeskiej, Estonii, Chorwacji, na Łotwie, Litwie, </w:t>
      </w:r>
      <w:r>
        <w:rPr>
          <w:rFonts w:ascii="Times New Roman" w:hAnsi="Times New Roman"/>
          <w:noProof/>
          <w:color w:val="000000"/>
          <w:sz w:val="24"/>
          <w:lang w:val="pl-PL"/>
        </w:rPr>
        <w:t>Węgrzech, Malcie, w Polsce, Portugalii, Rumunii, Słowenii i na Słowacji fundusze te mają znaczny udział w realizowanych inwestycjach. Komisja blisko współpracuje z państwami członkowskimi, aby poprawić sposób zarządzania tymi funduszami i ich inwestowania.</w:t>
      </w:r>
      <w:r>
        <w:rPr>
          <w:rFonts w:ascii="Times New Roman" w:hAnsi="Times New Roman"/>
          <w:noProof/>
          <w:color w:val="000000"/>
          <w:sz w:val="24"/>
          <w:lang w:val="pl-PL"/>
        </w:rPr>
        <w:t xml:space="preserve"> Wskaźniki absorpcji mogłyby zostać podwyższone, gdyby poprawiono zdolność administracyjną władz krajowych i regionalnych i gdyby zapewniono pomoc techniczną, przyczyniając się też w ten sposób do optymalnego połączenia poszczególnych funduszy UE.</w:t>
      </w:r>
    </w:p>
    <w:p w:rsidR="006B6A85" w:rsidRDefault="00243683">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lang w:val="pl-PL"/>
        </w:rPr>
      </w:pPr>
      <w:r>
        <w:rPr>
          <w:rFonts w:ascii="Times New Roman" w:hAnsi="Times New Roman"/>
          <w:b/>
          <w:noProof/>
          <w:color w:val="000000"/>
          <w:sz w:val="24"/>
          <w:lang w:val="pl-PL"/>
        </w:rPr>
        <w:t>W wielol</w:t>
      </w:r>
      <w:r>
        <w:rPr>
          <w:rFonts w:ascii="Times New Roman" w:hAnsi="Times New Roman"/>
          <w:b/>
          <w:noProof/>
          <w:color w:val="000000"/>
          <w:sz w:val="24"/>
          <w:lang w:val="pl-PL"/>
        </w:rPr>
        <w:t>etnich ramach finansowych na lata 2014–2020 europejskie fundusze strukturalne i inwestycyjne są ściśle powiązane z celami strategii „Europa 2020” oraz z wyzwaniami makroekonomicznymi określonymi w zaleceniach dla poszczególnych krajów.</w:t>
      </w:r>
      <w:r>
        <w:rPr>
          <w:rFonts w:ascii="Times New Roman" w:hAnsi="Times New Roman"/>
          <w:noProof/>
          <w:color w:val="000000"/>
          <w:sz w:val="24"/>
          <w:lang w:val="pl-PL"/>
        </w:rPr>
        <w:t xml:space="preserve"> Oprócz zapewnienia o</w:t>
      </w:r>
      <w:r>
        <w:rPr>
          <w:rFonts w:ascii="Times New Roman" w:hAnsi="Times New Roman"/>
          <w:noProof/>
          <w:color w:val="000000"/>
          <w:sz w:val="24"/>
          <w:lang w:val="pl-PL"/>
        </w:rPr>
        <w:t>dpowiedniej absorpcji środków należy dopilnować, aby fundusze unijne zostały jak najlepiej wykorzystane w celu sprostania wyzwaniom społeczno-gospodarczym, przed którymi stoją państwa członkowskie. Ze względu na opóźnienia w programowaniu części tych fundu</w:t>
      </w:r>
      <w:r>
        <w:rPr>
          <w:rFonts w:ascii="Times New Roman" w:hAnsi="Times New Roman"/>
          <w:noProof/>
          <w:color w:val="000000"/>
          <w:sz w:val="24"/>
          <w:lang w:val="pl-PL"/>
        </w:rPr>
        <w:t>szy należy zdwoić starania, tak aby możliwe było szybsze i sprawniejsze wypłacanie środków. Niektóre państwa członkowskie nie wypełniły jeszcze warunków wstępnych i jeśli tego nie zrobią, Komisja może wstrzymać płatności okresowe przeznaczone na realizację</w:t>
      </w:r>
      <w:r>
        <w:rPr>
          <w:rFonts w:ascii="Times New Roman" w:hAnsi="Times New Roman"/>
          <w:noProof/>
          <w:color w:val="000000"/>
          <w:sz w:val="24"/>
          <w:lang w:val="pl-PL"/>
        </w:rPr>
        <w:t xml:space="preserve"> priorytetów odnośnych programów. Finansowanie w ramach Europejskiego Funduszu na rzecz Inwestycji Strategicznych, inicjatywy „Horyzont 2020”, instrumentu „Łącząc Europę” (w tym ponad 4,1 mld EUR tylko na sektor transportu) oraz innych bezpośrednio zarządz</w:t>
      </w:r>
      <w:r>
        <w:rPr>
          <w:rFonts w:ascii="Times New Roman" w:hAnsi="Times New Roman"/>
          <w:noProof/>
          <w:color w:val="000000"/>
          <w:sz w:val="24"/>
          <w:lang w:val="pl-PL"/>
        </w:rPr>
        <w:t xml:space="preserve">anych funduszy UE będzie miało charakter dodatkowy wobec europejskich funduszy strukturalnych i inwestycyjnych, a wynikające stąd możliwości powinny być ze sobą jak najkorzystniej połączone. Z europejskich funduszy strukturalnych i inwestycyjnych w latach </w:t>
      </w:r>
      <w:r>
        <w:rPr>
          <w:rFonts w:ascii="Times New Roman" w:hAnsi="Times New Roman"/>
          <w:noProof/>
          <w:color w:val="000000"/>
          <w:sz w:val="24"/>
          <w:lang w:val="pl-PL"/>
        </w:rPr>
        <w:t xml:space="preserve">2014–2020 udostępnionych zostanie państwom członkowskim ponad 450 mld EUR na sfinansowanie inteligentnego wzrostu sprzyjającego włączeniu społecznemu, konkurencyjności i spójności. </w:t>
      </w:r>
    </w:p>
    <w:p w:rsidR="006B6A85" w:rsidRDefault="00243683">
      <w:pPr>
        <w:pBdr>
          <w:top w:val="nil"/>
          <w:left w:val="nil"/>
          <w:bottom w:val="nil"/>
          <w:right w:val="nil"/>
          <w:between w:val="nil"/>
          <w:bar w:val="nil"/>
        </w:pBdr>
        <w:spacing w:before="120" w:after="120" w:line="240" w:lineRule="auto"/>
        <w:jc w:val="both"/>
        <w:rPr>
          <w:rFonts w:ascii="Times New Roman" w:hAnsi="Times New Roman" w:cs="Calibri"/>
          <w:noProof/>
          <w:color w:val="000000"/>
          <w:sz w:val="24"/>
          <w:szCs w:val="24"/>
          <w:lang w:val="pl-PL"/>
        </w:rPr>
      </w:pPr>
      <w:r>
        <w:rPr>
          <w:rFonts w:ascii="Times New Roman" w:hAnsi="Times New Roman"/>
          <w:b/>
          <w:noProof/>
          <w:color w:val="000000"/>
          <w:sz w:val="24"/>
          <w:lang w:val="pl-PL"/>
        </w:rPr>
        <w:t>Pomimo pewnych postępów w niektórych kluczowych sektorach w wielu państwac</w:t>
      </w:r>
      <w:r>
        <w:rPr>
          <w:rFonts w:ascii="Times New Roman" w:hAnsi="Times New Roman"/>
          <w:b/>
          <w:noProof/>
          <w:color w:val="000000"/>
          <w:sz w:val="24"/>
          <w:lang w:val="pl-PL"/>
        </w:rPr>
        <w:t xml:space="preserve">h członkowskich wciąż istnieją bariery dla inwestycji. </w:t>
      </w:r>
      <w:r>
        <w:rPr>
          <w:rFonts w:ascii="Times New Roman" w:hAnsi="Times New Roman"/>
          <w:noProof/>
          <w:color w:val="000000"/>
          <w:sz w:val="24"/>
          <w:lang w:val="pl-PL"/>
        </w:rPr>
        <w:t>Są one szczególnie widoczne w sektorze usług, sektorach sieciowych i w budownictwie. Stosunkowo korzystne otoczenie biznesu w takich państwach członkowskich jak Estonia czy Zjednoczone Królestwo stanow</w:t>
      </w:r>
      <w:r>
        <w:rPr>
          <w:rFonts w:ascii="Times New Roman" w:hAnsi="Times New Roman"/>
          <w:noProof/>
          <w:color w:val="000000"/>
          <w:sz w:val="24"/>
          <w:lang w:val="pl-PL"/>
        </w:rPr>
        <w:t>i zachętę do inwestowania. W wielu państwach członkowskich istnieją jednak bariery dla inwestycji przejawiające się w obciążeniach administracyjnych, biurokracji, niewydajnej administracji publicznej, braku pewności prawa lub zmieniającym się ustawodawstwi</w:t>
      </w:r>
      <w:r>
        <w:rPr>
          <w:rFonts w:ascii="Times New Roman" w:hAnsi="Times New Roman"/>
          <w:noProof/>
          <w:color w:val="000000"/>
          <w:sz w:val="24"/>
          <w:lang w:val="pl-PL"/>
        </w:rPr>
        <w:t>e oraz braku przejrzystości utrudniającym walkę z korupcją. W kilku państwach członkowskich stwierdzono istnienie uciążliwych lub długotrwałych procedur dotyczących projektów o dużej skali. Mogą one stanowić barierę dla wchodzenia na rynek lub zakładania d</w:t>
      </w:r>
      <w:r>
        <w:rPr>
          <w:rFonts w:ascii="Times New Roman" w:hAnsi="Times New Roman"/>
          <w:noProof/>
          <w:color w:val="000000"/>
          <w:sz w:val="24"/>
          <w:lang w:val="pl-PL"/>
        </w:rPr>
        <w:t>ziałalności, na przykład w sektorze detalicznym i w usługach świadczonych w ramach wolnych zawodów. Utrudniony dostęp do finansowania również hamuje inwestycje w niektórych państwach członkowskich.</w:t>
      </w:r>
    </w:p>
    <w:p w:rsidR="00243683" w:rsidRDefault="00243683">
      <w:pPr>
        <w:pBdr>
          <w:top w:val="nil"/>
          <w:left w:val="nil"/>
          <w:bottom w:val="nil"/>
          <w:right w:val="nil"/>
          <w:between w:val="nil"/>
          <w:bar w:val="nil"/>
        </w:pBdr>
        <w:spacing w:before="120" w:after="120" w:line="240" w:lineRule="auto"/>
        <w:jc w:val="both"/>
        <w:rPr>
          <w:rFonts w:ascii="Times New Roman" w:hAnsi="Times New Roman"/>
          <w:i/>
          <w:noProof/>
          <w:color w:val="000000"/>
          <w:sz w:val="24"/>
          <w:lang w:val="pl-PL"/>
        </w:rPr>
      </w:pP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i/>
          <w:noProof/>
          <w:color w:val="000000"/>
          <w:sz w:val="24"/>
          <w:szCs w:val="24"/>
          <w:lang w:val="pl-PL"/>
        </w:rPr>
      </w:pPr>
      <w:r>
        <w:rPr>
          <w:rFonts w:ascii="Times New Roman" w:hAnsi="Times New Roman"/>
          <w:i/>
          <w:noProof/>
          <w:color w:val="000000"/>
          <w:sz w:val="24"/>
          <w:lang w:val="pl-PL"/>
        </w:rPr>
        <w:t>Przywrócenie kredytowania realnej gospodarki</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Sektor fin</w:t>
      </w:r>
      <w:r>
        <w:rPr>
          <w:rFonts w:ascii="Times New Roman" w:hAnsi="Times New Roman"/>
          <w:b/>
          <w:noProof/>
          <w:color w:val="000000"/>
          <w:sz w:val="24"/>
          <w:lang w:val="pl-PL"/>
        </w:rPr>
        <w:t xml:space="preserve">ansowy w dalszym ciągu uelastycznia warunki udzielania kredytów. </w:t>
      </w:r>
      <w:r>
        <w:rPr>
          <w:rFonts w:ascii="Times New Roman" w:hAnsi="Times New Roman"/>
          <w:noProof/>
          <w:color w:val="000000"/>
          <w:sz w:val="24"/>
          <w:lang w:val="pl-PL"/>
        </w:rPr>
        <w:t>Pomimo obniżonego wzrostu akcji kredytowej w krajach objętych procesem oddłużenia w obszarze podaży kredytów zachodzą korzystne zmiany. Zgodnie z ankietą Europejskiego Banku Centralnego ze st</w:t>
      </w:r>
      <w:r>
        <w:rPr>
          <w:rFonts w:ascii="Times New Roman" w:hAnsi="Times New Roman"/>
          <w:noProof/>
          <w:color w:val="000000"/>
          <w:sz w:val="24"/>
          <w:lang w:val="pl-PL"/>
        </w:rPr>
        <w:t>ycznia 2016 r. dotyczącą działalności kredytowej</w:t>
      </w:r>
      <w:r>
        <w:rPr>
          <w:rFonts w:ascii="Times New Roman" w:hAnsi="Times New Roman"/>
          <w:noProof/>
          <w:color w:val="000000"/>
          <w:sz w:val="24"/>
          <w:vertAlign w:val="superscript"/>
          <w:lang w:val="pl-PL"/>
        </w:rPr>
        <w:footnoteReference w:id="15"/>
      </w:r>
      <w:r>
        <w:rPr>
          <w:rFonts w:ascii="Times New Roman" w:hAnsi="Times New Roman"/>
          <w:noProof/>
          <w:color w:val="000000"/>
          <w:sz w:val="24"/>
          <w:lang w:val="pl-PL"/>
        </w:rPr>
        <w:t xml:space="preserve"> banki zgłosiły dalsze złagodzenie netto mierników zdolności kredytowej w przypadku pożyczek dla przedsiębiorstw oraz dla gospodarstw domowych na zakup domu, a także w przypadku kredytów konsumenckich. W odniesieniu do pożyczek dla przedsiębiorstw głównym </w:t>
      </w:r>
      <w:r>
        <w:rPr>
          <w:rFonts w:ascii="Times New Roman" w:hAnsi="Times New Roman"/>
          <w:noProof/>
          <w:color w:val="000000"/>
          <w:sz w:val="24"/>
          <w:lang w:val="pl-PL"/>
        </w:rPr>
        <w:t>powodem łagodzenia tych mierników przez banki jest w dalszym ciągu konkurencja. Banki stopniowo łagodzą warunki udzielania nowych pożyczek we wszystkich kategoriach, zwłaszcza w odniesieniu do przedsiębiorstw. Postępy poczynione we wzmacnianiu banków sprzy</w:t>
      </w:r>
      <w:r>
        <w:rPr>
          <w:rFonts w:ascii="Times New Roman" w:hAnsi="Times New Roman"/>
          <w:noProof/>
          <w:color w:val="000000"/>
          <w:sz w:val="24"/>
          <w:lang w:val="pl-PL"/>
        </w:rPr>
        <w:t>jają też uelastycznieniu warunków kredytowania.</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Osiągnięto pewien postęp, jeśli chodzi o poprawę dostępu do finansowania.</w:t>
      </w:r>
      <w:r>
        <w:rPr>
          <w:rFonts w:ascii="Times New Roman" w:hAnsi="Times New Roman"/>
          <w:noProof/>
          <w:color w:val="000000"/>
          <w:sz w:val="24"/>
          <w:lang w:val="pl-PL"/>
        </w:rPr>
        <w:t xml:space="preserve"> Kilka państw członkowskich wprowadziło lub przyspieszyło inicjatywy mające na celu poprawę dostępu do finansowania. Węgry uruchomiły p</w:t>
      </w:r>
      <w:r>
        <w:rPr>
          <w:rFonts w:ascii="Times New Roman" w:hAnsi="Times New Roman"/>
          <w:noProof/>
          <w:color w:val="000000"/>
          <w:sz w:val="24"/>
          <w:lang w:val="pl-PL"/>
        </w:rPr>
        <w:t>rogram finansowania na rzecz wzrostu. Przygotowywanych jest też kilka inicjatyw mających poprawić dostęp do finansowania dla małych i średnich przedsiębiorstw, w szczególności dzięki wykorzystaniu środków unijnych. Na przykład Portugalia udostępniła środki</w:t>
      </w:r>
      <w:r>
        <w:rPr>
          <w:rFonts w:ascii="Times New Roman" w:hAnsi="Times New Roman"/>
          <w:noProof/>
          <w:color w:val="000000"/>
          <w:sz w:val="24"/>
          <w:lang w:val="pl-PL"/>
        </w:rPr>
        <w:t xml:space="preserve"> na inwestycje w kapitał własny i kapitał wysokiego ryzyka za pośrednictwem europejskich funduszy strukturalnych i funduszy krajowych. Na Malcie łączy się środki lokalne i unijne, aby móc udzielać MŚP ulg podatkowych, dotacji i gwarancji finansowych. </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W wi</w:t>
      </w:r>
      <w:r>
        <w:rPr>
          <w:rFonts w:ascii="Times New Roman" w:hAnsi="Times New Roman"/>
          <w:b/>
          <w:noProof/>
          <w:color w:val="000000"/>
          <w:sz w:val="24"/>
          <w:lang w:val="pl-PL"/>
        </w:rPr>
        <w:t xml:space="preserve">elu państwach członkowskich poprawiono ramy prawne dotyczące niewypłacalności. </w:t>
      </w:r>
      <w:r>
        <w:rPr>
          <w:rFonts w:ascii="Times New Roman" w:hAnsi="Times New Roman"/>
          <w:noProof/>
          <w:color w:val="000000"/>
          <w:sz w:val="24"/>
          <w:lang w:val="pl-PL"/>
        </w:rPr>
        <w:t>Chorwacja zweryfikowała przepisy dotyczące niewypłacalności przedsiębiorstw i osób fizycznych. Irlandia wprowadziła zmiany w tych przepisach, tak aby zwiększyć wykorzystanie pro</w:t>
      </w:r>
      <w:r>
        <w:rPr>
          <w:rFonts w:ascii="Times New Roman" w:hAnsi="Times New Roman"/>
          <w:noProof/>
          <w:color w:val="000000"/>
          <w:sz w:val="24"/>
          <w:lang w:val="pl-PL"/>
        </w:rPr>
        <w:t>gramów dotyczących niewypłacalności i upadłości osób fizycznych. Hiszpania wprowadziła nowe przepisy dotyczące niewypłacalności osób fizycznych, a ponadto uelastyczniła postępowania upadłościowe przedsiębiorstw i postępowania pozasądowe.</w:t>
      </w:r>
    </w:p>
    <w:p w:rsidR="006B6A85" w:rsidRDefault="006B6A85">
      <w:pPr>
        <w:spacing w:before="120" w:after="120" w:line="240" w:lineRule="auto"/>
        <w:jc w:val="both"/>
        <w:rPr>
          <w:rFonts w:ascii="Times New Roman" w:eastAsia="Times New Roman" w:hAnsi="Times New Roman"/>
          <w:noProof/>
          <w:sz w:val="24"/>
          <w:szCs w:val="24"/>
          <w:lang w:val="pl-PL"/>
        </w:rPr>
      </w:pPr>
    </w:p>
    <w:p w:rsidR="006B6A85" w:rsidRDefault="00243683">
      <w:pPr>
        <w:spacing w:before="120" w:after="120" w:line="240" w:lineRule="auto"/>
        <w:jc w:val="both"/>
        <w:rPr>
          <w:rFonts w:ascii="Times New Roman" w:eastAsia="Times New Roman" w:hAnsi="Times New Roman"/>
          <w:i/>
          <w:noProof/>
          <w:sz w:val="24"/>
          <w:szCs w:val="24"/>
          <w:lang w:val="pl-PL"/>
        </w:rPr>
      </w:pPr>
      <w:r>
        <w:rPr>
          <w:rFonts w:ascii="Times New Roman" w:hAnsi="Times New Roman"/>
          <w:b/>
          <w:i/>
          <w:noProof/>
          <w:sz w:val="24"/>
          <w:lang w:val="pl-PL"/>
        </w:rPr>
        <w:t>5.2</w:t>
      </w:r>
      <w:r>
        <w:rPr>
          <w:rFonts w:ascii="Times New Roman" w:hAnsi="Times New Roman"/>
          <w:b/>
          <w:i/>
          <w:noProof/>
          <w:sz w:val="24"/>
          <w:lang w:val="pl-PL"/>
        </w:rPr>
        <w:tab/>
        <w:t>Realizacja re</w:t>
      </w:r>
      <w:r>
        <w:rPr>
          <w:rFonts w:ascii="Times New Roman" w:hAnsi="Times New Roman"/>
          <w:b/>
          <w:i/>
          <w:noProof/>
          <w:sz w:val="24"/>
          <w:lang w:val="pl-PL"/>
        </w:rPr>
        <w:t>form strukturalnych służących modernizacji gospodarki</w:t>
      </w:r>
    </w:p>
    <w:p w:rsidR="006B6A85" w:rsidRPr="00243683" w:rsidRDefault="006B6A85">
      <w:pPr>
        <w:spacing w:before="120" w:after="120" w:line="120" w:lineRule="auto"/>
        <w:jc w:val="both"/>
        <w:rPr>
          <w:rFonts w:ascii="Times New Roman" w:hAnsi="Times New Roman"/>
          <w:noProof/>
          <w:sz w:val="24"/>
          <w:szCs w:val="24"/>
          <w:lang w:val="pl-PL"/>
        </w:rPr>
      </w:pPr>
    </w:p>
    <w:p w:rsidR="006B6A85" w:rsidRDefault="00243683">
      <w:pPr>
        <w:pBdr>
          <w:top w:val="nil"/>
          <w:left w:val="nil"/>
          <w:bottom w:val="nil"/>
          <w:right w:val="nil"/>
          <w:between w:val="nil"/>
          <w:bar w:val="nil"/>
        </w:pBdr>
        <w:spacing w:before="120" w:after="120" w:line="240" w:lineRule="auto"/>
        <w:jc w:val="both"/>
        <w:rPr>
          <w:rFonts w:ascii="Times New Roman" w:hAnsi="Times New Roman" w:cs="Calibri"/>
          <w:bCs/>
          <w:noProof/>
          <w:color w:val="000000"/>
          <w:sz w:val="24"/>
          <w:szCs w:val="24"/>
          <w:lang w:val="pl-PL"/>
        </w:rPr>
      </w:pPr>
      <w:r>
        <w:rPr>
          <w:rFonts w:ascii="Times New Roman" w:hAnsi="Times New Roman"/>
          <w:noProof/>
          <w:color w:val="000000"/>
          <w:sz w:val="24"/>
          <w:lang w:val="pl-PL"/>
        </w:rPr>
        <w:t>W rocznej analizie wzrostu gospodarczego na 2016 r. Komisja położyła nacisk na skuteczną koordynację między państwami członkowskimi, której celami są: większa wydajność i pozytywna konwergencja; koniec</w:t>
      </w:r>
      <w:r>
        <w:rPr>
          <w:rFonts w:ascii="Times New Roman" w:hAnsi="Times New Roman"/>
          <w:noProof/>
          <w:color w:val="000000"/>
          <w:sz w:val="24"/>
          <w:lang w:val="pl-PL"/>
        </w:rPr>
        <w:t>zność zrównoważenia elastyczności i bezpieczeństwa w polityce rynku pracy oraz konieczność stworzenia bardziej zintegrowanych i konkurencyjnych rynków produktów i usług.</w:t>
      </w:r>
    </w:p>
    <w:p w:rsidR="006B6A85" w:rsidRDefault="006B6A85">
      <w:pPr>
        <w:pBdr>
          <w:top w:val="nil"/>
          <w:left w:val="nil"/>
          <w:bottom w:val="nil"/>
          <w:right w:val="nil"/>
          <w:between w:val="nil"/>
          <w:bar w:val="nil"/>
        </w:pBdr>
        <w:spacing w:before="120" w:after="120" w:line="240" w:lineRule="auto"/>
        <w:rPr>
          <w:rFonts w:ascii="Times New Roman" w:hAnsi="Times New Roman" w:cs="Calibri"/>
          <w:bCs/>
          <w:i/>
          <w:noProof/>
          <w:color w:val="000000"/>
          <w:sz w:val="24"/>
          <w:szCs w:val="24"/>
          <w:lang w:val="pl-PL"/>
        </w:rPr>
      </w:pPr>
    </w:p>
    <w:p w:rsidR="006B6A85" w:rsidRDefault="00243683">
      <w:pPr>
        <w:pBdr>
          <w:top w:val="nil"/>
          <w:left w:val="nil"/>
          <w:bottom w:val="nil"/>
          <w:right w:val="nil"/>
          <w:between w:val="nil"/>
          <w:bar w:val="nil"/>
        </w:pBdr>
        <w:spacing w:before="120" w:after="120" w:line="240" w:lineRule="auto"/>
        <w:rPr>
          <w:rFonts w:ascii="Times New Roman" w:eastAsia="Times New Roman" w:hAnsi="Times New Roman"/>
          <w:i/>
          <w:noProof/>
          <w:color w:val="000000"/>
          <w:sz w:val="24"/>
          <w:szCs w:val="24"/>
          <w:lang w:val="pl-PL"/>
        </w:rPr>
      </w:pPr>
      <w:r>
        <w:rPr>
          <w:rFonts w:ascii="Times New Roman" w:hAnsi="Times New Roman"/>
          <w:i/>
          <w:noProof/>
          <w:color w:val="000000"/>
          <w:sz w:val="24"/>
          <w:lang w:val="pl-PL"/>
        </w:rPr>
        <w:t xml:space="preserve">Polityka zatrudnienia i polityka społeczna </w:t>
      </w:r>
    </w:p>
    <w:p w:rsidR="006B6A85" w:rsidRDefault="00243683">
      <w:pPr>
        <w:pBdr>
          <w:top w:val="nil"/>
          <w:left w:val="nil"/>
          <w:bottom w:val="nil"/>
          <w:right w:val="nil"/>
          <w:between w:val="nil"/>
          <w:bar w:val="nil"/>
        </w:pBdr>
        <w:spacing w:before="120" w:after="120" w:line="240" w:lineRule="auto"/>
        <w:jc w:val="both"/>
        <w:rPr>
          <w:rFonts w:cs="Calibri"/>
          <w:noProof/>
          <w:color w:val="000000"/>
          <w:lang w:val="pl-PL"/>
        </w:rPr>
      </w:pPr>
      <w:r>
        <w:rPr>
          <w:rFonts w:ascii="Times New Roman" w:hAnsi="Times New Roman"/>
          <w:b/>
          <w:noProof/>
          <w:color w:val="000000"/>
          <w:sz w:val="24"/>
          <w:lang w:val="pl-PL"/>
        </w:rPr>
        <w:t xml:space="preserve">Poziom zatrudnienia obecnie rośnie, tak w UE, jak i w strefie euro. </w:t>
      </w:r>
      <w:r>
        <w:rPr>
          <w:rFonts w:ascii="Times New Roman" w:hAnsi="Times New Roman"/>
          <w:noProof/>
          <w:color w:val="000000"/>
          <w:sz w:val="24"/>
          <w:lang w:val="pl-PL"/>
        </w:rPr>
        <w:t>Bezrobocie, w tym bezrobocie osób młodych, spada. Tymczasem bezrobocie długotrwałe nadal rosło w 2015 r. w porównaniu z 2014 r., mimo że w ciągu całego roku zaobserwowano jego stopniowy sp</w:t>
      </w:r>
      <w:r>
        <w:rPr>
          <w:rFonts w:ascii="Times New Roman" w:hAnsi="Times New Roman"/>
          <w:noProof/>
          <w:color w:val="000000"/>
          <w:sz w:val="24"/>
          <w:lang w:val="pl-PL"/>
        </w:rPr>
        <w:t>adek. Bezrobocie długotrwałe dotyka 10,5 mln osób i stanowi 48 % całego bezrobocia. Bezrobocie osób młodych wynosi 20 %, co oznacza, że problem ten dotyka 4,5 mln z nich. W niektórych państwach członkowskich wiele młodych osób opuszcza kraj. W Grecji, Hisz</w:t>
      </w:r>
      <w:r>
        <w:rPr>
          <w:rFonts w:ascii="Times New Roman" w:hAnsi="Times New Roman"/>
          <w:noProof/>
          <w:color w:val="000000"/>
          <w:sz w:val="24"/>
          <w:lang w:val="pl-PL"/>
        </w:rPr>
        <w:t>panii, Chorwacji i Włoszech bezrobocie w tej grupie wynosi około 40 % lub więcej. Ponadto w wielu państwach członkowskich występuje wysoki odsetek młodych osób, które nie pracują, nie uczą się ani nie szkolą, np. w Bułgarii i we Włoszech wynosi on ponad 20</w:t>
      </w:r>
      <w:r>
        <w:rPr>
          <w:rFonts w:ascii="Times New Roman" w:hAnsi="Times New Roman"/>
          <w:noProof/>
          <w:color w:val="000000"/>
          <w:sz w:val="24"/>
          <w:lang w:val="pl-PL"/>
        </w:rPr>
        <w:t xml:space="preserve"> %.</w:t>
      </w:r>
    </w:p>
    <w:p w:rsidR="006B6A85" w:rsidRDefault="006B6A85">
      <w:pPr>
        <w:pBdr>
          <w:top w:val="nil"/>
          <w:left w:val="nil"/>
          <w:bottom w:val="nil"/>
          <w:right w:val="nil"/>
          <w:between w:val="nil"/>
          <w:bar w:val="nil"/>
        </w:pBdr>
        <w:spacing w:before="120" w:after="120" w:line="240" w:lineRule="auto"/>
        <w:jc w:val="both"/>
        <w:rPr>
          <w:rFonts w:ascii="Times New Roman" w:hAnsi="Times New Roman"/>
          <w:b/>
          <w:noProof/>
          <w:color w:val="000000"/>
          <w:sz w:val="24"/>
          <w:lang w:val="pl-PL"/>
        </w:rPr>
      </w:pPr>
    </w:p>
    <w:p w:rsidR="006B6A85" w:rsidRDefault="006B6A85">
      <w:pPr>
        <w:pBdr>
          <w:top w:val="nil"/>
          <w:left w:val="nil"/>
          <w:bottom w:val="nil"/>
          <w:right w:val="nil"/>
          <w:between w:val="nil"/>
          <w:bar w:val="nil"/>
        </w:pBdr>
        <w:spacing w:before="120" w:after="120" w:line="240" w:lineRule="auto"/>
        <w:jc w:val="both"/>
        <w:rPr>
          <w:rFonts w:ascii="Times New Roman" w:hAnsi="Times New Roman"/>
          <w:b/>
          <w:noProof/>
          <w:color w:val="000000"/>
          <w:sz w:val="24"/>
          <w:lang w:val="pl-PL"/>
        </w:rPr>
      </w:pP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lang w:val="pl-PL"/>
        </w:rPr>
      </w:pPr>
      <w:r>
        <w:rPr>
          <w:rFonts w:ascii="Times New Roman" w:hAnsi="Times New Roman"/>
          <w:b/>
          <w:noProof/>
          <w:color w:val="000000"/>
          <w:sz w:val="24"/>
          <w:lang w:val="pl-PL"/>
        </w:rPr>
        <w:t>Dla zwiększenia konkurencyjności UE wciąż ważne jest, aby w perspektywie średniookresowej realne płace stale rosły w tym samym tempie co wydajność.</w:t>
      </w:r>
      <w:r>
        <w:rPr>
          <w:rFonts w:ascii="Times New Roman" w:hAnsi="Times New Roman"/>
          <w:noProof/>
          <w:color w:val="000000"/>
          <w:sz w:val="24"/>
          <w:lang w:val="pl-PL"/>
        </w:rPr>
        <w:t xml:space="preserve"> Wiele państw podjęło wysiłki, aby zwiększyć elastyczność swoich rynków pracy i ułatwić rozwój przedsię</w:t>
      </w:r>
      <w:r>
        <w:rPr>
          <w:rFonts w:ascii="Times New Roman" w:hAnsi="Times New Roman"/>
          <w:noProof/>
          <w:color w:val="000000"/>
          <w:sz w:val="24"/>
          <w:lang w:val="pl-PL"/>
        </w:rPr>
        <w:t xml:space="preserve">biorstw. Obejmowały one usunięcie pewnych progów dla przedsiębiorstw oraz zwiększenie przewidywalności wyniku sporów zbiorowych, co może ułatwić zatrudnianie nowych pracowników przez przedsiębiorstwa. Mimo że w UE ewolucja płac jest zasadniczo dostosowana </w:t>
      </w:r>
      <w:r>
        <w:rPr>
          <w:rFonts w:ascii="Times New Roman" w:hAnsi="Times New Roman"/>
          <w:noProof/>
          <w:color w:val="000000"/>
          <w:sz w:val="24"/>
          <w:lang w:val="pl-PL"/>
        </w:rPr>
        <w:t>do poziomu wydajności, w kilku państwach członkowskich postępy w tym zakresie są niewielkie. Zgodnie z zaleceniami dla poszczególnych krajów na 2015 r. zawarto międzysektorowe umowy o ograniczeniu wzrostu płac (w Finlandii na lata 2014–2015 i w Hiszpanii n</w:t>
      </w:r>
      <w:r>
        <w:rPr>
          <w:rFonts w:ascii="Times New Roman" w:hAnsi="Times New Roman"/>
          <w:noProof/>
          <w:color w:val="000000"/>
          <w:sz w:val="24"/>
          <w:lang w:val="pl-PL"/>
        </w:rPr>
        <w:t>a lata 2015–2017). W Irlandii wprowadzono nowe mechanizmy ustalania płacy minimalnej, a w Niemczech wprowadzono ogólnokrajową obowiązkową płacę minimalną.</w:t>
      </w:r>
    </w:p>
    <w:p w:rsidR="006B6A85" w:rsidRDefault="00243683">
      <w:pPr>
        <w:shd w:val="clear" w:color="auto" w:fill="FFFFFF"/>
        <w:spacing w:before="120" w:after="120" w:line="240" w:lineRule="auto"/>
        <w:jc w:val="both"/>
        <w:rPr>
          <w:rFonts w:ascii="Times New Roman" w:hAnsi="Times New Roman"/>
          <w:noProof/>
          <w:sz w:val="24"/>
          <w:lang w:val="pl-PL"/>
        </w:rPr>
      </w:pPr>
      <w:r>
        <w:rPr>
          <w:rFonts w:ascii="Times New Roman" w:hAnsi="Times New Roman"/>
          <w:b/>
          <w:noProof/>
          <w:sz w:val="24"/>
          <w:lang w:val="pl-PL"/>
        </w:rPr>
        <w:t xml:space="preserve">Potrzebne są dalsze wysiłki, aby rozwiązać problem segmentacji rynków pracy. </w:t>
      </w:r>
      <w:r>
        <w:rPr>
          <w:rFonts w:ascii="Times New Roman" w:hAnsi="Times New Roman"/>
          <w:noProof/>
          <w:sz w:val="24"/>
          <w:lang w:val="pl-PL"/>
        </w:rPr>
        <w:t>Zmniejszenie luki regula</w:t>
      </w:r>
      <w:r>
        <w:rPr>
          <w:rFonts w:ascii="Times New Roman" w:hAnsi="Times New Roman"/>
          <w:noProof/>
          <w:sz w:val="24"/>
          <w:lang w:val="pl-PL"/>
        </w:rPr>
        <w:t>cyjnej między umowami na czas nieokreślony a umowami</w:t>
      </w:r>
    </w:p>
    <w:p w:rsidR="006B6A85" w:rsidRDefault="006B6A85">
      <w:pPr>
        <w:shd w:val="clear" w:color="auto" w:fill="FFFFFF"/>
        <w:spacing w:before="120" w:after="120" w:line="240" w:lineRule="auto"/>
        <w:jc w:val="both"/>
        <w:rPr>
          <w:rFonts w:ascii="Times New Roman" w:hAnsi="Times New Roman"/>
          <w:noProof/>
          <w:sz w:val="24"/>
          <w:lang w:val="pl-PL"/>
        </w:rPr>
      </w:pPr>
    </w:p>
    <w:p w:rsidR="006B6A85" w:rsidRDefault="00243683">
      <w:pPr>
        <w:shd w:val="clear" w:color="auto" w:fill="FFFFFF"/>
        <w:spacing w:before="120" w:after="120" w:line="240" w:lineRule="auto"/>
        <w:jc w:val="both"/>
        <w:rPr>
          <w:rFonts w:ascii="Times New Roman" w:eastAsia="Times New Roman" w:hAnsi="Times New Roman"/>
          <w:noProof/>
          <w:sz w:val="24"/>
          <w:szCs w:val="24"/>
          <w:lang w:val="pl-PL"/>
        </w:rPr>
      </w:pPr>
      <w:r>
        <w:rPr>
          <w:rFonts w:ascii="Times New Roman" w:hAnsi="Times New Roman"/>
          <w:noProof/>
          <w:sz w:val="24"/>
          <w:lang w:val="pl-PL"/>
        </w:rPr>
        <w:t>niestandardowymi może sprzyjać przechodzeniu na umowy na czas nieokreślony i wspierać tworzenie stabilnego zatrudnienia, zachęcając pracodawców i pracowników do inwestowania w umiejętności i uczenie się</w:t>
      </w:r>
      <w:r>
        <w:rPr>
          <w:rFonts w:ascii="Times New Roman" w:hAnsi="Times New Roman"/>
          <w:noProof/>
          <w:sz w:val="24"/>
          <w:lang w:val="pl-PL"/>
        </w:rPr>
        <w:t xml:space="preserve"> przez całe życie. Stosowne reformy kontynuowano w 2015 r. zgodnie z zaleceniami dla poszczególnych krajów, szczególnie tych, które borykają się ze znacznym rozwarstwieniem na rynku pracy, takich jak Włochy czy Polska. W ramach kompleksowej reformy rynku p</w:t>
      </w:r>
      <w:r>
        <w:rPr>
          <w:rFonts w:ascii="Times New Roman" w:hAnsi="Times New Roman"/>
          <w:noProof/>
          <w:sz w:val="24"/>
          <w:lang w:val="pl-PL"/>
        </w:rPr>
        <w:t>racy Włochy dokonały uproszczenia ustaleń umownych i procedur prawa pracy, a także ograniczyły zakres ponownego zatrudnienia w wyniku niesprawiedliwego zwolnienia.</w:t>
      </w:r>
    </w:p>
    <w:p w:rsidR="006B6A85" w:rsidRDefault="00243683">
      <w:pPr>
        <w:shd w:val="clear" w:color="auto" w:fill="FFFFFF"/>
        <w:spacing w:before="120" w:after="120"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Gwarancja dla młodzieży, realizowana już trzeci rok, przynosi oczekiwane rezultaty.</w:t>
      </w:r>
      <w:r>
        <w:rPr>
          <w:rFonts w:ascii="Times New Roman" w:hAnsi="Times New Roman"/>
          <w:noProof/>
          <w:sz w:val="24"/>
          <w:lang w:val="pl-PL"/>
        </w:rPr>
        <w:t xml:space="preserve"> </w:t>
      </w:r>
      <w:r>
        <w:rPr>
          <w:noProof/>
          <w:lang w:val="pl-PL"/>
        </w:rPr>
        <w:br/>
      </w:r>
      <w:r>
        <w:rPr>
          <w:rFonts w:ascii="Times New Roman" w:hAnsi="Times New Roman"/>
          <w:noProof/>
          <w:sz w:val="24"/>
          <w:lang w:val="pl-PL"/>
        </w:rPr>
        <w:t>Sytuacj</w:t>
      </w:r>
      <w:r>
        <w:rPr>
          <w:rFonts w:ascii="Times New Roman" w:hAnsi="Times New Roman"/>
          <w:noProof/>
          <w:sz w:val="24"/>
          <w:lang w:val="pl-PL"/>
        </w:rPr>
        <w:t>a młodych ludzi w UE poprawia się, a wysiłki na rzecz sprawniejszego przechodzenia ze szkoły do pracy zostały zdwojone, m.in. poprzez wczesną aktywizację i działania skierowane do osób niepracujących, nieuczących się i nieszkolących. Do najważniejszych rez</w:t>
      </w:r>
      <w:r>
        <w:rPr>
          <w:rFonts w:ascii="Times New Roman" w:hAnsi="Times New Roman"/>
          <w:noProof/>
          <w:sz w:val="24"/>
          <w:lang w:val="pl-PL"/>
        </w:rPr>
        <w:t>ultatów należą: lepsze działania informacyjne, lepiej dostosowane do potrzeb młodych ludzi wsparcie ze strony publicznych służb zatrudnienia, ulepszony kształt aktywnych instrumentów rynku pracy dla młodych oraz większe skupienie na wysokiej jakości stażac</w:t>
      </w:r>
      <w:r>
        <w:rPr>
          <w:rFonts w:ascii="Times New Roman" w:hAnsi="Times New Roman"/>
          <w:noProof/>
          <w:sz w:val="24"/>
          <w:lang w:val="pl-PL"/>
        </w:rPr>
        <w:t>h. Przyspieszono reformy realizowane w kontekście gwarancji dla młodzieży, szczególnie w państwach członkowskich borykających się z istotnymi problemami, takich jak Włochy czy Portugalia, oraz w państwach członkowskich otrzymujących wsparcie finansowe z UE</w:t>
      </w:r>
      <w:r>
        <w:rPr>
          <w:rFonts w:ascii="Times New Roman" w:hAnsi="Times New Roman"/>
          <w:noProof/>
          <w:sz w:val="24"/>
          <w:lang w:val="pl-PL"/>
        </w:rPr>
        <w:t>, za pomocą którego można by zrealizować innowacyjne środki zakrojone na dużą skalę i reformy strukturalne.</w:t>
      </w:r>
    </w:p>
    <w:p w:rsidR="006B6A85" w:rsidRDefault="00243683">
      <w:pPr>
        <w:shd w:val="clear" w:color="auto" w:fill="FFFFFF"/>
        <w:spacing w:before="120" w:after="120" w:line="240" w:lineRule="auto"/>
        <w:jc w:val="both"/>
        <w:rPr>
          <w:rFonts w:ascii="Times New Roman" w:hAnsi="Times New Roman"/>
          <w:noProof/>
          <w:sz w:val="24"/>
          <w:lang w:val="pl-PL"/>
        </w:rPr>
      </w:pPr>
      <w:r>
        <w:rPr>
          <w:rFonts w:ascii="Times New Roman" w:hAnsi="Times New Roman"/>
          <w:b/>
          <w:noProof/>
          <w:sz w:val="24"/>
          <w:lang w:val="pl-PL"/>
        </w:rPr>
        <w:t>Pomimo postępów w ułatwianiu osobom bezrobotnym powrotu do pracy potrzebna jest dalsza reforma aktywnej polityki rynku pracy.</w:t>
      </w:r>
      <w:r>
        <w:rPr>
          <w:rFonts w:ascii="Times New Roman" w:hAnsi="Times New Roman"/>
          <w:noProof/>
          <w:sz w:val="24"/>
          <w:lang w:val="pl-PL"/>
        </w:rPr>
        <w:t xml:space="preserve"> Szereg państw członkowskich (np. Hiszpania, Francja, Łotwa i Finlandia) uruchomiło aktywne środki skierowane do osób długotrwale bezrobotnych. Włochy zaczynają reformować sposób zarządzania aktywną polityką rynku pracy i wzmacniają jej powiązania z polity</w:t>
      </w:r>
      <w:r>
        <w:rPr>
          <w:rFonts w:ascii="Times New Roman" w:hAnsi="Times New Roman"/>
          <w:noProof/>
          <w:sz w:val="24"/>
          <w:lang w:val="pl-PL"/>
        </w:rPr>
        <w:t>ką pasywną. Nierozwiązane pozostają jednak pewne inne problemy, takie jak niedostateczna koordynacja między służbami zatrudnienia a opieką społeczną, brak zaangażowania i partnerstwa z pracodawcami, stosunkowo niskie wskaźniki uczestnictwa w działaniach ak</w:t>
      </w:r>
      <w:r>
        <w:rPr>
          <w:rFonts w:ascii="Times New Roman" w:hAnsi="Times New Roman"/>
          <w:noProof/>
          <w:sz w:val="24"/>
          <w:lang w:val="pl-PL"/>
        </w:rPr>
        <w:t>tywnej polityki rynku pracy oraz ich niedofinansowanie. Ponadto niektóre kraje nie zapewniają zindywidualizowanego podejścia opartego na profilowaniu, dopasowaniu umiejętności czy intensywnym doradztwie. Zalecenie w sprawie integracji osób długotrwale bezr</w:t>
      </w:r>
      <w:r>
        <w:rPr>
          <w:rFonts w:ascii="Times New Roman" w:hAnsi="Times New Roman"/>
          <w:noProof/>
          <w:sz w:val="24"/>
          <w:lang w:val="pl-PL"/>
        </w:rPr>
        <w:t>obotnych na rynku pracy, przyjęte przez Radę w grudniu 2015 r.</w:t>
      </w:r>
      <w:r>
        <w:rPr>
          <w:rFonts w:ascii="Times New Roman" w:hAnsi="Times New Roman"/>
          <w:noProof/>
          <w:sz w:val="24"/>
          <w:vertAlign w:val="superscript"/>
          <w:lang w:val="pl-PL"/>
        </w:rPr>
        <w:footnoteReference w:id="16"/>
      </w:r>
      <w:r>
        <w:rPr>
          <w:rFonts w:ascii="Times New Roman" w:hAnsi="Times New Roman"/>
          <w:noProof/>
          <w:sz w:val="24"/>
          <w:lang w:val="pl-PL"/>
        </w:rPr>
        <w:t xml:space="preserve">, zawiera wskazówki dla państw członkowskich dotyczące zdwojenia wysiłków w walce z bezrobociem długotrwałym. </w:t>
      </w:r>
    </w:p>
    <w:p w:rsidR="006B6A85" w:rsidRDefault="00243683">
      <w:pPr>
        <w:shd w:val="clear" w:color="auto" w:fill="FFFFFF"/>
        <w:spacing w:before="120" w:after="120" w:line="240" w:lineRule="auto"/>
        <w:jc w:val="both"/>
        <w:rPr>
          <w:rFonts w:ascii="Times New Roman" w:hAnsi="Times New Roman"/>
          <w:noProof/>
          <w:sz w:val="24"/>
          <w:lang w:val="pl-PL"/>
        </w:rPr>
      </w:pPr>
      <w:r>
        <w:rPr>
          <w:rFonts w:ascii="Times New Roman" w:hAnsi="Times New Roman"/>
          <w:b/>
          <w:noProof/>
          <w:sz w:val="24"/>
          <w:lang w:val="pl-PL"/>
        </w:rPr>
        <w:t xml:space="preserve">Walka z ubóstwem wymaga kompleksowej strategii politycznej. </w:t>
      </w:r>
      <w:r>
        <w:rPr>
          <w:rFonts w:ascii="Times New Roman" w:hAnsi="Times New Roman"/>
          <w:noProof/>
          <w:sz w:val="24"/>
          <w:lang w:val="pl-PL"/>
        </w:rPr>
        <w:t>W wielu państwach czło</w:t>
      </w:r>
      <w:r>
        <w:rPr>
          <w:rFonts w:ascii="Times New Roman" w:hAnsi="Times New Roman"/>
          <w:noProof/>
          <w:sz w:val="24"/>
          <w:lang w:val="pl-PL"/>
        </w:rPr>
        <w:t>nkowskich podejmowane są pewne kroki dotyczące pomocy społecznej,</w:t>
      </w:r>
    </w:p>
    <w:p w:rsidR="006B6A85" w:rsidRDefault="006B6A85">
      <w:pPr>
        <w:shd w:val="clear" w:color="auto" w:fill="FFFFFF"/>
        <w:spacing w:before="120" w:after="120" w:line="240" w:lineRule="auto"/>
        <w:jc w:val="both"/>
        <w:rPr>
          <w:rFonts w:ascii="Times New Roman" w:hAnsi="Times New Roman"/>
          <w:noProof/>
          <w:sz w:val="24"/>
          <w:lang w:val="pl-PL"/>
        </w:rPr>
      </w:pPr>
    </w:p>
    <w:p w:rsidR="006B6A85" w:rsidRDefault="00243683">
      <w:pPr>
        <w:shd w:val="clear" w:color="auto" w:fill="FFFFFF"/>
        <w:spacing w:before="120" w:after="120" w:line="240" w:lineRule="auto"/>
        <w:jc w:val="both"/>
        <w:rPr>
          <w:rFonts w:ascii="Times New Roman" w:eastAsia="Times New Roman" w:hAnsi="Times New Roman"/>
          <w:noProof/>
          <w:sz w:val="24"/>
          <w:szCs w:val="24"/>
          <w:lang w:val="pl-PL"/>
        </w:rPr>
      </w:pPr>
      <w:r>
        <w:rPr>
          <w:rFonts w:ascii="Times New Roman" w:hAnsi="Times New Roman"/>
          <w:noProof/>
          <w:sz w:val="24"/>
          <w:lang w:val="pl-PL"/>
        </w:rPr>
        <w:t xml:space="preserve">a zwłaszcza adekwatnej wysokości lub zakresu obowiązywania minimalnego dochodu. Zważywszy, że wsparcie dochodu powinno iść w parze z należytym dostosowaniem umiejętności i kwalifikacji </w:t>
      </w:r>
      <w:r>
        <w:rPr>
          <w:rFonts w:ascii="Times New Roman" w:hAnsi="Times New Roman"/>
          <w:noProof/>
          <w:sz w:val="24"/>
          <w:lang w:val="pl-PL"/>
        </w:rPr>
        <w:t>zawodowych do potrzeb rynku pracy, wprowadzane są różne finansowe i niefinansowe zachęty ułatwiające powrót na rynek pracy. Należy do nich struktura systemów świadczeń dla bezrobotnych w Danii i we Włoszech, a także świadczenia pracownicze wypłacane na Mal</w:t>
      </w:r>
      <w:r>
        <w:rPr>
          <w:rFonts w:ascii="Times New Roman" w:hAnsi="Times New Roman"/>
          <w:noProof/>
          <w:sz w:val="24"/>
          <w:lang w:val="pl-PL"/>
        </w:rPr>
        <w:t xml:space="preserve">cie. W celu zrównoważenia celów związanych ze zmniejszeniem ubóstwa oraz ze zwiększeniem uczestnictwa w rynku pracy niektóre państwa członkowskie, np. Zjednoczone Królestwo, starają się włączyć różnego rodzaju świadczenia do szerzej zakrojonych programów. </w:t>
      </w:r>
      <w:r>
        <w:rPr>
          <w:rFonts w:ascii="Times New Roman" w:hAnsi="Times New Roman"/>
          <w:noProof/>
          <w:sz w:val="24"/>
          <w:lang w:val="pl-PL"/>
        </w:rPr>
        <w:t>Ze względu na pojawiające się głosy zaniepokojenia skutkami rosnącej liczby dzieci dotkniętych ubóstwem niektóre państwa członkowskie zwiększyły odpowiednie świadczenia socjalne. Postępy, jeśli chodzi o integrację Romów w odnośnych państwach członkowskich,</w:t>
      </w:r>
      <w:r>
        <w:rPr>
          <w:rFonts w:ascii="Times New Roman" w:hAnsi="Times New Roman"/>
          <w:noProof/>
          <w:sz w:val="24"/>
          <w:lang w:val="pl-PL"/>
        </w:rPr>
        <w:t xml:space="preserve"> są niewielkie.</w:t>
      </w:r>
    </w:p>
    <w:p w:rsidR="006B6A85" w:rsidRDefault="00243683">
      <w:pPr>
        <w:shd w:val="clear" w:color="auto" w:fill="FFFFFF"/>
        <w:spacing w:before="120" w:after="120"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 xml:space="preserve">Należy zwrócić szczególną uwagę na pomyślną integrację migrantów i uchodźców w niektórych państwach członkowskich. </w:t>
      </w:r>
      <w:r>
        <w:rPr>
          <w:rFonts w:ascii="Times New Roman" w:hAnsi="Times New Roman"/>
          <w:noProof/>
          <w:sz w:val="24"/>
          <w:lang w:val="pl-PL"/>
        </w:rPr>
        <w:t>Znaczny napływ migrantów i uchodźców w ciągu ostatniego roku stanowi duże wyzwanie dla wielu państw i dla całej UE. Może to t</w:t>
      </w:r>
      <w:r>
        <w:rPr>
          <w:rFonts w:ascii="Times New Roman" w:hAnsi="Times New Roman"/>
          <w:noProof/>
          <w:sz w:val="24"/>
          <w:lang w:val="pl-PL"/>
        </w:rPr>
        <w:t>eż być jednak szansa, szczególnie dla tych państw, w których zachodzą zmiany demograficzne. Doświadczenia związane z wcześniejszymi przepływami uchodźców wskazują, że napotykają oni często większe trudności pod względem integracji na rynku pracy niż przeci</w:t>
      </w:r>
      <w:r>
        <w:rPr>
          <w:rFonts w:ascii="Times New Roman" w:hAnsi="Times New Roman"/>
          <w:noProof/>
          <w:sz w:val="24"/>
          <w:lang w:val="pl-PL"/>
        </w:rPr>
        <w:t>ętni obywatele państw trzecich. Pomyślna integracja wymaga m.in. oceny umiejętności na wczesnym etapie, szybkiego uznania kwalifikacji i odpowiednich kursów językowych w celu zapewnienia wczesnego i skutecznego dostępu do rynku pracy, opieki zdrowotnej i m</w:t>
      </w:r>
      <w:r>
        <w:rPr>
          <w:rFonts w:ascii="Times New Roman" w:hAnsi="Times New Roman"/>
          <w:noProof/>
          <w:sz w:val="24"/>
          <w:lang w:val="pl-PL"/>
        </w:rPr>
        <w:t>ieszkań. Ze względu na wysoki odsetek dzieci i młodzieży (około 26 %) szybkie dostosowania są szczególnie potrzebne w zakresie systemów kształcenia, tak aby oferowały one programy nauczania podstawowych umiejętności i znajomości języków przystosowane do po</w:t>
      </w:r>
      <w:r>
        <w:rPr>
          <w:rFonts w:ascii="Times New Roman" w:hAnsi="Times New Roman"/>
          <w:noProof/>
          <w:sz w:val="24"/>
          <w:lang w:val="pl-PL"/>
        </w:rPr>
        <w:t>trzeb takich dzieci. Ze szczególną uwagą należy również podejść do kwestii pomyślnej integracji kobiet.</w:t>
      </w: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szCs w:val="24"/>
          <w:lang w:val="pl-PL"/>
        </w:rPr>
      </w:pPr>
      <w:r>
        <w:rPr>
          <w:rFonts w:ascii="Times New Roman" w:hAnsi="Times New Roman"/>
          <w:b/>
          <w:noProof/>
          <w:color w:val="000000"/>
          <w:sz w:val="24"/>
          <w:lang w:val="pl-PL"/>
        </w:rPr>
        <w:t>Efektywność systemów kształcenia i szkolenia w wielu państwach członkowskich wciąż budzi zastrzeżenia</w:t>
      </w:r>
      <w:r>
        <w:rPr>
          <w:rFonts w:ascii="Times New Roman" w:hAnsi="Times New Roman"/>
          <w:noProof/>
          <w:color w:val="000000"/>
          <w:sz w:val="24"/>
          <w:lang w:val="pl-PL"/>
        </w:rPr>
        <w:t>. Mimo że średni odsetek osób przedwcześnie kończąc</w:t>
      </w:r>
      <w:r>
        <w:rPr>
          <w:rFonts w:ascii="Times New Roman" w:hAnsi="Times New Roman"/>
          <w:noProof/>
          <w:color w:val="000000"/>
          <w:sz w:val="24"/>
          <w:lang w:val="pl-PL"/>
        </w:rPr>
        <w:t>ych naukę zmniejszył się do 11,1 %, w dziewięciu państwach członkowskich wskaźnik ten wciąż przekracza docelowy poziom określony w strategii „Europa 2020” (wynoszący 10 %). Wymienione wyżej słabości strukturalne zagrażają potencjałowi wzrostu w Europie. Wi</w:t>
      </w:r>
      <w:r>
        <w:rPr>
          <w:rFonts w:ascii="Times New Roman" w:hAnsi="Times New Roman"/>
          <w:noProof/>
          <w:color w:val="000000"/>
          <w:sz w:val="24"/>
          <w:lang w:val="pl-PL"/>
        </w:rPr>
        <w:t>ele państw członkowskich opracowuje strategie rozwoju umiejętności i wdraża reformy strukturalne w swoich systemach kształcenia. Republika Czeska przyjęła reformę kształcenia wyższego, a Bułgaria uchwaliła ustawę o kształceniu przedszkolnym i szkolnym okre</w:t>
      </w:r>
      <w:r>
        <w:rPr>
          <w:rFonts w:ascii="Times New Roman" w:hAnsi="Times New Roman"/>
          <w:noProof/>
          <w:color w:val="000000"/>
          <w:sz w:val="24"/>
          <w:lang w:val="pl-PL"/>
        </w:rPr>
        <w:t>ślającą ramy prawne, które umożliwiają poprawę jakości i równości w ramach kształcenia na poziomie podstawowym i średnim. We Włoszech wprowadzono reformę szkolnictwa polegającą na zwiększeniu autonomii szkół, uzależnieniu wynagrodzenia nauczycieli od ich z</w:t>
      </w:r>
      <w:r>
        <w:rPr>
          <w:rFonts w:ascii="Times New Roman" w:hAnsi="Times New Roman"/>
          <w:noProof/>
          <w:color w:val="000000"/>
          <w:sz w:val="24"/>
          <w:lang w:val="pl-PL"/>
        </w:rPr>
        <w:t>asług i poprawie systemu zatrudniania nauczycieli.</w:t>
      </w:r>
    </w:p>
    <w:p w:rsidR="006B6A85" w:rsidRDefault="00243683">
      <w:pPr>
        <w:shd w:val="clear" w:color="auto" w:fill="FFFFFF"/>
        <w:spacing w:before="120" w:after="120"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 xml:space="preserve">Należy zmniejszyć podatkowe obciążenia pracy. </w:t>
      </w:r>
      <w:r>
        <w:rPr>
          <w:rFonts w:ascii="Times New Roman" w:hAnsi="Times New Roman"/>
          <w:noProof/>
          <w:sz w:val="24"/>
          <w:lang w:val="pl-PL"/>
        </w:rPr>
        <w:t>Wiele państw członkowskich wprowadziło środki zmniejszające opodatkowanie pracy. Na przykład Estonia i Francja obniżyły opodatkowanie osób o niskich dochodach.</w:t>
      </w:r>
      <w:r>
        <w:rPr>
          <w:rFonts w:ascii="Times New Roman" w:hAnsi="Times New Roman"/>
          <w:noProof/>
          <w:sz w:val="24"/>
          <w:lang w:val="pl-PL"/>
        </w:rPr>
        <w:t xml:space="preserve"> Ponadto w niektórych państwach członkowskich charakteryzujących się wysoką stopą bezrobocia, takich jak Belgia, Hiszpania czy Włochy, wdrożono reformy systemu opodatkowania pracy. Klin podatkowy, zwłaszcza w przypadku osób o niskich dochodach, pozostaje j</w:t>
      </w:r>
      <w:r>
        <w:rPr>
          <w:rFonts w:ascii="Times New Roman" w:hAnsi="Times New Roman"/>
          <w:noProof/>
          <w:sz w:val="24"/>
          <w:lang w:val="pl-PL"/>
        </w:rPr>
        <w:t xml:space="preserve">ednak wysoki w kilku państwach, a w niektórych nawet wzrósł. </w:t>
      </w:r>
    </w:p>
    <w:p w:rsidR="006B6A85" w:rsidRDefault="006B6A85">
      <w:pPr>
        <w:pBdr>
          <w:top w:val="nil"/>
          <w:left w:val="nil"/>
          <w:bottom w:val="nil"/>
          <w:right w:val="nil"/>
          <w:between w:val="nil"/>
          <w:bar w:val="nil"/>
        </w:pBdr>
        <w:spacing w:before="120" w:after="120" w:line="240" w:lineRule="auto"/>
        <w:jc w:val="both"/>
        <w:rPr>
          <w:rFonts w:ascii="Times New Roman" w:hAnsi="Times New Roman" w:cs="Calibri"/>
          <w:noProof/>
          <w:color w:val="000000"/>
          <w:sz w:val="20"/>
          <w:szCs w:val="20"/>
          <w:lang w:val="pl-PL"/>
        </w:rPr>
      </w:pP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i/>
          <w:noProof/>
          <w:color w:val="000000"/>
          <w:sz w:val="24"/>
          <w:szCs w:val="24"/>
          <w:lang w:val="pl-PL"/>
        </w:rPr>
      </w:pPr>
      <w:r>
        <w:rPr>
          <w:rFonts w:ascii="Times New Roman" w:hAnsi="Times New Roman"/>
          <w:i/>
          <w:noProof/>
          <w:color w:val="000000"/>
          <w:sz w:val="24"/>
          <w:lang w:val="pl-PL"/>
        </w:rPr>
        <w:t>Otoczenie biznesu i sektory sieciowe</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 xml:space="preserve">Otoczenie regulacyjne w większym stopniu korzystne dla przedsiębiorstw i zatrudnienia będzie sprzyjać inwestycjom sektora prywatnego. </w:t>
      </w:r>
      <w:r>
        <w:rPr>
          <w:rFonts w:ascii="Times New Roman" w:hAnsi="Times New Roman"/>
          <w:noProof/>
          <w:color w:val="000000"/>
          <w:sz w:val="24"/>
          <w:lang w:val="pl-PL"/>
        </w:rPr>
        <w:t>Poprawa praktyki administracji publicznej, eliminowanie korupcji, wprowadzanie przejrzystości, nierestrykcyjne i przewidywalne przepisy przyczyniają się do poprawy konkurencyjności, wzrostu gospodarczego i tworzenia miejsc pracy. Pod tym względem można zau</w:t>
      </w:r>
      <w:r>
        <w:rPr>
          <w:rFonts w:ascii="Times New Roman" w:hAnsi="Times New Roman"/>
          <w:noProof/>
          <w:color w:val="000000"/>
          <w:sz w:val="24"/>
          <w:lang w:val="pl-PL"/>
        </w:rPr>
        <w:t>ważyć pewne postępy. Włochy podjęły działania, aby zreformować i przyspieszyć procedury egzekucji z masy upadłości. Francja kontynuuje ambitny plan uproszczenia, obejmujący jak dotąd 600 środków, z których około jednej trzeciej zostało już wdrożonych. Chor</w:t>
      </w:r>
      <w:r>
        <w:rPr>
          <w:rFonts w:ascii="Times New Roman" w:hAnsi="Times New Roman"/>
          <w:noProof/>
          <w:color w:val="000000"/>
          <w:sz w:val="24"/>
          <w:lang w:val="pl-PL"/>
        </w:rPr>
        <w:t>wacja poczyniła pewne postępy, jeśli chodzi o usprawnienie ram regulujących postępowanie przedupadłościowe i upadłościowe w odniesieniu do przedsiębiorstw. Malta wprowadziła szereg nowych systemów technologicznych i proceduralnych w celu ograniczenia biuro</w:t>
      </w:r>
      <w:r>
        <w:rPr>
          <w:rFonts w:ascii="Times New Roman" w:hAnsi="Times New Roman"/>
          <w:noProof/>
          <w:color w:val="000000"/>
          <w:sz w:val="24"/>
          <w:lang w:val="pl-PL"/>
        </w:rPr>
        <w:t xml:space="preserve">kracji i zmniejszenia opóźnień w rozpatrywaniu spraw cywilnych. Na Łotwie poczyniono znaczne postępy w zakresie ram prawnych dotyczących mediacji i arbitrażu. </w:t>
      </w:r>
      <w:r>
        <w:rPr>
          <w:rFonts w:ascii="Times New Roman" w:hAnsi="Times New Roman"/>
          <w:noProof/>
          <w:sz w:val="24"/>
          <w:lang w:val="pl-PL"/>
        </w:rPr>
        <w:t>Jakość, niezawisłość i efektywność systemów sądownictwa pozostaje niedostateczna w niektórych pań</w:t>
      </w:r>
      <w:r>
        <w:rPr>
          <w:rFonts w:ascii="Times New Roman" w:hAnsi="Times New Roman"/>
          <w:noProof/>
          <w:sz w:val="24"/>
          <w:lang w:val="pl-PL"/>
        </w:rPr>
        <w:t>stwach członkowskich, mimo że dzięki reformom wymiaru sprawiedliwości Włochy, Łotwa i Słowenia osiągnęły w tym względzie pewien postęp.</w:t>
      </w:r>
    </w:p>
    <w:p w:rsidR="006B6A85" w:rsidRDefault="00243683">
      <w:pPr>
        <w:spacing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Możliwa jest dalsza redukcja biurokracji, poprawa wydajności administracji i jakości przepisów.</w:t>
      </w:r>
      <w:r>
        <w:rPr>
          <w:rFonts w:ascii="Times New Roman" w:hAnsi="Times New Roman"/>
          <w:noProof/>
          <w:sz w:val="24"/>
          <w:lang w:val="pl-PL"/>
        </w:rPr>
        <w:t xml:space="preserve"> Opóźnienia w procedurach</w:t>
      </w:r>
      <w:r>
        <w:rPr>
          <w:rFonts w:ascii="Times New Roman" w:hAnsi="Times New Roman"/>
          <w:noProof/>
          <w:sz w:val="24"/>
          <w:lang w:val="pl-PL"/>
        </w:rPr>
        <w:t xml:space="preserve"> udzielania zezwoleń są wciąż znaczne, a w ponad dwóch trzecich państw członkowskich opłaty nakładane na podmioty rozpoczynające działalność gospodarczą nadal przekraczają pułap 100 EUR proponowany w programie </w:t>
      </w:r>
      <w:r>
        <w:rPr>
          <w:rFonts w:ascii="Times New Roman" w:hAnsi="Times New Roman"/>
          <w:i/>
          <w:noProof/>
          <w:sz w:val="24"/>
          <w:lang w:val="pl-PL"/>
        </w:rPr>
        <w:t>Small Business Act</w:t>
      </w:r>
      <w:r>
        <w:rPr>
          <w:rFonts w:ascii="Times New Roman" w:hAnsi="Times New Roman"/>
          <w:noProof/>
          <w:sz w:val="24"/>
          <w:lang w:val="pl-PL"/>
        </w:rPr>
        <w:t>. Opóźnienia w reformach str</w:t>
      </w:r>
      <w:r>
        <w:rPr>
          <w:rFonts w:ascii="Times New Roman" w:hAnsi="Times New Roman"/>
          <w:noProof/>
          <w:sz w:val="24"/>
          <w:lang w:val="pl-PL"/>
        </w:rPr>
        <w:t>ukturalnych wynikają często z braku zdolności wykonawczych i niestabilnych struktur instytucjonalnych. Na efektywność inwestycji publicznych niekorzystnie wpływają często niedociągnięcia dotyczące oceny projektów, zamówień, realizacji i niedostatecznej koo</w:t>
      </w:r>
      <w:r>
        <w:rPr>
          <w:rFonts w:ascii="Times New Roman" w:hAnsi="Times New Roman"/>
          <w:noProof/>
          <w:sz w:val="24"/>
          <w:lang w:val="pl-PL"/>
        </w:rPr>
        <w:t xml:space="preserve">rdynacji między poszczególnymi szczeblami władz. Zapewnianie zaawansowanych i należycie zintegrowanych usług administracji elektronicznej dla przedsiębiorstw pozostaje wciąż wyzwaniem w wielu państwach członkowskich. </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Zamówienia publiczne pozostają obszare</w:t>
      </w:r>
      <w:r>
        <w:rPr>
          <w:rFonts w:ascii="Times New Roman" w:hAnsi="Times New Roman"/>
          <w:b/>
          <w:noProof/>
          <w:color w:val="000000"/>
          <w:sz w:val="24"/>
          <w:lang w:val="pl-PL"/>
        </w:rPr>
        <w:t xml:space="preserve">m wymagającym dalszych usprawnień. </w:t>
      </w:r>
      <w:r>
        <w:rPr>
          <w:rFonts w:ascii="Times New Roman" w:hAnsi="Times New Roman"/>
          <w:noProof/>
          <w:color w:val="000000"/>
          <w:sz w:val="24"/>
          <w:lang w:val="pl-PL"/>
        </w:rPr>
        <w:t>W przypadku niektórych państw członkowskich niedociągnięcia w sferze zamówień publicznych są nadal jedną z głównych przyczyn nieprawidłowości wykrywanych w trakcie kontroli wykorzystania europejskich funduszy strukturalny</w:t>
      </w:r>
      <w:r>
        <w:rPr>
          <w:rFonts w:ascii="Times New Roman" w:hAnsi="Times New Roman"/>
          <w:noProof/>
          <w:color w:val="000000"/>
          <w:sz w:val="24"/>
          <w:lang w:val="pl-PL"/>
        </w:rPr>
        <w:t xml:space="preserve">ch i inwestycyjnych. Są one czynnikiem zniechęcającym do inwestowania i prawidłowego funkcjonowania jednolitego rynku. Kolejną sferą, której dotyczą zastrzeżenia związane z korupcją, są zamówienia publiczne. </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 xml:space="preserve">Inwestycje w sieci energetyczne i transportowe </w:t>
      </w:r>
      <w:r>
        <w:rPr>
          <w:rFonts w:ascii="Times New Roman" w:hAnsi="Times New Roman"/>
          <w:b/>
          <w:noProof/>
          <w:color w:val="000000"/>
          <w:sz w:val="24"/>
          <w:lang w:val="pl-PL"/>
        </w:rPr>
        <w:t>przyczyniają się do zintegrowanych i sprawniej działających rynków, poprawy bezpieczeństwa dostaw energii i odgrywają zasadniczą rolę w procesie przechodzenia na gospodarkę niskoemisyjną.</w:t>
      </w:r>
      <w:r>
        <w:rPr>
          <w:rFonts w:ascii="Times New Roman" w:hAnsi="Times New Roman"/>
          <w:noProof/>
          <w:color w:val="000000"/>
          <w:sz w:val="24"/>
          <w:lang w:val="pl-PL"/>
        </w:rPr>
        <w:t xml:space="preserve"> Ukończenie budowy międzysystemowych połączeń elektroenergetycznych i</w:t>
      </w:r>
      <w:r>
        <w:rPr>
          <w:rFonts w:ascii="Times New Roman" w:hAnsi="Times New Roman"/>
          <w:noProof/>
          <w:color w:val="000000"/>
          <w:sz w:val="24"/>
          <w:lang w:val="pl-PL"/>
        </w:rPr>
        <w:t xml:space="preserve"> gazociągów między Hiszpanią i Francją będzie miało istotne znaczenie m.in. dla zapewnienia bezpieczeństwa dostaw energii i lepszego funkcjonowania rynków energetycznych. Trwa ponadto rozwój inwestycji w zdolności w zakresie przesyłu energii elektrycznej, </w:t>
      </w:r>
      <w:r>
        <w:rPr>
          <w:rFonts w:ascii="Times New Roman" w:hAnsi="Times New Roman"/>
          <w:noProof/>
          <w:color w:val="000000"/>
          <w:sz w:val="24"/>
          <w:lang w:val="pl-PL"/>
        </w:rPr>
        <w:t>a także w gazociągi międzysystemowe z krajami bałtyckimi i między tymi krajami. Celem tych inwestycji jest zintegrowanie zainteresowanych państw członkowskich w ramach europejskich sieci i rynków energii. W wyniku ukończenia niedawno budowy połączeń przesy</w:t>
      </w:r>
      <w:r>
        <w:rPr>
          <w:rFonts w:ascii="Times New Roman" w:hAnsi="Times New Roman"/>
          <w:noProof/>
          <w:color w:val="000000"/>
          <w:sz w:val="24"/>
          <w:lang w:val="pl-PL"/>
        </w:rPr>
        <w:t>łu energii elektrycznej między trzema krajami bałtyckimi a Polską, Finlandią i Szwecją wskaźnik połączeń międzysystemowych wyniósł ok. 25 % i kontynuowane są dalsze inwestycje w te połączenia między krajami bałtyckimi. Hiszpania utworzyła fundusz w celu po</w:t>
      </w:r>
      <w:r>
        <w:rPr>
          <w:rFonts w:ascii="Times New Roman" w:hAnsi="Times New Roman"/>
          <w:noProof/>
          <w:color w:val="000000"/>
          <w:sz w:val="24"/>
          <w:lang w:val="pl-PL"/>
        </w:rPr>
        <w:t>prawy dostępu z lądu do portów morskich.</w:t>
      </w: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lang w:val="pl-PL"/>
        </w:rPr>
      </w:pPr>
      <w:r>
        <w:rPr>
          <w:rFonts w:ascii="Times New Roman" w:hAnsi="Times New Roman"/>
          <w:b/>
          <w:noProof/>
          <w:color w:val="000000"/>
          <w:sz w:val="24"/>
          <w:lang w:val="pl-PL"/>
        </w:rPr>
        <w:t>Modernizacja gospodarki unijnej wymaga uzupełnienia braków w infrastrukturze sieci komunikacji cyfrowej.</w:t>
      </w:r>
      <w:r>
        <w:rPr>
          <w:rFonts w:ascii="Times New Roman" w:hAnsi="Times New Roman"/>
          <w:noProof/>
          <w:color w:val="000000"/>
          <w:sz w:val="24"/>
          <w:lang w:val="pl-PL"/>
        </w:rPr>
        <w:t xml:space="preserve"> Opóźnione reakcje po stronie podaży nie powinny hamować zakładanego wzrostu popytu na wysokiej jakości sieci k</w:t>
      </w:r>
      <w:r>
        <w:rPr>
          <w:rFonts w:ascii="Times New Roman" w:hAnsi="Times New Roman"/>
          <w:noProof/>
          <w:color w:val="000000"/>
          <w:sz w:val="24"/>
          <w:lang w:val="pl-PL"/>
        </w:rPr>
        <w:t xml:space="preserve">omunikacji. Pomimo znacznych wysiłków na rzecz poprawy zasięgu sieci komunikacji nowej generacji niektórym państwom członkowskim trudno będzie sprostać celowi wyznaczonemu w Europejskiej agendzie cyfrowej, którym jest dostęp do sieci nowej generacji (min. </w:t>
      </w:r>
      <w:r>
        <w:rPr>
          <w:rFonts w:ascii="Times New Roman" w:hAnsi="Times New Roman"/>
          <w:noProof/>
          <w:color w:val="000000"/>
          <w:sz w:val="24"/>
          <w:lang w:val="pl-PL"/>
        </w:rPr>
        <w:t xml:space="preserve">30 Mbps) dla wszystkich do 2020 r. </w:t>
      </w:r>
    </w:p>
    <w:p w:rsidR="00243683"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lang w:val="pl-PL"/>
        </w:rPr>
      </w:pPr>
    </w:p>
    <w:p w:rsidR="00243683"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p>
    <w:p w:rsidR="006B6A85" w:rsidRDefault="006B6A85">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i/>
          <w:noProof/>
          <w:color w:val="000000"/>
          <w:sz w:val="24"/>
          <w:szCs w:val="24"/>
          <w:lang w:val="pl-PL"/>
        </w:rPr>
      </w:pPr>
      <w:r>
        <w:rPr>
          <w:rFonts w:ascii="Times New Roman" w:hAnsi="Times New Roman"/>
          <w:i/>
          <w:noProof/>
          <w:color w:val="000000"/>
          <w:sz w:val="24"/>
          <w:lang w:val="pl-PL"/>
        </w:rPr>
        <w:t>Reformy na rynkach produktów i usług</w:t>
      </w:r>
    </w:p>
    <w:p w:rsidR="006B6A85" w:rsidRDefault="00243683">
      <w:pPr>
        <w:autoSpaceDE w:val="0"/>
        <w:autoSpaceDN w:val="0"/>
        <w:adjustRightInd w:val="0"/>
        <w:spacing w:line="240" w:lineRule="auto"/>
        <w:jc w:val="both"/>
        <w:rPr>
          <w:rFonts w:ascii="Times New Roman" w:eastAsia="Times New Roman" w:hAnsi="Times New Roman"/>
          <w:b/>
          <w:noProof/>
          <w:sz w:val="24"/>
          <w:szCs w:val="24"/>
          <w:lang w:val="pl-PL"/>
        </w:rPr>
      </w:pPr>
      <w:r>
        <w:rPr>
          <w:rFonts w:ascii="Times New Roman" w:hAnsi="Times New Roman"/>
          <w:b/>
          <w:noProof/>
          <w:sz w:val="24"/>
          <w:lang w:val="pl-PL"/>
        </w:rPr>
        <w:t>W wielu państwach członkowskich UE nadal istnieją liczne ograniczenia w sektorach usług.</w:t>
      </w:r>
      <w:r>
        <w:rPr>
          <w:rFonts w:ascii="Times New Roman" w:hAnsi="Times New Roman"/>
          <w:noProof/>
          <w:sz w:val="24"/>
          <w:lang w:val="pl-PL"/>
        </w:rPr>
        <w:t xml:space="preserve"> Ostatnie szacunki Komisji dołączone do publikacji poświęconej strategii jednolitego rynku</w:t>
      </w:r>
      <w:r>
        <w:rPr>
          <w:rFonts w:ascii="Times New Roman" w:hAnsi="Times New Roman"/>
          <w:noProof/>
          <w:sz w:val="24"/>
          <w:vertAlign w:val="superscript"/>
          <w:lang w:val="pl-PL"/>
        </w:rPr>
        <w:footnoteReference w:id="17"/>
      </w:r>
      <w:r>
        <w:rPr>
          <w:rFonts w:ascii="Times New Roman" w:hAnsi="Times New Roman"/>
          <w:noProof/>
          <w:sz w:val="24"/>
          <w:lang w:val="pl-PL"/>
        </w:rPr>
        <w:t xml:space="preserve"> potwierdzają, że ograniczenia regulacyjne mają szkodliwy wpływ na inwestycje, wzrost gospodarczy i wskaźnik zatrudnienia. </w:t>
      </w:r>
    </w:p>
    <w:p w:rsidR="006B6A85" w:rsidRDefault="00243683">
      <w:pPr>
        <w:autoSpaceDE w:val="0"/>
        <w:autoSpaceDN w:val="0"/>
        <w:adjustRightInd w:val="0"/>
        <w:spacing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Osiągnięcia odnotowane w ramach europejskiego semestru w tym obszarze dowodzą, że warto realizować reformy.</w:t>
      </w:r>
      <w:r>
        <w:rPr>
          <w:rFonts w:ascii="Times New Roman" w:hAnsi="Times New Roman"/>
          <w:noProof/>
          <w:sz w:val="24"/>
          <w:lang w:val="pl-PL"/>
        </w:rPr>
        <w:t xml:space="preserve"> OECD</w:t>
      </w:r>
      <w:r>
        <w:rPr>
          <w:rFonts w:ascii="Times New Roman" w:hAnsi="Times New Roman"/>
          <w:noProof/>
          <w:sz w:val="24"/>
          <w:vertAlign w:val="superscript"/>
          <w:lang w:val="pl-PL"/>
        </w:rPr>
        <w:footnoteReference w:id="18"/>
      </w:r>
      <w:r>
        <w:rPr>
          <w:rFonts w:ascii="Times New Roman" w:hAnsi="Times New Roman"/>
          <w:noProof/>
          <w:sz w:val="24"/>
          <w:lang w:val="pl-PL"/>
        </w:rPr>
        <w:t xml:space="preserve"> oszacowała, że ref</w:t>
      </w:r>
      <w:r>
        <w:rPr>
          <w:rFonts w:ascii="Times New Roman" w:hAnsi="Times New Roman"/>
          <w:noProof/>
          <w:sz w:val="24"/>
          <w:lang w:val="pl-PL"/>
        </w:rPr>
        <w:t>ormy strukturalne zapoczątkowane we Włoszech w 2012 r. powinny przyczynić się do wzrostu PKB o 1,5 punktu procentowego w okresie pięciu lat od daty ich wprowadzenia. Wiele z tych reform stanowiło odpowiedź na zalecenia dla Włoch wydane w ramach europejskie</w:t>
      </w:r>
      <w:r>
        <w:rPr>
          <w:rFonts w:ascii="Times New Roman" w:hAnsi="Times New Roman"/>
          <w:noProof/>
          <w:sz w:val="24"/>
          <w:lang w:val="pl-PL"/>
        </w:rPr>
        <w:t>go semestru. Pozostałe reformy przyniosły wymierne wyniki w krótszym czasie. Wprowadzenie licencji w trybie ekspresowym na otwarcie placówek handlowych w odpowiedzi na zalecenie dla Hiszpanii sformułowane w 2012 r. doprowadziło do uruchomienia dodatkowo po</w:t>
      </w:r>
      <w:r>
        <w:rPr>
          <w:rFonts w:ascii="Times New Roman" w:hAnsi="Times New Roman"/>
          <w:noProof/>
          <w:sz w:val="24"/>
          <w:lang w:val="pl-PL"/>
        </w:rPr>
        <w:t>nad 7 000 takich placówek w I poł. 2013 r.</w:t>
      </w:r>
    </w:p>
    <w:p w:rsidR="006B6A85" w:rsidRDefault="00243683">
      <w:pPr>
        <w:autoSpaceDE w:val="0"/>
        <w:autoSpaceDN w:val="0"/>
        <w:adjustRightInd w:val="0"/>
        <w:spacing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Sprawozdania krajowe pokazują pozytywne, lecz nadal powolne postępy w zakresie reform rynków usług w wielu państwach członkowskich.</w:t>
      </w:r>
      <w:r>
        <w:rPr>
          <w:rFonts w:ascii="Times New Roman" w:hAnsi="Times New Roman"/>
          <w:noProof/>
          <w:sz w:val="24"/>
          <w:lang w:val="pl-PL"/>
        </w:rPr>
        <w:t xml:space="preserve"> Wkład sektora usług biznesowych w wydajność sektora produkcji i innych sektorów u</w:t>
      </w:r>
      <w:r>
        <w:rPr>
          <w:rFonts w:ascii="Times New Roman" w:hAnsi="Times New Roman"/>
          <w:noProof/>
          <w:sz w:val="24"/>
          <w:lang w:val="pl-PL"/>
        </w:rPr>
        <w:t>sług ma zasadnicze znaczenie dla procesu modernizacji gospodarek unijnych. Poziom i liczba ograniczeń obecnych na rynkach profesjonalnych usług biznesowych, zwłaszcza usług w zakresie inżynierii, księgowości, architektury i obsługi prawnej, wymagają szczeg</w:t>
      </w:r>
      <w:r>
        <w:rPr>
          <w:rFonts w:ascii="Times New Roman" w:hAnsi="Times New Roman"/>
          <w:noProof/>
          <w:sz w:val="24"/>
          <w:lang w:val="pl-PL"/>
        </w:rPr>
        <w:t xml:space="preserve">ólnej uwagi. </w:t>
      </w:r>
    </w:p>
    <w:p w:rsidR="006B6A85" w:rsidRDefault="00243683">
      <w:pPr>
        <w:autoSpaceDE w:val="0"/>
        <w:autoSpaceDN w:val="0"/>
        <w:adjustRightInd w:val="0"/>
        <w:spacing w:line="240" w:lineRule="auto"/>
        <w:jc w:val="both"/>
        <w:rPr>
          <w:rFonts w:ascii="Times New Roman" w:hAnsi="Times New Roman"/>
          <w:noProof/>
          <w:sz w:val="24"/>
          <w:lang w:val="pl-PL"/>
        </w:rPr>
      </w:pPr>
      <w:r>
        <w:rPr>
          <w:rFonts w:ascii="Times New Roman" w:hAnsi="Times New Roman"/>
          <w:b/>
          <w:noProof/>
          <w:sz w:val="24"/>
          <w:lang w:val="pl-PL"/>
        </w:rPr>
        <w:t>Reformy usług świadczonych w ramach wolnych zawodów mogą przynieść wymierne wyniki, ale postępy następują wyjątkowo wolno.</w:t>
      </w:r>
      <w:r>
        <w:rPr>
          <w:rFonts w:ascii="Times New Roman" w:hAnsi="Times New Roman"/>
          <w:noProof/>
          <w:sz w:val="24"/>
          <w:lang w:val="pl-PL"/>
        </w:rPr>
        <w:t xml:space="preserve"> W wyniku zalecenia z 2011 r. Słowenia przyjęła w 2012 r. program mający na celu deregulację wolnych zawodów. W następnych latach wydano kolejne zalecenia, co doprowadziło do obecnej pełnej deregulacji lub uproszczenia dostępu do wolnych zawodów w kilku se</w:t>
      </w:r>
      <w:r>
        <w:rPr>
          <w:rFonts w:ascii="Times New Roman" w:hAnsi="Times New Roman"/>
          <w:noProof/>
          <w:sz w:val="24"/>
          <w:lang w:val="pl-PL"/>
        </w:rPr>
        <w:t>ktorach (budowlanym, turystycznym i w sektorze sprzedaży detalicznej). W 2012 r. Polska rozpoczęła stopniowy i szeroko zakrojony proces reform zawodów regulowanych. Reforma objęła swym zakresem 248 zawodów. W efekcie częściowo usunięte zostały bariery w pr</w:t>
      </w:r>
      <w:r>
        <w:rPr>
          <w:rFonts w:ascii="Times New Roman" w:hAnsi="Times New Roman"/>
          <w:noProof/>
          <w:sz w:val="24"/>
          <w:lang w:val="pl-PL"/>
        </w:rPr>
        <w:t>zypadku większości z nich, natomiast w przypadku 70 udało się znieść wszystkie ograniczenia. W 2015 r. Polska przeprowadziła trzeci i ostatni etap reformy deregulacyjnej. W następstwie wydania w 2014 r. zalecenia dla poszczególnych krajów w sprawie usług p</w:t>
      </w:r>
      <w:r>
        <w:rPr>
          <w:rFonts w:ascii="Times New Roman" w:hAnsi="Times New Roman"/>
          <w:noProof/>
          <w:sz w:val="24"/>
          <w:lang w:val="pl-PL"/>
        </w:rPr>
        <w:t>rawnych Irlandia poczyniła istotne postępy do końca 2015 r., przyjmując przepisy regulujące otwarcie rynków tych usług.</w:t>
      </w:r>
    </w:p>
    <w:p w:rsidR="006B6A85" w:rsidRDefault="00243683">
      <w:pPr>
        <w:autoSpaceDE w:val="0"/>
        <w:autoSpaceDN w:val="0"/>
        <w:adjustRightInd w:val="0"/>
        <w:spacing w:line="240" w:lineRule="auto"/>
        <w:jc w:val="both"/>
        <w:rPr>
          <w:rFonts w:ascii="Times New Roman" w:hAnsi="Times New Roman"/>
          <w:noProof/>
          <w:sz w:val="24"/>
          <w:szCs w:val="24"/>
          <w:lang w:val="pl-PL"/>
        </w:rPr>
      </w:pPr>
      <w:r>
        <w:rPr>
          <w:rFonts w:ascii="Times New Roman" w:hAnsi="Times New Roman"/>
          <w:b/>
          <w:noProof/>
          <w:lang w:val="pl-PL"/>
        </w:rPr>
        <w:t>Sektor budowlany może istotnie przyczynić się do umocnienia procesu ożywienia gospodarczego, lecz niezbędne są reformy.</w:t>
      </w:r>
      <w:r>
        <w:rPr>
          <w:rFonts w:ascii="Times New Roman" w:hAnsi="Times New Roman"/>
          <w:noProof/>
          <w:sz w:val="24"/>
          <w:lang w:val="pl-PL"/>
        </w:rPr>
        <w:t xml:space="preserve"> Następujące po k</w:t>
      </w:r>
      <w:r>
        <w:rPr>
          <w:rFonts w:ascii="Times New Roman" w:hAnsi="Times New Roman"/>
          <w:noProof/>
          <w:sz w:val="24"/>
          <w:lang w:val="pl-PL"/>
        </w:rPr>
        <w:t>ryzysie ożywienie w tym sektorze przebiega wolno i okazuje się trudne, a reformy przyczyniłyby się do jego pobudzenia, chociaż nie należy uznawać niemożliwych do utrzymania poziomów sprzed kryzysu za poziom odniesienia. W 2015 r. Komisja dokonała szczegóło</w:t>
      </w:r>
      <w:r>
        <w:rPr>
          <w:rFonts w:ascii="Times New Roman" w:hAnsi="Times New Roman"/>
          <w:noProof/>
          <w:sz w:val="24"/>
          <w:lang w:val="pl-PL"/>
        </w:rPr>
        <w:t xml:space="preserve">wej oceny barier w sektorze budowlanym, która potwierdziła duże zróżnicowanie w podejściu w poszczególnych państwach członkowskich. </w:t>
      </w:r>
    </w:p>
    <w:p w:rsidR="006B6A85" w:rsidRDefault="00243683">
      <w:pPr>
        <w:autoSpaceDE w:val="0"/>
        <w:autoSpaceDN w:val="0"/>
        <w:adjustRightInd w:val="0"/>
        <w:spacing w:line="240" w:lineRule="auto"/>
        <w:jc w:val="both"/>
        <w:rPr>
          <w:rFonts w:ascii="Times New Roman" w:hAnsi="Times New Roman"/>
          <w:noProof/>
          <w:sz w:val="24"/>
          <w:szCs w:val="24"/>
          <w:lang w:val="pl-PL"/>
        </w:rPr>
      </w:pPr>
      <w:r>
        <w:rPr>
          <w:rFonts w:ascii="Times New Roman" w:hAnsi="Times New Roman"/>
          <w:b/>
          <w:noProof/>
          <w:sz w:val="24"/>
          <w:lang w:val="pl-PL"/>
        </w:rPr>
        <w:t>W ostatnich latach wydano zalecenia dla poszczególnych krajów odnoszące się do sektora budowlanego mające na celu zniesieni</w:t>
      </w:r>
      <w:r>
        <w:rPr>
          <w:rFonts w:ascii="Times New Roman" w:hAnsi="Times New Roman"/>
          <w:b/>
          <w:noProof/>
          <w:sz w:val="24"/>
          <w:lang w:val="pl-PL"/>
        </w:rPr>
        <w:t>e ograniczeń regulacyjnych w Danii, na Litwie, w Niemczech, Polsce, Słowacji i Szwecji.</w:t>
      </w:r>
      <w:r>
        <w:rPr>
          <w:rFonts w:ascii="Times New Roman" w:hAnsi="Times New Roman"/>
          <w:noProof/>
          <w:sz w:val="24"/>
          <w:lang w:val="pl-PL"/>
        </w:rPr>
        <w:t xml:space="preserve"> Dotychczasowe postępy są ograniczone. W znowelizowanej w czerwcu 2015 r. ustawie Prawo budowlane uproszczono obowiązki administracyjne dotyczące budowy w Polsce. Jednak</w:t>
      </w:r>
      <w:r>
        <w:rPr>
          <w:rFonts w:ascii="Times New Roman" w:hAnsi="Times New Roman"/>
          <w:noProof/>
          <w:sz w:val="24"/>
          <w:lang w:val="pl-PL"/>
        </w:rPr>
        <w:t>że w ustawie tej odniesiono się jedynie do niektórych zagadnień. W Szwecji powołano komisję śledczą, której zadaniem było przeprowadzenie dochodzenia i zaproponowanie rozwiązań, w jaki sposób poprawić konkurencję w sektorze budownictwa mieszkaniowego i mat</w:t>
      </w:r>
      <w:r>
        <w:rPr>
          <w:rFonts w:ascii="Times New Roman" w:hAnsi="Times New Roman"/>
          <w:noProof/>
          <w:sz w:val="24"/>
          <w:lang w:val="pl-PL"/>
        </w:rPr>
        <w:t xml:space="preserve">eriałów budowlanych. We wrześniu 2015 r. Słowacja przyjęła nowelizację ustawy budowlanej w celu uproszczenia procedur administracyjnych, jakie należy wypełnić, by uzyskać pozwolenie na użytkowanie gruntów i pozwolenie na budowę. </w:t>
      </w:r>
    </w:p>
    <w:p w:rsidR="006B6A85" w:rsidRDefault="00243683">
      <w:pPr>
        <w:autoSpaceDE w:val="0"/>
        <w:autoSpaceDN w:val="0"/>
        <w:adjustRightInd w:val="0"/>
        <w:spacing w:line="240" w:lineRule="auto"/>
        <w:jc w:val="both"/>
        <w:rPr>
          <w:rFonts w:ascii="Times New Roman" w:hAnsi="Times New Roman"/>
          <w:noProof/>
          <w:sz w:val="24"/>
          <w:szCs w:val="24"/>
          <w:lang w:val="pl-PL"/>
        </w:rPr>
      </w:pPr>
      <w:r>
        <w:rPr>
          <w:rFonts w:ascii="Times New Roman" w:hAnsi="Times New Roman"/>
          <w:b/>
          <w:noProof/>
          <w:sz w:val="24"/>
          <w:lang w:val="pl-PL"/>
        </w:rPr>
        <w:t>Nadanie tempa reformom zmi</w:t>
      </w:r>
      <w:r>
        <w:rPr>
          <w:rFonts w:ascii="Times New Roman" w:hAnsi="Times New Roman"/>
          <w:b/>
          <w:noProof/>
          <w:sz w:val="24"/>
          <w:lang w:val="pl-PL"/>
        </w:rPr>
        <w:t xml:space="preserve">erzającym do zmniejszenia barier regulacyjnych w sektorze detalicznym wywarłoby istotny pozytywny wpływ. </w:t>
      </w:r>
      <w:r>
        <w:rPr>
          <w:rFonts w:ascii="Times New Roman" w:hAnsi="Times New Roman"/>
          <w:noProof/>
          <w:sz w:val="24"/>
          <w:lang w:val="pl-PL"/>
        </w:rPr>
        <w:t>Większa presja konkurencyjna w następstwie ograniczenia barier poprawiłaby strukturę rynku i dynamikę inwestycji, co w efekcie doprowadziłoby do wejści</w:t>
      </w:r>
      <w:r>
        <w:rPr>
          <w:rFonts w:ascii="Times New Roman" w:hAnsi="Times New Roman"/>
          <w:noProof/>
          <w:sz w:val="24"/>
          <w:lang w:val="pl-PL"/>
        </w:rPr>
        <w:t>a na rynek bardziej wydajnych i innowacyjnych przedsiębiorstw. Konsumenci skorzystaliby z niższych cen, większej gamy usług i produktów o bardziej innowacyjnym charakterze i wyższej jakości, co przełożyłoby się na wzrost konsumpcji.</w:t>
      </w:r>
    </w:p>
    <w:p w:rsidR="006B6A85" w:rsidRDefault="00243683">
      <w:pPr>
        <w:autoSpaceDE w:val="0"/>
        <w:autoSpaceDN w:val="0"/>
        <w:adjustRightInd w:val="0"/>
        <w:spacing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Generalnie państwa czło</w:t>
      </w:r>
      <w:r>
        <w:rPr>
          <w:rFonts w:ascii="Times New Roman" w:hAnsi="Times New Roman"/>
          <w:b/>
          <w:noProof/>
          <w:sz w:val="24"/>
          <w:lang w:val="pl-PL"/>
        </w:rPr>
        <w:t>nkowskie poczyniły pewne postępy w zakresie poprawy otoczenia regulacyjnego w sektorze detalicznym, lecz nadal należy dołożyć większych starań.</w:t>
      </w:r>
      <w:r>
        <w:rPr>
          <w:rFonts w:ascii="Times New Roman" w:hAnsi="Times New Roman"/>
          <w:noProof/>
          <w:sz w:val="24"/>
          <w:lang w:val="pl-PL"/>
        </w:rPr>
        <w:t xml:space="preserve"> W szczególności istnieje wiele do zrobienia w zakresie poprawy warunków zakładania działalności. Finlandia znios</w:t>
      </w:r>
      <w:r>
        <w:rPr>
          <w:rFonts w:ascii="Times New Roman" w:hAnsi="Times New Roman"/>
          <w:noProof/>
          <w:sz w:val="24"/>
          <w:lang w:val="pl-PL"/>
        </w:rPr>
        <w:t>ła przepisy prawne regulujące godziny otwarcia i podjęła pewne działania w celu poprawy warunków zakładania działalności w sektorze detalicznym w drodze nowelizacji przepisów w zakresie zagospodarowania przestrzennego. Przeprowadzona w 2014 r. reforma sekt</w:t>
      </w:r>
      <w:r>
        <w:rPr>
          <w:rFonts w:ascii="Times New Roman" w:hAnsi="Times New Roman"/>
          <w:noProof/>
          <w:sz w:val="24"/>
          <w:lang w:val="pl-PL"/>
        </w:rPr>
        <w:t>ora detalicznego pozwoliła Hiszpanii przygotować grunt pod poprawę warunków zakładania i prowadzenia działalności. Korzyści płynące z tej reformy można jednak czerpać w praktyce tylko pod warunkiem, że wspólnoty autonomiczne przyjmą niezbędne akty wykonawc</w:t>
      </w:r>
      <w:r>
        <w:rPr>
          <w:rFonts w:ascii="Times New Roman" w:hAnsi="Times New Roman"/>
          <w:noProof/>
          <w:sz w:val="24"/>
          <w:lang w:val="pl-PL"/>
        </w:rPr>
        <w:t xml:space="preserve">ze. </w:t>
      </w:r>
    </w:p>
    <w:p w:rsidR="006B6A85" w:rsidRDefault="00243683">
      <w:pPr>
        <w:autoSpaceDE w:val="0"/>
        <w:autoSpaceDN w:val="0"/>
        <w:adjustRightInd w:val="0"/>
        <w:spacing w:line="240" w:lineRule="auto"/>
        <w:jc w:val="both"/>
        <w:rPr>
          <w:rFonts w:ascii="Times New Roman" w:eastAsia="Times New Roman" w:hAnsi="Times New Roman"/>
          <w:noProof/>
          <w:sz w:val="24"/>
          <w:szCs w:val="24"/>
          <w:lang w:val="pl-PL"/>
        </w:rPr>
      </w:pPr>
      <w:r>
        <w:rPr>
          <w:rFonts w:ascii="Times New Roman" w:hAnsi="Times New Roman"/>
          <w:b/>
          <w:noProof/>
          <w:sz w:val="24"/>
          <w:lang w:val="pl-PL"/>
        </w:rPr>
        <w:t>W sprawozdaniach krajowych podkreśla się ponadto potrzebę dalszych reform zmierzających do zmniejszenia barier na rynkach produktów.</w:t>
      </w:r>
      <w:r>
        <w:rPr>
          <w:rFonts w:ascii="Times New Roman" w:hAnsi="Times New Roman"/>
          <w:noProof/>
          <w:sz w:val="24"/>
          <w:lang w:val="pl-PL"/>
        </w:rPr>
        <w:t xml:space="preserve"> W ostatnich latach Włochy podjęły reformy mające na celu zmniejszenie ograniczeń rynkowych i zwiększenie konkurencji w</w:t>
      </w:r>
      <w:r>
        <w:rPr>
          <w:rFonts w:ascii="Times New Roman" w:hAnsi="Times New Roman"/>
          <w:noProof/>
          <w:sz w:val="24"/>
          <w:lang w:val="pl-PL"/>
        </w:rPr>
        <w:t xml:space="preserve"> drodze przyjęcia pakietu liberalizacji handlu w 2012 r. i niedawnego planu prywatyzacji i prawa konkurencji. Zakłada się, że większa konkurencja w sektorze energetycznym i sektorze telekomunikacji oraz plan prywatyzacji pobudziłyby wzrost PKB o blisko 0,2</w:t>
      </w:r>
      <w:r>
        <w:rPr>
          <w:rFonts w:ascii="Times New Roman" w:hAnsi="Times New Roman"/>
          <w:noProof/>
          <w:sz w:val="24"/>
          <w:lang w:val="pl-PL"/>
        </w:rPr>
        <w:t xml:space="preserve"> % w 2020 r. Niektóre państwa członkowskie nadal wykazują stosunkowo wysoki poziom obciążenia regulacyjnego na rynkach produktów w sektorach takich jak sektor energii elektrycznej, gazu, telekomunikacji, usług pocztowych, transportu kolejowego i drogowego.</w:t>
      </w:r>
      <w:r>
        <w:rPr>
          <w:rFonts w:ascii="Times New Roman" w:hAnsi="Times New Roman"/>
          <w:noProof/>
          <w:sz w:val="24"/>
          <w:lang w:val="pl-PL"/>
        </w:rPr>
        <w:t xml:space="preserve"> </w:t>
      </w:r>
    </w:p>
    <w:p w:rsidR="006B6A85" w:rsidRDefault="00243683">
      <w:pPr>
        <w:autoSpaceDE w:val="0"/>
        <w:autoSpaceDN w:val="0"/>
        <w:adjustRightInd w:val="0"/>
        <w:spacing w:line="240" w:lineRule="auto"/>
        <w:jc w:val="both"/>
        <w:rPr>
          <w:rFonts w:ascii="Times New Roman" w:hAnsi="Times New Roman"/>
          <w:noProof/>
          <w:sz w:val="24"/>
          <w:lang w:val="pl-PL"/>
        </w:rPr>
      </w:pPr>
      <w:r>
        <w:rPr>
          <w:rFonts w:ascii="Times New Roman" w:hAnsi="Times New Roman"/>
          <w:b/>
          <w:noProof/>
          <w:sz w:val="24"/>
          <w:lang w:val="pl-PL"/>
        </w:rPr>
        <w:t>Podjęte przez państwa członkowskie reformy zmierzające do poprawy wydajności korzystania z zasobów i wprowadzenia w większym zakresie gospodarki o obiegu zamkniętym będą jednym z czynników stymulujących inwestycje.</w:t>
      </w:r>
      <w:r>
        <w:rPr>
          <w:rFonts w:ascii="Times New Roman" w:hAnsi="Times New Roman"/>
          <w:noProof/>
          <w:sz w:val="24"/>
          <w:lang w:val="pl-PL"/>
        </w:rPr>
        <w:t xml:space="preserve"> Niektóre państwa członkowskie podejmują</w:t>
      </w:r>
      <w:r>
        <w:rPr>
          <w:rFonts w:ascii="Times New Roman" w:hAnsi="Times New Roman"/>
          <w:noProof/>
          <w:sz w:val="24"/>
          <w:lang w:val="pl-PL"/>
        </w:rPr>
        <w:t xml:space="preserve"> działania w tym kierunku. Belgia i Niderlandy wdrożyły programy zakładające ustanowienie gospodarki o obiegu zamkniętym. Portugalia przyjęła zobowiązanie dotyczące ekologicznego wzrostu gospodarczego, ustanawiając bardzo szeroki zestaw działań promujących</w:t>
      </w:r>
      <w:r>
        <w:rPr>
          <w:rFonts w:ascii="Times New Roman" w:hAnsi="Times New Roman"/>
          <w:noProof/>
          <w:sz w:val="24"/>
          <w:lang w:val="pl-PL"/>
        </w:rPr>
        <w:t xml:space="preserve"> przechodzenie na bardziej zasobooszczędną, ekologiczną i niskoemisyjną gospodarkę.</w:t>
      </w:r>
    </w:p>
    <w:p w:rsidR="006B6A85" w:rsidRDefault="006B6A85">
      <w:pPr>
        <w:autoSpaceDE w:val="0"/>
        <w:autoSpaceDN w:val="0"/>
        <w:adjustRightInd w:val="0"/>
        <w:spacing w:line="240" w:lineRule="auto"/>
        <w:jc w:val="both"/>
        <w:rPr>
          <w:rFonts w:ascii="Times New Roman" w:eastAsia="Times New Roman" w:hAnsi="Times New Roman"/>
          <w:noProof/>
          <w:sz w:val="24"/>
          <w:szCs w:val="24"/>
          <w:lang w:val="pl-PL"/>
        </w:rPr>
      </w:pP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i/>
          <w:noProof/>
          <w:sz w:val="24"/>
          <w:szCs w:val="24"/>
          <w:lang w:val="pl-PL"/>
        </w:rPr>
      </w:pPr>
      <w:r>
        <w:rPr>
          <w:rFonts w:ascii="Times New Roman" w:hAnsi="Times New Roman"/>
          <w:i/>
          <w:noProof/>
          <w:sz w:val="24"/>
          <w:lang w:val="pl-PL"/>
        </w:rPr>
        <w:t xml:space="preserve">Innowacje </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sz w:val="24"/>
          <w:lang w:val="pl-PL"/>
        </w:rPr>
        <w:t>Innowacje stymulują proces modernizacji gospodarki, przyciągają inwestycje i wspierają wzrost gospodarczy.</w:t>
      </w:r>
      <w:r>
        <w:rPr>
          <w:rFonts w:ascii="Times New Roman" w:hAnsi="Times New Roman"/>
          <w:i/>
          <w:noProof/>
          <w:lang w:val="pl-PL"/>
        </w:rPr>
        <w:t xml:space="preserve"> </w:t>
      </w:r>
      <w:r>
        <w:rPr>
          <w:rFonts w:ascii="Times New Roman" w:hAnsi="Times New Roman"/>
          <w:noProof/>
          <w:sz w:val="24"/>
          <w:lang w:val="pl-PL"/>
        </w:rPr>
        <w:t xml:space="preserve">Tworzenie warunków sprzyjających innowacji wymaga </w:t>
      </w:r>
      <w:r>
        <w:rPr>
          <w:rFonts w:ascii="Times New Roman" w:hAnsi="Times New Roman"/>
          <w:noProof/>
          <w:sz w:val="24"/>
          <w:lang w:val="pl-PL"/>
        </w:rPr>
        <w:t>połączenia zachęt finansowych i ściślejszych relacji między światem biznesu a środowiskiem akademickim.</w:t>
      </w:r>
      <w:r>
        <w:rPr>
          <w:rFonts w:ascii="Times New Roman" w:hAnsi="Times New Roman"/>
          <w:b/>
          <w:noProof/>
          <w:color w:val="000000"/>
          <w:sz w:val="24"/>
          <w:lang w:val="pl-PL"/>
        </w:rPr>
        <w:t xml:space="preserve"> </w:t>
      </w:r>
      <w:r>
        <w:rPr>
          <w:rFonts w:ascii="Times New Roman" w:hAnsi="Times New Roman"/>
          <w:noProof/>
          <w:color w:val="000000"/>
          <w:sz w:val="24"/>
          <w:lang w:val="pl-PL"/>
        </w:rPr>
        <w:t>By pobudzać badania, rozwój technologiczny i innowacje, coraz więcej państw członkowskich podkreśla znaczenie pośrednich środków wsparcia, takich jak bo</w:t>
      </w:r>
      <w:r>
        <w:rPr>
          <w:rFonts w:ascii="Times New Roman" w:hAnsi="Times New Roman"/>
          <w:noProof/>
          <w:color w:val="000000"/>
          <w:sz w:val="24"/>
          <w:lang w:val="pl-PL"/>
        </w:rPr>
        <w:t>dźce podatkowe. Przykładowo, na początku 2016 r. Polska wprowadziła nowe bodźce podatkowe w dziedzinie badań i rozwoju. Stosowane są również nowe zwolnienia z podatku w przypadku funduszy na sprzedaż udziałów i akcji kwalifikujących się spółek, co ma pobud</w:t>
      </w:r>
      <w:r>
        <w:rPr>
          <w:rFonts w:ascii="Times New Roman" w:hAnsi="Times New Roman"/>
          <w:noProof/>
          <w:color w:val="000000"/>
          <w:sz w:val="24"/>
          <w:lang w:val="pl-PL"/>
        </w:rPr>
        <w:t xml:space="preserve">zić finansowanie kapitałem własnym innowacyjnych przedsiębiorstw. Estonia podjęła inicjatywy mające na celu promowanie innowacji w dziedzinie udzielania zamówień publicznych i zapewniła finansowanie kilku ośrodków technologii i systemu bonów na innowacje, </w:t>
      </w:r>
      <w:r>
        <w:rPr>
          <w:rFonts w:ascii="Times New Roman" w:hAnsi="Times New Roman"/>
          <w:noProof/>
          <w:color w:val="000000"/>
          <w:sz w:val="24"/>
          <w:lang w:val="pl-PL"/>
        </w:rPr>
        <w:t>umożliwiając małym i średnim przedsiębiorstwom współpracę z uczelniami wyższymi i ośrodkami kompetencji. Należy jednak wzmocnić powiązania między środowiskiem akademickim, badaniami naukowymi i innowacjami w przedsiębiorstwach w wielu państwach członkowski</w:t>
      </w:r>
      <w:r>
        <w:rPr>
          <w:rFonts w:ascii="Times New Roman" w:hAnsi="Times New Roman"/>
          <w:noProof/>
          <w:color w:val="000000"/>
          <w:sz w:val="24"/>
          <w:lang w:val="pl-PL"/>
        </w:rPr>
        <w:t>ch, zwłaszcza w tych, gdzie ostatnio nastąpiła stagnacja, a nawet pogorszenie ogólnych wyników w zakresie innowacji, a także w państwach, które nadal wyraźnie nie nadążają za wynikami liderów innowacji pomimo niedawnych postępów.</w:t>
      </w:r>
    </w:p>
    <w:p w:rsidR="006B6A85" w:rsidRDefault="006B6A85">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p>
    <w:p w:rsidR="006B6A85" w:rsidRDefault="00243683">
      <w:pPr>
        <w:spacing w:before="120" w:after="120" w:line="240" w:lineRule="auto"/>
        <w:jc w:val="both"/>
        <w:rPr>
          <w:rFonts w:ascii="Times New Roman" w:hAnsi="Times New Roman"/>
          <w:b/>
          <w:i/>
          <w:noProof/>
          <w:sz w:val="24"/>
          <w:szCs w:val="24"/>
          <w:lang w:val="pl-PL"/>
        </w:rPr>
      </w:pPr>
      <w:r>
        <w:rPr>
          <w:rFonts w:ascii="Times New Roman" w:hAnsi="Times New Roman"/>
          <w:b/>
          <w:i/>
          <w:noProof/>
          <w:sz w:val="24"/>
          <w:lang w:val="pl-PL"/>
        </w:rPr>
        <w:t>5.3</w:t>
      </w:r>
      <w:r>
        <w:rPr>
          <w:rFonts w:ascii="Times New Roman" w:hAnsi="Times New Roman"/>
          <w:b/>
          <w:i/>
          <w:noProof/>
          <w:sz w:val="24"/>
          <w:lang w:val="pl-PL"/>
        </w:rPr>
        <w:tab/>
        <w:t>Odpowiedzialne polity</w:t>
      </w:r>
      <w:r>
        <w:rPr>
          <w:rFonts w:ascii="Times New Roman" w:hAnsi="Times New Roman"/>
          <w:b/>
          <w:i/>
          <w:noProof/>
          <w:sz w:val="24"/>
          <w:lang w:val="pl-PL"/>
        </w:rPr>
        <w:t>ki budżetowe</w:t>
      </w:r>
    </w:p>
    <w:p w:rsidR="006B6A85" w:rsidRDefault="006B6A85">
      <w:pPr>
        <w:spacing w:before="120" w:after="120" w:line="240" w:lineRule="auto"/>
        <w:jc w:val="both"/>
        <w:rPr>
          <w:rFonts w:ascii="Times New Roman" w:hAnsi="Times New Roman"/>
          <w:i/>
          <w:noProof/>
          <w:sz w:val="24"/>
          <w:szCs w:val="24"/>
          <w:lang w:val="pl-PL"/>
        </w:rPr>
      </w:pP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szCs w:val="24"/>
          <w:lang w:val="pl-PL"/>
        </w:rPr>
      </w:pPr>
      <w:r>
        <w:rPr>
          <w:rFonts w:ascii="Times New Roman" w:hAnsi="Times New Roman"/>
          <w:b/>
          <w:noProof/>
          <w:color w:val="000000"/>
          <w:sz w:val="24"/>
          <w:lang w:val="pl-PL"/>
        </w:rPr>
        <w:t xml:space="preserve">Chociaż nominalne deficyty budżetowe uległy znacznemu obniżeniu w ostatnich latach i prognozuje się ich dalszy spadek, niektóre państwa członkowskie nie spełniają wymogów określonych w pakcie stabilności i wzrostu. </w:t>
      </w:r>
      <w:r>
        <w:rPr>
          <w:rFonts w:ascii="Times New Roman" w:hAnsi="Times New Roman"/>
          <w:noProof/>
          <w:color w:val="000000"/>
          <w:sz w:val="24"/>
          <w:lang w:val="pl-PL"/>
        </w:rPr>
        <w:t>Zakłada się, że relacja dłu</w:t>
      </w:r>
      <w:r>
        <w:rPr>
          <w:rFonts w:ascii="Times New Roman" w:hAnsi="Times New Roman"/>
          <w:noProof/>
          <w:color w:val="000000"/>
          <w:sz w:val="24"/>
          <w:lang w:val="pl-PL"/>
        </w:rPr>
        <w:t xml:space="preserve">gu do PKB będzie stopniowo maleć w stosunku do maksymalnego poziomu osiągniętego w 2014 r. Głównym czynnikiem powodującym obniżenie deficytu w latach 2015–2017 jest ożywienie gospodarcze i niższe wydatki z tytułu odsetek, natomiast inne pozycje po stronie </w:t>
      </w:r>
      <w:r>
        <w:rPr>
          <w:rFonts w:ascii="Times New Roman" w:hAnsi="Times New Roman"/>
          <w:noProof/>
          <w:color w:val="000000"/>
          <w:sz w:val="24"/>
          <w:lang w:val="pl-PL"/>
        </w:rPr>
        <w:t>dochodów i wydatków generalnie wykazują tendencję wzrostową. W rezultacie przewiduje się nieznaczny wzrost deficytu strukturalnego w strefie euro, a następnie po latach stałej poprawy ma się on ustabilizować w UE. Polityki budżetowe należy oceniać pod kąte</w:t>
      </w:r>
      <w:r>
        <w:rPr>
          <w:rFonts w:ascii="Times New Roman" w:hAnsi="Times New Roman"/>
          <w:noProof/>
          <w:color w:val="000000"/>
          <w:sz w:val="24"/>
          <w:lang w:val="pl-PL"/>
        </w:rPr>
        <w:t xml:space="preserve">m dwóch celów, jakimi są długoterminowa stabilność finansów publicznych i wspieranie umiarkowanego ożywienia. </w:t>
      </w: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lang w:val="pl-PL"/>
        </w:rPr>
      </w:pPr>
      <w:r>
        <w:rPr>
          <w:rFonts w:ascii="Times New Roman" w:hAnsi="Times New Roman"/>
          <w:b/>
          <w:noProof/>
          <w:color w:val="000000"/>
          <w:sz w:val="24"/>
          <w:lang w:val="pl-PL"/>
        </w:rPr>
        <w:t>Nadanie strukturze dochodów i wydatków charakteru bardziej sprzyjającego wzrostowi gospodarczemu mogłoby stymulować ten wzrost.</w:t>
      </w:r>
      <w:r>
        <w:rPr>
          <w:rFonts w:ascii="Times New Roman" w:hAnsi="Times New Roman"/>
          <w:noProof/>
          <w:color w:val="000000"/>
          <w:sz w:val="24"/>
          <w:lang w:val="pl-PL"/>
        </w:rPr>
        <w:t xml:space="preserve"> Konieczne są dals</w:t>
      </w:r>
      <w:r>
        <w:rPr>
          <w:rFonts w:ascii="Times New Roman" w:hAnsi="Times New Roman"/>
          <w:noProof/>
          <w:color w:val="000000"/>
          <w:sz w:val="24"/>
          <w:lang w:val="pl-PL"/>
        </w:rPr>
        <w:t>ze postępy w kierunku zmniejszenia obciążenia podatkowego pracy. Korzystając z postępów w zakresie zwalczania uchylania się od opodatkowania i usprawniania administracji podatkowej, należy podjąć dalsze wysiłki, by systemy podatkowe były bardziej uczciwe i</w:t>
      </w:r>
      <w:r>
        <w:rPr>
          <w:rFonts w:ascii="Times New Roman" w:hAnsi="Times New Roman"/>
          <w:noProof/>
          <w:color w:val="000000"/>
          <w:sz w:val="24"/>
          <w:lang w:val="pl-PL"/>
        </w:rPr>
        <w:t xml:space="preserve"> efektywne, by wyeliminować czynniki zniechęcające do tworzenia miejsc pracy, by priorytetowo traktować wydatki sprzyjające wzrostowi gospodarczemu i podtrzymywać efektywne inwestycje publiczne. W tym względzie prognozowane dalsze obniżenie wskaźnika inwes</w:t>
      </w:r>
      <w:r>
        <w:rPr>
          <w:rFonts w:ascii="Times New Roman" w:hAnsi="Times New Roman"/>
          <w:noProof/>
          <w:color w:val="000000"/>
          <w:sz w:val="24"/>
          <w:lang w:val="pl-PL"/>
        </w:rPr>
        <w:t>tycji publicznych do PKB w latach 2015-2017 wskazuje na konieczność podjęcia dalszych działań.</w:t>
      </w:r>
    </w:p>
    <w:p w:rsidR="006B6A85" w:rsidRDefault="006B6A85">
      <w:pPr>
        <w:pBdr>
          <w:top w:val="nil"/>
          <w:left w:val="nil"/>
          <w:bottom w:val="nil"/>
          <w:right w:val="nil"/>
          <w:between w:val="nil"/>
          <w:bar w:val="nil"/>
        </w:pBdr>
        <w:spacing w:before="120" w:after="120" w:line="240" w:lineRule="auto"/>
        <w:jc w:val="both"/>
        <w:rPr>
          <w:rFonts w:ascii="Times New Roman" w:hAnsi="Times New Roman"/>
          <w:noProof/>
          <w:color w:val="000000"/>
          <w:sz w:val="24"/>
          <w:szCs w:val="24"/>
          <w:lang w:val="pl-PL"/>
        </w:rPr>
      </w:pP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8"/>
      </w:tblGrid>
      <w:tr w:rsidR="006B6A85" w:rsidRPr="00243683">
        <w:trPr>
          <w:trHeight w:val="601"/>
        </w:trPr>
        <w:tc>
          <w:tcPr>
            <w:tcW w:w="92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B6A85" w:rsidRDefault="00243683">
            <w:pPr>
              <w:pStyle w:val="Default"/>
              <w:spacing w:before="120" w:after="120"/>
              <w:jc w:val="both"/>
              <w:rPr>
                <w:noProof/>
                <w:sz w:val="20"/>
                <w:szCs w:val="20"/>
                <w:lang w:val="pl-PL"/>
              </w:rPr>
            </w:pPr>
            <w:r>
              <w:rPr>
                <w:b/>
                <w:i/>
                <w:noProof/>
                <w:sz w:val="20"/>
                <w:szCs w:val="20"/>
                <w:lang w:val="pl-PL"/>
              </w:rPr>
              <w:t>Ramka 1. Aktualne informacje na temat nadzoru w ramach paktu stabilności i wzrostu</w:t>
            </w:r>
          </w:p>
          <w:p w:rsidR="006B6A85" w:rsidRDefault="00243683">
            <w:pPr>
              <w:pStyle w:val="Default"/>
              <w:spacing w:before="120" w:after="120"/>
              <w:jc w:val="both"/>
              <w:rPr>
                <w:noProof/>
                <w:sz w:val="20"/>
                <w:szCs w:val="20"/>
                <w:lang w:val="pl-PL"/>
              </w:rPr>
            </w:pPr>
            <w:r>
              <w:rPr>
                <w:noProof/>
                <w:sz w:val="20"/>
                <w:szCs w:val="20"/>
                <w:lang w:val="pl-PL"/>
              </w:rPr>
              <w:t xml:space="preserve">W swojej ocenie projektów planów budżetowych na 2016 r. państw członkowskich </w:t>
            </w:r>
            <w:r>
              <w:rPr>
                <w:noProof/>
                <w:sz w:val="20"/>
                <w:szCs w:val="20"/>
                <w:lang w:val="pl-PL"/>
              </w:rPr>
              <w:t>należących do strefy euro, opublikowanej w listopadzie 2015 r., Komisja wskazała, że w przypadku czterech państw (Hiszpanii, Włoch, Litwy i Austrii</w:t>
            </w:r>
            <w:r>
              <w:rPr>
                <w:rStyle w:val="FootnoteReference"/>
                <w:noProof/>
                <w:sz w:val="20"/>
                <w:szCs w:val="20"/>
                <w:lang w:val="pl-PL"/>
              </w:rPr>
              <w:footnoteReference w:id="19"/>
            </w:r>
            <w:r>
              <w:rPr>
                <w:noProof/>
                <w:sz w:val="20"/>
                <w:szCs w:val="20"/>
                <w:lang w:val="pl-PL"/>
              </w:rPr>
              <w:t>), plany te rodziły ryzyko nieprzestrzegania postanowień paktu stabilności i wzrostu. Uznano, że projekty siedmiu państw (Belgii, Irlandii, Francji, Łotwy, Malty, Słowenii i Finlandii) były zasadniczo zgodne z paktem, natomiast Niemcy, Estonia, Luksemburg,</w:t>
            </w:r>
            <w:r>
              <w:rPr>
                <w:noProof/>
                <w:sz w:val="20"/>
                <w:szCs w:val="20"/>
                <w:lang w:val="pl-PL"/>
              </w:rPr>
              <w:t xml:space="preserve"> Niderlandy i Słowacja wypełniły wymogi na 2016 r. Portugalia nie przedłożyła projektu planu budżetowego w terminie, lecz dopiero dnia 22 stycznia 2016 r. z powodu wyborów krajowych w październiku 2015 r. i z uwagi na czas konieczny, by powołać nowy rząd. </w:t>
            </w:r>
          </w:p>
          <w:p w:rsidR="006B6A85" w:rsidRDefault="00243683">
            <w:pPr>
              <w:pStyle w:val="Default"/>
              <w:spacing w:before="120" w:after="120"/>
              <w:jc w:val="both"/>
              <w:rPr>
                <w:noProof/>
                <w:sz w:val="20"/>
                <w:szCs w:val="20"/>
                <w:lang w:val="pl-PL"/>
              </w:rPr>
            </w:pPr>
            <w:r>
              <w:rPr>
                <w:noProof/>
                <w:sz w:val="20"/>
                <w:szCs w:val="20"/>
                <w:lang w:val="pl-PL"/>
              </w:rPr>
              <w:t>W następstwie sfinalizowania budżetów na 2016 r. w przypadku większości państw członkowskich zimowa prognoza Komisji z 2016 r. stanowi podstawę oceny, jak państwa członkowskie uwzględniły opinie Komisji w sprawie ich projektów planów budżetowych i jak wyw</w:t>
            </w:r>
            <w:r>
              <w:rPr>
                <w:noProof/>
                <w:sz w:val="20"/>
                <w:szCs w:val="20"/>
                <w:lang w:val="pl-PL"/>
              </w:rPr>
              <w:t xml:space="preserve">iązały się ze swoich zobowiązań podjętych na forum Eurogrupy. </w:t>
            </w:r>
          </w:p>
          <w:p w:rsidR="006B6A85" w:rsidRDefault="00243683">
            <w:pPr>
              <w:pStyle w:val="Default"/>
              <w:numPr>
                <w:ilvl w:val="0"/>
                <w:numId w:val="38"/>
              </w:numPr>
              <w:spacing w:before="120" w:after="120"/>
              <w:jc w:val="both"/>
              <w:rPr>
                <w:noProof/>
                <w:sz w:val="20"/>
                <w:szCs w:val="20"/>
                <w:lang w:val="pl-PL"/>
              </w:rPr>
            </w:pPr>
            <w:r>
              <w:rPr>
                <w:noProof/>
                <w:sz w:val="20"/>
                <w:lang w:val="pl-PL"/>
              </w:rPr>
              <w:t>Prognozuje się, że Hiszpania nie osiągnie docelowego deficytu nominalnego wyznaczonego na 2015 r. i nie dokona terminowej i trwałej korekty do 2016 r., natomiast obecnie nie podejmuje zalecaneg</w:t>
            </w:r>
            <w:r>
              <w:rPr>
                <w:noProof/>
                <w:sz w:val="20"/>
                <w:lang w:val="pl-PL"/>
              </w:rPr>
              <w:t xml:space="preserve">o wysiłku fiskalnego. W związku z tym Komisja kieruje niezależne zalecenie do Hiszpanii w ramach obecnego pakietu. </w:t>
            </w:r>
          </w:p>
          <w:p w:rsidR="006B6A85" w:rsidRDefault="00243683">
            <w:pPr>
              <w:pStyle w:val="Default"/>
              <w:numPr>
                <w:ilvl w:val="0"/>
                <w:numId w:val="38"/>
              </w:numPr>
              <w:spacing w:after="120"/>
              <w:ind w:left="714" w:hanging="357"/>
              <w:jc w:val="both"/>
              <w:rPr>
                <w:noProof/>
                <w:sz w:val="20"/>
                <w:szCs w:val="20"/>
                <w:lang w:val="pl-PL"/>
              </w:rPr>
            </w:pPr>
            <w:r>
              <w:rPr>
                <w:noProof/>
                <w:sz w:val="20"/>
                <w:lang w:val="pl-PL"/>
              </w:rPr>
              <w:t>W przypadku Belgii, Finlandii i Włoch Komisja kontynuuje ścisłe monitorowanie przestrzegania przez te państwa kryterium długu i podkreśla wa</w:t>
            </w:r>
            <w:r>
              <w:rPr>
                <w:noProof/>
                <w:sz w:val="20"/>
                <w:lang w:val="pl-PL"/>
              </w:rPr>
              <w:t>gę konsekwentnego i zdecydowanego przestrzegania zalecanych korekt strukturalnych zgodnie z paktem. Komisja dokona ponownej oceny sytuacji w maju na podstawie danych liczbowych dotyczących wyniku za 2015 r., programów stabilności, które mają się wkrótce uk</w:t>
            </w:r>
            <w:r>
              <w:rPr>
                <w:noProof/>
                <w:sz w:val="20"/>
                <w:lang w:val="pl-PL"/>
              </w:rPr>
              <w:t>azać, i prognoz Komisji z wiosny 2016 r.</w:t>
            </w:r>
          </w:p>
          <w:p w:rsidR="006B6A85" w:rsidRDefault="00243683">
            <w:pPr>
              <w:pStyle w:val="Default"/>
              <w:numPr>
                <w:ilvl w:val="0"/>
                <w:numId w:val="38"/>
              </w:numPr>
              <w:jc w:val="both"/>
              <w:rPr>
                <w:noProof/>
                <w:sz w:val="20"/>
                <w:szCs w:val="20"/>
                <w:lang w:val="pl-PL"/>
              </w:rPr>
            </w:pPr>
            <w:r>
              <w:rPr>
                <w:noProof/>
                <w:sz w:val="20"/>
                <w:lang w:val="pl-PL"/>
              </w:rPr>
              <w:t>Dnia 22 stycznia 2016 r. Portugalia przedłożyła swój projekt planu budżetowego. Został on zaopiniowany przez Komisję, która stwierdziła, że istnieje ryzyko, że plany rządowe mogą okazać się niezgodne z paktem stabil</w:t>
            </w:r>
            <w:r>
              <w:rPr>
                <w:noProof/>
                <w:sz w:val="20"/>
                <w:lang w:val="pl-PL"/>
              </w:rPr>
              <w:t>ności i wzrostu, i zwróciła się do władz o podjęcie niezbędnych środków w ramach krajowego procesu budżetowego, by zapewnić zgodność budżetu na 2016 r. z paktem stabilności i wzrostu. Komisja dokona ponownej oceny sytuacji w maju na podstawie krajowego pro</w:t>
            </w:r>
            <w:r>
              <w:rPr>
                <w:noProof/>
                <w:sz w:val="20"/>
                <w:lang w:val="pl-PL"/>
              </w:rPr>
              <w:t>gramu reform Portugalii.</w:t>
            </w:r>
          </w:p>
          <w:p w:rsidR="006B6A85" w:rsidRDefault="00243683">
            <w:pPr>
              <w:pStyle w:val="Default"/>
              <w:spacing w:before="120" w:after="120"/>
              <w:jc w:val="both"/>
              <w:rPr>
                <w:b/>
                <w:bCs/>
                <w:i/>
                <w:iCs/>
                <w:noProof/>
                <w:lang w:val="pl-PL"/>
              </w:rPr>
            </w:pPr>
            <w:r>
              <w:rPr>
                <w:noProof/>
                <w:sz w:val="20"/>
                <w:lang w:val="pl-PL"/>
              </w:rPr>
              <w:t>Komisja będzie monitorować rozwój sytuacji budżetowej wszystkich państw członkowskich w kontekście europejskiego semestru na podstawie krajowych programów reform i programu stabilności lub programu konwergencji, które mają zostać p</w:t>
            </w:r>
            <w:r>
              <w:rPr>
                <w:noProof/>
                <w:sz w:val="20"/>
                <w:lang w:val="pl-PL"/>
              </w:rPr>
              <w:t>rzedłożone do połowy kwietnia, oraz przekaże swoje zalecenia w maju, podejmując w razie konieczności inne działania proceduralne przewidziane w pakcie.</w:t>
            </w:r>
          </w:p>
        </w:tc>
      </w:tr>
    </w:tbl>
    <w:p w:rsidR="006B6A85" w:rsidRDefault="006B6A85">
      <w:pPr>
        <w:autoSpaceDE w:val="0"/>
        <w:autoSpaceDN w:val="0"/>
        <w:adjustRightInd w:val="0"/>
        <w:spacing w:before="120" w:after="120" w:line="240" w:lineRule="auto"/>
        <w:jc w:val="both"/>
        <w:rPr>
          <w:rFonts w:ascii="Times New Roman" w:hAnsi="Times New Roman"/>
          <w:noProof/>
          <w:sz w:val="24"/>
          <w:szCs w:val="24"/>
          <w:lang w:val="pl-PL"/>
        </w:rPr>
      </w:pPr>
    </w:p>
    <w:p w:rsidR="006B6A85" w:rsidRDefault="00243683">
      <w:pPr>
        <w:autoSpaceDE w:val="0"/>
        <w:autoSpaceDN w:val="0"/>
        <w:adjustRightInd w:val="0"/>
        <w:spacing w:before="120" w:after="120" w:line="240" w:lineRule="auto"/>
        <w:jc w:val="both"/>
        <w:rPr>
          <w:rFonts w:ascii="Times New Roman" w:hAnsi="Times New Roman"/>
          <w:noProof/>
          <w:sz w:val="24"/>
          <w:szCs w:val="24"/>
          <w:lang w:val="pl-PL"/>
        </w:rPr>
      </w:pPr>
      <w:r>
        <w:rPr>
          <w:rFonts w:ascii="Times New Roman" w:hAnsi="Times New Roman"/>
          <w:noProof/>
          <w:sz w:val="24"/>
          <w:lang w:val="pl-PL"/>
        </w:rPr>
        <w:t xml:space="preserve">Sprawozdania krajowe zwierają ponadto ocenę odpowiedzi państw członkowskich na zalecenia wzywające do wzmocnienia wymiaru instytucjonalnego i długookresowego ich polityki budżetowej. </w:t>
      </w:r>
    </w:p>
    <w:p w:rsidR="006B6A85" w:rsidRDefault="00243683">
      <w:pPr>
        <w:spacing w:before="120" w:after="120" w:line="240" w:lineRule="auto"/>
        <w:jc w:val="both"/>
        <w:rPr>
          <w:rFonts w:ascii="Times New Roman" w:hAnsi="Times New Roman"/>
          <w:i/>
          <w:noProof/>
          <w:sz w:val="24"/>
          <w:szCs w:val="24"/>
          <w:lang w:val="pl-PL"/>
        </w:rPr>
      </w:pPr>
      <w:r>
        <w:rPr>
          <w:rFonts w:ascii="Times New Roman" w:hAnsi="Times New Roman"/>
          <w:i/>
          <w:noProof/>
          <w:sz w:val="24"/>
          <w:lang w:val="pl-PL"/>
        </w:rPr>
        <w:t>Organy budżetowe i sprawowanie rządów oraz długoterminowa stabilność fin</w:t>
      </w:r>
      <w:r>
        <w:rPr>
          <w:rFonts w:ascii="Times New Roman" w:hAnsi="Times New Roman"/>
          <w:i/>
          <w:noProof/>
          <w:sz w:val="24"/>
          <w:lang w:val="pl-PL"/>
        </w:rPr>
        <w:t>ansów publicznych</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Wiele państw członkowskich podjęło działania, by wzmocnić różne aspekty krajowych ram budżetowych.</w:t>
      </w:r>
      <w:r>
        <w:rPr>
          <w:rFonts w:ascii="Times New Roman" w:hAnsi="Times New Roman"/>
          <w:noProof/>
          <w:sz w:val="24"/>
          <w:lang w:val="pl-PL"/>
        </w:rPr>
        <w:t xml:space="preserve"> Widoczne są postępy w tworzeniu solidniejszych krajowych ram budżetowych, które mają zasadnicze znaczenie dla wypracowania i stosowania wła</w:t>
      </w:r>
      <w:r>
        <w:rPr>
          <w:rFonts w:ascii="Times New Roman" w:hAnsi="Times New Roman"/>
          <w:noProof/>
          <w:sz w:val="24"/>
          <w:lang w:val="pl-PL"/>
        </w:rPr>
        <w:t>ściwej polityki budżetowej. Bułgaria przyjęła przepisy prawne określające warunki korygowania odchyleń. Chorwacja podjęła pewne wysiłki, by doprecyzować planowanie budżetu i wzmocnić kontrolę wydatków. Portugalia przeprowadziła kolejne reformy ustawy budże</w:t>
      </w:r>
      <w:r>
        <w:rPr>
          <w:rFonts w:ascii="Times New Roman" w:hAnsi="Times New Roman"/>
          <w:noProof/>
          <w:sz w:val="24"/>
          <w:lang w:val="pl-PL"/>
        </w:rPr>
        <w:t>towej, a Słowenia przyjęła przepisy wykonawcze odnoszące się do zapisanej w konstytucji tego kraju zasady salda budżetowego. Ponadto w niektórych państwach członkowskich ustanowiono niezależne organy budżetowe monitorujące stosowanie krajowych przepisów bu</w:t>
      </w:r>
      <w:r>
        <w:rPr>
          <w:rFonts w:ascii="Times New Roman" w:hAnsi="Times New Roman"/>
          <w:noProof/>
          <w:sz w:val="24"/>
          <w:lang w:val="pl-PL"/>
        </w:rPr>
        <w:t xml:space="preserve">dżetowych i planów budżetowych lub wzmocniono ich pozycję. Dotychczas Republika Czeska i Polska pozostają jedynymi państwami członkowskimi, które nie uchwaliły przepisów w sprawie powołania rad budżetowych. </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b/>
          <w:noProof/>
          <w:sz w:val="24"/>
          <w:lang w:val="pl-PL"/>
        </w:rPr>
        <w:t>Komisja prowadzi obecnie przegląd transpozycji d</w:t>
      </w:r>
      <w:r>
        <w:rPr>
          <w:rFonts w:ascii="Times New Roman" w:hAnsi="Times New Roman"/>
          <w:b/>
          <w:noProof/>
          <w:sz w:val="24"/>
          <w:lang w:val="pl-PL"/>
        </w:rPr>
        <w:t>o prawa krajowego reguł określonych w tzw. pakcie fiskalnym</w:t>
      </w:r>
      <w:r>
        <w:rPr>
          <w:rFonts w:ascii="Times New Roman" w:hAnsi="Times New Roman"/>
          <w:b/>
          <w:noProof/>
          <w:color w:val="000000"/>
          <w:sz w:val="20"/>
          <w:vertAlign w:val="superscript"/>
          <w:lang w:val="pl-PL"/>
        </w:rPr>
        <w:footnoteReference w:id="20"/>
      </w:r>
      <w:r>
        <w:rPr>
          <w:rFonts w:ascii="Times New Roman" w:hAnsi="Times New Roman"/>
          <w:noProof/>
          <w:sz w:val="24"/>
          <w:lang w:val="pl-PL"/>
        </w:rPr>
        <w:t xml:space="preserve">, które mają na celu zapewnienie większej spójności między krajowymi i europejskimi ramami budżetowymi oraz zwiększenie poczucia odpowiedzialności za ich przestrzeganie w państwach członkowskich. </w:t>
      </w:r>
      <w:r>
        <w:rPr>
          <w:rFonts w:ascii="Times New Roman" w:hAnsi="Times New Roman"/>
          <w:noProof/>
          <w:sz w:val="24"/>
          <w:lang w:val="pl-PL"/>
        </w:rPr>
        <w:t>Komisja bierze udział w konsultacjach ze stronami umawiającymi się, by umożliwić im zgłaszanie uwag do ustaleń Komisji, jak przewiduje art. 8 ust. 1 Traktatu o stabilności, koordynacji i zarządzaniu w unii gospodarczej i walutowej, zanim Komisja przyjmie s</w:t>
      </w:r>
      <w:r>
        <w:rPr>
          <w:rFonts w:ascii="Times New Roman" w:hAnsi="Times New Roman"/>
          <w:noProof/>
          <w:sz w:val="24"/>
          <w:lang w:val="pl-PL"/>
        </w:rPr>
        <w:t>woje sprawozdanie w 2016 r.</w:t>
      </w: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szCs w:val="24"/>
          <w:lang w:val="pl-PL"/>
        </w:rPr>
      </w:pPr>
      <w:r>
        <w:rPr>
          <w:rFonts w:ascii="Times New Roman" w:hAnsi="Times New Roman"/>
          <w:b/>
          <w:noProof/>
          <w:lang w:val="pl-PL"/>
        </w:rPr>
        <w:t>Prognozowany wzrost wydatków związanych ze starzeniem się społeczeństwa mógłby zagrażać stabilności finansów publicznych w perspektywie średnio- i długoterminowej.</w:t>
      </w:r>
      <w:r>
        <w:rPr>
          <w:rFonts w:ascii="Times New Roman" w:hAnsi="Times New Roman"/>
          <w:noProof/>
          <w:color w:val="000000"/>
          <w:sz w:val="24"/>
          <w:lang w:val="pl-PL"/>
        </w:rPr>
        <w:t xml:space="preserve"> Społeczeństwo w UE, zwłaszcza w strefie euro, starzeje się w szybkim tempie. Zakłada się, że przez najbliższe cztery dekady liczba ludności w wieku produkcyjnym będzie maleć średnio o 0,4 % w skali roku. Starzenie się społeczeństwa wpływa bezpośrednio na </w:t>
      </w:r>
      <w:r>
        <w:rPr>
          <w:rFonts w:ascii="Times New Roman" w:hAnsi="Times New Roman"/>
          <w:noProof/>
          <w:color w:val="000000"/>
          <w:sz w:val="24"/>
          <w:lang w:val="pl-PL"/>
        </w:rPr>
        <w:t>finanse publiczne z uwagi na wydatki na emerytury, opiekę zdrowotną i długoterminową opiekę. O ile nie zostaną podjęte środki naprawcze, ponad połowa państw członkowskich stanie w obliczu umiarkowanych lub poważnych wyzwań związanych ze stabilnością finans</w:t>
      </w:r>
      <w:r>
        <w:rPr>
          <w:rFonts w:ascii="Times New Roman" w:hAnsi="Times New Roman"/>
          <w:noProof/>
          <w:color w:val="000000"/>
          <w:sz w:val="24"/>
          <w:lang w:val="pl-PL"/>
        </w:rPr>
        <w:t>ów publicznych.</w:t>
      </w:r>
      <w:r>
        <w:rPr>
          <w:rFonts w:ascii="Times New Roman" w:hAnsi="Times New Roman"/>
          <w:noProof/>
          <w:color w:val="000000"/>
          <w:sz w:val="24"/>
          <w:vertAlign w:val="superscript"/>
          <w:lang w:val="pl-PL"/>
        </w:rPr>
        <w:footnoteReference w:id="21"/>
      </w:r>
      <w:r>
        <w:rPr>
          <w:rFonts w:ascii="Times New Roman" w:hAnsi="Times New Roman"/>
          <w:noProof/>
          <w:color w:val="000000"/>
          <w:sz w:val="24"/>
          <w:lang w:val="pl-PL"/>
        </w:rPr>
        <w:t xml:space="preserve"> W wielu państwach osiągnięto zadowalające postępy i od początku kryzysu udało się zmniejszyć skalę długoterminowych problemów związanych ze stabilnością, przede wszystkim za sprawą wdrożenia reform emerytalnych i niedawnej konsolidacji bud</w:t>
      </w:r>
      <w:r>
        <w:rPr>
          <w:rFonts w:ascii="Times New Roman" w:hAnsi="Times New Roman"/>
          <w:noProof/>
          <w:color w:val="000000"/>
          <w:sz w:val="24"/>
          <w:lang w:val="pl-PL"/>
        </w:rPr>
        <w:t>żetowej. Nadal jednak należy mierzyć się z poważnymi problemami w związku z prognozowanymi wydatkami związanymi ze starzeniem się społeczeństwa.</w:t>
      </w:r>
    </w:p>
    <w:p w:rsidR="006B6A85" w:rsidRDefault="00243683">
      <w:pPr>
        <w:pBdr>
          <w:top w:val="nil"/>
          <w:left w:val="nil"/>
          <w:bottom w:val="nil"/>
          <w:right w:val="nil"/>
          <w:between w:val="nil"/>
          <w:bar w:val="nil"/>
        </w:pBdr>
        <w:spacing w:before="120" w:after="120" w:line="240" w:lineRule="auto"/>
        <w:jc w:val="both"/>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 xml:space="preserve">Postępy we wdrażaniu reform systemów emerytalnych przebiegają różnie w poszczególnych państwach członkowskich. </w:t>
      </w:r>
      <w:r>
        <w:rPr>
          <w:rFonts w:ascii="Times New Roman" w:hAnsi="Times New Roman"/>
          <w:noProof/>
          <w:color w:val="000000"/>
          <w:sz w:val="24"/>
          <w:lang w:val="pl-PL"/>
        </w:rPr>
        <w:t>W zeszłorocznych zaleceniach dla poszczególnych krajów system emerytalny uznano za wyzwanie długoterminowe w wielu państwach członkowskich (w Belgii, Bułgarii, Chorwacji, na Litwie, w Luksemburga, na Malcie, w Austrii, Polsce, Portugalii, Rumunii i Słoweni</w:t>
      </w:r>
      <w:r>
        <w:rPr>
          <w:rFonts w:ascii="Times New Roman" w:hAnsi="Times New Roman"/>
          <w:noProof/>
          <w:color w:val="000000"/>
          <w:sz w:val="24"/>
          <w:lang w:val="pl-PL"/>
        </w:rPr>
        <w:t>i). Belgia przyjęła ostatnią część reformy emerytalnej uzgodnionej w 2014 r., która dotyczyła przede wszystkim podniesienia ustawowego wieku emerytalnego do 66 lat w 2025 r. i 67 lat w 2030 r. W listopadzie 2015 r. parlament fiński uchwalił reformę emeryta</w:t>
      </w:r>
      <w:r>
        <w:rPr>
          <w:rFonts w:ascii="Times New Roman" w:hAnsi="Times New Roman"/>
          <w:noProof/>
          <w:color w:val="000000"/>
          <w:sz w:val="24"/>
          <w:lang w:val="pl-PL"/>
        </w:rPr>
        <w:t xml:space="preserve">lną. W szczególności planuje się stopniowe podwyższanie wieku uprawniającego do przejścia na emeryturę do 65 lat do 2025 r. Od 2027 r. wiek uprawniający do przejścia na emeryturę będzie powiązany ze średnim dalszym trwaniem życia, tak by stosunek długości </w:t>
      </w:r>
      <w:r>
        <w:rPr>
          <w:rFonts w:ascii="Times New Roman" w:hAnsi="Times New Roman"/>
          <w:noProof/>
          <w:color w:val="000000"/>
          <w:sz w:val="24"/>
          <w:lang w:val="pl-PL"/>
        </w:rPr>
        <w:t>stażu pracy do czasu spędzonego na emeryturze utrzymał się na poziomie z 2025 r. We Francji porozumienie zawarte między partnerami społecznymi w październiku 2015 r. ma poprawić sytuację finansową uzupełniającego systemu emerytalno-rentowego.</w:t>
      </w:r>
    </w:p>
    <w:p w:rsidR="006B6A85"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lang w:val="pl-PL"/>
        </w:rPr>
      </w:pPr>
      <w:r>
        <w:rPr>
          <w:rFonts w:ascii="Times New Roman" w:hAnsi="Times New Roman"/>
          <w:b/>
          <w:noProof/>
          <w:color w:val="000000"/>
          <w:sz w:val="24"/>
          <w:lang w:val="pl-PL"/>
        </w:rPr>
        <w:t>W przypadku s</w:t>
      </w:r>
      <w:r>
        <w:rPr>
          <w:rFonts w:ascii="Times New Roman" w:hAnsi="Times New Roman"/>
          <w:b/>
          <w:noProof/>
          <w:color w:val="000000"/>
          <w:sz w:val="24"/>
          <w:lang w:val="pl-PL"/>
        </w:rPr>
        <w:t xml:space="preserve">zeregu państw członkowskich w zaleceniach dla poszczególnych krajów stwierdzono, że systemy opieki zdrowotnej wymagają szczególnej uwagi. </w:t>
      </w:r>
      <w:r>
        <w:rPr>
          <w:rFonts w:ascii="Times New Roman" w:hAnsi="Times New Roman"/>
          <w:noProof/>
          <w:color w:val="000000"/>
          <w:sz w:val="24"/>
          <w:lang w:val="pl-PL"/>
        </w:rPr>
        <w:t>Postępy w zakresie reform systemów opieki zdrowotnej, które mają na celu zapewnienie wydajności i dostępności usług zd</w:t>
      </w:r>
      <w:r>
        <w:rPr>
          <w:rFonts w:ascii="Times New Roman" w:hAnsi="Times New Roman"/>
          <w:noProof/>
          <w:color w:val="000000"/>
          <w:sz w:val="24"/>
          <w:lang w:val="pl-PL"/>
        </w:rPr>
        <w:t>rowotnych, różnią się w poszczególnych państwach członkowskich. Irlandia, Hiszpania i Rumunia podjęły działania, by kontrolować wydatki na produkty lecznicze. Rumunia poczyniła postępy w zakresie rozwiązania problemu niewydajnego korzystania z zasobów, a I</w:t>
      </w:r>
      <w:r>
        <w:rPr>
          <w:rFonts w:ascii="Times New Roman" w:hAnsi="Times New Roman"/>
          <w:noProof/>
          <w:color w:val="000000"/>
          <w:sz w:val="24"/>
          <w:lang w:val="pl-PL"/>
        </w:rPr>
        <w:t>rlandia – w zakresie wdrożenia finansowania opartego na kosztach działań. Słowacja wzmocniła rolę lekarzy pierwszego kontaktu polegającą na kierowaniu pacjentów na konsultacje specjalistyczne, usprawniła audyty finansowe i system informacyjny. Republika Cz</w:t>
      </w:r>
      <w:r>
        <w:rPr>
          <w:rFonts w:ascii="Times New Roman" w:hAnsi="Times New Roman"/>
          <w:noProof/>
          <w:color w:val="000000"/>
          <w:sz w:val="24"/>
          <w:lang w:val="pl-PL"/>
        </w:rPr>
        <w:t>eska poprawia wydajność szpitali, przejrzystość umów między ubezpieczycielami i dostawcami usług oraz centralizację procedur udzielania zamówień publicznych. Reformy zainicjowane w szeregu państw członkowskich należy kontynuować i pogłębiać, by zapewnić tr</w:t>
      </w:r>
      <w:r>
        <w:rPr>
          <w:rFonts w:ascii="Times New Roman" w:hAnsi="Times New Roman"/>
          <w:noProof/>
          <w:color w:val="000000"/>
          <w:sz w:val="24"/>
          <w:lang w:val="pl-PL"/>
        </w:rPr>
        <w:t>wałą bazę finansowania systemów ochrony zdrowia, a także zagwarantować wszystkim odpowiedni dostęp do skutecznej opieki zdrowotnej.</w:t>
      </w:r>
    </w:p>
    <w:p w:rsidR="00243683" w:rsidRDefault="00243683">
      <w:pPr>
        <w:pBdr>
          <w:top w:val="nil"/>
          <w:left w:val="nil"/>
          <w:bottom w:val="nil"/>
          <w:right w:val="nil"/>
          <w:between w:val="nil"/>
          <w:bar w:val="nil"/>
        </w:pBdr>
        <w:spacing w:before="120" w:after="120" w:line="240" w:lineRule="auto"/>
        <w:jc w:val="both"/>
        <w:rPr>
          <w:rFonts w:ascii="Times New Roman" w:hAnsi="Times New Roman"/>
          <w:noProof/>
          <w:color w:val="000000"/>
          <w:sz w:val="24"/>
          <w:szCs w:val="24"/>
          <w:lang w:val="pl-PL"/>
        </w:rPr>
      </w:pPr>
      <w:bookmarkStart w:id="1" w:name="_GoBack"/>
      <w:bookmarkEnd w:id="1"/>
    </w:p>
    <w:p w:rsidR="006B6A85" w:rsidRDefault="006B6A85">
      <w:pPr>
        <w:spacing w:before="120" w:after="120" w:line="240" w:lineRule="auto"/>
        <w:jc w:val="both"/>
        <w:rPr>
          <w:rFonts w:ascii="Times New Roman" w:hAnsi="Times New Roman"/>
          <w:b/>
          <w:noProof/>
          <w:sz w:val="12"/>
          <w:szCs w:val="12"/>
          <w:lang w:val="pl-PL"/>
        </w:rPr>
      </w:pPr>
    </w:p>
    <w:p w:rsidR="006B6A85" w:rsidRDefault="00243683">
      <w:pPr>
        <w:spacing w:before="120" w:after="120" w:line="240" w:lineRule="auto"/>
        <w:jc w:val="both"/>
        <w:rPr>
          <w:rFonts w:ascii="Times New Roman" w:hAnsi="Times New Roman"/>
          <w:b/>
          <w:smallCaps/>
          <w:noProof/>
          <w:sz w:val="26"/>
          <w:szCs w:val="24"/>
          <w:lang w:val="pl-PL"/>
        </w:rPr>
      </w:pPr>
      <w:r>
        <w:rPr>
          <w:rFonts w:ascii="Times New Roman" w:hAnsi="Times New Roman"/>
          <w:b/>
          <w:smallCaps/>
          <w:noProof/>
          <w:sz w:val="26"/>
          <w:lang w:val="pl-PL"/>
        </w:rPr>
        <w:t>6.</w:t>
      </w:r>
      <w:r>
        <w:rPr>
          <w:rFonts w:ascii="Times New Roman" w:hAnsi="Times New Roman"/>
          <w:b/>
          <w:smallCaps/>
          <w:noProof/>
          <w:sz w:val="26"/>
          <w:lang w:val="pl-PL"/>
        </w:rPr>
        <w:tab/>
        <w:t>Dalsze działania</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noProof/>
          <w:lang w:val="pl-PL"/>
        </w:rPr>
        <w:br/>
      </w:r>
      <w:r>
        <w:rPr>
          <w:rFonts w:ascii="Times New Roman" w:hAnsi="Times New Roman"/>
          <w:noProof/>
          <w:sz w:val="24"/>
          <w:lang w:val="pl-PL"/>
        </w:rPr>
        <w:t>W następstwie dyskusji w Radzie i szerzej zakrojonego dialogu z Parlamentem Europejskim, partnerami sp</w:t>
      </w:r>
      <w:r>
        <w:rPr>
          <w:rFonts w:ascii="Times New Roman" w:hAnsi="Times New Roman"/>
          <w:noProof/>
          <w:sz w:val="24"/>
          <w:lang w:val="pl-PL"/>
        </w:rPr>
        <w:t>ołecznymi i zainteresowanymi stronami, na posiedzeniu w dniach 18-19 lutego 2016 r. Rada Europejska zatwierdziła zalecenia dotyczące polityki gospodarczej w strefie euro.</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noProof/>
          <w:sz w:val="24"/>
          <w:lang w:val="pl-PL"/>
        </w:rPr>
        <w:t>Analiza zawarta w sprawozdaniach krajowych zostanie przedyskutowana z państwami człon</w:t>
      </w:r>
      <w:r>
        <w:rPr>
          <w:rFonts w:ascii="Times New Roman" w:hAnsi="Times New Roman"/>
          <w:noProof/>
          <w:sz w:val="24"/>
          <w:lang w:val="pl-PL"/>
        </w:rPr>
        <w:t xml:space="preserve">kowskimi na posiedzeniach dwustronnych. Wiceprzewodniczący Komisji i komisarze złożą wizyty w państwach członkowskich, by spotkać się z przedstawicielami rządów, parlamentów narodowych, partnerami społecznymi i innymi zainteresowanymi stronami. </w:t>
      </w:r>
    </w:p>
    <w:p w:rsidR="006B6A85" w:rsidRDefault="00243683">
      <w:pPr>
        <w:spacing w:before="120" w:after="120" w:line="240" w:lineRule="auto"/>
        <w:jc w:val="both"/>
        <w:rPr>
          <w:rFonts w:ascii="Times New Roman" w:hAnsi="Times New Roman"/>
          <w:noProof/>
          <w:sz w:val="24"/>
          <w:szCs w:val="24"/>
          <w:lang w:val="pl-PL"/>
        </w:rPr>
      </w:pPr>
      <w:r>
        <w:rPr>
          <w:rFonts w:ascii="Times New Roman" w:hAnsi="Times New Roman"/>
          <w:noProof/>
          <w:sz w:val="24"/>
          <w:lang w:val="pl-PL"/>
        </w:rPr>
        <w:t>Państwa cz</w:t>
      </w:r>
      <w:r>
        <w:rPr>
          <w:rFonts w:ascii="Times New Roman" w:hAnsi="Times New Roman"/>
          <w:noProof/>
          <w:sz w:val="24"/>
          <w:lang w:val="pl-PL"/>
        </w:rPr>
        <w:t>łonkowskie mają ustosunkować się do stwierdzonych problemów w swoich krajowych programach reform, a także programie stabilności lub programie konwergencji, które następnie zostaną opublikowane i przedstawione Komisji do połowy kwietnia. Komisja wezwała pań</w:t>
      </w:r>
      <w:r>
        <w:rPr>
          <w:rFonts w:ascii="Times New Roman" w:hAnsi="Times New Roman"/>
          <w:noProof/>
          <w:sz w:val="24"/>
          <w:lang w:val="pl-PL"/>
        </w:rPr>
        <w:t xml:space="preserve">stwa członkowskie do podjęcia intensywnych konsultacji z parlamentami narodowymi i partnerami społecznymi w trakcie prac nad krajowymi programami. </w:t>
      </w:r>
    </w:p>
    <w:p w:rsidR="006B6A85" w:rsidRDefault="00243683">
      <w:pPr>
        <w:spacing w:before="120" w:after="120" w:line="240" w:lineRule="auto"/>
        <w:jc w:val="both"/>
        <w:rPr>
          <w:rFonts w:ascii="Times New Roman" w:hAnsi="Times New Roman"/>
          <w:noProof/>
          <w:lang w:val="pl-PL"/>
        </w:rPr>
      </w:pPr>
      <w:r>
        <w:rPr>
          <w:rFonts w:ascii="Times New Roman" w:hAnsi="Times New Roman"/>
          <w:noProof/>
          <w:sz w:val="24"/>
          <w:lang w:val="pl-PL"/>
        </w:rPr>
        <w:t xml:space="preserve"> </w:t>
      </w:r>
    </w:p>
    <w:p w:rsidR="006B6A85" w:rsidRDefault="00243683">
      <w:pPr>
        <w:keepNext/>
        <w:pageBreakBefore/>
        <w:tabs>
          <w:tab w:val="left" w:pos="0"/>
        </w:tabs>
        <w:spacing w:before="120" w:after="120" w:line="240" w:lineRule="auto"/>
        <w:outlineLvl w:val="0"/>
        <w:rPr>
          <w:rFonts w:ascii="Times New Roman" w:eastAsia="Times New Roman" w:hAnsi="Times New Roman"/>
          <w:b/>
          <w:smallCaps/>
          <w:noProof/>
          <w:sz w:val="24"/>
          <w:szCs w:val="24"/>
          <w:lang w:val="pl-PL"/>
        </w:rPr>
      </w:pPr>
      <w:r>
        <w:rPr>
          <w:rFonts w:ascii="Times New Roman" w:hAnsi="Times New Roman"/>
          <w:b/>
          <w:smallCaps/>
          <w:noProof/>
          <w:sz w:val="24"/>
          <w:lang w:val="pl-PL"/>
        </w:rPr>
        <w:t>Załącznik 1 – Zintegrowany nadzór zakłóceń makroekonomicznych i budżetowych</w:t>
      </w:r>
      <w:r>
        <w:rPr>
          <w:rFonts w:ascii="Times New Roman" w:hAnsi="Times New Roman"/>
          <w:noProof/>
          <w:lang w:val="pl-PL"/>
        </w:rPr>
        <w:br/>
      </w:r>
    </w:p>
    <w:tbl>
      <w:tblPr>
        <w:tblW w:w="8868"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07"/>
        <w:gridCol w:w="2116"/>
        <w:gridCol w:w="2923"/>
        <w:gridCol w:w="3222"/>
      </w:tblGrid>
      <w:tr w:rsidR="006B6A85" w:rsidRPr="00243683">
        <w:trPr>
          <w:trHeight w:val="263"/>
          <w:jc w:val="center"/>
        </w:trPr>
        <w:tc>
          <w:tcPr>
            <w:tcW w:w="607" w:type="dxa"/>
            <w:tcBorders>
              <w:top w:val="single" w:sz="12" w:space="0" w:color="auto"/>
              <w:left w:val="nil"/>
              <w:right w:val="single" w:sz="4" w:space="0" w:color="auto"/>
            </w:tcBorders>
            <w:vAlign w:val="center"/>
          </w:tcPr>
          <w:p w:rsidR="006B6A85" w:rsidRDefault="006B6A85">
            <w:pPr>
              <w:spacing w:before="120" w:after="120" w:line="240" w:lineRule="auto"/>
              <w:jc w:val="center"/>
              <w:rPr>
                <w:rFonts w:ascii="Times New Roman" w:eastAsia="Times New Roman" w:hAnsi="Times New Roman"/>
                <w:b/>
                <w:noProof/>
                <w:sz w:val="18"/>
                <w:szCs w:val="18"/>
                <w:lang w:val="pl-PL"/>
              </w:rPr>
            </w:pPr>
          </w:p>
        </w:tc>
        <w:tc>
          <w:tcPr>
            <w:tcW w:w="2116" w:type="dxa"/>
            <w:tcBorders>
              <w:top w:val="single" w:sz="12" w:space="0" w:color="auto"/>
              <w:left w:val="single" w:sz="4" w:space="0" w:color="auto"/>
              <w:right w:val="single" w:sz="4" w:space="0" w:color="auto"/>
            </w:tcBorders>
            <w:vAlign w:val="center"/>
          </w:tcPr>
          <w:p w:rsidR="006B6A85" w:rsidRDefault="00243683">
            <w:pPr>
              <w:spacing w:before="120" w:after="12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 xml:space="preserve">Wyniki szczegółowych ocen </w:t>
            </w:r>
            <w:r>
              <w:rPr>
                <w:rFonts w:ascii="Times New Roman" w:hAnsi="Times New Roman"/>
                <w:b/>
                <w:noProof/>
                <w:sz w:val="18"/>
                <w:lang w:val="pl-PL"/>
              </w:rPr>
              <w:t>sytuacji w 2016 r. w ramach procedury dotyczącej zakłóceń równowagi makroekonomicznej (MIP)</w:t>
            </w:r>
            <w:r>
              <w:rPr>
                <w:rStyle w:val="FootnoteReference"/>
                <w:rFonts w:ascii="Times New Roman" w:hAnsi="Times New Roman"/>
                <w:b/>
                <w:noProof/>
                <w:sz w:val="18"/>
                <w:lang w:val="pl-PL"/>
              </w:rPr>
              <w:footnoteReference w:id="22"/>
            </w:r>
          </w:p>
        </w:tc>
        <w:tc>
          <w:tcPr>
            <w:tcW w:w="2923" w:type="dxa"/>
            <w:tcBorders>
              <w:top w:val="single" w:sz="12" w:space="0" w:color="auto"/>
              <w:left w:val="single" w:sz="4" w:space="0" w:color="auto"/>
              <w:right w:val="nil"/>
            </w:tcBorders>
            <w:vAlign w:val="center"/>
          </w:tcPr>
          <w:p w:rsidR="006B6A85" w:rsidRDefault="00243683">
            <w:pPr>
              <w:spacing w:before="120" w:after="12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Pakt stabilności i wzrostu</w:t>
            </w:r>
          </w:p>
          <w:p w:rsidR="006B6A85" w:rsidRDefault="00243683">
            <w:pPr>
              <w:spacing w:before="120" w:after="12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(MTO: średniookresowy cel budżetowy/ PND: procedura nadmiernego deficytu)</w:t>
            </w:r>
            <w:r>
              <w:rPr>
                <w:rStyle w:val="FootnoteReference"/>
                <w:rFonts w:ascii="Times New Roman" w:hAnsi="Times New Roman"/>
                <w:b/>
                <w:noProof/>
                <w:sz w:val="18"/>
                <w:lang w:val="pl-PL"/>
              </w:rPr>
              <w:footnoteReference w:id="23"/>
            </w:r>
          </w:p>
        </w:tc>
        <w:tc>
          <w:tcPr>
            <w:tcW w:w="3222" w:type="dxa"/>
            <w:tcBorders>
              <w:top w:val="single" w:sz="12" w:space="0" w:color="auto"/>
              <w:left w:val="single" w:sz="4" w:space="0" w:color="auto"/>
              <w:right w:val="nil"/>
            </w:tcBorders>
            <w:vAlign w:val="center"/>
          </w:tcPr>
          <w:p w:rsidR="006B6A85" w:rsidRDefault="00243683">
            <w:pPr>
              <w:spacing w:before="120" w:after="12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Uwagi, w tym zmiany począwszy od dnia</w:t>
            </w:r>
            <w:r>
              <w:rPr>
                <w:rFonts w:ascii="Times New Roman" w:hAnsi="Times New Roman"/>
                <w:noProof/>
                <w:lang w:val="pl-PL"/>
              </w:rPr>
              <w:br/>
            </w:r>
            <w:r>
              <w:rPr>
                <w:rFonts w:ascii="Times New Roman" w:hAnsi="Times New Roman"/>
                <w:b/>
                <w:noProof/>
                <w:sz w:val="18"/>
                <w:lang w:val="pl-PL"/>
              </w:rPr>
              <w:t>8 marca 2016 r.</w:t>
            </w:r>
          </w:p>
        </w:tc>
      </w:tr>
      <w:tr w:rsidR="006B6A85" w:rsidRPr="00243683">
        <w:trPr>
          <w:trHeight w:val="454"/>
          <w:jc w:val="center"/>
        </w:trPr>
        <w:tc>
          <w:tcPr>
            <w:tcW w:w="607" w:type="dxa"/>
            <w:tcBorders>
              <w:top w:val="single" w:sz="12"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BE</w:t>
            </w:r>
          </w:p>
        </w:tc>
        <w:tc>
          <w:tcPr>
            <w:tcW w:w="2116" w:type="dxa"/>
            <w:tcBorders>
              <w:top w:val="single" w:sz="12"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Bra</w:t>
            </w:r>
            <w:r>
              <w:rPr>
                <w:rFonts w:ascii="Times New Roman" w:hAnsi="Times New Roman"/>
                <w:noProof/>
                <w:sz w:val="18"/>
                <w:lang w:val="pl-PL"/>
              </w:rPr>
              <w:t>k zakłóceń</w:t>
            </w:r>
          </w:p>
        </w:tc>
        <w:tc>
          <w:tcPr>
            <w:tcW w:w="2923" w:type="dxa"/>
            <w:tcBorders>
              <w:top w:val="single" w:sz="12"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 z zastrzeżeniem przejściowych ustaleń w sprawie zgodności z regułą dotyczącą zadłużenia</w:t>
            </w:r>
            <w:r>
              <w:rPr>
                <w:rStyle w:val="FootnoteReference"/>
                <w:rFonts w:ascii="Times New Roman" w:hAnsi="Times New Roman"/>
                <w:noProof/>
                <w:sz w:val="18"/>
                <w:lang w:val="pl-PL"/>
              </w:rPr>
              <w:footnoteReference w:id="24"/>
            </w:r>
          </w:p>
        </w:tc>
        <w:tc>
          <w:tcPr>
            <w:tcW w:w="3222" w:type="dxa"/>
            <w:tcBorders>
              <w:top w:val="single" w:sz="12"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color w:val="000000"/>
                <w:sz w:val="18"/>
                <w:lang w:val="pl-PL"/>
              </w:rPr>
              <w:t>Wyjście z procedury dotyczącej zakłóceń równowagi makroekonomicznej</w:t>
            </w: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b/>
                <w:noProof/>
                <w:sz w:val="18"/>
                <w:lang w:val="pl-PL"/>
              </w:rPr>
              <w:t>BG</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Nadmierne 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Funkcja </w:t>
            </w:r>
            <w:r>
              <w:rPr>
                <w:rFonts w:ascii="Times New Roman" w:hAnsi="Times New Roman"/>
                <w:noProof/>
                <w:sz w:val="18"/>
                <w:lang w:val="pl-PL"/>
              </w:rPr>
              <w:t>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CZ</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Osiągnięto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DK</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DE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Przekroczono MTO; z zastrzeżeniem ustaleń w sprawie zgodności z regułą </w:t>
            </w:r>
            <w:r>
              <w:rPr>
                <w:rFonts w:ascii="Times New Roman" w:hAnsi="Times New Roman"/>
                <w:noProof/>
                <w:sz w:val="18"/>
                <w:lang w:val="pl-PL"/>
              </w:rPr>
              <w:t>dotyczącą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EE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Brak zakłóceń</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Przekroczono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IE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Nadmierny deficyt, termin dokonania korekty: 2015 r. </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Nie osiągnięto jeszcze MTO; z zastrzeżeniem przejściowych ustaleń w sprawie zgodności z </w:t>
            </w:r>
            <w:r>
              <w:rPr>
                <w:rFonts w:ascii="Times New Roman" w:hAnsi="Times New Roman"/>
                <w:noProof/>
                <w:sz w:val="18"/>
                <w:lang w:val="pl-PL"/>
              </w:rPr>
              <w:t>regułą dotyczącą zadłużenia</w:t>
            </w:r>
            <w:r>
              <w:rPr>
                <w:rStyle w:val="FootnoteReference"/>
                <w:rFonts w:ascii="Times New Roman" w:hAnsi="Times New Roman"/>
                <w:b/>
                <w:noProof/>
                <w:sz w:val="18"/>
                <w:lang w:val="pl-PL"/>
              </w:rPr>
              <w:footnoteReference w:id="25"/>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EL</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Nadmierny deficyt, termin dokonania korekty: 2016 r.</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Kraj objęty specjalnym programem pomocy finansowej</w:t>
            </w: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ES</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Nadmierny deficyt, termin dokonania korekty: 2016 r.</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Niezależne </w:t>
            </w:r>
            <w:r>
              <w:rPr>
                <w:rFonts w:ascii="Times New Roman" w:hAnsi="Times New Roman"/>
                <w:noProof/>
                <w:sz w:val="18"/>
                <w:lang w:val="pl-PL"/>
              </w:rPr>
              <w:t>zalecenie budżetowe z uwagi na ryzyko niedokonania terminowej korekty</w:t>
            </w: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FR</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Nadmierne 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Nadmierny deficyt, termin dokonania korekty: 2017 r.</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HR</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Nadmierne 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Nadmierny deficyt, termin dokonania korekty: 2016 </w:t>
            </w:r>
            <w:r>
              <w:rPr>
                <w:rFonts w:ascii="Times New Roman" w:hAnsi="Times New Roman"/>
                <w:noProof/>
                <w:sz w:val="18"/>
                <w:lang w:val="pl-PL"/>
              </w:rPr>
              <w:t>r.</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IT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Nadmierne 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 z zastrzeżeniem ustaleń w sprawie zgodności z regułą dotyczącą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hideMark/>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CY</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Nadmierny deficyt, termin dokonania korekty: 2016 r.</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Kraj objęty specjalnym </w:t>
            </w:r>
            <w:r>
              <w:rPr>
                <w:rFonts w:ascii="Times New Roman" w:hAnsi="Times New Roman"/>
                <w:noProof/>
                <w:sz w:val="18"/>
                <w:lang w:val="pl-PL"/>
              </w:rPr>
              <w:t>programem pomocy finansowej</w:t>
            </w: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LV</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LT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LU</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Przekroczono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HU</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Brak zakłóceń</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Nie osiągnięto jeszcze MTO; z </w:t>
            </w:r>
            <w:r>
              <w:rPr>
                <w:rFonts w:ascii="Times New Roman" w:hAnsi="Times New Roman"/>
                <w:noProof/>
                <w:sz w:val="18"/>
                <w:lang w:val="pl-PL"/>
              </w:rPr>
              <w:t>zastrzeżeniem ustaleń w sprawie zgodności z regułą dotyczącą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color w:val="000000"/>
                <w:sz w:val="18"/>
                <w:lang w:val="pl-PL"/>
              </w:rPr>
              <w:t>Wyjście z procedury dotyczącej zakłóceń równowagi makroekonomicznej</w:t>
            </w: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MT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 z zastrzeżeniem ustaleń w sprawie zgodności z regułą dotycząc</w:t>
            </w:r>
            <w:r>
              <w:rPr>
                <w:rFonts w:ascii="Times New Roman" w:hAnsi="Times New Roman"/>
                <w:noProof/>
                <w:sz w:val="18"/>
                <w:lang w:val="pl-PL"/>
              </w:rPr>
              <w:t>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NL</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 z zastrzeżeniem przejściowych ustaleń w sprawie zgodności z regułą dotyczącą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AT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Brak zakłóceń</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Nie osiągnięto jeszcze MTO; z zastrzeżeniem </w:t>
            </w:r>
            <w:r>
              <w:rPr>
                <w:rFonts w:ascii="Times New Roman" w:hAnsi="Times New Roman"/>
                <w:noProof/>
                <w:sz w:val="18"/>
                <w:lang w:val="pl-PL"/>
              </w:rPr>
              <w:t>przejściowych ustaleń w sprawie zgodności z regułą dotyczącą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PL</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PT</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Nadmierne 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Nadmierny deficyt, termin dokonania korekty: 2015 r. </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Nie osiągnięto jeszcze MTO; z </w:t>
            </w:r>
            <w:r>
              <w:rPr>
                <w:rFonts w:ascii="Times New Roman" w:hAnsi="Times New Roman"/>
                <w:noProof/>
                <w:sz w:val="18"/>
                <w:lang w:val="pl-PL"/>
              </w:rPr>
              <w:t>zastrzeżeniem przejściowych ustaleń w sprawie zgodności z regułą dotyczącą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RO</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Brak zakłóceń</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color w:val="000000"/>
                <w:sz w:val="18"/>
                <w:lang w:val="pl-PL"/>
              </w:rPr>
              <w:t>Wyjście z procedury dotyczącej zakłóceń równowagi makroekonomicznej</w:t>
            </w: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SI</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Nadmierny deficyt, termin dokonania korekty: 2015 r.</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 z zastrzeżeniem przejściowych ustaleń w sprawie zgodności z regułą dotyczącą zadłużenia</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SK</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FI</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 xml:space="preserve">Funkcja </w:t>
            </w:r>
            <w:r>
              <w:rPr>
                <w:rFonts w:ascii="Times New Roman" w:hAnsi="Times New Roman"/>
                <w:noProof/>
                <w:sz w:val="18"/>
                <w:lang w:val="pl-PL"/>
              </w:rPr>
              <w:t>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Nie osiągnięto jeszcze MTO; zadłużenie powyżej 60 % wartości odniesienia PKB</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SE</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Zakłócenia</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Funkcja zapobiegawcza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Osiągnięto MTO</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6B6A85">
            <w:pPr>
              <w:spacing w:before="60" w:after="60" w:line="240" w:lineRule="auto"/>
              <w:jc w:val="center"/>
              <w:rPr>
                <w:rFonts w:ascii="Times New Roman" w:eastAsia="Times New Roman" w:hAnsi="Times New Roman"/>
                <w:noProof/>
                <w:sz w:val="18"/>
                <w:szCs w:val="18"/>
                <w:lang w:val="pl-PL"/>
              </w:rPr>
            </w:pPr>
          </w:p>
        </w:tc>
      </w:tr>
      <w:tr w:rsidR="006B6A85" w:rsidRPr="00243683">
        <w:trPr>
          <w:jc w:val="center"/>
        </w:trPr>
        <w:tc>
          <w:tcPr>
            <w:tcW w:w="607" w:type="dxa"/>
            <w:tcBorders>
              <w:top w:val="single" w:sz="4" w:space="0" w:color="auto"/>
              <w:left w:val="nil"/>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b/>
                <w:noProof/>
                <w:sz w:val="18"/>
                <w:szCs w:val="18"/>
                <w:lang w:val="pl-PL"/>
              </w:rPr>
            </w:pPr>
            <w:r>
              <w:rPr>
                <w:rFonts w:ascii="Times New Roman" w:hAnsi="Times New Roman"/>
                <w:b/>
                <w:noProof/>
                <w:sz w:val="18"/>
                <w:lang w:val="pl-PL"/>
              </w:rPr>
              <w:t>UK</w:t>
            </w:r>
          </w:p>
        </w:tc>
        <w:tc>
          <w:tcPr>
            <w:tcW w:w="2116" w:type="dxa"/>
            <w:tcBorders>
              <w:top w:val="single" w:sz="4" w:space="0" w:color="auto"/>
              <w:left w:val="single" w:sz="4" w:space="0" w:color="auto"/>
              <w:bottom w:val="single" w:sz="4" w:space="0" w:color="auto"/>
              <w:right w:val="single" w:sz="4" w:space="0" w:color="auto"/>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Brak zakłóceń</w:t>
            </w:r>
          </w:p>
        </w:tc>
        <w:tc>
          <w:tcPr>
            <w:tcW w:w="2923"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Część naprawcza</w:t>
            </w:r>
          </w:p>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sz w:val="18"/>
                <w:lang w:val="pl-PL"/>
              </w:rPr>
              <w:t>Nadmierny deficyt, termin dokonania korekty: lata 2016-2017</w:t>
            </w:r>
          </w:p>
        </w:tc>
        <w:tc>
          <w:tcPr>
            <w:tcW w:w="3222" w:type="dxa"/>
            <w:tcBorders>
              <w:top w:val="single" w:sz="4" w:space="0" w:color="auto"/>
              <w:left w:val="single" w:sz="4" w:space="0" w:color="auto"/>
              <w:bottom w:val="single" w:sz="4" w:space="0" w:color="auto"/>
              <w:right w:val="nil"/>
            </w:tcBorders>
            <w:shd w:val="clear" w:color="auto" w:fill="FFFFFF"/>
            <w:vAlign w:val="center"/>
          </w:tcPr>
          <w:p w:rsidR="006B6A85" w:rsidRDefault="00243683">
            <w:pPr>
              <w:spacing w:before="60" w:after="60" w:line="240" w:lineRule="auto"/>
              <w:jc w:val="center"/>
              <w:rPr>
                <w:rFonts w:ascii="Times New Roman" w:eastAsia="Times New Roman" w:hAnsi="Times New Roman"/>
                <w:noProof/>
                <w:sz w:val="18"/>
                <w:szCs w:val="18"/>
                <w:lang w:val="pl-PL"/>
              </w:rPr>
            </w:pPr>
            <w:r>
              <w:rPr>
                <w:rFonts w:ascii="Times New Roman" w:hAnsi="Times New Roman"/>
                <w:noProof/>
                <w:color w:val="000000"/>
                <w:sz w:val="18"/>
                <w:lang w:val="pl-PL"/>
              </w:rPr>
              <w:t xml:space="preserve">Wyjście z </w:t>
            </w:r>
            <w:r>
              <w:rPr>
                <w:rFonts w:ascii="Times New Roman" w:hAnsi="Times New Roman"/>
                <w:noProof/>
                <w:color w:val="000000"/>
                <w:sz w:val="18"/>
                <w:lang w:val="pl-PL"/>
              </w:rPr>
              <w:t>procedury dotyczącej zakłóceń równowagi makroekonomicznej</w:t>
            </w:r>
          </w:p>
        </w:tc>
      </w:tr>
    </w:tbl>
    <w:p w:rsidR="006B6A85" w:rsidRDefault="00243683">
      <w:pPr>
        <w:spacing w:before="120" w:after="120" w:line="240" w:lineRule="auto"/>
        <w:rPr>
          <w:rFonts w:ascii="Times New Roman" w:hAnsi="Times New Roman"/>
          <w:noProof/>
          <w:sz w:val="18"/>
          <w:szCs w:val="18"/>
          <w:lang w:val="pl-PL"/>
        </w:rPr>
      </w:pPr>
      <w:r>
        <w:rPr>
          <w:rFonts w:ascii="Times New Roman" w:hAnsi="Times New Roman"/>
          <w:noProof/>
          <w:sz w:val="18"/>
          <w:lang w:val="pl-PL"/>
        </w:rPr>
        <w:t>(stan na dzień 8 marca 2016 r.)</w:t>
      </w:r>
    </w:p>
    <w:p w:rsidR="006B6A85" w:rsidRDefault="00243683">
      <w:pPr>
        <w:spacing w:before="120" w:after="120" w:line="240" w:lineRule="auto"/>
        <w:rPr>
          <w:rFonts w:ascii="Times New Roman" w:eastAsia="Times New Roman" w:hAnsi="Times New Roman"/>
          <w:b/>
          <w:smallCaps/>
          <w:noProof/>
          <w:sz w:val="24"/>
          <w:szCs w:val="24"/>
          <w:lang w:val="pl-PL"/>
        </w:rPr>
      </w:pPr>
      <w:r>
        <w:rPr>
          <w:rFonts w:ascii="Times New Roman" w:hAnsi="Times New Roman"/>
          <w:noProof/>
          <w:lang w:val="pl-PL"/>
        </w:rPr>
        <w:br w:type="page"/>
      </w:r>
      <w:r>
        <w:rPr>
          <w:rFonts w:ascii="Times New Roman" w:hAnsi="Times New Roman"/>
          <w:b/>
          <w:smallCaps/>
          <w:noProof/>
          <w:sz w:val="24"/>
          <w:lang w:val="pl-PL"/>
        </w:rPr>
        <w:t>Załącznik 2 - Postępy w osiąganiu celów strategii „Europa 2020”</w:t>
      </w:r>
    </w:p>
    <w:p w:rsidR="006B6A85" w:rsidRDefault="006B6A85">
      <w:pPr>
        <w:spacing w:before="120" w:after="120" w:line="240" w:lineRule="auto"/>
        <w:rPr>
          <w:rFonts w:ascii="Times New Roman" w:eastAsia="Times New Roman" w:hAnsi="Times New Roman"/>
          <w:b/>
          <w:smallCaps/>
          <w:noProof/>
          <w:sz w:val="20"/>
          <w:szCs w:val="20"/>
          <w:lang w:val="pl-PL"/>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02"/>
        <w:gridCol w:w="1701"/>
        <w:gridCol w:w="2268"/>
        <w:gridCol w:w="2517"/>
      </w:tblGrid>
      <w:tr w:rsidR="006B6A85" w:rsidRPr="00243683">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b/>
                <w:noProof/>
                <w:sz w:val="20"/>
                <w:lang w:val="pl-PL"/>
              </w:rPr>
              <w:t>Cele strategii „Europa 2020” dla UE</w:t>
            </w:r>
          </w:p>
        </w:tc>
        <w:tc>
          <w:tcPr>
            <w:tcW w:w="1701"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b/>
                <w:noProof/>
                <w:sz w:val="20"/>
                <w:lang w:val="pl-PL"/>
              </w:rPr>
              <w:t>Dane za 2010 r.</w:t>
            </w:r>
          </w:p>
        </w:tc>
        <w:tc>
          <w:tcPr>
            <w:tcW w:w="2268"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b/>
                <w:noProof/>
                <w:sz w:val="20"/>
                <w:lang w:val="pl-PL"/>
              </w:rPr>
              <w:t>Ostatnie dostępne dane</w:t>
            </w:r>
          </w:p>
        </w:tc>
        <w:tc>
          <w:tcPr>
            <w:tcW w:w="2517"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b/>
                <w:noProof/>
                <w:sz w:val="20"/>
                <w:lang w:val="pl-PL"/>
              </w:rPr>
              <w:t xml:space="preserve">W 2020 r. na podstawie </w:t>
            </w:r>
            <w:r>
              <w:rPr>
                <w:rFonts w:ascii="Times New Roman" w:hAnsi="Times New Roman"/>
                <w:b/>
                <w:noProof/>
                <w:sz w:val="20"/>
                <w:lang w:val="pl-PL"/>
              </w:rPr>
              <w:t>ostatnich tendencji</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1. Podniesienie do co najmniej 75 % wskaźnika zatrudnienia osób w wieku 20–64 lat</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68,6 %</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69,2 % (2014 r.)</w:t>
            </w:r>
            <w:r>
              <w:rPr>
                <w:rFonts w:ascii="Times New Roman" w:hAnsi="Times New Roman"/>
                <w:noProof/>
                <w:lang w:val="pl-PL"/>
              </w:rPr>
              <w:br/>
            </w:r>
            <w:r>
              <w:rPr>
                <w:rFonts w:ascii="Times New Roman" w:hAnsi="Times New Roman"/>
                <w:noProof/>
                <w:sz w:val="20"/>
                <w:lang w:val="pl-PL"/>
              </w:rPr>
              <w:t>70,5 % (III kw. 2015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niemożliwy do osiągnięcia</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2. Zwiększenie łącznych inwestycji sektora prywatnego i publicznego w bad</w:t>
            </w:r>
            <w:r>
              <w:rPr>
                <w:rFonts w:ascii="Times New Roman" w:hAnsi="Times New Roman"/>
                <w:noProof/>
                <w:sz w:val="20"/>
                <w:lang w:val="pl-PL"/>
              </w:rPr>
              <w:t>ania i rozwój do 3 % PKB</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1,93 %</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2,03 % (2014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niemożliwy do osiągnięcia</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3a. Ograniczenie emisji gazów cieplarnianych o co najmniej 20 % w stosunku do poziomów z 1990 r.</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Obniżka o 14,3 %</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Ograniczenie o 23 % (2014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możliwy do osiągnięcia</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 xml:space="preserve">3b. </w:t>
            </w:r>
            <w:r>
              <w:rPr>
                <w:rFonts w:ascii="Times New Roman" w:hAnsi="Times New Roman"/>
                <w:noProof/>
                <w:sz w:val="20"/>
                <w:lang w:val="pl-PL"/>
              </w:rPr>
              <w:t>Zwiększenie do 20 % udziału energii ze źródeł odnawialnych w zużyciu energii końcowej</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12,8 %</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16 % (2014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możliwy do osiągnięcia</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3c. Dążenie do 20 % wzrostu efektywności energetycznej</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Wzrost o 5,6 % (zużycie energii pierwotnej)</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Wzrost o 15,7 % (2014</w:t>
            </w:r>
            <w:r>
              <w:rPr>
                <w:rFonts w:ascii="Times New Roman" w:hAnsi="Times New Roman"/>
                <w:noProof/>
                <w:sz w:val="20"/>
                <w:lang w:val="pl-PL"/>
              </w:rPr>
              <w:t xml:space="preserve">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możliwy do osiągnięcia</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4a. Zmniejszenie do poziomu poniżej 10 % odsetka osób przedwcześnie kończących naukę</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13,9 %</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11,2 % (2014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możliwy do osiągnięcia</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 xml:space="preserve">4b. Podniesienie do co najmniej 40 % odsetka osób w wieku 30–34 lat z wyższym </w:t>
            </w:r>
            <w:r>
              <w:rPr>
                <w:rFonts w:ascii="Times New Roman" w:hAnsi="Times New Roman"/>
                <w:noProof/>
                <w:sz w:val="20"/>
                <w:lang w:val="pl-PL"/>
              </w:rPr>
              <w:t>wykształceniem</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33,8 %</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37,9 % (2014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możliwy do osiągnięcia</w:t>
            </w:r>
          </w:p>
        </w:tc>
      </w:tr>
      <w:tr w:rsidR="006B6A85">
        <w:tc>
          <w:tcPr>
            <w:tcW w:w="2802" w:type="dxa"/>
            <w:shd w:val="clear" w:color="auto" w:fill="auto"/>
          </w:tcPr>
          <w:p w:rsidR="006B6A85" w:rsidRDefault="00243683">
            <w:pPr>
              <w:jc w:val="center"/>
              <w:rPr>
                <w:rFonts w:ascii="Times New Roman" w:eastAsia="Times New Roman" w:hAnsi="Times New Roman"/>
                <w:b/>
                <w:noProof/>
                <w:sz w:val="20"/>
                <w:szCs w:val="20"/>
                <w:lang w:val="pl-PL"/>
              </w:rPr>
            </w:pPr>
            <w:r>
              <w:rPr>
                <w:rFonts w:ascii="Times New Roman" w:hAnsi="Times New Roman"/>
                <w:noProof/>
                <w:sz w:val="20"/>
                <w:lang w:val="pl-PL"/>
              </w:rPr>
              <w:t>5. Uchronienie co najmniej 20 mln ludzi przed ryzykiem ubóstwa i wykluczenia społecznego</w:t>
            </w:r>
          </w:p>
        </w:tc>
        <w:tc>
          <w:tcPr>
            <w:tcW w:w="1701"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Wzrost o 1,4 mln (w stosunku do roku bazowego 2008)</w:t>
            </w:r>
          </w:p>
        </w:tc>
        <w:tc>
          <w:tcPr>
            <w:tcW w:w="2268"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Wzrost o 4,5 mln (2014 r.)</w:t>
            </w:r>
          </w:p>
        </w:tc>
        <w:tc>
          <w:tcPr>
            <w:tcW w:w="2517" w:type="dxa"/>
            <w:shd w:val="clear" w:color="auto" w:fill="auto"/>
          </w:tcPr>
          <w:p w:rsidR="006B6A85" w:rsidRDefault="00243683">
            <w:pPr>
              <w:jc w:val="center"/>
              <w:rPr>
                <w:rFonts w:ascii="Times New Roman" w:eastAsia="Times New Roman" w:hAnsi="Times New Roman"/>
                <w:noProof/>
                <w:sz w:val="20"/>
                <w:szCs w:val="20"/>
                <w:lang w:val="pl-PL"/>
              </w:rPr>
            </w:pPr>
            <w:r>
              <w:rPr>
                <w:rFonts w:ascii="Times New Roman" w:hAnsi="Times New Roman"/>
                <w:noProof/>
                <w:sz w:val="20"/>
                <w:lang w:val="pl-PL"/>
              </w:rPr>
              <w:t>Cel niemożliwy do osi</w:t>
            </w:r>
            <w:r>
              <w:rPr>
                <w:rFonts w:ascii="Times New Roman" w:hAnsi="Times New Roman"/>
                <w:noProof/>
                <w:sz w:val="20"/>
                <w:lang w:val="pl-PL"/>
              </w:rPr>
              <w:t>ągnięcia</w:t>
            </w:r>
          </w:p>
        </w:tc>
      </w:tr>
    </w:tbl>
    <w:p w:rsidR="006B6A85" w:rsidRDefault="006B6A85">
      <w:pPr>
        <w:rPr>
          <w:rFonts w:ascii="Times New Roman" w:hAnsi="Times New Roman"/>
          <w:b/>
          <w:noProof/>
          <w:lang w:val="pl-PL"/>
        </w:rPr>
      </w:pPr>
    </w:p>
    <w:p w:rsidR="006B6A85" w:rsidRDefault="006B6A85">
      <w:pPr>
        <w:spacing w:before="120" w:after="120" w:line="240" w:lineRule="auto"/>
        <w:jc w:val="both"/>
        <w:rPr>
          <w:rFonts w:ascii="Times New Roman" w:hAnsi="Times New Roman"/>
          <w:noProof/>
          <w:lang w:val="pl-PL"/>
        </w:rPr>
      </w:pPr>
    </w:p>
    <w:p w:rsidR="006B6A85" w:rsidRDefault="006B6A85">
      <w:pPr>
        <w:spacing w:before="120" w:after="120" w:line="240" w:lineRule="auto"/>
        <w:jc w:val="center"/>
        <w:rPr>
          <w:rFonts w:ascii="Times New Roman" w:hAnsi="Times New Roman"/>
          <w:noProof/>
          <w:lang w:val="pl-PL"/>
        </w:rPr>
      </w:pPr>
    </w:p>
    <w:p w:rsidR="006B6A85" w:rsidRDefault="006B6A85">
      <w:pPr>
        <w:spacing w:before="120" w:after="120" w:line="240" w:lineRule="auto"/>
        <w:ind w:left="3600"/>
        <w:rPr>
          <w:rFonts w:ascii="Times New Roman" w:hAnsi="Times New Roman"/>
          <w:noProof/>
          <w:lang w:val="pl-PL"/>
        </w:rPr>
      </w:pPr>
    </w:p>
    <w:p w:rsidR="006B6A85" w:rsidRDefault="006B6A85">
      <w:pPr>
        <w:spacing w:before="120" w:after="120" w:line="240" w:lineRule="auto"/>
        <w:ind w:left="3600"/>
        <w:rPr>
          <w:rFonts w:ascii="Times New Roman" w:hAnsi="Times New Roman"/>
          <w:noProof/>
          <w:lang w:val="pl-PL"/>
        </w:rPr>
      </w:pPr>
    </w:p>
    <w:p w:rsidR="006B6A85" w:rsidRDefault="00243683">
      <w:pPr>
        <w:spacing w:before="120" w:after="120" w:line="240" w:lineRule="auto"/>
        <w:rPr>
          <w:rFonts w:ascii="Times New Roman" w:eastAsia="Times New Roman" w:hAnsi="Times New Roman"/>
          <w:b/>
          <w:smallCaps/>
          <w:noProof/>
          <w:sz w:val="24"/>
          <w:szCs w:val="20"/>
          <w:lang w:val="pl-PL"/>
        </w:rPr>
      </w:pPr>
      <w:r>
        <w:rPr>
          <w:rFonts w:ascii="Times New Roman" w:hAnsi="Times New Roman"/>
          <w:noProof/>
          <w:lang w:val="pl-PL"/>
        </w:rPr>
        <w:br w:type="page"/>
      </w:r>
      <w:r>
        <w:rPr>
          <w:rFonts w:ascii="Times New Roman" w:hAnsi="Times New Roman"/>
          <w:b/>
          <w:smallCaps/>
          <w:noProof/>
          <w:sz w:val="24"/>
          <w:lang w:val="pl-PL"/>
        </w:rPr>
        <w:t xml:space="preserve"> Załącznik 3 - Ustalenia przyjęte w toku szczegółowych ocen sytuacji dokonanych przez państwa członkowskie</w:t>
      </w:r>
    </w:p>
    <w:p w:rsidR="006B6A85" w:rsidRDefault="006B6A85">
      <w:pPr>
        <w:pStyle w:val="s14"/>
        <w:spacing w:before="0" w:beforeAutospacing="0" w:after="0" w:afterAutospacing="0"/>
        <w:jc w:val="both"/>
        <w:rPr>
          <w:b/>
          <w:noProof/>
          <w:lang w:val="pl-PL"/>
        </w:rPr>
      </w:pPr>
    </w:p>
    <w:p w:rsidR="006B6A85" w:rsidRDefault="00243683">
      <w:pPr>
        <w:pStyle w:val="s14"/>
        <w:spacing w:before="0" w:beforeAutospacing="0" w:after="0" w:afterAutospacing="0"/>
        <w:jc w:val="both"/>
        <w:rPr>
          <w:noProof/>
          <w:lang w:val="pl-PL"/>
        </w:rPr>
      </w:pPr>
      <w:r>
        <w:rPr>
          <w:b/>
          <w:noProof/>
          <w:lang w:val="pl-PL"/>
        </w:rPr>
        <w:t>Belgia</w:t>
      </w:r>
      <w:r>
        <w:rPr>
          <w:noProof/>
          <w:lang w:val="pl-PL"/>
        </w:rPr>
        <w:t xml:space="preserve"> nie odnotowuje zakłóceń równowagi makroekonomicznej. Słabym wynikom w dziedzinie eksportu i konkurencyjności towarzyszy wysoki dług publiczny, co może rodzić ryzyko w przyszłości. Ostatni rozwój sytuacji wskazuje jednak na stabilizację udziału w rynkach e</w:t>
      </w:r>
      <w:r>
        <w:rPr>
          <w:noProof/>
          <w:lang w:val="pl-PL"/>
        </w:rPr>
        <w:t>ksportowych i spowolnienie wzrostu wynagrodzeń. Mimo że zadłużenie publiczne jest wysokie i nie wykazuje trwałej tendencji spadkowej, co wskazuje na podatność na zagrożenia, wydaje się, że zagrożenia krótkoterminowe są pod kontrolą. Niedawne środki z zakre</w:t>
      </w:r>
      <w:r>
        <w:rPr>
          <w:noProof/>
          <w:lang w:val="pl-PL"/>
        </w:rPr>
        <w:t>su polityki obejmują ograniczenie wzrostu płac i zmniejszenie obciążeń socjalnych. By zapewnić trwałość działań naprawczych, konieczne byłyby reformy strukturalne przepisów dotyczących ustalania poziomu wynagrodzeń. W kontekście stłumionego wzrostu nominal</w:t>
      </w:r>
      <w:r>
        <w:rPr>
          <w:noProof/>
          <w:lang w:val="pl-PL"/>
        </w:rPr>
        <w:t xml:space="preserve">nego pilniejszy jest wysiłek fiskalny niezbędny do zapewnienia długoterminowej stabilności finansów publicznych. </w:t>
      </w:r>
    </w:p>
    <w:p w:rsidR="006B6A85" w:rsidRDefault="006B6A85">
      <w:pPr>
        <w:pStyle w:val="s14"/>
        <w:spacing w:before="0" w:beforeAutospacing="0" w:after="0" w:afterAutospacing="0"/>
        <w:jc w:val="both"/>
        <w:rPr>
          <w:noProof/>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Bułgaria</w:t>
      </w:r>
      <w:r>
        <w:rPr>
          <w:rFonts w:ascii="Times New Roman" w:hAnsi="Times New Roman"/>
          <w:noProof/>
          <w:lang w:val="pl-PL"/>
        </w:rPr>
        <w:t xml:space="preserve"> </w:t>
      </w:r>
      <w:r w:rsidRPr="00243683">
        <w:rPr>
          <w:rFonts w:ascii="Times New Roman" w:hAnsi="Times New Roman"/>
          <w:noProof/>
          <w:sz w:val="24"/>
          <w:szCs w:val="24"/>
          <w:lang w:val="pl-PL"/>
        </w:rPr>
        <w:t xml:space="preserve">odnotowuje nadmierne zakłócenia równowagi makroekonomicznej. Charakterystyczna dla gospodarki tego kraju jest utrzymująca się </w:t>
      </w:r>
      <w:r w:rsidRPr="00243683">
        <w:rPr>
          <w:rFonts w:ascii="Times New Roman" w:hAnsi="Times New Roman"/>
          <w:noProof/>
          <w:sz w:val="24"/>
          <w:szCs w:val="24"/>
          <w:lang w:val="pl-PL"/>
        </w:rPr>
        <w:t>niestabilność sektora finansowego i wysokie zadłużenie przedsiębiorstw, którym towarzyszy wysokie bezrobocie. Choć poprawiła się płynność i rentowność sektora bankowego, bardziej rzetelna ocena tego sektora jest możliwa tylko na podstawie przyszłych ocen j</w:t>
      </w:r>
      <w:r w:rsidRPr="00243683">
        <w:rPr>
          <w:rFonts w:ascii="Times New Roman" w:hAnsi="Times New Roman"/>
          <w:noProof/>
          <w:sz w:val="24"/>
          <w:szCs w:val="24"/>
          <w:lang w:val="pl-PL"/>
        </w:rPr>
        <w:t>akości aktywów i testów warunków skrajnych. Nastąpił dalszy wzrost długotrwałego bezrobocia w kontekście problemów z dostosowaniem, związanych z tarciami na rynku pracy, natomiast niedopasowanie umiejętności utrudnia tworzenie miejsc pracy. W przyszłości k</w:t>
      </w:r>
      <w:r w:rsidRPr="00243683">
        <w:rPr>
          <w:rFonts w:ascii="Times New Roman" w:hAnsi="Times New Roman"/>
          <w:noProof/>
          <w:sz w:val="24"/>
          <w:szCs w:val="24"/>
          <w:lang w:val="pl-PL"/>
        </w:rPr>
        <w:t>onieczne będzie jeszcze pełne wdrożenie planu zakładającego reformę i rozwój nadzoru bankowego. Wyzwaniem pozostaje poprawa skuteczności postępowania upadłościowego. W obu dziedzinach przygotowywane są wnioski ustawodawcze w tej kwestii. Ponadto należy zaj</w:t>
      </w:r>
      <w:r w:rsidRPr="00243683">
        <w:rPr>
          <w:rFonts w:ascii="Times New Roman" w:hAnsi="Times New Roman"/>
          <w:noProof/>
          <w:sz w:val="24"/>
          <w:szCs w:val="24"/>
          <w:lang w:val="pl-PL"/>
        </w:rPr>
        <w:t>ąć się problemem podatności na zagrożenia sektora pozabankowego.</w:t>
      </w:r>
    </w:p>
    <w:p w:rsidR="006B6A85"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Niemcy</w:t>
      </w:r>
      <w:r>
        <w:rPr>
          <w:rFonts w:ascii="Times New Roman" w:hAnsi="Times New Roman"/>
          <w:noProof/>
          <w:lang w:val="pl-PL"/>
        </w:rPr>
        <w:t xml:space="preserve"> </w:t>
      </w:r>
      <w:r w:rsidRPr="00243683">
        <w:rPr>
          <w:rFonts w:ascii="Times New Roman" w:hAnsi="Times New Roman"/>
          <w:noProof/>
          <w:sz w:val="24"/>
          <w:szCs w:val="24"/>
          <w:lang w:val="pl-PL"/>
        </w:rPr>
        <w:t>odnotowują zakłócenia równowagi makroekonomicznej. Wysoka i utrzymująca się nadwyżka na rachunku obrotów bieżących ma znaczenie transgraniczne i odzwierciedla nadmierne oszczędności i</w:t>
      </w:r>
      <w:r w:rsidRPr="00243683">
        <w:rPr>
          <w:rFonts w:ascii="Times New Roman" w:hAnsi="Times New Roman"/>
          <w:noProof/>
          <w:sz w:val="24"/>
          <w:szCs w:val="24"/>
          <w:lang w:val="pl-PL"/>
        </w:rPr>
        <w:t xml:space="preserve"> przyhamowanie inwestycji zarówno w sektorze prywatnym, jak i publicznym. Niski poziom inwestycji krajowych hamuje potencjalny wzrost, a poleganie w zbyt dużym stopniu na popycie zewnętrznym pociąga za sobą ryzyko makroekonomiczne w kontekście słabego popy</w:t>
      </w:r>
      <w:r w:rsidRPr="00243683">
        <w:rPr>
          <w:rFonts w:ascii="Times New Roman" w:hAnsi="Times New Roman"/>
          <w:noProof/>
          <w:sz w:val="24"/>
          <w:szCs w:val="24"/>
          <w:lang w:val="pl-PL"/>
        </w:rPr>
        <w:t>tu zagranicznego. Chociaż spożycie prywatne nieco wzrosło, problem związany z niskim poziomem inwestycji wydaje się pogłębiać. Nastąpił spadek inwestycji publicznych pomimo dostępnej przestrzeni fiskalnej i korzystnych warunków finansowania. Działania pode</w:t>
      </w:r>
      <w:r w:rsidRPr="00243683">
        <w:rPr>
          <w:rFonts w:ascii="Times New Roman" w:hAnsi="Times New Roman"/>
          <w:noProof/>
          <w:sz w:val="24"/>
          <w:szCs w:val="24"/>
          <w:lang w:val="pl-PL"/>
        </w:rPr>
        <w:t>jmowane w celu pobudzenia inwestycji publicznych są niedostateczne, by usunąć lukę inwestycyjną w sektorze publicznym. Konieczne są dalsze działania, by ułatwić warunki dla inwestorów prywatnych, m.in. przez reformę sektora usług i poprawę wydajności syste</w:t>
      </w:r>
      <w:r w:rsidRPr="00243683">
        <w:rPr>
          <w:rFonts w:ascii="Times New Roman" w:hAnsi="Times New Roman"/>
          <w:noProof/>
          <w:sz w:val="24"/>
          <w:szCs w:val="24"/>
          <w:lang w:val="pl-PL"/>
        </w:rPr>
        <w:t>mu podatkowego.</w:t>
      </w:r>
    </w:p>
    <w:p w:rsidR="006B6A85"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Estonia</w:t>
      </w:r>
      <w:r>
        <w:rPr>
          <w:rFonts w:ascii="Times New Roman" w:hAnsi="Times New Roman"/>
          <w:noProof/>
          <w:lang w:val="pl-PL"/>
        </w:rPr>
        <w:t xml:space="preserve"> </w:t>
      </w:r>
      <w:r w:rsidRPr="00243683">
        <w:rPr>
          <w:rFonts w:ascii="Times New Roman" w:hAnsi="Times New Roman"/>
          <w:noProof/>
          <w:sz w:val="24"/>
          <w:szCs w:val="24"/>
          <w:lang w:val="pl-PL"/>
        </w:rPr>
        <w:t>nie odnotowuje zakłóceń równowagi makroekonomicznej. Rosnące jednostkowe koszty pracy mogą narazić kraj na spadek konkurencyjności, ale prognozuje się, że będą one rosnąć w umiarkowanym tempie w związku ze wzrostem wydajności i mal</w:t>
      </w:r>
      <w:r w:rsidRPr="00243683">
        <w:rPr>
          <w:rFonts w:ascii="Times New Roman" w:hAnsi="Times New Roman"/>
          <w:noProof/>
          <w:sz w:val="24"/>
          <w:szCs w:val="24"/>
          <w:lang w:val="pl-PL"/>
        </w:rPr>
        <w:t>ejącym wzrostem płac realnych. Jeśli chodzi o rynek nieruchomości mieszkalnych, ceny drastycznie wzrosły, choć odpowiednio do wzrostu dochodów, a podaż ma według prognoz dostosować się do odradzającego się popytu. Niemniej jednak dalszy wzrost cen może zag</w:t>
      </w:r>
      <w:r w:rsidRPr="00243683">
        <w:rPr>
          <w:rFonts w:ascii="Times New Roman" w:hAnsi="Times New Roman"/>
          <w:noProof/>
          <w:sz w:val="24"/>
          <w:szCs w:val="24"/>
          <w:lang w:val="pl-PL"/>
        </w:rPr>
        <w:t xml:space="preserve">rażać gospodarce realnej, co trzeba mieć na uwadze. Należy podjąć większe wysiłki na poziomie polityk, by zwiększyć wydajność i wywóz o wyższej wartości dodanej. Działania mające na celu zwiększenie podaży siły roboczej i złagodzenie presji na wzrost płac </w:t>
      </w:r>
      <w:r w:rsidRPr="00243683">
        <w:rPr>
          <w:rFonts w:ascii="Times New Roman" w:hAnsi="Times New Roman"/>
          <w:noProof/>
          <w:sz w:val="24"/>
          <w:szCs w:val="24"/>
          <w:lang w:val="pl-PL"/>
        </w:rPr>
        <w:t>nadal znajdują się na wczesnym etapie. Wdrożono szereg rozwiązań makroostrożnościowych. Należy jeszcze ocenić ich wpływ na ceny nieruchomości mieszkalnych.</w:t>
      </w:r>
    </w:p>
    <w:p w:rsidR="006B6A85"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Irlandia</w:t>
      </w:r>
      <w:r>
        <w:rPr>
          <w:rFonts w:ascii="Times New Roman" w:hAnsi="Times New Roman"/>
          <w:noProof/>
          <w:lang w:val="pl-PL"/>
        </w:rPr>
        <w:t xml:space="preserve"> </w:t>
      </w:r>
      <w:r w:rsidRPr="00243683">
        <w:rPr>
          <w:rFonts w:ascii="Times New Roman" w:hAnsi="Times New Roman"/>
          <w:noProof/>
          <w:sz w:val="24"/>
          <w:szCs w:val="24"/>
          <w:lang w:val="pl-PL"/>
        </w:rPr>
        <w:t>odnotowuje zakłócenia równowagi makroekonomicznej. Bardzo wysoki poziom zobowiązań zewnętr</w:t>
      </w:r>
      <w:r w:rsidRPr="00243683">
        <w:rPr>
          <w:rFonts w:ascii="Times New Roman" w:hAnsi="Times New Roman"/>
          <w:noProof/>
          <w:sz w:val="24"/>
          <w:szCs w:val="24"/>
          <w:lang w:val="pl-PL"/>
        </w:rPr>
        <w:t>znych netto i zadłużenia sektora prywatnego i publicznego jest źródłem podatności na zagrożenia mimo pewnej poprawy. Zobowiązania zewnętrzne netto wykazują silną tendencję spadkową w kontekście dużej nadwyżki na rachunku obrotów bieżących i wzrostu konkure</w:t>
      </w:r>
      <w:r w:rsidRPr="00243683">
        <w:rPr>
          <w:rFonts w:ascii="Times New Roman" w:hAnsi="Times New Roman"/>
          <w:noProof/>
          <w:sz w:val="24"/>
          <w:szCs w:val="24"/>
          <w:lang w:val="pl-PL"/>
        </w:rPr>
        <w:t>ncyjności. Obserwuje się spadek długu publicznego i zadłużenia sektora prywatnego w wyniku korzystnych warunków wzrostu. Banki są dobrze dokapitalizowane, a ich rentowność poprawia się. Spada wysoki dotychczas odsetek kredytów zagrożonych. Pomimo wyraźnego</w:t>
      </w:r>
      <w:r w:rsidRPr="00243683">
        <w:rPr>
          <w:rFonts w:ascii="Times New Roman" w:hAnsi="Times New Roman"/>
          <w:noProof/>
          <w:sz w:val="24"/>
          <w:szCs w:val="24"/>
          <w:lang w:val="pl-PL"/>
        </w:rPr>
        <w:t xml:space="preserve"> wzrostu cen nieruchomości w 2014 r. nie ma wyraźnych oznak zawyżonych cen. Niemniej jednak gospodarka jest nadal narażona na wystąpienie istotnych zmian koniunktury gospodarczej i wstrząsów zewnętrznych. Wdrożono szereg środków z zakresu polityki, zwłaszc</w:t>
      </w:r>
      <w:r w:rsidRPr="00243683">
        <w:rPr>
          <w:rFonts w:ascii="Times New Roman" w:hAnsi="Times New Roman"/>
          <w:noProof/>
          <w:sz w:val="24"/>
          <w:szCs w:val="24"/>
          <w:lang w:val="pl-PL"/>
        </w:rPr>
        <w:t>za w toku programu pomocy finansowej, by sprostać kluczowym wyzwaniom w zakresie naprawy sektora bankowego, przepisów w dziedzinie upadłości, stabilności budżetowej i stabilności na rynku mieszkaniowym.</w:t>
      </w:r>
    </w:p>
    <w:p w:rsidR="006B6A85" w:rsidRPr="00243683"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hAnsi="Times New Roman"/>
          <w:b/>
          <w:noProof/>
          <w:lang w:val="pl-PL"/>
        </w:rPr>
        <w:t>Hisz</w:t>
      </w:r>
      <w:r>
        <w:rPr>
          <w:rFonts w:ascii="Times New Roman" w:eastAsiaTheme="minorHAnsi" w:hAnsi="Times New Roman"/>
          <w:b/>
          <w:noProof/>
          <w:sz w:val="24"/>
          <w:szCs w:val="24"/>
          <w:lang w:val="pl-PL" w:eastAsia="en-GB"/>
        </w:rPr>
        <w:t>p</w:t>
      </w:r>
      <w:r>
        <w:rPr>
          <w:rFonts w:ascii="Times New Roman" w:hAnsi="Times New Roman"/>
          <w:b/>
          <w:noProof/>
          <w:lang w:val="pl-PL"/>
        </w:rPr>
        <w:t>ania</w:t>
      </w:r>
      <w:r>
        <w:rPr>
          <w:rFonts w:ascii="Times New Roman" w:hAnsi="Times New Roman"/>
          <w:noProof/>
          <w:lang w:val="pl-PL"/>
        </w:rPr>
        <w:t xml:space="preserve"> </w:t>
      </w:r>
      <w:r w:rsidRPr="00243683">
        <w:rPr>
          <w:rFonts w:ascii="Times New Roman" w:hAnsi="Times New Roman"/>
          <w:noProof/>
          <w:sz w:val="24"/>
          <w:szCs w:val="24"/>
          <w:lang w:val="pl-PL"/>
        </w:rPr>
        <w:t>odnotowuje zakłócenia równowagi makroekono</w:t>
      </w:r>
      <w:r w:rsidRPr="00243683">
        <w:rPr>
          <w:rFonts w:ascii="Times New Roman" w:hAnsi="Times New Roman"/>
          <w:noProof/>
          <w:sz w:val="24"/>
          <w:szCs w:val="24"/>
          <w:lang w:val="pl-PL"/>
        </w:rPr>
        <w:t xml:space="preserve">micznej. Znaczne zakłócenia w postaci zadłużenia zewnętrznego i wewnętrznego, zarówno w sektorze publicznym, jak i prywatnym, nadal są przyczyną podatności na zagrożenia w kontekście wysokiego wskaźnika bezrobocia i mają znaczenie transgraniczne. Poprawia </w:t>
      </w:r>
      <w:r w:rsidRPr="00243683">
        <w:rPr>
          <w:rFonts w:ascii="Times New Roman" w:hAnsi="Times New Roman"/>
          <w:noProof/>
          <w:sz w:val="24"/>
          <w:szCs w:val="24"/>
          <w:lang w:val="pl-PL"/>
        </w:rPr>
        <w:t>się saldo obrotów bieżących i konkurencyjność pod względem kosztów, ale według prognoz zobowiązania zewnętrzne netto nie osiągną szybko bezpiecznych poziomów. Trwa oddłużanie sektora prywatnego, czemu sprzyjają korzystne warunki wzrostu, natomiast dług pub</w:t>
      </w:r>
      <w:r w:rsidRPr="00243683">
        <w:rPr>
          <w:rFonts w:ascii="Times New Roman" w:hAnsi="Times New Roman"/>
          <w:noProof/>
          <w:sz w:val="24"/>
          <w:szCs w:val="24"/>
          <w:lang w:val="pl-PL"/>
        </w:rPr>
        <w:t>liczny stale rośnie. Podjęto działania w sektorze finansowym, w zakresie przepisów w dziedzinie upadłości przedsiębiorstw i osób fizycznych oraz przepisów dotyczących ochrony zatrudnienia. Konieczne są dalsze działania, zwłaszcza w odniesieniu do procesu u</w:t>
      </w:r>
      <w:r w:rsidRPr="00243683">
        <w:rPr>
          <w:rFonts w:ascii="Times New Roman" w:hAnsi="Times New Roman"/>
          <w:noProof/>
          <w:sz w:val="24"/>
          <w:szCs w:val="24"/>
          <w:lang w:val="pl-PL"/>
        </w:rPr>
        <w:t xml:space="preserve">stalania płac, innowacji i umiejętności oraz zgodności z paktem stabilności i wzrostu. </w:t>
      </w:r>
    </w:p>
    <w:p w:rsidR="006B6A85" w:rsidRPr="00243683"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Francja</w:t>
      </w:r>
      <w:r>
        <w:rPr>
          <w:rFonts w:ascii="Times New Roman" w:hAnsi="Times New Roman"/>
          <w:noProof/>
          <w:lang w:val="pl-PL"/>
        </w:rPr>
        <w:t xml:space="preserve"> </w:t>
      </w:r>
      <w:r w:rsidRPr="00243683">
        <w:rPr>
          <w:rFonts w:ascii="Times New Roman" w:hAnsi="Times New Roman"/>
          <w:noProof/>
          <w:sz w:val="24"/>
          <w:szCs w:val="24"/>
          <w:lang w:val="pl-PL"/>
        </w:rPr>
        <w:t>odnotowuje nadmierne zakłócenia równowagi makroekonomicznej. Wysoki dług publiczny, a do tego słabnący wzrost wydajności i spadająca konkurencyjność mogą w prz</w:t>
      </w:r>
      <w:r w:rsidRPr="00243683">
        <w:rPr>
          <w:rFonts w:ascii="Times New Roman" w:hAnsi="Times New Roman"/>
          <w:noProof/>
          <w:sz w:val="24"/>
          <w:szCs w:val="24"/>
          <w:lang w:val="pl-PL"/>
        </w:rPr>
        <w:t>yszłości nieść z sobą ryzyko o znaczeniu transgranicznym. Dług publiczny stale rośnie, a aktualna sytuacja nie wskazuje na wyraźny wzrost konkurencyjności i wydajności. Pomimo wzrostu marż zysku nie prognozuje się ożywienia inwestycji przed 2017 r. Podjęto</w:t>
      </w:r>
      <w:r w:rsidRPr="00243683">
        <w:rPr>
          <w:rFonts w:ascii="Times New Roman" w:hAnsi="Times New Roman"/>
          <w:noProof/>
          <w:sz w:val="24"/>
          <w:szCs w:val="24"/>
          <w:lang w:val="pl-PL"/>
        </w:rPr>
        <w:t xml:space="preserve"> środki z zakresu polityki, by zredukować klin podatkowy, a zobowiązania polityczne zostały niedawno zwiększone. Zasadnicze znaczenie ma jednak skuteczne wdrożenie reformy strukturalnej, m.in. pod względem systemu ustalania płac, przeszkód prawnych utrudni</w:t>
      </w:r>
      <w:r w:rsidRPr="00243683">
        <w:rPr>
          <w:rFonts w:ascii="Times New Roman" w:hAnsi="Times New Roman"/>
          <w:noProof/>
          <w:sz w:val="24"/>
          <w:szCs w:val="24"/>
          <w:lang w:val="pl-PL"/>
        </w:rPr>
        <w:t>ających przedsiębiorstwom rozwój. Należy także ambitniej podejść do przeglądu wydatków.</w:t>
      </w:r>
    </w:p>
    <w:p w:rsidR="006B6A85" w:rsidRDefault="006B6A85">
      <w:pPr>
        <w:spacing w:after="0" w:line="240" w:lineRule="auto"/>
        <w:jc w:val="both"/>
        <w:rPr>
          <w:rFonts w:ascii="Times New Roman" w:hAnsi="Times New Roman"/>
          <w:noProof/>
          <w:sz w:val="24"/>
          <w:szCs w:val="24"/>
          <w:lang w:val="pl-PL"/>
        </w:rPr>
      </w:pPr>
    </w:p>
    <w:p w:rsidR="006B6A85"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Chorwacja</w:t>
      </w:r>
      <w:r>
        <w:rPr>
          <w:rFonts w:ascii="Times New Roman" w:hAnsi="Times New Roman"/>
          <w:noProof/>
          <w:lang w:val="pl-PL"/>
        </w:rPr>
        <w:t xml:space="preserve"> </w:t>
      </w:r>
      <w:r w:rsidRPr="00243683">
        <w:rPr>
          <w:rFonts w:ascii="Times New Roman" w:hAnsi="Times New Roman"/>
          <w:noProof/>
          <w:sz w:val="24"/>
          <w:szCs w:val="24"/>
          <w:lang w:val="pl-PL"/>
        </w:rPr>
        <w:t>odnotowuje nadmierne zakłócenia równowagi makroekonomicznej. Podatność na zagrożenia związana jest z wysokim poziomem długu publicznego, zadłużenia przedsięb</w:t>
      </w:r>
      <w:r w:rsidRPr="00243683">
        <w:rPr>
          <w:rFonts w:ascii="Times New Roman" w:hAnsi="Times New Roman"/>
          <w:noProof/>
          <w:sz w:val="24"/>
          <w:szCs w:val="24"/>
          <w:lang w:val="pl-PL"/>
        </w:rPr>
        <w:t>iorstw i długu zagranicznego, którym towarzyszy wysokie bezrobocie. Umiarkowane ożywienie gospodarcze ma przyczynić się do oddłużenia przedsiębiorstw, a poprawa salda obrotów bieżących powinna pomóc w zmniejszeniu zobowiązań zagranicznych, przy czym oczeku</w:t>
      </w:r>
      <w:r w:rsidRPr="00243683">
        <w:rPr>
          <w:rFonts w:ascii="Times New Roman" w:hAnsi="Times New Roman"/>
          <w:noProof/>
          <w:sz w:val="24"/>
          <w:szCs w:val="24"/>
          <w:lang w:val="pl-PL"/>
        </w:rPr>
        <w:t>je się, że dług publiczny będzie nadal rósł. Sektor bankowy nadal boryka się z wysokim poziomem kredytów zagrożonych i niską rentownością. Konieczne są dalsze wysiłki konsolidacyjne i poprawa zarządzania budżetem. Mimo iż podjęto działania w celu ulepszeni</w:t>
      </w:r>
      <w:r w:rsidRPr="00243683">
        <w:rPr>
          <w:rFonts w:ascii="Times New Roman" w:hAnsi="Times New Roman"/>
          <w:noProof/>
          <w:sz w:val="24"/>
          <w:szCs w:val="24"/>
          <w:lang w:val="pl-PL"/>
        </w:rPr>
        <w:t>a przepisów w dziedzinie upadłości i zwiększenia elastyczności rynku pracy, istnieją nadal luki w kwestiach zarządzania przedsiębiorstwami państwowymi, wydajności administracji publicznej i likwidacji kredytów zagrożonych.</w:t>
      </w:r>
    </w:p>
    <w:p w:rsidR="006B6A85"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Włochy</w:t>
      </w:r>
      <w:r>
        <w:rPr>
          <w:rFonts w:ascii="Times New Roman" w:hAnsi="Times New Roman"/>
          <w:b/>
          <w:noProof/>
          <w:lang w:val="pl-PL"/>
        </w:rPr>
        <w:t xml:space="preserve"> </w:t>
      </w:r>
      <w:r w:rsidRPr="00243683">
        <w:rPr>
          <w:rFonts w:ascii="Times New Roman" w:hAnsi="Times New Roman"/>
          <w:noProof/>
          <w:sz w:val="24"/>
          <w:szCs w:val="24"/>
          <w:lang w:val="pl-PL"/>
        </w:rPr>
        <w:t xml:space="preserve">odnotowują nadmierne </w:t>
      </w:r>
      <w:r w:rsidRPr="00243683">
        <w:rPr>
          <w:rFonts w:ascii="Times New Roman" w:hAnsi="Times New Roman"/>
          <w:noProof/>
          <w:sz w:val="24"/>
          <w:szCs w:val="24"/>
          <w:lang w:val="pl-PL"/>
        </w:rPr>
        <w:t>zakłócenia równowagi makroekonomicznej. Wysoki dług sektora instytucji rządowych i samorządowych i długotrwały słaby wzrost wydajności będą w przyszłości wiązały się z ryzykiem o znaczeniu transgranicznym. Pomimo umiarkowanego wzrostu wynagrodzeń konkurenc</w:t>
      </w:r>
      <w:r w:rsidRPr="00243683">
        <w:rPr>
          <w:rFonts w:ascii="Times New Roman" w:hAnsi="Times New Roman"/>
          <w:noProof/>
          <w:sz w:val="24"/>
          <w:szCs w:val="24"/>
          <w:lang w:val="pl-PL"/>
        </w:rPr>
        <w:t>yjność jest nadal niska, a wzrost wydajności pogarsza się, co ogranicza możliwości dostosowania jednostkowego kosztu pracy. Powolna likwidacja kredytów zagrożonych obciąża bilans banków. Wysoka stopa bezrobocia długotrwałego zagraża przyszłemu wzrostowi go</w:t>
      </w:r>
      <w:r w:rsidRPr="00243683">
        <w:rPr>
          <w:rFonts w:ascii="Times New Roman" w:hAnsi="Times New Roman"/>
          <w:noProof/>
          <w:sz w:val="24"/>
          <w:szCs w:val="24"/>
          <w:lang w:val="pl-PL"/>
        </w:rPr>
        <w:t>spodarczemu. Redukcja długu publicznego w przyszłości wymagałaby większych nadwyżek pierwotnych i nieprzerwanego wzrostu nominalnego. Podjęto działania polityczne w celu zreformowania instytucji rynku pracy, rozwiązania problemu kredytów zagrożonych oraz z</w:t>
      </w:r>
      <w:r w:rsidRPr="00243683">
        <w:rPr>
          <w:rFonts w:ascii="Times New Roman" w:hAnsi="Times New Roman"/>
          <w:noProof/>
          <w:sz w:val="24"/>
          <w:szCs w:val="24"/>
          <w:lang w:val="pl-PL"/>
        </w:rPr>
        <w:t xml:space="preserve">ajęcia się kwestiami administracji publicznej, wymiaru sprawiedliwości i szkolnictwa. Utrzymują się luki w polityce, zwłaszcza w dziedzinie prywatyzacji, przepisów dotyczących układów zbiorowych, przeglądu wydatków, środków otwierania rynku, opodatkowania </w:t>
      </w:r>
      <w:r w:rsidRPr="00243683">
        <w:rPr>
          <w:rFonts w:ascii="Times New Roman" w:hAnsi="Times New Roman"/>
          <w:noProof/>
          <w:sz w:val="24"/>
          <w:szCs w:val="24"/>
          <w:lang w:val="pl-PL"/>
        </w:rPr>
        <w:t>i zwalczania korupcji.</w:t>
      </w:r>
    </w:p>
    <w:p w:rsidR="006B6A85" w:rsidRPr="00243683"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Węgry</w:t>
      </w:r>
      <w:r>
        <w:rPr>
          <w:rFonts w:ascii="Times New Roman" w:hAnsi="Times New Roman"/>
          <w:noProof/>
          <w:lang w:val="pl-PL"/>
        </w:rPr>
        <w:t xml:space="preserve"> </w:t>
      </w:r>
      <w:r w:rsidRPr="00243683">
        <w:rPr>
          <w:rFonts w:ascii="Times New Roman" w:hAnsi="Times New Roman"/>
          <w:noProof/>
          <w:sz w:val="24"/>
          <w:szCs w:val="24"/>
          <w:lang w:val="pl-PL"/>
        </w:rPr>
        <w:t>nie odnotowują zakłóceń równowagi makroekonomicznej. Choć nadal problemem są duże potrzeby w zakresie refinansowania zagranicznego zadłużenia i udział kredytów zagrożonych, zmniejszyło się ryzyko związane ze zobowiązaniami zew</w:t>
      </w:r>
      <w:r w:rsidRPr="00243683">
        <w:rPr>
          <w:rFonts w:ascii="Times New Roman" w:hAnsi="Times New Roman"/>
          <w:noProof/>
          <w:sz w:val="24"/>
          <w:szCs w:val="24"/>
          <w:lang w:val="pl-PL"/>
        </w:rPr>
        <w:t>nętrznymi i wewnętrznymi. Wyraźny spadek poziomu zobowiązań zewnętrznych netto wynika z wysokich obecnie nadwyżek na rachunku obrotów bieżących i rachunku kapitałowego. Przepływy kredytowe do sektora prywatnego są ograniczone w związku z niską rentownością</w:t>
      </w:r>
      <w:r w:rsidRPr="00243683">
        <w:rPr>
          <w:rFonts w:ascii="Times New Roman" w:hAnsi="Times New Roman"/>
          <w:noProof/>
          <w:sz w:val="24"/>
          <w:szCs w:val="24"/>
          <w:lang w:val="pl-PL"/>
        </w:rPr>
        <w:t xml:space="preserve"> banków. Podjęto działania polityczne w celu zwiększenia przewidywalności otoczenia regulacyjnego dotyczącego sektora finansowego, obniżenia obciążenia podatkowego banków, zmniejszenia udziału zadłużenia w walucie obcej i wprowadzenia subsydiowanych system</w:t>
      </w:r>
      <w:r w:rsidRPr="00243683">
        <w:rPr>
          <w:rFonts w:ascii="Times New Roman" w:hAnsi="Times New Roman"/>
          <w:noProof/>
          <w:sz w:val="24"/>
          <w:szCs w:val="24"/>
          <w:lang w:val="pl-PL"/>
        </w:rPr>
        <w:t>ów udzielania pożyczek. Wpływ tych środków na kredyty bankowe jeszcze się nie uwidocznił. Ponadto utrzymują się luki w polityce dotyczącej konkurencyjności niezwiązanej z kosztami, wydajności i ogólnego otoczenia biznesu.</w:t>
      </w:r>
    </w:p>
    <w:p w:rsidR="006B6A85"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Niderlandy</w:t>
      </w:r>
      <w:r>
        <w:rPr>
          <w:rFonts w:ascii="Times New Roman" w:hAnsi="Times New Roman"/>
          <w:noProof/>
          <w:lang w:val="pl-PL"/>
        </w:rPr>
        <w:t xml:space="preserve"> </w:t>
      </w:r>
      <w:r w:rsidRPr="00243683">
        <w:rPr>
          <w:rFonts w:ascii="Times New Roman" w:hAnsi="Times New Roman"/>
          <w:noProof/>
          <w:sz w:val="24"/>
          <w:szCs w:val="24"/>
          <w:lang w:val="pl-PL"/>
        </w:rPr>
        <w:t xml:space="preserve">odnotowują zakłócenia </w:t>
      </w:r>
      <w:r w:rsidRPr="00243683">
        <w:rPr>
          <w:rFonts w:ascii="Times New Roman" w:hAnsi="Times New Roman"/>
          <w:noProof/>
          <w:sz w:val="24"/>
          <w:szCs w:val="24"/>
          <w:lang w:val="pl-PL"/>
        </w:rPr>
        <w:t>równowagi makroekonomicznej. Utrzymująca się znaczna nadwyżka na rachunku obrotów bieżących ma znaczenie transgraniczne. Nadwyżka ta odzwierciedla przede wszystkim strukturalne cechy gospodarki i założenia polityki w odniesieniu do przedsiębiorstw niefinan</w:t>
      </w:r>
      <w:r w:rsidRPr="00243683">
        <w:rPr>
          <w:rFonts w:ascii="Times New Roman" w:hAnsi="Times New Roman"/>
          <w:noProof/>
          <w:sz w:val="24"/>
          <w:szCs w:val="24"/>
          <w:lang w:val="pl-PL"/>
        </w:rPr>
        <w:t>sowych. Sektor gospodarstw domowych cechuje się bardzo wysokim poziomem zadłużenia i potrzebą oddłużenia. Od 2013 r. zauważa się niewielki spadek nadwyżki na rachunku obrotów bieżących w wyniku poprawy warunków koniunkturalnych, lecz oddłużenie gospodarstw</w:t>
      </w:r>
      <w:r w:rsidRPr="00243683">
        <w:rPr>
          <w:rFonts w:ascii="Times New Roman" w:hAnsi="Times New Roman"/>
          <w:noProof/>
          <w:sz w:val="24"/>
          <w:szCs w:val="24"/>
          <w:lang w:val="pl-PL"/>
        </w:rPr>
        <w:t xml:space="preserve"> domowych przyczynia się do utrzymania tej nadwyżki na wysokim poziomie. Podjęto pewne działania mające wspierać proces oddłużania gospodarstw domowych, lecz wdrażanie tych środków przebiega wolno. Spodziewany jest pakiet środków podatkowych mający pobudza</w:t>
      </w:r>
      <w:r w:rsidRPr="00243683">
        <w:rPr>
          <w:rFonts w:ascii="Times New Roman" w:hAnsi="Times New Roman"/>
          <w:noProof/>
          <w:sz w:val="24"/>
          <w:szCs w:val="24"/>
          <w:lang w:val="pl-PL"/>
        </w:rPr>
        <w:t>ć konsumpcję i tym samym przyczynić się do zredukowania nadwyżki w 2016 r.</w:t>
      </w:r>
    </w:p>
    <w:p w:rsidR="006B6A85" w:rsidRDefault="006B6A85">
      <w:pPr>
        <w:spacing w:after="0" w:line="240" w:lineRule="auto"/>
        <w:jc w:val="both"/>
        <w:rPr>
          <w:rFonts w:ascii="Times New Roman" w:hAnsi="Times New Roman"/>
          <w:b/>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Pr>
          <w:rFonts w:ascii="Times New Roman" w:eastAsiaTheme="minorHAnsi" w:hAnsi="Times New Roman"/>
          <w:b/>
          <w:noProof/>
          <w:sz w:val="24"/>
          <w:szCs w:val="24"/>
          <w:lang w:val="pl-PL" w:eastAsia="en-GB"/>
        </w:rPr>
        <w:t>Austria</w:t>
      </w:r>
      <w:r>
        <w:rPr>
          <w:rFonts w:ascii="Times New Roman" w:hAnsi="Times New Roman"/>
          <w:b/>
          <w:noProof/>
          <w:lang w:val="pl-PL"/>
        </w:rPr>
        <w:t xml:space="preserve"> </w:t>
      </w:r>
      <w:r w:rsidRPr="00243683">
        <w:rPr>
          <w:rFonts w:ascii="Times New Roman" w:hAnsi="Times New Roman"/>
          <w:noProof/>
          <w:sz w:val="24"/>
          <w:szCs w:val="24"/>
          <w:lang w:val="pl-PL"/>
        </w:rPr>
        <w:t>nie odnotowuje zakłóceń równowagi makroekonomicznej. Ekspozycja banków austriackich za granicą i pożyczki w walucie obcej niosą z sobą ryzyko niekorzystnych skutków uboczny</w:t>
      </w:r>
      <w:r w:rsidRPr="00243683">
        <w:rPr>
          <w:rFonts w:ascii="Times New Roman" w:hAnsi="Times New Roman"/>
          <w:noProof/>
          <w:sz w:val="24"/>
          <w:szCs w:val="24"/>
          <w:lang w:val="pl-PL"/>
        </w:rPr>
        <w:t>ch na innych rynkach, również z uwagi na pozycję kapitałową banków i perspektywy osiągnięcia zysku. Zmalała jednak ekspozycja zagraniczna banków i oczekuje się, że poprawa kapitalizacji i środki ograniczające ryzyko będą stopniowo poprawiać zdolność sektor</w:t>
      </w:r>
      <w:r w:rsidRPr="00243683">
        <w:rPr>
          <w:rFonts w:ascii="Times New Roman" w:hAnsi="Times New Roman"/>
          <w:noProof/>
          <w:sz w:val="24"/>
          <w:szCs w:val="24"/>
          <w:lang w:val="pl-PL"/>
        </w:rPr>
        <w:t xml:space="preserve">a bankowego do udzielania pożyczek. Restrukturyzacja instytucji finansowych wpłynęła na finanse publiczne, lecz obecnie przebiega dalej bez potrzeby dodatkowego wsparcia w postaci środków publicznych. Środki nadzoru wzmocniły zdolność do ponoszenia ryzyka </w:t>
      </w:r>
      <w:r w:rsidRPr="00243683">
        <w:rPr>
          <w:rFonts w:ascii="Times New Roman" w:hAnsi="Times New Roman"/>
          <w:noProof/>
          <w:sz w:val="24"/>
          <w:szCs w:val="24"/>
          <w:lang w:val="pl-PL"/>
        </w:rPr>
        <w:t>i odporność krajowego sektora bankowego, a także poprawiły możliwości lokalnego finansowania przez ten sektor i jakość aktywów operacji zagranicznych. Udział w rynkach eksportowych obniżył się, jednak stabilizuje się po latach spadku.</w:t>
      </w:r>
    </w:p>
    <w:p w:rsidR="006B6A85" w:rsidRDefault="006B6A85">
      <w:pPr>
        <w:spacing w:after="0" w:line="240" w:lineRule="auto"/>
        <w:jc w:val="both"/>
        <w:rPr>
          <w:rFonts w:ascii="Times New Roman" w:hAnsi="Times New Roman"/>
          <w:b/>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sidRPr="00243683">
        <w:rPr>
          <w:rFonts w:ascii="Times New Roman" w:hAnsi="Times New Roman"/>
          <w:b/>
          <w:noProof/>
          <w:sz w:val="24"/>
          <w:szCs w:val="24"/>
          <w:lang w:val="pl-PL"/>
        </w:rPr>
        <w:t>Portugalia</w:t>
      </w:r>
      <w:r>
        <w:rPr>
          <w:rFonts w:ascii="Times New Roman" w:hAnsi="Times New Roman"/>
          <w:noProof/>
          <w:lang w:val="pl-PL"/>
        </w:rPr>
        <w:t xml:space="preserve"> </w:t>
      </w:r>
      <w:r w:rsidRPr="00243683">
        <w:rPr>
          <w:rFonts w:ascii="Times New Roman" w:hAnsi="Times New Roman"/>
          <w:noProof/>
          <w:sz w:val="24"/>
          <w:szCs w:val="24"/>
          <w:lang w:val="pl-PL"/>
        </w:rPr>
        <w:t>odnotowuj</w:t>
      </w:r>
      <w:r w:rsidRPr="00243683">
        <w:rPr>
          <w:rFonts w:ascii="Times New Roman" w:hAnsi="Times New Roman"/>
          <w:noProof/>
          <w:sz w:val="24"/>
          <w:szCs w:val="24"/>
          <w:lang w:val="pl-PL"/>
        </w:rPr>
        <w:t>e nadmierne zakłócenia równowagi makroekonomicznej. Wysoki poziom zobowiązań zewnętrznych, zadłużenia sektora prywatnego i długu publicznego oraz znaczny odsetek kredytów zagrożonych są przyczyną podatności na zagrożenia w kontekście zwiększonej stopy bezr</w:t>
      </w:r>
      <w:r w:rsidRPr="00243683">
        <w:rPr>
          <w:rFonts w:ascii="Times New Roman" w:hAnsi="Times New Roman"/>
          <w:noProof/>
          <w:sz w:val="24"/>
          <w:szCs w:val="24"/>
          <w:lang w:val="pl-PL"/>
        </w:rPr>
        <w:t>obocia. Zmiany na rachunku obrotów bieżących wykazują niewielką tendencję w kierunku nadwyżki. Wprawdzie zmniejszyło się zadłużenie gospodarstw domowych, to zadłużenie przedsiębiorstw nadal negatywnie wpływa na ich wyniki. Zakłada się stopniowy spadek bard</w:t>
      </w:r>
      <w:r w:rsidRPr="00243683">
        <w:rPr>
          <w:rFonts w:ascii="Times New Roman" w:hAnsi="Times New Roman"/>
          <w:noProof/>
          <w:sz w:val="24"/>
          <w:szCs w:val="24"/>
          <w:lang w:val="pl-PL"/>
        </w:rPr>
        <w:t>zo wysokiego dotychczas długu publicznego. Podjęto działania w ramach polityki w zakresie sektora finansowego, dostępu do finansowania, postępowania upadłościowego, funkcjonowania rynku pracy, szkolnictwa i długoterminowej stabilności budżetowej. Utrzymują</w:t>
      </w:r>
      <w:r w:rsidRPr="00243683">
        <w:rPr>
          <w:rFonts w:ascii="Times New Roman" w:hAnsi="Times New Roman"/>
          <w:noProof/>
          <w:sz w:val="24"/>
          <w:szCs w:val="24"/>
          <w:lang w:val="pl-PL"/>
        </w:rPr>
        <w:t xml:space="preserve"> się jednak luki w polityce w odniesieniu do rynku produktów i usług, restrukturyzacji zadłużenia przedsiębiorstw, kwestii budżetowych i wybranych obszarów rynku pracy. </w:t>
      </w:r>
    </w:p>
    <w:p w:rsidR="006B6A85" w:rsidRPr="00243683" w:rsidRDefault="006B6A85">
      <w:pPr>
        <w:spacing w:after="0" w:line="240" w:lineRule="auto"/>
        <w:jc w:val="both"/>
        <w:rPr>
          <w:rFonts w:ascii="Times New Roman" w:hAnsi="Times New Roman"/>
          <w:noProof/>
          <w:sz w:val="24"/>
          <w:szCs w:val="24"/>
          <w:lang w:val="pl-PL"/>
        </w:rPr>
      </w:pPr>
    </w:p>
    <w:p w:rsidR="006B6A85" w:rsidRDefault="00243683">
      <w:pPr>
        <w:spacing w:after="0" w:line="240" w:lineRule="auto"/>
        <w:jc w:val="both"/>
        <w:rPr>
          <w:rFonts w:ascii="Times New Roman" w:hAnsi="Times New Roman"/>
          <w:noProof/>
          <w:sz w:val="24"/>
          <w:szCs w:val="24"/>
          <w:lang w:val="pl-PL"/>
        </w:rPr>
      </w:pPr>
      <w:r w:rsidRPr="00243683">
        <w:rPr>
          <w:rFonts w:ascii="Times New Roman" w:hAnsi="Times New Roman"/>
          <w:b/>
          <w:noProof/>
          <w:sz w:val="24"/>
          <w:szCs w:val="24"/>
          <w:lang w:val="pl-PL"/>
        </w:rPr>
        <w:t>Rumunia</w:t>
      </w:r>
      <w:r>
        <w:rPr>
          <w:rFonts w:ascii="Times New Roman" w:hAnsi="Times New Roman"/>
          <w:noProof/>
          <w:lang w:val="pl-PL"/>
        </w:rPr>
        <w:t xml:space="preserve"> </w:t>
      </w:r>
      <w:r w:rsidRPr="00243683">
        <w:rPr>
          <w:rFonts w:ascii="Times New Roman" w:hAnsi="Times New Roman"/>
          <w:noProof/>
          <w:sz w:val="24"/>
          <w:szCs w:val="24"/>
          <w:lang w:val="pl-PL"/>
        </w:rPr>
        <w:t>nie odnotowuje zakłóceń równowagi makroekonomicznej. Zagrożenia wiążą się z w</w:t>
      </w:r>
      <w:r w:rsidRPr="00243683">
        <w:rPr>
          <w:rFonts w:ascii="Times New Roman" w:hAnsi="Times New Roman"/>
          <w:noProof/>
          <w:sz w:val="24"/>
          <w:szCs w:val="24"/>
          <w:lang w:val="pl-PL"/>
        </w:rPr>
        <w:t>ysokim poziomem zobowiązań netto w walucie obcej, podatnością sektora bankowego i procykliczną polityką budżetową, a także wyraźnym wzrostem wynagrodzeń. W kontekście silnego ożywienia gospodarczego odnotowano spadek wysokiego dotychczas poziomu zobowiązań</w:t>
      </w:r>
      <w:r w:rsidRPr="00243683">
        <w:rPr>
          <w:rFonts w:ascii="Times New Roman" w:hAnsi="Times New Roman"/>
          <w:noProof/>
          <w:sz w:val="24"/>
          <w:szCs w:val="24"/>
          <w:lang w:val="pl-PL"/>
        </w:rPr>
        <w:t xml:space="preserve"> zagranicznych netto. Przy wsparciu Komisji podjęto działania, by wzmocnić sektor finansowy. Sektor bankowy cechują dobra kapitalizacja i płynność, lecz niektóre omawiane obecnie inicjatywy ustawodawcze zagrażają jego stabilności. Wzrosły płace w sektorze </w:t>
      </w:r>
      <w:r w:rsidRPr="00243683">
        <w:rPr>
          <w:rFonts w:ascii="Times New Roman" w:hAnsi="Times New Roman"/>
          <w:noProof/>
          <w:sz w:val="24"/>
          <w:szCs w:val="24"/>
          <w:lang w:val="pl-PL"/>
        </w:rPr>
        <w:t>publicznym i płaca minimalna, a także dokonano cięć podatków. Niesie to z sobą ryzyko, że polityka budżetowa będzie miała procykliczny charakter</w:t>
      </w:r>
      <w:r>
        <w:rPr>
          <w:rFonts w:ascii="Times New Roman" w:hAnsi="Times New Roman"/>
          <w:noProof/>
          <w:sz w:val="24"/>
          <w:lang w:val="pl-PL"/>
        </w:rPr>
        <w:t xml:space="preserve">. </w:t>
      </w:r>
    </w:p>
    <w:p w:rsidR="006B6A85" w:rsidRDefault="00243683">
      <w:pPr>
        <w:spacing w:after="0" w:line="240" w:lineRule="auto"/>
        <w:jc w:val="both"/>
        <w:rPr>
          <w:rFonts w:ascii="Times New Roman" w:hAnsi="Times New Roman"/>
          <w:noProof/>
          <w:sz w:val="24"/>
          <w:szCs w:val="24"/>
          <w:highlight w:val="yellow"/>
          <w:lang w:val="pl-PL"/>
        </w:rPr>
      </w:pPr>
      <w:r>
        <w:rPr>
          <w:rFonts w:ascii="Times New Roman" w:hAnsi="Times New Roman"/>
          <w:noProof/>
          <w:sz w:val="24"/>
          <w:highlight w:val="yellow"/>
          <w:lang w:val="pl-PL"/>
        </w:rPr>
        <w:t xml:space="preserve"> </w:t>
      </w:r>
    </w:p>
    <w:p w:rsidR="006B6A85" w:rsidRPr="00243683" w:rsidRDefault="00243683">
      <w:pPr>
        <w:spacing w:after="0" w:line="240" w:lineRule="auto"/>
        <w:jc w:val="both"/>
        <w:rPr>
          <w:rFonts w:ascii="Times New Roman" w:hAnsi="Times New Roman"/>
          <w:noProof/>
          <w:sz w:val="24"/>
          <w:szCs w:val="24"/>
          <w:lang w:val="pl-PL"/>
        </w:rPr>
      </w:pPr>
      <w:r w:rsidRPr="00243683">
        <w:rPr>
          <w:rFonts w:ascii="Times New Roman" w:hAnsi="Times New Roman"/>
          <w:b/>
          <w:noProof/>
          <w:sz w:val="24"/>
          <w:szCs w:val="24"/>
          <w:lang w:val="pl-PL"/>
        </w:rPr>
        <w:t>Słowenia</w:t>
      </w:r>
      <w:r>
        <w:rPr>
          <w:rFonts w:ascii="Times New Roman" w:hAnsi="Times New Roman"/>
          <w:noProof/>
          <w:lang w:val="pl-PL"/>
        </w:rPr>
        <w:t xml:space="preserve"> </w:t>
      </w:r>
      <w:r w:rsidRPr="00243683">
        <w:rPr>
          <w:rFonts w:ascii="Times New Roman" w:hAnsi="Times New Roman"/>
          <w:noProof/>
          <w:sz w:val="24"/>
          <w:szCs w:val="24"/>
          <w:lang w:val="pl-PL"/>
        </w:rPr>
        <w:t>odnotowuje zakłócenia równowagi makroekonomicznej. Słabe punkty w sektorze bankowym, zadłużenie pr</w:t>
      </w:r>
      <w:r w:rsidRPr="00243683">
        <w:rPr>
          <w:rFonts w:ascii="Times New Roman" w:hAnsi="Times New Roman"/>
          <w:noProof/>
          <w:sz w:val="24"/>
          <w:szCs w:val="24"/>
          <w:lang w:val="pl-PL"/>
        </w:rPr>
        <w:t>zedsiębiorstw i ryzyko budżetowe powodują podatność za zagrożenia. Trwa obniżanie zobowiązań zewnętrznych, sytuacja w sektorze bankowym ustabilizowała się i podejmowane są starania, by zaradzić podatności na zagrożenia w sektorze przedsiębiorstw w drodze r</w:t>
      </w:r>
      <w:r w:rsidRPr="00243683">
        <w:rPr>
          <w:rFonts w:ascii="Times New Roman" w:hAnsi="Times New Roman"/>
          <w:noProof/>
          <w:sz w:val="24"/>
          <w:szCs w:val="24"/>
          <w:lang w:val="pl-PL"/>
        </w:rPr>
        <w:t>estrukturyzacji finansowej i operacyjnej. Zmniejsza się presja na oddłużanie, lecz nadal wpływa ona negatywnie na zdolność przedsiębiorstw do inwestowania oraz na szanse poprawy sytuacji gospodarczej. Obciążenia administracyjne wciąż są przeszkodą dla otoc</w:t>
      </w:r>
      <w:r w:rsidRPr="00243683">
        <w:rPr>
          <w:rFonts w:ascii="Times New Roman" w:hAnsi="Times New Roman"/>
          <w:noProof/>
          <w:sz w:val="24"/>
          <w:szCs w:val="24"/>
          <w:lang w:val="pl-PL"/>
        </w:rPr>
        <w:t>zenia biznesu. Podjęto środki z zakresu polityki w odniesieniu do ładu korporacyjnego w bankach likwidujących złe aktywa i osiągnięto znaczne postępy w zakresie rządzenia przedsiębiorstwami państwowymi. Postępy w zakresie zmniejszania obciążenia administra</w:t>
      </w:r>
      <w:r w:rsidRPr="00243683">
        <w:rPr>
          <w:rFonts w:ascii="Times New Roman" w:hAnsi="Times New Roman"/>
          <w:noProof/>
          <w:sz w:val="24"/>
          <w:szCs w:val="24"/>
          <w:lang w:val="pl-PL"/>
        </w:rPr>
        <w:t>cyjnego są jednak ograniczone, a strategia dotycząca bezpośrednich inwestycji zagranicznych nie została jeszcze w pełni wdrożona. Konieczne są dalsze działania, by przywrócić trwałą tendencję spadkową wskaźnika zadłużenia.</w:t>
      </w:r>
    </w:p>
    <w:p w:rsidR="006B6A85" w:rsidRPr="00243683"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sidRPr="00243683">
        <w:rPr>
          <w:rFonts w:ascii="Times New Roman" w:hAnsi="Times New Roman"/>
          <w:b/>
          <w:noProof/>
          <w:sz w:val="24"/>
          <w:szCs w:val="24"/>
          <w:lang w:val="pl-PL"/>
        </w:rPr>
        <w:t>Finlandia</w:t>
      </w:r>
      <w:r>
        <w:rPr>
          <w:rFonts w:ascii="Times New Roman" w:hAnsi="Times New Roman"/>
          <w:noProof/>
          <w:lang w:val="pl-PL"/>
        </w:rPr>
        <w:t xml:space="preserve"> </w:t>
      </w:r>
      <w:r w:rsidRPr="00243683">
        <w:rPr>
          <w:rFonts w:ascii="Times New Roman" w:hAnsi="Times New Roman"/>
          <w:noProof/>
          <w:sz w:val="24"/>
          <w:szCs w:val="24"/>
          <w:lang w:val="pl-PL"/>
        </w:rPr>
        <w:t>odnotowuje zakłócenia równowagi makroekonomicznej. Finlandia odnotowała spadek konkurencyjności w związku z pogorszeniem się sytuacji w kluczowych sektorach i przedsiębiorstwach oraz wzrostem wynagrodzeń przekraczającym wydajność pracy, co skutkowało gwałt</w:t>
      </w:r>
      <w:r w:rsidRPr="00243683">
        <w:rPr>
          <w:rFonts w:ascii="Times New Roman" w:hAnsi="Times New Roman"/>
          <w:noProof/>
          <w:sz w:val="24"/>
          <w:szCs w:val="24"/>
          <w:lang w:val="pl-PL"/>
        </w:rPr>
        <w:t>ownym obniżeniem się salda obrotów bieżących. Zadłużenie sektora prywatnego jest bardzo wysokie, co może powodować podatność na zagrożenia, mimo że sektor finansowy jest w dobrej kondycji. Zauważa się stopniową poprawę konkurencyjności pod względem kosztów</w:t>
      </w:r>
      <w:r w:rsidRPr="00243683">
        <w:rPr>
          <w:rFonts w:ascii="Times New Roman" w:hAnsi="Times New Roman"/>
          <w:noProof/>
          <w:sz w:val="24"/>
          <w:szCs w:val="24"/>
          <w:lang w:val="pl-PL"/>
        </w:rPr>
        <w:t xml:space="preserve"> i wolniejszy spadek udziału w rynkach eksportowych, podczas gdy saldo na rachunku obrotów bieżących zmierza w kierunku nadwyżki. Spodziewana jest niewielka presja na oddłużanie. Partnerzy społeczni uzgodnili umiarkowany wzrost płac; podjęte zostały inicja</w:t>
      </w:r>
      <w:r w:rsidRPr="00243683">
        <w:rPr>
          <w:rFonts w:ascii="Times New Roman" w:hAnsi="Times New Roman"/>
          <w:noProof/>
          <w:sz w:val="24"/>
          <w:szCs w:val="24"/>
          <w:lang w:val="pl-PL"/>
        </w:rPr>
        <w:t xml:space="preserve">tywy zmierzające do ożywienia wzrostu w sektorach zaawansowanych technologii i do ułatwienia wywozu. Wprowadzone niedawno środki dotyczące kredytów mieszkaniowych dla gospodarstw domowych mogą ograniczyć wzrost zadłużenia gospodarstw domowych. </w:t>
      </w:r>
    </w:p>
    <w:p w:rsidR="006B6A85" w:rsidRDefault="006B6A85">
      <w:pPr>
        <w:spacing w:after="0" w:line="240" w:lineRule="auto"/>
        <w:jc w:val="both"/>
        <w:rPr>
          <w:rFonts w:ascii="Times New Roman" w:hAnsi="Times New Roman"/>
          <w:b/>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sidRPr="00243683">
        <w:rPr>
          <w:rFonts w:ascii="Times New Roman" w:hAnsi="Times New Roman"/>
          <w:b/>
          <w:noProof/>
          <w:sz w:val="24"/>
          <w:szCs w:val="24"/>
          <w:lang w:val="pl-PL"/>
        </w:rPr>
        <w:t>Szwecja</w:t>
      </w:r>
      <w:r>
        <w:rPr>
          <w:rFonts w:ascii="Times New Roman" w:hAnsi="Times New Roman"/>
          <w:noProof/>
          <w:lang w:val="pl-PL"/>
        </w:rPr>
        <w:t xml:space="preserve"> </w:t>
      </w:r>
      <w:r w:rsidRPr="00243683">
        <w:rPr>
          <w:rFonts w:ascii="Times New Roman" w:hAnsi="Times New Roman"/>
          <w:noProof/>
          <w:sz w:val="24"/>
          <w:szCs w:val="24"/>
          <w:lang w:val="pl-PL"/>
        </w:rPr>
        <w:t>od</w:t>
      </w:r>
      <w:r w:rsidRPr="00243683">
        <w:rPr>
          <w:rFonts w:ascii="Times New Roman" w:hAnsi="Times New Roman"/>
          <w:noProof/>
          <w:sz w:val="24"/>
          <w:szCs w:val="24"/>
          <w:lang w:val="pl-PL"/>
        </w:rPr>
        <w:t>notowuje zakłócenia równowagi makroekonomicznej. Wysokie i rosnące zadłużenie gospodarstw domowych związane z wysokimi i rosnącymi cenami nieruchomości mieszkalnych w kontekście dodatnich przepływów kredytowych stwarza ryzyko niekontrolowanych korekt, przy</w:t>
      </w:r>
      <w:r w:rsidRPr="00243683">
        <w:rPr>
          <w:rFonts w:ascii="Times New Roman" w:hAnsi="Times New Roman"/>
          <w:noProof/>
          <w:sz w:val="24"/>
          <w:szCs w:val="24"/>
          <w:lang w:val="pl-PL"/>
        </w:rPr>
        <w:t xml:space="preserve"> czym konsekwencje odczułyby gospodarka realna i sektor bankowy. Nie została dokonana korekta cen nieruchomości mieszkalnych, a obecne czynniki wzrostu tych cen prawdopodobnie nie zmienią się w najbliższym czasie. Podjęto pewne działania makroostrożnościow</w:t>
      </w:r>
      <w:r w:rsidRPr="00243683">
        <w:rPr>
          <w:rFonts w:ascii="Times New Roman" w:hAnsi="Times New Roman"/>
          <w:noProof/>
          <w:sz w:val="24"/>
          <w:szCs w:val="24"/>
          <w:lang w:val="pl-PL"/>
        </w:rPr>
        <w:t>e, które mogą jednak okazać się niewystarczające. Ogólnie rzecz biorąc, utrzymują się luki w kwestiach podatkowych dotyczących mieszkalnictwa, amortyzacji kredytów mieszkaniowych, funkcjonowania podaży mieszkań i rynku wynajmu.</w:t>
      </w:r>
    </w:p>
    <w:p w:rsidR="006B6A85" w:rsidRPr="00243683" w:rsidRDefault="006B6A85">
      <w:pPr>
        <w:spacing w:after="0" w:line="240" w:lineRule="auto"/>
        <w:jc w:val="both"/>
        <w:rPr>
          <w:rFonts w:ascii="Times New Roman" w:hAnsi="Times New Roman"/>
          <w:noProof/>
          <w:sz w:val="24"/>
          <w:szCs w:val="24"/>
          <w:lang w:val="pl-PL"/>
        </w:rPr>
      </w:pPr>
    </w:p>
    <w:p w:rsidR="006B6A85" w:rsidRPr="00243683" w:rsidRDefault="00243683">
      <w:pPr>
        <w:spacing w:after="0" w:line="240" w:lineRule="auto"/>
        <w:jc w:val="both"/>
        <w:rPr>
          <w:rFonts w:ascii="Times New Roman" w:hAnsi="Times New Roman"/>
          <w:noProof/>
          <w:sz w:val="24"/>
          <w:szCs w:val="24"/>
          <w:lang w:val="pl-PL"/>
        </w:rPr>
      </w:pPr>
      <w:r w:rsidRPr="00243683">
        <w:rPr>
          <w:rFonts w:ascii="Times New Roman" w:hAnsi="Times New Roman"/>
          <w:b/>
          <w:noProof/>
          <w:sz w:val="24"/>
          <w:szCs w:val="24"/>
          <w:lang w:val="pl-PL"/>
        </w:rPr>
        <w:t>Zjednoczone Królestwo</w:t>
      </w:r>
      <w:r>
        <w:rPr>
          <w:rFonts w:ascii="Times New Roman" w:hAnsi="Times New Roman"/>
          <w:noProof/>
          <w:lang w:val="pl-PL"/>
        </w:rPr>
        <w:t xml:space="preserve"> </w:t>
      </w:r>
      <w:r w:rsidRPr="00243683">
        <w:rPr>
          <w:rFonts w:ascii="Times New Roman" w:hAnsi="Times New Roman"/>
          <w:noProof/>
          <w:sz w:val="24"/>
          <w:szCs w:val="24"/>
          <w:lang w:val="pl-PL"/>
        </w:rPr>
        <w:t>nie o</w:t>
      </w:r>
      <w:r w:rsidRPr="00243683">
        <w:rPr>
          <w:rFonts w:ascii="Times New Roman" w:hAnsi="Times New Roman"/>
          <w:noProof/>
          <w:sz w:val="24"/>
          <w:szCs w:val="24"/>
          <w:lang w:val="pl-PL"/>
        </w:rPr>
        <w:t>dnotowuje zakłóceń równowagi makroekonomicznej. Wysoki poziom zadłużenia gospodarstw domowych i wysokie ceny nieruchomości mieszkalnych, a także bardzo wysoki poziom deficytu obrotów bieżących mogą rodzić podatność na zagrożenia. Sytuacja finansowa gospoda</w:t>
      </w:r>
      <w:r w:rsidRPr="00243683">
        <w:rPr>
          <w:rFonts w:ascii="Times New Roman" w:hAnsi="Times New Roman"/>
          <w:noProof/>
          <w:sz w:val="24"/>
          <w:szCs w:val="24"/>
          <w:lang w:val="pl-PL"/>
        </w:rPr>
        <w:t>rstw domowych jest jednak dobra w ujęciu łącznym, a poziom zadłużenia tych gospodarstw i ceny nieruchomości mieszkalnych spadły od 2014 r. Ponadto ryzyko związane z wysokim deficytem obrotów bieżących jest ograniczone za sprawą korzystnych ram instytucjona</w:t>
      </w:r>
      <w:r w:rsidRPr="00243683">
        <w:rPr>
          <w:rFonts w:ascii="Times New Roman" w:hAnsi="Times New Roman"/>
          <w:noProof/>
          <w:sz w:val="24"/>
          <w:szCs w:val="24"/>
          <w:lang w:val="pl-PL"/>
        </w:rPr>
        <w:t>lnych i niskiego poziomu zobowiązań w walucie obcej, a ponadto prognozowane jest obniżenie deficytu w miarę ustępowania niekorzystnych warunków koniunkturalnych. Szereg inicjatyw rządowych nie wywarło jeszcze istotnego wpływu na niedopasowanie podaży miesz</w:t>
      </w:r>
      <w:r w:rsidRPr="00243683">
        <w:rPr>
          <w:rFonts w:ascii="Times New Roman" w:hAnsi="Times New Roman"/>
          <w:noProof/>
          <w:sz w:val="24"/>
          <w:szCs w:val="24"/>
          <w:lang w:val="pl-PL"/>
        </w:rPr>
        <w:t>kań do popytu na nie.</w:t>
      </w:r>
    </w:p>
    <w:p w:rsidR="006B6A85" w:rsidRPr="00243683" w:rsidRDefault="006B6A85">
      <w:pPr>
        <w:spacing w:before="120" w:after="120" w:line="240" w:lineRule="auto"/>
        <w:jc w:val="both"/>
        <w:rPr>
          <w:rFonts w:ascii="Times New Roman" w:hAnsi="Times New Roman"/>
          <w:noProof/>
          <w:sz w:val="24"/>
          <w:szCs w:val="24"/>
          <w:lang w:val="pl-PL"/>
        </w:rPr>
      </w:pPr>
    </w:p>
    <w:p w:rsidR="006B6A85" w:rsidRDefault="00243683">
      <w:pPr>
        <w:spacing w:before="120" w:after="120" w:line="240" w:lineRule="auto"/>
        <w:ind w:left="284"/>
        <w:jc w:val="center"/>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____________________________</w:t>
      </w:r>
    </w:p>
    <w:p w:rsidR="006B6A85" w:rsidRDefault="006B6A85">
      <w:pPr>
        <w:spacing w:before="120" w:after="120" w:line="240" w:lineRule="auto"/>
        <w:rPr>
          <w:rFonts w:ascii="Times New Roman" w:eastAsia="Times New Roman" w:hAnsi="Times New Roman"/>
          <w:noProof/>
          <w:sz w:val="24"/>
          <w:szCs w:val="24"/>
          <w:lang w:eastAsia="en-GB"/>
        </w:rPr>
      </w:pPr>
    </w:p>
    <w:p w:rsidR="006B6A85" w:rsidRDefault="006B6A85">
      <w:pPr>
        <w:spacing w:before="120" w:after="120" w:line="240" w:lineRule="auto"/>
        <w:ind w:left="284"/>
        <w:jc w:val="center"/>
        <w:rPr>
          <w:rFonts w:ascii="Times New Roman" w:eastAsia="Times New Roman" w:hAnsi="Times New Roman"/>
          <w:noProof/>
          <w:sz w:val="24"/>
          <w:szCs w:val="24"/>
          <w:lang w:eastAsia="en-GB"/>
        </w:rPr>
      </w:pPr>
    </w:p>
    <w:sectPr w:rsidR="006B6A85">
      <w:headerReference w:type="even" r:id="rId16"/>
      <w:headerReference w:type="default" r:id="rId17"/>
      <w:footerReference w:type="even" r:id="rId18"/>
      <w:footerReference w:type="default" r:id="rId19"/>
      <w:headerReference w:type="first" r:id="rId20"/>
      <w:footerReference w:type="first" r:id="rId21"/>
      <w:pgSz w:w="11907" w:h="16839"/>
      <w:pgMar w:top="1300" w:right="1417" w:bottom="1300"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85" w:rsidRDefault="00243683">
      <w:pPr>
        <w:spacing w:after="0" w:line="240" w:lineRule="auto"/>
      </w:pPr>
      <w:r>
        <w:separator/>
      </w:r>
    </w:p>
  </w:endnote>
  <w:endnote w:type="continuationSeparator" w:id="0">
    <w:p w:rsidR="006B6A85" w:rsidRDefault="00243683">
      <w:pPr>
        <w:spacing w:after="0" w:line="240" w:lineRule="auto"/>
      </w:pPr>
      <w:r>
        <w:continuationSeparator/>
      </w:r>
    </w:p>
  </w:endnote>
  <w:endnote w:type="continuationNotice" w:id="1">
    <w:p w:rsidR="006B6A85" w:rsidRDefault="006B6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243683">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4713"/>
      <w:docPartObj>
        <w:docPartGallery w:val="Page Numbers (Bottom of Page)"/>
        <w:docPartUnique/>
      </w:docPartObj>
    </w:sdtPr>
    <w:sdtEndPr>
      <w:rPr>
        <w:noProof/>
      </w:rPr>
    </w:sdtEndPr>
    <w:sdtContent>
      <w:p w:rsidR="006B6A85" w:rsidRDefault="00243683">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85" w:rsidRDefault="00243683">
      <w:pPr>
        <w:spacing w:after="0" w:line="240" w:lineRule="auto"/>
      </w:pPr>
      <w:r>
        <w:separator/>
      </w:r>
    </w:p>
  </w:footnote>
  <w:footnote w:type="continuationSeparator" w:id="0">
    <w:p w:rsidR="006B6A85" w:rsidRDefault="00243683">
      <w:pPr>
        <w:spacing w:after="0" w:line="240" w:lineRule="auto"/>
      </w:pPr>
      <w:r>
        <w:continuationSeparator/>
      </w:r>
    </w:p>
  </w:footnote>
  <w:footnote w:type="continuationNotice" w:id="1">
    <w:p w:rsidR="006B6A85" w:rsidRDefault="006B6A85">
      <w:pPr>
        <w:spacing w:after="0" w:line="240" w:lineRule="auto"/>
      </w:pPr>
    </w:p>
  </w:footnote>
  <w:footnote w:id="2">
    <w:p w:rsidR="006B6A85" w:rsidRDefault="00243683">
      <w:pPr>
        <w:pStyle w:val="FootnoteText"/>
        <w:rPr>
          <w:lang w:val="pl-PL"/>
        </w:rPr>
      </w:pPr>
      <w:r>
        <w:rPr>
          <w:rStyle w:val="FootnoteReference"/>
        </w:rPr>
        <w:footnoteRef/>
      </w:r>
      <w:r>
        <w:rPr>
          <w:lang w:val="pl-PL"/>
        </w:rPr>
        <w:t xml:space="preserve"> COM (2015) 600.</w:t>
      </w:r>
    </w:p>
  </w:footnote>
  <w:footnote w:id="3">
    <w:p w:rsidR="006B6A85" w:rsidRDefault="00243683">
      <w:pPr>
        <w:pStyle w:val="FootnoteText"/>
        <w:rPr>
          <w:lang w:val="pl-PL"/>
        </w:rPr>
      </w:pPr>
      <w:r>
        <w:rPr>
          <w:rStyle w:val="FootnoteReference"/>
        </w:rPr>
        <w:footnoteRef/>
      </w:r>
      <w:r>
        <w:rPr>
          <w:lang w:val="pl-PL"/>
        </w:rPr>
        <w:t xml:space="preserve"> COM (2015) 690.</w:t>
      </w:r>
    </w:p>
  </w:footnote>
  <w:footnote w:id="4">
    <w:p w:rsidR="006B6A85" w:rsidRDefault="00243683">
      <w:pPr>
        <w:pStyle w:val="Default"/>
        <w:rPr>
          <w:lang w:val="pl-PL"/>
        </w:rPr>
      </w:pPr>
      <w:r>
        <w:rPr>
          <w:rStyle w:val="FootnoteReference"/>
          <w:sz w:val="20"/>
        </w:rPr>
        <w:footnoteRef/>
      </w:r>
      <w:r>
        <w:rPr>
          <w:rStyle w:val="FootnoteReference"/>
          <w:sz w:val="20"/>
          <w:lang w:val="pl-PL"/>
        </w:rPr>
        <w:t xml:space="preserve"> </w:t>
      </w:r>
      <w:r>
        <w:rPr>
          <w:sz w:val="20"/>
          <w:lang w:val="pl-PL"/>
        </w:rPr>
        <w:t>Dokument Rady nr 14860/1/15 REV 1, zatwierdzony przez Radę Europejską na posiedzeniu w dniach 18–19 lutego 2016 r.</w:t>
      </w:r>
    </w:p>
  </w:footnote>
  <w:footnote w:id="5">
    <w:p w:rsidR="006B6A85" w:rsidRDefault="00243683">
      <w:pPr>
        <w:pStyle w:val="FootnoteText"/>
        <w:rPr>
          <w:lang w:val="pl-PL"/>
        </w:rPr>
      </w:pPr>
      <w:r>
        <w:rPr>
          <w:rStyle w:val="FootnoteReference"/>
        </w:rPr>
        <w:footnoteRef/>
      </w:r>
      <w:r>
        <w:rPr>
          <w:lang w:val="pl-PL"/>
        </w:rPr>
        <w:t xml:space="preserve"> Z wyjątkiem Grecji i Cypru, objętych programami pomocy makroekonomicznej.</w:t>
      </w:r>
    </w:p>
  </w:footnote>
  <w:footnote w:id="6">
    <w:p w:rsidR="006B6A85" w:rsidRDefault="00243683">
      <w:pPr>
        <w:pStyle w:val="FootnoteText"/>
        <w:ind w:left="142" w:hanging="142"/>
        <w:rPr>
          <w:lang w:val="pl-PL"/>
        </w:rPr>
      </w:pPr>
      <w:r>
        <w:rPr>
          <w:rStyle w:val="FootnoteReference"/>
        </w:rPr>
        <w:footnoteRef/>
      </w:r>
      <w:r>
        <w:rPr>
          <w:lang w:val="pl-PL"/>
        </w:rPr>
        <w:t xml:space="preserve"> COM (2015) 572 – Stan unii energetycznej w 2015 r.; COM (2015) 576 – Sprawozdanie z postępów w realizacji programu działań na rzecz klimatu.</w:t>
      </w:r>
    </w:p>
  </w:footnote>
  <w:footnote w:id="7">
    <w:p w:rsidR="006B6A85" w:rsidRDefault="00243683">
      <w:pPr>
        <w:pStyle w:val="FootnoteText"/>
        <w:rPr>
          <w:lang w:val="pl-PL"/>
        </w:rPr>
      </w:pPr>
      <w:r>
        <w:rPr>
          <w:rStyle w:val="FootnoteReference"/>
        </w:rPr>
        <w:footnoteRef/>
      </w:r>
      <w:r>
        <w:rPr>
          <w:lang w:val="pl-PL"/>
        </w:rPr>
        <w:t xml:space="preserve"> Komisja Europejska, europejska progn</w:t>
      </w:r>
      <w:r>
        <w:rPr>
          <w:lang w:val="pl-PL"/>
        </w:rPr>
        <w:t>oza gospodarcza, zima 2016 r.</w:t>
      </w:r>
    </w:p>
  </w:footnote>
  <w:footnote w:id="8">
    <w:p w:rsidR="006B6A85" w:rsidRDefault="00243683">
      <w:pPr>
        <w:pStyle w:val="FootnoteText"/>
        <w:rPr>
          <w:lang w:val="pl-PL"/>
        </w:rPr>
      </w:pPr>
      <w:r>
        <w:rPr>
          <w:rStyle w:val="FootnoteReference"/>
        </w:rPr>
        <w:footnoteRef/>
      </w:r>
      <w:r>
        <w:rPr>
          <w:lang w:val="pl-PL"/>
        </w:rPr>
        <w:t xml:space="preserve"> COM (2015) 12.</w:t>
      </w:r>
    </w:p>
  </w:footnote>
  <w:footnote w:id="9">
    <w:p w:rsidR="006B6A85" w:rsidRDefault="00243683">
      <w:pPr>
        <w:pStyle w:val="FootnoteText"/>
        <w:rPr>
          <w:lang w:val="pl-PL"/>
        </w:rPr>
      </w:pPr>
      <w:r>
        <w:rPr>
          <w:rStyle w:val="FootnoteReference"/>
        </w:rPr>
        <w:footnoteRef/>
      </w:r>
      <w:r>
        <w:rPr>
          <w:lang w:val="pl-PL"/>
        </w:rPr>
        <w:t xml:space="preserve"> COM (2014) 903.</w:t>
      </w:r>
    </w:p>
  </w:footnote>
  <w:footnote w:id="10">
    <w:p w:rsidR="006B6A85" w:rsidRDefault="00243683">
      <w:pPr>
        <w:pStyle w:val="FootnoteText"/>
        <w:rPr>
          <w:lang w:val="pl-PL"/>
        </w:rPr>
      </w:pPr>
      <w:r>
        <w:rPr>
          <w:rStyle w:val="FootnoteReference"/>
        </w:rPr>
        <w:footnoteRef/>
      </w:r>
      <w:r>
        <w:rPr>
          <w:lang w:val="pl-PL"/>
        </w:rPr>
        <w:t xml:space="preserve"> Komisja Europejska, europejska prognoza gospodarcza, zima 2016 r.</w:t>
      </w:r>
    </w:p>
  </w:footnote>
  <w:footnote w:id="11">
    <w:p w:rsidR="006B6A85" w:rsidRDefault="00243683">
      <w:pPr>
        <w:pStyle w:val="FootnoteText"/>
        <w:rPr>
          <w:lang w:val="pl-PL"/>
        </w:rPr>
      </w:pPr>
      <w:r>
        <w:rPr>
          <w:rStyle w:val="FootnoteReference"/>
        </w:rPr>
        <w:footnoteRef/>
      </w:r>
      <w:r>
        <w:rPr>
          <w:lang w:val="pl-PL"/>
        </w:rPr>
        <w:t xml:space="preserve"> COM (2015) 600.</w:t>
      </w:r>
    </w:p>
  </w:footnote>
  <w:footnote w:id="12">
    <w:p w:rsidR="006B6A85" w:rsidRDefault="00243683">
      <w:pPr>
        <w:pStyle w:val="FootnoteText"/>
        <w:rPr>
          <w:lang w:val="pl-PL"/>
        </w:rPr>
      </w:pPr>
      <w:r>
        <w:rPr>
          <w:rStyle w:val="FootnoteReference"/>
        </w:rPr>
        <w:footnoteRef/>
      </w:r>
      <w:r>
        <w:rPr>
          <w:lang w:val="pl-PL"/>
        </w:rPr>
        <w:t xml:space="preserve"> COM (2015) 691.</w:t>
      </w:r>
    </w:p>
  </w:footnote>
  <w:footnote w:id="13">
    <w:p w:rsidR="006B6A85" w:rsidRDefault="00243683">
      <w:pPr>
        <w:pStyle w:val="FootnoteText"/>
        <w:rPr>
          <w:lang w:val="pl-PL"/>
        </w:rPr>
      </w:pPr>
      <w:r>
        <w:rPr>
          <w:rStyle w:val="FootnoteReference"/>
        </w:rPr>
        <w:footnoteRef/>
      </w:r>
      <w:r>
        <w:rPr>
          <w:lang w:val="pl-PL"/>
        </w:rPr>
        <w:t xml:space="preserve"> SWD (2015) 400.</w:t>
      </w:r>
    </w:p>
  </w:footnote>
  <w:footnote w:id="14">
    <w:p w:rsidR="006B6A85" w:rsidRDefault="00243683">
      <w:pPr>
        <w:pStyle w:val="FootnoteText"/>
        <w:rPr>
          <w:lang w:val="pl-PL"/>
        </w:rPr>
      </w:pPr>
      <w:r>
        <w:rPr>
          <w:rStyle w:val="FootnoteReference"/>
        </w:rPr>
        <w:footnoteRef/>
      </w:r>
      <w:r>
        <w:rPr>
          <w:lang w:val="pl-PL"/>
        </w:rPr>
        <w:t xml:space="preserve"> Komisja Europejska, Europejska prognoza gospodarcza, zima 2016 r.</w:t>
      </w:r>
    </w:p>
  </w:footnote>
  <w:footnote w:id="15">
    <w:p w:rsidR="006B6A85" w:rsidRDefault="00243683">
      <w:pPr>
        <w:pStyle w:val="FootnoteText"/>
      </w:pPr>
      <w:r>
        <w:rPr>
          <w:rStyle w:val="FootnoteReference"/>
        </w:rPr>
        <w:footnoteRef/>
      </w:r>
      <w:r w:rsidRPr="00243683">
        <w:t xml:space="preserve"> Europejski</w:t>
      </w:r>
      <w:r>
        <w:t xml:space="preserve"> Bank</w:t>
      </w:r>
      <w:r w:rsidRPr="00243683">
        <w:t xml:space="preserve"> Centralny</w:t>
      </w:r>
      <w:r>
        <w:t>, The euro area bank lending survey, Fourth quarter of 2015, January 2016.</w:t>
      </w:r>
    </w:p>
  </w:footnote>
  <w:footnote w:id="16">
    <w:p w:rsidR="006B6A85" w:rsidRDefault="00243683">
      <w:pPr>
        <w:pStyle w:val="Default"/>
      </w:pPr>
      <w:r>
        <w:rPr>
          <w:rStyle w:val="FootnoteReference"/>
          <w:sz w:val="20"/>
        </w:rPr>
        <w:footnoteRef/>
      </w:r>
      <w:r>
        <w:rPr>
          <w:rStyle w:val="FootnoteReference"/>
          <w:sz w:val="20"/>
          <w:lang w:val="pl-PL"/>
        </w:rPr>
        <w:t xml:space="preserve"> </w:t>
      </w:r>
      <w:r>
        <w:rPr>
          <w:sz w:val="20"/>
          <w:lang w:val="pl-PL"/>
        </w:rPr>
        <w:t>Dokument Rady</w:t>
      </w:r>
      <w:r>
        <w:rPr>
          <w:sz w:val="20"/>
        </w:rPr>
        <w:t xml:space="preserve"> 14361/15.</w:t>
      </w:r>
    </w:p>
  </w:footnote>
  <w:footnote w:id="17">
    <w:p w:rsidR="006B6A85" w:rsidRDefault="00243683">
      <w:pPr>
        <w:pStyle w:val="Default"/>
        <w:rPr>
          <w:rStyle w:val="FootnoteReference"/>
          <w:sz w:val="20"/>
          <w:szCs w:val="20"/>
        </w:rPr>
      </w:pPr>
      <w:r>
        <w:rPr>
          <w:rStyle w:val="FootnoteReference"/>
          <w:sz w:val="20"/>
        </w:rPr>
        <w:footnoteRef/>
      </w:r>
      <w:r>
        <w:rPr>
          <w:rStyle w:val="FootnoteReference"/>
          <w:sz w:val="20"/>
        </w:rPr>
        <w:t xml:space="preserve"> </w:t>
      </w:r>
      <w:r>
        <w:rPr>
          <w:rStyle w:val="FootnoteReference"/>
          <w:sz w:val="20"/>
          <w:vertAlign w:val="baseline"/>
        </w:rPr>
        <w:t>COM(2015) 550.</w:t>
      </w:r>
    </w:p>
  </w:footnote>
  <w:footnote w:id="18">
    <w:p w:rsidR="006B6A85" w:rsidRDefault="00243683">
      <w:pPr>
        <w:pStyle w:val="Default"/>
        <w:rPr>
          <w:sz w:val="20"/>
          <w:szCs w:val="20"/>
        </w:rPr>
      </w:pPr>
      <w:r>
        <w:rPr>
          <w:rStyle w:val="FootnoteReference"/>
          <w:sz w:val="20"/>
        </w:rPr>
        <w:footnoteRef/>
      </w:r>
      <w:r>
        <w:rPr>
          <w:rStyle w:val="FootnoteReference"/>
        </w:rPr>
        <w:t xml:space="preserve"> </w:t>
      </w:r>
      <w:r>
        <w:rPr>
          <w:rStyle w:val="FootnoteReference"/>
          <w:sz w:val="20"/>
          <w:vertAlign w:val="baseline"/>
        </w:rPr>
        <w:t>OECD,</w:t>
      </w:r>
      <w:r>
        <w:rPr>
          <w:rStyle w:val="FootnoteReference"/>
          <w:sz w:val="20"/>
          <w:vertAlign w:val="baseline"/>
          <w:lang w:val="pl-PL"/>
        </w:rPr>
        <w:t xml:space="preserve"> Włochy</w:t>
      </w:r>
      <w:r>
        <w:rPr>
          <w:rStyle w:val="FootnoteReference"/>
          <w:sz w:val="20"/>
          <w:vertAlign w:val="baseline"/>
        </w:rPr>
        <w:t>.</w:t>
      </w:r>
      <w:r>
        <w:rPr>
          <w:rStyle w:val="FootnoteReference"/>
          <w:sz w:val="20"/>
          <w:vertAlign w:val="baseline"/>
          <w:lang w:val="pl-PL"/>
        </w:rPr>
        <w:t xml:space="preserve"> Reformy strukturalne</w:t>
      </w:r>
      <w:r>
        <w:rPr>
          <w:rStyle w:val="FootnoteReference"/>
          <w:sz w:val="20"/>
          <w:vertAlign w:val="baseline"/>
        </w:rPr>
        <w:t>:</w:t>
      </w:r>
      <w:r>
        <w:rPr>
          <w:rStyle w:val="FootnoteReference"/>
          <w:sz w:val="20"/>
          <w:vertAlign w:val="baseline"/>
          <w:lang w:val="pl-PL"/>
        </w:rPr>
        <w:t xml:space="preserve"> Wpływ na wzrost gospodarczy i zatrudnienie</w:t>
      </w:r>
      <w:r>
        <w:rPr>
          <w:rStyle w:val="FootnoteReference"/>
          <w:sz w:val="20"/>
          <w:vertAlign w:val="baseline"/>
        </w:rPr>
        <w:t>.</w:t>
      </w:r>
      <w:r>
        <w:rPr>
          <w:rStyle w:val="FootnoteReference"/>
          <w:sz w:val="20"/>
          <w:vertAlign w:val="baseline"/>
          <w:lang w:val="pl-PL"/>
        </w:rPr>
        <w:t xml:space="preserve"> Luty</w:t>
      </w:r>
      <w:r>
        <w:rPr>
          <w:rStyle w:val="FootnoteReference"/>
          <w:sz w:val="20"/>
          <w:vertAlign w:val="baseline"/>
        </w:rPr>
        <w:t xml:space="preserve"> 2015 r.</w:t>
      </w:r>
    </w:p>
  </w:footnote>
  <w:footnote w:id="19">
    <w:p w:rsidR="006B6A85" w:rsidRDefault="00243683">
      <w:pPr>
        <w:pStyle w:val="FootnoteText"/>
        <w:ind w:left="142" w:hanging="142"/>
        <w:jc w:val="left"/>
        <w:rPr>
          <w:lang w:val="pl-PL"/>
        </w:rPr>
      </w:pPr>
      <w:r>
        <w:rPr>
          <w:rStyle w:val="FootnoteReference"/>
        </w:rPr>
        <w:footnoteRef/>
      </w:r>
      <w:r>
        <w:rPr>
          <w:lang w:val="pl-PL"/>
        </w:rPr>
        <w:t xml:space="preserve"> W przypadku Aus</w:t>
      </w:r>
      <w:r>
        <w:rPr>
          <w:lang w:val="pl-PL"/>
        </w:rPr>
        <w:t>trii stwierdzono, że projekt planu budżetowego jest zasadniczo zgodny po skorygowaniu go o planowane dodatkowe koszty związane z wyjątkowym napływem uchodźców i migrantów.</w:t>
      </w:r>
    </w:p>
  </w:footnote>
  <w:footnote w:id="20">
    <w:p w:rsidR="006B6A85" w:rsidRDefault="00243683">
      <w:pPr>
        <w:pStyle w:val="FootnoteText"/>
        <w:rPr>
          <w:lang w:val="pl-PL"/>
        </w:rPr>
      </w:pPr>
      <w:r>
        <w:rPr>
          <w:rStyle w:val="FootnoteReference"/>
        </w:rPr>
        <w:footnoteRef/>
      </w:r>
      <w:r>
        <w:rPr>
          <w:lang w:val="pl-PL"/>
        </w:rPr>
        <w:t xml:space="preserve"> tj. poświęcona kwestiom budżetowym część Traktatu o stabilności, koordynacji i zar</w:t>
      </w:r>
      <w:r>
        <w:rPr>
          <w:lang w:val="pl-PL"/>
        </w:rPr>
        <w:t>ządzaniu w unii gospodarczej i walutowej.</w:t>
      </w:r>
    </w:p>
  </w:footnote>
  <w:footnote w:id="21">
    <w:p w:rsidR="006B6A85" w:rsidRDefault="00243683">
      <w:pPr>
        <w:autoSpaceDE w:val="0"/>
        <w:autoSpaceDN w:val="0"/>
        <w:adjustRightInd w:val="0"/>
        <w:spacing w:after="120" w:line="240" w:lineRule="auto"/>
        <w:rPr>
          <w:lang w:val="pl-PL"/>
        </w:rPr>
      </w:pPr>
      <w:r>
        <w:rPr>
          <w:rStyle w:val="FootnoteReference"/>
          <w:rFonts w:ascii="Times New Roman" w:hAnsi="Times New Roman"/>
          <w:sz w:val="20"/>
        </w:rPr>
        <w:footnoteRef/>
      </w:r>
      <w:r>
        <w:rPr>
          <w:rFonts w:ascii="Times New Roman" w:hAnsi="Times New Roman"/>
          <w:sz w:val="20"/>
          <w:lang w:val="pl-PL"/>
        </w:rPr>
        <w:t xml:space="preserve"> Więcej informacji o wyzwaniach w dziedzinie stabilności budżetowej znajduje się w „Sprawozdaniu za rok 2015 dotyczącym stabilności budżetowej” (ang. „Fiscal Sustainability Report 2015”), Komisja Europejska (2016), European Economy, Institutional papers, n</w:t>
      </w:r>
      <w:r>
        <w:rPr>
          <w:rFonts w:ascii="Times New Roman" w:hAnsi="Times New Roman"/>
          <w:sz w:val="20"/>
          <w:lang w:val="pl-PL"/>
        </w:rPr>
        <w:t xml:space="preserve">r 18. </w:t>
      </w:r>
    </w:p>
  </w:footnote>
  <w:footnote w:id="22">
    <w:p w:rsidR="006B6A85" w:rsidRDefault="00243683">
      <w:pPr>
        <w:pStyle w:val="FootnoteText"/>
        <w:ind w:left="142" w:hanging="142"/>
        <w:rPr>
          <w:sz w:val="18"/>
          <w:szCs w:val="18"/>
          <w:lang w:val="pl-PL"/>
        </w:rPr>
      </w:pPr>
      <w:r>
        <w:rPr>
          <w:rStyle w:val="FootnoteReference"/>
        </w:rPr>
        <w:footnoteRef/>
      </w:r>
      <w:r>
        <w:rPr>
          <w:lang w:val="pl-PL"/>
        </w:rPr>
        <w:t xml:space="preserve"> </w:t>
      </w:r>
      <w:r>
        <w:rPr>
          <w:sz w:val="18"/>
          <w:szCs w:val="18"/>
          <w:lang w:val="pl-PL"/>
        </w:rPr>
        <w:t>Obydwie kategorie „pewne zakłócenia”, jak i „nadmierne zakłócenia” wiążą się z potrzebą prowadzenia szczegółowego monitorowania, które będzie dostosowywane w zależności od powagi problemu.</w:t>
      </w:r>
    </w:p>
  </w:footnote>
  <w:footnote w:id="23">
    <w:p w:rsidR="006B6A85" w:rsidRDefault="00243683">
      <w:pPr>
        <w:pStyle w:val="FootnoteText"/>
        <w:ind w:left="142" w:hanging="142"/>
        <w:rPr>
          <w:sz w:val="18"/>
          <w:szCs w:val="18"/>
          <w:lang w:val="pl-PL"/>
        </w:rPr>
      </w:pPr>
      <w:r>
        <w:rPr>
          <w:rStyle w:val="FootnoteReference"/>
        </w:rPr>
        <w:footnoteRef/>
      </w:r>
      <w:r>
        <w:rPr>
          <w:sz w:val="18"/>
          <w:szCs w:val="18"/>
          <w:lang w:val="pl-PL"/>
        </w:rPr>
        <w:t xml:space="preserve"> Kategoryzacja oparta na szacowanym wyniku za 2016 r., zn</w:t>
      </w:r>
      <w:r>
        <w:rPr>
          <w:sz w:val="18"/>
          <w:szCs w:val="18"/>
          <w:lang w:val="pl-PL"/>
        </w:rPr>
        <w:t>ajdująca odzwierciedlenie w zimowej prognozie Komisji z 2016 r.</w:t>
      </w:r>
    </w:p>
  </w:footnote>
  <w:footnote w:id="24">
    <w:p w:rsidR="006B6A85" w:rsidRDefault="00243683">
      <w:pPr>
        <w:pStyle w:val="FootnoteText"/>
        <w:ind w:left="142" w:hanging="142"/>
        <w:rPr>
          <w:sz w:val="18"/>
          <w:szCs w:val="18"/>
          <w:lang w:val="pl-PL"/>
        </w:rPr>
      </w:pPr>
      <w:r>
        <w:rPr>
          <w:rStyle w:val="FootnoteReference"/>
          <w:sz w:val="18"/>
          <w:szCs w:val="18"/>
        </w:rPr>
        <w:footnoteRef/>
      </w:r>
      <w:r>
        <w:rPr>
          <w:sz w:val="18"/>
          <w:szCs w:val="18"/>
          <w:lang w:val="pl-PL"/>
        </w:rPr>
        <w:t xml:space="preserve"> Reguła dotycząca zadłużenia: jeżeli wartość referencyjna na poziomie 60 % w odniesieniu do relacji długu do PKB nie jest przestrzegana, państwo członkowskie, którego to dotyczy, zostanie obj</w:t>
      </w:r>
      <w:r>
        <w:rPr>
          <w:sz w:val="18"/>
          <w:szCs w:val="18"/>
          <w:lang w:val="pl-PL"/>
        </w:rPr>
        <w:t xml:space="preserve">ęte procedurą nadmiernego deficytu po uwzględnieniu wszystkich istotnych czynników i wpływu cyklu gospodarczego, jeśli różnica między jego poziomem zadłużenia i wartością referencyjną równą 60 % nie jest redukowana o jedną dwudziestą w skali roku </w:t>
      </w:r>
      <w:r>
        <w:rPr>
          <w:rStyle w:val="at1"/>
          <w:sz w:val="18"/>
          <w:szCs w:val="18"/>
          <w:lang w:val="pl-PL"/>
        </w:rPr>
        <w:t>(średnio</w:t>
      </w:r>
      <w:r>
        <w:rPr>
          <w:sz w:val="18"/>
          <w:szCs w:val="18"/>
          <w:lang w:val="pl-PL"/>
        </w:rPr>
        <w:t xml:space="preserve"> </w:t>
      </w:r>
      <w:r>
        <w:rPr>
          <w:sz w:val="18"/>
          <w:szCs w:val="18"/>
          <w:lang w:val="pl-PL"/>
        </w:rPr>
        <w:t>ponad trzy lata). Przejściowe ustalenia w sprawie zgodności z regułą dotyczącą zadłużenia: Po korekcie nadmiernego deficytu każdemu państwu członkowskiemu objętemu procedurą nadmiernego deficytu udziela się trzyletniego okresu na spełnienie reguły dotycząc</w:t>
      </w:r>
      <w:r>
        <w:rPr>
          <w:sz w:val="18"/>
          <w:szCs w:val="18"/>
          <w:lang w:val="pl-PL"/>
        </w:rPr>
        <w:t>ej zadłużenia. Nie oznacza to, że wspomniana reguła nie ma w ogóle zastosowania w podanym okresie, gdyż państwo członkowskie powinno dokonać dostatecznych postępów na drodze do osiągnięcia zgodności w tym okresie przejściowym. Negatywna ocena postępów w za</w:t>
      </w:r>
      <w:r>
        <w:rPr>
          <w:sz w:val="18"/>
          <w:szCs w:val="18"/>
          <w:lang w:val="pl-PL"/>
        </w:rPr>
        <w:t>kresie zgodności ze wskaźnikiem odniesienia dotyczącego zadłużenia w okresie przejściowym mogłaby skutkować wszczęciem procedury nadmiernego deficytu.</w:t>
      </w:r>
    </w:p>
  </w:footnote>
  <w:footnote w:id="25">
    <w:p w:rsidR="006B6A85" w:rsidRDefault="00243683">
      <w:pPr>
        <w:pStyle w:val="FootnoteText"/>
        <w:rPr>
          <w:sz w:val="18"/>
          <w:szCs w:val="18"/>
          <w:lang w:val="pl-PL"/>
        </w:rPr>
      </w:pPr>
      <w:r>
        <w:rPr>
          <w:rStyle w:val="FootnoteReference"/>
          <w:sz w:val="18"/>
          <w:szCs w:val="18"/>
        </w:rPr>
        <w:footnoteRef/>
      </w:r>
      <w:r>
        <w:rPr>
          <w:sz w:val="18"/>
          <w:szCs w:val="18"/>
          <w:lang w:val="pl-PL"/>
        </w:rPr>
        <w:t xml:space="preserve"> Uwarunkowane uchyleniem decyzji w sprawie procedury nadmiernego deficytu na podstawie danych za 2015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85" w:rsidRDefault="006B6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A2E2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2F80AC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3BCAD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F18102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1A4CB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9708FB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240FE84"/>
    <w:lvl w:ilvl="0">
      <w:start w:val="1"/>
      <w:numFmt w:val="decimal"/>
      <w:pStyle w:val="ListNumber"/>
      <w:lvlText w:val="%1."/>
      <w:lvlJc w:val="left"/>
      <w:pPr>
        <w:tabs>
          <w:tab w:val="num" w:pos="360"/>
        </w:tabs>
        <w:ind w:left="360" w:hanging="360"/>
      </w:pPr>
    </w:lvl>
  </w:abstractNum>
  <w:abstractNum w:abstractNumId="7">
    <w:nsid w:val="FFFFFF89"/>
    <w:multiLevelType w:val="singleLevel"/>
    <w:tmpl w:val="C76619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A207E1C"/>
    <w:multiLevelType w:val="hybridMultilevel"/>
    <w:tmpl w:val="7F94F1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3267FF8"/>
    <w:multiLevelType w:val="hybridMultilevel"/>
    <w:tmpl w:val="E578B2DE"/>
    <w:lvl w:ilvl="0" w:tplc="48707CA2">
      <w:numFmt w:val="bullet"/>
      <w:lvlText w:val="-"/>
      <w:lvlJc w:val="left"/>
      <w:pPr>
        <w:ind w:left="720" w:hanging="360"/>
      </w:pPr>
      <w:rPr>
        <w:rFonts w:ascii="Calibri" w:eastAsia="SimSu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3493D87"/>
    <w:multiLevelType w:val="hybridMultilevel"/>
    <w:tmpl w:val="C1569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54262F9"/>
    <w:multiLevelType w:val="hybridMultilevel"/>
    <w:tmpl w:val="37FC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7757AB"/>
    <w:multiLevelType w:val="hybridMultilevel"/>
    <w:tmpl w:val="EB2A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8E17EB"/>
    <w:multiLevelType w:val="hybridMultilevel"/>
    <w:tmpl w:val="7F902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5144660F"/>
    <w:multiLevelType w:val="hybridMultilevel"/>
    <w:tmpl w:val="3406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DF0084"/>
    <w:multiLevelType w:val="hybridMultilevel"/>
    <w:tmpl w:val="B814640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ABF1D1B"/>
    <w:multiLevelType w:val="hybridMultilevel"/>
    <w:tmpl w:val="8A54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nsid w:val="5DB23442"/>
    <w:multiLevelType w:val="hybridMultilevel"/>
    <w:tmpl w:val="60EA5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65055BD"/>
    <w:multiLevelType w:val="hybridMultilevel"/>
    <w:tmpl w:val="09DEECE2"/>
    <w:lvl w:ilvl="0" w:tplc="08090005">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nsid w:val="6823489E"/>
    <w:multiLevelType w:val="hybridMultilevel"/>
    <w:tmpl w:val="1DEC5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F0D1CAC"/>
    <w:multiLevelType w:val="hybridMultilevel"/>
    <w:tmpl w:val="40E85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617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644DE1"/>
    <w:multiLevelType w:val="hybridMultilevel"/>
    <w:tmpl w:val="D4C08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4B1388"/>
    <w:multiLevelType w:val="hybridMultilevel"/>
    <w:tmpl w:val="2B604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5"/>
    <w:lvlOverride w:ilvl="0">
      <w:startOverride w:val="1"/>
    </w:lvlOverride>
  </w:num>
  <w:num w:numId="10">
    <w:abstractNumId w:val="27"/>
  </w:num>
  <w:num w:numId="11">
    <w:abstractNumId w:val="18"/>
  </w:num>
  <w:num w:numId="12">
    <w:abstractNumId w:val="31"/>
  </w:num>
  <w:num w:numId="13">
    <w:abstractNumId w:val="12"/>
  </w:num>
  <w:num w:numId="14">
    <w:abstractNumId w:val="19"/>
  </w:num>
  <w:num w:numId="15">
    <w:abstractNumId w:val="10"/>
  </w:num>
  <w:num w:numId="16">
    <w:abstractNumId w:val="29"/>
  </w:num>
  <w:num w:numId="17">
    <w:abstractNumId w:val="9"/>
  </w:num>
  <w:num w:numId="18">
    <w:abstractNumId w:val="20"/>
  </w:num>
  <w:num w:numId="19">
    <w:abstractNumId w:val="26"/>
  </w:num>
  <w:num w:numId="20">
    <w:abstractNumId w:val="11"/>
  </w:num>
  <w:num w:numId="21">
    <w:abstractNumId w:val="23"/>
  </w:num>
  <w:num w:numId="22">
    <w:abstractNumId w:val="36"/>
  </w:num>
  <w:num w:numId="23">
    <w:abstractNumId w:val="33"/>
  </w:num>
  <w:num w:numId="24">
    <w:abstractNumId w:val="22"/>
  </w:num>
  <w:num w:numId="25">
    <w:abstractNumId w:val="30"/>
  </w:num>
  <w:num w:numId="26">
    <w:abstractNumId w:val="21"/>
  </w:num>
  <w:num w:numId="27">
    <w:abstractNumId w:val="24"/>
  </w:num>
  <w:num w:numId="28">
    <w:abstractNumId w:val="35"/>
  </w:num>
  <w:num w:numId="29">
    <w:abstractNumId w:val="34"/>
  </w:num>
  <w:num w:numId="30">
    <w:abstractNumId w:val="25"/>
  </w:num>
  <w:num w:numId="31">
    <w:abstractNumId w:val="14"/>
  </w:num>
  <w:num w:numId="32">
    <w:abstractNumId w:val="8"/>
  </w:num>
  <w:num w:numId="33">
    <w:abstractNumId w:val="28"/>
  </w:num>
  <w:num w:numId="34">
    <w:abstractNumId w:val="16"/>
  </w:num>
  <w:num w:numId="35">
    <w:abstractNumId w:val="13"/>
  </w:num>
  <w:num w:numId="36">
    <w:abstractNumId w:val="32"/>
  </w:num>
  <w:num w:numId="37">
    <w:abstractNumId w:val="1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removePersonalInformation/>
  <w:removeDateAndTime/>
  <w:hideSpellingErrors/>
  <w:hideGrammaticalErrors/>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53432F7633C44B3997DA3F28FF4CB60"/>
    <w:docVar w:name="LW_CROSSREFERENCE" w:val="&lt;UNUSED&gt;"/>
    <w:docVar w:name="LW_DocType" w:val="NORMAL"/>
    <w:docVar w:name="LW_EMISSION" w:val="8.3.2016"/>
    <w:docVar w:name="LW_EMISSION_ISODATE" w:val="2016-03-08"/>
    <w:docVar w:name="LW_EMISSION_LOCATION" w:val="STR"/>
    <w:docVar w:name="LW_EMISSION_PREFIX" w:val="Strasburg, dnia "/>
    <w:docVar w:name="LW_EMISSION_SUFFIX" w:val=" r."/>
    <w:docVar w:name="LW_ID_DOCTYPE_NONLW" w:val="CP-035"/>
    <w:docVar w:name="LW_LANGUE" w:val="PL"/>
    <w:docVar w:name="LW_MARKING" w:val="&lt;UNUSED&gt;"/>
    <w:docVar w:name="LW_NOM.INST" w:val="KOMISJA EUROPEJSKA"/>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95"/>
    <w:docVar w:name="LW_REF.INTERNE" w:val="&lt;UNUSED&gt;"/>
    <w:docVar w:name="LW_SOUS.TITRE.OBJ.CP" w:val="&lt;UNUSED&gt;"/>
    <w:docVar w:name="LW_SUPERTITRE" w:val="&lt;UNUSED&gt;"/>
    <w:docVar w:name="LW_TITRE.OBJ.CP" w:val="Europejski Semestr 2016: Ocena post\u281?pów w zakresie reform strukturalnych, _x000b_zapobiegania zak\u322?óceniom równowagi makroekonomicznej i ich korygowania oraz wyniki szczegó\u322?owych ocen sytuacji na mocy rozporz\u261?dzenia (UE) nr 1176/2011_x000b__x000b__x000b_{SWD(2016) 71 do SWD(2016) 96}"/>
    <w:docVar w:name="LW_TYPE.DOC.CP" w:val="KOMUNIKAT KOMISJI DO PARLAMENTU EUROPEJSKIEGO, RADY, EUROPEJSKIEGO BANKU CENTRALNEGO I EUROGRUPY_x000b_"/>
  </w:docVars>
  <w:rsids>
    <w:rsidRoot w:val="006B6A85"/>
    <w:rsid w:val="00243683"/>
    <w:rsid w:val="006B6A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numPr>
        <w:numId w:val="16"/>
      </w:numPr>
      <w:spacing w:before="360" w:after="120" w:line="240" w:lineRule="auto"/>
      <w:jc w:val="both"/>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qFormat/>
    <w:pPr>
      <w:keepNext/>
      <w:numPr>
        <w:ilvl w:val="1"/>
        <w:numId w:val="16"/>
      </w:numPr>
      <w:spacing w:before="120" w:after="120" w:line="240" w:lineRule="auto"/>
      <w:jc w:val="both"/>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qFormat/>
    <w:pPr>
      <w:keepNext/>
      <w:numPr>
        <w:ilvl w:val="2"/>
        <w:numId w:val="16"/>
      </w:numPr>
      <w:spacing w:before="120" w:after="120" w:line="240" w:lineRule="auto"/>
      <w:jc w:val="both"/>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qFormat/>
    <w:pPr>
      <w:keepNext/>
      <w:numPr>
        <w:ilvl w:val="3"/>
        <w:numId w:val="16"/>
      </w:numPr>
      <w:spacing w:before="120" w:after="120" w:line="240" w:lineRule="auto"/>
      <w:jc w:val="both"/>
      <w:outlineLvl w:val="3"/>
    </w:pPr>
    <w:rPr>
      <w:rFonts w:ascii="Times New Roman" w:eastAsia="Times New Roman" w:hAnsi="Times New Roman"/>
      <w:bCs/>
      <w:i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numbering" w:customStyle="1" w:styleId="NoList1">
    <w:name w:val="No List1"/>
    <w:next w:val="No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lang w:val="fr-BE"/>
    </w:rPr>
  </w:style>
  <w:style w:type="paragraph" w:styleId="Header">
    <w:name w:val="header"/>
    <w:basedOn w:val="Normal"/>
    <w:link w:val="HeaderChar"/>
    <w:uiPriority w:val="99"/>
    <w:unhideWhenUsed/>
    <w:pPr>
      <w:tabs>
        <w:tab w:val="center" w:pos="4536"/>
        <w:tab w:val="right" w:pos="9072"/>
      </w:tabs>
    </w:pPr>
    <w:rPr>
      <w:lang w:val="fr-BE"/>
    </w:rPr>
  </w:style>
  <w:style w:type="character" w:customStyle="1" w:styleId="HeaderChar">
    <w:name w:val="Header Char"/>
    <w:link w:val="Header"/>
    <w:uiPriority w:val="99"/>
    <w:rPr>
      <w:rFonts w:ascii="Calibri" w:eastAsia="Calibri" w:hAnsi="Calibri" w:cs="Times New Roman"/>
      <w:lang w:val="fr-BE"/>
    </w:rPr>
  </w:style>
  <w:style w:type="paragraph" w:styleId="Footer">
    <w:name w:val="footer"/>
    <w:basedOn w:val="Normal"/>
    <w:link w:val="FooterChar"/>
    <w:uiPriority w:val="99"/>
    <w:unhideWhenUsed/>
    <w:pPr>
      <w:tabs>
        <w:tab w:val="center" w:pos="4536"/>
        <w:tab w:val="right" w:pos="9072"/>
      </w:tabs>
    </w:pPr>
    <w:rPr>
      <w:lang w:val="fr-BE"/>
    </w:rPr>
  </w:style>
  <w:style w:type="character" w:customStyle="1" w:styleId="FooterChar">
    <w:name w:val="Footer Char"/>
    <w:link w:val="Footer"/>
    <w:uiPriority w:val="99"/>
    <w:rPr>
      <w:rFonts w:ascii="Calibri" w:eastAsia="Calibri" w:hAnsi="Calibri" w:cs="Times New Roman"/>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fr-BE" w:eastAsia="en-GB"/>
    </w:rPr>
  </w:style>
  <w:style w:type="character" w:customStyle="1" w:styleId="FooterCoverPageChar">
    <w:name w:val="Footer Cover Page Char"/>
    <w:link w:val="FooterCoverPage"/>
    <w:rPr>
      <w:rFonts w:ascii="Times New Roman" w:hAnsi="Times New Roman"/>
      <w:sz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fr-BE" w:eastAsia="en-GB"/>
    </w:rPr>
  </w:style>
  <w:style w:type="character" w:customStyle="1" w:styleId="HeaderCoverPageChar">
    <w:name w:val="Header Cover Page Char"/>
    <w:link w:val="HeaderCoverPage"/>
    <w:rPr>
      <w:rFonts w:ascii="Times New Roman" w:hAnsi="Times New Roman"/>
      <w:sz w:val="24"/>
      <w:lang w:val="fr-BE"/>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lang w:eastAsia="en-GB"/>
    </w:rPr>
  </w:style>
  <w:style w:type="character" w:styleId="CommentReference">
    <w:name w:val="annotation reference"/>
    <w:uiPriority w:val="99"/>
    <w:rPr>
      <w:sz w:val="16"/>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eastAsia="Times New Roman" w:hAnsi="Times New Roman"/>
      <w:sz w:val="24"/>
      <w:szCs w:val="20"/>
      <w:lang w:eastAsia="en-GB"/>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olor w:val="333399"/>
      <w:sz w:val="14"/>
      <w:szCs w:val="24"/>
      <w:lang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b/>
      <w:bCs/>
      <w:sz w:val="20"/>
      <w:szCs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Times New Roman" w:hAnsi="Times New Roman"/>
      <w:sz w:val="24"/>
      <w:szCs w:val="20"/>
      <w:lang w:eastAsia="en-GB"/>
    </w:rPr>
  </w:style>
  <w:style w:type="paragraph" w:styleId="ListNumber">
    <w:name w:val="List Number"/>
    <w:basedOn w:val="Normal"/>
    <w:uiPriority w:val="99"/>
    <w:semiHidden/>
    <w:unhideWhenUsed/>
    <w:pPr>
      <w:numPr>
        <w:numId w:val="5"/>
      </w:numPr>
      <w:spacing w:before="120" w:after="120" w:line="240" w:lineRule="auto"/>
      <w:contextualSpacing/>
      <w:jc w:val="both"/>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numPr>
        <w:numId w:val="6"/>
      </w:numPr>
      <w:spacing w:before="120" w:after="120" w:line="240" w:lineRule="auto"/>
      <w:contextualSpacing/>
      <w:jc w:val="both"/>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numPr>
        <w:numId w:val="7"/>
      </w:numPr>
      <w:spacing w:before="120" w:after="120" w:line="240" w:lineRule="auto"/>
      <w:contextualSpacing/>
      <w:jc w:val="both"/>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numPr>
        <w:numId w:val="8"/>
      </w:numPr>
      <w:spacing w:before="120" w:after="120" w:line="240" w:lineRule="auto"/>
      <w:contextualSpacing/>
      <w:jc w:val="both"/>
    </w:pPr>
    <w:rPr>
      <w:rFonts w:ascii="Times New Roman" w:eastAsia="Times New Roman" w:hAnsi="Times New Roman"/>
      <w:sz w:val="24"/>
      <w:szCs w:val="20"/>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link w:val="FootnoteText"/>
    <w:uiPriority w:val="99"/>
    <w:rPr>
      <w:rFonts w:ascii="Times New Roman" w:eastAsia="Times New Roman" w:hAnsi="Times New Roman" w:cs="Times New Roman"/>
      <w:sz w:val="20"/>
      <w:szCs w:val="20"/>
      <w:lang w:eastAsia="en-GB"/>
    </w:rPr>
  </w:style>
  <w:style w:type="paragraph" w:customStyle="1" w:styleId="En-ttedetabledesmatires">
    <w:name w:val="En-tête de table des matières"/>
    <w:basedOn w:val="Normal"/>
    <w:next w:val="Normal"/>
    <w:uiPriority w:val="39"/>
    <w:semiHidden/>
    <w:unhideWhenUsed/>
    <w:qFormat/>
    <w:pPr>
      <w:spacing w:before="120" w:after="240" w:line="240" w:lineRule="auto"/>
      <w:jc w:val="center"/>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0"/>
      <w:lang w:eastAsia="en-GB"/>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unhideWhenUsed/>
    <w:qFormat/>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0"/>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0"/>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0"/>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0"/>
      <w:lang w:eastAsia="en-GB"/>
    </w:rPr>
  </w:style>
  <w:style w:type="paragraph" w:customStyle="1" w:styleId="NormalLeft">
    <w:name w:val="Normal Left"/>
    <w:basedOn w:val="Normal"/>
    <w:pPr>
      <w:spacing w:before="120" w:after="120" w:line="240" w:lineRule="auto"/>
    </w:pPr>
    <w:rPr>
      <w:rFonts w:ascii="Times New Roman" w:eastAsia="Times New Roman" w:hAnsi="Times New Roman"/>
      <w:sz w:val="24"/>
      <w:szCs w:val="20"/>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0"/>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0"/>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0"/>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0"/>
      <w:lang w:eastAsia="en-GB"/>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0"/>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0"/>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0"/>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0"/>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0"/>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0"/>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0"/>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0"/>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0"/>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0"/>
      <w:lang w:eastAsia="en-GB"/>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0"/>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0"/>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number">
    <w:name w:val="Point 1 (number)"/>
    <w:basedOn w:val="Normal"/>
    <w:pPr>
      <w:numPr>
        <w:ilvl w:val="2"/>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number">
    <w:name w:val="Point 2 (number)"/>
    <w:basedOn w:val="Normal"/>
    <w:pPr>
      <w:numPr>
        <w:ilvl w:val="4"/>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number">
    <w:name w:val="Point 3 (number)"/>
    <w:basedOn w:val="Normal"/>
    <w:pPr>
      <w:numPr>
        <w:ilvl w:val="6"/>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0letter">
    <w:name w:val="Point 0 (letter)"/>
    <w:basedOn w:val="Normal"/>
    <w:pPr>
      <w:numPr>
        <w:ilvl w:val="1"/>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letter">
    <w:name w:val="Point 1 (letter)"/>
    <w:basedOn w:val="Normal"/>
    <w:pPr>
      <w:numPr>
        <w:ilvl w:val="3"/>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letter">
    <w:name w:val="Point 2 (letter)"/>
    <w:basedOn w:val="Normal"/>
    <w:pPr>
      <w:numPr>
        <w:ilvl w:val="5"/>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letter">
    <w:name w:val="Point 3 (letter)"/>
    <w:basedOn w:val="Normal"/>
    <w:pPr>
      <w:numPr>
        <w:ilvl w:val="7"/>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4letter">
    <w:name w:val="Point 4 (letter)"/>
    <w:basedOn w:val="Normal"/>
    <w:pPr>
      <w:numPr>
        <w:ilvl w:val="8"/>
        <w:numId w:val="17"/>
      </w:numPr>
      <w:spacing w:before="120" w:after="120" w:line="240" w:lineRule="auto"/>
      <w:jc w:val="both"/>
    </w:pPr>
    <w:rPr>
      <w:rFonts w:ascii="Times New Roman" w:eastAsia="Times New Roman" w:hAnsi="Times New Roman"/>
      <w:sz w:val="24"/>
      <w:szCs w:val="20"/>
      <w:lang w:eastAsia="en-GB"/>
    </w:rPr>
  </w:style>
  <w:style w:type="paragraph" w:customStyle="1" w:styleId="Bullet0">
    <w:name w:val="Bullet 0"/>
    <w:basedOn w:val="Normal"/>
    <w:pPr>
      <w:numPr>
        <w:numId w:val="18"/>
      </w:numPr>
      <w:spacing w:before="120" w:after="120" w:line="240" w:lineRule="auto"/>
      <w:jc w:val="both"/>
    </w:pPr>
    <w:rPr>
      <w:rFonts w:ascii="Times New Roman" w:eastAsia="Times New Roman" w:hAnsi="Times New Roman"/>
      <w:sz w:val="24"/>
      <w:szCs w:val="20"/>
      <w:lang w:eastAsia="en-GB"/>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sz w:val="24"/>
      <w:szCs w:val="20"/>
      <w:lang w:eastAsia="en-GB"/>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0"/>
      <w:lang w:eastAsia="en-GB"/>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0"/>
      <w:lang w:eastAsia="en-GB"/>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0"/>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0"/>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i/>
      <w:sz w:val="32"/>
      <w:szCs w:val="20"/>
      <w:lang w:eastAsia="en-GB"/>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0"/>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0"/>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0"/>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0"/>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0"/>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0"/>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0"/>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0"/>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0"/>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0"/>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Pr>
      <w:i/>
      <w:iCs/>
    </w:rPr>
  </w:style>
  <w:style w:type="character" w:styleId="Strong">
    <w:name w:val="Strong"/>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rPr>
      <w:sz w:val="22"/>
      <w:szCs w:val="22"/>
      <w:lang w:val="fr-BE" w:eastAsia="en-US"/>
    </w:rPr>
  </w:style>
  <w:style w:type="paragraph" w:customStyle="1" w:styleId="Date2">
    <w:name w:val="Date2"/>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0" w:line="240" w:lineRule="auto"/>
      <w:ind w:left="720"/>
      <w:contextualSpacing/>
    </w:pPr>
    <w:rPr>
      <w:rFonts w:eastAsia="Times New Roman"/>
      <w:lang w:val="fr-BE"/>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14">
    <w:name w:val="s14"/>
    <w:basedOn w:val="Normal"/>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at1">
    <w:name w:val="a__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uiPriority w:val="9"/>
    <w:qFormat/>
    <w:pPr>
      <w:keepNext/>
      <w:numPr>
        <w:numId w:val="16"/>
      </w:numPr>
      <w:spacing w:before="360" w:after="120" w:line="240" w:lineRule="auto"/>
      <w:jc w:val="both"/>
      <w:outlineLvl w:val="0"/>
    </w:pPr>
    <w:rPr>
      <w:rFonts w:ascii="Times New Roman" w:eastAsia="Times New Roman" w:hAnsi="Times New Roman"/>
      <w:b/>
      <w:bCs/>
      <w:smallCaps/>
      <w:sz w:val="24"/>
      <w:szCs w:val="28"/>
      <w:lang w:eastAsia="en-GB"/>
    </w:rPr>
  </w:style>
  <w:style w:type="paragraph" w:styleId="Heading2">
    <w:name w:val="heading 2"/>
    <w:basedOn w:val="Normal"/>
    <w:next w:val="Text1"/>
    <w:link w:val="Heading2Char"/>
    <w:uiPriority w:val="9"/>
    <w:qFormat/>
    <w:pPr>
      <w:keepNext/>
      <w:numPr>
        <w:ilvl w:val="1"/>
        <w:numId w:val="16"/>
      </w:numPr>
      <w:spacing w:before="120" w:after="120" w:line="240" w:lineRule="auto"/>
      <w:jc w:val="both"/>
      <w:outlineLvl w:val="1"/>
    </w:pPr>
    <w:rPr>
      <w:rFonts w:ascii="Times New Roman" w:eastAsia="Times New Roman" w:hAnsi="Times New Roman"/>
      <w:b/>
      <w:bCs/>
      <w:sz w:val="24"/>
      <w:szCs w:val="26"/>
      <w:lang w:eastAsia="en-GB"/>
    </w:rPr>
  </w:style>
  <w:style w:type="paragraph" w:styleId="Heading3">
    <w:name w:val="heading 3"/>
    <w:basedOn w:val="Normal"/>
    <w:next w:val="Text1"/>
    <w:link w:val="Heading3Char"/>
    <w:uiPriority w:val="9"/>
    <w:qFormat/>
    <w:pPr>
      <w:keepNext/>
      <w:numPr>
        <w:ilvl w:val="2"/>
        <w:numId w:val="16"/>
      </w:numPr>
      <w:spacing w:before="120" w:after="120" w:line="240" w:lineRule="auto"/>
      <w:jc w:val="both"/>
      <w:outlineLvl w:val="2"/>
    </w:pPr>
    <w:rPr>
      <w:rFonts w:ascii="Times New Roman" w:eastAsia="Times New Roman" w:hAnsi="Times New Roman"/>
      <w:bCs/>
      <w:i/>
      <w:sz w:val="24"/>
      <w:szCs w:val="20"/>
      <w:lang w:eastAsia="en-GB"/>
    </w:rPr>
  </w:style>
  <w:style w:type="paragraph" w:styleId="Heading4">
    <w:name w:val="heading 4"/>
    <w:basedOn w:val="Normal"/>
    <w:next w:val="Text1"/>
    <w:link w:val="Heading4Char"/>
    <w:uiPriority w:val="9"/>
    <w:qFormat/>
    <w:pPr>
      <w:keepNext/>
      <w:numPr>
        <w:ilvl w:val="3"/>
        <w:numId w:val="16"/>
      </w:numPr>
      <w:spacing w:before="120" w:after="120" w:line="240" w:lineRule="auto"/>
      <w:jc w:val="both"/>
      <w:outlineLvl w:val="3"/>
    </w:pPr>
    <w:rPr>
      <w:rFonts w:ascii="Times New Roman" w:eastAsia="Times New Roman" w:hAnsi="Times New Roman"/>
      <w:bCs/>
      <w:iC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link w:val="Heading4"/>
    <w:uiPriority w:val="9"/>
    <w:rPr>
      <w:rFonts w:ascii="Times New Roman" w:eastAsia="Times New Roman" w:hAnsi="Times New Roman" w:cs="Times New Roman"/>
      <w:bCs/>
      <w:iCs/>
      <w:sz w:val="24"/>
      <w:szCs w:val="20"/>
      <w:lang w:eastAsia="en-GB"/>
    </w:rPr>
  </w:style>
  <w:style w:type="numbering" w:customStyle="1" w:styleId="NoList1">
    <w:name w:val="No List1"/>
    <w:next w:val="No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lang w:val="fr-BE"/>
    </w:rPr>
  </w:style>
  <w:style w:type="paragraph" w:styleId="Header">
    <w:name w:val="header"/>
    <w:basedOn w:val="Normal"/>
    <w:link w:val="HeaderChar"/>
    <w:uiPriority w:val="99"/>
    <w:unhideWhenUsed/>
    <w:pPr>
      <w:tabs>
        <w:tab w:val="center" w:pos="4536"/>
        <w:tab w:val="right" w:pos="9072"/>
      </w:tabs>
    </w:pPr>
    <w:rPr>
      <w:lang w:val="fr-BE"/>
    </w:rPr>
  </w:style>
  <w:style w:type="character" w:customStyle="1" w:styleId="HeaderChar">
    <w:name w:val="Header Char"/>
    <w:link w:val="Header"/>
    <w:uiPriority w:val="99"/>
    <w:rPr>
      <w:rFonts w:ascii="Calibri" w:eastAsia="Calibri" w:hAnsi="Calibri" w:cs="Times New Roman"/>
      <w:lang w:val="fr-BE"/>
    </w:rPr>
  </w:style>
  <w:style w:type="paragraph" w:styleId="Footer">
    <w:name w:val="footer"/>
    <w:basedOn w:val="Normal"/>
    <w:link w:val="FooterChar"/>
    <w:uiPriority w:val="99"/>
    <w:unhideWhenUsed/>
    <w:pPr>
      <w:tabs>
        <w:tab w:val="center" w:pos="4536"/>
        <w:tab w:val="right" w:pos="9072"/>
      </w:tabs>
    </w:pPr>
    <w:rPr>
      <w:lang w:val="fr-BE"/>
    </w:rPr>
  </w:style>
  <w:style w:type="character" w:customStyle="1" w:styleId="FooterChar">
    <w:name w:val="Footer Char"/>
    <w:link w:val="Footer"/>
    <w:uiPriority w:val="99"/>
    <w:rPr>
      <w:rFonts w:ascii="Calibri" w:eastAsia="Calibri" w:hAnsi="Calibri" w:cs="Times New Roman"/>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lang w:val="fr-BE" w:eastAsia="en-GB"/>
    </w:rPr>
  </w:style>
  <w:style w:type="character" w:customStyle="1" w:styleId="FooterCoverPageChar">
    <w:name w:val="Footer Cover Page Char"/>
    <w:link w:val="FooterCoverPage"/>
    <w:rPr>
      <w:rFonts w:ascii="Times New Roman" w:hAnsi="Times New Roman"/>
      <w:sz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lang w:val="fr-BE" w:eastAsia="en-GB"/>
    </w:rPr>
  </w:style>
  <w:style w:type="character" w:customStyle="1" w:styleId="HeaderCoverPageChar">
    <w:name w:val="Header Cover Page Char"/>
    <w:link w:val="HeaderCoverPage"/>
    <w:rPr>
      <w:rFonts w:ascii="Times New Roman" w:hAnsi="Times New Roman"/>
      <w:sz w:val="24"/>
      <w:lang w:val="fr-BE"/>
    </w:rPr>
  </w:style>
  <w:style w:type="paragraph" w:styleId="ListBullet">
    <w:name w:val="List Bullet"/>
    <w:basedOn w:val="Normal"/>
    <w:uiPriority w:val="99"/>
    <w:pPr>
      <w:numPr>
        <w:numId w:val="1"/>
      </w:numPr>
      <w:spacing w:before="120" w:after="120" w:line="240" w:lineRule="auto"/>
      <w:jc w:val="both"/>
    </w:pPr>
    <w:rPr>
      <w:rFonts w:ascii="Times New Roman" w:eastAsia="Times New Roman" w:hAnsi="Times New Roman"/>
      <w:sz w:val="24"/>
      <w:szCs w:val="24"/>
      <w:lang w:eastAsia="en-GB"/>
    </w:rPr>
  </w:style>
  <w:style w:type="character" w:styleId="CommentReference">
    <w:name w:val="annotation reference"/>
    <w:uiPriority w:val="99"/>
    <w:rPr>
      <w:sz w:val="16"/>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eastAsia="Times New Roman" w:hAnsi="Times New Roman"/>
      <w:sz w:val="24"/>
      <w:szCs w:val="20"/>
      <w:lang w:eastAsia="en-GB"/>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eastAsia="Times New Roman" w:hAnsi="Times New Roman"/>
      <w:sz w:val="24"/>
      <w:szCs w:val="20"/>
      <w:lang w:eastAsia="en-GB"/>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eastAsia="Times New Roman" w:hAnsi="Times New Roman"/>
      <w:sz w:val="24"/>
      <w:szCs w:val="20"/>
      <w:lang w:eastAsia="en-GB"/>
    </w:rPr>
  </w:style>
  <w:style w:type="paragraph" w:styleId="BalloonText">
    <w:name w:val="Balloon Text"/>
    <w:basedOn w:val="Normal"/>
    <w:link w:val="BalloonTextChar"/>
    <w:uiPriority w:val="99"/>
    <w:semiHidden/>
    <w:unhideWhenUsed/>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spacing w:before="120" w:after="12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en-GB"/>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erTitleRight30">
    <w:name w:val="Header Title Right (30)"/>
    <w:basedOn w:val="Normal"/>
    <w:next w:val="Normal"/>
    <w:pPr>
      <w:spacing w:before="100" w:after="40" w:line="240" w:lineRule="auto"/>
      <w:ind w:right="-850"/>
      <w:jc w:val="right"/>
    </w:pPr>
    <w:rPr>
      <w:rFonts w:ascii="Century Gothic" w:eastAsia="Times New Roman" w:hAnsi="Century Gothic"/>
      <w:color w:val="333399"/>
      <w:sz w:val="14"/>
      <w:szCs w:val="24"/>
      <w:lang w:eastAsia="en-GB"/>
    </w:rP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before="120" w:after="120" w:line="240" w:lineRule="auto"/>
      <w:jc w:val="both"/>
    </w:pPr>
    <w:rPr>
      <w:rFonts w:ascii="Times New Roman" w:eastAsia="Times New Roman" w:hAnsi="Times New Roman"/>
      <w:b/>
      <w:bCs/>
      <w:sz w:val="20"/>
      <w:szCs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Times New Roman" w:hAnsi="Times New Roman"/>
      <w:sz w:val="24"/>
      <w:szCs w:val="20"/>
      <w:lang w:eastAsia="en-GB"/>
    </w:rPr>
  </w:style>
  <w:style w:type="paragraph" w:styleId="ListNumber">
    <w:name w:val="List Number"/>
    <w:basedOn w:val="Normal"/>
    <w:uiPriority w:val="99"/>
    <w:semiHidden/>
    <w:unhideWhenUsed/>
    <w:pPr>
      <w:numPr>
        <w:numId w:val="5"/>
      </w:numPr>
      <w:spacing w:before="120" w:after="120" w:line="240" w:lineRule="auto"/>
      <w:contextualSpacing/>
      <w:jc w:val="both"/>
    </w:pPr>
    <w:rPr>
      <w:rFonts w:ascii="Times New Roman" w:eastAsia="Times New Roman" w:hAnsi="Times New Roman"/>
      <w:sz w:val="24"/>
      <w:szCs w:val="20"/>
      <w:lang w:eastAsia="en-GB"/>
    </w:rPr>
  </w:style>
  <w:style w:type="paragraph" w:styleId="ListNumber2">
    <w:name w:val="List Number 2"/>
    <w:basedOn w:val="Normal"/>
    <w:uiPriority w:val="99"/>
    <w:semiHidden/>
    <w:unhideWhenUsed/>
    <w:pPr>
      <w:numPr>
        <w:numId w:val="6"/>
      </w:numPr>
      <w:spacing w:before="120" w:after="120" w:line="240" w:lineRule="auto"/>
      <w:contextualSpacing/>
      <w:jc w:val="both"/>
    </w:pPr>
    <w:rPr>
      <w:rFonts w:ascii="Times New Roman" w:eastAsia="Times New Roman" w:hAnsi="Times New Roman"/>
      <w:sz w:val="24"/>
      <w:szCs w:val="20"/>
      <w:lang w:eastAsia="en-GB"/>
    </w:rPr>
  </w:style>
  <w:style w:type="paragraph" w:styleId="ListNumber3">
    <w:name w:val="List Number 3"/>
    <w:basedOn w:val="Normal"/>
    <w:uiPriority w:val="99"/>
    <w:semiHidden/>
    <w:unhideWhenUsed/>
    <w:pPr>
      <w:numPr>
        <w:numId w:val="7"/>
      </w:numPr>
      <w:spacing w:before="120" w:after="120" w:line="240" w:lineRule="auto"/>
      <w:contextualSpacing/>
      <w:jc w:val="both"/>
    </w:pPr>
    <w:rPr>
      <w:rFonts w:ascii="Times New Roman" w:eastAsia="Times New Roman" w:hAnsi="Times New Roman"/>
      <w:sz w:val="24"/>
      <w:szCs w:val="20"/>
      <w:lang w:eastAsia="en-GB"/>
    </w:rPr>
  </w:style>
  <w:style w:type="paragraph" w:styleId="ListNumber4">
    <w:name w:val="List Number 4"/>
    <w:basedOn w:val="Normal"/>
    <w:uiPriority w:val="99"/>
    <w:semiHidden/>
    <w:unhideWhenUsed/>
    <w:pPr>
      <w:numPr>
        <w:numId w:val="8"/>
      </w:numPr>
      <w:spacing w:before="120" w:after="120" w:line="240" w:lineRule="auto"/>
      <w:contextualSpacing/>
      <w:jc w:val="both"/>
    </w:pPr>
    <w:rPr>
      <w:rFonts w:ascii="Times New Roman" w:eastAsia="Times New Roman" w:hAnsi="Times New Roman"/>
      <w:sz w:val="24"/>
      <w:szCs w:val="20"/>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link w:val="FootnoteText"/>
    <w:uiPriority w:val="99"/>
    <w:rPr>
      <w:rFonts w:ascii="Times New Roman" w:eastAsia="Times New Roman" w:hAnsi="Times New Roman" w:cs="Times New Roman"/>
      <w:sz w:val="20"/>
      <w:szCs w:val="20"/>
      <w:lang w:eastAsia="en-GB"/>
    </w:rPr>
  </w:style>
  <w:style w:type="paragraph" w:customStyle="1" w:styleId="En-ttedetabledesmatires">
    <w:name w:val="En-tête de table des matières"/>
    <w:basedOn w:val="Normal"/>
    <w:next w:val="Normal"/>
    <w:uiPriority w:val="39"/>
    <w:semiHidden/>
    <w:unhideWhenUsed/>
    <w:qFormat/>
    <w:pPr>
      <w:spacing w:before="120" w:after="240" w:line="240" w:lineRule="auto"/>
      <w:jc w:val="center"/>
    </w:pPr>
    <w:rPr>
      <w:rFonts w:ascii="Times New Roman" w:eastAsia="Times New Roman" w:hAnsi="Times New Roman"/>
      <w:b/>
      <w:sz w:val="28"/>
      <w:szCs w:val="20"/>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sz w:val="24"/>
      <w:szCs w:val="20"/>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sz w:val="24"/>
      <w:szCs w:val="20"/>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sz w:val="24"/>
      <w:szCs w:val="20"/>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sz w:val="24"/>
      <w:szCs w:val="20"/>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sz w:val="24"/>
      <w:szCs w:val="20"/>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sz w:val="24"/>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0"/>
      <w:lang w:eastAsia="en-GB"/>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unhideWhenUsed/>
    <w:qFormat/>
    <w:rPr>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0"/>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0"/>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0"/>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0"/>
      <w:lang w:eastAsia="en-GB"/>
    </w:rPr>
  </w:style>
  <w:style w:type="paragraph" w:customStyle="1" w:styleId="NormalLeft">
    <w:name w:val="Normal Left"/>
    <w:basedOn w:val="Normal"/>
    <w:pPr>
      <w:spacing w:before="120" w:after="120" w:line="240" w:lineRule="auto"/>
    </w:pPr>
    <w:rPr>
      <w:rFonts w:ascii="Times New Roman" w:eastAsia="Times New Roman" w:hAnsi="Times New Roman"/>
      <w:sz w:val="24"/>
      <w:szCs w:val="20"/>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0"/>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0"/>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0"/>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0"/>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0"/>
      <w:lang w:eastAsia="en-GB"/>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0"/>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0"/>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0"/>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0"/>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0"/>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0"/>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0"/>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0"/>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0"/>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0"/>
      <w:lang w:eastAsia="en-GB"/>
    </w:rPr>
  </w:style>
  <w:style w:type="paragraph" w:customStyle="1" w:styleId="NumPar1">
    <w:name w:val="NumPar 1"/>
    <w:basedOn w:val="Normal"/>
    <w:next w:val="Text1"/>
    <w:pPr>
      <w:numPr>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2">
    <w:name w:val="NumPar 2"/>
    <w:basedOn w:val="Normal"/>
    <w:next w:val="Text1"/>
    <w:pPr>
      <w:numPr>
        <w:ilvl w:val="1"/>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3">
    <w:name w:val="NumPar 3"/>
    <w:basedOn w:val="Normal"/>
    <w:next w:val="Text1"/>
    <w:pPr>
      <w:numPr>
        <w:ilvl w:val="2"/>
        <w:numId w:val="15"/>
      </w:numPr>
      <w:spacing w:before="120" w:after="120" w:line="240" w:lineRule="auto"/>
      <w:jc w:val="both"/>
    </w:pPr>
    <w:rPr>
      <w:rFonts w:ascii="Times New Roman" w:eastAsia="Times New Roman" w:hAnsi="Times New Roman"/>
      <w:sz w:val="24"/>
      <w:szCs w:val="20"/>
      <w:lang w:eastAsia="en-GB"/>
    </w:rPr>
  </w:style>
  <w:style w:type="paragraph" w:customStyle="1" w:styleId="NumPar4">
    <w:name w:val="NumPar 4"/>
    <w:basedOn w:val="Normal"/>
    <w:next w:val="Text1"/>
    <w:pPr>
      <w:numPr>
        <w:ilvl w:val="3"/>
        <w:numId w:val="15"/>
      </w:numPr>
      <w:spacing w:before="120" w:after="120" w:line="240" w:lineRule="auto"/>
      <w:jc w:val="both"/>
    </w:pPr>
    <w:rPr>
      <w:rFonts w:ascii="Times New Roman" w:eastAsia="Times New Roman" w:hAnsi="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sz w:val="24"/>
      <w:szCs w:val="20"/>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0"/>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b/>
      <w:sz w:val="24"/>
      <w:szCs w:val="20"/>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i/>
      <w:sz w:val="24"/>
      <w:szCs w:val="20"/>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sz w:val="24"/>
      <w:szCs w:val="20"/>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0"/>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0"/>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0"/>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0"/>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number">
    <w:name w:val="Point 1 (number)"/>
    <w:basedOn w:val="Normal"/>
    <w:pPr>
      <w:numPr>
        <w:ilvl w:val="2"/>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number">
    <w:name w:val="Point 2 (number)"/>
    <w:basedOn w:val="Normal"/>
    <w:pPr>
      <w:numPr>
        <w:ilvl w:val="4"/>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number">
    <w:name w:val="Point 3 (number)"/>
    <w:basedOn w:val="Normal"/>
    <w:pPr>
      <w:numPr>
        <w:ilvl w:val="6"/>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0letter">
    <w:name w:val="Point 0 (letter)"/>
    <w:basedOn w:val="Normal"/>
    <w:pPr>
      <w:numPr>
        <w:ilvl w:val="1"/>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1letter">
    <w:name w:val="Point 1 (letter)"/>
    <w:basedOn w:val="Normal"/>
    <w:pPr>
      <w:numPr>
        <w:ilvl w:val="3"/>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2letter">
    <w:name w:val="Point 2 (letter)"/>
    <w:basedOn w:val="Normal"/>
    <w:pPr>
      <w:numPr>
        <w:ilvl w:val="5"/>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3letter">
    <w:name w:val="Point 3 (letter)"/>
    <w:basedOn w:val="Normal"/>
    <w:pPr>
      <w:numPr>
        <w:ilvl w:val="7"/>
        <w:numId w:val="17"/>
      </w:numPr>
      <w:spacing w:before="120" w:after="120" w:line="240" w:lineRule="auto"/>
      <w:jc w:val="both"/>
    </w:pPr>
    <w:rPr>
      <w:rFonts w:ascii="Times New Roman" w:eastAsia="Times New Roman" w:hAnsi="Times New Roman"/>
      <w:sz w:val="24"/>
      <w:szCs w:val="20"/>
      <w:lang w:eastAsia="en-GB"/>
    </w:rPr>
  </w:style>
  <w:style w:type="paragraph" w:customStyle="1" w:styleId="Point4letter">
    <w:name w:val="Point 4 (letter)"/>
    <w:basedOn w:val="Normal"/>
    <w:pPr>
      <w:numPr>
        <w:ilvl w:val="8"/>
        <w:numId w:val="17"/>
      </w:numPr>
      <w:spacing w:before="120" w:after="120" w:line="240" w:lineRule="auto"/>
      <w:jc w:val="both"/>
    </w:pPr>
    <w:rPr>
      <w:rFonts w:ascii="Times New Roman" w:eastAsia="Times New Roman" w:hAnsi="Times New Roman"/>
      <w:sz w:val="24"/>
      <w:szCs w:val="20"/>
      <w:lang w:eastAsia="en-GB"/>
    </w:rPr>
  </w:style>
  <w:style w:type="paragraph" w:customStyle="1" w:styleId="Bullet0">
    <w:name w:val="Bullet 0"/>
    <w:basedOn w:val="Normal"/>
    <w:pPr>
      <w:numPr>
        <w:numId w:val="18"/>
      </w:numPr>
      <w:spacing w:before="120" w:after="120" w:line="240" w:lineRule="auto"/>
      <w:jc w:val="both"/>
    </w:pPr>
    <w:rPr>
      <w:rFonts w:ascii="Times New Roman" w:eastAsia="Times New Roman" w:hAnsi="Times New Roman"/>
      <w:sz w:val="24"/>
      <w:szCs w:val="20"/>
      <w:lang w:eastAsia="en-GB"/>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sz w:val="24"/>
      <w:szCs w:val="20"/>
      <w:lang w:eastAsia="en-GB"/>
    </w:rPr>
  </w:style>
  <w:style w:type="paragraph" w:customStyle="1" w:styleId="Bullet2">
    <w:name w:val="Bullet 2"/>
    <w:basedOn w:val="Normal"/>
    <w:pPr>
      <w:numPr>
        <w:numId w:val="19"/>
      </w:numPr>
      <w:spacing w:before="120" w:after="120" w:line="240" w:lineRule="auto"/>
      <w:jc w:val="both"/>
    </w:pPr>
    <w:rPr>
      <w:rFonts w:ascii="Times New Roman" w:eastAsia="Times New Roman" w:hAnsi="Times New Roman"/>
      <w:sz w:val="24"/>
      <w:szCs w:val="20"/>
      <w:lang w:eastAsia="en-GB"/>
    </w:rPr>
  </w:style>
  <w:style w:type="paragraph" w:customStyle="1" w:styleId="Bullet3">
    <w:name w:val="Bullet 3"/>
    <w:basedOn w:val="Normal"/>
    <w:pPr>
      <w:numPr>
        <w:numId w:val="20"/>
      </w:numPr>
      <w:spacing w:before="120" w:after="120" w:line="240" w:lineRule="auto"/>
      <w:jc w:val="both"/>
    </w:pPr>
    <w:rPr>
      <w:rFonts w:ascii="Times New Roman" w:eastAsia="Times New Roman" w:hAnsi="Times New Roman"/>
      <w:sz w:val="24"/>
      <w:szCs w:val="20"/>
      <w:lang w:eastAsia="en-GB"/>
    </w:rPr>
  </w:style>
  <w:style w:type="paragraph" w:customStyle="1" w:styleId="Bullet4">
    <w:name w:val="Bullet 4"/>
    <w:basedOn w:val="Normal"/>
    <w:pPr>
      <w:numPr>
        <w:numId w:val="21"/>
      </w:numPr>
      <w:spacing w:before="120" w:after="120" w:line="240" w:lineRule="auto"/>
      <w:jc w:val="both"/>
    </w:pPr>
    <w:rPr>
      <w:rFonts w:ascii="Times New Roman" w:eastAsia="Times New Roman" w:hAnsi="Times New Roman"/>
      <w:sz w:val="24"/>
      <w:szCs w:val="20"/>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0"/>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0"/>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0"/>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i/>
      <w:sz w:val="32"/>
      <w:szCs w:val="20"/>
      <w:lang w:eastAsia="en-GB"/>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0"/>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0"/>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0"/>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sz w:val="24"/>
      <w:szCs w:val="20"/>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0"/>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0"/>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0"/>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0"/>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b/>
      <w:caps/>
      <w:sz w:val="24"/>
      <w:szCs w:val="20"/>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0"/>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0"/>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sz w:val="24"/>
      <w:szCs w:val="20"/>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0"/>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0"/>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0"/>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0"/>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0"/>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0"/>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0"/>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0"/>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0"/>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0"/>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0"/>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0"/>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b/>
      <w:i/>
      <w:sz w:val="24"/>
      <w:szCs w:val="20"/>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0"/>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b/>
      <w:sz w:val="24"/>
      <w:szCs w:val="20"/>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0"/>
      <w:lang w:eastAsia="en-GB"/>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Pr>
      <w:i/>
      <w:iCs/>
    </w:rPr>
  </w:style>
  <w:style w:type="character" w:styleId="Strong">
    <w:name w:val="Strong"/>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paragraph" w:styleId="Revision">
    <w:name w:val="Revision"/>
    <w:hidden/>
    <w:uiPriority w:val="99"/>
    <w:semiHidden/>
    <w:rPr>
      <w:sz w:val="22"/>
      <w:szCs w:val="22"/>
      <w:lang w:val="fr-BE" w:eastAsia="en-US"/>
    </w:rPr>
  </w:style>
  <w:style w:type="paragraph" w:customStyle="1" w:styleId="Date2">
    <w:name w:val="Date2"/>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0" w:line="240" w:lineRule="auto"/>
      <w:ind w:left="720"/>
      <w:contextualSpacing/>
    </w:pPr>
    <w:rPr>
      <w:rFonts w:eastAsia="Times New Roman"/>
      <w:lang w:val="fr-BE"/>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14">
    <w:name w:val="s14"/>
    <w:basedOn w:val="Normal"/>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at1">
    <w:name w:val="a__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5955">
      <w:bodyDiv w:val="1"/>
      <w:marLeft w:val="0"/>
      <w:marRight w:val="0"/>
      <w:marTop w:val="0"/>
      <w:marBottom w:val="0"/>
      <w:divBdr>
        <w:top w:val="none" w:sz="0" w:space="0" w:color="auto"/>
        <w:left w:val="none" w:sz="0" w:space="0" w:color="auto"/>
        <w:bottom w:val="none" w:sz="0" w:space="0" w:color="auto"/>
        <w:right w:val="none" w:sz="0" w:space="0" w:color="auto"/>
      </w:divBdr>
    </w:div>
    <w:div w:id="161892175">
      <w:bodyDiv w:val="1"/>
      <w:marLeft w:val="0"/>
      <w:marRight w:val="0"/>
      <w:marTop w:val="0"/>
      <w:marBottom w:val="0"/>
      <w:divBdr>
        <w:top w:val="none" w:sz="0" w:space="0" w:color="auto"/>
        <w:left w:val="none" w:sz="0" w:space="0" w:color="auto"/>
        <w:bottom w:val="none" w:sz="0" w:space="0" w:color="auto"/>
        <w:right w:val="none" w:sz="0" w:space="0" w:color="auto"/>
      </w:divBdr>
    </w:div>
    <w:div w:id="287667808">
      <w:bodyDiv w:val="1"/>
      <w:marLeft w:val="0"/>
      <w:marRight w:val="0"/>
      <w:marTop w:val="0"/>
      <w:marBottom w:val="0"/>
      <w:divBdr>
        <w:top w:val="none" w:sz="0" w:space="0" w:color="auto"/>
        <w:left w:val="none" w:sz="0" w:space="0" w:color="auto"/>
        <w:bottom w:val="none" w:sz="0" w:space="0" w:color="auto"/>
        <w:right w:val="none" w:sz="0" w:space="0" w:color="auto"/>
      </w:divBdr>
    </w:div>
    <w:div w:id="494223395">
      <w:bodyDiv w:val="1"/>
      <w:marLeft w:val="0"/>
      <w:marRight w:val="0"/>
      <w:marTop w:val="0"/>
      <w:marBottom w:val="0"/>
      <w:divBdr>
        <w:top w:val="none" w:sz="0" w:space="0" w:color="auto"/>
        <w:left w:val="none" w:sz="0" w:space="0" w:color="auto"/>
        <w:bottom w:val="none" w:sz="0" w:space="0" w:color="auto"/>
        <w:right w:val="none" w:sz="0" w:space="0" w:color="auto"/>
      </w:divBdr>
    </w:div>
    <w:div w:id="513152734">
      <w:bodyDiv w:val="1"/>
      <w:marLeft w:val="0"/>
      <w:marRight w:val="0"/>
      <w:marTop w:val="0"/>
      <w:marBottom w:val="0"/>
      <w:divBdr>
        <w:top w:val="none" w:sz="0" w:space="0" w:color="auto"/>
        <w:left w:val="none" w:sz="0" w:space="0" w:color="auto"/>
        <w:bottom w:val="none" w:sz="0" w:space="0" w:color="auto"/>
        <w:right w:val="none" w:sz="0" w:space="0" w:color="auto"/>
      </w:divBdr>
    </w:div>
    <w:div w:id="1278833657">
      <w:bodyDiv w:val="1"/>
      <w:marLeft w:val="0"/>
      <w:marRight w:val="0"/>
      <w:marTop w:val="0"/>
      <w:marBottom w:val="0"/>
      <w:divBdr>
        <w:top w:val="none" w:sz="0" w:space="0" w:color="auto"/>
        <w:left w:val="none" w:sz="0" w:space="0" w:color="auto"/>
        <w:bottom w:val="none" w:sz="0" w:space="0" w:color="auto"/>
        <w:right w:val="none" w:sz="0" w:space="0" w:color="auto"/>
      </w:divBdr>
    </w:div>
    <w:div w:id="1287813697">
      <w:bodyDiv w:val="1"/>
      <w:marLeft w:val="0"/>
      <w:marRight w:val="0"/>
      <w:marTop w:val="0"/>
      <w:marBottom w:val="0"/>
      <w:divBdr>
        <w:top w:val="none" w:sz="0" w:space="0" w:color="auto"/>
        <w:left w:val="none" w:sz="0" w:space="0" w:color="auto"/>
        <w:bottom w:val="none" w:sz="0" w:space="0" w:color="auto"/>
        <w:right w:val="none" w:sz="0" w:space="0" w:color="auto"/>
      </w:divBdr>
    </w:div>
    <w:div w:id="1409232858">
      <w:bodyDiv w:val="1"/>
      <w:marLeft w:val="0"/>
      <w:marRight w:val="0"/>
      <w:marTop w:val="0"/>
      <w:marBottom w:val="0"/>
      <w:divBdr>
        <w:top w:val="none" w:sz="0" w:space="0" w:color="auto"/>
        <w:left w:val="none" w:sz="0" w:space="0" w:color="auto"/>
        <w:bottom w:val="none" w:sz="0" w:space="0" w:color="auto"/>
        <w:right w:val="none" w:sz="0" w:space="0" w:color="auto"/>
      </w:divBdr>
    </w:div>
    <w:div w:id="1510489997">
      <w:bodyDiv w:val="1"/>
      <w:marLeft w:val="0"/>
      <w:marRight w:val="0"/>
      <w:marTop w:val="0"/>
      <w:marBottom w:val="0"/>
      <w:divBdr>
        <w:top w:val="none" w:sz="0" w:space="0" w:color="auto"/>
        <w:left w:val="none" w:sz="0" w:space="0" w:color="auto"/>
        <w:bottom w:val="none" w:sz="0" w:space="0" w:color="auto"/>
        <w:right w:val="none" w:sz="0" w:space="0" w:color="auto"/>
      </w:divBdr>
    </w:div>
    <w:div w:id="1728186965">
      <w:bodyDiv w:val="1"/>
      <w:marLeft w:val="0"/>
      <w:marRight w:val="0"/>
      <w:marTop w:val="0"/>
      <w:marBottom w:val="0"/>
      <w:divBdr>
        <w:top w:val="none" w:sz="0" w:space="0" w:color="auto"/>
        <w:left w:val="none" w:sz="0" w:space="0" w:color="auto"/>
        <w:bottom w:val="none" w:sz="0" w:space="0" w:color="auto"/>
        <w:right w:val="none" w:sz="0" w:space="0" w:color="auto"/>
      </w:divBdr>
    </w:div>
    <w:div w:id="19544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29A9-3517-41C6-8FB2-C8F9B6B6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10392</Words>
  <Characters>73994</Characters>
  <Application>Microsoft Office Word</Application>
  <DocSecurity>0</DocSecurity>
  <Lines>1345</Lines>
  <Paragraphs>371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2016-03-09T11:44:00Z</dcterms:created>
  <dcterms:modified xsi:type="dcterms:W3CDTF">2016-03-10T13:26:00Z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