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2.0.0 -->
  <w:body>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87"/>
        <w:gridCol w:w="7480"/>
      </w:tblGrid>
      <w:tr w:rsidTr="00BA4891">
        <w:tblPrEx>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9867" w:type="dxa"/>
            <w:gridSpan w:val="2"/>
            <w:tcBorders>
              <w:bottom w:val="single" w:sz="4" w:space="0" w:color="auto"/>
            </w:tcBorders>
            <w:shd w:val="clear" w:color="auto" w:fill="0000FF"/>
          </w:tcPr>
          <w:p w:rsidR="00315ECF" w:rsidRPr="002C6CE6" w:rsidP="00315ECF">
            <w:pPr>
              <w:spacing w:before="60" w:after="60"/>
              <w:jc w:val="center"/>
              <w:rPr>
                <w:rFonts w:ascii="Arial" w:hAnsi="Arial" w:cs="Arial"/>
                <w:b/>
                <w:sz w:val="22"/>
                <w:szCs w:val="22"/>
              </w:rPr>
            </w:pPr>
            <w:r>
              <w:rPr>
                <w:rFonts w:ascii="Arial" w:hAnsi="Arial"/>
                <w:b/>
                <w:sz w:val="22"/>
              </w:rPr>
              <w:t>VERZOEK OM INPUT</w:t>
            </w:r>
          </w:p>
          <w:p w:rsidR="001E0806" w:rsidRPr="002C6CE6" w:rsidP="00315ECF">
            <w:pPr>
              <w:spacing w:before="60" w:after="60"/>
              <w:jc w:val="center"/>
              <w:rPr>
                <w:rFonts w:ascii="Arial" w:hAnsi="Arial" w:cs="Arial"/>
                <w:b/>
                <w:i/>
                <w:sz w:val="22"/>
                <w:szCs w:val="22"/>
              </w:rPr>
            </w:pPr>
            <w:r>
              <w:rPr>
                <w:rFonts w:ascii="Arial" w:hAnsi="Arial"/>
                <w:b/>
                <w:sz w:val="22"/>
              </w:rPr>
              <w:t>VOOR EEN EVALUATIE OF GESCHIKTHEIDSCONTROLE</w:t>
            </w:r>
          </w:p>
        </w:tc>
      </w:tr>
      <w:tr w:rsidTr="00BA4891">
        <w:tblPrEx>
          <w:tblW w:w="9867" w:type="dxa"/>
          <w:jc w:val="center"/>
          <w:tblLayout w:type="fixed"/>
          <w:tblLook w:val="01E0"/>
        </w:tblPrEx>
        <w:trPr>
          <w:jc w:val="center"/>
        </w:trPr>
        <w:tc>
          <w:tcPr>
            <w:tcW w:w="9867" w:type="dxa"/>
            <w:gridSpan w:val="2"/>
            <w:tcBorders>
              <w:bottom w:val="single" w:sz="4" w:space="0" w:color="auto"/>
            </w:tcBorders>
            <w:shd w:val="clear" w:color="auto" w:fill="D9D9D9" w:themeFill="background1" w:themeFillShade="D9"/>
          </w:tcPr>
          <w:p w:rsidR="00A17C0E" w:rsidRPr="002C6CE6" w:rsidP="00A17C0E">
            <w:pPr>
              <w:spacing w:before="60" w:after="60"/>
              <w:rPr>
                <w:rFonts w:ascii="Arial" w:hAnsi="Arial" w:cs="Arial"/>
                <w:color w:val="000080"/>
                <w:sz w:val="18"/>
                <w:szCs w:val="18"/>
              </w:rPr>
            </w:pPr>
            <w:r>
              <w:rPr>
                <w:rFonts w:ascii="Arial" w:hAnsi="Arial"/>
                <w:color w:val="000080"/>
                <w:sz w:val="18"/>
              </w:rPr>
              <w:t>Dit document dient om het publiek en belanghebbenden te informeren over de werkzaamheden van de Commissie, zodat zij feedback kunnen geven en effectief kunnen deelnemen aan raadplegingen.</w:t>
            </w:r>
          </w:p>
          <w:p w:rsidR="00CD583D" w:rsidRPr="00A668AD" w:rsidP="00A97435">
            <w:pPr>
              <w:spacing w:before="60" w:after="60"/>
              <w:rPr>
                <w:rFonts w:ascii="Arial" w:hAnsi="Arial" w:cs="Arial"/>
                <w:color w:val="000080"/>
                <w:sz w:val="18"/>
                <w:szCs w:val="18"/>
              </w:rPr>
            </w:pPr>
            <w:r>
              <w:rPr>
                <w:rFonts w:ascii="Arial" w:hAnsi="Arial"/>
                <w:color w:val="000080"/>
                <w:sz w:val="18"/>
              </w:rPr>
              <w:t>Wij verzoeken deze groepen om: i)</w:t>
            </w:r>
            <w:r w:rsidR="00537654">
              <w:rPr>
                <w:rFonts w:ascii="Arial" w:hAnsi="Arial"/>
                <w:color w:val="000080"/>
                <w:sz w:val="18"/>
              </w:rPr>
              <w:t> </w:t>
            </w:r>
            <w:r>
              <w:rPr>
                <w:rFonts w:ascii="Arial" w:hAnsi="Arial"/>
                <w:color w:val="000080"/>
                <w:sz w:val="18"/>
              </w:rPr>
              <w:t>hun standpunt te geven over de analyse van het probleem door de Commissie en over mogelijke oplossingen voor het probleem, en ii)</w:t>
            </w:r>
            <w:r w:rsidR="00537654">
              <w:rPr>
                <w:rFonts w:ascii="Arial" w:hAnsi="Arial"/>
                <w:color w:val="000080"/>
                <w:sz w:val="18"/>
              </w:rPr>
              <w:t> </w:t>
            </w:r>
            <w:r>
              <w:rPr>
                <w:rFonts w:ascii="Arial" w:hAnsi="Arial"/>
                <w:color w:val="000080"/>
                <w:sz w:val="18"/>
              </w:rPr>
              <w:t>alle relevante informatie te delen waarover zij beschikken.</w:t>
            </w:r>
          </w:p>
        </w:tc>
      </w:tr>
      <w:tr w:rsidTr="00BA4891">
        <w:tblPrEx>
          <w:tblW w:w="9867" w:type="dxa"/>
          <w:jc w:val="center"/>
          <w:tblLayout w:type="fixed"/>
          <w:tblLook w:val="01E0"/>
        </w:tblPrEx>
        <w:trPr>
          <w:jc w:val="center"/>
        </w:trPr>
        <w:tc>
          <w:tcPr>
            <w:tcW w:w="2387" w:type="dxa"/>
            <w:tcBorders>
              <w:bottom w:val="single" w:sz="4" w:space="0" w:color="auto"/>
            </w:tcBorders>
            <w:shd w:val="clear" w:color="auto" w:fill="E6E6E6"/>
            <w:vAlign w:val="center"/>
          </w:tcPr>
          <w:p w:rsidR="001E0806" w:rsidRPr="002C6CE6" w:rsidP="00B7441B">
            <w:pPr>
              <w:spacing w:before="60" w:after="60"/>
              <w:jc w:val="left"/>
              <w:rPr>
                <w:rFonts w:ascii="Arial" w:hAnsi="Arial" w:cs="Arial"/>
                <w:b/>
                <w:bCs/>
                <w:smallCaps/>
                <w:sz w:val="20"/>
              </w:rPr>
            </w:pPr>
            <w:r>
              <w:rPr>
                <w:rFonts w:ascii="Arial" w:hAnsi="Arial"/>
                <w:b/>
                <w:smallCaps/>
                <w:sz w:val="20"/>
              </w:rPr>
              <w:t>Titel van de evaluatie</w:t>
            </w:r>
          </w:p>
        </w:tc>
        <w:tc>
          <w:tcPr>
            <w:tcW w:w="7480" w:type="dxa"/>
            <w:vAlign w:val="center"/>
          </w:tcPr>
          <w:p w:rsidR="00C65364" w:rsidRPr="00341E5F" w:rsidP="00C65364">
            <w:pPr>
              <w:spacing w:before="60" w:after="60"/>
              <w:jc w:val="left"/>
              <w:rPr>
                <w:bCs/>
                <w:szCs w:val="24"/>
              </w:rPr>
            </w:pPr>
            <w:r>
              <w:t xml:space="preserve">Driejaarlijkse evaluatie </w:t>
            </w:r>
            <w:r w:rsidRPr="00537654">
              <w:t>2021</w:t>
            </w:r>
            <w:r>
              <w:t>-</w:t>
            </w:r>
            <w:r w:rsidRPr="00537654">
              <w:t>2024</w:t>
            </w:r>
            <w:r>
              <w:t xml:space="preserve"> van de zes uitvoerende agentschappen: </w:t>
            </w:r>
            <w:r>
              <w:t>Cinea</w:t>
            </w:r>
            <w:r>
              <w:t xml:space="preserve">, EACEA, ERCEA, </w:t>
            </w:r>
            <w:r>
              <w:t>Eismea</w:t>
            </w:r>
            <w:r>
              <w:t xml:space="preserve">, </w:t>
            </w:r>
            <w:r>
              <w:t>Hadea</w:t>
            </w:r>
            <w:r>
              <w:t xml:space="preserve"> en REA</w:t>
            </w:r>
          </w:p>
          <w:p w:rsidR="001E0806" w:rsidRPr="002C6CE6" w:rsidP="00EE614B">
            <w:pPr>
              <w:spacing w:before="60" w:after="60"/>
              <w:jc w:val="left"/>
              <w:rPr>
                <w:rFonts w:ascii="Arial" w:hAnsi="Arial" w:cs="Arial"/>
                <w:color w:val="000080"/>
                <w:sz w:val="20"/>
                <w:lang w:eastAsia="en-GB"/>
              </w:rPr>
            </w:pPr>
          </w:p>
        </w:tc>
      </w:tr>
      <w:tr w:rsidTr="00BA4891">
        <w:tblPrEx>
          <w:tblW w:w="9867" w:type="dxa"/>
          <w:jc w:val="center"/>
          <w:tblLayout w:type="fixed"/>
          <w:tblLook w:val="01E0"/>
        </w:tblPrEx>
        <w:trPr>
          <w:jc w:val="center"/>
        </w:trPr>
        <w:tc>
          <w:tcPr>
            <w:tcW w:w="2387" w:type="dxa"/>
            <w:tcBorders>
              <w:bottom w:val="single" w:sz="4" w:space="0" w:color="auto"/>
              <w:right w:val="single" w:sz="4" w:space="0" w:color="auto"/>
            </w:tcBorders>
            <w:shd w:val="clear" w:color="auto" w:fill="E6E6E6"/>
            <w:vAlign w:val="center"/>
          </w:tcPr>
          <w:p w:rsidR="00244EDC" w:rsidRPr="002C6CE6" w:rsidP="00B7441B">
            <w:pPr>
              <w:spacing w:before="60" w:after="60"/>
              <w:jc w:val="left"/>
              <w:rPr>
                <w:rFonts w:ascii="Arial" w:hAnsi="Arial" w:cs="Arial"/>
                <w:b/>
                <w:bCs/>
                <w:smallCaps/>
                <w:sz w:val="20"/>
              </w:rPr>
            </w:pPr>
            <w:r>
              <w:rPr>
                <w:rFonts w:ascii="Arial" w:hAnsi="Arial"/>
                <w:b/>
                <w:smallCaps/>
                <w:sz w:val="20"/>
              </w:rPr>
              <w:t>Leidend DG</w:t>
            </w:r>
            <w:r w:rsidR="00BB34FD">
              <w:rPr>
                <w:rFonts w:ascii="Arial" w:hAnsi="Arial"/>
                <w:b/>
                <w:smallCaps/>
                <w:sz w:val="20"/>
              </w:rPr>
              <w:t> </w:t>
            </w:r>
            <w:r>
              <w:rPr>
                <w:rFonts w:ascii="Arial" w:hAnsi="Arial"/>
                <w:b/>
                <w:smallCaps/>
                <w:sz w:val="20"/>
              </w:rPr>
              <w:t xml:space="preserve">— verantwoordelijke eenheid </w:t>
            </w:r>
          </w:p>
        </w:tc>
        <w:tc>
          <w:tcPr>
            <w:tcW w:w="7480" w:type="dxa"/>
            <w:tcBorders>
              <w:top w:val="single" w:sz="4" w:space="0" w:color="auto"/>
              <w:left w:val="single" w:sz="4" w:space="0" w:color="auto"/>
              <w:bottom w:val="single" w:sz="4" w:space="0" w:color="auto"/>
              <w:right w:val="single" w:sz="4" w:space="0" w:color="auto"/>
            </w:tcBorders>
            <w:vAlign w:val="center"/>
          </w:tcPr>
          <w:p w:rsidR="00244EDC" w:rsidRPr="002C6CE6" w:rsidP="00B7441B">
            <w:pPr>
              <w:spacing w:before="60" w:after="60"/>
              <w:jc w:val="left"/>
              <w:rPr>
                <w:rFonts w:ascii="Arial" w:hAnsi="Arial" w:cs="Arial"/>
                <w:color w:val="000080"/>
                <w:sz w:val="20"/>
              </w:rPr>
            </w:pPr>
            <w:r>
              <w:t>DG</w:t>
            </w:r>
            <w:r w:rsidR="00C31A03">
              <w:t> </w:t>
            </w:r>
            <w:r>
              <w:t>RTD/H</w:t>
            </w:r>
            <w:r w:rsidRPr="00537654">
              <w:t>4</w:t>
            </w:r>
          </w:p>
        </w:tc>
      </w:tr>
      <w:tr w:rsidTr="00BA4891">
        <w:tblPrEx>
          <w:tblW w:w="9867" w:type="dxa"/>
          <w:jc w:val="center"/>
          <w:tblLayout w:type="fixed"/>
          <w:tblLook w:val="01E0"/>
        </w:tblPrEx>
        <w:trPr>
          <w:jc w:val="center"/>
        </w:trPr>
        <w:tc>
          <w:tcPr>
            <w:tcW w:w="2387" w:type="dxa"/>
            <w:tcBorders>
              <w:bottom w:val="single" w:sz="4" w:space="0" w:color="auto"/>
              <w:right w:val="single" w:sz="4" w:space="0" w:color="auto"/>
            </w:tcBorders>
            <w:shd w:val="clear" w:color="auto" w:fill="E6E6E6"/>
            <w:vAlign w:val="center"/>
          </w:tcPr>
          <w:p w:rsidR="001E0806" w:rsidRPr="002C6CE6" w:rsidP="00B7441B">
            <w:pPr>
              <w:spacing w:before="60" w:after="60"/>
              <w:jc w:val="left"/>
              <w:rPr>
                <w:rFonts w:ascii="Arial" w:hAnsi="Arial" w:cs="Arial"/>
                <w:b/>
                <w:bCs/>
                <w:smallCaps/>
                <w:sz w:val="20"/>
              </w:rPr>
            </w:pPr>
            <w:r>
              <w:rPr>
                <w:rFonts w:ascii="Arial" w:hAnsi="Arial"/>
                <w:b/>
                <w:smallCaps/>
                <w:sz w:val="20"/>
              </w:rPr>
              <w:t xml:space="preserve">Indicatieve planning </w:t>
            </w:r>
          </w:p>
          <w:p w:rsidR="001E0806" w:rsidRPr="002C6CE6" w:rsidP="00B7441B">
            <w:pPr>
              <w:spacing w:before="60" w:after="60"/>
              <w:jc w:val="left"/>
              <w:rPr>
                <w:rFonts w:ascii="Arial" w:hAnsi="Arial" w:cs="Arial"/>
                <w:b/>
                <w:bCs/>
                <w:smallCaps/>
                <w:sz w:val="20"/>
              </w:rPr>
            </w:pPr>
            <w:r>
              <w:rPr>
                <w:rFonts w:ascii="Arial" w:hAnsi="Arial"/>
                <w:b/>
                <w:smallCaps/>
                <w:sz w:val="20"/>
              </w:rPr>
              <w:t>(geplande begin- en einddatum)</w:t>
            </w:r>
          </w:p>
        </w:tc>
        <w:tc>
          <w:tcPr>
            <w:tcW w:w="7480" w:type="dxa"/>
            <w:tcBorders>
              <w:top w:val="single" w:sz="4" w:space="0" w:color="auto"/>
              <w:left w:val="single" w:sz="4" w:space="0" w:color="auto"/>
              <w:bottom w:val="single" w:sz="4" w:space="0" w:color="auto"/>
              <w:right w:val="single" w:sz="4" w:space="0" w:color="auto"/>
            </w:tcBorders>
            <w:vAlign w:val="center"/>
          </w:tcPr>
          <w:p w:rsidR="001E0806" w:rsidRPr="002C6CE6" w:rsidP="00A97435">
            <w:pPr>
              <w:spacing w:before="60" w:after="60"/>
              <w:jc w:val="left"/>
              <w:rPr>
                <w:rFonts w:ascii="Arial" w:hAnsi="Arial" w:cs="Arial"/>
                <w:color w:val="000080"/>
                <w:sz w:val="20"/>
                <w:highlight w:val="green"/>
              </w:rPr>
            </w:pPr>
            <w:r>
              <w:t xml:space="preserve">Derde kwartaal </w:t>
            </w:r>
            <w:r w:rsidRPr="00537654">
              <w:t>2025</w:t>
            </w:r>
            <w:r w:rsidR="00BB34FD">
              <w:t> </w:t>
            </w:r>
            <w:r>
              <w:t xml:space="preserve">— vierde kwartaal </w:t>
            </w:r>
            <w:r w:rsidRPr="00537654">
              <w:t>2025</w:t>
            </w:r>
          </w:p>
        </w:tc>
      </w:tr>
      <w:tr w:rsidTr="00BA4891">
        <w:tblPrEx>
          <w:tblW w:w="9867" w:type="dxa"/>
          <w:jc w:val="center"/>
          <w:tblLayout w:type="fixed"/>
          <w:tblLook w:val="01E0"/>
        </w:tblPrEx>
        <w:trPr>
          <w:jc w:val="center"/>
        </w:trPr>
        <w:tc>
          <w:tcPr>
            <w:tcW w:w="2387" w:type="dxa"/>
            <w:tcBorders>
              <w:bottom w:val="single" w:sz="4" w:space="0" w:color="auto"/>
              <w:right w:val="single" w:sz="4" w:space="0" w:color="auto"/>
            </w:tcBorders>
            <w:shd w:val="clear" w:color="auto" w:fill="E6E6E6"/>
            <w:vAlign w:val="center"/>
          </w:tcPr>
          <w:p w:rsidR="001E0806" w:rsidRPr="002C6CE6">
            <w:pPr>
              <w:spacing w:before="60" w:after="60"/>
              <w:jc w:val="left"/>
              <w:rPr>
                <w:rFonts w:ascii="Arial" w:hAnsi="Arial" w:cs="Arial"/>
                <w:b/>
                <w:bCs/>
                <w:smallCaps/>
                <w:sz w:val="20"/>
              </w:rPr>
            </w:pPr>
            <w:r>
              <w:rPr>
                <w:rFonts w:ascii="Arial" w:hAnsi="Arial"/>
                <w:b/>
                <w:smallCaps/>
                <w:sz w:val="20"/>
              </w:rPr>
              <w:t>Aanvullende informatie</w:t>
            </w:r>
          </w:p>
        </w:tc>
        <w:tc>
          <w:tcPr>
            <w:tcW w:w="7480" w:type="dxa"/>
            <w:tcBorders>
              <w:top w:val="single" w:sz="4" w:space="0" w:color="auto"/>
              <w:left w:val="single" w:sz="4" w:space="0" w:color="auto"/>
              <w:bottom w:val="single" w:sz="4" w:space="0" w:color="auto"/>
              <w:right w:val="single" w:sz="4" w:space="0" w:color="auto"/>
            </w:tcBorders>
            <w:vAlign w:val="center"/>
          </w:tcPr>
          <w:p w:rsidR="00184F61" w:rsidP="00A17C0E">
            <w:pPr>
              <w:spacing w:before="60" w:after="60"/>
              <w:jc w:val="left"/>
              <w:rPr>
                <w:rFonts w:ascii="Arial" w:hAnsi="Arial" w:cs="Arial"/>
                <w:color w:val="000080"/>
                <w:sz w:val="20"/>
              </w:rPr>
            </w:pPr>
            <w:r>
              <w:fldChar w:fldCharType="begin"/>
            </w:r>
            <w:r>
              <w:instrText xml:space="preserve"> HYPERLINK "https://cinea.ec.europa.eu/index_en" </w:instrText>
            </w:r>
            <w:r>
              <w:fldChar w:fldCharType="separate"/>
            </w:r>
            <w:r>
              <w:rPr>
                <w:rStyle w:val="Hyperlink"/>
                <w:rFonts w:ascii="Arial" w:hAnsi="Arial"/>
                <w:sz w:val="20"/>
              </w:rPr>
              <w:t>https://cinea.ec.europa.eu/index_en</w:t>
            </w:r>
            <w:r>
              <w:fldChar w:fldCharType="end"/>
            </w:r>
          </w:p>
          <w:p w:rsidR="00184F61" w:rsidP="00A17C0E">
            <w:pPr>
              <w:spacing w:before="60" w:after="60"/>
              <w:jc w:val="left"/>
              <w:rPr>
                <w:rFonts w:ascii="Arial" w:hAnsi="Arial" w:cs="Arial"/>
                <w:color w:val="000080"/>
                <w:sz w:val="20"/>
              </w:rPr>
            </w:pPr>
            <w:r>
              <w:fldChar w:fldCharType="begin"/>
            </w:r>
            <w:r>
              <w:instrText xml:space="preserve"> HYPERLINK "https://www.eacea.ec.europa.eu/index_en?prefLang=nl" </w:instrText>
            </w:r>
            <w:r>
              <w:fldChar w:fldCharType="separate"/>
            </w:r>
            <w:r>
              <w:rPr>
                <w:rStyle w:val="Hyperlink"/>
                <w:rFonts w:ascii="Arial" w:hAnsi="Arial"/>
                <w:sz w:val="20"/>
              </w:rPr>
              <w:t>https://www.eacea.ec.europa.eu/index_en?prefLang=nl</w:t>
            </w:r>
            <w:r>
              <w:fldChar w:fldCharType="end"/>
            </w:r>
          </w:p>
          <w:p w:rsidR="00184F61" w:rsidP="00184F61">
            <w:pPr>
              <w:spacing w:before="60" w:after="60"/>
              <w:jc w:val="left"/>
              <w:rPr>
                <w:rFonts w:ascii="Arial" w:hAnsi="Arial" w:cs="Arial"/>
                <w:color w:val="000080"/>
                <w:sz w:val="20"/>
              </w:rPr>
            </w:pPr>
            <w:r>
              <w:fldChar w:fldCharType="begin"/>
            </w:r>
            <w:r>
              <w:instrText xml:space="preserve"> HYPERLINK "https://eismea.ec.europa.eu/index_en" </w:instrText>
            </w:r>
            <w:r>
              <w:fldChar w:fldCharType="separate"/>
            </w:r>
            <w:r>
              <w:rPr>
                <w:rStyle w:val="Hyperlink"/>
                <w:rFonts w:ascii="Arial" w:hAnsi="Arial"/>
                <w:sz w:val="20"/>
              </w:rPr>
              <w:t>https://eismea.ec.europa.eu/index_en</w:t>
            </w:r>
            <w:r>
              <w:fldChar w:fldCharType="end"/>
            </w:r>
          </w:p>
          <w:p w:rsidR="00184F61" w:rsidP="00A17C0E">
            <w:pPr>
              <w:spacing w:before="60" w:after="60"/>
              <w:jc w:val="left"/>
              <w:rPr>
                <w:rFonts w:ascii="Arial" w:hAnsi="Arial" w:cs="Arial"/>
                <w:color w:val="000080"/>
                <w:sz w:val="20"/>
              </w:rPr>
            </w:pPr>
            <w:r>
              <w:fldChar w:fldCharType="begin"/>
            </w:r>
            <w:r>
              <w:instrText xml:space="preserve"> HYPERLINK "https://erc.europa.eu/about-erc/erc-executive-agency" </w:instrText>
            </w:r>
            <w:r>
              <w:fldChar w:fldCharType="separate"/>
            </w:r>
            <w:r>
              <w:rPr>
                <w:rStyle w:val="Hyperlink"/>
                <w:rFonts w:ascii="Arial" w:hAnsi="Arial"/>
                <w:sz w:val="20"/>
              </w:rPr>
              <w:t>https://erc.europa.eu/about-erc/erc-executive-agency</w:t>
            </w:r>
            <w:r>
              <w:fldChar w:fldCharType="end"/>
            </w:r>
          </w:p>
          <w:p w:rsidR="00184F61" w:rsidP="00A17C0E">
            <w:pPr>
              <w:spacing w:before="60" w:after="60"/>
              <w:jc w:val="left"/>
              <w:rPr>
                <w:rFonts w:ascii="Arial" w:hAnsi="Arial" w:cs="Arial"/>
                <w:color w:val="000080"/>
                <w:sz w:val="20"/>
              </w:rPr>
            </w:pPr>
            <w:r>
              <w:fldChar w:fldCharType="begin"/>
            </w:r>
            <w:r>
              <w:instrText xml:space="preserve"> HYPERLINK "https://hadea.ec.europa.eu/index_en?prefLang=nl" </w:instrText>
            </w:r>
            <w:r>
              <w:fldChar w:fldCharType="separate"/>
            </w:r>
            <w:r>
              <w:rPr>
                <w:rStyle w:val="Hyperlink"/>
                <w:rFonts w:ascii="Arial" w:hAnsi="Arial"/>
                <w:sz w:val="20"/>
              </w:rPr>
              <w:t>https://hadea.ec.europa.eu/index_en?prefLang=nl</w:t>
            </w:r>
            <w:r>
              <w:fldChar w:fldCharType="end"/>
            </w:r>
          </w:p>
          <w:p w:rsidR="00184F61" w:rsidP="00A17C0E">
            <w:pPr>
              <w:spacing w:before="60" w:after="60"/>
              <w:jc w:val="left"/>
              <w:rPr>
                <w:rFonts w:ascii="Arial" w:hAnsi="Arial" w:cs="Arial"/>
                <w:color w:val="000080"/>
                <w:sz w:val="20"/>
              </w:rPr>
            </w:pPr>
            <w:r>
              <w:fldChar w:fldCharType="begin"/>
            </w:r>
            <w:r>
              <w:instrText xml:space="preserve"> HYPERLINK "https://rea.ec.europa.eu/index_en?prefLang=nl" </w:instrText>
            </w:r>
            <w:r>
              <w:fldChar w:fldCharType="separate"/>
            </w:r>
            <w:r>
              <w:rPr>
                <w:rStyle w:val="Hyperlink"/>
                <w:rFonts w:ascii="Arial" w:hAnsi="Arial"/>
                <w:sz w:val="20"/>
              </w:rPr>
              <w:t>https://rea.ec.europa.eu/index_en?prefLang=nl</w:t>
            </w:r>
            <w:r>
              <w:fldChar w:fldCharType="end"/>
            </w:r>
          </w:p>
          <w:p w:rsidR="001E0806" w:rsidRPr="002C6CE6" w:rsidP="00A17C0E">
            <w:pPr>
              <w:spacing w:before="60" w:after="60"/>
              <w:jc w:val="left"/>
              <w:rPr>
                <w:rFonts w:ascii="Arial" w:hAnsi="Arial" w:cs="Arial"/>
                <w:color w:val="000080"/>
                <w:sz w:val="20"/>
                <w:lang w:eastAsia="en-GB"/>
              </w:rPr>
            </w:pPr>
          </w:p>
        </w:tc>
      </w:tr>
      <w:tr w:rsidTr="00BA4891">
        <w:tblPrEx>
          <w:tblW w:w="9867" w:type="dxa"/>
          <w:jc w:val="center"/>
          <w:tblLayout w:type="fixed"/>
          <w:tblLook w:val="01E0"/>
        </w:tblPrEx>
        <w:trPr>
          <w:jc w:val="center"/>
        </w:trPr>
        <w:tc>
          <w:tcPr>
            <w:tcW w:w="9867" w:type="dxa"/>
            <w:gridSpan w:val="2"/>
            <w:tcBorders>
              <w:bottom w:val="single" w:sz="4" w:space="0" w:color="auto"/>
              <w:right w:val="single" w:sz="4" w:space="0" w:color="auto"/>
            </w:tcBorders>
            <w:shd w:val="clear" w:color="auto" w:fill="E6E6E6"/>
          </w:tcPr>
          <w:p w:rsidR="00244EDC" w:rsidRPr="00A668AD" w:rsidP="00AB1E0F">
            <w:pPr>
              <w:spacing w:before="60" w:after="60"/>
              <w:rPr>
                <w:rFonts w:ascii="Arial" w:hAnsi="Arial" w:cs="Arial"/>
                <w:i/>
                <w:color w:val="FF0000"/>
                <w:sz w:val="18"/>
                <w:szCs w:val="18"/>
              </w:rPr>
            </w:pPr>
            <w:r>
              <w:rPr>
                <w:rFonts w:ascii="Arial" w:hAnsi="Arial"/>
                <w:i/>
                <w:color w:val="FF0000"/>
                <w:sz w:val="18"/>
              </w:rPr>
              <w:t>Dit document dient slechts ter informatie. Het loopt niet vooruit op de eindbeslissing van de Commissie over de vraag of dit initiatief zal worden voortgezet en welke invulling dat uiteindelijk zal krijgen. Alle elementen van het initiatief dat in dit document is beschreven, waaronder de planning, kunnen veranderen.</w:t>
            </w:r>
          </w:p>
        </w:tc>
      </w:tr>
      <w:tr w:rsidTr="00BA4891">
        <w:tblPrEx>
          <w:tblW w:w="9867" w:type="dxa"/>
          <w:jc w:val="center"/>
          <w:tblLayout w:type="fixed"/>
          <w:tblLook w:val="01E0"/>
        </w:tblPrEx>
        <w:trPr>
          <w:jc w:val="center"/>
        </w:trPr>
        <w:tc>
          <w:tcPr>
            <w:tcW w:w="9867" w:type="dxa"/>
            <w:gridSpan w:val="2"/>
            <w:tcBorders>
              <w:bottom w:val="single" w:sz="4" w:space="0" w:color="auto"/>
            </w:tcBorders>
            <w:shd w:val="clear" w:color="auto" w:fill="0000FF"/>
          </w:tcPr>
          <w:p w:rsidR="001E0806" w:rsidRPr="002C6CE6" w:rsidP="00451053">
            <w:pPr>
              <w:keepNext/>
              <w:keepLines/>
              <w:widowControl w:val="0"/>
              <w:spacing w:before="60" w:after="60"/>
              <w:jc w:val="center"/>
              <w:rPr>
                <w:rFonts w:ascii="Arial" w:hAnsi="Arial" w:cs="Arial"/>
                <w:b/>
                <w:sz w:val="22"/>
                <w:szCs w:val="22"/>
              </w:rPr>
            </w:pPr>
            <w:r>
              <w:rPr>
                <w:rFonts w:ascii="Arial" w:hAnsi="Arial"/>
                <w:b/>
                <w:sz w:val="22"/>
              </w:rPr>
              <w:t>A. Politieke context, doel en reikwijdte van de evaluatie</w:t>
            </w:r>
          </w:p>
        </w:tc>
      </w:tr>
      <w:tr w:rsidTr="00BA4891">
        <w:tblPrEx>
          <w:tblW w:w="9867" w:type="dxa"/>
          <w:jc w:val="center"/>
          <w:tblLayout w:type="fixed"/>
          <w:tblLook w:val="01E0"/>
        </w:tblPrEx>
        <w:trPr>
          <w:jc w:val="center"/>
        </w:trPr>
        <w:tc>
          <w:tcPr>
            <w:tcW w:w="9867" w:type="dxa"/>
            <w:gridSpan w:val="2"/>
            <w:tcBorders>
              <w:bottom w:val="single" w:sz="4" w:space="0" w:color="auto"/>
            </w:tcBorders>
            <w:shd w:val="clear" w:color="auto" w:fill="E6E6E6"/>
          </w:tcPr>
          <w:p w:rsidR="001E0806" w:rsidRPr="002C6CE6" w:rsidP="00451053">
            <w:pPr>
              <w:keepNext/>
              <w:keepLines/>
              <w:widowControl w:val="0"/>
              <w:spacing w:before="60" w:after="60"/>
              <w:rPr>
                <w:rFonts w:ascii="Arial" w:hAnsi="Arial" w:cs="Arial"/>
                <w:sz w:val="20"/>
              </w:rPr>
            </w:pPr>
            <w:r>
              <w:rPr>
                <w:rFonts w:ascii="Arial" w:hAnsi="Arial"/>
                <w:b/>
                <w:sz w:val="20"/>
              </w:rPr>
              <w:t>Politieke context</w:t>
            </w:r>
          </w:p>
        </w:tc>
      </w:tr>
      <w:tr w:rsidTr="00BA4891">
        <w:tblPrEx>
          <w:tblW w:w="9867" w:type="dxa"/>
          <w:jc w:val="center"/>
          <w:tblLayout w:type="fixed"/>
          <w:tblLook w:val="01E0"/>
        </w:tblPrEx>
        <w:trPr>
          <w:trHeight w:val="4754"/>
          <w:jc w:val="center"/>
        </w:trPr>
        <w:tc>
          <w:tcPr>
            <w:tcW w:w="9867" w:type="dxa"/>
            <w:gridSpan w:val="2"/>
            <w:tcBorders>
              <w:bottom w:val="single" w:sz="4" w:space="0" w:color="auto"/>
            </w:tcBorders>
          </w:tcPr>
          <w:p w:rsidR="00B81A00" w:rsidP="30503E28">
            <w:pPr>
              <w:keepNext/>
              <w:keepLines/>
              <w:widowControl w:val="0"/>
              <w:spacing w:before="60" w:after="120"/>
            </w:pPr>
            <w:r>
              <w:t>De uitvoerende agentschappen van de Europese Unie (EU) zijn organen die door de Commissie zijn opgericht om specifieke EU-programma’s en -fondsen (of delen van deze programma’s en fondsen) te beheren, zodat de Commissie zich op haar kerntaken kan concentreren. De uitvoerende agentschappen beheren de volledige levenscyclus van subsidies die in het kader van deze programma’s worden toegekend, en zorgen voor efficiëntie door zich toe te spitsen op technische en administratieve taken. Tegelijkertijd helpen zij de EU om haar bredere doelstellingen te behalen (zoals het bevorderen van duurzaamheid, het verwezenlijken van de digitale transitie en het vergroten van het concurrentievermogen).</w:t>
            </w:r>
          </w:p>
          <w:p w:rsidR="00084589" w:rsidP="00084589">
            <w:pPr>
              <w:keepNext/>
              <w:keepLines/>
              <w:widowControl w:val="0"/>
              <w:spacing w:before="60" w:after="120"/>
              <w:rPr>
                <w:szCs w:val="24"/>
              </w:rPr>
            </w:pPr>
            <w:r>
              <w:t>De zes uitvoerende agentschappen zijn:</w:t>
            </w:r>
          </w:p>
          <w:p w:rsidR="00084589" w:rsidRPr="00B81A00" w:rsidP="00084589">
            <w:pPr>
              <w:pStyle w:val="ListParagraph"/>
              <w:keepNext/>
              <w:keepLines/>
              <w:widowControl w:val="0"/>
              <w:numPr>
                <w:ilvl w:val="0"/>
                <w:numId w:val="43"/>
              </w:numPr>
              <w:spacing w:before="60" w:after="120"/>
            </w:pPr>
            <w:r>
              <w:t>het Europees Uitvoerend Agentschap klimaat, infrastructuur en milieu (</w:t>
            </w:r>
            <w:r>
              <w:t>Cinea</w:t>
            </w:r>
            <w:r>
              <w:t>);</w:t>
            </w:r>
          </w:p>
          <w:p w:rsidR="00084589" w:rsidRPr="00B81A00" w:rsidP="00084589">
            <w:pPr>
              <w:pStyle w:val="ListParagraph"/>
              <w:keepNext/>
              <w:keepLines/>
              <w:widowControl w:val="0"/>
              <w:numPr>
                <w:ilvl w:val="0"/>
                <w:numId w:val="43"/>
              </w:numPr>
              <w:spacing w:before="60" w:after="120"/>
            </w:pPr>
            <w:r>
              <w:t>het Europees Uitvoerend Agentschap onderwijs en cultuur (EACEA);</w:t>
            </w:r>
          </w:p>
          <w:p w:rsidR="00084589" w:rsidRPr="00B81A00" w:rsidP="00084589">
            <w:pPr>
              <w:pStyle w:val="ListParagraph"/>
              <w:keepNext/>
              <w:keepLines/>
              <w:widowControl w:val="0"/>
              <w:numPr>
                <w:ilvl w:val="0"/>
                <w:numId w:val="43"/>
              </w:numPr>
              <w:spacing w:before="60" w:after="120"/>
            </w:pPr>
            <w:r>
              <w:t>het Uitvoerend Agentschap Europese Innovatieraad en het mkb (</w:t>
            </w:r>
            <w:r>
              <w:t>Eismea</w:t>
            </w:r>
            <w:r>
              <w:t>);</w:t>
            </w:r>
          </w:p>
          <w:p w:rsidR="00084589" w:rsidRPr="00B81A00" w:rsidP="00084589">
            <w:pPr>
              <w:pStyle w:val="ListParagraph"/>
              <w:keepNext/>
              <w:keepLines/>
              <w:widowControl w:val="0"/>
              <w:numPr>
                <w:ilvl w:val="0"/>
                <w:numId w:val="43"/>
              </w:numPr>
              <w:spacing w:before="60" w:after="120"/>
            </w:pPr>
            <w:r>
              <w:t xml:space="preserve">het Uitvoerend Agentschap Europese </w:t>
            </w:r>
            <w:r>
              <w:t>Onderzoeksraad</w:t>
            </w:r>
            <w:r>
              <w:t xml:space="preserve"> (ERCEA);</w:t>
            </w:r>
          </w:p>
          <w:p w:rsidR="00084589" w:rsidRPr="00B81A00" w:rsidP="00084589">
            <w:pPr>
              <w:pStyle w:val="ListParagraph"/>
              <w:keepNext/>
              <w:keepLines/>
              <w:widowControl w:val="0"/>
              <w:numPr>
                <w:ilvl w:val="0"/>
                <w:numId w:val="43"/>
              </w:numPr>
              <w:spacing w:before="60" w:after="120"/>
            </w:pPr>
            <w:r>
              <w:t>het Europees Uitvoerend Agentschap voor gezondheid en digitaal beleid (</w:t>
            </w:r>
            <w:r>
              <w:t>Hadea</w:t>
            </w:r>
            <w:r>
              <w:t>);</w:t>
            </w:r>
          </w:p>
          <w:p w:rsidR="00084589" w:rsidRPr="00084589" w:rsidP="00084589">
            <w:pPr>
              <w:pStyle w:val="ListParagraph"/>
              <w:keepNext/>
              <w:keepLines/>
              <w:widowControl w:val="0"/>
              <w:numPr>
                <w:ilvl w:val="0"/>
                <w:numId w:val="43"/>
              </w:numPr>
              <w:spacing w:before="60" w:after="120"/>
            </w:pPr>
            <w:r>
              <w:t>het Europees Uitvoerend Agentschap onderzoek (REA).</w:t>
            </w:r>
          </w:p>
          <w:p w:rsidR="00DD0D65" w:rsidRPr="00791753" w:rsidP="00791753">
            <w:pPr>
              <w:keepNext/>
              <w:keepLines/>
              <w:widowControl w:val="0"/>
              <w:spacing w:before="60" w:after="120"/>
            </w:pPr>
            <w:r>
              <w:t xml:space="preserve">Op grond van de kaderverordening voor uitvoerende agentschappen moet de Commissie om de drie jaar een evaluatie van elk uitvoerend agentschap uitvoeren. Het huidige initiatief evalueert de zes uitvoerende agentschappen in de periode van </w:t>
            </w:r>
            <w:r w:rsidRPr="00537654">
              <w:t>1</w:t>
            </w:r>
            <w:r w:rsidR="006D1188">
              <w:t> </w:t>
            </w:r>
            <w:r>
              <w:t xml:space="preserve">april </w:t>
            </w:r>
            <w:r w:rsidRPr="00537654">
              <w:t>2021</w:t>
            </w:r>
            <w:r>
              <w:t xml:space="preserve"> tot en met </w:t>
            </w:r>
            <w:r w:rsidRPr="00537654">
              <w:t>31</w:t>
            </w:r>
            <w:r w:rsidR="006D1188">
              <w:t> </w:t>
            </w:r>
            <w:r>
              <w:t xml:space="preserve">maart </w:t>
            </w:r>
            <w:r w:rsidRPr="00537654">
              <w:t>2024</w:t>
            </w:r>
            <w:r>
              <w:t>. De resultaten van de evaluatie kunnen de Commissie helpen om: i)</w:t>
            </w:r>
            <w:r w:rsidR="006D1188">
              <w:t> </w:t>
            </w:r>
            <w:r>
              <w:t>de prestaties van de uitvoerende agentschappen te beoordelen; ii)</w:t>
            </w:r>
            <w:r w:rsidR="006D1188">
              <w:t> </w:t>
            </w:r>
            <w:r>
              <w:t xml:space="preserve">de behoeften en voordelen te beoordelen in verband met het delegeren van taken in het kader van de nieuwe programmeringsperiode (meerjarig financieel kader </w:t>
            </w:r>
            <w:r w:rsidRPr="00537654">
              <w:t>2028</w:t>
            </w:r>
            <w:r>
              <w:t>-</w:t>
            </w:r>
            <w:r w:rsidRPr="00537654">
              <w:t>2034</w:t>
            </w:r>
            <w:r>
              <w:t>); en iii)</w:t>
            </w:r>
            <w:r w:rsidR="006D1188">
              <w:t> </w:t>
            </w:r>
            <w:r>
              <w:t>mogelijke verbeterpunten in kaart te brengen, onder meer op het gebied van vereenvoudiging en snellere procedures voor aanvragers en begunstigden. De resultaten van de evaluatie zullen worden gedeeld met de stuurgroep van elk uitvoerend agentschap, het Europees Parlement, de Raad en de Rekenkamer.</w:t>
            </w:r>
          </w:p>
        </w:tc>
      </w:tr>
      <w:tr w:rsidTr="00BA4891">
        <w:tblPrEx>
          <w:tblW w:w="9867" w:type="dxa"/>
          <w:jc w:val="center"/>
          <w:tblLayout w:type="fixed"/>
          <w:tblLook w:val="01E0"/>
        </w:tblPrEx>
        <w:trPr>
          <w:jc w:val="center"/>
        </w:trPr>
        <w:tc>
          <w:tcPr>
            <w:tcW w:w="9867" w:type="dxa"/>
            <w:gridSpan w:val="2"/>
            <w:tcBorders>
              <w:bottom w:val="single" w:sz="4" w:space="0" w:color="auto"/>
            </w:tcBorders>
            <w:shd w:val="clear" w:color="auto" w:fill="E6E6E6"/>
          </w:tcPr>
          <w:p w:rsidR="001E0806" w:rsidRPr="002C6CE6" w:rsidP="00451053">
            <w:pPr>
              <w:keepNext/>
              <w:keepLines/>
              <w:widowControl w:val="0"/>
              <w:spacing w:before="60" w:after="60"/>
              <w:rPr>
                <w:rFonts w:ascii="Arial" w:hAnsi="Arial" w:cs="Arial"/>
                <w:sz w:val="20"/>
              </w:rPr>
            </w:pPr>
            <w:r>
              <w:rPr>
                <w:rFonts w:ascii="Arial" w:hAnsi="Arial"/>
                <w:b/>
                <w:sz w:val="20"/>
              </w:rPr>
              <w:t>Doel en reikwijdte</w:t>
            </w:r>
          </w:p>
        </w:tc>
      </w:tr>
      <w:tr w:rsidTr="00BA4891">
        <w:tblPrEx>
          <w:tblW w:w="9867" w:type="dxa"/>
          <w:jc w:val="center"/>
          <w:tblLayout w:type="fixed"/>
          <w:tblLook w:val="01E0"/>
        </w:tblPrEx>
        <w:trPr>
          <w:jc w:val="center"/>
        </w:trPr>
        <w:tc>
          <w:tcPr>
            <w:tcW w:w="9867" w:type="dxa"/>
            <w:gridSpan w:val="2"/>
            <w:tcBorders>
              <w:bottom w:val="single" w:sz="4" w:space="0" w:color="auto"/>
            </w:tcBorders>
          </w:tcPr>
          <w:p w:rsidR="00C6579E" w:rsidRPr="000C1CC8" w:rsidP="30503E28">
            <w:pPr>
              <w:keepNext/>
              <w:keepLines/>
              <w:widowControl w:val="0"/>
              <w:spacing w:before="60" w:after="60"/>
            </w:pPr>
            <w:r>
              <w:t>In overeenstemming met de richtsnoeren voor betere regelgeving van de Commissie worden bij de evaluatie de standaardcriteria toegepast. De evaluatie zal worden ondersteund door een studie uitgevoerd door een externe contractant.</w:t>
            </w:r>
          </w:p>
          <w:p w:rsidR="00791753" w:rsidRPr="000C1CC8" w:rsidP="00791753">
            <w:pPr>
              <w:keepNext/>
              <w:keepLines/>
              <w:widowControl w:val="0"/>
              <w:spacing w:before="60" w:after="60"/>
            </w:pPr>
            <w:r>
              <w:t>Bij de evaluatie zal worden beoordeeld of: i)</w:t>
            </w:r>
            <w:r w:rsidR="006D1188">
              <w:t> </w:t>
            </w:r>
            <w:r>
              <w:t xml:space="preserve">elk uitvoerend agentschap in de periode van </w:t>
            </w:r>
            <w:r w:rsidRPr="00537654">
              <w:t>1</w:t>
            </w:r>
            <w:r w:rsidR="006D1188">
              <w:t> </w:t>
            </w:r>
            <w:r>
              <w:t xml:space="preserve">april </w:t>
            </w:r>
            <w:r w:rsidRPr="00537654">
              <w:t>2021</w:t>
            </w:r>
            <w:r>
              <w:t xml:space="preserve"> tot en met </w:t>
            </w:r>
            <w:r w:rsidRPr="00537654">
              <w:t>31</w:t>
            </w:r>
            <w:r w:rsidR="006D1188">
              <w:t> </w:t>
            </w:r>
            <w:r>
              <w:t xml:space="preserve">maart </w:t>
            </w:r>
            <w:r w:rsidRPr="00537654">
              <w:t>2024</w:t>
            </w:r>
            <w:r>
              <w:t xml:space="preserve"> zijn taken op doeltreffende en efficiënte wijze heeft uitgevoerd; ii)</w:t>
            </w:r>
            <w:r w:rsidR="006D1188">
              <w:t> </w:t>
            </w:r>
            <w:r>
              <w:t>of er overlappingen/lacunes/inconsistenties zijn in het beheer van de programmaportefeuille door de uitvoerende agentschappen; en iii)</w:t>
            </w:r>
            <w:r w:rsidR="006D1188">
              <w:t> </w:t>
            </w:r>
            <w:r>
              <w:t>of er een duidelijke afbakening van de taken is tussen elk uitvoerend agentschap en hun bevoegde directoraten generaal (</w:t>
            </w:r>
            <w:r>
              <w:t>DG’s</w:t>
            </w:r>
            <w:r>
              <w:t>) of andere uitvoerende agentschappen.</w:t>
            </w:r>
          </w:p>
          <w:p w:rsidR="00791753" w:rsidRPr="000C1CC8" w:rsidP="30503E28">
            <w:pPr>
              <w:keepNext/>
              <w:keepLines/>
              <w:widowControl w:val="0"/>
              <w:spacing w:before="60" w:after="60"/>
            </w:pPr>
            <w:r>
              <w:t xml:space="preserve">De evaluatie zal de Commissie ook helpen te beoordelen of de werking van de uitvoerende agentschappen de verwachte </w:t>
            </w:r>
            <w:r>
              <w:rPr>
                <w:b/>
              </w:rPr>
              <w:t>positieve resultaten</w:t>
            </w:r>
            <w:r>
              <w:t xml:space="preserve"> heeft opgeleverd, zoals geraamd in de voorafgaande kosten-batenanalyse van </w:t>
            </w:r>
            <w:r w:rsidRPr="00537654">
              <w:t>2021</w:t>
            </w:r>
            <w:r>
              <w:t xml:space="preserve"> voor de delegatie van taken aan de uitvoerende agentschappen. De evaluatie zal dit doen door de voordelen van het delegeren van operationele taken aan de uitvoerende agentschappen te vergelijken met de uitvoering van die taken door de Commissie zelf. Bij de evaluatie zal rekening worden gehouden met de kosten-batenanalyse van </w:t>
            </w:r>
            <w:r w:rsidRPr="00537654">
              <w:t>2021</w:t>
            </w:r>
            <w:r>
              <w:t>, met het oog op: i)</w:t>
            </w:r>
            <w:r w:rsidR="00537654">
              <w:t> </w:t>
            </w:r>
            <w:r>
              <w:t>het achteraf valideren van de vastgestelde besparingen, met name in het licht van de geleerde lessen, en ii)</w:t>
            </w:r>
            <w:r w:rsidR="00537654">
              <w:t> </w:t>
            </w:r>
            <w:r>
              <w:t>het in kaart brengen van gebieden die voor verbetering vatbaar zijn. Dit zal de Commissie ook ondersteunen bij de beoordeling van de uitbestedingsbehoeften voor de volgende programmeringsperiode.</w:t>
            </w:r>
          </w:p>
          <w:p w:rsidR="001E0806" w:rsidRPr="000C1CC8" w:rsidP="30503E28">
            <w:pPr>
              <w:keepNext/>
              <w:keepLines/>
              <w:widowControl w:val="0"/>
              <w:spacing w:before="60" w:after="60"/>
            </w:pPr>
            <w:r>
              <w:t xml:space="preserve">De evaluatie zal niet gericht zijn op de operationele resultaten van die programma’s, aangezien zij gedekt worden door de tussentijdse evaluaties en evaluaties achteraf van de programma’s door de bevoegde </w:t>
            </w:r>
            <w:r>
              <w:t>DG’s</w:t>
            </w:r>
            <w:r>
              <w:t>.</w:t>
            </w:r>
          </w:p>
        </w:tc>
      </w:tr>
      <w:tr w:rsidTr="00BA4891">
        <w:tblPrEx>
          <w:tblW w:w="9867" w:type="dxa"/>
          <w:jc w:val="center"/>
          <w:tblLayout w:type="fixed"/>
          <w:tblLook w:val="01E0"/>
        </w:tblPrEx>
        <w:trPr>
          <w:jc w:val="center"/>
        </w:trPr>
        <w:tc>
          <w:tcPr>
            <w:tcW w:w="9867" w:type="dxa"/>
            <w:gridSpan w:val="2"/>
            <w:tcBorders>
              <w:bottom w:val="single" w:sz="4" w:space="0" w:color="auto"/>
            </w:tcBorders>
            <w:shd w:val="clear" w:color="auto" w:fill="0000FF"/>
          </w:tcPr>
          <w:p w:rsidR="001E0806" w:rsidRPr="002C6CE6" w:rsidP="00451053">
            <w:pPr>
              <w:keepNext/>
              <w:keepLines/>
              <w:widowControl w:val="0"/>
              <w:spacing w:before="60" w:after="60"/>
              <w:jc w:val="center"/>
              <w:rPr>
                <w:rFonts w:ascii="Arial" w:hAnsi="Arial" w:cs="Arial"/>
                <w:b/>
                <w:sz w:val="22"/>
                <w:szCs w:val="22"/>
              </w:rPr>
            </w:pPr>
            <w:r>
              <w:rPr>
                <w:rFonts w:ascii="Arial" w:hAnsi="Arial"/>
                <w:b/>
                <w:sz w:val="22"/>
                <w:highlight w:val="blue"/>
              </w:rPr>
              <w:t>B. Betere regelgeving</w:t>
            </w:r>
          </w:p>
        </w:tc>
      </w:tr>
      <w:tr w:rsidTr="00BA4891">
        <w:tblPrEx>
          <w:tblW w:w="9867" w:type="dxa"/>
          <w:jc w:val="center"/>
          <w:tblLayout w:type="fixed"/>
          <w:tblLook w:val="01E0"/>
        </w:tblPrEx>
        <w:trPr>
          <w:jc w:val="center"/>
        </w:trPr>
        <w:tc>
          <w:tcPr>
            <w:tcW w:w="9867" w:type="dxa"/>
            <w:gridSpan w:val="2"/>
            <w:tcBorders>
              <w:bottom w:val="single" w:sz="4" w:space="0" w:color="auto"/>
            </w:tcBorders>
            <w:shd w:val="clear" w:color="auto" w:fill="E6E6E6"/>
          </w:tcPr>
          <w:p w:rsidR="001E0806" w:rsidRPr="002C6CE6" w:rsidP="00451053">
            <w:pPr>
              <w:keepNext/>
              <w:keepLines/>
              <w:widowControl w:val="0"/>
              <w:spacing w:before="60" w:after="60"/>
              <w:rPr>
                <w:rFonts w:ascii="Arial" w:hAnsi="Arial" w:cs="Arial"/>
                <w:sz w:val="20"/>
              </w:rPr>
            </w:pPr>
            <w:r>
              <w:rPr>
                <w:rFonts w:ascii="Arial" w:hAnsi="Arial"/>
                <w:b/>
                <w:sz w:val="20"/>
              </w:rPr>
              <w:t>Raadplegingsstrategie</w:t>
            </w:r>
          </w:p>
        </w:tc>
      </w:tr>
      <w:tr w:rsidTr="00BA4891">
        <w:tblPrEx>
          <w:tblW w:w="9867" w:type="dxa"/>
          <w:jc w:val="center"/>
          <w:tblLayout w:type="fixed"/>
          <w:tblLook w:val="01E0"/>
        </w:tblPrEx>
        <w:trPr>
          <w:jc w:val="center"/>
        </w:trPr>
        <w:tc>
          <w:tcPr>
            <w:tcW w:w="9867" w:type="dxa"/>
            <w:gridSpan w:val="2"/>
            <w:tcBorders>
              <w:bottom w:val="single" w:sz="4" w:space="0" w:color="auto"/>
            </w:tcBorders>
          </w:tcPr>
          <w:p w:rsidR="00183506" w:rsidP="353F8BF8">
            <w:pPr>
              <w:spacing w:after="120" w:line="264" w:lineRule="auto"/>
              <w:rPr>
                <w:rFonts w:eastAsiaTheme="minorEastAsia"/>
              </w:rPr>
            </w:pPr>
            <w:r>
              <w:t>De strategie voor de raadpleging van belanghebbenden in het kader van de evaluatie van de zes uitvoerende agentschappen is gericht op het verzamelen van: i)</w:t>
            </w:r>
            <w:r w:rsidR="006D1188">
              <w:t> </w:t>
            </w:r>
            <w:r>
              <w:t>informatie, gegevens en kennis over de wijze waarop de uitvoerende agentschappen hun taken uitvoeren, en ii)</w:t>
            </w:r>
            <w:r w:rsidR="006D1188">
              <w:t> </w:t>
            </w:r>
            <w:r>
              <w:t>meningen en standpunten van belanghebbenden over de prestaties van elk uitvoerend agentschap tijdens de evaluatieperiode.</w:t>
            </w:r>
          </w:p>
          <w:p w:rsidR="00E9283F" w:rsidP="00E9283F">
            <w:pPr>
              <w:spacing w:after="120" w:line="264" w:lineRule="auto"/>
            </w:pPr>
            <w:r>
              <w:t>Er zijn al openbare raadplegingen gehouden om de gedelegeerde programma’s te evalueren, die zullen worden aangevuld met gerichte raadplegingen van belanghebbenden. Tevens zullen de resultaten van eerder uitgevoerde tevredenheidsenquêtes in overweging worden genomen.</w:t>
            </w:r>
          </w:p>
          <w:p w:rsidR="00DD0D65" w:rsidRPr="00B82F2A" w:rsidP="353F8BF8">
            <w:pPr>
              <w:spacing w:after="120" w:line="264" w:lineRule="auto"/>
              <w:rPr>
                <w:rFonts w:eastAsiaTheme="minorEastAsia"/>
              </w:rPr>
            </w:pPr>
            <w:r>
              <w:t>De raadpleging van belanghebbenden bestaat uit twee delen. Het eerste deel is een uitgebreid programma met interviews van personeel werkzaam bij de Commissie en de uitvoerende agentschappen. Het tweede deel is een enquête in combinatie met interviews gericht op begunstigden van de gedelegeerde programma’s, afgewezen aanvragers en externe deskundigen die de uitvoerende agentschappen hebben bijgestaan tijdens het evaluatieproces van projectvoorstellen. De enquête is representatief voor zowel de verschillende programma’s als de onderdelen daarvan die door de uitvoerende agentschappen worden beheerd.</w:t>
            </w:r>
          </w:p>
        </w:tc>
      </w:tr>
      <w:tr w:rsidTr="00BA4891">
        <w:tblPrEx>
          <w:tblW w:w="9867" w:type="dxa"/>
          <w:jc w:val="center"/>
          <w:tblLayout w:type="fixed"/>
          <w:tblLook w:val="01E0"/>
        </w:tblPrEx>
        <w:trPr>
          <w:jc w:val="center"/>
        </w:trPr>
        <w:tc>
          <w:tcPr>
            <w:tcW w:w="9867" w:type="dxa"/>
            <w:gridSpan w:val="2"/>
            <w:shd w:val="clear" w:color="auto" w:fill="F2F2F2" w:themeFill="background1" w:themeFillShade="F2"/>
          </w:tcPr>
          <w:p w:rsidR="0069534B" w:rsidRPr="002C6CE6" w:rsidP="353F8BF8">
            <w:pPr>
              <w:keepNext/>
              <w:keepLines/>
              <w:widowControl w:val="0"/>
              <w:rPr>
                <w:b/>
                <w:bCs/>
              </w:rPr>
            </w:pPr>
            <w:r>
              <w:rPr>
                <w:rFonts w:ascii="Arial" w:hAnsi="Arial"/>
                <w:b/>
                <w:sz w:val="20"/>
              </w:rPr>
              <w:t>Waarom deze raadpleging?</w:t>
            </w:r>
          </w:p>
        </w:tc>
      </w:tr>
      <w:tr w:rsidTr="00BA4891">
        <w:tblPrEx>
          <w:tblW w:w="9867" w:type="dxa"/>
          <w:jc w:val="center"/>
          <w:tblLayout w:type="fixed"/>
          <w:tblLook w:val="01E0"/>
        </w:tblPrEx>
        <w:trPr>
          <w:jc w:val="center"/>
        </w:trPr>
        <w:tc>
          <w:tcPr>
            <w:tcW w:w="9867" w:type="dxa"/>
            <w:gridSpan w:val="2"/>
            <w:shd w:val="clear" w:color="auto" w:fill="FFFFFF" w:themeFill="background1"/>
          </w:tcPr>
          <w:p w:rsidR="0069534B" w:rsidRPr="002C6CE6" w:rsidP="00451053">
            <w:pPr>
              <w:keepNext/>
              <w:keepLines/>
              <w:widowControl w:val="0"/>
              <w:spacing w:before="60" w:after="60"/>
              <w:rPr>
                <w:rFonts w:ascii="Arial" w:hAnsi="Arial" w:cs="Arial"/>
                <w:b/>
                <w:sz w:val="20"/>
              </w:rPr>
            </w:pPr>
            <w:bookmarkStart w:id="0" w:name="_Hlk209771783"/>
            <w:r>
              <w:t>De raadpleging is bedoeld om het volgende te verzamelen: i)</w:t>
            </w:r>
            <w:r w:rsidR="006D1188">
              <w:t> </w:t>
            </w:r>
            <w:r>
              <w:t>informatie over de wijze waarop de uitvoerende agentschappen hun taken uitvoeren, en ii)</w:t>
            </w:r>
            <w:r w:rsidR="006D1188">
              <w:t> </w:t>
            </w:r>
            <w:r>
              <w:t>standpunten van belanghebbenden over de prestaties en diensten die de uitvoerende agentschappen tijdens de evaluatieperiode hebben geleverd. Voor zover mogelijk zal de aanpak de nadruk leggen op geleerde lessen die van toepassing zijn op de toekomstige uitvoering van programma’s.</w:t>
            </w:r>
            <w:bookmarkEnd w:id="0"/>
          </w:p>
        </w:tc>
      </w:tr>
      <w:tr w:rsidTr="00BA4891">
        <w:tblPrEx>
          <w:tblW w:w="9867" w:type="dxa"/>
          <w:jc w:val="center"/>
          <w:tblLayout w:type="fixed"/>
          <w:tblLook w:val="01E0"/>
        </w:tblPrEx>
        <w:trPr>
          <w:jc w:val="center"/>
        </w:trPr>
        <w:tc>
          <w:tcPr>
            <w:tcW w:w="9867" w:type="dxa"/>
            <w:gridSpan w:val="2"/>
            <w:shd w:val="clear" w:color="auto" w:fill="F2F2F2" w:themeFill="background1" w:themeFillShade="F2"/>
          </w:tcPr>
          <w:p w:rsidR="0069534B" w:rsidRPr="002C6CE6" w:rsidP="00451053">
            <w:pPr>
              <w:keepNext/>
              <w:keepLines/>
              <w:widowControl w:val="0"/>
              <w:spacing w:before="60"/>
              <w:rPr>
                <w:rFonts w:ascii="Arial" w:hAnsi="Arial" w:cs="Arial"/>
                <w:b/>
                <w:sz w:val="20"/>
              </w:rPr>
            </w:pPr>
            <w:r>
              <w:rPr>
                <w:rFonts w:ascii="Arial" w:hAnsi="Arial"/>
                <w:b/>
                <w:sz w:val="20"/>
              </w:rPr>
              <w:t>Doelgroep</w:t>
            </w:r>
          </w:p>
        </w:tc>
      </w:tr>
      <w:tr w:rsidTr="00BA4891">
        <w:tblPrEx>
          <w:tblW w:w="9867" w:type="dxa"/>
          <w:jc w:val="center"/>
          <w:tblLayout w:type="fixed"/>
          <w:tblLook w:val="01E0"/>
        </w:tblPrEx>
        <w:trPr>
          <w:jc w:val="center"/>
        </w:trPr>
        <w:tc>
          <w:tcPr>
            <w:tcW w:w="9867" w:type="dxa"/>
            <w:gridSpan w:val="2"/>
            <w:shd w:val="clear" w:color="auto" w:fill="FFFFFF" w:themeFill="background1"/>
          </w:tcPr>
          <w:p w:rsidR="00875C7D" w:rsidRPr="00A668AD" w:rsidP="30503E28">
            <w:pPr>
              <w:keepNext/>
              <w:keepLines/>
              <w:widowControl w:val="0"/>
              <w:spacing w:before="60" w:after="60"/>
              <w:rPr>
                <w:rFonts w:ascii="Arial" w:hAnsi="Arial" w:cs="Arial"/>
                <w:color w:val="1036A0"/>
                <w:sz w:val="20"/>
              </w:rPr>
            </w:pPr>
            <w:r>
              <w:t>De belangrijkste belanghebbenden van de uitvoerende agentschappen zijn de lidstaten, de Commissie, externe deskundigen en de begunstigden/aanvragers van de verschillende door de uitvoerende agentschappen beheerde programma’s (d.w.z. overheidsinstanties, particuliere ondernemingen en ngo’s). In het kader van de raadpleging zullen de standpunten en gegevens van de geïdentificeerde categorieën belanghebbenden over het beheer van de programma’s door de uitvoerende agentschappen worden verzameld. De raadpleging zal in het bijzonder gericht zijn op zowel de efficiëntie van de uitvoerende agentschappen als de kwaliteit van de door de uitvoerende agentschappen aan de belanghebbenden verleende diensten (met inbegrip van de toegang tot en de kwaliteit van informatie; de benodigde tijd om te reageren op communicatie en de kwaliteit van deze reactie; de benodigde tijd om tot besluiten te komen en de kwaliteit van deze besluiten, en de tijd die de uitvoerende agentschappen nodig hebben om verslag uit te brengen alsook de kwaliteit van die verslagen). Een verslag met een samenvatting van de resultaten van alle raadplegingsactiviteiten zal bij het evaluatieverslag worden gevoegd.</w:t>
            </w:r>
          </w:p>
        </w:tc>
      </w:tr>
      <w:tr w:rsidTr="00BA4891">
        <w:tblPrEx>
          <w:tblW w:w="9867" w:type="dxa"/>
          <w:jc w:val="center"/>
          <w:tblLayout w:type="fixed"/>
          <w:tblLook w:val="01E0"/>
        </w:tblPrEx>
        <w:trPr>
          <w:jc w:val="center"/>
        </w:trPr>
        <w:tc>
          <w:tcPr>
            <w:tcW w:w="9867" w:type="dxa"/>
            <w:gridSpan w:val="2"/>
            <w:shd w:val="clear" w:color="auto" w:fill="F2F2F2" w:themeFill="background1" w:themeFillShade="F2"/>
          </w:tcPr>
          <w:p w:rsidR="001E0806" w:rsidRPr="002C6CE6" w:rsidP="00451053">
            <w:pPr>
              <w:keepNext/>
              <w:keepLines/>
              <w:widowControl w:val="0"/>
              <w:spacing w:before="60" w:after="60"/>
              <w:rPr>
                <w:rFonts w:ascii="Arial" w:hAnsi="Arial" w:cs="Arial"/>
                <w:sz w:val="20"/>
              </w:rPr>
            </w:pPr>
            <w:r>
              <w:rPr>
                <w:rFonts w:ascii="Arial" w:hAnsi="Arial"/>
                <w:b/>
                <w:sz w:val="20"/>
              </w:rPr>
              <w:t>Gegevensverzameling en methode</w:t>
            </w:r>
          </w:p>
        </w:tc>
      </w:tr>
      <w:tr w:rsidTr="00BA4891">
        <w:tblPrEx>
          <w:tblW w:w="9867" w:type="dxa"/>
          <w:jc w:val="center"/>
          <w:tblLayout w:type="fixed"/>
          <w:tblLook w:val="01E0"/>
        </w:tblPrEx>
        <w:trPr>
          <w:jc w:val="center"/>
        </w:trPr>
        <w:tc>
          <w:tcPr>
            <w:tcW w:w="9867" w:type="dxa"/>
            <w:gridSpan w:val="2"/>
          </w:tcPr>
          <w:p w:rsidR="00A52AA7" w:rsidP="00A668AD">
            <w:pPr>
              <w:keepNext/>
              <w:keepLines/>
              <w:widowControl w:val="0"/>
              <w:spacing w:before="60" w:after="60"/>
              <w:rPr>
                <w:szCs w:val="24"/>
              </w:rPr>
            </w:pPr>
            <w:r>
              <w:t>De volgende documenten zullen de belangrijkste input voor de evaluatie vormen:</w:t>
            </w:r>
          </w:p>
          <w:p w:rsidR="00A52AA7" w:rsidRPr="00A52AA7" w:rsidP="00AE311C">
            <w:pPr>
              <w:pStyle w:val="ListParagraph"/>
              <w:keepNext/>
              <w:keepLines/>
              <w:widowControl w:val="0"/>
              <w:numPr>
                <w:ilvl w:val="0"/>
                <w:numId w:val="44"/>
              </w:numPr>
              <w:spacing w:before="60" w:after="60"/>
            </w:pPr>
            <w:r>
              <w:t>oprichtingshandelingen en delegatiehandelingen van de uitvoerende agentschappen;</w:t>
            </w:r>
          </w:p>
          <w:p w:rsidR="00A52AA7" w:rsidRPr="00A52AA7" w:rsidP="00AE311C">
            <w:pPr>
              <w:pStyle w:val="ListParagraph"/>
              <w:keepNext/>
              <w:keepLines/>
              <w:widowControl w:val="0"/>
              <w:numPr>
                <w:ilvl w:val="0"/>
                <w:numId w:val="44"/>
              </w:numPr>
              <w:spacing w:before="60" w:after="60"/>
            </w:pPr>
            <w:r>
              <w:t xml:space="preserve">memoranda van overeenstemming tussen de uitvoerende agentschappen en de bevoegde </w:t>
            </w:r>
            <w:r>
              <w:t>DG’s</w:t>
            </w:r>
            <w:r>
              <w:t>;</w:t>
            </w:r>
          </w:p>
          <w:p w:rsidR="00A52AA7" w:rsidRPr="00A52AA7" w:rsidP="00AE311C">
            <w:pPr>
              <w:pStyle w:val="ListParagraph"/>
              <w:keepNext/>
              <w:keepLines/>
              <w:widowControl w:val="0"/>
              <w:numPr>
                <w:ilvl w:val="0"/>
                <w:numId w:val="44"/>
              </w:numPr>
              <w:spacing w:before="60" w:after="60"/>
            </w:pPr>
            <w:r>
              <w:t xml:space="preserve">strategische plannen en jaarlijkse beheerplannen van de bevoegde </w:t>
            </w:r>
            <w:r>
              <w:t>DG’s</w:t>
            </w:r>
            <w:r>
              <w:t>;</w:t>
            </w:r>
          </w:p>
          <w:p w:rsidR="00A52AA7" w:rsidP="00AE311C">
            <w:pPr>
              <w:pStyle w:val="ListParagraph"/>
              <w:keepNext/>
              <w:keepLines/>
              <w:widowControl w:val="0"/>
              <w:numPr>
                <w:ilvl w:val="0"/>
                <w:numId w:val="44"/>
              </w:numPr>
              <w:spacing w:before="60" w:after="60"/>
            </w:pPr>
            <w:r>
              <w:t>jaarlijkse werkprogramma’s van de uitvoerende agentschappen en van de gedelegeerde programma’s;</w:t>
            </w:r>
          </w:p>
          <w:p w:rsidR="00A52AA7" w:rsidRPr="00A52AA7" w:rsidP="00AE311C">
            <w:pPr>
              <w:pStyle w:val="ListParagraph"/>
              <w:keepNext/>
              <w:keepLines/>
              <w:widowControl w:val="0"/>
              <w:numPr>
                <w:ilvl w:val="0"/>
                <w:numId w:val="44"/>
              </w:numPr>
              <w:spacing w:before="60" w:after="60"/>
            </w:pPr>
            <w:r>
              <w:t>regelmatige verslaglegging van de uitvoerende agentschappen, zoals tussentijdse verslagen en jaarlijkse activiteitenverslagen;</w:t>
            </w:r>
          </w:p>
          <w:p w:rsidR="00A52AA7" w:rsidP="00AE311C">
            <w:pPr>
              <w:pStyle w:val="ListParagraph"/>
              <w:keepNext/>
              <w:keepLines/>
              <w:widowControl w:val="0"/>
              <w:numPr>
                <w:ilvl w:val="0"/>
                <w:numId w:val="44"/>
              </w:numPr>
              <w:spacing w:before="60" w:after="60"/>
            </w:pPr>
            <w:r>
              <w:t xml:space="preserve">notulen van belangrijke vergaderingen </w:t>
            </w:r>
            <w:r>
              <w:t>terzake</w:t>
            </w:r>
            <w:r>
              <w:t xml:space="preserve"> (stuurgroep, beheer van de uitvoerende agentschappen);</w:t>
            </w:r>
          </w:p>
          <w:p w:rsidR="00A52AA7" w:rsidP="00AE311C">
            <w:pPr>
              <w:pStyle w:val="ListParagraph"/>
              <w:keepNext/>
              <w:keepLines/>
              <w:widowControl w:val="0"/>
              <w:numPr>
                <w:ilvl w:val="0"/>
                <w:numId w:val="44"/>
              </w:numPr>
              <w:spacing w:before="60" w:after="60"/>
            </w:pPr>
            <w:r>
              <w:t>gegevens over de uitvoering van het programma;</w:t>
            </w:r>
          </w:p>
          <w:p w:rsidR="00A52AA7" w:rsidRPr="00A52AA7" w:rsidP="00AE311C">
            <w:pPr>
              <w:pStyle w:val="ListParagraph"/>
              <w:keepNext/>
              <w:keepLines/>
              <w:widowControl w:val="0"/>
              <w:numPr>
                <w:ilvl w:val="0"/>
                <w:numId w:val="44"/>
              </w:numPr>
              <w:spacing w:before="60" w:after="60"/>
            </w:pPr>
            <w:r>
              <w:t>personeelsgegevens;</w:t>
            </w:r>
          </w:p>
          <w:p w:rsidR="00A52AA7" w:rsidRPr="00A52AA7" w:rsidP="00AE311C">
            <w:pPr>
              <w:pStyle w:val="ListParagraph"/>
              <w:keepNext/>
              <w:keepLines/>
              <w:widowControl w:val="0"/>
              <w:numPr>
                <w:ilvl w:val="0"/>
                <w:numId w:val="44"/>
              </w:numPr>
              <w:spacing w:before="60" w:after="60"/>
            </w:pPr>
            <w:r>
              <w:t>de procedurehandleiding van de uitvoerende agentschappen, recente evaluatieverslagen van de aan de uitvoerende agentschappen ter uitvoering gedelegeerde programma’s;</w:t>
            </w:r>
          </w:p>
          <w:p w:rsidR="00A52AA7" w:rsidP="00AE311C">
            <w:pPr>
              <w:pStyle w:val="ListParagraph"/>
              <w:keepNext/>
              <w:keepLines/>
              <w:widowControl w:val="0"/>
              <w:numPr>
                <w:ilvl w:val="0"/>
                <w:numId w:val="44"/>
              </w:numPr>
              <w:spacing w:before="60" w:after="60"/>
            </w:pPr>
            <w:r>
              <w:t>verslagen van de Europese Rekenkamer en de dienst Interne Audit van de Commissie;</w:t>
            </w:r>
          </w:p>
          <w:p w:rsidR="00A85B84" w:rsidRPr="00A52AA7" w:rsidP="00AE311C">
            <w:pPr>
              <w:pStyle w:val="ListParagraph"/>
              <w:keepNext/>
              <w:keepLines/>
              <w:widowControl w:val="0"/>
              <w:numPr>
                <w:ilvl w:val="0"/>
                <w:numId w:val="44"/>
              </w:numPr>
              <w:spacing w:before="60" w:after="60"/>
            </w:pPr>
            <w:r>
              <w:t xml:space="preserve">in het kader van deze evaluatie relevante informatie uit de Commissie haar </w:t>
            </w:r>
            <w:r>
              <w:fldChar w:fldCharType="begin"/>
            </w:r>
            <w:r>
              <w:instrText xml:space="preserve"> HYPERLINK "https://research-and-innovation.ec.europa.eu/implementation-dialogues/making-horizon-europe-work-smarter-dialogue-implementation-and-simplification-commissioner-ekaterina-2025-09-16_en?prefLang=nl" </w:instrText>
            </w:r>
            <w:r>
              <w:fldChar w:fldCharType="separate"/>
            </w:r>
            <w:r>
              <w:rPr>
                <w:rStyle w:val="Hyperlink"/>
              </w:rPr>
              <w:t>dialogen over uitvoering en vereenvoudiging</w:t>
            </w:r>
            <w:r>
              <w:fldChar w:fldCharType="end"/>
            </w:r>
            <w:r>
              <w:rPr>
                <w:rStyle w:val="FootnoteReference"/>
              </w:rPr>
              <w:footnoteReference w:id="3"/>
            </w:r>
            <w:r>
              <w:t>;</w:t>
            </w:r>
          </w:p>
          <w:p w:rsidR="00F62C4E" w:rsidRPr="00A52AA7" w:rsidP="00AE311C">
            <w:pPr>
              <w:pStyle w:val="ListParagraph"/>
              <w:keepNext/>
              <w:keepLines/>
              <w:widowControl w:val="0"/>
              <w:numPr>
                <w:ilvl w:val="0"/>
                <w:numId w:val="44"/>
              </w:numPr>
              <w:spacing w:before="60" w:after="60"/>
            </w:pPr>
            <w:r>
              <w:t xml:space="preserve">de kosten-batenanalyse van </w:t>
            </w:r>
            <w:r w:rsidRPr="00537654">
              <w:t>2021</w:t>
            </w:r>
            <w:r>
              <w:t>.</w:t>
            </w:r>
          </w:p>
          <w:p w:rsidR="001E0806" w:rsidRPr="00A668AD" w:rsidP="00A668AD">
            <w:pPr>
              <w:keepNext/>
              <w:keepLines/>
              <w:widowControl w:val="0"/>
              <w:spacing w:before="60" w:after="60"/>
            </w:pPr>
            <w:r>
              <w:t>Rekening houdend met de aard en het doel van deze evaluatie zal de externe contractant een empirisch onderbouwde evaluatie uitvoeren. Het verzamelen en analyseren van gegevens zal worden gebaseerd op de logica van triangulatie. De antwoorden op elk van de evaluatievragen zijn gebaseerd op verschillende informatiebronnen. De conclusies zullen met de belanghebbenden worden besproken om te zorgen voor een brede consensus over en inzicht in het evaluatieproces en de resultaten. De contractant zal een gemengde methode toepassen om het bewijsmateriaal gebaseerd op documentenonderzoek, deskresearch, interviews, enquêtes en de kwalitatieve kosten-batenanalyse te koppelen aan het kwantitatieve bewijsmateriaal (het kwantitatieve bewijsmateriaal zal gebaseerd zijn op administratieve en monitoringgegevens, enquêtes en de kwantitatieve kosten-batenanalyse).</w:t>
            </w:r>
          </w:p>
        </w:tc>
      </w:tr>
    </w:tbl>
    <w:p w:rsidR="001E0806" w:rsidRPr="002C6CE6" w:rsidP="004B1D74"/>
    <w:sectPr>
      <w:footerReference w:type="default" r:id="rId11"/>
      <w:headerReference w:type="first" r:id="rId12"/>
      <w:pgSz w:w="11906" w:h="16838"/>
      <w:pgMar w:top="1020" w:right="1701" w:bottom="1020" w:left="1587" w:header="601" w:footer="107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03AB">
    <w:pPr>
      <w:pStyle w:val="Footer"/>
      <w:jc w:val="center"/>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0608A" w:rsidP="002B4DCC">
      <w:pPr>
        <w:spacing w:after="0"/>
      </w:pPr>
      <w:r>
        <w:separator/>
      </w:r>
    </w:p>
  </w:footnote>
  <w:footnote w:type="continuationSeparator" w:id="1">
    <w:p w:rsidR="0020608A" w:rsidP="002B4DCC">
      <w:pPr>
        <w:spacing w:after="0"/>
      </w:pPr>
      <w:r>
        <w:continuationSeparator/>
      </w:r>
    </w:p>
  </w:footnote>
  <w:footnote w:type="continuationNotice" w:id="2">
    <w:p w:rsidR="0020608A">
      <w:pPr>
        <w:spacing w:after="0"/>
      </w:pPr>
    </w:p>
  </w:footnote>
  <w:footnote w:id="3">
    <w:p w:rsidR="00A85B84" w:rsidRPr="003C14A4" w:rsidP="00BA4891">
      <w:pPr>
        <w:pStyle w:val="FootnoteText"/>
        <w:ind w:left="0" w:firstLine="0"/>
      </w:pPr>
      <w:r>
        <w:rPr>
          <w:rStyle w:val="FootnoteReference"/>
        </w:rPr>
        <w:footnoteRef/>
      </w:r>
      <w:r>
        <w:t>https://commission.europa.eu/law/law-making-process/better-regulation/simplification-and-implementation/implementation-dialogues-</w:t>
      </w:r>
      <w:r w:rsidRPr="00537654">
        <w:t>0</w:t>
      </w:r>
      <w:r>
        <w:t>_en.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03AB" w:rsidP="004B1D74">
    <w:pPr>
      <w:pStyle w:val="Header"/>
      <w:spacing w:after="0"/>
      <w:jc w:val="center"/>
    </w:pPr>
    <w:r>
      <w:rPr>
        <w:rFonts w:ascii="Arial" w:hAnsi="Arial"/>
        <w:noProof/>
      </w:rPr>
      <w:drawing>
        <wp:inline distT="0" distB="0" distL="0" distR="0">
          <wp:extent cx="1908175" cy="508635"/>
          <wp:effectExtent l="0" t="0" r="0" b="5715"/>
          <wp:docPr id="4" name="Picture 4" descr="logo-ce-horizontal-nl-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e-horizontal-en-quadri-l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8175" cy="508635"/>
                  </a:xfrm>
                  <a:prstGeom prst="rect">
                    <a:avLst/>
                  </a:prstGeom>
                  <a:noFill/>
                  <a:ln>
                    <a:noFill/>
                  </a:ln>
                </pic:spPr>
              </pic:pic>
            </a:graphicData>
          </a:graphic>
        </wp:inline>
      </w:drawing>
    </w:r>
  </w:p>
  <w:p w:rsidR="004B1D74" w:rsidP="004B1D74">
    <w:pPr>
      <w:pStyle w:val="Heade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arning" style="width:12.5pt;height:12.5pt" o:bullet="t">
        <v:imagedata r:id="rId1" o:title="warning"/>
      </v:shape>
    </w:pict>
  </w:numPicBullet>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start w:val="1"/>
      <w:numFmt w:val="decimal"/>
      <w:lvlText w:val="%1."/>
      <w:lvlJc w:val="left"/>
      <w:pPr>
        <w:tabs>
          <w:tab w:val="num" w:pos="476"/>
        </w:tabs>
        <w:ind w:left="476" w:hanging="47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0D5E5F"/>
    <w:multiLevelType w:val="hybridMultilevel"/>
    <w:tmpl w:val="594C4F24"/>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EBA03CA"/>
    <w:multiLevelType w:val="hybridMultilevel"/>
    <w:tmpl w:val="177C34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7B469AF"/>
    <w:multiLevelType w:val="hybridMultilevel"/>
    <w:tmpl w:val="7E389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D5E2CC9"/>
    <w:multiLevelType w:val="hybridMultilevel"/>
    <w:tmpl w:val="D250EE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3C3D2A"/>
    <w:multiLevelType w:val="hybridMultilevel"/>
    <w:tmpl w:val="ECECCB5E"/>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color w:val="00B05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8">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9">
    <w:nsid w:val="4B483D5E"/>
    <w:multiLevelType w:val="hybridMultilevel"/>
    <w:tmpl w:val="55C27790"/>
    <w:lvl w:ilvl="0">
      <w:start w:val="1"/>
      <w:numFmt w:val="decimal"/>
      <w:pStyle w:val="IAToolChapterHeading"/>
      <w:lvlText w:val="Tool #%1."/>
      <w:lvlJc w:val="left"/>
      <w:pPr>
        <w:ind w:left="717" w:hanging="360"/>
      </w:pPr>
      <w:rPr>
        <w:rFonts w:hint="default"/>
        <w:b/>
        <w:i w:val="0"/>
        <w:cap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F083460"/>
    <w:multiLevelType w:val="hybridMultilevel"/>
    <w:tmpl w:val="23D043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51D76520"/>
    <w:multiLevelType w:val="hybridMultilevel"/>
    <w:tmpl w:val="A566C76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2">
    <w:nsid w:val="51F15440"/>
    <w:multiLevelType w:val="hybridMultilevel"/>
    <w:tmpl w:val="B7BE73E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3D26901"/>
    <w:multiLevelType w:val="multilevel"/>
    <w:tmpl w:val="15B2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5">
    <w:nsid w:val="5CC25719"/>
    <w:multiLevelType w:val="hybridMultilevel"/>
    <w:tmpl w:val="57443D1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6">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7">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8">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9">
    <w:nsid w:val="6737040F"/>
    <w:multiLevelType w:val="hybridMultilevel"/>
    <w:tmpl w:val="9A789372"/>
    <w:lvl w:ilvl="0">
      <w:start w:val="25"/>
      <w:numFmt w:val="bullet"/>
      <w:lvlText w:val="-"/>
      <w:lvlJc w:val="left"/>
      <w:pPr>
        <w:ind w:left="720" w:hanging="360"/>
      </w:pPr>
      <w:rPr>
        <w:rFonts w:ascii="Times New Roman" w:eastAsia="Times New Roman" w:hAnsi="Times New Roman" w:cs="Times New Roman" w:hint="default"/>
        <w:color w:val="003F5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8CA48DB"/>
    <w:multiLevelType w:val="hybridMultilevel"/>
    <w:tmpl w:val="99667A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B432AA0"/>
    <w:multiLevelType w:val="hybridMultilevel"/>
    <w:tmpl w:val="0652E4E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C41534E"/>
    <w:multiLevelType w:val="hybridMultilevel"/>
    <w:tmpl w:val="F8265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4">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29F09D4"/>
    <w:multiLevelType w:val="hybridMultilevel"/>
    <w:tmpl w:val="41B67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530130B"/>
    <w:multiLevelType w:val="hybridMultilevel"/>
    <w:tmpl w:val="D3CA85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6"/>
  </w:num>
  <w:num w:numId="4">
    <w:abstractNumId w:val="17"/>
  </w:num>
  <w:num w:numId="5">
    <w:abstractNumId w:val="9"/>
  </w:num>
  <w:num w:numId="6">
    <w:abstractNumId w:val="16"/>
  </w:num>
  <w:num w:numId="7">
    <w:abstractNumId w:val="28"/>
  </w:num>
  <w:num w:numId="8">
    <w:abstractNumId w:val="33"/>
  </w:num>
  <w:num w:numId="9">
    <w:abstractNumId w:val="13"/>
  </w:num>
  <w:num w:numId="10">
    <w:abstractNumId w:val="27"/>
  </w:num>
  <w:num w:numId="11">
    <w:abstractNumId w:val="26"/>
  </w:num>
  <w:num w:numId="12">
    <w:abstractNumId w:val="18"/>
  </w:num>
  <w:num w:numId="13">
    <w:abstractNumId w:val="24"/>
  </w:num>
  <w:num w:numId="14">
    <w:abstractNumId w:val="7"/>
  </w:num>
  <w:num w:numId="15">
    <w:abstractNumId w:val="14"/>
  </w:num>
  <w:num w:numId="16">
    <w:abstractNumId w:val="4"/>
  </w:num>
  <w:num w:numId="17">
    <w:abstractNumId w:val="10"/>
  </w:num>
  <w:num w:numId="18">
    <w:abstractNumId w:val="34"/>
  </w:num>
  <w:num w:numId="19">
    <w:abstractNumId w:val="11"/>
  </w:num>
  <w:num w:numId="20">
    <w:abstractNumId w:val="37"/>
  </w:num>
  <w:num w:numId="21">
    <w:abstractNumId w:val="2"/>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9"/>
  </w:num>
  <w:num w:numId="29">
    <w:abstractNumId w:val="6"/>
  </w:num>
  <w:num w:numId="30">
    <w:abstractNumId w:val="15"/>
  </w:num>
  <w:num w:numId="31">
    <w:abstractNumId w:val="12"/>
  </w:num>
  <w:num w:numId="32">
    <w:abstractNumId w:val="3"/>
  </w:num>
  <w:num w:numId="33">
    <w:abstractNumId w:val="36"/>
  </w:num>
  <w:num w:numId="34">
    <w:abstractNumId w:val="12"/>
  </w:num>
  <w:num w:numId="35">
    <w:abstractNumId w:val="8"/>
  </w:num>
  <w:num w:numId="36">
    <w:abstractNumId w:val="32"/>
  </w:num>
  <w:num w:numId="37">
    <w:abstractNumId w:val="30"/>
  </w:num>
  <w:num w:numId="38">
    <w:abstractNumId w:val="31"/>
  </w:num>
  <w:num w:numId="39">
    <w:abstractNumId w:val="22"/>
  </w:num>
  <w:num w:numId="40">
    <w:abstractNumId w:val="35"/>
  </w:num>
  <w:num w:numId="41">
    <w:abstractNumId w:val="20"/>
  </w:num>
  <w:num w:numId="42">
    <w:abstractNumId w:val="23"/>
  </w:num>
  <w:num w:numId="43">
    <w:abstractNumId w:val="29"/>
  </w:num>
  <w:num w:numId="44">
    <w:abstractNumId w:val="5"/>
  </w:num>
  <w:num w:numId="45">
    <w:abstractNumId w:val="25"/>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1E0806"/>
    <w:pPr>
      <w:spacing w:after="240"/>
      <w:jc w:val="both"/>
    </w:pPr>
    <w:rPr>
      <w:sz w:val="24"/>
      <w:lang w:eastAsia="en-US"/>
    </w:rPr>
  </w:style>
  <w:style w:type="paragraph" w:styleId="Heading1">
    <w:name w:val="heading 1"/>
    <w:basedOn w:val="Normal"/>
    <w:next w:val="Text1"/>
    <w:qFormat/>
    <w:rsid w:val="00661B0F"/>
    <w:pPr>
      <w:keepNext/>
      <w:numPr>
        <w:numId w:val="29"/>
      </w:numPr>
      <w:spacing w:before="240"/>
      <w:outlineLvl w:val="0"/>
    </w:pPr>
    <w:rPr>
      <w:b/>
      <w:smallCaps/>
    </w:rPr>
  </w:style>
  <w:style w:type="paragraph" w:styleId="Heading2">
    <w:name w:val="heading 2"/>
    <w:basedOn w:val="Normal"/>
    <w:next w:val="Text2"/>
    <w:qFormat/>
    <w:rsid w:val="00661B0F"/>
    <w:pPr>
      <w:keepNext/>
      <w:numPr>
        <w:ilvl w:val="1"/>
        <w:numId w:val="29"/>
      </w:numPr>
      <w:outlineLvl w:val="1"/>
    </w:pPr>
    <w:rPr>
      <w:b/>
    </w:rPr>
  </w:style>
  <w:style w:type="paragraph" w:styleId="Heading3">
    <w:name w:val="heading 3"/>
    <w:basedOn w:val="Normal"/>
    <w:next w:val="Text3"/>
    <w:qFormat/>
    <w:rsid w:val="00661B0F"/>
    <w:pPr>
      <w:keepNext/>
      <w:numPr>
        <w:ilvl w:val="2"/>
        <w:numId w:val="29"/>
      </w:numPr>
      <w:outlineLvl w:val="2"/>
    </w:pPr>
    <w:rPr>
      <w:i/>
    </w:rPr>
  </w:style>
  <w:style w:type="paragraph" w:styleId="Heading4">
    <w:name w:val="heading 4"/>
    <w:basedOn w:val="Normal"/>
    <w:next w:val="Text4"/>
    <w:qFormat/>
    <w:rsid w:val="00661B0F"/>
    <w:pPr>
      <w:keepNext/>
      <w:numPr>
        <w:ilvl w:val="3"/>
        <w:numId w:val="29"/>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basedOn w:val="Normal"/>
    <w:link w:val="FootnoteTextChar"/>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customStyle="1"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paragraph" w:customStyle="1" w:styleId="IAToolChapterHeading">
    <w:name w:val="IA Tool Chapter Heading"/>
    <w:basedOn w:val="Normal"/>
    <w:next w:val="Normal"/>
    <w:qFormat/>
    <w:rsid w:val="00085CA5"/>
    <w:pPr>
      <w:numPr>
        <w:numId w:val="28"/>
      </w:numPr>
      <w:tabs>
        <w:tab w:val="left" w:pos="391"/>
      </w:tabs>
    </w:pPr>
    <w:rPr>
      <w:rFonts w:ascii="Times New Roman Bold" w:hAnsi="Times New Roman Bold"/>
      <w:b/>
      <w:smallCaps/>
      <w:color w:val="548DD4"/>
      <w:sz w:val="28"/>
      <w:szCs w:val="28"/>
    </w:rPr>
  </w:style>
  <w:style w:type="character" w:customStyle="1" w:styleId="FooterChar">
    <w:name w:val="Footer Char"/>
    <w:basedOn w:val="DefaultParagraphFont"/>
    <w:link w:val="Footer"/>
    <w:rsid w:val="001E0806"/>
    <w:rPr>
      <w:rFonts w:ascii="Arial" w:hAnsi="Arial"/>
      <w:sz w:val="16"/>
      <w:lang w:eastAsia="en-US"/>
    </w:rPr>
  </w:style>
  <w:style w:type="character" w:customStyle="1" w:styleId="HeaderChar">
    <w:name w:val="Header Char"/>
    <w:basedOn w:val="DefaultParagraphFont"/>
    <w:link w:val="Header"/>
    <w:uiPriority w:val="99"/>
    <w:rsid w:val="001E0806"/>
    <w:rPr>
      <w:sz w:val="24"/>
      <w:lang w:eastAsia="en-US"/>
    </w:rPr>
  </w:style>
  <w:style w:type="character" w:styleId="PageNumber">
    <w:name w:val="page number"/>
    <w:rsid w:val="001E0806"/>
  </w:style>
  <w:style w:type="paragraph" w:styleId="BalloonText">
    <w:name w:val="Balloon Text"/>
    <w:basedOn w:val="Normal"/>
    <w:link w:val="BalloonTextChar"/>
    <w:uiPriority w:val="99"/>
    <w:semiHidden/>
    <w:unhideWhenUsed/>
    <w:rsid w:val="001E080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806"/>
    <w:rPr>
      <w:rFonts w:ascii="Tahoma" w:hAnsi="Tahoma" w:cs="Tahoma"/>
      <w:sz w:val="16"/>
      <w:szCs w:val="16"/>
      <w:lang w:eastAsia="en-US"/>
    </w:rPr>
  </w:style>
  <w:style w:type="character" w:styleId="Hyperlink">
    <w:name w:val="Hyperlink"/>
    <w:basedOn w:val="DefaultParagraphFont"/>
    <w:uiPriority w:val="99"/>
    <w:unhideWhenUsed/>
    <w:rsid w:val="00E02927"/>
    <w:rPr>
      <w:color w:val="0000FF" w:themeColor="hyperlink"/>
      <w:u w:val="single"/>
    </w:rPr>
  </w:style>
  <w:style w:type="character" w:styleId="CommentReference">
    <w:name w:val="annotation reference"/>
    <w:basedOn w:val="DefaultParagraphFont"/>
    <w:uiPriority w:val="99"/>
    <w:semiHidden/>
    <w:unhideWhenUsed/>
    <w:rsid w:val="00315ECF"/>
    <w:rPr>
      <w:sz w:val="16"/>
      <w:szCs w:val="16"/>
    </w:rPr>
  </w:style>
  <w:style w:type="paragraph" w:styleId="CommentSubject">
    <w:name w:val="annotation subject"/>
    <w:basedOn w:val="CommentText"/>
    <w:next w:val="CommentText"/>
    <w:link w:val="CommentSubjectChar"/>
    <w:uiPriority w:val="99"/>
    <w:semiHidden/>
    <w:unhideWhenUsed/>
    <w:rsid w:val="00315ECF"/>
    <w:rPr>
      <w:b/>
      <w:bCs/>
    </w:rPr>
  </w:style>
  <w:style w:type="character" w:customStyle="1" w:styleId="CommentTextChar">
    <w:name w:val="Comment Text Char"/>
    <w:basedOn w:val="DefaultParagraphFont"/>
    <w:link w:val="CommentText"/>
    <w:semiHidden/>
    <w:rsid w:val="00315ECF"/>
    <w:rPr>
      <w:lang w:eastAsia="en-US"/>
    </w:rPr>
  </w:style>
  <w:style w:type="character" w:customStyle="1" w:styleId="CommentSubjectChar">
    <w:name w:val="Comment Subject Char"/>
    <w:basedOn w:val="CommentTextChar"/>
    <w:link w:val="CommentSubject"/>
    <w:uiPriority w:val="99"/>
    <w:semiHidden/>
    <w:rsid w:val="00315ECF"/>
    <w:rPr>
      <w:b/>
      <w:bCs/>
      <w:lang w:eastAsia="en-US"/>
    </w:rPr>
  </w:style>
  <w:style w:type="paragraph" w:styleId="ListParagraph">
    <w:name w:val="List Paragraph"/>
    <w:basedOn w:val="Normal"/>
    <w:uiPriority w:val="34"/>
    <w:qFormat/>
    <w:rsid w:val="00453C9C"/>
    <w:pPr>
      <w:spacing w:after="0"/>
      <w:ind w:left="720"/>
      <w:contextualSpacing/>
      <w:jc w:val="left"/>
    </w:pPr>
    <w:rPr>
      <w:szCs w:val="24"/>
      <w:lang w:eastAsia="en-GB"/>
    </w:rPr>
  </w:style>
  <w:style w:type="paragraph" w:styleId="Revision">
    <w:name w:val="Revision"/>
    <w:hidden/>
    <w:uiPriority w:val="99"/>
    <w:semiHidden/>
    <w:rsid w:val="00CD3AB9"/>
    <w:rPr>
      <w:sz w:val="24"/>
      <w:lang w:eastAsia="en-US"/>
    </w:rPr>
  </w:style>
  <w:style w:type="character" w:customStyle="1" w:styleId="UnresolvedMention">
    <w:name w:val="Unresolved Mention"/>
    <w:basedOn w:val="DefaultParagraphFont"/>
    <w:uiPriority w:val="99"/>
    <w:semiHidden/>
    <w:unhideWhenUsed/>
    <w:rsid w:val="00184F61"/>
    <w:rPr>
      <w:color w:val="605E5C"/>
      <w:shd w:val="clear" w:color="auto" w:fill="E1DFDD"/>
    </w:rPr>
  </w:style>
  <w:style w:type="character" w:styleId="FootnoteReference">
    <w:name w:val="footnote reference"/>
    <w:basedOn w:val="DefaultParagraphFont"/>
    <w:uiPriority w:val="99"/>
    <w:semiHidden/>
    <w:unhideWhenUsed/>
    <w:rsid w:val="00791753"/>
    <w:rPr>
      <w:vertAlign w:val="superscript"/>
    </w:rPr>
  </w:style>
  <w:style w:type="character" w:customStyle="1" w:styleId="FootnoteTextChar">
    <w:name w:val="Footnote Text Char"/>
    <w:basedOn w:val="DefaultParagraphFont"/>
    <w:link w:val="FootnoteText"/>
    <w:semiHidden/>
    <w:rsid w:val="00791753"/>
    <w:rPr>
      <w:lang w:eastAsia="en-US"/>
    </w:rPr>
  </w:style>
  <w:style w:type="character" w:styleId="FollowedHyperlink">
    <w:name w:val="FollowedHyperlink"/>
    <w:basedOn w:val="DefaultParagraphFont"/>
    <w:uiPriority w:val="99"/>
    <w:semiHidden/>
    <w:unhideWhenUsed/>
    <w:rsid w:val="0059018F"/>
    <w:rPr>
      <w:color w:val="800080" w:themeColor="followedHyperlink"/>
      <w:u w:val="single"/>
    </w:rPr>
  </w:style>
  <w:style w:type="character" w:styleId="Strong">
    <w:name w:val="Strong"/>
    <w:basedOn w:val="DefaultParagraphFont"/>
    <w:uiPriority w:val="22"/>
    <w:qFormat/>
    <w:rsid w:val="00DC67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numbering.xml.rels>&#65279;<?xml version="1.0" encoding="utf-8" standalone="yes"?><Relationships xmlns="http://schemas.openxmlformats.org/package/2006/relationships"><Relationship Id="rId1" Type="http://schemas.openxmlformats.org/officeDocument/2006/relationships/image" Target="media/image2.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20(x86)\DIaLOGIKa\Eurolook\Templates\Eurolook.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Author Role="Creator">
  <Id>446c8849-f8d6-46e8-b930-aa675ea7fff3</Id>
  <Names>
    <Latin>
      <FirstName>Jesus</FirstName>
      <LastName>SANCHEZ MERINO</LastName>
    </Latin>
    <Greek>
      <FirstName/>
      <LastName/>
    </Greek>
    <Cyrillic>
      <FirstName/>
      <LastName/>
    </Cyrillic>
    <DocumentScript>
      <FirstName>Jesus</FirstName>
      <LastName>SANCHEZ MERINO</LastName>
      <FullName>Jesus SANCHEZ MERINO</FullName>
    </DocumentScript>
  </Names>
  <Initials>JSM</Initials>
  <Gender>m</Gender>
  <Email>Jesus.Sanchez-Merino@ec.europa.eu</Email>
  <Service>SG.B.4</Service>
  <Function ShowInSignature="true"/>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Id>226d3ed1-ce15-488c-9606-fb4a6a782851</Id>
    <LogicalLevel>2</LogicalLevel>
    <Name>SG.B</Name>
    <HeadLine1>Directorate B - Decision-making &amp; Collegiality</HeadLine1>
    <HeadLine2/>
    <PrimaryAddressId>f03b5801-04c9-4931-aa17-c6d6c70bc579</PrimaryAddressId>
    <SecondaryAddressId/>
    <WebAddress/>
    <InheritedWebAddress>WebAddress</InheritedWebAddress>
    <ShowInHeader>true</ShowInHeader>
  </OrgaEntity2>
  <OrgaEntity3>
    <Id>a9c119bf-67eb-460c-976f-01375d32d078</Id>
    <LogicalLevel>3</LogicalLevel>
    <Name>SG.B.4</Name>
    <HeadLine1>SG.B.4-Working methods &amp; Decision-making Process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+32 229 94189</Phone>
    <Office>BERL 05/096</Office>
  </MainWorkplace>
  <Workplaces>
    <Workplace IsMain="false">
      <AddressId>1264fb81-f6bb-475e-9f9d-a937d3be6ee2</AddressId>
      <Fax/>
      <Phone/>
      <Office/>
    </Workplace>
    <Workplace IsMain="true">
      <AddressId>f03b5801-04c9-4931-aa17-c6d6c70bc579</AddressId>
      <Fax/>
      <Phone>+32 229 94189</Phone>
      <Office>BERL 05/096</Office>
    </Workplace>
  </Workplaces>
</Author>
</file>

<file path=customXml/item2.xml><?xml version="1.0" encoding="utf-8"?>
<Texts>
  <SecurityPersonalData>Personal data</SecurityPersonalData>
  <SecurityLimitedDG>Limited</SecurityLimitedDG>
  <SecurityPharma>Pharma investigations</SecurityPharma>
  <LabelPictureSeq>Picture {SEQ Picture \* ARABIC } – </LabelPictureSeq>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LabelSource>Source</LabelSource>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Texts>
</file>

<file path=customXml/item3.xml><?xml version="1.0" encoding="utf-8"?>
<EurolookProperties>
  <ProductCustomizationId/>
  <Created>
    <Version>4.6</Version>
    <Date>2019-02-18T10:10:12</Date>
    <Language>EN</Language>
    <Note/>
  </Created>
  <Edited>
    <Version>10.0.42447.0</Version>
    <Date>2021-10-05T12:55:22</Date>
  </Edited>
  <DocumentModel>
    <Id>6cbda13a-4db2-46c6-876a-ef72275827ef</Id>
    <Name>Report</Name>
  </DocumentModel>
  <DocumentDate/>
  <DocumentVersion/>
  <CompatibilityMode>Eurolook4X</CompatibilityMode>
</Eurolook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2B4C6182A0644A8BC0D13967793BAB" ma:contentTypeVersion="13" ma:contentTypeDescription="Create a new document." ma:contentTypeScope="" ma:versionID="6fdd551db4e81757510e1dd0152b7235">
  <xsd:schema xmlns:xsd="http://www.w3.org/2001/XMLSchema" xmlns:xs="http://www.w3.org/2001/XMLSchema" xmlns:p="http://schemas.microsoft.com/office/2006/metadata/properties" xmlns:ns1="http://schemas.microsoft.com/sharepoint/v3" xmlns:ns2="934f32aa-5bac-4ff4-ac34-7ce303c411e2" targetNamespace="http://schemas.microsoft.com/office/2006/metadata/properties" ma:root="true" ma:fieldsID="6cf0839449cc6354f2526d6386577744" ns1:_="" ns2:_="">
    <xsd:import namespace="http://schemas.microsoft.com/sharepoint/v3"/>
    <xsd:import namespace="934f32aa-5bac-4ff4-ac34-7ce303c411e2"/>
    <xsd:element name="properties">
      <xsd:complexType>
        <xsd:sequence>
          <xsd:element name="documentManagement">
            <xsd:complexType>
              <xsd:all>
                <xsd:element ref="ns1:_vti_ItemDeclaredRecord" minOccurs="0"/>
                <xsd:element ref="ns2:MediaServiceMetadata" minOccurs="0"/>
                <xsd:element ref="ns2:MediaServiceFastMetadata" minOccurs="0"/>
                <xsd:element ref="ns2:MediaServiceSearchProperties" minOccurs="0"/>
                <xsd:element ref="ns2:MediaServiceObjectDetectorVersions" minOccurs="0"/>
                <xsd:element ref="ns2:Custompermis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8"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34f32aa-5bac-4ff4-ac34-7ce303c411e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Custompermissions" ma:index="13" nillable="true" ma:displayName="Custom permissions" ma:format="Dropdown" ma:internalName="Custompermissions">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934f32aa-5bac-4ff4-ac34-7ce303c411e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Custompermissions xmlns="934f32aa-5bac-4ff4-ac34-7ce303c411e2" xsi:nil="true"/>
  </documentManagement>
</p:properties>
</file>

<file path=customXml/itemProps1.xml><?xml version="1.0" encoding="utf-8"?>
<ds:datastoreItem xmlns:ds="http://schemas.openxmlformats.org/officeDocument/2006/customXml" ds:itemID="{93236D38-6E39-4620-8982-A44FCB0D78BC}">
  <ds:schemaRefs/>
</ds:datastoreItem>
</file>

<file path=customXml/itemProps2.xml><?xml version="1.0" encoding="utf-8"?>
<ds:datastoreItem xmlns:ds="http://schemas.openxmlformats.org/officeDocument/2006/customXml" ds:itemID="{92931C26-4BB6-4C23-AC93-3863D42726BD}">
  <ds:schemaRefs/>
</ds:datastoreItem>
</file>

<file path=customXml/itemProps3.xml><?xml version="1.0" encoding="utf-8"?>
<ds:datastoreItem xmlns:ds="http://schemas.openxmlformats.org/officeDocument/2006/customXml" ds:itemID="{69ED0C79-D88A-4206-B956-F350406CB40A}">
  <ds:schemaRefs/>
</ds:datastoreItem>
</file>

<file path=customXml/itemProps4.xml><?xml version="1.0" encoding="utf-8"?>
<ds:datastoreItem xmlns:ds="http://schemas.openxmlformats.org/officeDocument/2006/customXml" ds:itemID="{0105FB9B-162B-458B-8F67-8C8A1015C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4f32aa-5bac-4ff4-ac34-7ce303c41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5A2BA7-2CAB-4C91-B3A5-D8764D4A1DA4}">
  <ds:schemaRefs>
    <ds:schemaRef ds:uri="http://schemas.microsoft.com/sharepoint/v3/contenttype/forms"/>
  </ds:schemaRefs>
</ds:datastoreItem>
</file>

<file path=customXml/itemProps6.xml><?xml version="1.0" encoding="utf-8"?>
<ds:datastoreItem xmlns:ds="http://schemas.openxmlformats.org/officeDocument/2006/customXml" ds:itemID="{92152C55-C3B5-4FC1-B037-33CCB35DA02F}">
  <ds:schemaRefs>
    <ds:schemaRef ds:uri="http://schemas.microsoft.com/office/2006/metadata/properties"/>
    <ds:schemaRef ds:uri="http://schemas.microsoft.com/office/infopath/2007/PartnerControls"/>
    <ds:schemaRef ds:uri="934f32aa-5bac-4ff4-ac34-7ce303c411e2"/>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