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4C0D1" w14:textId="670CA24B" w:rsidR="0064029C" w:rsidRDefault="00D835D0" w:rsidP="00D835D0">
      <w:pPr>
        <w:pStyle w:val="Pagedecouverture"/>
        <w:rPr>
          <w:noProof/>
        </w:rPr>
      </w:pPr>
      <w:bookmarkStart w:id="0" w:name="LW_BM_COVERPAGE"/>
      <w:r>
        <w:rPr>
          <w:noProof/>
        </w:rPr>
        <w:pict w14:anchorId="5EDBE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89CF1DF-2D2D-4ABA-92B0-365EA042CAE1" style="width:455.25pt;height:355.5pt">
            <v:imagedata r:id="rId11" o:title=""/>
          </v:shape>
        </w:pict>
      </w:r>
    </w:p>
    <w:bookmarkEnd w:id="0"/>
    <w:p w14:paraId="20E5C208" w14:textId="77777777" w:rsidR="0064029C" w:rsidRDefault="0064029C">
      <w:pPr>
        <w:rPr>
          <w:rFonts w:ascii="Times New Roman" w:hAnsi="Times New Roman" w:cs="Times New Roman"/>
          <w:noProof/>
          <w:sz w:val="24"/>
          <w:szCs w:val="24"/>
        </w:rPr>
        <w:sectPr w:rsidR="0064029C" w:rsidSect="00D835D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B5A5D59" w14:textId="74BBEE14" w:rsidR="005A7BE4" w:rsidRPr="005A7BE4" w:rsidRDefault="005A7BE4" w:rsidP="005A7BE4">
      <w:pPr>
        <w:pStyle w:val="Typedudocument"/>
        <w:rPr>
          <w:noProof/>
        </w:rPr>
      </w:pPr>
      <w:bookmarkStart w:id="1" w:name="_GoBack"/>
      <w:bookmarkEnd w:id="1"/>
      <w:r w:rsidRPr="005A7BE4">
        <w:rPr>
          <w:noProof/>
        </w:rPr>
        <w:lastRenderedPageBreak/>
        <w:t>VERSLAG VAN DE COMMISSIE AAN HET EUROPEES PARLEMENT EN DE RAAD</w:t>
      </w:r>
    </w:p>
    <w:p w14:paraId="721BC0C9" w14:textId="35C3955E" w:rsidR="005A7BE4" w:rsidRPr="005A7BE4" w:rsidRDefault="005A7BE4" w:rsidP="005A7BE4">
      <w:pPr>
        <w:pStyle w:val="Titreobjet"/>
        <w:rPr>
          <w:noProof/>
        </w:rPr>
      </w:pPr>
      <w:r w:rsidRPr="005A7BE4">
        <w:rPr>
          <w:noProof/>
        </w:rPr>
        <w:t>over de uitoefening van de bevoegdheid om gedelegeerde handelingen vast te stellen die aan de Commissie is toegekend krachtens Verordening (EU) 2017/625 van het Europees Parlement en de Raad betreffende officiële controles en andere officiële activiteiten die worden uitgevoerd om de toepassing van de levensmiddelen- en diervoederwetgeving en van de voorschriften inzake diergezondheid, dierenwelzijn, plantgezondheid en gewasbeschermingsmiddelen te waarborgen (“verordening officiële controles”)</w:t>
      </w:r>
    </w:p>
    <w:p w14:paraId="705D757C" w14:textId="7FAEDB30" w:rsidR="0064029C" w:rsidRPr="001C28B2" w:rsidRDefault="008A126D">
      <w:pPr>
        <w:pStyle w:val="ManualHeading1"/>
        <w:rPr>
          <w:noProof/>
        </w:rPr>
      </w:pPr>
      <w:r>
        <w:rPr>
          <w:noProof/>
        </w:rPr>
        <w:t>INLEIDING</w:t>
      </w:r>
    </w:p>
    <w:p w14:paraId="51FF9619" w14:textId="250B153A" w:rsidR="0064029C" w:rsidRPr="001C28B2" w:rsidRDefault="008A126D">
      <w:pPr>
        <w:spacing w:after="240" w:line="240" w:lineRule="auto"/>
        <w:jc w:val="both"/>
        <w:rPr>
          <w:rFonts w:ascii="Times New Roman" w:hAnsi="Times New Roman" w:cs="Times New Roman"/>
          <w:noProof/>
          <w:sz w:val="24"/>
          <w:szCs w:val="24"/>
        </w:rPr>
      </w:pPr>
      <w:r>
        <w:rPr>
          <w:rFonts w:ascii="Times New Roman" w:hAnsi="Times New Roman"/>
          <w:noProof/>
          <w:sz w:val="24"/>
        </w:rPr>
        <w:t>Verordening (EU) 2017/625</w:t>
      </w:r>
      <w:r>
        <w:rPr>
          <w:rFonts w:ascii="Times New Roman" w:hAnsi="Times New Roman" w:cs="Times New Roman"/>
          <w:noProof/>
          <w:sz w:val="24"/>
          <w:szCs w:val="24"/>
          <w:vertAlign w:val="superscript"/>
          <w:lang w:eastAsia="en-GB"/>
        </w:rPr>
        <w:footnoteReference w:id="1"/>
      </w:r>
      <w:r>
        <w:rPr>
          <w:rFonts w:ascii="Times New Roman" w:hAnsi="Times New Roman"/>
          <w:noProof/>
          <w:sz w:val="24"/>
        </w:rPr>
        <w:t xml:space="preserve"> is de basishandeling betreffende de uitvoering van officiële controles op de naleving van de agro-voedselketenvoorschriften van de EU, ook wanneer die voorschriften van toepassing zijn op dieren en goederen die de EU vanuit derde landen binnenkomen. Deze verleent de Commissie de bevoegdheid om gedelegeerde handelingen vast te stellen. </w:t>
      </w:r>
    </w:p>
    <w:p w14:paraId="62D09D50" w14:textId="77777777" w:rsidR="0064029C" w:rsidRPr="001C28B2" w:rsidRDefault="008A126D">
      <w:pPr>
        <w:pStyle w:val="ManualHeading1"/>
        <w:rPr>
          <w:noProof/>
        </w:rPr>
      </w:pPr>
      <w:r>
        <w:rPr>
          <w:noProof/>
        </w:rPr>
        <w:t>RECHTSGRONDSLAG</w:t>
      </w:r>
    </w:p>
    <w:p w14:paraId="667B35EB" w14:textId="122C6CE8" w:rsidR="00CD31FE" w:rsidRPr="001C28B2" w:rsidRDefault="00217A9F">
      <w:pPr>
        <w:spacing w:after="240" w:line="240" w:lineRule="auto"/>
        <w:jc w:val="both"/>
        <w:rPr>
          <w:rFonts w:ascii="Times New Roman" w:hAnsi="Times New Roman" w:cs="Times New Roman"/>
          <w:noProof/>
          <w:sz w:val="24"/>
          <w:szCs w:val="24"/>
        </w:rPr>
      </w:pPr>
      <w:r>
        <w:rPr>
          <w:rFonts w:ascii="Times New Roman" w:hAnsi="Times New Roman"/>
          <w:noProof/>
          <w:sz w:val="24"/>
        </w:rPr>
        <w:t>Dit verslag moet worden opgesteld op grond van artikel 144, lid 2, van Verordening (EU) 2017/625, waarin wordt bepaald dat de bevoegdheid om gedelegeerde handelingen vast te stellen aan de Commissie wordt toegekend voor een termijn van vijf jaar met ingang van 28 april 2017. De bevoegdheidsdelegatie wordt stilzwijgend met termijnen van vijf jaar verlengd, tenzij het Europees Parlement of de Raad zich uiterlijk drie maanden voor het einde van elke termijn tegen deze verlenging verzet. De Commissie moet uiterlijk negen maanden voor het einde van elke termijn van vijf jaar een verslag opstellen over de bevoegdheidsdelegatie. Op 9 juli 2021 heeft zij haar eerste verslag ingediend</w:t>
      </w:r>
      <w:r>
        <w:rPr>
          <w:rStyle w:val="FootnoteReference"/>
          <w:rFonts w:ascii="Times New Roman" w:hAnsi="Times New Roman"/>
          <w:noProof/>
          <w:sz w:val="24"/>
          <w:szCs w:val="24"/>
          <w:lang w:eastAsia="en-GB"/>
        </w:rPr>
        <w:footnoteReference w:id="2"/>
      </w:r>
      <w:r>
        <w:rPr>
          <w:rFonts w:ascii="Times New Roman" w:hAnsi="Times New Roman"/>
          <w:noProof/>
          <w:sz w:val="24"/>
        </w:rPr>
        <w:t xml:space="preserve">. </w:t>
      </w:r>
    </w:p>
    <w:p w14:paraId="7A667F0E" w14:textId="393CFDA2" w:rsidR="0064029C" w:rsidRPr="004F7CF3" w:rsidRDefault="008A126D" w:rsidP="004F7CF3">
      <w:pPr>
        <w:pStyle w:val="ManualHeading1"/>
        <w:jc w:val="both"/>
        <w:rPr>
          <w:noProof/>
        </w:rPr>
      </w:pPr>
      <w:r>
        <w:rPr>
          <w:noProof/>
        </w:rPr>
        <w:t>UITOEFENING VAN DE BEVOEGDHEIDSDELEGATIE</w:t>
      </w:r>
    </w:p>
    <w:p w14:paraId="492537DE" w14:textId="4D7FBEE4" w:rsidR="0064029C" w:rsidRPr="001C28B2" w:rsidRDefault="008A126D" w:rsidP="002F11D0">
      <w:pPr>
        <w:pStyle w:val="ManualHeading2"/>
        <w:ind w:left="993" w:hanging="567"/>
        <w:rPr>
          <w:noProof/>
        </w:rPr>
      </w:pPr>
      <w:r>
        <w:rPr>
          <w:noProof/>
        </w:rPr>
        <w:t>3.1.</w:t>
      </w:r>
      <w:r>
        <w:rPr>
          <w:noProof/>
        </w:rPr>
        <w:tab/>
        <w:t>TIJDENS DE VERSLAGPERIODE GEBRUIKTE BEVOEGDHEDEN</w:t>
      </w:r>
    </w:p>
    <w:p w14:paraId="33DD1C30" w14:textId="23B1F980" w:rsidR="0064029C" w:rsidRPr="001C28B2" w:rsidRDefault="008A126D" w:rsidP="00A00E75">
      <w:pPr>
        <w:spacing w:after="240" w:line="240" w:lineRule="auto"/>
        <w:jc w:val="both"/>
        <w:rPr>
          <w:rFonts w:ascii="Times New Roman" w:hAnsi="Times New Roman" w:cs="Times New Roman"/>
          <w:noProof/>
          <w:sz w:val="24"/>
          <w:szCs w:val="24"/>
        </w:rPr>
      </w:pPr>
      <w:r>
        <w:rPr>
          <w:rFonts w:ascii="Times New Roman" w:hAnsi="Times New Roman"/>
          <w:noProof/>
          <w:sz w:val="24"/>
        </w:rPr>
        <w:t>Tijdens de verslagperiode</w:t>
      </w:r>
      <w:r>
        <w:rPr>
          <w:rStyle w:val="FootnoteReference"/>
          <w:rFonts w:ascii="Times New Roman" w:hAnsi="Times New Roman"/>
          <w:noProof/>
          <w:sz w:val="24"/>
          <w:szCs w:val="24"/>
          <w:lang w:eastAsia="en-GB"/>
        </w:rPr>
        <w:footnoteReference w:id="3"/>
      </w:r>
      <w:r>
        <w:rPr>
          <w:rFonts w:ascii="Times New Roman" w:hAnsi="Times New Roman"/>
          <w:noProof/>
          <w:sz w:val="24"/>
        </w:rPr>
        <w:t xml:space="preserve"> heeft de Commissie haar gedelegeerde bevoegdheden uitgeoefend door de volgende gedelegeerde handelingen vast te stellen</w:t>
      </w:r>
      <w:r>
        <w:rPr>
          <w:rStyle w:val="FootnoteReference"/>
          <w:rFonts w:ascii="Times New Roman" w:hAnsi="Times New Roman"/>
          <w:noProof/>
          <w:sz w:val="24"/>
          <w:szCs w:val="24"/>
          <w:lang w:eastAsia="en-GB"/>
        </w:rPr>
        <w:footnoteReference w:id="4"/>
      </w:r>
      <w:r>
        <w:rPr>
          <w:rFonts w:ascii="Times New Roman" w:hAnsi="Times New Roman"/>
          <w:noProof/>
          <w:sz w:val="24"/>
        </w:rPr>
        <w:t>:</w:t>
      </w:r>
    </w:p>
    <w:p w14:paraId="6F1AEB88" w14:textId="073941AD" w:rsidR="003F228C" w:rsidRPr="001C28B2" w:rsidRDefault="003F228C" w:rsidP="00A00E75">
      <w:pPr>
        <w:pStyle w:val="Bullet0"/>
        <w:rPr>
          <w:noProof/>
        </w:rPr>
      </w:pPr>
      <w:r>
        <w:rPr>
          <w:noProof/>
        </w:rPr>
        <w:t>Gedelegeerde Verordening (EU) 2021/2156 van de Commissie van 17 september 2021 tot aanvulling van Verordening (EU) 2017/625 van het Europees Parlement en de Raad door de oprichting van het referentielaboratorium van de Europese Unie voor riftdalkoorts</w:t>
      </w:r>
      <w:r>
        <w:rPr>
          <w:rStyle w:val="FootnoteReference"/>
          <w:noProof/>
        </w:rPr>
        <w:footnoteReference w:id="5"/>
      </w:r>
      <w:r>
        <w:rPr>
          <w:noProof/>
        </w:rPr>
        <w:t>, die op 27 december 2021 in werking is getreden en op dezelfde datum van toepassing is geworden.</w:t>
      </w:r>
    </w:p>
    <w:p w14:paraId="41699350" w14:textId="57D7AA9F" w:rsidR="00012FF7" w:rsidRDefault="00012FF7" w:rsidP="00A00E75">
      <w:pPr>
        <w:pStyle w:val="Bullet0"/>
        <w:rPr>
          <w:noProof/>
        </w:rPr>
      </w:pPr>
      <w:r>
        <w:rPr>
          <w:noProof/>
        </w:rPr>
        <w:t>Gedelegeerde Verordening (EU) 2021/2089 van de Commissie van 21 september 2021 tot wijziging van Gedelegeerde Verordening (EU) 2019/2122 wat betreft bepaalde categorieën goederen met een laag risico, goederen die deel uitmaken van de persoonlijke bagage van passagiers en gezelschapsdieren die van officiële controles aan grenscontroleposten zijn vrijgesteld, en tot wijziging van die gedelegeerde verordening en Gedelegeerde Verordening (EU) 2019/2074 wat betreft verwijzingen naar bepaalde ingetrokken wetgeving</w:t>
      </w:r>
      <w:r>
        <w:rPr>
          <w:rStyle w:val="FootnoteReference"/>
          <w:noProof/>
        </w:rPr>
        <w:footnoteReference w:id="6"/>
      </w:r>
      <w:r>
        <w:rPr>
          <w:noProof/>
        </w:rPr>
        <w:t>, die op 20 december 2021 in werking is getreden en op dezelfde datum van toepassing is geworden.</w:t>
      </w:r>
    </w:p>
    <w:p w14:paraId="1E12A0FD" w14:textId="485941A4" w:rsidR="00DA4B2F" w:rsidRPr="001C28B2" w:rsidRDefault="00DA4B2F" w:rsidP="00A00E75">
      <w:pPr>
        <w:pStyle w:val="Bullet0"/>
        <w:rPr>
          <w:noProof/>
        </w:rPr>
      </w:pPr>
      <w:r>
        <w:rPr>
          <w:noProof/>
        </w:rPr>
        <w:t>Gedelegeerde Verordening (EU) 2021/2244 van de Commissie van 7 oktober 2021 tot aanvulling van Verordening (EU) 2017/625 van het Europees Parlement en de Raad met specifieke voorschriften inzake officiële controles met betrekking tot bemonsteringsprocedures voor bestrijdingsmiddelenresiduen in levensmiddelen en diervoeders</w:t>
      </w:r>
      <w:r>
        <w:rPr>
          <w:rStyle w:val="FootnoteReference"/>
          <w:noProof/>
        </w:rPr>
        <w:footnoteReference w:id="7"/>
      </w:r>
      <w:r>
        <w:rPr>
          <w:noProof/>
        </w:rPr>
        <w:t>, die op 6 januari 2022 in werking is getreden en op 15 december 2022 van toepassing is geworden.</w:t>
      </w:r>
    </w:p>
    <w:p w14:paraId="6150E76E" w14:textId="11074F38" w:rsidR="00817AA7" w:rsidRDefault="00B42A0F" w:rsidP="00A00E75">
      <w:pPr>
        <w:pStyle w:val="Bullet0"/>
        <w:rPr>
          <w:noProof/>
        </w:rPr>
      </w:pPr>
      <w:r>
        <w:rPr>
          <w:noProof/>
        </w:rPr>
        <w:t>Gedelegeerde Verordening (EU) 2021/2305 van de Commissie van 21 oktober 2021 tot aanvulling van Verordening (EU) 2017/625 van het Europees Parlement en de Raad met regels inzake de gevallen waarin en de voorwaarden waaronder biologische producten en omschakelingsproducten zijn vrijgesteld van officiële controles aan grenscontroleposten en inzake de plaats van officiële controles voor dergelijke producten, en tot wijziging van de Gedelegeerde Verordeningen (EU) 2019/2123 en (EU) 2019/2124 van de Commissie</w:t>
      </w:r>
      <w:r>
        <w:rPr>
          <w:rStyle w:val="FootnoteReference"/>
          <w:noProof/>
        </w:rPr>
        <w:footnoteReference w:id="8"/>
      </w:r>
      <w:r>
        <w:rPr>
          <w:noProof/>
        </w:rPr>
        <w:t>, die op 30 december 2021 in werking is getreden en op 1 januari 2022 van toepassing is geworden.</w:t>
      </w:r>
    </w:p>
    <w:p w14:paraId="056C1405" w14:textId="11667D17" w:rsidR="00150F7B" w:rsidRDefault="00150F7B" w:rsidP="00A00E75">
      <w:pPr>
        <w:pStyle w:val="Bullet0"/>
        <w:rPr>
          <w:noProof/>
        </w:rPr>
      </w:pPr>
      <w:r>
        <w:rPr>
          <w:noProof/>
        </w:rPr>
        <w:t>Gedelegeerde Verordening (EU) 2022/671 van de Commissie van 4 februari 2022 tot aanvulling van Verordening (EU) 2017/625 van het Europees Parlement en de Raad wat betreft specifieke regels inzake door de bevoegde autoriteiten verrichte officiële controles van dieren, producten van dierlijke oorsprong en levende producten, door de bevoegde autoriteit te ondernemen follow-upacties in geval van niet-naleving van de identificatie- en registratieregels voor runderen, schapen en geiten of van niet-naleving tijdens de doorvoer door de Unie van bepaalde runderen, en tot intrekking van Verordening (EG) nr. 494/98 van de Commissie</w:t>
      </w:r>
      <w:r>
        <w:rPr>
          <w:rStyle w:val="FootnoteReference"/>
          <w:noProof/>
        </w:rPr>
        <w:footnoteReference w:id="9"/>
      </w:r>
      <w:r>
        <w:rPr>
          <w:noProof/>
        </w:rPr>
        <w:t>, die op 15 mei 2022 in werking is getreden en op dezelfde datum van toepassing is geworden.</w:t>
      </w:r>
    </w:p>
    <w:p w14:paraId="0D57FDD3" w14:textId="1175E42A" w:rsidR="00A9029F" w:rsidRPr="001C28B2" w:rsidRDefault="00A9029F" w:rsidP="00A00E75">
      <w:pPr>
        <w:pStyle w:val="Bullet0"/>
        <w:rPr>
          <w:noProof/>
        </w:rPr>
      </w:pPr>
      <w:r>
        <w:rPr>
          <w:noProof/>
        </w:rPr>
        <w:t>Gedelegeerde Verordening (EU) 2022/931 van de Commissie van 23 maart 2022 tot aanvulling van Verordening (EU) 2017/625 van het Europees Parlement en de Raad wat betreft regels voor de uitvoering van officiële controles in verband met verontreinigingen in levensmiddelen</w:t>
      </w:r>
      <w:r>
        <w:rPr>
          <w:rStyle w:val="FootnoteReference"/>
          <w:noProof/>
        </w:rPr>
        <w:footnoteReference w:id="10"/>
      </w:r>
      <w:r>
        <w:rPr>
          <w:noProof/>
        </w:rPr>
        <w:t>, die op 7 juli 2022 in werking is getreden en op 1 januari 2023 van toepassing is geworden.</w:t>
      </w:r>
    </w:p>
    <w:p w14:paraId="48C1EBFE" w14:textId="12B32AE7" w:rsidR="005328DE" w:rsidRPr="001C28B2" w:rsidRDefault="005328DE" w:rsidP="00A00E75">
      <w:pPr>
        <w:pStyle w:val="Bullet0"/>
        <w:rPr>
          <w:noProof/>
        </w:rPr>
      </w:pPr>
      <w:r>
        <w:rPr>
          <w:noProof/>
        </w:rPr>
        <w:t>Gedelegeerde Verordening (EU) 2022/887 van de Commissie van 28 maart 2022 tot wijziging van Gedelegeerde Verordening (EU) 2019/625 wat betreft de codes van de gecombineerde nomenclatuur en het geharmoniseerde systeem en de invoervoorwaarden voor bepaalde samengestelde producten, tot wijziging van Gedelegeerde Verordening (EU) 2019/2122 wat betreft bepaalde goederen en gezelschapsvogels die zijn vrijgesteld van officiële controles aan grenscontroleposten en tot wijziging van Gedelegeerde Verordening (EU) 2021/630 wat betreft voorschriften voor samengestelde producten die zijn vrijgesteld van officiële controles aan grenscontroleposten</w:t>
      </w:r>
      <w:r>
        <w:rPr>
          <w:rStyle w:val="FootnoteReference"/>
          <w:noProof/>
        </w:rPr>
        <w:footnoteReference w:id="11"/>
      </w:r>
      <w:r>
        <w:rPr>
          <w:noProof/>
        </w:rPr>
        <w:t xml:space="preserve">, die op 27 juni 2022 in werking is getreden en op dezelfde datum van toepassing is geworden. </w:t>
      </w:r>
    </w:p>
    <w:p w14:paraId="344ADD23" w14:textId="730E1178" w:rsidR="005328DE" w:rsidRDefault="001A1A52" w:rsidP="00A00E75">
      <w:pPr>
        <w:pStyle w:val="Bullet0"/>
        <w:rPr>
          <w:noProof/>
        </w:rPr>
      </w:pPr>
      <w:r>
        <w:rPr>
          <w:noProof/>
        </w:rPr>
        <w:t>Gedelegeerde Verordening (EU) 2022/1615 van de Commissie van 22 april 2022 tot rectificatie van de Zweedse taalversie van Gedelegeerde Verordening (EU) 2021/630 tot aanvulling van Verordening (EU) 2017/625 van het Europees Parlement en de Raad wat betreft bepaalde categorieën van goederen die zijn vrijgesteld van officiële controles aan grenscontroleposten</w:t>
      </w:r>
      <w:r>
        <w:rPr>
          <w:rStyle w:val="FootnoteReference"/>
          <w:noProof/>
        </w:rPr>
        <w:footnoteReference w:id="12"/>
      </w:r>
      <w:r>
        <w:rPr>
          <w:noProof/>
        </w:rPr>
        <w:t>, die op 10 oktober 2022 in werking is getreden en op dezelfde datum van toepassing is geworden.</w:t>
      </w:r>
    </w:p>
    <w:p w14:paraId="5E397C97" w14:textId="5D10ED42" w:rsidR="002C576B" w:rsidRDefault="002C576B" w:rsidP="00A00E75">
      <w:pPr>
        <w:pStyle w:val="Bullet0"/>
        <w:rPr>
          <w:noProof/>
        </w:rPr>
      </w:pPr>
      <w:r>
        <w:rPr>
          <w:noProof/>
        </w:rPr>
        <w:t>Gedelegeerde Verordening (EU) 2022/1644 van de Commissie van 7 juli 2022 tot aanvulling van Verordening (EU) 2017/625 van het Europees Parlement en de Raad met specifieke voorschriften voor de uitvoering van officiële controles op het gebruik van farmacologisch werkzame stoffen die als diergeneesmiddel of als toevoegingsmiddel voor diervoeding zijn toegelaten en van verboden of niet-toegelaten farmacologisch werkzame stoffen en residuen daarvan</w:t>
      </w:r>
      <w:r>
        <w:rPr>
          <w:rStyle w:val="FootnoteReference"/>
          <w:noProof/>
        </w:rPr>
        <w:footnoteReference w:id="13"/>
      </w:r>
      <w:r>
        <w:rPr>
          <w:noProof/>
        </w:rPr>
        <w:t>, die op 16 oktober 2022 in werking is getreden en op 15 december 2022 van toepassing is geworden.</w:t>
      </w:r>
    </w:p>
    <w:p w14:paraId="04AF81E0" w14:textId="341BCE15" w:rsidR="00E80539" w:rsidRPr="001C28B2" w:rsidRDefault="00E80539" w:rsidP="00A00E75">
      <w:pPr>
        <w:pStyle w:val="Bullet0"/>
        <w:rPr>
          <w:noProof/>
        </w:rPr>
      </w:pPr>
      <w:r>
        <w:rPr>
          <w:noProof/>
        </w:rPr>
        <w:t>Gedelegeerde Verordening (EU) 2022/1667 van de Commissie van 19 juli 2022 tot rectificatie van bepaalde taalversies van Gedelegeerde Verordening (EU) 2019/2090 tot aanvulling van Verordening (EU) 2017/625 van het Europees Parlement en de Raad met betrekking tot gevallen van vermoedelijke of vastgestelde niet-naleving van de Unieregels die van toepassing zijn op het gebruik van in diergeneesmiddelen of als toevoegingsmiddel voor diervoeding toegelaten stoffen of residuen ervan of van de Unieregels die van toepassing zijn op het gebruik van verboden of niet-toegelaten farmacologisch werkzame stoffen of residuen ervan</w:t>
      </w:r>
      <w:r>
        <w:rPr>
          <w:rStyle w:val="FootnoteReference"/>
          <w:noProof/>
        </w:rPr>
        <w:footnoteReference w:id="14"/>
      </w:r>
      <w:r>
        <w:rPr>
          <w:noProof/>
        </w:rPr>
        <w:t>, die op 19 december 2022 in werking is getreden en op dezelfde datum van toepassing is geworden.</w:t>
      </w:r>
    </w:p>
    <w:p w14:paraId="3F689D7C" w14:textId="41AB91BC" w:rsidR="007C07B6" w:rsidRPr="001C28B2" w:rsidRDefault="007C07B6">
      <w:pPr>
        <w:pStyle w:val="Bullet0"/>
        <w:rPr>
          <w:noProof/>
        </w:rPr>
      </w:pPr>
      <w:r>
        <w:rPr>
          <w:noProof/>
        </w:rPr>
        <w:t>Gedelegeerde Verordening (EU) 2022/2292 van de Commissie van 6 september 2022 tot aanvulling van Verordening (EU) 2017/625 van het Europees Parlement en de Raad wat betreft voorwaarden voor de binnenkomst in de Unie van zendingen van voedselproducerende dieren en bepaalde voor menselijke consumptie bestemde goederen</w:t>
      </w:r>
      <w:r>
        <w:rPr>
          <w:rStyle w:val="FootnoteReference"/>
          <w:noProof/>
        </w:rPr>
        <w:footnoteReference w:id="15"/>
      </w:r>
      <w:r>
        <w:rPr>
          <w:noProof/>
        </w:rPr>
        <w:t xml:space="preserve">, die op 14 december 2022 in werking is getreden en op 15 december 2022 van toepassing is geworden. </w:t>
      </w:r>
    </w:p>
    <w:p w14:paraId="19ABEC03" w14:textId="7D520A28" w:rsidR="007C07B6" w:rsidRPr="001C28B2" w:rsidRDefault="007C07B6">
      <w:pPr>
        <w:pStyle w:val="Bullet0"/>
        <w:rPr>
          <w:noProof/>
        </w:rPr>
      </w:pPr>
      <w:r>
        <w:rPr>
          <w:noProof/>
        </w:rPr>
        <w:t>Gedelegeerde Verordening (EU) 2022/2258 van de Commissie van 9 september 2022 tot wijziging en rectificatie van bijlage III bij Verordening (EG) nr. 853/2004 van het Europees Parlement en de Raad betreffende specifieke hygiënevoorschriften voor levensmiddelen van dierlijke oorsprong wat visserijproducten, eieren en bepaalde zeer verfijnde producten betreft, en tot wijziging van Gedelegeerde Verordening (EU) 2019/624 van de Commissie wat bepaalde tweekleppige weekdieren betreft</w:t>
      </w:r>
      <w:r>
        <w:rPr>
          <w:rStyle w:val="FootnoteReference"/>
          <w:noProof/>
        </w:rPr>
        <w:footnoteReference w:id="16"/>
      </w:r>
      <w:r>
        <w:rPr>
          <w:noProof/>
        </w:rPr>
        <w:t>, die op 8 december 2022 in werking is getreden en op dezelfde datum van toepassing is geworden.</w:t>
      </w:r>
    </w:p>
    <w:p w14:paraId="26EDCF8D" w14:textId="44C7F6FB" w:rsidR="0034452E" w:rsidRPr="001C28B2" w:rsidRDefault="0034452E">
      <w:pPr>
        <w:pStyle w:val="Bullet0"/>
        <w:rPr>
          <w:noProof/>
        </w:rPr>
      </w:pPr>
      <w:r>
        <w:rPr>
          <w:noProof/>
        </w:rPr>
        <w:t>Gedelegeerde Verordening (EU) 2023/182 van de Commissie van 23 november 2022 tot rectificatie van bepaalde taalversies van bijlage III bij Gedelegeerde Verordening (EU) 2019/2122 tot aanvulling van Verordening (EU) 2017/625 van het Europees Parlement en de Raad wat betreft bepaalde categorieën dieren en goederen die van officiële controles aan grenscontroleposten zijn vrijgesteld, en specifieke controles van de persoonlijke bagage van passagiers en van kleine zendingen goederen die aan natuurlijke personen worden gezonden en niet bestemd zijn om in de handel te worden gebracht</w:t>
      </w:r>
      <w:r>
        <w:rPr>
          <w:rStyle w:val="FootnoteReference"/>
          <w:noProof/>
        </w:rPr>
        <w:footnoteReference w:id="17"/>
      </w:r>
      <w:r>
        <w:rPr>
          <w:noProof/>
        </w:rPr>
        <w:t>, die op 19 februari 2023 in werking is getreden en op dezelfde datum van toepassing is geworden.</w:t>
      </w:r>
    </w:p>
    <w:p w14:paraId="536DA5F6" w14:textId="6ADF50DB" w:rsidR="0034452E" w:rsidRPr="001C28B2" w:rsidRDefault="0034452E">
      <w:pPr>
        <w:pStyle w:val="Bullet0"/>
        <w:rPr>
          <w:noProof/>
        </w:rPr>
      </w:pPr>
      <w:r>
        <w:rPr>
          <w:noProof/>
        </w:rPr>
        <w:t>Gedelegeerde Verordening (EU) 2023/842 van de Commissie van 17 februari 2023 tot aanvulling van Verordening (EU) 2017/625 van het Europees Parlement en de Raad wat betreft regels voor de uitvoering van officiële controles ter verificatie van de naleving van de voorschriften inzake dierenwelzijn tijdens het vervoer van dieren op veeschepen</w:t>
      </w:r>
      <w:r>
        <w:rPr>
          <w:rStyle w:val="FootnoteReference"/>
          <w:noProof/>
        </w:rPr>
        <w:footnoteReference w:id="18"/>
      </w:r>
      <w:r>
        <w:rPr>
          <w:noProof/>
        </w:rPr>
        <w:t>, die op 14 mei 2023 in werking is getreden en op dezelfde datum van toepassing is geworden.</w:t>
      </w:r>
    </w:p>
    <w:p w14:paraId="495626EB" w14:textId="480A2326" w:rsidR="00295DC4" w:rsidRPr="001C28B2" w:rsidRDefault="00295DC4">
      <w:pPr>
        <w:pStyle w:val="Bullet0"/>
        <w:rPr>
          <w:noProof/>
        </w:rPr>
      </w:pPr>
      <w:r>
        <w:rPr>
          <w:noProof/>
        </w:rPr>
        <w:t>Gedelegeerde Verordening (EU) 2023/1149 van de Commissie van 5 april 2023 tot rectificatie van de Poolse taalversie van Gedelegeerde Verordening (EU) 2022/2292 van de Commissie tot aanvulling van Verordening (EU) 2017/625 van het Europees Parlement en de Raad wat betreft voorwaarden voor de binnenkomst in de Unie van zendingen van voedselproducerende dieren en bepaalde voor menselijke consumptie bestemde goederen</w:t>
      </w:r>
      <w:r>
        <w:rPr>
          <w:rStyle w:val="FootnoteReference"/>
          <w:noProof/>
        </w:rPr>
        <w:footnoteReference w:id="19"/>
      </w:r>
      <w:r>
        <w:rPr>
          <w:noProof/>
        </w:rPr>
        <w:t>, die op 3 juli 2023 in werking is getreden en op dezelfde datum van toepassing is geworden.</w:t>
      </w:r>
    </w:p>
    <w:p w14:paraId="49DFBD29" w14:textId="175E6B6B" w:rsidR="00295DC4" w:rsidRPr="001C28B2" w:rsidRDefault="00295DC4">
      <w:pPr>
        <w:pStyle w:val="Bullet0"/>
        <w:rPr>
          <w:noProof/>
        </w:rPr>
      </w:pPr>
      <w:r>
        <w:rPr>
          <w:noProof/>
        </w:rPr>
        <w:t>Gedelegeerde Verordening (EU) 2023/1674 van de Commissie van 19 juni 2023 tot wijziging van Gedelegeerde Verordening (EU) 2021/630 wat betreft het opnemen, in de lijst van samengestelde producten die zijn vrijgesteld van officiële controles aan grenscontroleposten, van bepaalde boterhampasta’s en bereidingen voor dranken die cacao bevatten, bepaalde uit granen of graanproducten verkregen bereide levensmiddelen, bepaalde uit rijst en andere granen verkregen bereide levensmiddelen, bepaalde schijfjes en chips, en bepaalde sauzen en kruiderijen, en tot wijziging van de bijlagen I en III bij Gedelegeerde Verordening (EU) 2019/2122</w:t>
      </w:r>
      <w:r>
        <w:rPr>
          <w:rStyle w:val="FootnoteReference"/>
          <w:noProof/>
        </w:rPr>
        <w:footnoteReference w:id="20"/>
      </w:r>
      <w:r>
        <w:rPr>
          <w:noProof/>
        </w:rPr>
        <w:t>, die op 21 september 2023 in werking is getreden en op dezelfde datum van toepassing is geworden.</w:t>
      </w:r>
    </w:p>
    <w:p w14:paraId="4765889C" w14:textId="4BA67CAB" w:rsidR="00295DC4" w:rsidRPr="001C28B2" w:rsidRDefault="00295DC4">
      <w:pPr>
        <w:pStyle w:val="Bullet0"/>
        <w:rPr>
          <w:noProof/>
        </w:rPr>
      </w:pPr>
      <w:r>
        <w:rPr>
          <w:noProof/>
        </w:rPr>
        <w:t>Gedelegeerde Verordening (EU) 2023/2652 van de Commissie van 15 september 2023 tot wijziging en rectificatie van Gedelegeerde Verordening (EU) 2022/2292 wat betreft de voorschriften voor de binnenkomst in de Unie van honing, vlees, zeer verfijnde producten, gelatinecapsules en visserijproducten, en de voorschriften voor particuliere verklaringen, en tot wijziging van Gedelegeerde Verordening (EU) 2021/630 wat betreft voorschriften voor particuliere verklaringen voor samengestelde producten die zijn vrijgesteld van officiële controles aan grenscontroleposten</w:t>
      </w:r>
      <w:r>
        <w:rPr>
          <w:rStyle w:val="FootnoteReference"/>
          <w:noProof/>
        </w:rPr>
        <w:footnoteReference w:id="21"/>
      </w:r>
      <w:r>
        <w:rPr>
          <w:noProof/>
        </w:rPr>
        <w:t>, die op 18 december 2023 in werking is getreden en op dezelfde datum van toepassing is geworden.</w:t>
      </w:r>
    </w:p>
    <w:p w14:paraId="466AB572" w14:textId="525A7098" w:rsidR="00295DC4" w:rsidRPr="001C28B2" w:rsidRDefault="00295DC4">
      <w:pPr>
        <w:pStyle w:val="Bullet0"/>
        <w:rPr>
          <w:noProof/>
        </w:rPr>
      </w:pPr>
      <w:r>
        <w:rPr>
          <w:noProof/>
        </w:rPr>
        <w:t>Gedelegeerde Verordening (EU) 2024/950 van de Commissie van 15 januari 2024 tot wijziging van Gedelegeerde Verordening (EU) 2019/1602 wat betreft de toepassingsdatum en de gevallen waarin de douaneautoriteiten de in de douaneaangifte aangegeven hoeveelheden in mindering moeten brengen op de totale toegestane hoeveelheid die is aangegeven in het gemeenschappelijk gezondheidsdocument van binnenkomst (GGB)</w:t>
      </w:r>
      <w:r>
        <w:rPr>
          <w:rStyle w:val="FootnoteReference"/>
          <w:noProof/>
        </w:rPr>
        <w:footnoteReference w:id="22"/>
      </w:r>
      <w:r>
        <w:rPr>
          <w:noProof/>
        </w:rPr>
        <w:t>, die op 15 april 2024 in werking is getreden en op dezelfde datum van toepassing is geworden.</w:t>
      </w:r>
    </w:p>
    <w:p w14:paraId="1C9C0646" w14:textId="5575F619" w:rsidR="00E0684D" w:rsidRDefault="00E0684D">
      <w:pPr>
        <w:pStyle w:val="Bullet0"/>
        <w:rPr>
          <w:noProof/>
        </w:rPr>
      </w:pPr>
      <w:r>
        <w:rPr>
          <w:noProof/>
        </w:rPr>
        <w:t>Gedelegeerde Verordening (EU) 2024/1004 van de Commissie van 22 januari 2024 tot aanvulling van Verordening (EU) 2017/625 van het Europees Parlement en de Raad door de oprichting van het referentielaboratorium van de Europese Unie voor voedselverbeteraars</w:t>
      </w:r>
      <w:r>
        <w:rPr>
          <w:rStyle w:val="FootnoteReference"/>
          <w:noProof/>
        </w:rPr>
        <w:footnoteReference w:id="23"/>
      </w:r>
      <w:r>
        <w:rPr>
          <w:noProof/>
        </w:rPr>
        <w:t>, die op 23 april 2024 in werking is getreden en op dezelfde datum van toepassing is geworden.</w:t>
      </w:r>
    </w:p>
    <w:p w14:paraId="127489E5" w14:textId="2790E249" w:rsidR="00BB7C34" w:rsidRPr="001C28B2" w:rsidRDefault="00BB7C34">
      <w:pPr>
        <w:pStyle w:val="Bullet0"/>
        <w:rPr>
          <w:noProof/>
        </w:rPr>
      </w:pPr>
      <w:r>
        <w:rPr>
          <w:noProof/>
        </w:rPr>
        <w:t>Gedelegeerde Verordening (EU) 2024/2562 van de Commissie van 3 juni 2024 tot wijziging van Gedelegeerde Verordening (EU) 2022/1644 wat bepaalde criteria voor de selectie van monsters betreft</w:t>
      </w:r>
      <w:r>
        <w:rPr>
          <w:rStyle w:val="FootnoteReference"/>
          <w:noProof/>
        </w:rPr>
        <w:footnoteReference w:id="24"/>
      </w:r>
      <w:r>
        <w:rPr>
          <w:noProof/>
        </w:rPr>
        <w:t>, die op 17 oktober 2024 in werking is getreden en op 1 januari 2025 van toepassing is geworden.</w:t>
      </w:r>
    </w:p>
    <w:p w14:paraId="7961BFEE" w14:textId="253F47F6" w:rsidR="0012410E" w:rsidRPr="001C28B2" w:rsidRDefault="0012410E">
      <w:pPr>
        <w:pStyle w:val="Bullet0"/>
        <w:rPr>
          <w:noProof/>
        </w:rPr>
      </w:pPr>
      <w:r>
        <w:rPr>
          <w:noProof/>
        </w:rPr>
        <w:t>Gedelegeerde Verordening (EU) 2024/2104 van de Commissie van 27 juni 2024 tot aanvulling van Verordening (EU) 2017/625 van het Europees Parlement en de Raad wat betreft de gevallen waarin en de voorwaarden waaronder bevoegde autoriteiten exploitanten kunnen verzoeken de aankomst te melden van bepaalde goederen die de Unie binnenkomen</w:t>
      </w:r>
      <w:r>
        <w:rPr>
          <w:rStyle w:val="FootnoteReference"/>
          <w:noProof/>
        </w:rPr>
        <w:footnoteReference w:id="25"/>
      </w:r>
      <w:r>
        <w:rPr>
          <w:noProof/>
        </w:rPr>
        <w:t>, die op 15 oktober 2024 in werking is getreden en op 3 maart 2025 van toepassing is geworden.</w:t>
      </w:r>
    </w:p>
    <w:p w14:paraId="767E6F73" w14:textId="3400AD7E" w:rsidR="0012410E" w:rsidRPr="001C28B2" w:rsidRDefault="0012410E">
      <w:pPr>
        <w:pStyle w:val="Bullet0"/>
        <w:rPr>
          <w:noProof/>
        </w:rPr>
      </w:pPr>
      <w:r>
        <w:rPr>
          <w:noProof/>
        </w:rPr>
        <w:t>Gedelegeerde Verordening (EU) 2025/65 van de Commissie van 31 oktober 2024 tot wijziging van Gedelegeerde Verordening (EU) 2019/2123 wat betreft de voorwaarden voor het indienen van een afzonderlijk gemeenschappelijk gezondheidsdocument van binnenkomst voor zendingen die van een grenscontrolepost worden overgebracht naar een controlepunt waar de overeenstemmings- en materiële controles zullen worden uitgevoerd</w:t>
      </w:r>
      <w:r>
        <w:rPr>
          <w:rStyle w:val="FootnoteReference"/>
          <w:noProof/>
        </w:rPr>
        <w:footnoteReference w:id="26"/>
      </w:r>
      <w:r>
        <w:rPr>
          <w:noProof/>
        </w:rPr>
        <w:t>, die op 3 februari 2025 in werking is getreden en op dezelfde datum van toepassing is geworden.</w:t>
      </w:r>
    </w:p>
    <w:p w14:paraId="214E8E65" w14:textId="0CC9FFB2" w:rsidR="0012410E" w:rsidRPr="001C28B2" w:rsidRDefault="004C25F3">
      <w:pPr>
        <w:pStyle w:val="Bullet0"/>
        <w:rPr>
          <w:noProof/>
        </w:rPr>
      </w:pPr>
      <w:r>
        <w:rPr>
          <w:noProof/>
        </w:rPr>
        <w:t>Gedelegeerde Verordening (EU) 2025/637 van de Commissie van 29 januari 2025 tot wijziging van Gedelegeerde Verordening (EU) 2022/2292 wat betreft de voorwaarden voor de binnenkomst in de Unie van bepaalde zuivelproducten, bepaalde van dieren afgeleide levensmiddelenadditieven, collageendarmen, gehakt vlees, vleesbereidingen, separatorvlees en samengestelde producten die gelatinecapsules bevatten</w:t>
      </w:r>
      <w:r>
        <w:rPr>
          <w:rStyle w:val="FootnoteReference"/>
          <w:noProof/>
        </w:rPr>
        <w:footnoteReference w:id="27"/>
      </w:r>
      <w:r>
        <w:rPr>
          <w:noProof/>
        </w:rPr>
        <w:t>, die op 19 mei 2025 in werking is getreden en op dezelfde datum van toepassing is geworden.</w:t>
      </w:r>
    </w:p>
    <w:p w14:paraId="7FBA13C0" w14:textId="10185967" w:rsidR="00A13BAE" w:rsidRDefault="004C25F3" w:rsidP="00C95A57">
      <w:pPr>
        <w:pStyle w:val="Bullet0"/>
        <w:rPr>
          <w:noProof/>
        </w:rPr>
      </w:pPr>
      <w:r>
        <w:rPr>
          <w:noProof/>
        </w:rPr>
        <w:t>Gedelegeerde Verordening (EU) 2025/687 van de Commissie van 30 januari 2025 tot wijziging van Gedelegeerde Verordening (EU) 2019/624 wat betreft ante-mortemkeuringen in slachthuizen, ante-mortemkeuringen op het bedrijf van herkomst en post-mortemkeuringen</w:t>
      </w:r>
      <w:r>
        <w:rPr>
          <w:rStyle w:val="FootnoteReference"/>
          <w:noProof/>
        </w:rPr>
        <w:footnoteReference w:id="28"/>
      </w:r>
      <w:r>
        <w:rPr>
          <w:noProof/>
        </w:rPr>
        <w:t>, die op 27 april 2025 in werking is getreden en op dezelfde datum van toepassing is geworden.</w:t>
      </w:r>
    </w:p>
    <w:p w14:paraId="52D57499" w14:textId="42509DA6" w:rsidR="00C95A57" w:rsidRPr="001C28B2" w:rsidRDefault="00C95A57" w:rsidP="00C95A57">
      <w:pPr>
        <w:pStyle w:val="Bullet0"/>
        <w:rPr>
          <w:noProof/>
        </w:rPr>
      </w:pPr>
      <w:r>
        <w:rPr>
          <w:noProof/>
        </w:rPr>
        <w:t>Gedelegeerde Verordening (EU) 2026/273 van de Commissie van 4 februari 2026 tot wijziging en rectificatie van Gedelegeerde Verordening (EU) 2019/2122 wat betreft bepaalde categorieën dieren en goederen die zijn vrijgesteld van officiële controles aan grenscontroleposten</w:t>
      </w:r>
      <w:r>
        <w:rPr>
          <w:rStyle w:val="FootnoteReference"/>
          <w:noProof/>
        </w:rPr>
        <w:footnoteReference w:id="29"/>
      </w:r>
      <w:r>
        <w:rPr>
          <w:noProof/>
        </w:rPr>
        <w:t xml:space="preserve">, die op 14 april 2026 in werking is getreden en gedeeltelijk op dezelfde datum en gedeeltelijk op 22 april 2026 van toepassing is geworden. </w:t>
      </w:r>
    </w:p>
    <w:p w14:paraId="3EE00279" w14:textId="5B7EC0BF" w:rsidR="00C45D9B"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 Commissie heeft het Europees Parlement en de Raad overeenkomstig artikel 144, lid 5, van Verordening (EU) 2017/625 in kennis gesteld van elk van deze gedelegeerde handelingen. Het Europees Parlement noch de Raad heeft bezwaar geuit tegen een van deze handelingen.</w:t>
      </w:r>
    </w:p>
    <w:p w14:paraId="2A942517" w14:textId="0465FA27" w:rsidR="00F46D40" w:rsidRPr="001C28B2" w:rsidRDefault="00E3492D" w:rsidP="006026D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Tijdens de verslagperiode heeft de Commissie gebruikgemaakt van 12 van de 38 bevoegdheden in Verordening (EU) 2017/625. Van deze 12 bevoegdheden werden er 8 gedeeltelijk gebruikt. </w:t>
      </w:r>
      <w:r>
        <w:rPr>
          <w:rFonts w:ascii="Times New Roman" w:hAnsi="Times New Roman"/>
          <w:noProof/>
          <w:sz w:val="24"/>
        </w:rPr>
        <w:t>Sommige gedelegeerde bevoegdheden zijn gebundeld om één gedelegeerde handeling vast te stellen waarbij de regels inhoudelijk met elkaar verbonden zijn, overeenkomstig het Interinstitutioneel Akkoord over beter wetgeven</w:t>
      </w:r>
      <w:r>
        <w:rPr>
          <w:rStyle w:val="FootnoteReference"/>
          <w:rFonts w:ascii="Times New Roman" w:hAnsi="Times New Roman"/>
          <w:noProof/>
          <w:sz w:val="24"/>
          <w:szCs w:val="24"/>
        </w:rPr>
        <w:footnoteReference w:id="30"/>
      </w:r>
      <w:r>
        <w:rPr>
          <w:rFonts w:ascii="Times New Roman" w:hAnsi="Times New Roman"/>
          <w:noProof/>
          <w:sz w:val="24"/>
        </w:rPr>
        <w:t>.</w:t>
      </w:r>
    </w:p>
    <w:p w14:paraId="068F988F" w14:textId="77777777" w:rsidR="0064029C" w:rsidRPr="001C28B2" w:rsidRDefault="008A126D" w:rsidP="002F11D0">
      <w:pPr>
        <w:pStyle w:val="ManualHeading2"/>
        <w:ind w:left="993" w:hanging="567"/>
        <w:rPr>
          <w:noProof/>
        </w:rPr>
      </w:pPr>
      <w:r>
        <w:rPr>
          <w:noProof/>
        </w:rPr>
        <w:t>3.2.</w:t>
      </w:r>
      <w:r>
        <w:rPr>
          <w:noProof/>
        </w:rPr>
        <w:tab/>
        <w:t xml:space="preserve">TIJDENS DE VERSLAGPERIODE NIET GEBRUIKTE BEVOEGDHEDEN </w:t>
      </w:r>
    </w:p>
    <w:p w14:paraId="4DDC6424" w14:textId="574ABBDE"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Bepaalde bevoegdheden waarin Verordening (EU) 2017/625 voorziet, zijn tijdens de verslagperiode niet gebruikt, maar blijven noodzakelijk om de hieronder uiteengezette redenen. </w:t>
      </w:r>
    </w:p>
    <w:p w14:paraId="72B914C8" w14:textId="63A16EE4" w:rsidR="00FB30ED" w:rsidRDefault="00FB30ED" w:rsidP="000F4C77">
      <w:pPr>
        <w:pStyle w:val="Bullet0"/>
        <w:rPr>
          <w:iCs/>
          <w:noProof/>
        </w:rPr>
      </w:pPr>
      <w:r>
        <w:rPr>
          <w:noProof/>
        </w:rPr>
        <w:t>Artikel 10, lid 3</w:t>
      </w:r>
    </w:p>
    <w:p w14:paraId="3FD287FD" w14:textId="5C5814BD" w:rsidR="00FB30ED" w:rsidRPr="0029412C" w:rsidRDefault="0029412C" w:rsidP="0029412C">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De Commissie beoordeelt voortdurend of de regels tot vaststelling van categorieën exploitanten die moeten worden vrijgesteld van de door de bevoegde autoriteiten opgestelde lijst van exploitanten, moeten worden gewijzigd indien hun opname in die lijst voor hen een onevenredig grote administratieve last zou vormen in vergelijking met het risico dat aan hun activiteiten is verbonden.</w:t>
      </w:r>
    </w:p>
    <w:p w14:paraId="2C48E563" w14:textId="0EE42843" w:rsidR="00FB30ED" w:rsidRPr="00841CF4" w:rsidRDefault="00841CF4" w:rsidP="00392F02">
      <w:pPr>
        <w:pStyle w:val="Bullet0"/>
        <w:rPr>
          <w:iCs/>
          <w:noProof/>
        </w:rPr>
      </w:pPr>
      <w:r>
        <w:rPr>
          <w:noProof/>
        </w:rPr>
        <w:t>Artikel 18, lid 7, punten b), c), f) en h) tot en met k), artikel 19, lid 2, punt c), artikel 20, lid 2, punt b), artikel 21, lid 8, punten b), d) en e), artikel 22, lid 2, artikel 23, lid 2, artikel 24, lid 3, artikel 26, lid 2, en artikel 27, lid 1</w:t>
      </w:r>
    </w:p>
    <w:p w14:paraId="315F6ADE" w14:textId="386615F7" w:rsidR="00B64612" w:rsidRDefault="00BA2CCA" w:rsidP="001F796A">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 xml:space="preserve">De Commissie beoordeelt voortdurend of het nodig is regels vast te stellen en/of te wijzigen inzake specifieke voorschriften voor de uitvoering van officiële controles en inzake maatregelen die naar aanleiding van dergelijke controles moeten worden genomen, in het licht van de ervaring die is opgedaan bij de uitvoering van de regels inzake officiële controles in Verordening (EU) 2017/625 en daarmee verband houdende handelingen, om niet-naleving en mogelijke uiteenlopende handhavingspraktijken in de lidstaten aan te pakken. </w:t>
      </w:r>
    </w:p>
    <w:p w14:paraId="359F49B2" w14:textId="7A60E0DC" w:rsidR="00DD58C4" w:rsidRPr="001C28B2" w:rsidRDefault="099FFBD0" w:rsidP="68C1E06B">
      <w:pPr>
        <w:pStyle w:val="Bullet0"/>
        <w:rPr>
          <w:iCs/>
          <w:noProof/>
        </w:rPr>
      </w:pPr>
      <w:r>
        <w:rPr>
          <w:noProof/>
        </w:rPr>
        <w:t>Artikel 41</w:t>
      </w:r>
    </w:p>
    <w:p w14:paraId="7BF22882" w14:textId="34B90A60" w:rsidR="00DD58C4" w:rsidRPr="001C28B2" w:rsidRDefault="56CF8D19" w:rsidP="68C1E06B">
      <w:pPr>
        <w:pStyle w:val="Bullet0"/>
        <w:numPr>
          <w:ilvl w:val="0"/>
          <w:numId w:val="0"/>
        </w:numPr>
        <w:rPr>
          <w:iCs/>
          <w:noProof/>
        </w:rPr>
      </w:pPr>
      <w:r>
        <w:rPr>
          <w:noProof/>
        </w:rPr>
        <w:t>De Commissie bereidt op basis van de bevoegdheid in artikel 41</w:t>
      </w:r>
      <w:r>
        <w:rPr>
          <w:rStyle w:val="FootnoteReference"/>
          <w:iCs/>
          <w:noProof/>
        </w:rPr>
        <w:footnoteReference w:id="31"/>
      </w:r>
      <w:r>
        <w:rPr>
          <w:noProof/>
        </w:rPr>
        <w:t xml:space="preserve"> een gedelegeerde handeling voor tot nadere bepaling van de voorwaarden voor de aanwijzing van referentielaboratoria die niet voldoen aan sommige van de voorwaarden van Verordening (EU) 2017/625 met betrekking tot alle methoden die zij voor officiële controles gebruiken en met betrekking tot de normen overeenkomstig welke zij werken. </w:t>
      </w:r>
    </w:p>
    <w:p w14:paraId="14FF7672" w14:textId="301C653D" w:rsidR="00DD58C4" w:rsidRPr="001C28B2" w:rsidRDefault="00DD58C4">
      <w:pPr>
        <w:pStyle w:val="Bullet0"/>
        <w:rPr>
          <w:iCs/>
          <w:noProof/>
        </w:rPr>
      </w:pPr>
      <w:r>
        <w:rPr>
          <w:noProof/>
        </w:rPr>
        <w:t>Artikel 47, lid 3</w:t>
      </w:r>
    </w:p>
    <w:p w14:paraId="276FA9BB" w14:textId="42295305" w:rsidR="00DD58C4" w:rsidRPr="001C28B2" w:rsidRDefault="00A42EF7" w:rsidP="00A42EF7">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De Commissie beoordeelt voortdurend of Verordening (EU) 2017/625 met betrekking tot de categorieën zendingen dieren en goederen die aan officiële controles aan grenscontroleposten onderworpen zijn, moet worden gewijzigd om producten op te nemen die een nieuw vastgesteld of aanzienlijk verhoogd risico inhouden.</w:t>
      </w:r>
    </w:p>
    <w:p w14:paraId="292C7974" w14:textId="3BBC367B" w:rsidR="0064029C" w:rsidRPr="001C28B2" w:rsidRDefault="008A126D">
      <w:pPr>
        <w:pStyle w:val="Bullet0"/>
        <w:rPr>
          <w:iCs/>
          <w:noProof/>
        </w:rPr>
      </w:pPr>
      <w:r>
        <w:rPr>
          <w:noProof/>
        </w:rPr>
        <w:t>Artikel 48, punten a) en g)</w:t>
      </w:r>
    </w:p>
    <w:p w14:paraId="2A3C2A8A" w14:textId="3D711CEC" w:rsidR="0064029C" w:rsidRPr="001C28B2" w:rsidRDefault="00892ABE">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Deze bevoegdheden zijn noodzakelijk om de Commissie in staat te stellen regels vast te stellen en/of te wijzigen om de gevallen te bepalen waarin en de voorwaarden waaronder goederen die als handelsmonsters of als demonstratiemateriaal voor tentoonstellingen worden verzonden en goederen die een specifieke behandeling hebben ondergaan, zijn vrijgesteld van officiële controles aan grenscontroleposten.</w:t>
      </w:r>
    </w:p>
    <w:p w14:paraId="461FBF20" w14:textId="39634FBB" w:rsidR="00901981" w:rsidRDefault="00901981">
      <w:pPr>
        <w:pStyle w:val="Bullet0"/>
        <w:rPr>
          <w:noProof/>
        </w:rPr>
      </w:pPr>
      <w:r>
        <w:rPr>
          <w:noProof/>
        </w:rPr>
        <w:t>Artikel 49, lid 5</w:t>
      </w:r>
    </w:p>
    <w:p w14:paraId="613BF751" w14:textId="77187818" w:rsidR="00EB1E6A" w:rsidRPr="007D067F" w:rsidRDefault="007D067F" w:rsidP="007D067F">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De Commissie beoordeelt voortdurend of het nodig is specifieke opleidingsvereisten vast te stellen met betrekking tot de uitvoering van materiële controles aan grenscontroleposten.</w:t>
      </w:r>
    </w:p>
    <w:p w14:paraId="6138A9FA" w14:textId="69854495" w:rsidR="0064029C" w:rsidRPr="001C28B2" w:rsidRDefault="008A126D">
      <w:pPr>
        <w:pStyle w:val="Bullet0"/>
        <w:rPr>
          <w:noProof/>
        </w:rPr>
      </w:pPr>
      <w:r>
        <w:rPr>
          <w:noProof/>
        </w:rPr>
        <w:t>Artikel 51, lid 1, punten b) tot en met e)</w:t>
      </w:r>
    </w:p>
    <w:p w14:paraId="55DDBE5A" w14:textId="5B9E4599" w:rsidR="0064029C" w:rsidRPr="001C28B2" w:rsidRDefault="00664D30">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 Commissie beoordeelt voortdurend of er termijnen en regelingen voor de uitvoering van controles moeten worden vastgesteld, alsook regels voor de gevallen waarin en de voorwaarden waaronder overeenstemmingscontroles en materiële controles van overgeladen zendingen en van dieren die door de lucht of over zee aankomen en voor verder vervoer in hetzelfde vervoermiddel verblijven, mogen worden uitgevoerd aan een andere grenscontrolepost dan die van eerste aankomst, regels voor de doorvoer van zendingen dieren en goederen, en afwijkingen van de regels inzake overeenstemmingscontroles en materiële controles wat betreft overlading en doorvoer van zendingen. </w:t>
      </w:r>
    </w:p>
    <w:p w14:paraId="7FF4014B" w14:textId="3093DF5C" w:rsidR="00F37E5C" w:rsidRPr="001C28B2" w:rsidRDefault="00F37E5C" w:rsidP="00F37E5C">
      <w:pPr>
        <w:pStyle w:val="Bullet0"/>
        <w:rPr>
          <w:noProof/>
        </w:rPr>
      </w:pPr>
      <w:r>
        <w:rPr>
          <w:noProof/>
        </w:rPr>
        <w:t>Artikel 51, lid 2</w:t>
      </w:r>
    </w:p>
    <w:p w14:paraId="0834FF3C" w14:textId="61E0DBB7" w:rsidR="00ED1BCD" w:rsidRPr="001C28B2" w:rsidRDefault="00F37E5C" w:rsidP="003A2C6E">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De Commissie beoordeelt voortdurend of het nodig is te specificeren in welke gevallen en onder welke voorwaarden afwijkingen van de regels inzake documentencontroles van toepassing moeten zijn op overgeladen zendingen en doorvoer van zendingen waarvoor een fytosanitair certificaat vereist is voor het binnenbrengen ervan in de EU.</w:t>
      </w:r>
    </w:p>
    <w:p w14:paraId="36DC5711" w14:textId="2C057D82" w:rsidR="0064029C" w:rsidRPr="001C28B2" w:rsidRDefault="008A126D">
      <w:pPr>
        <w:pStyle w:val="Bullet0"/>
        <w:rPr>
          <w:noProof/>
        </w:rPr>
      </w:pPr>
      <w:r>
        <w:rPr>
          <w:noProof/>
        </w:rPr>
        <w:t xml:space="preserve">Artikel 53, lid 1, punten b) en c), en punt d), i) en iii) </w:t>
      </w:r>
    </w:p>
    <w:p w14:paraId="5E327ED3" w14:textId="28A42250" w:rsidR="00012A68" w:rsidRPr="001C28B2" w:rsidRDefault="00F75E5D">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De Commissie beoordeelt voortdurend of het nodig is regels vast te stellen en/of te wijzigen inzake officiële controles die niet aan de grenscontrolepost van eerste binnenkomst in de EU worden uitgevoerd, in het licht van de ervaring die is opgedaan met Uitvoeringsverordening (EU) 2017/625. Bij de beoordeling van de noodzaak van regels met betrekking tot specifieke controletaken die door douaneautoriteiten of andere overheidsinstanties kunnen worden uitgevoerd, houdt de Commissie rekening met de verantwoordelijkheden met betrekking tot officiële controles die bij andere EU-handelingen aan de douaneautoriteiten zijn toegekend</w:t>
      </w:r>
      <w:r>
        <w:rPr>
          <w:rStyle w:val="FootnoteReference"/>
          <w:rFonts w:ascii="Times New Roman" w:hAnsi="Times New Roman"/>
          <w:iCs/>
          <w:noProof/>
          <w:sz w:val="24"/>
          <w:szCs w:val="24"/>
        </w:rPr>
        <w:footnoteReference w:id="32"/>
      </w:r>
      <w:r>
        <w:rPr>
          <w:rFonts w:ascii="Times New Roman" w:hAnsi="Times New Roman"/>
          <w:noProof/>
          <w:sz w:val="24"/>
        </w:rPr>
        <w:t>.</w:t>
      </w:r>
    </w:p>
    <w:p w14:paraId="3911E497" w14:textId="21CE474F" w:rsidR="00DD58C4" w:rsidRPr="001C28B2" w:rsidRDefault="00DD58C4">
      <w:pPr>
        <w:pStyle w:val="Bullet0"/>
        <w:rPr>
          <w:noProof/>
        </w:rPr>
      </w:pPr>
      <w:r>
        <w:rPr>
          <w:noProof/>
        </w:rPr>
        <w:t>Artikel 62, lid 3, en artikel 64, leden 2 en 5</w:t>
      </w:r>
    </w:p>
    <w:p w14:paraId="2271855A" w14:textId="135FC8B8" w:rsidR="00C4080C" w:rsidRPr="001C28B2" w:rsidRDefault="009D6AA3" w:rsidP="00214F77">
      <w:pPr>
        <w:pStyle w:val="Bullet0"/>
        <w:numPr>
          <w:ilvl w:val="0"/>
          <w:numId w:val="0"/>
        </w:numPr>
        <w:rPr>
          <w:noProof/>
        </w:rPr>
      </w:pPr>
      <w:r>
        <w:rPr>
          <w:noProof/>
        </w:rPr>
        <w:t>De Commissie beoordeelt voortdurend of het nodig is afwijkingen van de regels inzake de aanwijzing van grenscontroleposten en de minimumvoorschriften voor grenscontroleposten vast te stellen en/of te wijzigen, in het licht van de ervaring die is opgedaan bij de uitvoering van Gedelegeerde Verordening (EU) 2019/1012 van de Commissie</w:t>
      </w:r>
      <w:r>
        <w:rPr>
          <w:rStyle w:val="FootnoteReference"/>
          <w:iCs/>
          <w:noProof/>
        </w:rPr>
        <w:footnoteReference w:id="33"/>
      </w:r>
      <w:r>
        <w:rPr>
          <w:noProof/>
        </w:rPr>
        <w:t xml:space="preserve">. </w:t>
      </w:r>
    </w:p>
    <w:p w14:paraId="4231C2C9" w14:textId="008FEDD6" w:rsidR="00FB30ED" w:rsidRDefault="00FB30ED">
      <w:pPr>
        <w:pStyle w:val="Bullet0"/>
        <w:rPr>
          <w:noProof/>
        </w:rPr>
      </w:pPr>
      <w:r>
        <w:rPr>
          <w:noProof/>
        </w:rPr>
        <w:t>Artikel 71, lid 3</w:t>
      </w:r>
    </w:p>
    <w:p w14:paraId="69779A1C" w14:textId="71882169" w:rsidR="00FB30ED" w:rsidRPr="004930D1" w:rsidRDefault="004930D1" w:rsidP="00FB30ED">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De Commissie beoordeelt voortdurend of het nodig is voorschriften en voorwaarden vast te stellen en/of te wijzigen voor de speciale behandeling van zendingen.</w:t>
      </w:r>
    </w:p>
    <w:p w14:paraId="5E4D276C" w14:textId="5D1B4644" w:rsidR="0064029C" w:rsidRPr="001C28B2" w:rsidRDefault="008A126D">
      <w:pPr>
        <w:pStyle w:val="Bullet0"/>
        <w:rPr>
          <w:noProof/>
        </w:rPr>
      </w:pPr>
      <w:r>
        <w:rPr>
          <w:noProof/>
        </w:rPr>
        <w:t>Artikel 77, lid 1, punten a) tot en met g), i) en j), en lid 2</w:t>
      </w:r>
    </w:p>
    <w:p w14:paraId="7946FFDF" w14:textId="3F92A4F3" w:rsidR="00225A7A" w:rsidRPr="001C28B2" w:rsidRDefault="007E36E1">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 Commissie beoordeelt voortdurend of het nodig is regels vast te stellen en/of te wijzigen voor specifieke officiële controles en voor maatregelen die moeten worden genomen naar aanleiding van de uitvoering van controles, en met betrekking tot de voorwaarden voor het toezicht op het vervoer en de aankomst van zendingen van bepaalde dieren en goederen, in het licht van de ervaring die is opgedaan met de uitvoering van de regels inzake officiële controles van dieren en goederen die de EU binnenkomen, zoals vastgesteld in Verordening (EU) 2017/625 en aanverwante handelingen. </w:t>
      </w:r>
    </w:p>
    <w:p w14:paraId="5D398F9B" w14:textId="3AF08EFD" w:rsidR="0064029C" w:rsidRPr="001C28B2" w:rsidRDefault="008A126D">
      <w:pPr>
        <w:pStyle w:val="Bullet0"/>
        <w:rPr>
          <w:iCs/>
          <w:noProof/>
        </w:rPr>
      </w:pPr>
      <w:r>
        <w:rPr>
          <w:noProof/>
        </w:rPr>
        <w:t xml:space="preserve">Artikel 99, lid 2 </w:t>
      </w:r>
    </w:p>
    <w:p w14:paraId="044727AC" w14:textId="503BABE2" w:rsidR="0064029C" w:rsidRPr="001C28B2" w:rsidRDefault="00BA2CCA">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 xml:space="preserve">Deze bevoegdheid is beperkt tot situaties van nieuwe of opkomende risico’s, nieuwe of opkomende dierziekten of plaagorganismen of wanneer nieuwe juridische voorschriften zulks rechtvaardigen. Dergelijke situaties of voorschriften hebben zich nog niet voorgedaan, maar kunnen zich in de toekomst voordoen. </w:t>
      </w:r>
    </w:p>
    <w:p w14:paraId="38C9965A" w14:textId="7F6CAD92" w:rsidR="0064029C" w:rsidRPr="001C28B2" w:rsidRDefault="008A126D">
      <w:pPr>
        <w:pStyle w:val="Bullet0"/>
        <w:rPr>
          <w:noProof/>
        </w:rPr>
      </w:pPr>
      <w:r>
        <w:rPr>
          <w:noProof/>
        </w:rPr>
        <w:t>Artikel 100, lid 6, en artikel 101, lid 2</w:t>
      </w:r>
    </w:p>
    <w:p w14:paraId="5A0574D9" w14:textId="0BDBC82F" w:rsidR="00B01EA0" w:rsidRPr="001C28B2" w:rsidRDefault="2EF5F054" w:rsidP="00FC1BFF">
      <w:pPr>
        <w:pStyle w:val="Bullet0"/>
        <w:numPr>
          <w:ilvl w:val="0"/>
          <w:numId w:val="0"/>
        </w:numPr>
        <w:rPr>
          <w:noProof/>
        </w:rPr>
      </w:pPr>
      <w:r>
        <w:rPr>
          <w:noProof/>
        </w:rPr>
        <w:t>De Commissie werkt momenteel aan een gedelegeerde handeling op basis van de bevoegdheid in artikel 100, lid 6</w:t>
      </w:r>
      <w:r>
        <w:rPr>
          <w:rStyle w:val="FootnoteReference"/>
          <w:noProof/>
        </w:rPr>
        <w:footnoteReference w:id="34"/>
      </w:r>
      <w:r>
        <w:rPr>
          <w:noProof/>
        </w:rPr>
        <w:t xml:space="preserve">, met betrekking tot de vereisten voor de aanwijzing van nationale referentielaboratoria. Zij beoordeelt ook voortdurend of het nodig is de verantwoordelijkheden en taken van de nationale referentielaboratoria vast te stellen om te zorgen voor samenhang met eventuele aanvullende verantwoordelijkheden en taken die overeenkomstig artikel 99, lid 2, zijn vastgesteld. </w:t>
      </w:r>
    </w:p>
    <w:p w14:paraId="29ABC450" w14:textId="196C71BE" w:rsidR="00FB30ED" w:rsidRPr="00FB30ED" w:rsidRDefault="00FB30ED">
      <w:pPr>
        <w:pStyle w:val="Bullet0"/>
        <w:rPr>
          <w:iCs/>
          <w:noProof/>
        </w:rPr>
      </w:pPr>
      <w:r>
        <w:rPr>
          <w:noProof/>
        </w:rPr>
        <w:t>Artikel 108, lid 3</w:t>
      </w:r>
    </w:p>
    <w:p w14:paraId="6D919971" w14:textId="03E62344" w:rsidR="00FB30ED" w:rsidRPr="00211232" w:rsidRDefault="00211232" w:rsidP="00211232">
      <w:pPr>
        <w:pStyle w:val="Bullet0"/>
        <w:numPr>
          <w:ilvl w:val="0"/>
          <w:numId w:val="0"/>
        </w:numPr>
        <w:rPr>
          <w:noProof/>
        </w:rPr>
      </w:pPr>
      <w:r>
        <w:rPr>
          <w:noProof/>
        </w:rPr>
        <w:t>De Commissie beoordeelt voortdurend de noodzaak om regels voor de snelle uitwisseling van informatie vast te stellen en/of te wijzigen wanneer de bevoegde autoriteiten in de lidstaten geen overeenstemming kunnen bereiken over passende maatregelen om niet-naleving aan te pakken.</w:t>
      </w:r>
    </w:p>
    <w:p w14:paraId="2CD80758" w14:textId="353837D5" w:rsidR="0064029C" w:rsidRPr="001C28B2" w:rsidRDefault="008A126D">
      <w:pPr>
        <w:pStyle w:val="Bullet0"/>
        <w:rPr>
          <w:iCs/>
          <w:noProof/>
        </w:rPr>
      </w:pPr>
      <w:r>
        <w:rPr>
          <w:noProof/>
        </w:rPr>
        <w:t xml:space="preserve">Artikel 142, lid 1 </w:t>
      </w:r>
    </w:p>
    <w:p w14:paraId="769E8CDD" w14:textId="2891EE38" w:rsidR="0064029C" w:rsidRPr="001C28B2" w:rsidRDefault="00225A7A">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 xml:space="preserve">Deze bevoegdheid is beperkt tot het wijzigen van Verordening (EU) 2017/625 wat betreft wijzigingen van de bijlagen II en III, om rekening te houden met wijzigingen van de in artikel 1, lid 2, bedoelde regels, de technische vooruitgang of wetenschappelijke ontwikkelingen. Tijdens de verslagperiode waren er geen wijzigingen of vooruitgang die wijzigingen van deze bijlagen rechtvaardigden. </w:t>
      </w:r>
    </w:p>
    <w:p w14:paraId="3B8EE895" w14:textId="19682870" w:rsidR="0064029C" w:rsidRPr="001C28B2" w:rsidRDefault="008A126D">
      <w:pPr>
        <w:pStyle w:val="Bullet0"/>
        <w:rPr>
          <w:iCs/>
          <w:noProof/>
        </w:rPr>
      </w:pPr>
      <w:r>
        <w:rPr>
          <w:noProof/>
        </w:rPr>
        <w:t xml:space="preserve">Artikel 142, lid 2 </w:t>
      </w:r>
    </w:p>
    <w:p w14:paraId="747D5DFD" w14:textId="39FDDA29" w:rsidR="0064029C" w:rsidRPr="001C28B2" w:rsidRDefault="008678B1">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 xml:space="preserve">Tijdens de verslagperiode heeft het Europees Comité voor Normalisatie (CEN) geen relevante wijzigingen aangebracht in de Europese normen waarop deze bevoegdheid betrekking heeft. Voor toekomstige wijzigingen door het CEN kan het echter nodig zijn een gedelegeerde handeling vast te stellen. </w:t>
      </w:r>
    </w:p>
    <w:p w14:paraId="52CFB147" w14:textId="7C2FCA88" w:rsidR="00DD58C4" w:rsidRPr="001C28B2" w:rsidRDefault="00DD58C4">
      <w:pPr>
        <w:pStyle w:val="Bullet0"/>
        <w:rPr>
          <w:iCs/>
          <w:noProof/>
        </w:rPr>
      </w:pPr>
      <w:r>
        <w:rPr>
          <w:noProof/>
        </w:rPr>
        <w:t>Artikel 149, lid 2, artikel 150, lid 3, artikel 154, lid 3, artikel 155, lid 3, en artikel 165, lid 3</w:t>
      </w:r>
    </w:p>
    <w:p w14:paraId="474ADA10" w14:textId="636951C1" w:rsidR="001119C4" w:rsidRPr="001C28B2" w:rsidRDefault="0039029E" w:rsidP="001119C4">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Deze bevoegdheden stellen de Commissie in staat gedelegeerde handelingen vast te stellen tot wijziging van Verordening (EU) 2017/625 met betrekking tot de in artikel 149, lid 1</w:t>
      </w:r>
      <w:bookmarkStart w:id="5" w:name="_Hlk224744115"/>
      <w:r>
        <w:rPr>
          <w:rFonts w:ascii="Times New Roman" w:hAnsi="Times New Roman"/>
          <w:noProof/>
          <w:color w:val="000000"/>
          <w:sz w:val="24"/>
        </w:rPr>
        <w:t>,</w:t>
      </w:r>
      <w:bookmarkEnd w:id="5"/>
      <w:r>
        <w:rPr>
          <w:rFonts w:ascii="Times New Roman" w:hAnsi="Times New Roman"/>
          <w:noProof/>
          <w:color w:val="000000"/>
          <w:sz w:val="24"/>
        </w:rPr>
        <w:t xml:space="preserve"> artikel 150, leden 1 en 2, artikel 154, lid 2, artikel 155, lid 2, en artikel 165, lid 2, bedoelde data. De Commissie hoefde deze bevoegdheden tijdens de verslagperiode niet te gebruiken.</w:t>
      </w:r>
    </w:p>
    <w:p w14:paraId="057F09B0" w14:textId="77777777" w:rsidR="0064029C" w:rsidRPr="001C28B2" w:rsidRDefault="008A126D">
      <w:pPr>
        <w:pStyle w:val="Bullet0"/>
        <w:numPr>
          <w:ilvl w:val="0"/>
          <w:numId w:val="0"/>
        </w:numPr>
        <w:spacing w:after="240"/>
        <w:rPr>
          <w:b/>
          <w:noProof/>
        </w:rPr>
      </w:pPr>
      <w:r>
        <w:rPr>
          <w:b/>
          <w:noProof/>
        </w:rPr>
        <w:t>CONCLUSIE</w:t>
      </w:r>
    </w:p>
    <w:p w14:paraId="75A35E8E" w14:textId="64C8F3BA"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De Commissie is van mening dat de in Verordening (EU) 2017/625 bedoelde bevoegdheid om gedelegeerde handelingen vast te stellen stilzwijgend met een periode van vijf jaar moet worden verlengd, overeenkomstig artikel 144, lid 2. Het blijft nodig om op basis van deze bevoegdheden regels te ontwikkelen, en het is belangrijk om in het rechtskader de nodige flexibiliteit te bieden, het aan te vullen en regelmatig aan te passen aan de meest recente wetenschappelijke normen, en de Commissie in staat te stellen op te treden op gebieden waarop zij dat tijdens de verslagperiode niet heeft gedaan. </w:t>
      </w:r>
    </w:p>
    <w:p w14:paraId="176F6194" w14:textId="522EE3EA"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Met dit verslag voldoet de Commissie aan de verslagleggingsverplichting van artikel 144, lid 2, van Verordening (EU) 2017/625.</w:t>
      </w:r>
    </w:p>
    <w:p w14:paraId="3BD11824" w14:textId="51D3959E" w:rsidR="000D7B38" w:rsidRDefault="008A126D" w:rsidP="00356825">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 Commissie verzoekt het Europees Parlement en de Raad kennis te nemen van dit verslag.</w:t>
      </w:r>
    </w:p>
    <w:sectPr w:rsidR="000D7B38" w:rsidSect="00D54ED3">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EB221" w14:textId="77777777" w:rsidR="003E5CCE" w:rsidRDefault="003E5CCE">
      <w:pPr>
        <w:spacing w:after="0" w:line="240" w:lineRule="auto"/>
      </w:pPr>
      <w:r>
        <w:separator/>
      </w:r>
    </w:p>
  </w:endnote>
  <w:endnote w:type="continuationSeparator" w:id="0">
    <w:p w14:paraId="7AA6A58A" w14:textId="77777777" w:rsidR="003E5CCE" w:rsidRDefault="003E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1BAE" w14:textId="483D5CF4" w:rsidR="00D835D0" w:rsidRPr="00D835D0" w:rsidRDefault="00D835D0" w:rsidP="00D835D0">
    <w:pPr>
      <w:pStyle w:val="FooterCoverPage"/>
      <w:rPr>
        <w:rFonts w:ascii="Arial" w:hAnsi="Arial" w:cs="Arial"/>
        <w:b/>
        <w:sz w:val="48"/>
      </w:rPr>
    </w:pPr>
    <w:r w:rsidRPr="00D835D0">
      <w:rPr>
        <w:rFonts w:ascii="Arial" w:hAnsi="Arial" w:cs="Arial"/>
        <w:b/>
        <w:sz w:val="48"/>
      </w:rPr>
      <w:t>NL</w:t>
    </w:r>
    <w:r w:rsidRPr="00D835D0">
      <w:rPr>
        <w:rFonts w:ascii="Arial" w:hAnsi="Arial" w:cs="Arial"/>
        <w:b/>
        <w:sz w:val="48"/>
      </w:rPr>
      <w:tab/>
    </w:r>
    <w:r w:rsidRPr="00D835D0">
      <w:rPr>
        <w:rFonts w:ascii="Arial" w:hAnsi="Arial" w:cs="Arial"/>
        <w:b/>
        <w:sz w:val="48"/>
      </w:rPr>
      <w:tab/>
    </w:r>
    <w:r w:rsidRPr="00D835D0">
      <w:tab/>
    </w:r>
    <w:r w:rsidRPr="00D835D0">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58BA1" w14:textId="037927BD" w:rsidR="00D835D0" w:rsidRPr="00D835D0" w:rsidRDefault="00D835D0" w:rsidP="00D835D0">
    <w:pPr>
      <w:pStyle w:val="FooterCoverPage"/>
      <w:rPr>
        <w:rFonts w:ascii="Arial" w:hAnsi="Arial" w:cs="Arial"/>
        <w:b/>
        <w:sz w:val="48"/>
      </w:rPr>
    </w:pPr>
    <w:r w:rsidRPr="00D835D0">
      <w:rPr>
        <w:rFonts w:ascii="Arial" w:hAnsi="Arial" w:cs="Arial"/>
        <w:b/>
        <w:sz w:val="48"/>
      </w:rPr>
      <w:t>NL</w:t>
    </w:r>
    <w:r w:rsidRPr="00D835D0">
      <w:rPr>
        <w:rFonts w:ascii="Arial" w:hAnsi="Arial" w:cs="Arial"/>
        <w:b/>
        <w:sz w:val="48"/>
      </w:rPr>
      <w:tab/>
    </w:r>
    <w:r w:rsidRPr="00D835D0">
      <w:rPr>
        <w:rFonts w:ascii="Arial" w:hAnsi="Arial" w:cs="Arial"/>
        <w:b/>
        <w:sz w:val="48"/>
      </w:rPr>
      <w:tab/>
    </w:r>
    <w:r w:rsidRPr="00D835D0">
      <w:tab/>
    </w:r>
    <w:r w:rsidRPr="00D835D0">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4E5E3" w14:textId="77777777" w:rsidR="00D835D0" w:rsidRPr="00D835D0" w:rsidRDefault="00D835D0" w:rsidP="00D835D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1B7AF" w14:textId="77777777" w:rsidR="0064029C" w:rsidRDefault="006402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80310"/>
      <w:docPartObj>
        <w:docPartGallery w:val="Page Numbers (Bottom of Page)"/>
        <w:docPartUnique/>
      </w:docPartObj>
    </w:sdtPr>
    <w:sdtEndPr>
      <w:rPr>
        <w:rFonts w:ascii="Times New Roman" w:hAnsi="Times New Roman" w:cs="Times New Roman"/>
        <w:noProof/>
        <w:sz w:val="24"/>
        <w:szCs w:val="24"/>
      </w:rPr>
    </w:sdtEndPr>
    <w:sdtContent>
      <w:p w14:paraId="48EBF624" w14:textId="59C33EB1" w:rsidR="0064029C" w:rsidRPr="00AF0E15" w:rsidRDefault="008A126D" w:rsidP="00AF0E15">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D835D0">
          <w:rPr>
            <w:rFonts w:ascii="Times New Roman" w:hAnsi="Times New Roman" w:cs="Times New Roman"/>
            <w:noProof/>
            <w:sz w:val="24"/>
          </w:rPr>
          <w:t>1</w:t>
        </w:r>
        <w:r>
          <w:rPr>
            <w:rFonts w:ascii="Times New Roman" w:hAnsi="Times New Roman" w:cs="Times New Roman"/>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EBAEB" w14:textId="77777777" w:rsidR="0064029C" w:rsidRDefault="0064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9A26E" w14:textId="77777777" w:rsidR="003E5CCE" w:rsidRDefault="003E5CCE">
      <w:pPr>
        <w:spacing w:after="0" w:line="240" w:lineRule="auto"/>
      </w:pPr>
      <w:r>
        <w:separator/>
      </w:r>
    </w:p>
  </w:footnote>
  <w:footnote w:type="continuationSeparator" w:id="0">
    <w:p w14:paraId="04498646" w14:textId="77777777" w:rsidR="003E5CCE" w:rsidRDefault="003E5CCE">
      <w:pPr>
        <w:spacing w:after="0" w:line="240" w:lineRule="auto"/>
      </w:pPr>
      <w:r>
        <w:continuationSeparator/>
      </w:r>
    </w:p>
  </w:footnote>
  <w:footnote w:id="1">
    <w:p w14:paraId="3891A8B2" w14:textId="0EA10D75" w:rsidR="0064029C" w:rsidRPr="0012148C" w:rsidRDefault="008A126D" w:rsidP="00AF0E15">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Verordening (EU) 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tot wijziging van de Verordeningen (EG) nr. 999/2001, (EG) nr. 396/2005, (EG) nr.</w:t>
      </w:r>
      <w:bookmarkStart w:id="2" w:name="_Hlk231457663"/>
      <w:r>
        <w:rPr>
          <w:rFonts w:ascii="Times New Roman" w:hAnsi="Times New Roman"/>
        </w:rPr>
        <w:t xml:space="preserve"> </w:t>
      </w:r>
      <w:bookmarkEnd w:id="2"/>
      <w:r>
        <w:rPr>
          <w:rFonts w:ascii="Times New Roman" w:hAnsi="Times New Roman"/>
        </w:rPr>
        <w:t xml:space="preserve">1069/2009, (EG) nr. 1107/2009, (EU) nr. 1151/2012, (EU) nr. 652/2014, (EU) 2016/429 en (EU) 2016/2031 van het Europees Parlement en de Raad, de Verordeningen (EG) nr. 1/2005 en (EG) nr. 1099/2009 van de Raad en de Richtlijnen 98/58/EG, 1999/74/EG, 2007/43/EG, 2008/119/EG en 2008/120/EG van de Raad, en tot intrekking van de Verordeningen (EG) nr. 854/2004 en (EG) nr. 882/2004 van het Europees Parlement en de Raad, de Richtlijnen 89/608/EEG, 89/662/EEG, 90/425/EEG, 91/496/EEG, 96/23/EG, 96/93/EG en 97/78/EG van de Raad en Besluit 92/438/EEG van de Raad (verordening officiële controles) (PB L 095 van 7.4.2017, blz. 1, ELI: </w:t>
      </w:r>
      <w:hyperlink r:id="rId1" w:history="1">
        <w:r>
          <w:rPr>
            <w:rStyle w:val="Hyperlink"/>
            <w:rFonts w:ascii="Times New Roman" w:hAnsi="Times New Roman"/>
          </w:rPr>
          <w:t>https://eur-lex.europa.eu/legal-content/NL/TXT/?uri=CELEX:32017R0625</w:t>
        </w:r>
      </w:hyperlink>
      <w:r>
        <w:rPr>
          <w:rFonts w:ascii="Times New Roman" w:hAnsi="Times New Roman"/>
        </w:rPr>
        <w:t>).</w:t>
      </w:r>
    </w:p>
  </w:footnote>
  <w:footnote w:id="2">
    <w:p w14:paraId="7B24078B" w14:textId="538DF820" w:rsidR="00751C5A" w:rsidRPr="0012148C" w:rsidRDefault="00751C5A" w:rsidP="00AF0E15">
      <w:pPr>
        <w:pStyle w:val="FootnoteText"/>
        <w:suppressAutoHyphens/>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Verslag van de Commissie aan het Europees Parlement en de Raad over de uitoefening van de bevoegdheid om gedelegeerde handelingen vast te stellen die aan de Commissie is toegekend krachtens Verordening (EU) 2017/625 van het Europees Parlement en de Raad betreffende officiële controles en andere officiële activiteiten die worden uitgevoerd om de toepassing van de levensmiddelen- en diervoederwetgeving en van de voorschriften inzake diergezondheid, dierenwelzijn, plantgezondheid en gewasbeschermingsmiddelen te waarborgen (“verordening officiële controles”), COM(2021) 383 final, </w:t>
      </w:r>
      <w:hyperlink r:id="rId2" w:history="1">
        <w:r>
          <w:rPr>
            <w:rStyle w:val="Hyperlink"/>
            <w:rFonts w:ascii="Times New Roman" w:hAnsi="Times New Roman"/>
          </w:rPr>
          <w:t>https://eur-lex.europa.eu/legal-content/NL/TXT/?uri=CELEX:52021DC0383</w:t>
        </w:r>
      </w:hyperlink>
      <w:r>
        <w:rPr>
          <w:rFonts w:ascii="Times New Roman" w:hAnsi="Times New Roman"/>
        </w:rPr>
        <w:t>.</w:t>
      </w:r>
    </w:p>
  </w:footnote>
  <w:footnote w:id="3">
    <w:p w14:paraId="3AAC2066" w14:textId="0874CD6D" w:rsidR="0064029C" w:rsidRPr="0012148C" w:rsidRDefault="008A126D" w:rsidP="00AF0E15">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Aangezien de afsluitingsdatum voor opname in het eerste verslag 15 juni 2021 was, loopt de periode waarop dit verslag betrekking heeft van 16 juni 2021 tot en met 15 juni 2026. </w:t>
      </w:r>
    </w:p>
  </w:footnote>
  <w:footnote w:id="4">
    <w:p w14:paraId="6C446EC5" w14:textId="221FB008" w:rsidR="000E3FA0" w:rsidRPr="0012148C" w:rsidRDefault="000E3FA0"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De gedelegeerde handelingen zijn gerangschikt in chronologische volgorde van vaststelling. </w:t>
      </w:r>
    </w:p>
  </w:footnote>
  <w:footnote w:id="5">
    <w:p w14:paraId="32E7A6AE" w14:textId="34B0F4E1" w:rsidR="003F228C" w:rsidRPr="00264A0C" w:rsidRDefault="003F228C"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436 van 7.12.2021, blz. 26, ELI: </w:t>
      </w:r>
      <w:hyperlink r:id="rId3" w:history="1">
        <w:r>
          <w:rPr>
            <w:rStyle w:val="Hyperlink"/>
            <w:rFonts w:ascii="Times New Roman" w:hAnsi="Times New Roman"/>
          </w:rPr>
          <w:t>https://eur-lex.europa.eu/legal-content/NL/TXT/?uri=CELEX:32021R2156</w:t>
        </w:r>
      </w:hyperlink>
      <w:r>
        <w:rPr>
          <w:rFonts w:ascii="Times New Roman" w:hAnsi="Times New Roman"/>
        </w:rPr>
        <w:t>.</w:t>
      </w:r>
    </w:p>
  </w:footnote>
  <w:footnote w:id="6">
    <w:p w14:paraId="1DB426AB" w14:textId="03AF2AA4" w:rsidR="00012FF7" w:rsidRPr="00264A0C" w:rsidRDefault="00012FF7"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427 van 30.11.2021, blz. 149, ELI: </w:t>
      </w:r>
      <w:hyperlink r:id="rId4" w:history="1">
        <w:r>
          <w:rPr>
            <w:rStyle w:val="Hyperlink"/>
            <w:rFonts w:ascii="Times New Roman" w:hAnsi="Times New Roman"/>
          </w:rPr>
          <w:t>https://eur-lex.europa.eu/legal-content/NL/TXT/?uri=CELEX:32021R2089</w:t>
        </w:r>
      </w:hyperlink>
      <w:r>
        <w:rPr>
          <w:rFonts w:ascii="Times New Roman" w:hAnsi="Times New Roman"/>
        </w:rPr>
        <w:t>.</w:t>
      </w:r>
    </w:p>
  </w:footnote>
  <w:footnote w:id="7">
    <w:p w14:paraId="37C11D83" w14:textId="72039351" w:rsidR="00DA4B2F" w:rsidRPr="00DA4B2F" w:rsidRDefault="00DA4B2F" w:rsidP="00D54ED3">
      <w:pPr>
        <w:pStyle w:val="FootnoteText"/>
        <w:ind w:left="426" w:hanging="426"/>
        <w:rPr>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sz w:val="24"/>
        </w:rPr>
        <w:t xml:space="preserve"> </w:t>
      </w:r>
      <w:r>
        <w:tab/>
      </w:r>
      <w:r>
        <w:rPr>
          <w:rFonts w:ascii="Times New Roman" w:hAnsi="Times New Roman"/>
        </w:rPr>
        <w:t xml:space="preserve">PB L 453 van 17.12.2021, blz. 1, ELI: </w:t>
      </w:r>
      <w:hyperlink r:id="rId5" w:history="1">
        <w:r>
          <w:rPr>
            <w:rStyle w:val="Hyperlink"/>
            <w:rFonts w:ascii="Times New Roman" w:hAnsi="Times New Roman"/>
          </w:rPr>
          <w:t>https://eur-lex.europa.eu/legal-content/NL/TXT/?uri=CELEX:32021R2244</w:t>
        </w:r>
      </w:hyperlink>
      <w:r>
        <w:rPr>
          <w:rFonts w:ascii="Times New Roman" w:hAnsi="Times New Roman"/>
        </w:rPr>
        <w:t xml:space="preserve">. </w:t>
      </w:r>
    </w:p>
  </w:footnote>
  <w:footnote w:id="8">
    <w:p w14:paraId="16666CCD" w14:textId="0E377E0B" w:rsidR="00B42A0F" w:rsidRPr="00264A0C" w:rsidRDefault="00B42A0F"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461 van 27.12.2021, blz. 5, ELI: </w:t>
      </w:r>
      <w:hyperlink r:id="rId6" w:history="1">
        <w:r>
          <w:rPr>
            <w:rStyle w:val="Hyperlink"/>
            <w:rFonts w:ascii="Times New Roman" w:hAnsi="Times New Roman"/>
          </w:rPr>
          <w:t>https://eur-lex.europa.eu/legal-content/NL/TXT/?uri=CELEX:32021R2305</w:t>
        </w:r>
      </w:hyperlink>
      <w:r>
        <w:rPr>
          <w:rFonts w:ascii="Times New Roman" w:hAnsi="Times New Roman"/>
        </w:rPr>
        <w:t>.</w:t>
      </w:r>
    </w:p>
  </w:footnote>
  <w:footnote w:id="9">
    <w:p w14:paraId="76F975F5" w14:textId="01EB29F7" w:rsidR="00150F7B" w:rsidRPr="00150F7B" w:rsidRDefault="00150F7B"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122 van 25.4.2022, blz. 17, ELI: </w:t>
      </w:r>
      <w:hyperlink r:id="rId7" w:history="1">
        <w:r>
          <w:rPr>
            <w:rStyle w:val="Hyperlink"/>
            <w:rFonts w:ascii="Times New Roman" w:hAnsi="Times New Roman"/>
          </w:rPr>
          <w:t>https://eur-lex.europa.eu/legal-content/NL/TXT/?uri=CELEX:32022R0671</w:t>
        </w:r>
      </w:hyperlink>
      <w:r>
        <w:rPr>
          <w:rFonts w:ascii="Times New Roman" w:hAnsi="Times New Roman"/>
        </w:rPr>
        <w:t xml:space="preserve">. </w:t>
      </w:r>
    </w:p>
  </w:footnote>
  <w:footnote w:id="10">
    <w:p w14:paraId="13EEE3CF" w14:textId="35B5A486" w:rsidR="00A9029F" w:rsidRPr="005932C6" w:rsidRDefault="00A9029F"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162 van 17.6.2022, blz. 7, ELI: </w:t>
      </w:r>
      <w:hyperlink r:id="rId8" w:history="1">
        <w:r>
          <w:rPr>
            <w:rStyle w:val="Hyperlink"/>
            <w:rFonts w:ascii="Times New Roman" w:hAnsi="Times New Roman"/>
          </w:rPr>
          <w:t>https://eur-lex.europa.eu/legal-content/NL/TXT/?uri=CELEX:32022R0931</w:t>
        </w:r>
      </w:hyperlink>
      <w:r>
        <w:rPr>
          <w:rFonts w:ascii="Times New Roman" w:hAnsi="Times New Roman"/>
        </w:rPr>
        <w:t>.</w:t>
      </w:r>
    </w:p>
  </w:footnote>
  <w:footnote w:id="11">
    <w:p w14:paraId="4BB83D6D" w14:textId="607FE3BD" w:rsidR="005328DE" w:rsidRPr="0012148C" w:rsidRDefault="005328D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PB L 154, 7.6.2022, blz.</w:t>
      </w:r>
      <w:bookmarkStart w:id="3" w:name="_Hlk231460693"/>
      <w:r>
        <w:rPr>
          <w:rFonts w:ascii="Times New Roman" w:hAnsi="Times New Roman"/>
        </w:rPr>
        <w:t xml:space="preserve"> </w:t>
      </w:r>
      <w:bookmarkEnd w:id="3"/>
      <w:r>
        <w:rPr>
          <w:rFonts w:ascii="Times New Roman" w:hAnsi="Times New Roman"/>
        </w:rPr>
        <w:t xml:space="preserve">23, ELI: </w:t>
      </w:r>
      <w:hyperlink r:id="rId9" w:history="1">
        <w:r>
          <w:rPr>
            <w:rStyle w:val="Hyperlink"/>
            <w:rFonts w:ascii="Times New Roman" w:hAnsi="Times New Roman"/>
          </w:rPr>
          <w:t>https://eur-lex.europa.eu/legal-content/NL/TXT/?uri=CELEX:32022R0887</w:t>
        </w:r>
      </w:hyperlink>
      <w:r>
        <w:rPr>
          <w:rFonts w:ascii="Times New Roman" w:hAnsi="Times New Roman"/>
        </w:rPr>
        <w:t>.</w:t>
      </w:r>
    </w:p>
  </w:footnote>
  <w:footnote w:id="12">
    <w:p w14:paraId="6E0981A8" w14:textId="2550B256" w:rsidR="001A1A52" w:rsidRPr="0012148C" w:rsidRDefault="001A1A52"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243 van 20.9.2022, blz. 1, ELI: </w:t>
      </w:r>
      <w:hyperlink r:id="rId10" w:history="1">
        <w:r>
          <w:rPr>
            <w:rStyle w:val="Hyperlink"/>
            <w:rFonts w:ascii="Times New Roman" w:hAnsi="Times New Roman"/>
          </w:rPr>
          <w:t>https://eur-lex.europa.eu/legal-content/NL/TXT/?uri=CELEX:32022R1615</w:t>
        </w:r>
      </w:hyperlink>
      <w:r>
        <w:rPr>
          <w:rFonts w:ascii="Times New Roman" w:hAnsi="Times New Roman"/>
        </w:rPr>
        <w:t>.</w:t>
      </w:r>
    </w:p>
  </w:footnote>
  <w:footnote w:id="13">
    <w:p w14:paraId="6FC13B8E" w14:textId="23D65D91" w:rsidR="002C576B" w:rsidRPr="002C576B" w:rsidRDefault="002C576B"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248 van 26.9.2022, blz. 3, ELI: </w:t>
      </w:r>
      <w:hyperlink r:id="rId11" w:history="1">
        <w:r>
          <w:rPr>
            <w:rStyle w:val="Hyperlink"/>
            <w:rFonts w:ascii="Times New Roman" w:hAnsi="Times New Roman"/>
          </w:rPr>
          <w:t>https://eur-lex.europa.eu/legal-content/NL/TXT/?uri=CELEX:32022R1644</w:t>
        </w:r>
      </w:hyperlink>
      <w:r>
        <w:rPr>
          <w:rFonts w:ascii="Times New Roman" w:hAnsi="Times New Roman"/>
        </w:rPr>
        <w:t>.</w:t>
      </w:r>
    </w:p>
  </w:footnote>
  <w:footnote w:id="14">
    <w:p w14:paraId="2CF8D97C" w14:textId="71D052B9" w:rsidR="00E80539" w:rsidRPr="00726C37" w:rsidRDefault="00E80539"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251 van 29.9.2022, blz. 4, ELI: </w:t>
      </w:r>
      <w:hyperlink r:id="rId12" w:history="1">
        <w:r>
          <w:rPr>
            <w:rStyle w:val="Hyperlink"/>
            <w:rFonts w:ascii="Times New Roman" w:hAnsi="Times New Roman"/>
          </w:rPr>
          <w:t>https://eur-lex.europa.eu/legal-content/NL/TXT/?uri=CELEX:32022R1667</w:t>
        </w:r>
      </w:hyperlink>
      <w:r>
        <w:rPr>
          <w:rFonts w:ascii="Times New Roman" w:hAnsi="Times New Roman"/>
        </w:rPr>
        <w:t xml:space="preserve">. </w:t>
      </w:r>
    </w:p>
  </w:footnote>
  <w:footnote w:id="15">
    <w:p w14:paraId="2315530D" w14:textId="6002753F" w:rsidR="007C07B6" w:rsidRPr="00726C37" w:rsidRDefault="007C07B6"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304 van 24.11.2022, blz. 1, ELI: </w:t>
      </w:r>
      <w:hyperlink r:id="rId13" w:history="1">
        <w:r>
          <w:rPr>
            <w:rStyle w:val="Hyperlink"/>
            <w:rFonts w:ascii="Times New Roman" w:hAnsi="Times New Roman"/>
          </w:rPr>
          <w:t>https://eur-lex.europa.eu/legal-content/NL/TXT/?uri=CELEX:32022R2292</w:t>
        </w:r>
      </w:hyperlink>
      <w:r>
        <w:rPr>
          <w:rFonts w:ascii="Times New Roman" w:hAnsi="Times New Roman"/>
        </w:rPr>
        <w:t>.</w:t>
      </w:r>
    </w:p>
  </w:footnote>
  <w:footnote w:id="16">
    <w:p w14:paraId="7B2A05EE" w14:textId="5958DD68" w:rsidR="007C07B6" w:rsidRPr="00726C37" w:rsidRDefault="007C07B6"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299 van 18.11.2022, blz. 5, ELI: </w:t>
      </w:r>
      <w:hyperlink r:id="rId14" w:history="1">
        <w:r>
          <w:rPr>
            <w:rStyle w:val="Hyperlink"/>
            <w:rFonts w:ascii="Times New Roman" w:hAnsi="Times New Roman"/>
          </w:rPr>
          <w:t>https://eur-lex.europa.eu/legal-content/NL/TXT/?uri=CELEX:32022R2258</w:t>
        </w:r>
      </w:hyperlink>
      <w:r>
        <w:rPr>
          <w:rFonts w:ascii="Times New Roman" w:hAnsi="Times New Roman"/>
        </w:rPr>
        <w:t>.</w:t>
      </w:r>
    </w:p>
  </w:footnote>
  <w:footnote w:id="17">
    <w:p w14:paraId="56FB643A" w14:textId="3AF120CC" w:rsidR="0034452E" w:rsidRPr="00264A0C" w:rsidRDefault="0034452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26 van 30.1.2023, blz. 5, ELI: </w:t>
      </w:r>
      <w:hyperlink r:id="rId15" w:history="1">
        <w:r>
          <w:rPr>
            <w:rStyle w:val="Hyperlink"/>
            <w:rFonts w:ascii="Times New Roman" w:hAnsi="Times New Roman"/>
          </w:rPr>
          <w:t>https://eur-lex.europa.eu/legal-content/NL/TXT/?uri=CELEX:32023R0182</w:t>
        </w:r>
      </w:hyperlink>
      <w:r>
        <w:rPr>
          <w:rFonts w:ascii="Times New Roman" w:hAnsi="Times New Roman"/>
        </w:rPr>
        <w:t>.</w:t>
      </w:r>
    </w:p>
  </w:footnote>
  <w:footnote w:id="18">
    <w:p w14:paraId="25099B72" w14:textId="4F840A86" w:rsidR="0034452E" w:rsidRPr="00264A0C" w:rsidRDefault="0034452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109 van 24.4.2023, blz. 1, ELI: </w:t>
      </w:r>
      <w:hyperlink r:id="rId16" w:history="1">
        <w:r>
          <w:rPr>
            <w:rStyle w:val="Hyperlink"/>
            <w:rFonts w:ascii="Times New Roman" w:hAnsi="Times New Roman"/>
          </w:rPr>
          <w:t>https://eur-lex.europa.eu/legal-content/NL/TXT/?uri=CELEX:32023R0842</w:t>
        </w:r>
      </w:hyperlink>
      <w:r>
        <w:rPr>
          <w:rFonts w:ascii="Times New Roman" w:hAnsi="Times New Roman"/>
        </w:rPr>
        <w:t>.</w:t>
      </w:r>
    </w:p>
  </w:footnote>
  <w:footnote w:id="19">
    <w:p w14:paraId="04267168" w14:textId="17949D69"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152 van 13.6.2023, blz. 1, ELI: </w:t>
      </w:r>
      <w:hyperlink r:id="rId17" w:history="1">
        <w:r>
          <w:rPr>
            <w:rStyle w:val="Hyperlink"/>
            <w:rFonts w:ascii="Times New Roman" w:hAnsi="Times New Roman"/>
          </w:rPr>
          <w:t>https://eur-lex.europa.eu/legal-content/NL/TXT/?uri=CELEX:32023R1149</w:t>
        </w:r>
      </w:hyperlink>
      <w:r>
        <w:rPr>
          <w:rFonts w:ascii="Times New Roman" w:hAnsi="Times New Roman"/>
        </w:rPr>
        <w:t>.</w:t>
      </w:r>
    </w:p>
  </w:footnote>
  <w:footnote w:id="20">
    <w:p w14:paraId="2EA6F87F" w14:textId="3B6779BF"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216 van 1.9.2023, blz. 1, ELI: </w:t>
      </w:r>
      <w:hyperlink r:id="rId18" w:history="1">
        <w:r>
          <w:rPr>
            <w:rStyle w:val="Hyperlink"/>
            <w:rFonts w:ascii="Times New Roman" w:hAnsi="Times New Roman"/>
          </w:rPr>
          <w:t>https://eur-lex.europa.eu/legal-content/NL/TXT/?uri=CELEX:32023R1674</w:t>
        </w:r>
      </w:hyperlink>
      <w:r>
        <w:rPr>
          <w:rFonts w:ascii="Times New Roman" w:hAnsi="Times New Roman"/>
        </w:rPr>
        <w:t>.</w:t>
      </w:r>
    </w:p>
  </w:footnote>
  <w:footnote w:id="21">
    <w:p w14:paraId="0170EFA0" w14:textId="0BB65B7F" w:rsidR="00295DC4" w:rsidRPr="0012148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2023/2652, 28.11.2023, ELI: </w:t>
      </w:r>
      <w:hyperlink r:id="rId19" w:history="1">
        <w:r>
          <w:rPr>
            <w:rStyle w:val="Hyperlink"/>
            <w:rFonts w:ascii="Times New Roman" w:hAnsi="Times New Roman"/>
          </w:rPr>
          <w:t>https://eur-lex.europa.eu/legal-content/NL/TXT/?uri=CELEX:32023R2652</w:t>
        </w:r>
      </w:hyperlink>
      <w:r>
        <w:rPr>
          <w:rFonts w:ascii="Times New Roman" w:hAnsi="Times New Roman"/>
        </w:rPr>
        <w:t>.</w:t>
      </w:r>
    </w:p>
  </w:footnote>
  <w:footnote w:id="22">
    <w:p w14:paraId="5DB14DB0" w14:textId="6DE0D912"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2024/950, 26.3.2024, ELI: </w:t>
      </w:r>
      <w:hyperlink r:id="rId20" w:history="1">
        <w:r>
          <w:rPr>
            <w:rStyle w:val="Hyperlink"/>
            <w:rFonts w:ascii="Times New Roman" w:hAnsi="Times New Roman"/>
          </w:rPr>
          <w:t>https://eur-lex.europa.eu/legal-content/NL/TXT/?uri=CELEX:32024R0950</w:t>
        </w:r>
      </w:hyperlink>
      <w:r>
        <w:rPr>
          <w:rFonts w:ascii="Times New Roman" w:hAnsi="Times New Roman"/>
        </w:rPr>
        <w:t>.</w:t>
      </w:r>
    </w:p>
  </w:footnote>
  <w:footnote w:id="23">
    <w:p w14:paraId="476A747D" w14:textId="65F481BF" w:rsidR="00E0684D" w:rsidRPr="00264A0C" w:rsidRDefault="00E0684D"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2024/1004, 3.4.2024, ELI: </w:t>
      </w:r>
      <w:hyperlink r:id="rId21" w:history="1">
        <w:r>
          <w:rPr>
            <w:rStyle w:val="Hyperlink"/>
            <w:rFonts w:ascii="Times New Roman" w:hAnsi="Times New Roman"/>
          </w:rPr>
          <w:t>https://eur-lex.europa.eu/legal-content/NL/TXT/?uri=CELEX:32024R1004</w:t>
        </w:r>
      </w:hyperlink>
      <w:r>
        <w:rPr>
          <w:rFonts w:ascii="Times New Roman" w:hAnsi="Times New Roman"/>
        </w:rPr>
        <w:t>.</w:t>
      </w:r>
    </w:p>
  </w:footnote>
  <w:footnote w:id="24">
    <w:p w14:paraId="4A76CB59" w14:textId="40F7B77B" w:rsidR="00BB7C34" w:rsidRPr="00BB7C34" w:rsidRDefault="00BB7C34"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2024/2562, 27.9.2024, ELI: </w:t>
      </w:r>
      <w:hyperlink r:id="rId22" w:history="1">
        <w:r>
          <w:rPr>
            <w:rStyle w:val="Hyperlink"/>
            <w:rFonts w:ascii="Times New Roman" w:hAnsi="Times New Roman"/>
          </w:rPr>
          <w:t>https://eur-lex.europa.eu/legal-content/NL/TXT/?uri=CELEX:32024R2562</w:t>
        </w:r>
      </w:hyperlink>
      <w:r>
        <w:rPr>
          <w:rFonts w:ascii="Times New Roman" w:hAnsi="Times New Roman"/>
        </w:rPr>
        <w:t>.</w:t>
      </w:r>
    </w:p>
  </w:footnote>
  <w:footnote w:id="25">
    <w:p w14:paraId="2CF86AEA" w14:textId="7A46B1D6" w:rsidR="0012410E" w:rsidRPr="00264A0C" w:rsidRDefault="0012410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2024/2104, 25.9.2024, ELI: </w:t>
      </w:r>
      <w:hyperlink r:id="rId23" w:history="1">
        <w:r>
          <w:rPr>
            <w:rStyle w:val="Hyperlink"/>
            <w:rFonts w:ascii="Times New Roman" w:hAnsi="Times New Roman"/>
          </w:rPr>
          <w:t>https://eur-lex.europa.eu/legal-content/NL/TXT/?uri=CELEX:32024R2104</w:t>
        </w:r>
      </w:hyperlink>
      <w:r>
        <w:rPr>
          <w:rFonts w:ascii="Times New Roman" w:hAnsi="Times New Roman"/>
        </w:rPr>
        <w:t>.</w:t>
      </w:r>
    </w:p>
  </w:footnote>
  <w:footnote w:id="26">
    <w:p w14:paraId="11AE4E3D" w14:textId="05215BE0" w:rsidR="0012410E" w:rsidRPr="00264A0C" w:rsidRDefault="0012410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2025/65, 14.1.2025, ELI: </w:t>
      </w:r>
      <w:hyperlink r:id="rId24" w:history="1">
        <w:r>
          <w:rPr>
            <w:rStyle w:val="Hyperlink"/>
            <w:rFonts w:ascii="Times New Roman" w:hAnsi="Times New Roman"/>
          </w:rPr>
          <w:t>https://eur-lex.europa.eu/legal-content/NL/TXT/?uri=CELEX:32025R0065</w:t>
        </w:r>
      </w:hyperlink>
      <w:r>
        <w:rPr>
          <w:rFonts w:ascii="Times New Roman" w:hAnsi="Times New Roman"/>
        </w:rPr>
        <w:t>.</w:t>
      </w:r>
    </w:p>
  </w:footnote>
  <w:footnote w:id="27">
    <w:p w14:paraId="69B2FB88" w14:textId="6BCE6109" w:rsidR="004C25F3" w:rsidRPr="00264A0C" w:rsidRDefault="004C25F3"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2025/637, 29.4.2025, ELI: </w:t>
      </w:r>
      <w:hyperlink r:id="rId25" w:history="1">
        <w:r>
          <w:rPr>
            <w:rStyle w:val="Hyperlink"/>
            <w:rFonts w:ascii="Times New Roman" w:hAnsi="Times New Roman"/>
          </w:rPr>
          <w:t>https://eur-lex.europa.eu/legal-content/NL/TXT/?uri=CELEX:32025R0637</w:t>
        </w:r>
      </w:hyperlink>
      <w:r>
        <w:rPr>
          <w:rFonts w:ascii="Times New Roman" w:hAnsi="Times New Roman"/>
        </w:rPr>
        <w:t>.</w:t>
      </w:r>
    </w:p>
  </w:footnote>
  <w:footnote w:id="28">
    <w:p w14:paraId="79894E3C" w14:textId="676D8D1B" w:rsidR="004C25F3" w:rsidRPr="00264A0C" w:rsidRDefault="004C25F3"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2025/687, 7.4.2025, ELI: </w:t>
      </w:r>
      <w:hyperlink r:id="rId26" w:history="1">
        <w:r>
          <w:rPr>
            <w:rStyle w:val="Hyperlink"/>
            <w:rFonts w:ascii="Times New Roman" w:hAnsi="Times New Roman"/>
          </w:rPr>
          <w:t>https://eur-lex.europa.eu/legal-content/NL/TXT/?uri=CELEX:32025R0687</w:t>
        </w:r>
      </w:hyperlink>
      <w:r>
        <w:rPr>
          <w:rFonts w:ascii="Times New Roman" w:hAnsi="Times New Roman"/>
        </w:rPr>
        <w:t>.</w:t>
      </w:r>
    </w:p>
  </w:footnote>
  <w:footnote w:id="29">
    <w:p w14:paraId="104CE6C6" w14:textId="70CB21F1" w:rsidR="00E75DBC" w:rsidRPr="00E75DBC" w:rsidRDefault="00E75DBC"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PB L, 2026/273, 13.4.2026, ELI: </w:t>
      </w:r>
      <w:hyperlink r:id="rId27" w:history="1">
        <w:r>
          <w:rPr>
            <w:rStyle w:val="Hyperlink"/>
            <w:rFonts w:ascii="Times New Roman" w:hAnsi="Times New Roman"/>
          </w:rPr>
          <w:t>https://eur-lex.europa.eu/legal-content/NL/TXT/?uri=CELEX:32026R0273</w:t>
        </w:r>
      </w:hyperlink>
      <w:r>
        <w:rPr>
          <w:rFonts w:ascii="Times New Roman" w:hAnsi="Times New Roman"/>
        </w:rPr>
        <w:t xml:space="preserve">.  </w:t>
      </w:r>
    </w:p>
  </w:footnote>
  <w:footnote w:id="30">
    <w:p w14:paraId="2A1E8020" w14:textId="1B379AFE" w:rsidR="0064029C" w:rsidRPr="0012148C" w:rsidRDefault="008A126D"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Interinstitutioneel Akkoord van 13 april 2016 tussen het Europees Parlement, de Raad van de Europese Unie en de Europese Commissie over beter wetgeven (PB L, 123, 12.5.2016, blz. 1, ELI: </w:t>
      </w:r>
      <w:hyperlink r:id="rId28" w:history="1">
        <w:r>
          <w:rPr>
            <w:rStyle w:val="Hyperlink"/>
            <w:rFonts w:ascii="Times New Roman" w:hAnsi="Times New Roman"/>
          </w:rPr>
          <w:t>https://eur-lex.europa.eu/legal-content/NL/TXT/?uri=CELEX:32016Q0512(01)</w:t>
        </w:r>
      </w:hyperlink>
      <w:r>
        <w:rPr>
          <w:rFonts w:ascii="Times New Roman" w:hAnsi="Times New Roman"/>
        </w:rPr>
        <w:t>), deel V, punt 31.</w:t>
      </w:r>
    </w:p>
  </w:footnote>
  <w:footnote w:id="31">
    <w:p w14:paraId="74072886" w14:textId="572C5316" w:rsidR="00BA1C85" w:rsidRPr="0012148C" w:rsidRDefault="00BA1C85"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bookmarkStart w:id="4" w:name="_Hlk230786030"/>
      <w:r>
        <w:rPr>
          <w:rFonts w:ascii="Times New Roman" w:hAnsi="Times New Roman"/>
        </w:rPr>
        <w:t xml:space="preserve"> </w:t>
      </w:r>
      <w:r>
        <w:tab/>
      </w:r>
      <w:r>
        <w:rPr>
          <w:rFonts w:ascii="Times New Roman" w:hAnsi="Times New Roman"/>
        </w:rPr>
        <w:t>De gedelegeerde handeling zal onder meer gebaseerd zijn op de gewijzigde versie van artikel 41, indien de door de Commissie voorgestelde wijziging in haar voorstel voor een verordening tot wijziging van onder meer Verordening (EU) 2017/625 (COM(2025) 1030 final) wordt aangenomen.</w:t>
      </w:r>
    </w:p>
    <w:bookmarkEnd w:id="4"/>
  </w:footnote>
  <w:footnote w:id="32">
    <w:p w14:paraId="7198DF9C" w14:textId="65FDB538" w:rsidR="008358FA" w:rsidRPr="0012148C" w:rsidRDefault="008358FA"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Verordening (EU) nr. 952/2013 van het Europees Parlement en van de Raad van 9 oktober 2013 tot vaststelling van het douanewetboek van de Unie (herschikking) (PB L 269 van 10.10.2013, blz. 1, ELI: </w:t>
      </w:r>
      <w:hyperlink r:id="rId29" w:history="1">
        <w:r>
          <w:rPr>
            <w:rStyle w:val="Hyperlink"/>
            <w:rFonts w:ascii="Times New Roman" w:hAnsi="Times New Roman"/>
          </w:rPr>
          <w:t>https://eur-lex.europa.eu/legal-content/NL/TXT/?uri=CELEX:32013R0952</w:t>
        </w:r>
      </w:hyperlink>
      <w:r>
        <w:rPr>
          <w:rFonts w:ascii="Times New Roman" w:hAnsi="Times New Roman"/>
        </w:rPr>
        <w:t xml:space="preserve">). </w:t>
      </w:r>
    </w:p>
  </w:footnote>
  <w:footnote w:id="33">
    <w:p w14:paraId="271E1396" w14:textId="511E05A0" w:rsidR="00214F77" w:rsidRPr="00CB5E62" w:rsidRDefault="00214F77"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rPr>
        <w:t xml:space="preserve"> </w:t>
      </w:r>
      <w:r>
        <w:tab/>
      </w:r>
      <w:r>
        <w:rPr>
          <w:rFonts w:ascii="Times New Roman" w:hAnsi="Times New Roman"/>
        </w:rPr>
        <w:t xml:space="preserve">Gedelegeerde Verordening (EU) 2019/1012 van de Commissie van 12 maart 2019 tot aanvulling van Verordening (EU) 2017/625 van het Europees Parlement en de Raad door af te wijken van de voorschriften inzake de aanwijzing van controlepunten en de minimumvoorschriften voor grenscontroleposten (PB L 165, 21.6.2019, blz. 4, ELI: </w:t>
      </w:r>
      <w:hyperlink r:id="rId30" w:history="1">
        <w:r>
          <w:rPr>
            <w:rStyle w:val="Hyperlink"/>
            <w:rFonts w:ascii="Times New Roman" w:hAnsi="Times New Roman"/>
          </w:rPr>
          <w:t>https://eur-lex.europa.eu/legal-content/NL/TXT/?uri=CELEX:32019R1012</w:t>
        </w:r>
      </w:hyperlink>
      <w:r>
        <w:rPr>
          <w:rFonts w:ascii="Times New Roman" w:hAnsi="Times New Roman"/>
        </w:rPr>
        <w:t>).</w:t>
      </w:r>
    </w:p>
  </w:footnote>
  <w:footnote w:id="34">
    <w:p w14:paraId="58781BE7" w14:textId="272D2D24" w:rsidR="00803ADC" w:rsidRPr="0012148C" w:rsidRDefault="00FC1BFF"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 gedelegeerde handeling zal onder meer gebaseerd zijn op de gewijzigde versie van artikel 100, lid 6, indien de door de Commissie voorgestelde wijziging in haar voorstel voor een verordening tot wijziging van onder meer Verordening (EU) 2017/625 (COM(2025) 1030 final) wordt aangenomen.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16240" w14:textId="77777777" w:rsidR="00D835D0" w:rsidRPr="00D835D0" w:rsidRDefault="00D835D0" w:rsidP="00D835D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8F86C" w14:textId="77777777" w:rsidR="00D835D0" w:rsidRPr="00D835D0" w:rsidRDefault="00D835D0" w:rsidP="00D835D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192FC" w14:textId="77777777" w:rsidR="00D835D0" w:rsidRPr="00D835D0" w:rsidRDefault="00D835D0" w:rsidP="00D835D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4D86" w14:textId="77777777" w:rsidR="0064029C" w:rsidRDefault="00640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1EFB" w14:textId="77777777" w:rsidR="0064029C" w:rsidRPr="002F11D0" w:rsidRDefault="0064029C">
    <w:pPr>
      <w:pStyle w:val="Header"/>
      <w:rPr>
        <w:rFonts w:ascii="Times New Roman" w:hAnsi="Times New Roman" w:cs="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BBC58" w14:textId="77777777" w:rsidR="0064029C" w:rsidRDefault="00640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7AA4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8C69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680E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E620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E8F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EAD4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345F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469C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AC76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38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151C93"/>
    <w:multiLevelType w:val="hybridMultilevel"/>
    <w:tmpl w:val="47200D60"/>
    <w:lvl w:ilvl="0" w:tplc="A1548A2C">
      <w:start w:val="1"/>
      <w:numFmt w:val="bullet"/>
      <w:pStyle w:val="Bullet0"/>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216557"/>
    <w:multiLevelType w:val="hybridMultilevel"/>
    <w:tmpl w:val="C5C0F164"/>
    <w:lvl w:ilvl="0" w:tplc="2A18245C">
      <w:start w:val="1"/>
      <w:numFmt w:val="decimal"/>
      <w:pStyle w:val="ManualHeading1"/>
      <w:lvlText w:val="%1."/>
      <w:lvlJc w:val="left"/>
      <w:pPr>
        <w:ind w:left="360" w:hanging="360"/>
      </w:pPr>
      <w:rPr>
        <w:rFonts w:hint="default"/>
        <w:b/>
      </w:rPr>
    </w:lvl>
    <w:lvl w:ilvl="1" w:tplc="0809000F">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AE85FC7"/>
    <w:multiLevelType w:val="hybridMultilevel"/>
    <w:tmpl w:val="373EBB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1"/>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89CF1DF-2D2D-4ABA-92B0-365EA042CAE1"/>
    <w:docVar w:name="LW_COVERPAGE_TYPE" w:val="1"/>
    <w:docVar w:name="LW_CROSSREFERENCE" w:val="&lt;UNUSED&gt;"/>
    <w:docVar w:name="LW_DocType" w:val="NORMAL"/>
    <w:docVar w:name="LW_EMISSION" w:val="8.7.2026"/>
    <w:docVar w:name="LW_EMISSION_ISODATE" w:val="2026-07-08"/>
    <w:docVar w:name="LW_EMISSION_LOCATION" w:val="BRX"/>
    <w:docVar w:name="LW_EMISSION_PREFIX" w:val="Brussel, "/>
    <w:docVar w:name="LW_EMISSION_SUFFIX" w:val=" "/>
    <w:docVar w:name="LW_ID_DOCTYPE_NONLW" w:val="CP-006"/>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6) 3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ver de uitoefening van de bevoegdheid om gedelegeerde handelingen vast te stellen die aan de Commissie is toegekend krachtens Verordening (EU) 2017/625 van het Europees Parlement en de Raad betreffende officiële controles en andere officiële activiteiten die worden uitgevoerd om de toepassing van de levensmiddelen- en diervoederwetgeving en van de voorschriften inzake diergezondheid, dierenwelzijn, plantgezondheid en gewasbeschermingsmiddelen te waarborgen (\u8220?verordening officiële controles\u8221?)"/>
    <w:docVar w:name="LW_TYPE.DOC.CP" w:val="VERSLAG VAN DE COMMISSIE AAN HET EUROPEES PARLEMENT EN DE RAAD"/>
    <w:docVar w:name="LwApiVersions" w:val="LW4CoDe 1.24.5.0; LW 9.2, Build 20251112"/>
  </w:docVars>
  <w:rsids>
    <w:rsidRoot w:val="0064029C"/>
    <w:rsid w:val="00005E7C"/>
    <w:rsid w:val="00010A89"/>
    <w:rsid w:val="00012A68"/>
    <w:rsid w:val="00012FF7"/>
    <w:rsid w:val="0001481A"/>
    <w:rsid w:val="00014E8A"/>
    <w:rsid w:val="000166AF"/>
    <w:rsid w:val="00021FB5"/>
    <w:rsid w:val="000306A1"/>
    <w:rsid w:val="00030A6F"/>
    <w:rsid w:val="00030A7E"/>
    <w:rsid w:val="00035CB2"/>
    <w:rsid w:val="00047191"/>
    <w:rsid w:val="000478BD"/>
    <w:rsid w:val="00047C3B"/>
    <w:rsid w:val="00054076"/>
    <w:rsid w:val="00057FEC"/>
    <w:rsid w:val="00062092"/>
    <w:rsid w:val="0006399F"/>
    <w:rsid w:val="00064E7E"/>
    <w:rsid w:val="00072BDD"/>
    <w:rsid w:val="0007431C"/>
    <w:rsid w:val="00076973"/>
    <w:rsid w:val="00076EAB"/>
    <w:rsid w:val="00077D21"/>
    <w:rsid w:val="00086650"/>
    <w:rsid w:val="00087A35"/>
    <w:rsid w:val="000904FF"/>
    <w:rsid w:val="00095D89"/>
    <w:rsid w:val="00097438"/>
    <w:rsid w:val="000A43E5"/>
    <w:rsid w:val="000A5427"/>
    <w:rsid w:val="000A5756"/>
    <w:rsid w:val="000A65E7"/>
    <w:rsid w:val="000B28C0"/>
    <w:rsid w:val="000B76D6"/>
    <w:rsid w:val="000C26D9"/>
    <w:rsid w:val="000C6172"/>
    <w:rsid w:val="000D07A6"/>
    <w:rsid w:val="000D679B"/>
    <w:rsid w:val="000D7B38"/>
    <w:rsid w:val="000E3B20"/>
    <w:rsid w:val="000E3FA0"/>
    <w:rsid w:val="000E3FA8"/>
    <w:rsid w:val="000E74C0"/>
    <w:rsid w:val="000E7A5D"/>
    <w:rsid w:val="000F0B3B"/>
    <w:rsid w:val="000F4C77"/>
    <w:rsid w:val="000F528A"/>
    <w:rsid w:val="000F5767"/>
    <w:rsid w:val="000F59B2"/>
    <w:rsid w:val="000F661E"/>
    <w:rsid w:val="000F795B"/>
    <w:rsid w:val="00105F9D"/>
    <w:rsid w:val="00110663"/>
    <w:rsid w:val="001119C4"/>
    <w:rsid w:val="001135A5"/>
    <w:rsid w:val="0012148C"/>
    <w:rsid w:val="00123670"/>
    <w:rsid w:val="0012410E"/>
    <w:rsid w:val="00125C99"/>
    <w:rsid w:val="00135FF5"/>
    <w:rsid w:val="001361D5"/>
    <w:rsid w:val="00141F9B"/>
    <w:rsid w:val="001428D3"/>
    <w:rsid w:val="001505CF"/>
    <w:rsid w:val="00150C03"/>
    <w:rsid w:val="00150F7B"/>
    <w:rsid w:val="001525E2"/>
    <w:rsid w:val="0015381C"/>
    <w:rsid w:val="00154C02"/>
    <w:rsid w:val="00154D0E"/>
    <w:rsid w:val="0015589A"/>
    <w:rsid w:val="001566CA"/>
    <w:rsid w:val="001569FF"/>
    <w:rsid w:val="00161B9D"/>
    <w:rsid w:val="001626E6"/>
    <w:rsid w:val="00166068"/>
    <w:rsid w:val="001667A7"/>
    <w:rsid w:val="0017280F"/>
    <w:rsid w:val="001736BC"/>
    <w:rsid w:val="001737A8"/>
    <w:rsid w:val="0017584C"/>
    <w:rsid w:val="00180F8B"/>
    <w:rsid w:val="0018105C"/>
    <w:rsid w:val="0018198E"/>
    <w:rsid w:val="00183B88"/>
    <w:rsid w:val="00184B90"/>
    <w:rsid w:val="00184F63"/>
    <w:rsid w:val="00186D7D"/>
    <w:rsid w:val="00186E18"/>
    <w:rsid w:val="001906CA"/>
    <w:rsid w:val="00190879"/>
    <w:rsid w:val="00190C80"/>
    <w:rsid w:val="001927A9"/>
    <w:rsid w:val="00193D61"/>
    <w:rsid w:val="001940B9"/>
    <w:rsid w:val="00195D6D"/>
    <w:rsid w:val="001974C7"/>
    <w:rsid w:val="001977AA"/>
    <w:rsid w:val="001A0A67"/>
    <w:rsid w:val="001A1A52"/>
    <w:rsid w:val="001A337D"/>
    <w:rsid w:val="001A5493"/>
    <w:rsid w:val="001A5776"/>
    <w:rsid w:val="001B3C7E"/>
    <w:rsid w:val="001B4A37"/>
    <w:rsid w:val="001B5C8F"/>
    <w:rsid w:val="001C17CF"/>
    <w:rsid w:val="001C1E4D"/>
    <w:rsid w:val="001C28B2"/>
    <w:rsid w:val="001C7413"/>
    <w:rsid w:val="001C7F02"/>
    <w:rsid w:val="001D2928"/>
    <w:rsid w:val="001D37CF"/>
    <w:rsid w:val="001D3FA2"/>
    <w:rsid w:val="001D687F"/>
    <w:rsid w:val="001D7F40"/>
    <w:rsid w:val="001E1DAA"/>
    <w:rsid w:val="001E3986"/>
    <w:rsid w:val="001E57CE"/>
    <w:rsid w:val="001E60AD"/>
    <w:rsid w:val="001E7695"/>
    <w:rsid w:val="001E7FD1"/>
    <w:rsid w:val="001F001B"/>
    <w:rsid w:val="001F1B2B"/>
    <w:rsid w:val="001F60D9"/>
    <w:rsid w:val="001F793A"/>
    <w:rsid w:val="001F796A"/>
    <w:rsid w:val="00202CF5"/>
    <w:rsid w:val="002062F1"/>
    <w:rsid w:val="00210F78"/>
    <w:rsid w:val="00211232"/>
    <w:rsid w:val="00213629"/>
    <w:rsid w:val="00213EF2"/>
    <w:rsid w:val="00214F77"/>
    <w:rsid w:val="00216029"/>
    <w:rsid w:val="00216244"/>
    <w:rsid w:val="002178B8"/>
    <w:rsid w:val="00217A9F"/>
    <w:rsid w:val="00225A7A"/>
    <w:rsid w:val="00230988"/>
    <w:rsid w:val="00233D67"/>
    <w:rsid w:val="00233E93"/>
    <w:rsid w:val="0024604C"/>
    <w:rsid w:val="00247AA9"/>
    <w:rsid w:val="00247B48"/>
    <w:rsid w:val="00251289"/>
    <w:rsid w:val="00253BE6"/>
    <w:rsid w:val="0026010F"/>
    <w:rsid w:val="00261013"/>
    <w:rsid w:val="00262AB8"/>
    <w:rsid w:val="00264A0C"/>
    <w:rsid w:val="00264A75"/>
    <w:rsid w:val="00270F2A"/>
    <w:rsid w:val="00271A9C"/>
    <w:rsid w:val="00272043"/>
    <w:rsid w:val="002730CE"/>
    <w:rsid w:val="00274C28"/>
    <w:rsid w:val="00276D86"/>
    <w:rsid w:val="00282FB3"/>
    <w:rsid w:val="00286EE3"/>
    <w:rsid w:val="00287908"/>
    <w:rsid w:val="00290024"/>
    <w:rsid w:val="00291A82"/>
    <w:rsid w:val="0029412C"/>
    <w:rsid w:val="002947E7"/>
    <w:rsid w:val="00295DC4"/>
    <w:rsid w:val="00296519"/>
    <w:rsid w:val="0029700A"/>
    <w:rsid w:val="002A327D"/>
    <w:rsid w:val="002A3E67"/>
    <w:rsid w:val="002A5BCE"/>
    <w:rsid w:val="002A6C1E"/>
    <w:rsid w:val="002C2348"/>
    <w:rsid w:val="002C576B"/>
    <w:rsid w:val="002C75CF"/>
    <w:rsid w:val="002D0588"/>
    <w:rsid w:val="002D1D9F"/>
    <w:rsid w:val="002D48D7"/>
    <w:rsid w:val="002D49E9"/>
    <w:rsid w:val="002D51CF"/>
    <w:rsid w:val="002E1199"/>
    <w:rsid w:val="002E316E"/>
    <w:rsid w:val="002E37D1"/>
    <w:rsid w:val="002E3E70"/>
    <w:rsid w:val="002F11D0"/>
    <w:rsid w:val="002F5AAC"/>
    <w:rsid w:val="002F5F0F"/>
    <w:rsid w:val="002F603A"/>
    <w:rsid w:val="002F6C60"/>
    <w:rsid w:val="002F7A54"/>
    <w:rsid w:val="003006FD"/>
    <w:rsid w:val="00300DF2"/>
    <w:rsid w:val="00301482"/>
    <w:rsid w:val="003019E3"/>
    <w:rsid w:val="0030278E"/>
    <w:rsid w:val="0030386A"/>
    <w:rsid w:val="00303E99"/>
    <w:rsid w:val="00304C74"/>
    <w:rsid w:val="00307C18"/>
    <w:rsid w:val="00313B82"/>
    <w:rsid w:val="003148D1"/>
    <w:rsid w:val="003153AE"/>
    <w:rsid w:val="00315DD2"/>
    <w:rsid w:val="003169CB"/>
    <w:rsid w:val="00322476"/>
    <w:rsid w:val="00325B89"/>
    <w:rsid w:val="003269AF"/>
    <w:rsid w:val="00326C9C"/>
    <w:rsid w:val="00327B11"/>
    <w:rsid w:val="003316BF"/>
    <w:rsid w:val="00343FBC"/>
    <w:rsid w:val="0034452E"/>
    <w:rsid w:val="00345682"/>
    <w:rsid w:val="003466BF"/>
    <w:rsid w:val="0034731A"/>
    <w:rsid w:val="00355239"/>
    <w:rsid w:val="00356825"/>
    <w:rsid w:val="00361882"/>
    <w:rsid w:val="003623E2"/>
    <w:rsid w:val="003626E9"/>
    <w:rsid w:val="00364D0D"/>
    <w:rsid w:val="003652E8"/>
    <w:rsid w:val="00372B74"/>
    <w:rsid w:val="00374BE9"/>
    <w:rsid w:val="003818D0"/>
    <w:rsid w:val="00382B3C"/>
    <w:rsid w:val="0038355F"/>
    <w:rsid w:val="00384181"/>
    <w:rsid w:val="0039029E"/>
    <w:rsid w:val="00394146"/>
    <w:rsid w:val="0039492D"/>
    <w:rsid w:val="003A020C"/>
    <w:rsid w:val="003A050E"/>
    <w:rsid w:val="003A2C6E"/>
    <w:rsid w:val="003A2DA8"/>
    <w:rsid w:val="003A7994"/>
    <w:rsid w:val="003A7CC5"/>
    <w:rsid w:val="003B56A0"/>
    <w:rsid w:val="003B6D44"/>
    <w:rsid w:val="003C50E8"/>
    <w:rsid w:val="003D4588"/>
    <w:rsid w:val="003D4821"/>
    <w:rsid w:val="003D5D30"/>
    <w:rsid w:val="003D7237"/>
    <w:rsid w:val="003D7250"/>
    <w:rsid w:val="003D7259"/>
    <w:rsid w:val="003D764B"/>
    <w:rsid w:val="003D7AF6"/>
    <w:rsid w:val="003E4420"/>
    <w:rsid w:val="003E5CCE"/>
    <w:rsid w:val="003F15A7"/>
    <w:rsid w:val="003F228C"/>
    <w:rsid w:val="003F4D95"/>
    <w:rsid w:val="003F5561"/>
    <w:rsid w:val="003F66DB"/>
    <w:rsid w:val="003F7806"/>
    <w:rsid w:val="00407A89"/>
    <w:rsid w:val="00417323"/>
    <w:rsid w:val="004211BD"/>
    <w:rsid w:val="0042123E"/>
    <w:rsid w:val="00421430"/>
    <w:rsid w:val="00422768"/>
    <w:rsid w:val="00423E50"/>
    <w:rsid w:val="00426A73"/>
    <w:rsid w:val="004274A7"/>
    <w:rsid w:val="0043102F"/>
    <w:rsid w:val="00431DDD"/>
    <w:rsid w:val="00432AF3"/>
    <w:rsid w:val="00442FB4"/>
    <w:rsid w:val="00450267"/>
    <w:rsid w:val="00450E4F"/>
    <w:rsid w:val="00451B74"/>
    <w:rsid w:val="00453BAF"/>
    <w:rsid w:val="00454A56"/>
    <w:rsid w:val="00456127"/>
    <w:rsid w:val="004568CD"/>
    <w:rsid w:val="00464245"/>
    <w:rsid w:val="00466063"/>
    <w:rsid w:val="00466FDB"/>
    <w:rsid w:val="004670DD"/>
    <w:rsid w:val="004723AC"/>
    <w:rsid w:val="00473B37"/>
    <w:rsid w:val="0048015A"/>
    <w:rsid w:val="004930D1"/>
    <w:rsid w:val="0049375B"/>
    <w:rsid w:val="004959BF"/>
    <w:rsid w:val="00497E78"/>
    <w:rsid w:val="004A01AD"/>
    <w:rsid w:val="004A6CB5"/>
    <w:rsid w:val="004B0A55"/>
    <w:rsid w:val="004B3085"/>
    <w:rsid w:val="004B3656"/>
    <w:rsid w:val="004C0D3D"/>
    <w:rsid w:val="004C25F3"/>
    <w:rsid w:val="004C3696"/>
    <w:rsid w:val="004C37B2"/>
    <w:rsid w:val="004C6985"/>
    <w:rsid w:val="004D1175"/>
    <w:rsid w:val="004D3E3C"/>
    <w:rsid w:val="004D4AAB"/>
    <w:rsid w:val="004D576B"/>
    <w:rsid w:val="004E4F08"/>
    <w:rsid w:val="004E5488"/>
    <w:rsid w:val="004F1545"/>
    <w:rsid w:val="004F1732"/>
    <w:rsid w:val="004F500F"/>
    <w:rsid w:val="004F7CF3"/>
    <w:rsid w:val="00502F39"/>
    <w:rsid w:val="00503C84"/>
    <w:rsid w:val="00506AD0"/>
    <w:rsid w:val="005104DE"/>
    <w:rsid w:val="00513143"/>
    <w:rsid w:val="0051434E"/>
    <w:rsid w:val="005173BA"/>
    <w:rsid w:val="005203D0"/>
    <w:rsid w:val="005328DE"/>
    <w:rsid w:val="00540E02"/>
    <w:rsid w:val="005419C8"/>
    <w:rsid w:val="00541A29"/>
    <w:rsid w:val="00545A37"/>
    <w:rsid w:val="00553D59"/>
    <w:rsid w:val="00556212"/>
    <w:rsid w:val="00556D92"/>
    <w:rsid w:val="00557D4D"/>
    <w:rsid w:val="005632E0"/>
    <w:rsid w:val="005657E2"/>
    <w:rsid w:val="00565C83"/>
    <w:rsid w:val="005667A5"/>
    <w:rsid w:val="005675B0"/>
    <w:rsid w:val="00567AB2"/>
    <w:rsid w:val="00571B7C"/>
    <w:rsid w:val="00573633"/>
    <w:rsid w:val="005827B3"/>
    <w:rsid w:val="00583E2E"/>
    <w:rsid w:val="005932C6"/>
    <w:rsid w:val="005945BD"/>
    <w:rsid w:val="005975D9"/>
    <w:rsid w:val="005A4803"/>
    <w:rsid w:val="005A7BE4"/>
    <w:rsid w:val="005B1C9F"/>
    <w:rsid w:val="005B31C9"/>
    <w:rsid w:val="005B4FA7"/>
    <w:rsid w:val="005B4FF3"/>
    <w:rsid w:val="005B57B1"/>
    <w:rsid w:val="005B5BF3"/>
    <w:rsid w:val="005B7DEF"/>
    <w:rsid w:val="005C6710"/>
    <w:rsid w:val="005C7C0B"/>
    <w:rsid w:val="005D02A2"/>
    <w:rsid w:val="005D04B1"/>
    <w:rsid w:val="005D08B5"/>
    <w:rsid w:val="005D1457"/>
    <w:rsid w:val="005D1956"/>
    <w:rsid w:val="005D5432"/>
    <w:rsid w:val="005D54AF"/>
    <w:rsid w:val="005E009E"/>
    <w:rsid w:val="005E22CA"/>
    <w:rsid w:val="005E3426"/>
    <w:rsid w:val="005E7AC6"/>
    <w:rsid w:val="005F6265"/>
    <w:rsid w:val="006026DD"/>
    <w:rsid w:val="00610861"/>
    <w:rsid w:val="006271FF"/>
    <w:rsid w:val="00630E8B"/>
    <w:rsid w:val="00633790"/>
    <w:rsid w:val="00635A93"/>
    <w:rsid w:val="0064029C"/>
    <w:rsid w:val="00645F63"/>
    <w:rsid w:val="00653D0B"/>
    <w:rsid w:val="00654D13"/>
    <w:rsid w:val="0065517D"/>
    <w:rsid w:val="006552AA"/>
    <w:rsid w:val="00657D65"/>
    <w:rsid w:val="00662FAC"/>
    <w:rsid w:val="00664D30"/>
    <w:rsid w:val="006659FF"/>
    <w:rsid w:val="006663F0"/>
    <w:rsid w:val="00666778"/>
    <w:rsid w:val="00677424"/>
    <w:rsid w:val="006774DC"/>
    <w:rsid w:val="00680449"/>
    <w:rsid w:val="00684F53"/>
    <w:rsid w:val="00685446"/>
    <w:rsid w:val="006866BE"/>
    <w:rsid w:val="006875EF"/>
    <w:rsid w:val="00694D44"/>
    <w:rsid w:val="00695FAC"/>
    <w:rsid w:val="00696191"/>
    <w:rsid w:val="006961D2"/>
    <w:rsid w:val="006978E6"/>
    <w:rsid w:val="006A05E5"/>
    <w:rsid w:val="006A0E67"/>
    <w:rsid w:val="006A2C37"/>
    <w:rsid w:val="006A7FCF"/>
    <w:rsid w:val="006C69F4"/>
    <w:rsid w:val="006D0345"/>
    <w:rsid w:val="006D1092"/>
    <w:rsid w:val="006D2358"/>
    <w:rsid w:val="006D3E62"/>
    <w:rsid w:val="006D5F04"/>
    <w:rsid w:val="006D5F55"/>
    <w:rsid w:val="006E1B8C"/>
    <w:rsid w:val="006E3164"/>
    <w:rsid w:val="006E3462"/>
    <w:rsid w:val="006E3569"/>
    <w:rsid w:val="006E47F3"/>
    <w:rsid w:val="006E4E0A"/>
    <w:rsid w:val="006E5438"/>
    <w:rsid w:val="006E60B1"/>
    <w:rsid w:val="006F0F44"/>
    <w:rsid w:val="00700816"/>
    <w:rsid w:val="00704A72"/>
    <w:rsid w:val="00705E37"/>
    <w:rsid w:val="00713486"/>
    <w:rsid w:val="00713B30"/>
    <w:rsid w:val="00715B34"/>
    <w:rsid w:val="00720EBE"/>
    <w:rsid w:val="00721E5B"/>
    <w:rsid w:val="007246F6"/>
    <w:rsid w:val="00724737"/>
    <w:rsid w:val="00725633"/>
    <w:rsid w:val="00726C37"/>
    <w:rsid w:val="00730E17"/>
    <w:rsid w:val="00731EC6"/>
    <w:rsid w:val="00733685"/>
    <w:rsid w:val="0073414F"/>
    <w:rsid w:val="00734DFD"/>
    <w:rsid w:val="0073556B"/>
    <w:rsid w:val="0073758A"/>
    <w:rsid w:val="007428FB"/>
    <w:rsid w:val="00745462"/>
    <w:rsid w:val="00751C5A"/>
    <w:rsid w:val="00752A71"/>
    <w:rsid w:val="007533B6"/>
    <w:rsid w:val="0075567C"/>
    <w:rsid w:val="0075667B"/>
    <w:rsid w:val="00760C97"/>
    <w:rsid w:val="0076124F"/>
    <w:rsid w:val="007618E1"/>
    <w:rsid w:val="007620AF"/>
    <w:rsid w:val="0076418D"/>
    <w:rsid w:val="00766403"/>
    <w:rsid w:val="0077666E"/>
    <w:rsid w:val="00790DC8"/>
    <w:rsid w:val="00791C99"/>
    <w:rsid w:val="00791FD3"/>
    <w:rsid w:val="00792184"/>
    <w:rsid w:val="007A05E2"/>
    <w:rsid w:val="007A1086"/>
    <w:rsid w:val="007A153D"/>
    <w:rsid w:val="007A267B"/>
    <w:rsid w:val="007A6014"/>
    <w:rsid w:val="007A77E9"/>
    <w:rsid w:val="007A7DBF"/>
    <w:rsid w:val="007A7F09"/>
    <w:rsid w:val="007B629B"/>
    <w:rsid w:val="007C05EE"/>
    <w:rsid w:val="007C07B6"/>
    <w:rsid w:val="007C1095"/>
    <w:rsid w:val="007C3405"/>
    <w:rsid w:val="007C3D0F"/>
    <w:rsid w:val="007C7AA4"/>
    <w:rsid w:val="007D067F"/>
    <w:rsid w:val="007E2A00"/>
    <w:rsid w:val="007E36E1"/>
    <w:rsid w:val="007E43B6"/>
    <w:rsid w:val="007E4D23"/>
    <w:rsid w:val="007E51C9"/>
    <w:rsid w:val="007E6111"/>
    <w:rsid w:val="007E697F"/>
    <w:rsid w:val="007E76D0"/>
    <w:rsid w:val="007F02A5"/>
    <w:rsid w:val="007F2A37"/>
    <w:rsid w:val="007F5EF3"/>
    <w:rsid w:val="00803483"/>
    <w:rsid w:val="008036B9"/>
    <w:rsid w:val="00803ADC"/>
    <w:rsid w:val="008119B4"/>
    <w:rsid w:val="00811C7D"/>
    <w:rsid w:val="00817AA7"/>
    <w:rsid w:val="00821496"/>
    <w:rsid w:val="00825588"/>
    <w:rsid w:val="008266FF"/>
    <w:rsid w:val="008358FA"/>
    <w:rsid w:val="00836751"/>
    <w:rsid w:val="008400C8"/>
    <w:rsid w:val="008408AD"/>
    <w:rsid w:val="00841524"/>
    <w:rsid w:val="00841CF4"/>
    <w:rsid w:val="008420DA"/>
    <w:rsid w:val="00850B43"/>
    <w:rsid w:val="008558DC"/>
    <w:rsid w:val="008565EA"/>
    <w:rsid w:val="00861DEC"/>
    <w:rsid w:val="00864C92"/>
    <w:rsid w:val="008678B1"/>
    <w:rsid w:val="00872C94"/>
    <w:rsid w:val="008730FC"/>
    <w:rsid w:val="00873C70"/>
    <w:rsid w:val="00880EDD"/>
    <w:rsid w:val="008813F8"/>
    <w:rsid w:val="008814BE"/>
    <w:rsid w:val="00882534"/>
    <w:rsid w:val="00883D2A"/>
    <w:rsid w:val="0088586E"/>
    <w:rsid w:val="00892350"/>
    <w:rsid w:val="00892ABE"/>
    <w:rsid w:val="00894E3B"/>
    <w:rsid w:val="00896AB8"/>
    <w:rsid w:val="008A126D"/>
    <w:rsid w:val="008A178A"/>
    <w:rsid w:val="008A223C"/>
    <w:rsid w:val="008A6D30"/>
    <w:rsid w:val="008B244D"/>
    <w:rsid w:val="008B2613"/>
    <w:rsid w:val="008B29E9"/>
    <w:rsid w:val="008B44DB"/>
    <w:rsid w:val="008B679A"/>
    <w:rsid w:val="008C3BCC"/>
    <w:rsid w:val="008C5151"/>
    <w:rsid w:val="008C6E56"/>
    <w:rsid w:val="008D43DB"/>
    <w:rsid w:val="008D5107"/>
    <w:rsid w:val="008D6437"/>
    <w:rsid w:val="008E0B39"/>
    <w:rsid w:val="008E1964"/>
    <w:rsid w:val="008E41D8"/>
    <w:rsid w:val="008E54E5"/>
    <w:rsid w:val="008E62BC"/>
    <w:rsid w:val="008F0109"/>
    <w:rsid w:val="008F1D3A"/>
    <w:rsid w:val="008F6167"/>
    <w:rsid w:val="008F6266"/>
    <w:rsid w:val="008F6D67"/>
    <w:rsid w:val="0090010E"/>
    <w:rsid w:val="00901981"/>
    <w:rsid w:val="0090403E"/>
    <w:rsid w:val="00904431"/>
    <w:rsid w:val="00905B5F"/>
    <w:rsid w:val="009118D8"/>
    <w:rsid w:val="0091273E"/>
    <w:rsid w:val="0091324B"/>
    <w:rsid w:val="0091384F"/>
    <w:rsid w:val="00917CE2"/>
    <w:rsid w:val="00922BC1"/>
    <w:rsid w:val="00923088"/>
    <w:rsid w:val="0092565A"/>
    <w:rsid w:val="00925D8D"/>
    <w:rsid w:val="00932816"/>
    <w:rsid w:val="00934769"/>
    <w:rsid w:val="00937021"/>
    <w:rsid w:val="00941FD4"/>
    <w:rsid w:val="00946B64"/>
    <w:rsid w:val="00951053"/>
    <w:rsid w:val="0095217D"/>
    <w:rsid w:val="0095257A"/>
    <w:rsid w:val="00953300"/>
    <w:rsid w:val="0096053A"/>
    <w:rsid w:val="0096101A"/>
    <w:rsid w:val="00961144"/>
    <w:rsid w:val="0096261B"/>
    <w:rsid w:val="00962CC4"/>
    <w:rsid w:val="009644D8"/>
    <w:rsid w:val="0096742E"/>
    <w:rsid w:val="009708AB"/>
    <w:rsid w:val="00972FC4"/>
    <w:rsid w:val="009743D6"/>
    <w:rsid w:val="009747AB"/>
    <w:rsid w:val="009765D6"/>
    <w:rsid w:val="00981146"/>
    <w:rsid w:val="009849F3"/>
    <w:rsid w:val="00984B80"/>
    <w:rsid w:val="00985C02"/>
    <w:rsid w:val="00986594"/>
    <w:rsid w:val="00993834"/>
    <w:rsid w:val="00995396"/>
    <w:rsid w:val="00995F4A"/>
    <w:rsid w:val="009A47BA"/>
    <w:rsid w:val="009A5EA3"/>
    <w:rsid w:val="009A6207"/>
    <w:rsid w:val="009C16F4"/>
    <w:rsid w:val="009C3363"/>
    <w:rsid w:val="009C3B68"/>
    <w:rsid w:val="009C3D1E"/>
    <w:rsid w:val="009C6323"/>
    <w:rsid w:val="009C6AAF"/>
    <w:rsid w:val="009C6E8A"/>
    <w:rsid w:val="009C7D16"/>
    <w:rsid w:val="009D1025"/>
    <w:rsid w:val="009D3FF4"/>
    <w:rsid w:val="009D47D0"/>
    <w:rsid w:val="009D4EA4"/>
    <w:rsid w:val="009D6AA3"/>
    <w:rsid w:val="009E01DB"/>
    <w:rsid w:val="009E3DEB"/>
    <w:rsid w:val="009E5ACF"/>
    <w:rsid w:val="009F09A7"/>
    <w:rsid w:val="009F0E2A"/>
    <w:rsid w:val="009F13F0"/>
    <w:rsid w:val="009F3A93"/>
    <w:rsid w:val="009F5884"/>
    <w:rsid w:val="009F70B0"/>
    <w:rsid w:val="00A00E75"/>
    <w:rsid w:val="00A00F58"/>
    <w:rsid w:val="00A00FC2"/>
    <w:rsid w:val="00A0374E"/>
    <w:rsid w:val="00A03DDF"/>
    <w:rsid w:val="00A06211"/>
    <w:rsid w:val="00A062EE"/>
    <w:rsid w:val="00A07AEE"/>
    <w:rsid w:val="00A12502"/>
    <w:rsid w:val="00A13A3A"/>
    <w:rsid w:val="00A13A5D"/>
    <w:rsid w:val="00A13BAE"/>
    <w:rsid w:val="00A16303"/>
    <w:rsid w:val="00A23A69"/>
    <w:rsid w:val="00A272C6"/>
    <w:rsid w:val="00A274B4"/>
    <w:rsid w:val="00A34D39"/>
    <w:rsid w:val="00A41667"/>
    <w:rsid w:val="00A42549"/>
    <w:rsid w:val="00A42EF7"/>
    <w:rsid w:val="00A50FE1"/>
    <w:rsid w:val="00A514F4"/>
    <w:rsid w:val="00A5231A"/>
    <w:rsid w:val="00A53C41"/>
    <w:rsid w:val="00A54559"/>
    <w:rsid w:val="00A54FFD"/>
    <w:rsid w:val="00A6151F"/>
    <w:rsid w:val="00A61D15"/>
    <w:rsid w:val="00A62A79"/>
    <w:rsid w:val="00A64317"/>
    <w:rsid w:val="00A71941"/>
    <w:rsid w:val="00A83B9B"/>
    <w:rsid w:val="00A86369"/>
    <w:rsid w:val="00A87BB1"/>
    <w:rsid w:val="00A9029F"/>
    <w:rsid w:val="00A971BB"/>
    <w:rsid w:val="00AA0708"/>
    <w:rsid w:val="00AA3AFB"/>
    <w:rsid w:val="00AA60AE"/>
    <w:rsid w:val="00AB1F59"/>
    <w:rsid w:val="00AB2C34"/>
    <w:rsid w:val="00AB4C04"/>
    <w:rsid w:val="00AB73AE"/>
    <w:rsid w:val="00AC7E9D"/>
    <w:rsid w:val="00AD0571"/>
    <w:rsid w:val="00AD585D"/>
    <w:rsid w:val="00AE2436"/>
    <w:rsid w:val="00AE244F"/>
    <w:rsid w:val="00AE473B"/>
    <w:rsid w:val="00AE47F3"/>
    <w:rsid w:val="00AF0E15"/>
    <w:rsid w:val="00AF4A3D"/>
    <w:rsid w:val="00AF4E25"/>
    <w:rsid w:val="00AF6D03"/>
    <w:rsid w:val="00B01E44"/>
    <w:rsid w:val="00B01EA0"/>
    <w:rsid w:val="00B10A50"/>
    <w:rsid w:val="00B11216"/>
    <w:rsid w:val="00B114DD"/>
    <w:rsid w:val="00B11533"/>
    <w:rsid w:val="00B145D4"/>
    <w:rsid w:val="00B17266"/>
    <w:rsid w:val="00B21C62"/>
    <w:rsid w:val="00B22F9E"/>
    <w:rsid w:val="00B25ED2"/>
    <w:rsid w:val="00B36829"/>
    <w:rsid w:val="00B369EE"/>
    <w:rsid w:val="00B36DAC"/>
    <w:rsid w:val="00B412F5"/>
    <w:rsid w:val="00B413D2"/>
    <w:rsid w:val="00B42A0F"/>
    <w:rsid w:val="00B52295"/>
    <w:rsid w:val="00B52E36"/>
    <w:rsid w:val="00B557CA"/>
    <w:rsid w:val="00B55BFC"/>
    <w:rsid w:val="00B57825"/>
    <w:rsid w:val="00B60916"/>
    <w:rsid w:val="00B6458C"/>
    <w:rsid w:val="00B64612"/>
    <w:rsid w:val="00B65590"/>
    <w:rsid w:val="00B6655C"/>
    <w:rsid w:val="00B66F64"/>
    <w:rsid w:val="00B67DD9"/>
    <w:rsid w:val="00B70D1D"/>
    <w:rsid w:val="00B7196F"/>
    <w:rsid w:val="00B7357B"/>
    <w:rsid w:val="00B803E3"/>
    <w:rsid w:val="00B81E0E"/>
    <w:rsid w:val="00B90A4F"/>
    <w:rsid w:val="00B93DA7"/>
    <w:rsid w:val="00B97EA4"/>
    <w:rsid w:val="00B97F97"/>
    <w:rsid w:val="00BA124E"/>
    <w:rsid w:val="00BA1C85"/>
    <w:rsid w:val="00BA2CCA"/>
    <w:rsid w:val="00BA490F"/>
    <w:rsid w:val="00BA7842"/>
    <w:rsid w:val="00BB0A83"/>
    <w:rsid w:val="00BB3E9C"/>
    <w:rsid w:val="00BB5442"/>
    <w:rsid w:val="00BB597B"/>
    <w:rsid w:val="00BB59CD"/>
    <w:rsid w:val="00BB7463"/>
    <w:rsid w:val="00BB7A41"/>
    <w:rsid w:val="00BB7C34"/>
    <w:rsid w:val="00BB7EE5"/>
    <w:rsid w:val="00BC74CB"/>
    <w:rsid w:val="00BD10A0"/>
    <w:rsid w:val="00BD3267"/>
    <w:rsid w:val="00BD45F3"/>
    <w:rsid w:val="00BD5EDF"/>
    <w:rsid w:val="00BE0844"/>
    <w:rsid w:val="00BE1980"/>
    <w:rsid w:val="00BE267A"/>
    <w:rsid w:val="00BE547B"/>
    <w:rsid w:val="00BF295A"/>
    <w:rsid w:val="00BF3300"/>
    <w:rsid w:val="00BF352E"/>
    <w:rsid w:val="00BF3613"/>
    <w:rsid w:val="00BF6C72"/>
    <w:rsid w:val="00BF7FE6"/>
    <w:rsid w:val="00C01CEF"/>
    <w:rsid w:val="00C10CF4"/>
    <w:rsid w:val="00C10D4B"/>
    <w:rsid w:val="00C16404"/>
    <w:rsid w:val="00C21BC9"/>
    <w:rsid w:val="00C22D57"/>
    <w:rsid w:val="00C23FDA"/>
    <w:rsid w:val="00C2495C"/>
    <w:rsid w:val="00C2630D"/>
    <w:rsid w:val="00C32CDC"/>
    <w:rsid w:val="00C34390"/>
    <w:rsid w:val="00C3477B"/>
    <w:rsid w:val="00C34A69"/>
    <w:rsid w:val="00C36F92"/>
    <w:rsid w:val="00C4080C"/>
    <w:rsid w:val="00C41478"/>
    <w:rsid w:val="00C451A7"/>
    <w:rsid w:val="00C4587F"/>
    <w:rsid w:val="00C45D9B"/>
    <w:rsid w:val="00C47511"/>
    <w:rsid w:val="00C50437"/>
    <w:rsid w:val="00C522AF"/>
    <w:rsid w:val="00C57BC6"/>
    <w:rsid w:val="00C61925"/>
    <w:rsid w:val="00C63907"/>
    <w:rsid w:val="00C73DF7"/>
    <w:rsid w:val="00C81756"/>
    <w:rsid w:val="00C818A7"/>
    <w:rsid w:val="00C82179"/>
    <w:rsid w:val="00C855B7"/>
    <w:rsid w:val="00C85AAA"/>
    <w:rsid w:val="00C87AA9"/>
    <w:rsid w:val="00C92334"/>
    <w:rsid w:val="00C92359"/>
    <w:rsid w:val="00C92C71"/>
    <w:rsid w:val="00C95A57"/>
    <w:rsid w:val="00CA46AD"/>
    <w:rsid w:val="00CA522E"/>
    <w:rsid w:val="00CA7184"/>
    <w:rsid w:val="00CB0666"/>
    <w:rsid w:val="00CB0EB6"/>
    <w:rsid w:val="00CB25CE"/>
    <w:rsid w:val="00CB5E62"/>
    <w:rsid w:val="00CC4C31"/>
    <w:rsid w:val="00CD1406"/>
    <w:rsid w:val="00CD2340"/>
    <w:rsid w:val="00CD31FE"/>
    <w:rsid w:val="00CD34F2"/>
    <w:rsid w:val="00CD3AB0"/>
    <w:rsid w:val="00CD5C31"/>
    <w:rsid w:val="00CE0B25"/>
    <w:rsid w:val="00CE3235"/>
    <w:rsid w:val="00CE4A9A"/>
    <w:rsid w:val="00CE5B1A"/>
    <w:rsid w:val="00CE7B9A"/>
    <w:rsid w:val="00D02EED"/>
    <w:rsid w:val="00D04CB4"/>
    <w:rsid w:val="00D1170E"/>
    <w:rsid w:val="00D12508"/>
    <w:rsid w:val="00D13AE4"/>
    <w:rsid w:val="00D16001"/>
    <w:rsid w:val="00D16ECA"/>
    <w:rsid w:val="00D21016"/>
    <w:rsid w:val="00D21318"/>
    <w:rsid w:val="00D22CC7"/>
    <w:rsid w:val="00D260AC"/>
    <w:rsid w:val="00D27CE1"/>
    <w:rsid w:val="00D27F20"/>
    <w:rsid w:val="00D311CA"/>
    <w:rsid w:val="00D355A0"/>
    <w:rsid w:val="00D372E1"/>
    <w:rsid w:val="00D40CAC"/>
    <w:rsid w:val="00D43296"/>
    <w:rsid w:val="00D43448"/>
    <w:rsid w:val="00D5036F"/>
    <w:rsid w:val="00D52564"/>
    <w:rsid w:val="00D5460B"/>
    <w:rsid w:val="00D54ED3"/>
    <w:rsid w:val="00D564B4"/>
    <w:rsid w:val="00D6168C"/>
    <w:rsid w:val="00D63719"/>
    <w:rsid w:val="00D7120C"/>
    <w:rsid w:val="00D72615"/>
    <w:rsid w:val="00D72D01"/>
    <w:rsid w:val="00D75ECE"/>
    <w:rsid w:val="00D76081"/>
    <w:rsid w:val="00D817BF"/>
    <w:rsid w:val="00D835D0"/>
    <w:rsid w:val="00D83615"/>
    <w:rsid w:val="00D8706E"/>
    <w:rsid w:val="00D95BF1"/>
    <w:rsid w:val="00D97078"/>
    <w:rsid w:val="00DA1D62"/>
    <w:rsid w:val="00DA3B99"/>
    <w:rsid w:val="00DA4AEC"/>
    <w:rsid w:val="00DA4B2F"/>
    <w:rsid w:val="00DB10B2"/>
    <w:rsid w:val="00DB18C6"/>
    <w:rsid w:val="00DB18D3"/>
    <w:rsid w:val="00DB434A"/>
    <w:rsid w:val="00DB4757"/>
    <w:rsid w:val="00DB4BFE"/>
    <w:rsid w:val="00DB5C23"/>
    <w:rsid w:val="00DB69DB"/>
    <w:rsid w:val="00DB6E8D"/>
    <w:rsid w:val="00DB7ADA"/>
    <w:rsid w:val="00DC1A7C"/>
    <w:rsid w:val="00DC3AA8"/>
    <w:rsid w:val="00DC5535"/>
    <w:rsid w:val="00DD1A90"/>
    <w:rsid w:val="00DD20DF"/>
    <w:rsid w:val="00DD2D33"/>
    <w:rsid w:val="00DD52BB"/>
    <w:rsid w:val="00DD554A"/>
    <w:rsid w:val="00DD58C4"/>
    <w:rsid w:val="00DE32C8"/>
    <w:rsid w:val="00DE3A4E"/>
    <w:rsid w:val="00DE4650"/>
    <w:rsid w:val="00DE4B48"/>
    <w:rsid w:val="00DE7ACE"/>
    <w:rsid w:val="00DF2959"/>
    <w:rsid w:val="00DF3CB7"/>
    <w:rsid w:val="00DF4616"/>
    <w:rsid w:val="00DF5AE7"/>
    <w:rsid w:val="00DF6FBD"/>
    <w:rsid w:val="00E03F7A"/>
    <w:rsid w:val="00E0684D"/>
    <w:rsid w:val="00E07E21"/>
    <w:rsid w:val="00E1051D"/>
    <w:rsid w:val="00E10FBF"/>
    <w:rsid w:val="00E12874"/>
    <w:rsid w:val="00E13358"/>
    <w:rsid w:val="00E142FD"/>
    <w:rsid w:val="00E151AB"/>
    <w:rsid w:val="00E23E41"/>
    <w:rsid w:val="00E25603"/>
    <w:rsid w:val="00E25A65"/>
    <w:rsid w:val="00E26F2F"/>
    <w:rsid w:val="00E31766"/>
    <w:rsid w:val="00E342DE"/>
    <w:rsid w:val="00E343A9"/>
    <w:rsid w:val="00E343AE"/>
    <w:rsid w:val="00E3492D"/>
    <w:rsid w:val="00E3572A"/>
    <w:rsid w:val="00E361DF"/>
    <w:rsid w:val="00E40FA9"/>
    <w:rsid w:val="00E4258F"/>
    <w:rsid w:val="00E42AD0"/>
    <w:rsid w:val="00E442D6"/>
    <w:rsid w:val="00E44923"/>
    <w:rsid w:val="00E47730"/>
    <w:rsid w:val="00E51E47"/>
    <w:rsid w:val="00E53911"/>
    <w:rsid w:val="00E61CBE"/>
    <w:rsid w:val="00E62786"/>
    <w:rsid w:val="00E63E62"/>
    <w:rsid w:val="00E70BDC"/>
    <w:rsid w:val="00E73686"/>
    <w:rsid w:val="00E7450A"/>
    <w:rsid w:val="00E75DBC"/>
    <w:rsid w:val="00E80539"/>
    <w:rsid w:val="00E82097"/>
    <w:rsid w:val="00E906F5"/>
    <w:rsid w:val="00E91242"/>
    <w:rsid w:val="00E967A8"/>
    <w:rsid w:val="00E96B1D"/>
    <w:rsid w:val="00EA0F2E"/>
    <w:rsid w:val="00EA141C"/>
    <w:rsid w:val="00EA3A23"/>
    <w:rsid w:val="00EA3CB5"/>
    <w:rsid w:val="00EA5A25"/>
    <w:rsid w:val="00EA5D32"/>
    <w:rsid w:val="00EA5DD7"/>
    <w:rsid w:val="00EB03D4"/>
    <w:rsid w:val="00EB1E6A"/>
    <w:rsid w:val="00EB1FCF"/>
    <w:rsid w:val="00EB4A16"/>
    <w:rsid w:val="00EC20B4"/>
    <w:rsid w:val="00EC4031"/>
    <w:rsid w:val="00EC4A32"/>
    <w:rsid w:val="00EC6570"/>
    <w:rsid w:val="00EC6EE8"/>
    <w:rsid w:val="00ED1BCD"/>
    <w:rsid w:val="00ED66C0"/>
    <w:rsid w:val="00EE1080"/>
    <w:rsid w:val="00EE30E2"/>
    <w:rsid w:val="00EE3331"/>
    <w:rsid w:val="00EE3DF4"/>
    <w:rsid w:val="00EE63C9"/>
    <w:rsid w:val="00EF2AFD"/>
    <w:rsid w:val="00EF36DA"/>
    <w:rsid w:val="00EF4C19"/>
    <w:rsid w:val="00F07A31"/>
    <w:rsid w:val="00F07D16"/>
    <w:rsid w:val="00F13FDF"/>
    <w:rsid w:val="00F14201"/>
    <w:rsid w:val="00F17309"/>
    <w:rsid w:val="00F20956"/>
    <w:rsid w:val="00F21BD6"/>
    <w:rsid w:val="00F25AAC"/>
    <w:rsid w:val="00F3337E"/>
    <w:rsid w:val="00F33722"/>
    <w:rsid w:val="00F37E5C"/>
    <w:rsid w:val="00F45808"/>
    <w:rsid w:val="00F46D40"/>
    <w:rsid w:val="00F51034"/>
    <w:rsid w:val="00F52CA8"/>
    <w:rsid w:val="00F53403"/>
    <w:rsid w:val="00F64CC5"/>
    <w:rsid w:val="00F64DD1"/>
    <w:rsid w:val="00F66EF3"/>
    <w:rsid w:val="00F67286"/>
    <w:rsid w:val="00F70366"/>
    <w:rsid w:val="00F70C90"/>
    <w:rsid w:val="00F73F47"/>
    <w:rsid w:val="00F75E5D"/>
    <w:rsid w:val="00F76CE0"/>
    <w:rsid w:val="00F8079F"/>
    <w:rsid w:val="00F815DB"/>
    <w:rsid w:val="00F8163D"/>
    <w:rsid w:val="00F81BF2"/>
    <w:rsid w:val="00F84968"/>
    <w:rsid w:val="00F85C83"/>
    <w:rsid w:val="00F877C4"/>
    <w:rsid w:val="00F93569"/>
    <w:rsid w:val="00F95235"/>
    <w:rsid w:val="00F96D81"/>
    <w:rsid w:val="00FA40C2"/>
    <w:rsid w:val="00FB30ED"/>
    <w:rsid w:val="00FB5300"/>
    <w:rsid w:val="00FC1BFF"/>
    <w:rsid w:val="00FC6AA9"/>
    <w:rsid w:val="00FC6B04"/>
    <w:rsid w:val="00FC6FF5"/>
    <w:rsid w:val="00FC7407"/>
    <w:rsid w:val="00FD012F"/>
    <w:rsid w:val="00FD19AA"/>
    <w:rsid w:val="00FD28AF"/>
    <w:rsid w:val="00FD436D"/>
    <w:rsid w:val="00FD5436"/>
    <w:rsid w:val="00FD69EC"/>
    <w:rsid w:val="00FD77BF"/>
    <w:rsid w:val="00FD7B73"/>
    <w:rsid w:val="00FE0797"/>
    <w:rsid w:val="00FE6679"/>
    <w:rsid w:val="00FF0F6D"/>
    <w:rsid w:val="00FF2968"/>
    <w:rsid w:val="00FF2B81"/>
    <w:rsid w:val="00FF56F6"/>
    <w:rsid w:val="00FF75FF"/>
    <w:rsid w:val="05D2B3F5"/>
    <w:rsid w:val="07777493"/>
    <w:rsid w:val="0797032A"/>
    <w:rsid w:val="099FFBD0"/>
    <w:rsid w:val="13D02A1B"/>
    <w:rsid w:val="169B5EE8"/>
    <w:rsid w:val="1AE1D5A8"/>
    <w:rsid w:val="1BA0285F"/>
    <w:rsid w:val="20246245"/>
    <w:rsid w:val="2B6FC6F1"/>
    <w:rsid w:val="2EF5F054"/>
    <w:rsid w:val="451054DB"/>
    <w:rsid w:val="4B5BA839"/>
    <w:rsid w:val="53874635"/>
    <w:rsid w:val="56CF8D19"/>
    <w:rsid w:val="68C1E06B"/>
    <w:rsid w:val="6CFA4841"/>
    <w:rsid w:val="6FDC607C"/>
    <w:rsid w:val="73F2AC87"/>
    <w:rsid w:val="75C22C9B"/>
    <w:rsid w:val="7AAA946D"/>
    <w:rsid w:val="7E9A8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400457"/>
  <w15:docId w15:val="{9DB13524-40F3-4EF6-9C77-116BA17D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nl-NL"/>
    </w:rPr>
  </w:style>
  <w:style w:type="character" w:styleId="Emphasis">
    <w:name w:val="Emphasis"/>
    <w:uiPriority w:val="20"/>
    <w:qFormat/>
    <w:rPr>
      <w:i/>
      <w:i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nl-NL"/>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b/>
      <w:bCs/>
    </w:rPr>
  </w:style>
  <w:style w:type="character" w:customStyle="1" w:styleId="CommentSubjectChar">
    <w:name w:val="Comment Subject Char"/>
    <w:basedOn w:val="CommentTextChar"/>
    <w:link w:val="CommentSubject"/>
    <w:uiPriority w:val="99"/>
    <w:semiHidden/>
    <w:rPr>
      <w:b/>
      <w:bCs/>
      <w:sz w:val="20"/>
      <w:szCs w:val="20"/>
      <w:lang w:val="nl-N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DE7AC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
    <w:name w:val="Typ"/>
    <w:basedOn w:val="Normal"/>
    <w:pPr>
      <w:spacing w:after="200" w:line="276" w:lineRule="auto"/>
      <w:contextualSpacing/>
      <w:jc w:val="center"/>
    </w:pPr>
    <w:rPr>
      <w:rFonts w:ascii="Times New Roman" w:hAnsi="Times New Roman" w:cs="Times New Roman"/>
      <w:b/>
      <w:sz w:val="24"/>
      <w:szCs w:val="24"/>
    </w:rPr>
  </w:style>
  <w:style w:type="paragraph" w:customStyle="1" w:styleId="Type">
    <w:name w:val="Type"/>
    <w:basedOn w:val="Typ"/>
  </w:style>
  <w:style w:type="paragraph" w:customStyle="1" w:styleId="Titreobjet">
    <w:name w:val="Titre objet"/>
    <w:basedOn w:val="Normal"/>
    <w:pPr>
      <w:spacing w:before="360" w:after="360" w:line="240" w:lineRule="auto"/>
      <w:jc w:val="center"/>
    </w:pPr>
    <w:rPr>
      <w:rFonts w:ascii="Times New Roman" w:hAnsi="Times New Roman" w:cs="Times New Roman"/>
      <w:b/>
      <w:sz w:val="24"/>
    </w:rPr>
  </w:style>
  <w:style w:type="paragraph" w:customStyle="1" w:styleId="ManualHeading1">
    <w:name w:val="Manual Heading 1"/>
    <w:basedOn w:val="Normal"/>
    <w:pPr>
      <w:numPr>
        <w:numId w:val="1"/>
      </w:numPr>
      <w:spacing w:before="360" w:after="240" w:line="240" w:lineRule="auto"/>
    </w:pPr>
    <w:rPr>
      <w:rFonts w:ascii="Times New Roman" w:hAnsi="Times New Roman" w:cs="Times New Roman"/>
      <w:b/>
      <w:sz w:val="24"/>
      <w:szCs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ManualHeading2">
    <w:name w:val="Manual Heading 2"/>
    <w:basedOn w:val="Normal"/>
    <w:pPr>
      <w:spacing w:after="240" w:line="240" w:lineRule="auto"/>
      <w:jc w:val="both"/>
    </w:pPr>
    <w:rPr>
      <w:rFonts w:ascii="Times New Roman" w:hAnsi="Times New Roman" w:cs="Times New Roman"/>
      <w:b/>
      <w:sz w:val="24"/>
      <w:szCs w:val="24"/>
      <w:lang w:eastAsia="en-GB"/>
    </w:rPr>
  </w:style>
  <w:style w:type="paragraph" w:customStyle="1" w:styleId="Bullet0">
    <w:name w:val="Bullet 0"/>
    <w:basedOn w:val="Normal"/>
    <w:pPr>
      <w:numPr>
        <w:numId w:val="2"/>
      </w:numPr>
      <w:spacing w:before="100" w:beforeAutospacing="1" w:after="200" w:line="240" w:lineRule="auto"/>
      <w:jc w:val="both"/>
    </w:pPr>
    <w:rPr>
      <w:rFonts w:ascii="Times New Roman" w:hAnsi="Times New Roman" w:cs="Times New Roman"/>
      <w:sz w:val="24"/>
      <w:szCs w:val="24"/>
    </w:rPr>
  </w:style>
  <w:style w:type="paragraph" w:customStyle="1" w:styleId="SecurityMarking">
    <w:name w:val="SecurityMarking"/>
    <w:basedOn w:val="Normal"/>
    <w:rsid w:val="00DE7ACE"/>
    <w:pPr>
      <w:spacing w:after="0" w:line="276" w:lineRule="auto"/>
      <w:ind w:left="5103"/>
    </w:pPr>
    <w:rPr>
      <w:rFonts w:ascii="Times New Roman" w:hAnsi="Times New Roman" w:cs="Times New Roman"/>
      <w:sz w:val="28"/>
    </w:rPr>
  </w:style>
  <w:style w:type="paragraph" w:customStyle="1" w:styleId="DateMarking">
    <w:name w:val="DateMarking"/>
    <w:basedOn w:val="Normal"/>
    <w:rsid w:val="00DE7AC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E7ACE"/>
    <w:pPr>
      <w:spacing w:after="0" w:line="276" w:lineRule="auto"/>
      <w:ind w:left="5103"/>
    </w:pPr>
    <w:rPr>
      <w:rFonts w:ascii="Times New Roman" w:hAnsi="Times New Roman" w:cs="Times New Roman"/>
      <w:i/>
      <w:sz w:val="28"/>
    </w:rPr>
  </w:style>
  <w:style w:type="paragraph" w:customStyle="1" w:styleId="Languesfaisantfoi">
    <w:name w:val="Langues faisant foi"/>
    <w:basedOn w:val="Normal"/>
    <w:next w:val="Normal"/>
    <w:rsid w:val="00DE7AC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DE7AC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DE7ACE"/>
    <w:pPr>
      <w:spacing w:after="0"/>
    </w:pPr>
  </w:style>
  <w:style w:type="paragraph" w:customStyle="1" w:styleId="IntrtEEEPagedecouverture">
    <w:name w:val="Intérêt EEE (Page de couverture)"/>
    <w:basedOn w:val="IntrtEEE"/>
    <w:next w:val="Normal"/>
    <w:rsid w:val="00DE7ACE"/>
  </w:style>
  <w:style w:type="character" w:styleId="Hyperlink">
    <w:name w:val="Hyperlink"/>
    <w:basedOn w:val="DefaultParagraphFont"/>
    <w:uiPriority w:val="99"/>
    <w:unhideWhenUsed/>
    <w:rsid w:val="00751C5A"/>
    <w:rPr>
      <w:color w:val="0563C1" w:themeColor="hyperlink"/>
      <w:u w:val="single"/>
    </w:rPr>
  </w:style>
  <w:style w:type="character" w:customStyle="1" w:styleId="UnresolvedMention">
    <w:name w:val="Unresolved Mention"/>
    <w:basedOn w:val="DefaultParagraphFont"/>
    <w:uiPriority w:val="99"/>
    <w:semiHidden/>
    <w:unhideWhenUsed/>
    <w:rsid w:val="00751C5A"/>
    <w:rPr>
      <w:color w:val="605E5C"/>
      <w:shd w:val="clear" w:color="auto" w:fill="E1DFDD"/>
    </w:rPr>
  </w:style>
  <w:style w:type="character" w:styleId="FollowedHyperlink">
    <w:name w:val="FollowedHyperlink"/>
    <w:basedOn w:val="DefaultParagraphFont"/>
    <w:uiPriority w:val="99"/>
    <w:semiHidden/>
    <w:unhideWhenUsed/>
    <w:rsid w:val="00751C5A"/>
    <w:rPr>
      <w:color w:val="954F72" w:themeColor="followedHyperlink"/>
      <w:u w:val="single"/>
    </w:rPr>
  </w:style>
  <w:style w:type="paragraph" w:styleId="Revision">
    <w:name w:val="Revision"/>
    <w:hidden/>
    <w:uiPriority w:val="99"/>
    <w:semiHidden/>
    <w:rsid w:val="00AF4A3D"/>
    <w:pPr>
      <w:spacing w:after="0" w:line="240" w:lineRule="auto"/>
    </w:pPr>
  </w:style>
  <w:style w:type="character" w:customStyle="1" w:styleId="Mention">
    <w:name w:val="Mention"/>
    <w:basedOn w:val="DefaultParagraphFont"/>
    <w:uiPriority w:val="99"/>
    <w:unhideWhenUsed/>
    <w:rsid w:val="002178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558474">
      <w:bodyDiv w:val="1"/>
      <w:marLeft w:val="0"/>
      <w:marRight w:val="0"/>
      <w:marTop w:val="0"/>
      <w:marBottom w:val="0"/>
      <w:divBdr>
        <w:top w:val="none" w:sz="0" w:space="0" w:color="auto"/>
        <w:left w:val="none" w:sz="0" w:space="0" w:color="auto"/>
        <w:bottom w:val="none" w:sz="0" w:space="0" w:color="auto"/>
        <w:right w:val="none" w:sz="0" w:space="0" w:color="auto"/>
      </w:divBdr>
      <w:divsChild>
        <w:div w:id="757949236">
          <w:marLeft w:val="0"/>
          <w:marRight w:val="0"/>
          <w:marTop w:val="0"/>
          <w:marBottom w:val="0"/>
          <w:divBdr>
            <w:top w:val="none" w:sz="0" w:space="0" w:color="auto"/>
            <w:left w:val="none" w:sz="0" w:space="0" w:color="auto"/>
            <w:bottom w:val="none" w:sz="0" w:space="0" w:color="auto"/>
            <w:right w:val="none" w:sz="0" w:space="0" w:color="auto"/>
          </w:divBdr>
          <w:divsChild>
            <w:div w:id="13790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uri=CELEX:32022R0931" TargetMode="External"/><Relationship Id="rId13" Type="http://schemas.openxmlformats.org/officeDocument/2006/relationships/hyperlink" Target="https://eur-lex.europa.eu/legal-content/NL/TXT/?uri=CELEX:32022R2292" TargetMode="External"/><Relationship Id="rId18" Type="http://schemas.openxmlformats.org/officeDocument/2006/relationships/hyperlink" Target="https://eur-lex.europa.eu/legal-content/NL/TXT/?uri=CELEX:32023R1674" TargetMode="External"/><Relationship Id="rId26" Type="http://schemas.openxmlformats.org/officeDocument/2006/relationships/hyperlink" Target="https://eur-lex.europa.eu/legal-content/NL/TXT/?uri=CELEX:32025R0687" TargetMode="External"/><Relationship Id="rId3" Type="http://schemas.openxmlformats.org/officeDocument/2006/relationships/hyperlink" Target="https://eur-lex.europa.eu/legal-content/NL/TXT/?uri=CELEX:32021R2156" TargetMode="External"/><Relationship Id="rId21" Type="http://schemas.openxmlformats.org/officeDocument/2006/relationships/hyperlink" Target="https://eur-lex.europa.eu/legal-content/NL/TXT/?uri=CELEX:32024R1004" TargetMode="External"/><Relationship Id="rId7" Type="http://schemas.openxmlformats.org/officeDocument/2006/relationships/hyperlink" Target="https://eur-lex.europa.eu/legal-content/NL/TXT/?uri=CELEX:32022R0671" TargetMode="External"/><Relationship Id="rId12" Type="http://schemas.openxmlformats.org/officeDocument/2006/relationships/hyperlink" Target="https://eur-lex.europa.eu/legal-content/NL/TXT/?uri=CELEX:32022R1667" TargetMode="External"/><Relationship Id="rId17" Type="http://schemas.openxmlformats.org/officeDocument/2006/relationships/hyperlink" Target="https://eur-lex.europa.eu/legal-content/NL/TXT/?uri=CELEX:32023R1149" TargetMode="External"/><Relationship Id="rId25" Type="http://schemas.openxmlformats.org/officeDocument/2006/relationships/hyperlink" Target="https://eur-lex.europa.eu/legal-content/NL/TXT/?uri=CELEX:32025R0637" TargetMode="External"/><Relationship Id="rId2" Type="http://schemas.openxmlformats.org/officeDocument/2006/relationships/hyperlink" Target="https://eur-lex.europa.eu/legal-content/NL/TXT/?uri=CELEX:52021DC0383" TargetMode="External"/><Relationship Id="rId16" Type="http://schemas.openxmlformats.org/officeDocument/2006/relationships/hyperlink" Target="https://eur-lex.europa.eu/legal-content/NL/TXT/?uri=CELEX:32023R0842" TargetMode="External"/><Relationship Id="rId20" Type="http://schemas.openxmlformats.org/officeDocument/2006/relationships/hyperlink" Target="https://eur-lex.europa.eu/legal-content/NL/TXT/?uri=CELEX:32024R0950" TargetMode="External"/><Relationship Id="rId29" Type="http://schemas.openxmlformats.org/officeDocument/2006/relationships/hyperlink" Target="https://eur-lex.europa.eu/legal-content/NL/TXT/?uri=CELEX:32013R0952" TargetMode="External"/><Relationship Id="rId1" Type="http://schemas.openxmlformats.org/officeDocument/2006/relationships/hyperlink" Target="https://eur-lex.europa.eu/legal-content/NL/TXT/?uri=CELEX:32017R0625" TargetMode="External"/><Relationship Id="rId6" Type="http://schemas.openxmlformats.org/officeDocument/2006/relationships/hyperlink" Target="https://eur-lex.europa.eu/legal-content/NL/TXT/?uri=CELEX:32021R2305" TargetMode="External"/><Relationship Id="rId11" Type="http://schemas.openxmlformats.org/officeDocument/2006/relationships/hyperlink" Target="https://eur-lex.europa.eu/legal-content/NL/TXT/?uri=CELEX:32022R1644" TargetMode="External"/><Relationship Id="rId24" Type="http://schemas.openxmlformats.org/officeDocument/2006/relationships/hyperlink" Target="https://eur-lex.europa.eu/legal-content/NL/TXT/?uri=CELEX:32025R0065" TargetMode="External"/><Relationship Id="rId5" Type="http://schemas.openxmlformats.org/officeDocument/2006/relationships/hyperlink" Target="https://eur-lex.europa.eu/legal-content/NL/TXT/?uri=CELEX:32021R2244" TargetMode="External"/><Relationship Id="rId15" Type="http://schemas.openxmlformats.org/officeDocument/2006/relationships/hyperlink" Target="https://eur-lex.europa.eu/legal-content/NL/TXT/?uri=CELEX:32023R0182" TargetMode="External"/><Relationship Id="rId23" Type="http://schemas.openxmlformats.org/officeDocument/2006/relationships/hyperlink" Target="https://eur-lex.europa.eu/legal-content/NL/TXT/?uri=CELEX:32024R2104" TargetMode="External"/><Relationship Id="rId28" Type="http://schemas.openxmlformats.org/officeDocument/2006/relationships/hyperlink" Target="https://eur-lex.europa.eu/legal-content/NL/TXT/?uri=CELEX:32016Q0512(01)" TargetMode="External"/><Relationship Id="rId10" Type="http://schemas.openxmlformats.org/officeDocument/2006/relationships/hyperlink" Target="https://eur-lex.europa.eu/legal-content/NL/TXT/?uri=CELEX:32022R1615" TargetMode="External"/><Relationship Id="rId19" Type="http://schemas.openxmlformats.org/officeDocument/2006/relationships/hyperlink" Target="https://eur-lex.europa.eu/legal-content/NL/TXT/?uri=CELEX:32023R2652" TargetMode="External"/><Relationship Id="rId4" Type="http://schemas.openxmlformats.org/officeDocument/2006/relationships/hyperlink" Target="https://eur-lex.europa.eu/legal-content/NL/TXT/?uri=CELEX:32021R2089" TargetMode="External"/><Relationship Id="rId9" Type="http://schemas.openxmlformats.org/officeDocument/2006/relationships/hyperlink" Target="https://eur-lex.europa.eu/legal-content/NL/TXT/?uri=CELEX:32022R0887" TargetMode="External"/><Relationship Id="rId14" Type="http://schemas.openxmlformats.org/officeDocument/2006/relationships/hyperlink" Target="https://eur-lex.europa.eu/legal-content/NL/TXT/?uri=CELEX:32022R2258" TargetMode="External"/><Relationship Id="rId22" Type="http://schemas.openxmlformats.org/officeDocument/2006/relationships/hyperlink" Target="https://eur-lex.europa.eu/legal-content/NL/TXT/?uri=CELEX:32024R2562" TargetMode="External"/><Relationship Id="rId27" Type="http://schemas.openxmlformats.org/officeDocument/2006/relationships/hyperlink" Target="https://eur-lex.europa.eu/legal-content/NL/TXT/?uri=CELEX:32026R0273" TargetMode="External"/><Relationship Id="rId30" Type="http://schemas.openxmlformats.org/officeDocument/2006/relationships/hyperlink" Target="https://eur-lex.europa.eu/legal-content/NL/TXT/?uri=CELEX:32019R1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0DC13EB184F4EBE5AA21BE9F247DB" ma:contentTypeVersion="8" ma:contentTypeDescription="Create a new document." ma:contentTypeScope="" ma:versionID="484ca318a997d898c1948fda2aef86d9">
  <xsd:schema xmlns:xsd="http://www.w3.org/2001/XMLSchema" xmlns:xs="http://www.w3.org/2001/XMLSchema" xmlns:p="http://schemas.microsoft.com/office/2006/metadata/properties" xmlns:ns2="00b59672-fe45-4cd1-beac-f346117953eb" targetNamespace="http://schemas.microsoft.com/office/2006/metadata/properties" ma:root="true" ma:fieldsID="181f8231f4d3562681503cd1bae3090e" ns2:_="">
    <xsd:import namespace="00b59672-fe45-4cd1-beac-f346117953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9672-fe45-4cd1-beac-f34611795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B12AE-A211-4303-B485-353E56110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b59672-fe45-4cd1-beac-f34611795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68A3CE-761C-4A93-BBAF-5A7D746E65CA}">
  <ds:schemaRefs>
    <ds:schemaRef ds:uri="http://schemas.microsoft.com/sharepoint/v3/contenttype/forms"/>
  </ds:schemaRefs>
</ds:datastoreItem>
</file>

<file path=customXml/itemProps3.xml><?xml version="1.0" encoding="utf-8"?>
<ds:datastoreItem xmlns:ds="http://schemas.openxmlformats.org/officeDocument/2006/customXml" ds:itemID="{A262997F-43D6-43AB-B4CD-35F7D6FF5F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009CE8-D21A-4ED0-BCE8-9C8DFBBD7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3635</Words>
  <Characters>20722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24309</CharactersWithSpaces>
  <SharedDoc>false</SharedDoc>
  <HLinks>
    <vt:vector size="66" baseType="variant">
      <vt:variant>
        <vt:i4>8126492</vt:i4>
      </vt:variant>
      <vt:variant>
        <vt:i4>27</vt:i4>
      </vt:variant>
      <vt:variant>
        <vt:i4>0</vt:i4>
      </vt:variant>
      <vt:variant>
        <vt:i4>5</vt:i4>
      </vt:variant>
      <vt:variant>
        <vt:lpwstr>http://data.europa.eu/eli/reg_del/2025/687/oj</vt:lpwstr>
      </vt:variant>
      <vt:variant>
        <vt:lpwstr/>
      </vt:variant>
      <vt:variant>
        <vt:i4>8126487</vt:i4>
      </vt:variant>
      <vt:variant>
        <vt:i4>24</vt:i4>
      </vt:variant>
      <vt:variant>
        <vt:i4>0</vt:i4>
      </vt:variant>
      <vt:variant>
        <vt:i4>5</vt:i4>
      </vt:variant>
      <vt:variant>
        <vt:lpwstr>http://data.europa.eu/eli/reg_del/2025/637/oj</vt:lpwstr>
      </vt:variant>
      <vt:variant>
        <vt:lpwstr/>
      </vt:variant>
      <vt:variant>
        <vt:i4>6357073</vt:i4>
      </vt:variant>
      <vt:variant>
        <vt:i4>21</vt:i4>
      </vt:variant>
      <vt:variant>
        <vt:i4>0</vt:i4>
      </vt:variant>
      <vt:variant>
        <vt:i4>5</vt:i4>
      </vt:variant>
      <vt:variant>
        <vt:lpwstr>http://data.europa.eu/eli/reg_del/2025/65/oj</vt:lpwstr>
      </vt:variant>
      <vt:variant>
        <vt:lpwstr/>
      </vt:variant>
      <vt:variant>
        <vt:i4>5505121</vt:i4>
      </vt:variant>
      <vt:variant>
        <vt:i4>18</vt:i4>
      </vt:variant>
      <vt:variant>
        <vt:i4>0</vt:i4>
      </vt:variant>
      <vt:variant>
        <vt:i4>5</vt:i4>
      </vt:variant>
      <vt:variant>
        <vt:lpwstr>http://data.europa.eu/eli/reg_del/2024/2104/oj</vt:lpwstr>
      </vt:variant>
      <vt:variant>
        <vt:lpwstr/>
      </vt:variant>
      <vt:variant>
        <vt:i4>5701728</vt:i4>
      </vt:variant>
      <vt:variant>
        <vt:i4>15</vt:i4>
      </vt:variant>
      <vt:variant>
        <vt:i4>0</vt:i4>
      </vt:variant>
      <vt:variant>
        <vt:i4>5</vt:i4>
      </vt:variant>
      <vt:variant>
        <vt:lpwstr>http://data.europa.eu/eli/reg_del/2024/1004/oj</vt:lpwstr>
      </vt:variant>
      <vt:variant>
        <vt:lpwstr/>
      </vt:variant>
      <vt:variant>
        <vt:i4>7667729</vt:i4>
      </vt:variant>
      <vt:variant>
        <vt:i4>12</vt:i4>
      </vt:variant>
      <vt:variant>
        <vt:i4>0</vt:i4>
      </vt:variant>
      <vt:variant>
        <vt:i4>5</vt:i4>
      </vt:variant>
      <vt:variant>
        <vt:lpwstr>http://data.europa.eu/eli/reg_del/2024/950/oj</vt:lpwstr>
      </vt:variant>
      <vt:variant>
        <vt:lpwstr/>
      </vt:variant>
      <vt:variant>
        <vt:i4>5636192</vt:i4>
      </vt:variant>
      <vt:variant>
        <vt:i4>9</vt:i4>
      </vt:variant>
      <vt:variant>
        <vt:i4>0</vt:i4>
      </vt:variant>
      <vt:variant>
        <vt:i4>5</vt:i4>
      </vt:variant>
      <vt:variant>
        <vt:lpwstr>http://data.europa.eu/eli/reg_del/2023/2652/oj</vt:lpwstr>
      </vt:variant>
      <vt:variant>
        <vt:lpwstr/>
      </vt:variant>
      <vt:variant>
        <vt:i4>8126487</vt:i4>
      </vt:variant>
      <vt:variant>
        <vt:i4>6</vt:i4>
      </vt:variant>
      <vt:variant>
        <vt:i4>0</vt:i4>
      </vt:variant>
      <vt:variant>
        <vt:i4>5</vt:i4>
      </vt:variant>
      <vt:variant>
        <vt:lpwstr>http://data.europa.eu/eli/reg_del/2025/637/oj</vt:lpwstr>
      </vt:variant>
      <vt:variant>
        <vt:lpwstr/>
      </vt:variant>
      <vt:variant>
        <vt:i4>5636192</vt:i4>
      </vt:variant>
      <vt:variant>
        <vt:i4>3</vt:i4>
      </vt:variant>
      <vt:variant>
        <vt:i4>0</vt:i4>
      </vt:variant>
      <vt:variant>
        <vt:i4>5</vt:i4>
      </vt:variant>
      <vt:variant>
        <vt:lpwstr>http://data.europa.eu/eli/reg_del/2023/2652/oj</vt:lpwstr>
      </vt:variant>
      <vt:variant>
        <vt:lpwstr/>
      </vt:variant>
      <vt:variant>
        <vt:i4>327685</vt:i4>
      </vt:variant>
      <vt:variant>
        <vt:i4>0</vt:i4>
      </vt:variant>
      <vt:variant>
        <vt:i4>0</vt:i4>
      </vt:variant>
      <vt:variant>
        <vt:i4>5</vt:i4>
      </vt:variant>
      <vt:variant>
        <vt:lpwstr>https://eur-lex.europa.eu/legal-content/EN/TXT/?uri=CELEX%3A52021DC0383&amp;qid=1773055507529</vt:lpwstr>
      </vt:variant>
      <vt:variant>
        <vt:lpwstr/>
      </vt:variant>
      <vt:variant>
        <vt:i4>2293763</vt:i4>
      </vt:variant>
      <vt:variant>
        <vt:i4>0</vt:i4>
      </vt:variant>
      <vt:variant>
        <vt:i4>0</vt:i4>
      </vt:variant>
      <vt:variant>
        <vt:i4>5</vt:i4>
      </vt:variant>
      <vt:variant>
        <vt:lpwstr>mailto:Rolanas.KLIUCINSKAS@ec.europa.eu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9</cp:revision>
  <cp:lastPrinted>2021-06-10T09:44:00Z</cp:lastPrinted>
  <dcterms:created xsi:type="dcterms:W3CDTF">2026-06-09T14:46:00Z</dcterms:created>
  <dcterms:modified xsi:type="dcterms:W3CDTF">2026-07-08T06:11:00Z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OP_sanitized">
    <vt:lpwstr>True</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2026-01-28T10:26:41Z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a78a3003-4bc6-4dea-9a92-d68336759dc8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0x010100A640DC13EB184F4EBE5AA21BE9F247DB</vt:lpwstr>
  </property>
</Properties>
</file>