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media/image3.svg" ContentType="image/svg+xml"/>
  <Override PartName="/word/media/image5.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A0C46E" w14:textId="7287F8BE" w:rsidR="00A13C5C" w:rsidRDefault="00442FE6" w:rsidP="00442FE6">
      <w:pPr>
        <w:pStyle w:val="Pagedecouverture"/>
        <w:rPr>
          <w:noProof/>
        </w:rPr>
      </w:pPr>
      <w:bookmarkStart w:id="0" w:name="LW_BM_COVERPAGE"/>
      <w:r>
        <w:rPr>
          <w:noProof/>
        </w:rPr>
        <w:pict w14:anchorId="6700A0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9C415C52-E6F2-46FE-A20F-F60B7E503543" style="width:455.25pt;height:327.75pt">
            <v:imagedata r:id="rId8" o:title=""/>
          </v:shape>
        </w:pict>
      </w:r>
    </w:p>
    <w:bookmarkEnd w:id="0"/>
    <w:p w14:paraId="4D90687F" w14:textId="77777777" w:rsidR="00A13C5C" w:rsidRDefault="00A13C5C" w:rsidP="00A13C5C">
      <w:pPr>
        <w:rPr>
          <w:noProof/>
        </w:rPr>
        <w:sectPr w:rsidR="00A13C5C" w:rsidSect="00442FE6">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bookmarkStart w:id="1" w:name="_GoBack" w:displacedByCustomXml="next"/>
    <w:bookmarkEnd w:id="1" w:displacedByCustomXml="next"/>
    <w:bookmarkStart w:id="2" w:name="_Toc185413377" w:displacedByCustomXml="next"/>
    <w:bookmarkStart w:id="3" w:name="_Toc86154512" w:displacedByCustomXml="next"/>
    <w:bookmarkStart w:id="4" w:name="_Toc86061890" w:displacedByCustomXml="next"/>
    <w:sdt>
      <w:sdtPr>
        <w:rPr>
          <w:noProof/>
        </w:rPr>
        <w:id w:val="68371494"/>
        <w:docPartObj>
          <w:docPartGallery w:val="Table of Contents"/>
          <w:docPartUnique/>
        </w:docPartObj>
      </w:sdtPr>
      <w:sdtEndPr/>
      <w:sdtContent>
        <w:p w14:paraId="082050CF" w14:textId="767E9C8B" w:rsidR="00D331A7" w:rsidRPr="00995F44" w:rsidRDefault="00D331A7" w:rsidP="00D331A7">
          <w:pPr>
            <w:tabs>
              <w:tab w:val="left" w:pos="851"/>
              <w:tab w:val="right" w:leader="dot" w:pos="9016"/>
            </w:tabs>
            <w:spacing w:after="100"/>
            <w:ind w:left="426" w:hanging="426"/>
            <w:jc w:val="center"/>
            <w:rPr>
              <w:rFonts w:ascii="Times New Roman" w:hAnsi="Times New Roman" w:cs="Times New Roman"/>
              <w:noProof/>
            </w:rPr>
          </w:pPr>
          <w:r>
            <w:rPr>
              <w:rFonts w:ascii="Times New Roman" w:hAnsi="Times New Roman"/>
              <w:noProof/>
            </w:rPr>
            <w:t>Inhoud</w:t>
          </w:r>
        </w:p>
        <w:p w14:paraId="7450BE71" w14:textId="075F4CB9" w:rsidR="00C637D9" w:rsidRPr="00C637D9" w:rsidRDefault="00D331A7">
          <w:pPr>
            <w:pStyle w:val="TOC1"/>
            <w:rPr>
              <w:rFonts w:asciiTheme="minorHAnsi" w:eastAsiaTheme="minorEastAsia" w:hAnsiTheme="minorHAnsi" w:cstheme="minorBidi"/>
              <w:kern w:val="2"/>
              <w:lang w:val="en-IE" w:eastAsia="en-IE"/>
              <w14:ligatures w14:val="standardContextual"/>
            </w:rPr>
          </w:pPr>
          <w:r w:rsidRPr="00C637D9">
            <w:fldChar w:fldCharType="begin"/>
          </w:r>
          <w:r w:rsidRPr="00C637D9">
            <w:instrText>TOC \o "1-3" \h \z \u</w:instrText>
          </w:r>
          <w:r w:rsidRPr="00C637D9">
            <w:fldChar w:fldCharType="separate"/>
          </w:r>
          <w:hyperlink w:anchor="_Toc226723196" w:history="1">
            <w:r w:rsidR="00C637D9" w:rsidRPr="00C637D9">
              <w:rPr>
                <w:rStyle w:val="Hyperlink"/>
              </w:rPr>
              <w:t>1.</w:t>
            </w:r>
            <w:r w:rsidR="00C637D9" w:rsidRPr="00C637D9">
              <w:rPr>
                <w:rFonts w:asciiTheme="minorHAnsi" w:eastAsiaTheme="minorEastAsia" w:hAnsiTheme="minorHAnsi" w:cstheme="minorBidi"/>
                <w:kern w:val="2"/>
                <w:lang w:val="en-IE" w:eastAsia="en-IE"/>
                <w14:ligatures w14:val="standardContextual"/>
              </w:rPr>
              <w:tab/>
            </w:r>
            <w:r w:rsidR="00C637D9" w:rsidRPr="00C637D9">
              <w:rPr>
                <w:rStyle w:val="Hyperlink"/>
              </w:rPr>
              <w:t>Inleiding</w:t>
            </w:r>
            <w:r w:rsidR="00C637D9" w:rsidRPr="00C637D9">
              <w:rPr>
                <w:webHidden/>
              </w:rPr>
              <w:tab/>
            </w:r>
            <w:r w:rsidR="00C637D9" w:rsidRPr="00C637D9">
              <w:rPr>
                <w:webHidden/>
              </w:rPr>
              <w:fldChar w:fldCharType="begin"/>
            </w:r>
            <w:r w:rsidR="00C637D9" w:rsidRPr="00C637D9">
              <w:rPr>
                <w:webHidden/>
              </w:rPr>
              <w:instrText xml:space="preserve"> PAGEREF _Toc226723196 \h </w:instrText>
            </w:r>
            <w:r w:rsidR="00C637D9" w:rsidRPr="00C637D9">
              <w:rPr>
                <w:webHidden/>
              </w:rPr>
            </w:r>
            <w:r w:rsidR="00C637D9" w:rsidRPr="00C637D9">
              <w:rPr>
                <w:webHidden/>
              </w:rPr>
              <w:fldChar w:fldCharType="separate"/>
            </w:r>
            <w:r w:rsidR="00EF4041">
              <w:rPr>
                <w:webHidden/>
              </w:rPr>
              <w:t>2</w:t>
            </w:r>
            <w:r w:rsidR="00C637D9" w:rsidRPr="00C637D9">
              <w:rPr>
                <w:webHidden/>
              </w:rPr>
              <w:fldChar w:fldCharType="end"/>
            </w:r>
          </w:hyperlink>
        </w:p>
        <w:p w14:paraId="58A6F720" w14:textId="540339C5" w:rsidR="00C637D9" w:rsidRPr="00C637D9" w:rsidRDefault="00442FE6">
          <w:pPr>
            <w:pStyle w:val="TOC1"/>
            <w:rPr>
              <w:rFonts w:asciiTheme="minorHAnsi" w:eastAsiaTheme="minorEastAsia" w:hAnsiTheme="minorHAnsi" w:cstheme="minorBidi"/>
              <w:kern w:val="2"/>
              <w:lang w:val="en-IE" w:eastAsia="en-IE"/>
              <w14:ligatures w14:val="standardContextual"/>
            </w:rPr>
          </w:pPr>
          <w:hyperlink w:anchor="_Toc226723197" w:history="1">
            <w:r w:rsidR="00C637D9" w:rsidRPr="00C637D9">
              <w:rPr>
                <w:rStyle w:val="Hyperlink"/>
              </w:rPr>
              <w:t>2.</w:t>
            </w:r>
            <w:r w:rsidR="00C637D9" w:rsidRPr="00C637D9">
              <w:rPr>
                <w:rFonts w:asciiTheme="minorHAnsi" w:eastAsiaTheme="minorEastAsia" w:hAnsiTheme="minorHAnsi" w:cstheme="minorBidi"/>
                <w:kern w:val="2"/>
                <w:lang w:val="en-IE" w:eastAsia="en-IE"/>
                <w14:ligatures w14:val="standardContextual"/>
              </w:rPr>
              <w:tab/>
            </w:r>
            <w:r w:rsidR="00C637D9" w:rsidRPr="00C637D9">
              <w:rPr>
                <w:rStyle w:val="Hyperlink"/>
              </w:rPr>
              <w:t>Institutioneel kader</w:t>
            </w:r>
            <w:r w:rsidR="00C637D9" w:rsidRPr="00C637D9">
              <w:rPr>
                <w:webHidden/>
              </w:rPr>
              <w:tab/>
            </w:r>
            <w:r w:rsidR="00C637D9" w:rsidRPr="00C637D9">
              <w:rPr>
                <w:webHidden/>
              </w:rPr>
              <w:fldChar w:fldCharType="begin"/>
            </w:r>
            <w:r w:rsidR="00C637D9" w:rsidRPr="00C637D9">
              <w:rPr>
                <w:webHidden/>
              </w:rPr>
              <w:instrText xml:space="preserve"> PAGEREF _Toc226723197 \h </w:instrText>
            </w:r>
            <w:r w:rsidR="00C637D9" w:rsidRPr="00C637D9">
              <w:rPr>
                <w:webHidden/>
              </w:rPr>
            </w:r>
            <w:r w:rsidR="00C637D9" w:rsidRPr="00C637D9">
              <w:rPr>
                <w:webHidden/>
              </w:rPr>
              <w:fldChar w:fldCharType="separate"/>
            </w:r>
            <w:r w:rsidR="00EF4041">
              <w:rPr>
                <w:webHidden/>
              </w:rPr>
              <w:t>3</w:t>
            </w:r>
            <w:r w:rsidR="00C637D9" w:rsidRPr="00C637D9">
              <w:rPr>
                <w:webHidden/>
              </w:rPr>
              <w:fldChar w:fldCharType="end"/>
            </w:r>
          </w:hyperlink>
        </w:p>
        <w:p w14:paraId="18636D0E" w14:textId="213AB6D6" w:rsidR="00C637D9" w:rsidRPr="00C637D9" w:rsidRDefault="00442FE6">
          <w:pPr>
            <w:pStyle w:val="TOC1"/>
            <w:rPr>
              <w:rFonts w:asciiTheme="minorHAnsi" w:eastAsiaTheme="minorEastAsia" w:hAnsiTheme="minorHAnsi" w:cstheme="minorBidi"/>
              <w:kern w:val="2"/>
              <w:lang w:val="en-IE" w:eastAsia="en-IE"/>
              <w14:ligatures w14:val="standardContextual"/>
            </w:rPr>
          </w:pPr>
          <w:hyperlink w:anchor="_Toc226723198" w:history="1">
            <w:r w:rsidR="00C637D9" w:rsidRPr="00C637D9">
              <w:rPr>
                <w:rStyle w:val="Hyperlink"/>
              </w:rPr>
              <w:t>3.</w:t>
            </w:r>
            <w:r w:rsidR="00C637D9" w:rsidRPr="00C637D9">
              <w:rPr>
                <w:rFonts w:asciiTheme="minorHAnsi" w:eastAsiaTheme="minorEastAsia" w:hAnsiTheme="minorHAnsi" w:cstheme="minorBidi"/>
                <w:kern w:val="2"/>
                <w:lang w:val="en-IE" w:eastAsia="en-IE"/>
                <w14:ligatures w14:val="standardContextual"/>
              </w:rPr>
              <w:tab/>
            </w:r>
            <w:r w:rsidR="00C637D9" w:rsidRPr="00C637D9">
              <w:rPr>
                <w:rStyle w:val="Hyperlink"/>
              </w:rPr>
              <w:t>Klachten en geschillenbeslechting</w:t>
            </w:r>
            <w:r w:rsidR="00C637D9" w:rsidRPr="00C637D9">
              <w:rPr>
                <w:webHidden/>
              </w:rPr>
              <w:tab/>
            </w:r>
            <w:r w:rsidR="00C637D9" w:rsidRPr="00C637D9">
              <w:rPr>
                <w:webHidden/>
              </w:rPr>
              <w:fldChar w:fldCharType="begin"/>
            </w:r>
            <w:r w:rsidR="00C637D9" w:rsidRPr="00C637D9">
              <w:rPr>
                <w:webHidden/>
              </w:rPr>
              <w:instrText xml:space="preserve"> PAGEREF _Toc226723198 \h </w:instrText>
            </w:r>
            <w:r w:rsidR="00C637D9" w:rsidRPr="00C637D9">
              <w:rPr>
                <w:webHidden/>
              </w:rPr>
            </w:r>
            <w:r w:rsidR="00C637D9" w:rsidRPr="00C637D9">
              <w:rPr>
                <w:webHidden/>
              </w:rPr>
              <w:fldChar w:fldCharType="separate"/>
            </w:r>
            <w:r w:rsidR="00EF4041">
              <w:rPr>
                <w:webHidden/>
              </w:rPr>
              <w:t>4</w:t>
            </w:r>
            <w:r w:rsidR="00C637D9" w:rsidRPr="00C637D9">
              <w:rPr>
                <w:webHidden/>
              </w:rPr>
              <w:fldChar w:fldCharType="end"/>
            </w:r>
          </w:hyperlink>
        </w:p>
        <w:p w14:paraId="395B712D" w14:textId="5B974FC9" w:rsidR="00C637D9" w:rsidRPr="00C637D9" w:rsidRDefault="00442FE6">
          <w:pPr>
            <w:pStyle w:val="TOC2"/>
            <w:rPr>
              <w:rFonts w:eastAsiaTheme="minorEastAsia"/>
              <w:noProof/>
              <w:kern w:val="2"/>
              <w:sz w:val="24"/>
              <w:szCs w:val="24"/>
              <w:lang w:val="en-IE" w:eastAsia="en-IE"/>
              <w14:ligatures w14:val="standardContextual"/>
            </w:rPr>
          </w:pPr>
          <w:hyperlink w:anchor="_Toc226723199" w:history="1">
            <w:r w:rsidR="00C637D9" w:rsidRPr="00C637D9">
              <w:rPr>
                <w:rStyle w:val="Hyperlink"/>
                <w:rFonts w:ascii="Times New Roman" w:hAnsi="Times New Roman" w:cs="Times New Roman"/>
                <w:noProof/>
              </w:rPr>
              <w:t>3.1.</w:t>
            </w:r>
            <w:r w:rsidR="00C637D9" w:rsidRPr="00C637D9">
              <w:rPr>
                <w:rFonts w:eastAsiaTheme="minorEastAsia"/>
                <w:noProof/>
                <w:kern w:val="2"/>
                <w:sz w:val="24"/>
                <w:szCs w:val="24"/>
                <w:lang w:val="en-IE" w:eastAsia="en-IE"/>
                <w14:ligatures w14:val="standardContextual"/>
              </w:rPr>
              <w:tab/>
            </w:r>
            <w:r w:rsidR="00C637D9" w:rsidRPr="00C637D9">
              <w:rPr>
                <w:rStyle w:val="Hyperlink"/>
                <w:rFonts w:ascii="Times New Roman" w:hAnsi="Times New Roman"/>
                <w:noProof/>
              </w:rPr>
              <w:t>Klachten</w:t>
            </w:r>
            <w:r w:rsidR="00C637D9" w:rsidRPr="00C637D9">
              <w:rPr>
                <w:noProof/>
                <w:webHidden/>
              </w:rPr>
              <w:tab/>
            </w:r>
            <w:r w:rsidR="00C637D9" w:rsidRPr="00C637D9">
              <w:rPr>
                <w:noProof/>
                <w:webHidden/>
              </w:rPr>
              <w:fldChar w:fldCharType="begin"/>
            </w:r>
            <w:r w:rsidR="00C637D9" w:rsidRPr="00C637D9">
              <w:rPr>
                <w:noProof/>
                <w:webHidden/>
              </w:rPr>
              <w:instrText xml:space="preserve"> PAGEREF _Toc226723199 \h </w:instrText>
            </w:r>
            <w:r w:rsidR="00C637D9" w:rsidRPr="00C637D9">
              <w:rPr>
                <w:noProof/>
                <w:webHidden/>
              </w:rPr>
            </w:r>
            <w:r w:rsidR="00C637D9" w:rsidRPr="00C637D9">
              <w:rPr>
                <w:noProof/>
                <w:webHidden/>
              </w:rPr>
              <w:fldChar w:fldCharType="separate"/>
            </w:r>
            <w:r w:rsidR="00EF4041">
              <w:rPr>
                <w:noProof/>
                <w:webHidden/>
              </w:rPr>
              <w:t>4</w:t>
            </w:r>
            <w:r w:rsidR="00C637D9" w:rsidRPr="00C637D9">
              <w:rPr>
                <w:noProof/>
                <w:webHidden/>
              </w:rPr>
              <w:fldChar w:fldCharType="end"/>
            </w:r>
          </w:hyperlink>
        </w:p>
        <w:p w14:paraId="0411A2F1" w14:textId="6ED03984" w:rsidR="00C637D9" w:rsidRPr="00C637D9" w:rsidRDefault="00442FE6">
          <w:pPr>
            <w:pStyle w:val="TOC2"/>
            <w:rPr>
              <w:rFonts w:eastAsiaTheme="minorEastAsia"/>
              <w:noProof/>
              <w:kern w:val="2"/>
              <w:sz w:val="24"/>
              <w:szCs w:val="24"/>
              <w:lang w:val="en-IE" w:eastAsia="en-IE"/>
              <w14:ligatures w14:val="standardContextual"/>
            </w:rPr>
          </w:pPr>
          <w:hyperlink w:anchor="_Toc226723200" w:history="1">
            <w:r w:rsidR="00C637D9" w:rsidRPr="00C637D9">
              <w:rPr>
                <w:rStyle w:val="Hyperlink"/>
                <w:rFonts w:ascii="Times New Roman" w:eastAsia="Times New Roman" w:hAnsi="Times New Roman" w:cs="Times New Roman"/>
                <w:noProof/>
              </w:rPr>
              <w:t>3.2.</w:t>
            </w:r>
            <w:r w:rsidR="00C637D9" w:rsidRPr="00C637D9">
              <w:rPr>
                <w:rFonts w:eastAsiaTheme="minorEastAsia"/>
                <w:noProof/>
                <w:kern w:val="2"/>
                <w:sz w:val="24"/>
                <w:szCs w:val="24"/>
                <w:lang w:val="en-IE" w:eastAsia="en-IE"/>
                <w14:ligatures w14:val="standardContextual"/>
              </w:rPr>
              <w:tab/>
            </w:r>
            <w:r w:rsidR="00C637D9" w:rsidRPr="00C637D9">
              <w:rPr>
                <w:rStyle w:val="Hyperlink"/>
                <w:rFonts w:ascii="Times New Roman" w:hAnsi="Times New Roman"/>
                <w:noProof/>
              </w:rPr>
              <w:t>Geschillenbeslechting</w:t>
            </w:r>
            <w:r w:rsidR="00C637D9" w:rsidRPr="00C637D9">
              <w:rPr>
                <w:noProof/>
                <w:webHidden/>
              </w:rPr>
              <w:tab/>
            </w:r>
            <w:r w:rsidR="00C637D9" w:rsidRPr="00C637D9">
              <w:rPr>
                <w:noProof/>
                <w:webHidden/>
              </w:rPr>
              <w:fldChar w:fldCharType="begin"/>
            </w:r>
            <w:r w:rsidR="00C637D9" w:rsidRPr="00C637D9">
              <w:rPr>
                <w:noProof/>
                <w:webHidden/>
              </w:rPr>
              <w:instrText xml:space="preserve"> PAGEREF _Toc226723200 \h </w:instrText>
            </w:r>
            <w:r w:rsidR="00C637D9" w:rsidRPr="00C637D9">
              <w:rPr>
                <w:noProof/>
                <w:webHidden/>
              </w:rPr>
            </w:r>
            <w:r w:rsidR="00C637D9" w:rsidRPr="00C637D9">
              <w:rPr>
                <w:noProof/>
                <w:webHidden/>
              </w:rPr>
              <w:fldChar w:fldCharType="separate"/>
            </w:r>
            <w:r w:rsidR="00EF4041">
              <w:rPr>
                <w:noProof/>
                <w:webHidden/>
              </w:rPr>
              <w:t>5</w:t>
            </w:r>
            <w:r w:rsidR="00C637D9" w:rsidRPr="00C637D9">
              <w:rPr>
                <w:noProof/>
                <w:webHidden/>
              </w:rPr>
              <w:fldChar w:fldCharType="end"/>
            </w:r>
          </w:hyperlink>
        </w:p>
        <w:p w14:paraId="33A4B7FD" w14:textId="159680C8" w:rsidR="00C637D9" w:rsidRPr="00C637D9" w:rsidRDefault="00442FE6">
          <w:pPr>
            <w:pStyle w:val="TOC1"/>
            <w:rPr>
              <w:rFonts w:asciiTheme="minorHAnsi" w:eastAsiaTheme="minorEastAsia" w:hAnsiTheme="minorHAnsi" w:cstheme="minorBidi"/>
              <w:kern w:val="2"/>
              <w:lang w:val="en-IE" w:eastAsia="en-IE"/>
              <w14:ligatures w14:val="standardContextual"/>
            </w:rPr>
          </w:pPr>
          <w:hyperlink w:anchor="_Toc226723201" w:history="1">
            <w:r w:rsidR="00C637D9" w:rsidRPr="00C637D9">
              <w:rPr>
                <w:rStyle w:val="Hyperlink"/>
              </w:rPr>
              <w:t>4.</w:t>
            </w:r>
            <w:r w:rsidR="00C637D9" w:rsidRPr="00C637D9">
              <w:rPr>
                <w:rFonts w:asciiTheme="minorHAnsi" w:eastAsiaTheme="minorEastAsia" w:hAnsiTheme="minorHAnsi" w:cstheme="minorBidi"/>
                <w:kern w:val="2"/>
                <w:lang w:val="en-IE" w:eastAsia="en-IE"/>
                <w14:ligatures w14:val="standardContextual"/>
              </w:rPr>
              <w:tab/>
            </w:r>
            <w:r w:rsidR="00C637D9" w:rsidRPr="00C637D9">
              <w:rPr>
                <w:rStyle w:val="Hyperlink"/>
              </w:rPr>
              <w:t>Sectorale uitvoering</w:t>
            </w:r>
            <w:r w:rsidR="00C637D9" w:rsidRPr="00C637D9">
              <w:rPr>
                <w:webHidden/>
              </w:rPr>
              <w:tab/>
            </w:r>
            <w:r w:rsidR="00C637D9" w:rsidRPr="00C637D9">
              <w:rPr>
                <w:webHidden/>
              </w:rPr>
              <w:fldChar w:fldCharType="begin"/>
            </w:r>
            <w:r w:rsidR="00C637D9" w:rsidRPr="00C637D9">
              <w:rPr>
                <w:webHidden/>
              </w:rPr>
              <w:instrText xml:space="preserve"> PAGEREF _Toc226723201 \h </w:instrText>
            </w:r>
            <w:r w:rsidR="00C637D9" w:rsidRPr="00C637D9">
              <w:rPr>
                <w:webHidden/>
              </w:rPr>
            </w:r>
            <w:r w:rsidR="00C637D9" w:rsidRPr="00C637D9">
              <w:rPr>
                <w:webHidden/>
              </w:rPr>
              <w:fldChar w:fldCharType="separate"/>
            </w:r>
            <w:r w:rsidR="00EF4041">
              <w:rPr>
                <w:webHidden/>
              </w:rPr>
              <w:t>6</w:t>
            </w:r>
            <w:r w:rsidR="00C637D9" w:rsidRPr="00C637D9">
              <w:rPr>
                <w:webHidden/>
              </w:rPr>
              <w:fldChar w:fldCharType="end"/>
            </w:r>
          </w:hyperlink>
        </w:p>
        <w:p w14:paraId="513346D7" w14:textId="61122B83" w:rsidR="00C637D9" w:rsidRPr="00C637D9" w:rsidRDefault="00442FE6">
          <w:pPr>
            <w:pStyle w:val="TOC2"/>
            <w:rPr>
              <w:rFonts w:eastAsiaTheme="minorEastAsia"/>
              <w:noProof/>
              <w:kern w:val="2"/>
              <w:sz w:val="24"/>
              <w:szCs w:val="24"/>
              <w:lang w:val="en-IE" w:eastAsia="en-IE"/>
              <w14:ligatures w14:val="standardContextual"/>
            </w:rPr>
          </w:pPr>
          <w:hyperlink w:anchor="_Toc226723202" w:history="1">
            <w:r w:rsidR="00C637D9" w:rsidRPr="00C637D9">
              <w:rPr>
                <w:rStyle w:val="Hyperlink"/>
                <w:rFonts w:ascii="Times New Roman" w:hAnsi="Times New Roman" w:cs="Times New Roman"/>
                <w:noProof/>
              </w:rPr>
              <w:t>4.1.</w:t>
            </w:r>
            <w:r w:rsidR="00C637D9" w:rsidRPr="00C637D9">
              <w:rPr>
                <w:rFonts w:eastAsiaTheme="minorEastAsia"/>
                <w:noProof/>
                <w:kern w:val="2"/>
                <w:sz w:val="24"/>
                <w:szCs w:val="24"/>
                <w:lang w:val="en-IE" w:eastAsia="en-IE"/>
                <w14:ligatures w14:val="standardContextual"/>
              </w:rPr>
              <w:tab/>
            </w:r>
            <w:r w:rsidR="00C637D9" w:rsidRPr="00C637D9">
              <w:rPr>
                <w:rStyle w:val="Hyperlink"/>
                <w:rFonts w:ascii="Times New Roman" w:hAnsi="Times New Roman"/>
                <w:noProof/>
              </w:rPr>
              <w:t>Handel in goederen</w:t>
            </w:r>
            <w:r w:rsidR="00C637D9" w:rsidRPr="00C637D9">
              <w:rPr>
                <w:noProof/>
                <w:webHidden/>
              </w:rPr>
              <w:tab/>
            </w:r>
            <w:r w:rsidR="00C637D9" w:rsidRPr="00C637D9">
              <w:rPr>
                <w:noProof/>
                <w:webHidden/>
              </w:rPr>
              <w:fldChar w:fldCharType="begin"/>
            </w:r>
            <w:r w:rsidR="00C637D9" w:rsidRPr="00C637D9">
              <w:rPr>
                <w:noProof/>
                <w:webHidden/>
              </w:rPr>
              <w:instrText xml:space="preserve"> PAGEREF _Toc226723202 \h </w:instrText>
            </w:r>
            <w:r w:rsidR="00C637D9" w:rsidRPr="00C637D9">
              <w:rPr>
                <w:noProof/>
                <w:webHidden/>
              </w:rPr>
            </w:r>
            <w:r w:rsidR="00C637D9" w:rsidRPr="00C637D9">
              <w:rPr>
                <w:noProof/>
                <w:webHidden/>
              </w:rPr>
              <w:fldChar w:fldCharType="separate"/>
            </w:r>
            <w:r w:rsidR="00EF4041">
              <w:rPr>
                <w:noProof/>
                <w:webHidden/>
              </w:rPr>
              <w:t>6</w:t>
            </w:r>
            <w:r w:rsidR="00C637D9" w:rsidRPr="00C637D9">
              <w:rPr>
                <w:noProof/>
                <w:webHidden/>
              </w:rPr>
              <w:fldChar w:fldCharType="end"/>
            </w:r>
          </w:hyperlink>
        </w:p>
        <w:p w14:paraId="37318F75" w14:textId="7DFDE1D4" w:rsidR="00C637D9" w:rsidRPr="00C637D9" w:rsidRDefault="00442FE6">
          <w:pPr>
            <w:pStyle w:val="TOC2"/>
            <w:rPr>
              <w:rFonts w:eastAsiaTheme="minorEastAsia"/>
              <w:noProof/>
              <w:kern w:val="2"/>
              <w:sz w:val="24"/>
              <w:szCs w:val="24"/>
              <w:lang w:val="en-IE" w:eastAsia="en-IE"/>
              <w14:ligatures w14:val="standardContextual"/>
            </w:rPr>
          </w:pPr>
          <w:hyperlink w:anchor="_Toc226723203" w:history="1">
            <w:r w:rsidR="00C637D9" w:rsidRPr="00C637D9">
              <w:rPr>
                <w:rStyle w:val="Hyperlink"/>
                <w:rFonts w:ascii="Times New Roman" w:hAnsi="Times New Roman" w:cs="Times New Roman"/>
                <w:noProof/>
              </w:rPr>
              <w:t>4.2.</w:t>
            </w:r>
            <w:r w:rsidR="00C637D9" w:rsidRPr="00C637D9">
              <w:rPr>
                <w:rFonts w:eastAsiaTheme="minorEastAsia"/>
                <w:noProof/>
                <w:kern w:val="2"/>
                <w:sz w:val="24"/>
                <w:szCs w:val="24"/>
                <w:lang w:val="en-IE" w:eastAsia="en-IE"/>
                <w14:ligatures w14:val="standardContextual"/>
              </w:rPr>
              <w:tab/>
            </w:r>
            <w:r w:rsidR="00C637D9" w:rsidRPr="00C637D9">
              <w:rPr>
                <w:rStyle w:val="Hyperlink"/>
                <w:rFonts w:ascii="Times New Roman" w:hAnsi="Times New Roman"/>
                <w:noProof/>
              </w:rPr>
              <w:t>Diensten en investeringen, digitale handel, overheidsopdrachten en kleine en middelgrote ondernemingen</w:t>
            </w:r>
            <w:r w:rsidR="00C637D9" w:rsidRPr="00C637D9">
              <w:rPr>
                <w:noProof/>
                <w:webHidden/>
              </w:rPr>
              <w:tab/>
            </w:r>
            <w:r w:rsidR="00C637D9" w:rsidRPr="00C637D9">
              <w:rPr>
                <w:noProof/>
                <w:webHidden/>
              </w:rPr>
              <w:fldChar w:fldCharType="begin"/>
            </w:r>
            <w:r w:rsidR="00C637D9" w:rsidRPr="00C637D9">
              <w:rPr>
                <w:noProof/>
                <w:webHidden/>
              </w:rPr>
              <w:instrText xml:space="preserve"> PAGEREF _Toc226723203 \h </w:instrText>
            </w:r>
            <w:r w:rsidR="00C637D9" w:rsidRPr="00C637D9">
              <w:rPr>
                <w:noProof/>
                <w:webHidden/>
              </w:rPr>
            </w:r>
            <w:r w:rsidR="00C637D9" w:rsidRPr="00C637D9">
              <w:rPr>
                <w:noProof/>
                <w:webHidden/>
              </w:rPr>
              <w:fldChar w:fldCharType="separate"/>
            </w:r>
            <w:r w:rsidR="00EF4041">
              <w:rPr>
                <w:noProof/>
                <w:webHidden/>
              </w:rPr>
              <w:t>8</w:t>
            </w:r>
            <w:r w:rsidR="00C637D9" w:rsidRPr="00C637D9">
              <w:rPr>
                <w:noProof/>
                <w:webHidden/>
              </w:rPr>
              <w:fldChar w:fldCharType="end"/>
            </w:r>
          </w:hyperlink>
        </w:p>
        <w:p w14:paraId="03593DD2" w14:textId="58F85C4D" w:rsidR="00C637D9" w:rsidRPr="00C637D9" w:rsidRDefault="00442FE6">
          <w:pPr>
            <w:pStyle w:val="TOC2"/>
            <w:rPr>
              <w:rFonts w:eastAsiaTheme="minorEastAsia"/>
              <w:noProof/>
              <w:kern w:val="2"/>
              <w:sz w:val="24"/>
              <w:szCs w:val="24"/>
              <w:lang w:val="en-IE" w:eastAsia="en-IE"/>
              <w14:ligatures w14:val="standardContextual"/>
            </w:rPr>
          </w:pPr>
          <w:hyperlink w:anchor="_Toc226723204" w:history="1">
            <w:r w:rsidR="00C637D9" w:rsidRPr="00C637D9">
              <w:rPr>
                <w:rStyle w:val="Hyperlink"/>
                <w:rFonts w:ascii="Times New Roman" w:hAnsi="Times New Roman" w:cs="Times New Roman"/>
                <w:noProof/>
              </w:rPr>
              <w:t>4.3.</w:t>
            </w:r>
            <w:r w:rsidR="00C637D9" w:rsidRPr="00C637D9">
              <w:rPr>
                <w:rFonts w:eastAsiaTheme="minorEastAsia"/>
                <w:noProof/>
                <w:kern w:val="2"/>
                <w:sz w:val="24"/>
                <w:szCs w:val="24"/>
                <w:lang w:val="en-IE" w:eastAsia="en-IE"/>
                <w14:ligatures w14:val="standardContextual"/>
              </w:rPr>
              <w:tab/>
            </w:r>
            <w:r w:rsidR="00C637D9" w:rsidRPr="00C637D9">
              <w:rPr>
                <w:rStyle w:val="Hyperlink"/>
                <w:rFonts w:ascii="Times New Roman" w:hAnsi="Times New Roman"/>
                <w:noProof/>
              </w:rPr>
              <w:t>Intellectuele-eigendomsrechten</w:t>
            </w:r>
            <w:r w:rsidR="00C637D9" w:rsidRPr="00C637D9">
              <w:rPr>
                <w:noProof/>
                <w:webHidden/>
              </w:rPr>
              <w:tab/>
            </w:r>
            <w:r w:rsidR="00C637D9" w:rsidRPr="00C637D9">
              <w:rPr>
                <w:noProof/>
                <w:webHidden/>
              </w:rPr>
              <w:fldChar w:fldCharType="begin"/>
            </w:r>
            <w:r w:rsidR="00C637D9" w:rsidRPr="00C637D9">
              <w:rPr>
                <w:noProof/>
                <w:webHidden/>
              </w:rPr>
              <w:instrText xml:space="preserve"> PAGEREF _Toc226723204 \h </w:instrText>
            </w:r>
            <w:r w:rsidR="00C637D9" w:rsidRPr="00C637D9">
              <w:rPr>
                <w:noProof/>
                <w:webHidden/>
              </w:rPr>
            </w:r>
            <w:r w:rsidR="00C637D9" w:rsidRPr="00C637D9">
              <w:rPr>
                <w:noProof/>
                <w:webHidden/>
              </w:rPr>
              <w:fldChar w:fldCharType="separate"/>
            </w:r>
            <w:r w:rsidR="00EF4041">
              <w:rPr>
                <w:noProof/>
                <w:webHidden/>
              </w:rPr>
              <w:t>10</w:t>
            </w:r>
            <w:r w:rsidR="00C637D9" w:rsidRPr="00C637D9">
              <w:rPr>
                <w:noProof/>
                <w:webHidden/>
              </w:rPr>
              <w:fldChar w:fldCharType="end"/>
            </w:r>
          </w:hyperlink>
        </w:p>
        <w:p w14:paraId="11A54B41" w14:textId="6DC2C36E" w:rsidR="00C637D9" w:rsidRPr="00C637D9" w:rsidRDefault="00442FE6">
          <w:pPr>
            <w:pStyle w:val="TOC2"/>
            <w:rPr>
              <w:rFonts w:eastAsiaTheme="minorEastAsia"/>
              <w:noProof/>
              <w:kern w:val="2"/>
              <w:sz w:val="24"/>
              <w:szCs w:val="24"/>
              <w:lang w:val="en-IE" w:eastAsia="en-IE"/>
              <w14:ligatures w14:val="standardContextual"/>
            </w:rPr>
          </w:pPr>
          <w:hyperlink w:anchor="_Toc226723205" w:history="1">
            <w:r w:rsidR="00C637D9" w:rsidRPr="00C637D9">
              <w:rPr>
                <w:rStyle w:val="Hyperlink"/>
                <w:rFonts w:ascii="Times New Roman" w:hAnsi="Times New Roman" w:cs="Times New Roman"/>
                <w:noProof/>
              </w:rPr>
              <w:t>4.4.</w:t>
            </w:r>
            <w:r w:rsidR="00C637D9" w:rsidRPr="00C637D9">
              <w:rPr>
                <w:rFonts w:eastAsiaTheme="minorEastAsia"/>
                <w:noProof/>
                <w:kern w:val="2"/>
                <w:sz w:val="24"/>
                <w:szCs w:val="24"/>
                <w:lang w:val="en-IE" w:eastAsia="en-IE"/>
                <w14:ligatures w14:val="standardContextual"/>
              </w:rPr>
              <w:tab/>
            </w:r>
            <w:r w:rsidR="00C637D9" w:rsidRPr="00C637D9">
              <w:rPr>
                <w:rStyle w:val="Hyperlink"/>
                <w:rFonts w:ascii="Times New Roman" w:hAnsi="Times New Roman"/>
                <w:noProof/>
              </w:rPr>
              <w:t>Gelijk speelveld</w:t>
            </w:r>
            <w:r w:rsidR="00C637D9" w:rsidRPr="00C637D9">
              <w:rPr>
                <w:noProof/>
                <w:webHidden/>
              </w:rPr>
              <w:tab/>
            </w:r>
            <w:r w:rsidR="00C637D9" w:rsidRPr="00C637D9">
              <w:rPr>
                <w:noProof/>
                <w:webHidden/>
              </w:rPr>
              <w:fldChar w:fldCharType="begin"/>
            </w:r>
            <w:r w:rsidR="00C637D9" w:rsidRPr="00C637D9">
              <w:rPr>
                <w:noProof/>
                <w:webHidden/>
              </w:rPr>
              <w:instrText xml:space="preserve"> PAGEREF _Toc226723205 \h </w:instrText>
            </w:r>
            <w:r w:rsidR="00C637D9" w:rsidRPr="00C637D9">
              <w:rPr>
                <w:noProof/>
                <w:webHidden/>
              </w:rPr>
            </w:r>
            <w:r w:rsidR="00C637D9" w:rsidRPr="00C637D9">
              <w:rPr>
                <w:noProof/>
                <w:webHidden/>
              </w:rPr>
              <w:fldChar w:fldCharType="separate"/>
            </w:r>
            <w:r w:rsidR="00EF4041">
              <w:rPr>
                <w:noProof/>
                <w:webHidden/>
              </w:rPr>
              <w:t>10</w:t>
            </w:r>
            <w:r w:rsidR="00C637D9" w:rsidRPr="00C637D9">
              <w:rPr>
                <w:noProof/>
                <w:webHidden/>
              </w:rPr>
              <w:fldChar w:fldCharType="end"/>
            </w:r>
          </w:hyperlink>
        </w:p>
        <w:p w14:paraId="0D44A54E" w14:textId="465BCEBD" w:rsidR="00C637D9" w:rsidRPr="00C637D9" w:rsidRDefault="00442FE6">
          <w:pPr>
            <w:pStyle w:val="TOC2"/>
            <w:rPr>
              <w:rFonts w:eastAsiaTheme="minorEastAsia"/>
              <w:noProof/>
              <w:kern w:val="2"/>
              <w:sz w:val="24"/>
              <w:szCs w:val="24"/>
              <w:lang w:val="en-IE" w:eastAsia="en-IE"/>
              <w14:ligatures w14:val="standardContextual"/>
            </w:rPr>
          </w:pPr>
          <w:hyperlink w:anchor="_Toc226723206" w:history="1">
            <w:r w:rsidR="00C637D9" w:rsidRPr="00C637D9">
              <w:rPr>
                <w:rStyle w:val="Hyperlink"/>
                <w:rFonts w:ascii="Times New Roman" w:hAnsi="Times New Roman" w:cs="Times New Roman"/>
                <w:noProof/>
              </w:rPr>
              <w:t>4.5.</w:t>
            </w:r>
            <w:r w:rsidR="00C637D9" w:rsidRPr="00C637D9">
              <w:rPr>
                <w:rFonts w:eastAsiaTheme="minorEastAsia"/>
                <w:noProof/>
                <w:kern w:val="2"/>
                <w:sz w:val="24"/>
                <w:szCs w:val="24"/>
                <w:lang w:val="en-IE" w:eastAsia="en-IE"/>
                <w14:ligatures w14:val="standardContextual"/>
              </w:rPr>
              <w:tab/>
            </w:r>
            <w:r w:rsidR="00C637D9" w:rsidRPr="00C637D9">
              <w:rPr>
                <w:rStyle w:val="Hyperlink"/>
                <w:rFonts w:ascii="Times New Roman" w:hAnsi="Times New Roman"/>
                <w:noProof/>
              </w:rPr>
              <w:t>Energie</w:t>
            </w:r>
            <w:r w:rsidR="00C637D9" w:rsidRPr="00C637D9">
              <w:rPr>
                <w:noProof/>
                <w:webHidden/>
              </w:rPr>
              <w:tab/>
            </w:r>
            <w:r w:rsidR="00C637D9" w:rsidRPr="00C637D9">
              <w:rPr>
                <w:noProof/>
                <w:webHidden/>
              </w:rPr>
              <w:fldChar w:fldCharType="begin"/>
            </w:r>
            <w:r w:rsidR="00C637D9" w:rsidRPr="00C637D9">
              <w:rPr>
                <w:noProof/>
                <w:webHidden/>
              </w:rPr>
              <w:instrText xml:space="preserve"> PAGEREF _Toc226723206 \h </w:instrText>
            </w:r>
            <w:r w:rsidR="00C637D9" w:rsidRPr="00C637D9">
              <w:rPr>
                <w:noProof/>
                <w:webHidden/>
              </w:rPr>
            </w:r>
            <w:r w:rsidR="00C637D9" w:rsidRPr="00C637D9">
              <w:rPr>
                <w:noProof/>
                <w:webHidden/>
              </w:rPr>
              <w:fldChar w:fldCharType="separate"/>
            </w:r>
            <w:r w:rsidR="00EF4041">
              <w:rPr>
                <w:noProof/>
                <w:webHidden/>
              </w:rPr>
              <w:t>11</w:t>
            </w:r>
            <w:r w:rsidR="00C637D9" w:rsidRPr="00C637D9">
              <w:rPr>
                <w:noProof/>
                <w:webHidden/>
              </w:rPr>
              <w:fldChar w:fldCharType="end"/>
            </w:r>
          </w:hyperlink>
        </w:p>
        <w:p w14:paraId="1D8646A7" w14:textId="4A29F84E" w:rsidR="00C637D9" w:rsidRPr="00C637D9" w:rsidRDefault="00442FE6">
          <w:pPr>
            <w:pStyle w:val="TOC2"/>
            <w:rPr>
              <w:rFonts w:eastAsiaTheme="minorEastAsia"/>
              <w:noProof/>
              <w:kern w:val="2"/>
              <w:sz w:val="24"/>
              <w:szCs w:val="24"/>
              <w:lang w:val="en-IE" w:eastAsia="en-IE"/>
              <w14:ligatures w14:val="standardContextual"/>
            </w:rPr>
          </w:pPr>
          <w:hyperlink w:anchor="_Toc226723207" w:history="1">
            <w:r w:rsidR="00C637D9" w:rsidRPr="00C637D9">
              <w:rPr>
                <w:rStyle w:val="Hyperlink"/>
                <w:rFonts w:ascii="Times New Roman" w:hAnsi="Times New Roman" w:cs="Times New Roman"/>
                <w:noProof/>
              </w:rPr>
              <w:t>4.6.</w:t>
            </w:r>
            <w:r w:rsidR="00C637D9" w:rsidRPr="00C637D9">
              <w:rPr>
                <w:rFonts w:eastAsiaTheme="minorEastAsia"/>
                <w:noProof/>
                <w:kern w:val="2"/>
                <w:sz w:val="24"/>
                <w:szCs w:val="24"/>
                <w:lang w:val="en-IE" w:eastAsia="en-IE"/>
                <w14:ligatures w14:val="standardContextual"/>
              </w:rPr>
              <w:tab/>
            </w:r>
            <w:r w:rsidR="00C637D9" w:rsidRPr="00C637D9">
              <w:rPr>
                <w:rStyle w:val="Hyperlink"/>
                <w:rFonts w:ascii="Times New Roman" w:hAnsi="Times New Roman"/>
                <w:noProof/>
              </w:rPr>
              <w:t>Vervoer</w:t>
            </w:r>
            <w:r w:rsidR="00C637D9" w:rsidRPr="00C637D9">
              <w:rPr>
                <w:noProof/>
                <w:webHidden/>
              </w:rPr>
              <w:tab/>
            </w:r>
            <w:r w:rsidR="00C637D9" w:rsidRPr="00C637D9">
              <w:rPr>
                <w:noProof/>
                <w:webHidden/>
              </w:rPr>
              <w:fldChar w:fldCharType="begin"/>
            </w:r>
            <w:r w:rsidR="00C637D9" w:rsidRPr="00C637D9">
              <w:rPr>
                <w:noProof/>
                <w:webHidden/>
              </w:rPr>
              <w:instrText xml:space="preserve"> PAGEREF _Toc226723207 \h </w:instrText>
            </w:r>
            <w:r w:rsidR="00C637D9" w:rsidRPr="00C637D9">
              <w:rPr>
                <w:noProof/>
                <w:webHidden/>
              </w:rPr>
            </w:r>
            <w:r w:rsidR="00C637D9" w:rsidRPr="00C637D9">
              <w:rPr>
                <w:noProof/>
                <w:webHidden/>
              </w:rPr>
              <w:fldChar w:fldCharType="separate"/>
            </w:r>
            <w:r w:rsidR="00EF4041">
              <w:rPr>
                <w:noProof/>
                <w:webHidden/>
              </w:rPr>
              <w:t>12</w:t>
            </w:r>
            <w:r w:rsidR="00C637D9" w:rsidRPr="00C637D9">
              <w:rPr>
                <w:noProof/>
                <w:webHidden/>
              </w:rPr>
              <w:fldChar w:fldCharType="end"/>
            </w:r>
          </w:hyperlink>
        </w:p>
        <w:p w14:paraId="435139AD" w14:textId="569F48DB" w:rsidR="00C637D9" w:rsidRPr="00C637D9" w:rsidRDefault="00442FE6">
          <w:pPr>
            <w:pStyle w:val="TOC2"/>
            <w:rPr>
              <w:rFonts w:eastAsiaTheme="minorEastAsia"/>
              <w:noProof/>
              <w:kern w:val="2"/>
              <w:sz w:val="24"/>
              <w:szCs w:val="24"/>
              <w:lang w:val="en-IE" w:eastAsia="en-IE"/>
              <w14:ligatures w14:val="standardContextual"/>
            </w:rPr>
          </w:pPr>
          <w:hyperlink w:anchor="_Toc226723208" w:history="1">
            <w:r w:rsidR="00C637D9" w:rsidRPr="00C637D9">
              <w:rPr>
                <w:rStyle w:val="Hyperlink"/>
                <w:rFonts w:ascii="Times New Roman" w:hAnsi="Times New Roman" w:cs="Times New Roman"/>
                <w:noProof/>
              </w:rPr>
              <w:t>4.7.</w:t>
            </w:r>
            <w:r w:rsidR="00C637D9" w:rsidRPr="00C637D9">
              <w:rPr>
                <w:rFonts w:eastAsiaTheme="minorEastAsia"/>
                <w:noProof/>
                <w:kern w:val="2"/>
                <w:sz w:val="24"/>
                <w:szCs w:val="24"/>
                <w:lang w:val="en-IE" w:eastAsia="en-IE"/>
                <w14:ligatures w14:val="standardContextual"/>
              </w:rPr>
              <w:tab/>
            </w:r>
            <w:r w:rsidR="00C637D9" w:rsidRPr="00C637D9">
              <w:rPr>
                <w:rStyle w:val="Hyperlink"/>
                <w:rFonts w:ascii="Times New Roman" w:hAnsi="Times New Roman"/>
                <w:noProof/>
              </w:rPr>
              <w:t>Visserij</w:t>
            </w:r>
            <w:r w:rsidR="00C637D9" w:rsidRPr="00C637D9">
              <w:rPr>
                <w:noProof/>
                <w:webHidden/>
              </w:rPr>
              <w:tab/>
            </w:r>
            <w:r w:rsidR="00C637D9" w:rsidRPr="00C637D9">
              <w:rPr>
                <w:noProof/>
                <w:webHidden/>
              </w:rPr>
              <w:fldChar w:fldCharType="begin"/>
            </w:r>
            <w:r w:rsidR="00C637D9" w:rsidRPr="00C637D9">
              <w:rPr>
                <w:noProof/>
                <w:webHidden/>
              </w:rPr>
              <w:instrText xml:space="preserve"> PAGEREF _Toc226723208 \h </w:instrText>
            </w:r>
            <w:r w:rsidR="00C637D9" w:rsidRPr="00C637D9">
              <w:rPr>
                <w:noProof/>
                <w:webHidden/>
              </w:rPr>
            </w:r>
            <w:r w:rsidR="00C637D9" w:rsidRPr="00C637D9">
              <w:rPr>
                <w:noProof/>
                <w:webHidden/>
              </w:rPr>
              <w:fldChar w:fldCharType="separate"/>
            </w:r>
            <w:r w:rsidR="00EF4041">
              <w:rPr>
                <w:noProof/>
                <w:webHidden/>
              </w:rPr>
              <w:t>13</w:t>
            </w:r>
            <w:r w:rsidR="00C637D9" w:rsidRPr="00C637D9">
              <w:rPr>
                <w:noProof/>
                <w:webHidden/>
              </w:rPr>
              <w:fldChar w:fldCharType="end"/>
            </w:r>
          </w:hyperlink>
        </w:p>
        <w:p w14:paraId="1E1E86DA" w14:textId="156C604F" w:rsidR="00C637D9" w:rsidRPr="00C637D9" w:rsidRDefault="00442FE6">
          <w:pPr>
            <w:pStyle w:val="TOC2"/>
            <w:rPr>
              <w:rFonts w:eastAsiaTheme="minorEastAsia"/>
              <w:noProof/>
              <w:kern w:val="2"/>
              <w:sz w:val="24"/>
              <w:szCs w:val="24"/>
              <w:lang w:val="en-IE" w:eastAsia="en-IE"/>
              <w14:ligatures w14:val="standardContextual"/>
            </w:rPr>
          </w:pPr>
          <w:hyperlink w:anchor="_Toc226723209" w:history="1">
            <w:r w:rsidR="00C637D9" w:rsidRPr="00C637D9">
              <w:rPr>
                <w:rStyle w:val="Hyperlink"/>
                <w:rFonts w:ascii="Times New Roman" w:hAnsi="Times New Roman" w:cs="Times New Roman"/>
                <w:noProof/>
              </w:rPr>
              <w:t>4.8.</w:t>
            </w:r>
            <w:r w:rsidR="00C637D9" w:rsidRPr="00C637D9">
              <w:rPr>
                <w:rFonts w:eastAsiaTheme="minorEastAsia"/>
                <w:noProof/>
                <w:kern w:val="2"/>
                <w:sz w:val="24"/>
                <w:szCs w:val="24"/>
                <w:lang w:val="en-IE" w:eastAsia="en-IE"/>
                <w14:ligatures w14:val="standardContextual"/>
              </w:rPr>
              <w:tab/>
            </w:r>
            <w:r w:rsidR="00C637D9" w:rsidRPr="00C637D9">
              <w:rPr>
                <w:rStyle w:val="Hyperlink"/>
                <w:rFonts w:ascii="Times New Roman" w:hAnsi="Times New Roman"/>
                <w:noProof/>
              </w:rPr>
              <w:t>Coördinatie van de sociale zekerheid</w:t>
            </w:r>
            <w:r w:rsidR="00C637D9" w:rsidRPr="00C637D9">
              <w:rPr>
                <w:noProof/>
                <w:webHidden/>
              </w:rPr>
              <w:tab/>
            </w:r>
            <w:r w:rsidR="00C637D9" w:rsidRPr="00C637D9">
              <w:rPr>
                <w:noProof/>
                <w:webHidden/>
              </w:rPr>
              <w:fldChar w:fldCharType="begin"/>
            </w:r>
            <w:r w:rsidR="00C637D9" w:rsidRPr="00C637D9">
              <w:rPr>
                <w:noProof/>
                <w:webHidden/>
              </w:rPr>
              <w:instrText xml:space="preserve"> PAGEREF _Toc226723209 \h </w:instrText>
            </w:r>
            <w:r w:rsidR="00C637D9" w:rsidRPr="00C637D9">
              <w:rPr>
                <w:noProof/>
                <w:webHidden/>
              </w:rPr>
            </w:r>
            <w:r w:rsidR="00C637D9" w:rsidRPr="00C637D9">
              <w:rPr>
                <w:noProof/>
                <w:webHidden/>
              </w:rPr>
              <w:fldChar w:fldCharType="separate"/>
            </w:r>
            <w:r w:rsidR="00EF4041">
              <w:rPr>
                <w:noProof/>
                <w:webHidden/>
              </w:rPr>
              <w:t>14</w:t>
            </w:r>
            <w:r w:rsidR="00C637D9" w:rsidRPr="00C637D9">
              <w:rPr>
                <w:noProof/>
                <w:webHidden/>
              </w:rPr>
              <w:fldChar w:fldCharType="end"/>
            </w:r>
          </w:hyperlink>
        </w:p>
        <w:p w14:paraId="14282D58" w14:textId="0B547ED4" w:rsidR="00C637D9" w:rsidRPr="00C637D9" w:rsidRDefault="00442FE6">
          <w:pPr>
            <w:pStyle w:val="TOC2"/>
            <w:rPr>
              <w:rFonts w:eastAsiaTheme="minorEastAsia"/>
              <w:noProof/>
              <w:kern w:val="2"/>
              <w:sz w:val="24"/>
              <w:szCs w:val="24"/>
              <w:lang w:val="en-IE" w:eastAsia="en-IE"/>
              <w14:ligatures w14:val="standardContextual"/>
            </w:rPr>
          </w:pPr>
          <w:hyperlink w:anchor="_Toc226723210" w:history="1">
            <w:r w:rsidR="00C637D9" w:rsidRPr="00C637D9">
              <w:rPr>
                <w:rStyle w:val="Hyperlink"/>
                <w:rFonts w:ascii="Times New Roman" w:hAnsi="Times New Roman" w:cs="Times New Roman"/>
                <w:noProof/>
              </w:rPr>
              <w:t>4.9.</w:t>
            </w:r>
            <w:r w:rsidR="00C637D9" w:rsidRPr="00C637D9">
              <w:rPr>
                <w:rFonts w:eastAsiaTheme="minorEastAsia"/>
                <w:noProof/>
                <w:kern w:val="2"/>
                <w:sz w:val="24"/>
                <w:szCs w:val="24"/>
                <w:lang w:val="en-IE" w:eastAsia="en-IE"/>
                <w14:ligatures w14:val="standardContextual"/>
              </w:rPr>
              <w:tab/>
            </w:r>
            <w:r w:rsidR="00C637D9" w:rsidRPr="00C637D9">
              <w:rPr>
                <w:rStyle w:val="Hyperlink"/>
                <w:rFonts w:ascii="Times New Roman" w:hAnsi="Times New Roman"/>
                <w:noProof/>
              </w:rPr>
              <w:t>Samenwerking inzake rechtshandhaving en justitie in strafzaken</w:t>
            </w:r>
            <w:r w:rsidR="00C637D9" w:rsidRPr="00C637D9">
              <w:rPr>
                <w:noProof/>
                <w:webHidden/>
              </w:rPr>
              <w:tab/>
            </w:r>
            <w:r w:rsidR="00C637D9" w:rsidRPr="00C637D9">
              <w:rPr>
                <w:noProof/>
                <w:webHidden/>
              </w:rPr>
              <w:fldChar w:fldCharType="begin"/>
            </w:r>
            <w:r w:rsidR="00C637D9" w:rsidRPr="00C637D9">
              <w:rPr>
                <w:noProof/>
                <w:webHidden/>
              </w:rPr>
              <w:instrText xml:space="preserve"> PAGEREF _Toc226723210 \h </w:instrText>
            </w:r>
            <w:r w:rsidR="00C637D9" w:rsidRPr="00C637D9">
              <w:rPr>
                <w:noProof/>
                <w:webHidden/>
              </w:rPr>
            </w:r>
            <w:r w:rsidR="00C637D9" w:rsidRPr="00C637D9">
              <w:rPr>
                <w:noProof/>
                <w:webHidden/>
              </w:rPr>
              <w:fldChar w:fldCharType="separate"/>
            </w:r>
            <w:r w:rsidR="00EF4041">
              <w:rPr>
                <w:noProof/>
                <w:webHidden/>
              </w:rPr>
              <w:t>14</w:t>
            </w:r>
            <w:r w:rsidR="00C637D9" w:rsidRPr="00C637D9">
              <w:rPr>
                <w:noProof/>
                <w:webHidden/>
              </w:rPr>
              <w:fldChar w:fldCharType="end"/>
            </w:r>
          </w:hyperlink>
        </w:p>
        <w:p w14:paraId="64603BC5" w14:textId="5A4C5246" w:rsidR="00C637D9" w:rsidRPr="00C637D9" w:rsidRDefault="00442FE6">
          <w:pPr>
            <w:pStyle w:val="TOC2"/>
            <w:rPr>
              <w:rFonts w:eastAsiaTheme="minorEastAsia"/>
              <w:noProof/>
              <w:kern w:val="2"/>
              <w:sz w:val="24"/>
              <w:szCs w:val="24"/>
              <w:lang w:val="en-IE" w:eastAsia="en-IE"/>
              <w14:ligatures w14:val="standardContextual"/>
            </w:rPr>
          </w:pPr>
          <w:hyperlink w:anchor="_Toc226723211" w:history="1">
            <w:r w:rsidR="00C637D9" w:rsidRPr="00C637D9">
              <w:rPr>
                <w:rStyle w:val="Hyperlink"/>
                <w:rFonts w:ascii="Times New Roman" w:hAnsi="Times New Roman" w:cs="Times New Roman"/>
                <w:noProof/>
              </w:rPr>
              <w:t>4.10.</w:t>
            </w:r>
            <w:r w:rsidR="00C637D9" w:rsidRPr="00C637D9">
              <w:rPr>
                <w:rFonts w:eastAsiaTheme="minorEastAsia"/>
                <w:noProof/>
                <w:kern w:val="2"/>
                <w:sz w:val="24"/>
                <w:szCs w:val="24"/>
                <w:lang w:val="en-IE" w:eastAsia="en-IE"/>
                <w14:ligatures w14:val="standardContextual"/>
              </w:rPr>
              <w:tab/>
            </w:r>
            <w:r w:rsidR="00C637D9" w:rsidRPr="00C637D9">
              <w:rPr>
                <w:rStyle w:val="Hyperlink"/>
                <w:rFonts w:ascii="Times New Roman" w:hAnsi="Times New Roman"/>
                <w:noProof/>
              </w:rPr>
              <w:t>Associatie van het Verenigd Koninkrijk met bepaalde programma’s van de EU</w:t>
            </w:r>
            <w:r w:rsidR="00C637D9" w:rsidRPr="00C637D9">
              <w:rPr>
                <w:noProof/>
                <w:webHidden/>
              </w:rPr>
              <w:tab/>
            </w:r>
            <w:r w:rsidR="00C637D9" w:rsidRPr="00C637D9">
              <w:rPr>
                <w:noProof/>
                <w:webHidden/>
              </w:rPr>
              <w:fldChar w:fldCharType="begin"/>
            </w:r>
            <w:r w:rsidR="00C637D9" w:rsidRPr="00C637D9">
              <w:rPr>
                <w:noProof/>
                <w:webHidden/>
              </w:rPr>
              <w:instrText xml:space="preserve"> PAGEREF _Toc226723211 \h </w:instrText>
            </w:r>
            <w:r w:rsidR="00C637D9" w:rsidRPr="00C637D9">
              <w:rPr>
                <w:noProof/>
                <w:webHidden/>
              </w:rPr>
            </w:r>
            <w:r w:rsidR="00C637D9" w:rsidRPr="00C637D9">
              <w:rPr>
                <w:noProof/>
                <w:webHidden/>
              </w:rPr>
              <w:fldChar w:fldCharType="separate"/>
            </w:r>
            <w:r w:rsidR="00EF4041">
              <w:rPr>
                <w:noProof/>
                <w:webHidden/>
              </w:rPr>
              <w:t>15</w:t>
            </w:r>
            <w:r w:rsidR="00C637D9" w:rsidRPr="00C637D9">
              <w:rPr>
                <w:noProof/>
                <w:webHidden/>
              </w:rPr>
              <w:fldChar w:fldCharType="end"/>
            </w:r>
          </w:hyperlink>
        </w:p>
        <w:p w14:paraId="5AE1D440" w14:textId="5978BD21" w:rsidR="00C637D9" w:rsidRPr="00C637D9" w:rsidRDefault="00442FE6">
          <w:pPr>
            <w:pStyle w:val="TOC2"/>
            <w:rPr>
              <w:rFonts w:eastAsiaTheme="minorEastAsia"/>
              <w:noProof/>
              <w:kern w:val="2"/>
              <w:sz w:val="24"/>
              <w:szCs w:val="24"/>
              <w:lang w:val="en-IE" w:eastAsia="en-IE"/>
              <w14:ligatures w14:val="standardContextual"/>
            </w:rPr>
          </w:pPr>
          <w:hyperlink w:anchor="_Toc226723212" w:history="1">
            <w:r w:rsidR="00C637D9" w:rsidRPr="00C637D9">
              <w:rPr>
                <w:rStyle w:val="Hyperlink"/>
                <w:rFonts w:ascii="Times New Roman" w:eastAsia="Times New Roman" w:hAnsi="Times New Roman" w:cs="Times New Roman"/>
                <w:noProof/>
              </w:rPr>
              <w:t>4.11.</w:t>
            </w:r>
            <w:r w:rsidR="00C637D9" w:rsidRPr="00C637D9">
              <w:rPr>
                <w:rFonts w:eastAsiaTheme="minorEastAsia"/>
                <w:noProof/>
                <w:kern w:val="2"/>
                <w:sz w:val="24"/>
                <w:szCs w:val="24"/>
                <w:lang w:val="en-IE" w:eastAsia="en-IE"/>
                <w14:ligatures w14:val="standardContextual"/>
              </w:rPr>
              <w:tab/>
            </w:r>
            <w:r w:rsidR="00C637D9" w:rsidRPr="00C637D9">
              <w:rPr>
                <w:rStyle w:val="Hyperlink"/>
                <w:rFonts w:ascii="Times New Roman" w:hAnsi="Times New Roman"/>
                <w:noProof/>
              </w:rPr>
              <w:t>Andere gebieden</w:t>
            </w:r>
            <w:r w:rsidR="00C637D9" w:rsidRPr="00C637D9">
              <w:rPr>
                <w:noProof/>
                <w:webHidden/>
              </w:rPr>
              <w:tab/>
            </w:r>
            <w:r w:rsidR="00C637D9" w:rsidRPr="00C637D9">
              <w:rPr>
                <w:noProof/>
                <w:webHidden/>
              </w:rPr>
              <w:fldChar w:fldCharType="begin"/>
            </w:r>
            <w:r w:rsidR="00C637D9" w:rsidRPr="00C637D9">
              <w:rPr>
                <w:noProof/>
                <w:webHidden/>
              </w:rPr>
              <w:instrText xml:space="preserve"> PAGEREF _Toc226723212 \h </w:instrText>
            </w:r>
            <w:r w:rsidR="00C637D9" w:rsidRPr="00C637D9">
              <w:rPr>
                <w:noProof/>
                <w:webHidden/>
              </w:rPr>
            </w:r>
            <w:r w:rsidR="00C637D9" w:rsidRPr="00C637D9">
              <w:rPr>
                <w:noProof/>
                <w:webHidden/>
              </w:rPr>
              <w:fldChar w:fldCharType="separate"/>
            </w:r>
            <w:r w:rsidR="00EF4041">
              <w:rPr>
                <w:noProof/>
                <w:webHidden/>
              </w:rPr>
              <w:t>15</w:t>
            </w:r>
            <w:r w:rsidR="00C637D9" w:rsidRPr="00C637D9">
              <w:rPr>
                <w:noProof/>
                <w:webHidden/>
              </w:rPr>
              <w:fldChar w:fldCharType="end"/>
            </w:r>
          </w:hyperlink>
        </w:p>
        <w:p w14:paraId="2498735E" w14:textId="7C96299D" w:rsidR="00C637D9" w:rsidRPr="00C637D9" w:rsidRDefault="00442FE6">
          <w:pPr>
            <w:pStyle w:val="TOC1"/>
            <w:rPr>
              <w:rFonts w:asciiTheme="minorHAnsi" w:eastAsiaTheme="minorEastAsia" w:hAnsiTheme="minorHAnsi" w:cstheme="minorBidi"/>
              <w:kern w:val="2"/>
              <w:lang w:val="en-IE" w:eastAsia="en-IE"/>
              <w14:ligatures w14:val="standardContextual"/>
            </w:rPr>
          </w:pPr>
          <w:hyperlink w:anchor="_Toc226723213" w:history="1">
            <w:r w:rsidR="00C637D9" w:rsidRPr="00C637D9">
              <w:rPr>
                <w:rStyle w:val="Hyperlink"/>
              </w:rPr>
              <w:t>5.</w:t>
            </w:r>
            <w:r w:rsidR="00C637D9" w:rsidRPr="00C637D9">
              <w:rPr>
                <w:rFonts w:asciiTheme="minorHAnsi" w:eastAsiaTheme="minorEastAsia" w:hAnsiTheme="minorHAnsi" w:cstheme="minorBidi"/>
                <w:kern w:val="2"/>
                <w:lang w:val="en-IE" w:eastAsia="en-IE"/>
                <w14:ligatures w14:val="standardContextual"/>
              </w:rPr>
              <w:tab/>
            </w:r>
            <w:r w:rsidR="00C637D9" w:rsidRPr="00C637D9">
              <w:rPr>
                <w:rStyle w:val="Hyperlink"/>
              </w:rPr>
              <w:t>Ontwikkelingen in het recht van het Verenigd Koninkrijk</w:t>
            </w:r>
            <w:r w:rsidR="00C637D9" w:rsidRPr="00C637D9">
              <w:rPr>
                <w:webHidden/>
              </w:rPr>
              <w:tab/>
            </w:r>
            <w:r w:rsidR="00C637D9" w:rsidRPr="00C637D9">
              <w:rPr>
                <w:webHidden/>
              </w:rPr>
              <w:fldChar w:fldCharType="begin"/>
            </w:r>
            <w:r w:rsidR="00C637D9" w:rsidRPr="00C637D9">
              <w:rPr>
                <w:webHidden/>
              </w:rPr>
              <w:instrText xml:space="preserve"> PAGEREF _Toc226723213 \h </w:instrText>
            </w:r>
            <w:r w:rsidR="00C637D9" w:rsidRPr="00C637D9">
              <w:rPr>
                <w:webHidden/>
              </w:rPr>
            </w:r>
            <w:r w:rsidR="00C637D9" w:rsidRPr="00C637D9">
              <w:rPr>
                <w:webHidden/>
              </w:rPr>
              <w:fldChar w:fldCharType="separate"/>
            </w:r>
            <w:r w:rsidR="00EF4041">
              <w:rPr>
                <w:webHidden/>
              </w:rPr>
              <w:t>16</w:t>
            </w:r>
            <w:r w:rsidR="00C637D9" w:rsidRPr="00C637D9">
              <w:rPr>
                <w:webHidden/>
              </w:rPr>
              <w:fldChar w:fldCharType="end"/>
            </w:r>
          </w:hyperlink>
        </w:p>
        <w:p w14:paraId="078EA801" w14:textId="27767E95" w:rsidR="00C637D9" w:rsidRPr="00C637D9" w:rsidRDefault="00442FE6">
          <w:pPr>
            <w:pStyle w:val="TOC1"/>
            <w:rPr>
              <w:rFonts w:asciiTheme="minorHAnsi" w:eastAsiaTheme="minorEastAsia" w:hAnsiTheme="minorHAnsi" w:cstheme="minorBidi"/>
              <w:kern w:val="2"/>
              <w:lang w:val="en-IE" w:eastAsia="en-IE"/>
              <w14:ligatures w14:val="standardContextual"/>
            </w:rPr>
          </w:pPr>
          <w:hyperlink w:anchor="_Toc226723214" w:history="1">
            <w:r w:rsidR="00C637D9" w:rsidRPr="00C637D9">
              <w:rPr>
                <w:rStyle w:val="Hyperlink"/>
              </w:rPr>
              <w:t>6.</w:t>
            </w:r>
            <w:r w:rsidR="00C637D9" w:rsidRPr="00C637D9">
              <w:rPr>
                <w:rFonts w:asciiTheme="minorHAnsi" w:eastAsiaTheme="minorEastAsia" w:hAnsiTheme="minorHAnsi" w:cstheme="minorBidi"/>
                <w:kern w:val="2"/>
                <w:lang w:val="en-IE" w:eastAsia="en-IE"/>
                <w14:ligatures w14:val="standardContextual"/>
              </w:rPr>
              <w:tab/>
            </w:r>
            <w:r w:rsidR="00C637D9" w:rsidRPr="00C637D9">
              <w:rPr>
                <w:rStyle w:val="Hyperlink"/>
              </w:rPr>
              <w:t>Conclusie</w:t>
            </w:r>
            <w:r w:rsidR="00C637D9" w:rsidRPr="00C637D9">
              <w:rPr>
                <w:webHidden/>
              </w:rPr>
              <w:tab/>
            </w:r>
            <w:r w:rsidR="00C637D9" w:rsidRPr="00C637D9">
              <w:rPr>
                <w:webHidden/>
              </w:rPr>
              <w:fldChar w:fldCharType="begin"/>
            </w:r>
            <w:r w:rsidR="00C637D9" w:rsidRPr="00C637D9">
              <w:rPr>
                <w:webHidden/>
              </w:rPr>
              <w:instrText xml:space="preserve"> PAGEREF _Toc226723214 \h </w:instrText>
            </w:r>
            <w:r w:rsidR="00C637D9" w:rsidRPr="00C637D9">
              <w:rPr>
                <w:webHidden/>
              </w:rPr>
            </w:r>
            <w:r w:rsidR="00C637D9" w:rsidRPr="00C637D9">
              <w:rPr>
                <w:webHidden/>
              </w:rPr>
              <w:fldChar w:fldCharType="separate"/>
            </w:r>
            <w:r w:rsidR="00EF4041">
              <w:rPr>
                <w:webHidden/>
              </w:rPr>
              <w:t>18</w:t>
            </w:r>
            <w:r w:rsidR="00C637D9" w:rsidRPr="00C637D9">
              <w:rPr>
                <w:webHidden/>
              </w:rPr>
              <w:fldChar w:fldCharType="end"/>
            </w:r>
          </w:hyperlink>
        </w:p>
        <w:p w14:paraId="06CFF373" w14:textId="26F8B6D0" w:rsidR="00C637D9" w:rsidRPr="00C637D9" w:rsidRDefault="00442FE6">
          <w:pPr>
            <w:pStyle w:val="TOC1"/>
            <w:rPr>
              <w:rFonts w:asciiTheme="minorHAnsi" w:eastAsiaTheme="minorEastAsia" w:hAnsiTheme="minorHAnsi" w:cstheme="minorBidi"/>
              <w:kern w:val="2"/>
              <w:lang w:val="en-IE" w:eastAsia="en-IE"/>
              <w14:ligatures w14:val="standardContextual"/>
            </w:rPr>
          </w:pPr>
          <w:hyperlink w:anchor="_Toc226723215" w:history="1">
            <w:r w:rsidR="00C637D9" w:rsidRPr="00C637D9">
              <w:rPr>
                <w:rStyle w:val="Hyperlink"/>
              </w:rPr>
              <w:t>Bijlage 1: Vergaderingen van de bij de overeenkomst opgerichte gemengde organen en andere structuren</w:t>
            </w:r>
            <w:r w:rsidR="00C637D9" w:rsidRPr="00C637D9">
              <w:rPr>
                <w:webHidden/>
              </w:rPr>
              <w:tab/>
            </w:r>
            <w:r w:rsidR="00C637D9" w:rsidRPr="00C637D9">
              <w:rPr>
                <w:webHidden/>
              </w:rPr>
              <w:fldChar w:fldCharType="begin"/>
            </w:r>
            <w:r w:rsidR="00C637D9" w:rsidRPr="00C637D9">
              <w:rPr>
                <w:webHidden/>
              </w:rPr>
              <w:instrText xml:space="preserve"> PAGEREF _Toc226723215 \h </w:instrText>
            </w:r>
            <w:r w:rsidR="00C637D9" w:rsidRPr="00C637D9">
              <w:rPr>
                <w:webHidden/>
              </w:rPr>
            </w:r>
            <w:r w:rsidR="00C637D9" w:rsidRPr="00C637D9">
              <w:rPr>
                <w:webHidden/>
              </w:rPr>
              <w:fldChar w:fldCharType="separate"/>
            </w:r>
            <w:r w:rsidR="00EF4041">
              <w:rPr>
                <w:webHidden/>
              </w:rPr>
              <w:t>19</w:t>
            </w:r>
            <w:r w:rsidR="00C637D9" w:rsidRPr="00C637D9">
              <w:rPr>
                <w:webHidden/>
              </w:rPr>
              <w:fldChar w:fldCharType="end"/>
            </w:r>
          </w:hyperlink>
        </w:p>
        <w:p w14:paraId="72BB4862" w14:textId="02693005" w:rsidR="00C637D9" w:rsidRPr="00C637D9" w:rsidRDefault="00442FE6">
          <w:pPr>
            <w:pStyle w:val="TOC1"/>
            <w:rPr>
              <w:rFonts w:asciiTheme="minorHAnsi" w:eastAsiaTheme="minorEastAsia" w:hAnsiTheme="minorHAnsi" w:cstheme="minorBidi"/>
              <w:kern w:val="2"/>
              <w:lang w:val="en-IE" w:eastAsia="en-IE"/>
              <w14:ligatures w14:val="standardContextual"/>
            </w:rPr>
          </w:pPr>
          <w:hyperlink w:anchor="_Toc226723216" w:history="1">
            <w:r w:rsidR="00C637D9" w:rsidRPr="00C637D9">
              <w:rPr>
                <w:rStyle w:val="Hyperlink"/>
              </w:rPr>
              <w:t>Bijlage 2: Besluiten, aanbevelingen en verklaringen van de Partnerschapsraad en de bij de overeenkomst ingestelde comités</w:t>
            </w:r>
            <w:r w:rsidR="00C637D9" w:rsidRPr="00C637D9">
              <w:rPr>
                <w:webHidden/>
              </w:rPr>
              <w:tab/>
            </w:r>
            <w:r w:rsidR="00C637D9" w:rsidRPr="00C637D9">
              <w:rPr>
                <w:webHidden/>
              </w:rPr>
              <w:fldChar w:fldCharType="begin"/>
            </w:r>
            <w:r w:rsidR="00C637D9" w:rsidRPr="00C637D9">
              <w:rPr>
                <w:webHidden/>
              </w:rPr>
              <w:instrText xml:space="preserve"> PAGEREF _Toc226723216 \h </w:instrText>
            </w:r>
            <w:r w:rsidR="00C637D9" w:rsidRPr="00C637D9">
              <w:rPr>
                <w:webHidden/>
              </w:rPr>
            </w:r>
            <w:r w:rsidR="00C637D9" w:rsidRPr="00C637D9">
              <w:rPr>
                <w:webHidden/>
              </w:rPr>
              <w:fldChar w:fldCharType="separate"/>
            </w:r>
            <w:r w:rsidR="00EF4041">
              <w:rPr>
                <w:webHidden/>
              </w:rPr>
              <w:t>21</w:t>
            </w:r>
            <w:r w:rsidR="00C637D9" w:rsidRPr="00C637D9">
              <w:rPr>
                <w:webHidden/>
              </w:rPr>
              <w:fldChar w:fldCharType="end"/>
            </w:r>
          </w:hyperlink>
        </w:p>
        <w:p w14:paraId="15D4CDFE" w14:textId="4A476F1A" w:rsidR="00C637D9" w:rsidRPr="00C637D9" w:rsidRDefault="00442FE6">
          <w:pPr>
            <w:pStyle w:val="TOC1"/>
            <w:rPr>
              <w:rFonts w:asciiTheme="minorHAnsi" w:eastAsiaTheme="minorEastAsia" w:hAnsiTheme="minorHAnsi" w:cstheme="minorBidi"/>
              <w:kern w:val="2"/>
              <w:lang w:val="en-IE" w:eastAsia="en-IE"/>
              <w14:ligatures w14:val="standardContextual"/>
            </w:rPr>
          </w:pPr>
          <w:hyperlink w:anchor="_Toc226723217" w:history="1">
            <w:r w:rsidR="00C637D9" w:rsidRPr="00C637D9">
              <w:rPr>
                <w:rStyle w:val="Hyperlink"/>
              </w:rPr>
              <w:t>Bijlage 3: Overzicht van de uitvoering van de aan de overeenkomst gerelateerde acties die in het gezamenlijk akkoord zijn overeengekomen</w:t>
            </w:r>
            <w:r w:rsidR="00C637D9" w:rsidRPr="00C637D9">
              <w:rPr>
                <w:webHidden/>
              </w:rPr>
              <w:tab/>
            </w:r>
            <w:r w:rsidR="00C637D9" w:rsidRPr="00C637D9">
              <w:rPr>
                <w:webHidden/>
              </w:rPr>
              <w:fldChar w:fldCharType="begin"/>
            </w:r>
            <w:r w:rsidR="00C637D9" w:rsidRPr="00C637D9">
              <w:rPr>
                <w:webHidden/>
              </w:rPr>
              <w:instrText xml:space="preserve"> PAGEREF _Toc226723217 \h </w:instrText>
            </w:r>
            <w:r w:rsidR="00C637D9" w:rsidRPr="00C637D9">
              <w:rPr>
                <w:webHidden/>
              </w:rPr>
            </w:r>
            <w:r w:rsidR="00C637D9" w:rsidRPr="00C637D9">
              <w:rPr>
                <w:webHidden/>
              </w:rPr>
              <w:fldChar w:fldCharType="separate"/>
            </w:r>
            <w:r w:rsidR="00EF4041">
              <w:rPr>
                <w:webHidden/>
              </w:rPr>
              <w:t>22</w:t>
            </w:r>
            <w:r w:rsidR="00C637D9" w:rsidRPr="00C637D9">
              <w:rPr>
                <w:webHidden/>
              </w:rPr>
              <w:fldChar w:fldCharType="end"/>
            </w:r>
          </w:hyperlink>
        </w:p>
        <w:p w14:paraId="06944297" w14:textId="1FEF3C74" w:rsidR="00D331A7" w:rsidRPr="00C637D9" w:rsidRDefault="00D331A7" w:rsidP="00D331A7">
          <w:pPr>
            <w:tabs>
              <w:tab w:val="left" w:pos="435"/>
              <w:tab w:val="left" w:pos="851"/>
              <w:tab w:val="right" w:leader="dot" w:pos="9015"/>
            </w:tabs>
            <w:ind w:left="426" w:hanging="426"/>
            <w:rPr>
              <w:noProof/>
            </w:rPr>
          </w:pPr>
          <w:r w:rsidRPr="00C637D9">
            <w:rPr>
              <w:rFonts w:ascii="Times New Roman" w:hAnsi="Times New Roman" w:cs="Times New Roman"/>
              <w:noProof/>
            </w:rPr>
            <w:fldChar w:fldCharType="end"/>
          </w:r>
        </w:p>
      </w:sdtContent>
    </w:sdt>
    <w:p w14:paraId="52CFE944" w14:textId="144B4421" w:rsidR="00D331A7" w:rsidRDefault="00D331A7" w:rsidP="00D8292C">
      <w:pPr>
        <w:tabs>
          <w:tab w:val="left" w:pos="7538"/>
        </w:tabs>
        <w:rPr>
          <w:noProof/>
        </w:rPr>
      </w:pPr>
    </w:p>
    <w:p w14:paraId="55DF7F5C" w14:textId="687525FD" w:rsidR="006D1404" w:rsidRPr="0086076B" w:rsidRDefault="33A451BC" w:rsidP="00470A6D">
      <w:pPr>
        <w:pStyle w:val="Heading1"/>
        <w:keepLines w:val="0"/>
        <w:numPr>
          <w:ilvl w:val="0"/>
          <w:numId w:val="55"/>
        </w:numPr>
        <w:spacing w:before="100" w:beforeAutospacing="1" w:after="100" w:afterAutospacing="1" w:line="240" w:lineRule="auto"/>
        <w:ind w:left="714" w:hanging="357"/>
        <w:rPr>
          <w:rFonts w:ascii="Times New Roman" w:hAnsi="Times New Roman" w:cs="Times New Roman"/>
          <w:b/>
          <w:bCs/>
          <w:noProof/>
          <w:color w:val="auto"/>
        </w:rPr>
      </w:pPr>
      <w:bookmarkStart w:id="5" w:name="_Toc204769314"/>
      <w:bookmarkStart w:id="6" w:name="_Toc226723196"/>
      <w:r>
        <w:rPr>
          <w:rFonts w:ascii="Times New Roman" w:hAnsi="Times New Roman"/>
          <w:b/>
          <w:noProof/>
          <w:color w:val="auto"/>
        </w:rPr>
        <w:t>Inleiding</w:t>
      </w:r>
      <w:bookmarkEnd w:id="5"/>
      <w:bookmarkEnd w:id="6"/>
      <w:bookmarkEnd w:id="4"/>
      <w:bookmarkEnd w:id="3"/>
      <w:bookmarkEnd w:id="2"/>
    </w:p>
    <w:p w14:paraId="61AE3D67" w14:textId="400E8AC4" w:rsidR="002A4EFB" w:rsidRDefault="0095620A" w:rsidP="6A5D11F7">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In 2025 hebben de Europese Unie (EU) en het Verenigd Koninkrijk van Groot-Brittannië en Noord-Ierland (Verenigd Koninkrijk) een belangrijke stap voorwaarts gezet in hun betrekkingen, door de eerste bilaterale top te houden sinds het vertrek van het Verenigd Koninkrijk uit de EU. De top van 19 mei 2025 in Londen was het begin van een hernieuwde inzet voor samenwerking. De leiders</w:t>
      </w:r>
      <w:r>
        <w:rPr>
          <w:noProof/>
        </w:rPr>
        <w:t xml:space="preserve"> </w:t>
      </w:r>
      <w:r>
        <w:rPr>
          <w:rFonts w:ascii="Times New Roman" w:hAnsi="Times New Roman"/>
          <w:noProof/>
          <w:sz w:val="24"/>
        </w:rPr>
        <w:t>waren ingenomen met het akkoord over het veiligheids- en defensiepartnerschap tussen de EU en het VK en kwamen overeen een nieuw strategisch partnerschap tot stand te brengen</w:t>
      </w:r>
      <w:r>
        <w:rPr>
          <w:rStyle w:val="FootnoteReference"/>
          <w:rFonts w:ascii="Times New Roman" w:hAnsi="Times New Roman" w:cs="Times New Roman"/>
          <w:noProof/>
          <w:sz w:val="24"/>
          <w:szCs w:val="24"/>
        </w:rPr>
        <w:footnoteReference w:id="2"/>
      </w:r>
      <w:r>
        <w:rPr>
          <w:rFonts w:ascii="Times New Roman" w:hAnsi="Times New Roman"/>
          <w:noProof/>
          <w:sz w:val="24"/>
        </w:rPr>
        <w:t xml:space="preserve"> op basis van het terugtrekkingsakkoord</w:t>
      </w:r>
      <w:r>
        <w:rPr>
          <w:rStyle w:val="FootnoteReference"/>
          <w:rFonts w:ascii="Times New Roman" w:hAnsi="Times New Roman" w:cs="Times New Roman"/>
          <w:noProof/>
          <w:sz w:val="24"/>
          <w:szCs w:val="24"/>
        </w:rPr>
        <w:footnoteReference w:id="3"/>
      </w:r>
      <w:r>
        <w:rPr>
          <w:rFonts w:ascii="Times New Roman" w:hAnsi="Times New Roman"/>
          <w:noProof/>
          <w:sz w:val="24"/>
        </w:rPr>
        <w:t>, met inbegrip van het Windsor-kader</w:t>
      </w:r>
      <w:r>
        <w:rPr>
          <w:rStyle w:val="FootnoteReference"/>
          <w:rFonts w:ascii="Times New Roman" w:hAnsi="Times New Roman" w:cs="Times New Roman"/>
          <w:noProof/>
          <w:sz w:val="24"/>
          <w:szCs w:val="24"/>
        </w:rPr>
        <w:footnoteReference w:id="4"/>
      </w:r>
      <w:r>
        <w:rPr>
          <w:rFonts w:ascii="Times New Roman" w:hAnsi="Times New Roman"/>
          <w:noProof/>
          <w:sz w:val="24"/>
        </w:rPr>
        <w:t>, en de handels- en samenwerkingsovereenkomst (“de overeenkomst”)</w:t>
      </w:r>
      <w:r>
        <w:rPr>
          <w:rStyle w:val="FootnoteReference"/>
          <w:rFonts w:ascii="Times New Roman" w:hAnsi="Times New Roman" w:cs="Times New Roman"/>
          <w:noProof/>
          <w:sz w:val="24"/>
          <w:szCs w:val="24"/>
        </w:rPr>
        <w:footnoteReference w:id="5"/>
      </w:r>
      <w:r>
        <w:rPr>
          <w:rFonts w:ascii="Times New Roman" w:hAnsi="Times New Roman"/>
          <w:noProof/>
          <w:sz w:val="24"/>
        </w:rPr>
        <w:t>.</w:t>
      </w:r>
    </w:p>
    <w:p w14:paraId="1E2C7B3E" w14:textId="2733584D" w:rsidR="00FB2183" w:rsidRDefault="004C2491" w:rsidP="00FB2183">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In de vernieuwde agenda voor versterkte bilaterale samenwerking — het gezamenlijk akkoord</w:t>
      </w:r>
      <w:r>
        <w:rPr>
          <w:rStyle w:val="FootnoteReference"/>
          <w:rFonts w:ascii="Times New Roman" w:hAnsi="Times New Roman" w:cs="Times New Roman"/>
          <w:noProof/>
          <w:sz w:val="24"/>
          <w:szCs w:val="24"/>
        </w:rPr>
        <w:footnoteReference w:id="6"/>
      </w:r>
      <w:r>
        <w:rPr>
          <w:rFonts w:ascii="Times New Roman" w:hAnsi="Times New Roman"/>
          <w:noProof/>
          <w:sz w:val="24"/>
        </w:rPr>
        <w:t xml:space="preserve"> — komt een gedeelde inzet tot uiting voor de volledige, tijdige en getrouwe uitvoering van deze overeenkomsten. Wat de overeenkomst betreft, bevat het gezamenlijk akkoord maatregelen om de samenwerking te intensiveren, waaronder het waarborgen van volledige wederzijdse toegang tot viswateren tot en met 30 juni 2038, het uitbreiden van de samenwerking op energiegebied, het versterken van de samenwerking op het gebied van gezondheidsveiligheid, het verder koppelen van emissiehandelssystemen, het aanpakken van de uitvoering van specifieke bepalingen van de overeenkomst op het gebied van diensten, het versterken van de samenwerking op het gebied van justitie, rechtshandhaving en mededingingsbeleid, en het betrekken van het Verenigd Koninkrijk bij het Erasmus+-programma. </w:t>
      </w:r>
    </w:p>
    <w:p w14:paraId="042A3A7C" w14:textId="1F86F810" w:rsidR="00FA7FF2" w:rsidRDefault="00FA7FF2" w:rsidP="00FA7FF2">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Eind 2025 was aanzienlijke vooruitgang geboekt bij de uitvoering van het gezamenlijk akkoord. Er werd een beginselakkoord bereikt over de deelname van het Verenigd Koninkrijk aan Erasmus+</w:t>
      </w:r>
      <w:r>
        <w:rPr>
          <w:rStyle w:val="FootnoteReference"/>
          <w:rFonts w:ascii="Times New Roman" w:hAnsi="Times New Roman" w:cs="Times New Roman"/>
          <w:noProof/>
          <w:sz w:val="24"/>
          <w:szCs w:val="24"/>
        </w:rPr>
        <w:footnoteReference w:id="7"/>
      </w:r>
      <w:r>
        <w:rPr>
          <w:rFonts w:ascii="Times New Roman" w:hAnsi="Times New Roman"/>
          <w:noProof/>
          <w:sz w:val="24"/>
        </w:rPr>
        <w:t xml:space="preserve"> en er werden verkennende besprekingen afgerond over de mogelijke deelname van het Verenigd Koninkrijk aan de interne elektriciteitsmarkt van de EU, waardoor de weg werd vrijgemaakt voor verdere vooruitgang in 2026. </w:t>
      </w:r>
    </w:p>
    <w:p w14:paraId="4929F703" w14:textId="69C54E72" w:rsidR="00087994" w:rsidRDefault="00FA7FF2" w:rsidP="00470A6D">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Ook met betrekking tot een aantal initiatieven die buiten het toepassingsgebied van de overeenkomst vallen werd de samenwerking voortgezet. Deze omvatten onderhandelingen over overeenkomsten inzake een gemeenschappelijke sanitaire en fytosanitaire ruimte en het jongerenervaringsprogramma, alsook samenwerking op het gebied van irreguliere migratie, met inbegrip van de externe dimensie ervan. Beide partijen hebben zich er ook toe verbonden informatie uit te wisselen over efficiënt grensbeheer en technische regelgevingsdialogen te voeren over energietechnologieën, risico’s in verband met drugs en dreigingen.</w:t>
      </w:r>
    </w:p>
    <w:p w14:paraId="1A9BC1F0" w14:textId="770E15CB" w:rsidR="00DC13CC" w:rsidRPr="00F006D0" w:rsidRDefault="00E31ED7" w:rsidP="00470A6D">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 xml:space="preserve">In dit vijfde verslag over de uitvoering en toepassing van de overeenkomst, dat is opgesteld op grond van artikel 2, lid 4, van </w:t>
      </w:r>
      <w:bookmarkStart w:id="7" w:name="_Hlk209776665"/>
      <w:r>
        <w:rPr>
          <w:rFonts w:ascii="Times New Roman" w:hAnsi="Times New Roman"/>
          <w:noProof/>
          <w:sz w:val="24"/>
        </w:rPr>
        <w:t>Besluit (EU) 2021/689 van de Raad van 29 april 2021</w:t>
      </w:r>
      <w:r>
        <w:rPr>
          <w:rFonts w:ascii="Times New Roman" w:hAnsi="Times New Roman" w:cs="Times New Roman"/>
          <w:noProof/>
          <w:sz w:val="24"/>
          <w:szCs w:val="24"/>
          <w:vertAlign w:val="superscript"/>
        </w:rPr>
        <w:footnoteReference w:id="8"/>
      </w:r>
      <w:bookmarkEnd w:id="7"/>
      <w:r>
        <w:rPr>
          <w:rFonts w:ascii="Times New Roman" w:hAnsi="Times New Roman"/>
          <w:noProof/>
          <w:sz w:val="24"/>
        </w:rPr>
        <w:t>, worden de belangrijkste ontwikkelingen in 2025 gepresenteerd. Het heeft betrekking op de werking van het institutionele kader (punt 2), klachten en geschillenbeslechting (punt 3) en de vooruitgang op de verschillende gebieden van de overeenkomst, met inbegrip van updates over de uitvoering van de in het gezamenlijk akkoord overeengekomen acties (punt 4). In het verslag wordt ook gewezen op ontwikkelingen in de wetgeving in het Verenigd Koninkrijk die van invloed zijn op de uitvoering van de overeenkomst (punt 5).</w:t>
      </w:r>
    </w:p>
    <w:p w14:paraId="14B51BD5" w14:textId="60B652B0" w:rsidR="006D1404" w:rsidRPr="0086076B" w:rsidRDefault="33A451BC" w:rsidP="00470A6D">
      <w:pPr>
        <w:pStyle w:val="Heading1"/>
        <w:keepLines w:val="0"/>
        <w:numPr>
          <w:ilvl w:val="0"/>
          <w:numId w:val="55"/>
        </w:numPr>
        <w:spacing w:before="100" w:beforeAutospacing="1" w:after="100" w:afterAutospacing="1" w:line="240" w:lineRule="auto"/>
        <w:ind w:left="714" w:hanging="357"/>
        <w:rPr>
          <w:rFonts w:ascii="Times New Roman" w:hAnsi="Times New Roman" w:cs="Times New Roman"/>
          <w:b/>
          <w:bCs/>
          <w:noProof/>
          <w:color w:val="auto"/>
        </w:rPr>
      </w:pPr>
      <w:bookmarkStart w:id="8" w:name="_Toc86061892"/>
      <w:bookmarkStart w:id="9" w:name="_Toc86154514"/>
      <w:bookmarkStart w:id="10" w:name="_Toc185413378"/>
      <w:bookmarkStart w:id="11" w:name="_Toc204769315"/>
      <w:bookmarkStart w:id="12" w:name="_Toc226723197"/>
      <w:r>
        <w:rPr>
          <w:rFonts w:ascii="Times New Roman" w:hAnsi="Times New Roman"/>
          <w:b/>
          <w:noProof/>
          <w:color w:val="auto"/>
        </w:rPr>
        <w:t>Institutioneel kader</w:t>
      </w:r>
      <w:bookmarkEnd w:id="8"/>
      <w:bookmarkEnd w:id="9"/>
      <w:bookmarkEnd w:id="10"/>
      <w:bookmarkEnd w:id="11"/>
      <w:bookmarkEnd w:id="12"/>
    </w:p>
    <w:p w14:paraId="0FC06E13" w14:textId="79B91B83" w:rsidR="00024D39" w:rsidRPr="00F006D0" w:rsidRDefault="00176FCA" w:rsidP="00470A6D">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In dit deel worden de belangrijkste activiteiten en ontwikkelingen beschreven van de gemengde organen en andere structuren die in het kader van de overeenkomst zijn opgericht om de uitvoering van de overeenkomst te monitoren en te vergemakkelijken. Een volledige lijst van de vergaderingen is opgenomen in bijlage 1.</w:t>
      </w:r>
    </w:p>
    <w:p w14:paraId="6E3660B6" w14:textId="00B50AA4" w:rsidR="001B6AD6" w:rsidRDefault="7473CE49" w:rsidP="001B6AD6">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 xml:space="preserve">De </w:t>
      </w:r>
      <w:r>
        <w:rPr>
          <w:rFonts w:ascii="Times New Roman" w:hAnsi="Times New Roman"/>
          <w:b/>
          <w:bCs/>
          <w:noProof/>
          <w:sz w:val="24"/>
        </w:rPr>
        <w:t>comités</w:t>
      </w:r>
      <w:r>
        <w:rPr>
          <w:rFonts w:ascii="Times New Roman" w:hAnsi="Times New Roman"/>
          <w:noProof/>
          <w:sz w:val="24"/>
        </w:rPr>
        <w:t xml:space="preserve"> die bij artikel 8 van de overeenkomst zijn ingesteld, zijn het hele jaar bijeengekomen. Deze bijeenkomsten maakten het mogelijk om op een gestructureerde wijze de vooruitgang te evalueren die ten aanzien van de in de overeenkomst aangegane verbintenissen was gemaakt en boden een platform voor het uitwisselen van technische informatie over diverse uitvoeringskwesties, waaronder aanstaande ontwikkelingen op regelgevingsgebied. Er werden verschillende besluiten en aanbevelingen aangenomen, die in bijlage 2 zijn opgenomen. In voorkomend geval werden de vergaderingen van de gespecialiseerde comités voorafgegaan door de vergaderingen van de krachtens artikel 9 van de overeenkomst opgerichte </w:t>
      </w:r>
      <w:r>
        <w:rPr>
          <w:rFonts w:ascii="Times New Roman" w:hAnsi="Times New Roman"/>
          <w:b/>
          <w:bCs/>
          <w:noProof/>
          <w:sz w:val="24"/>
        </w:rPr>
        <w:t>werkgroepen</w:t>
      </w:r>
      <w:r>
        <w:rPr>
          <w:rStyle w:val="FootnoteReference"/>
          <w:rFonts w:ascii="Times New Roman" w:hAnsi="Times New Roman" w:cs="Times New Roman"/>
          <w:noProof/>
          <w:sz w:val="24"/>
          <w:szCs w:val="24"/>
        </w:rPr>
        <w:footnoteReference w:id="9"/>
      </w:r>
      <w:r>
        <w:rPr>
          <w:rFonts w:ascii="Times New Roman" w:hAnsi="Times New Roman"/>
          <w:noProof/>
          <w:sz w:val="24"/>
        </w:rPr>
        <w:t>.</w:t>
      </w:r>
    </w:p>
    <w:p w14:paraId="1ACC876B" w14:textId="68CDD745" w:rsidR="00A60811" w:rsidRDefault="0B76E0F5" w:rsidP="00470A6D">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 xml:space="preserve">De </w:t>
      </w:r>
      <w:r>
        <w:rPr>
          <w:rFonts w:ascii="Times New Roman" w:hAnsi="Times New Roman"/>
          <w:b/>
          <w:bCs/>
          <w:noProof/>
          <w:sz w:val="24"/>
        </w:rPr>
        <w:t>Parlementaire Partnerschapsassemblee</w:t>
      </w:r>
      <w:r>
        <w:rPr>
          <w:rFonts w:ascii="Times New Roman" w:hAnsi="Times New Roman"/>
          <w:noProof/>
          <w:sz w:val="24"/>
        </w:rPr>
        <w:t>, die is opgericht uit hoofde van artikel 11 van de overeenkomst, kwam twee keer bijeen: op 17 en 18 maart in Brussel</w:t>
      </w:r>
      <w:r>
        <w:rPr>
          <w:rStyle w:val="FootnoteReference"/>
          <w:rFonts w:ascii="Times New Roman" w:hAnsi="Times New Roman" w:cs="Times New Roman"/>
          <w:noProof/>
          <w:sz w:val="24"/>
          <w:szCs w:val="24"/>
        </w:rPr>
        <w:footnoteReference w:id="10"/>
      </w:r>
      <w:r>
        <w:rPr>
          <w:rFonts w:ascii="Times New Roman" w:hAnsi="Times New Roman"/>
          <w:noProof/>
          <w:sz w:val="24"/>
        </w:rPr>
        <w:t xml:space="preserve"> en op 17 en 18 november in Londen</w:t>
      </w:r>
      <w:r>
        <w:rPr>
          <w:rStyle w:val="FootnoteReference"/>
          <w:rFonts w:ascii="Times New Roman" w:hAnsi="Times New Roman" w:cs="Times New Roman"/>
          <w:noProof/>
          <w:sz w:val="24"/>
          <w:szCs w:val="24"/>
        </w:rPr>
        <w:footnoteReference w:id="11"/>
      </w:r>
      <w:r>
        <w:rPr>
          <w:rFonts w:ascii="Times New Roman" w:hAnsi="Times New Roman"/>
          <w:noProof/>
          <w:sz w:val="24"/>
        </w:rPr>
        <w:t>. Deze bijeenkomsten waren gericht op buitenlands en veiligheidsbeleid, klimaat en energie, werknemersrechten, culturele uitwisselingen, artificiële intelligentie, samenwerking op het gebied van gegevens en digitale zaken, kansen voor jongeren, handel, douane, sanitaire en fytosanitaire maatregelen en samenwerking op het gebied van regelgeving inzake financiële diensten. Na de bijeenkomst in maart deed de Assemblee een aanbeveling aan de Partnerschapsraad over het versterken van de samenwerking tussen de EU en het VK in de aanloop naar de top van 19 mei</w:t>
      </w:r>
      <w:r>
        <w:rPr>
          <w:rStyle w:val="FootnoteReference"/>
          <w:rFonts w:ascii="Times New Roman" w:hAnsi="Times New Roman" w:cs="Times New Roman"/>
          <w:noProof/>
          <w:sz w:val="24"/>
          <w:szCs w:val="24"/>
        </w:rPr>
        <w:footnoteReference w:id="12"/>
      </w:r>
      <w:r>
        <w:rPr>
          <w:rFonts w:ascii="Times New Roman" w:hAnsi="Times New Roman"/>
          <w:noProof/>
          <w:sz w:val="24"/>
        </w:rPr>
        <w:t xml:space="preserve"> en na de bijeenkomst in november, over veiligheid, handel en mondiale uitdagingen</w:t>
      </w:r>
      <w:r>
        <w:rPr>
          <w:rStyle w:val="FootnoteReference"/>
          <w:rFonts w:ascii="Times New Roman" w:hAnsi="Times New Roman" w:cs="Times New Roman"/>
          <w:noProof/>
          <w:sz w:val="24"/>
          <w:szCs w:val="24"/>
        </w:rPr>
        <w:footnoteReference w:id="13"/>
      </w:r>
      <w:r>
        <w:rPr>
          <w:rFonts w:ascii="Times New Roman" w:hAnsi="Times New Roman"/>
          <w:noProof/>
          <w:sz w:val="24"/>
        </w:rPr>
        <w:t>.</w:t>
      </w:r>
    </w:p>
    <w:p w14:paraId="52E896DF" w14:textId="5D9CA95E" w:rsidR="00D72AC6" w:rsidRPr="00C5508E" w:rsidRDefault="069323B9" w:rsidP="00BE203F">
      <w:pPr>
        <w:tabs>
          <w:tab w:val="left" w:pos="5670"/>
        </w:tabs>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 xml:space="preserve">De uit hoofde van artikel 13 van de overeenkomst opgerichte </w:t>
      </w:r>
      <w:r>
        <w:rPr>
          <w:rFonts w:ascii="Times New Roman" w:hAnsi="Times New Roman"/>
          <w:b/>
          <w:noProof/>
          <w:sz w:val="24"/>
        </w:rPr>
        <w:t>binnenlandse adviesgroep</w:t>
      </w:r>
      <w:r>
        <w:rPr>
          <w:rFonts w:ascii="Times New Roman" w:hAnsi="Times New Roman"/>
          <w:noProof/>
          <w:sz w:val="24"/>
        </w:rPr>
        <w:t xml:space="preserve"> van de EU, die bestaat uit vertegenwoordigers van maatschappelijke organisaties</w:t>
      </w:r>
      <w:r>
        <w:rPr>
          <w:rStyle w:val="FootnoteReference"/>
          <w:rFonts w:ascii="Times New Roman" w:hAnsi="Times New Roman" w:cs="Times New Roman"/>
          <w:noProof/>
          <w:sz w:val="24"/>
          <w:szCs w:val="24"/>
        </w:rPr>
        <w:footnoteReference w:id="14"/>
      </w:r>
      <w:r>
        <w:rPr>
          <w:rFonts w:ascii="Times New Roman" w:hAnsi="Times New Roman"/>
          <w:noProof/>
          <w:sz w:val="24"/>
        </w:rPr>
        <w:t>, kwam in 2025 verschillende keren bijeen. Op 13 juni besprak de groep het resultaat van de top. Deze bespreking resulteerde in een gezamenlijke verklaring</w:t>
      </w:r>
      <w:r>
        <w:rPr>
          <w:rStyle w:val="FootnoteReference"/>
          <w:rFonts w:ascii="Times New Roman" w:hAnsi="Times New Roman" w:cs="Times New Roman"/>
          <w:noProof/>
          <w:sz w:val="24"/>
          <w:szCs w:val="24"/>
        </w:rPr>
        <w:footnoteReference w:id="15"/>
      </w:r>
      <w:r>
        <w:rPr>
          <w:rFonts w:ascii="Times New Roman" w:hAnsi="Times New Roman"/>
          <w:noProof/>
          <w:sz w:val="24"/>
        </w:rPr>
        <w:t>, aangenomen met de binnenlandse adviesgroep van het Verenigd Koninkrijk tijdens haar vergadering van 23 juni in Londen, waarin wordt opgeroepen tot de snelle uitvoering van de in het gezamenlijk akkoord uiteengezette acties. Tijdens haar vergadering van 16 september heeft de Commissie de binnenlandse adviesgroep een update gegeven over de uitvoering van het akkoord.</w:t>
      </w:r>
    </w:p>
    <w:p w14:paraId="687BAD7E" w14:textId="10875B20" w:rsidR="00B24474" w:rsidRDefault="0AADE778" w:rsidP="00470A6D">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 xml:space="preserve">Het </w:t>
      </w:r>
      <w:r>
        <w:rPr>
          <w:rFonts w:ascii="Times New Roman" w:hAnsi="Times New Roman"/>
          <w:b/>
          <w:noProof/>
          <w:sz w:val="24"/>
        </w:rPr>
        <w:t>Forum voor het maatschappelijk middenveld</w:t>
      </w:r>
      <w:r>
        <w:rPr>
          <w:rFonts w:ascii="Times New Roman" w:hAnsi="Times New Roman"/>
          <w:noProof/>
          <w:sz w:val="24"/>
        </w:rPr>
        <w:t>, dat krachtens artikel 14 van de overeenkomst is opgericht om een dialoog tot stand te brengen over de uitvoering van deel twee van de overeenkomst, dat betrekking heeft op handel, vervoer, visserij en andere regelingen, kwam op 24 juni in Londen voor de vierde keer bijeen</w:t>
      </w:r>
      <w:r>
        <w:rPr>
          <w:rStyle w:val="FootnoteReference"/>
          <w:rFonts w:ascii="Times New Roman" w:hAnsi="Times New Roman" w:cs="Times New Roman"/>
          <w:noProof/>
          <w:sz w:val="24"/>
          <w:szCs w:val="24"/>
        </w:rPr>
        <w:footnoteReference w:id="16"/>
      </w:r>
      <w:r>
        <w:rPr>
          <w:rFonts w:ascii="Times New Roman" w:hAnsi="Times New Roman"/>
          <w:noProof/>
          <w:sz w:val="24"/>
        </w:rPr>
        <w:t>. Net als in de voorgaande jaren stond het forum in het teken van uitvoeringskwesties in verband met de handel in goederen en diensten, energie en klimaat, het gelijke speelveld, duurzaamheid en samenwerking op regelgevingsgebied. De meeste deelnemers waren ingenomen met het momentum in de betrekkingen na de top van 19 mei en spraken de hoop uit dat deze dynamiek zich zal voortzetten.</w:t>
      </w:r>
    </w:p>
    <w:p w14:paraId="45497713" w14:textId="43FC5A16" w:rsidR="002417C8" w:rsidRDefault="00727987" w:rsidP="00470A6D">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 xml:space="preserve">De </w:t>
      </w:r>
      <w:r>
        <w:rPr>
          <w:rFonts w:ascii="Times New Roman" w:hAnsi="Times New Roman"/>
          <w:b/>
          <w:bCs/>
          <w:noProof/>
          <w:sz w:val="24"/>
        </w:rPr>
        <w:t>Partnerschapsraad</w:t>
      </w:r>
      <w:r>
        <w:rPr>
          <w:rFonts w:ascii="Times New Roman" w:hAnsi="Times New Roman"/>
          <w:noProof/>
          <w:sz w:val="24"/>
        </w:rPr>
        <w:t xml:space="preserve"> kwam op 2 februari 2026 bijeen</w:t>
      </w:r>
      <w:r>
        <w:rPr>
          <w:rStyle w:val="FootnoteReference"/>
          <w:rFonts w:ascii="Times New Roman" w:hAnsi="Times New Roman" w:cs="Times New Roman"/>
          <w:noProof/>
          <w:sz w:val="24"/>
          <w:szCs w:val="24"/>
        </w:rPr>
        <w:footnoteReference w:id="17"/>
      </w:r>
      <w:r>
        <w:rPr>
          <w:rFonts w:ascii="Times New Roman" w:hAnsi="Times New Roman"/>
          <w:noProof/>
          <w:sz w:val="24"/>
        </w:rPr>
        <w:t>.</w:t>
      </w:r>
    </w:p>
    <w:p w14:paraId="41A2A212" w14:textId="4E72E036" w:rsidR="003579A8" w:rsidRPr="0086076B" w:rsidRDefault="00862667" w:rsidP="00470A6D">
      <w:pPr>
        <w:pStyle w:val="Heading1"/>
        <w:keepLines w:val="0"/>
        <w:numPr>
          <w:ilvl w:val="0"/>
          <w:numId w:val="55"/>
        </w:numPr>
        <w:spacing w:before="100" w:beforeAutospacing="1" w:after="100" w:afterAutospacing="1" w:line="240" w:lineRule="auto"/>
        <w:ind w:left="714" w:hanging="357"/>
        <w:rPr>
          <w:rFonts w:ascii="Times New Roman" w:hAnsi="Times New Roman" w:cs="Times New Roman"/>
          <w:b/>
          <w:bCs/>
          <w:noProof/>
          <w:color w:val="auto"/>
        </w:rPr>
      </w:pPr>
      <w:bookmarkStart w:id="13" w:name="_Toc185413379"/>
      <w:bookmarkStart w:id="14" w:name="_Toc204769316"/>
      <w:bookmarkStart w:id="15" w:name="_Toc226723198"/>
      <w:r>
        <w:rPr>
          <w:rFonts w:ascii="Times New Roman" w:hAnsi="Times New Roman"/>
          <w:b/>
          <w:noProof/>
          <w:color w:val="auto"/>
        </w:rPr>
        <w:t>Klachten en geschillenbeslechting</w:t>
      </w:r>
      <w:bookmarkEnd w:id="13"/>
      <w:bookmarkEnd w:id="14"/>
      <w:bookmarkEnd w:id="15"/>
    </w:p>
    <w:p w14:paraId="5DD5C24A" w14:textId="4F4F1819" w:rsidR="004247D1" w:rsidRPr="00F006D0" w:rsidRDefault="007A1520" w:rsidP="00470A6D">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In dit deel wordt een samenvatting gegeven van de werkzaamheden van de mechanismen die zijn ingesteld om klachten van belanghebbenden in de EU af te handelen, geschillen te beslechten en de verbintenissen in het kader van de overeenkomst af te dwingen.</w:t>
      </w:r>
    </w:p>
    <w:p w14:paraId="402CD965" w14:textId="6E63DE5E" w:rsidR="00862667" w:rsidRPr="0086076B" w:rsidRDefault="00862667" w:rsidP="00470A6D">
      <w:pPr>
        <w:pStyle w:val="Heading2"/>
        <w:keepNext w:val="0"/>
        <w:keepLines w:val="0"/>
        <w:numPr>
          <w:ilvl w:val="1"/>
          <w:numId w:val="55"/>
        </w:numPr>
        <w:spacing w:before="100" w:beforeAutospacing="1" w:after="100" w:afterAutospacing="1" w:line="240" w:lineRule="auto"/>
        <w:ind w:left="1077"/>
        <w:rPr>
          <w:rFonts w:ascii="Times New Roman" w:hAnsi="Times New Roman" w:cs="Times New Roman"/>
          <w:b/>
          <w:bCs/>
          <w:noProof/>
          <w:color w:val="auto"/>
        </w:rPr>
      </w:pPr>
      <w:bookmarkStart w:id="16" w:name="_Toc185413380"/>
      <w:bookmarkStart w:id="17" w:name="_Toc204769317"/>
      <w:bookmarkStart w:id="18" w:name="_Toc226723199"/>
      <w:r>
        <w:rPr>
          <w:rFonts w:ascii="Times New Roman" w:hAnsi="Times New Roman"/>
          <w:b/>
          <w:noProof/>
          <w:color w:val="auto"/>
        </w:rPr>
        <w:t>Klachten</w:t>
      </w:r>
      <w:bookmarkEnd w:id="16"/>
      <w:bookmarkEnd w:id="17"/>
      <w:bookmarkEnd w:id="18"/>
    </w:p>
    <w:p w14:paraId="40C7EEC2" w14:textId="20750E1B" w:rsidR="00862667" w:rsidRPr="00046813" w:rsidRDefault="00862667" w:rsidP="05B2B5AE">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Via de instrumenten die de Commissie heeft opgezet voor een doelmatige monitoring van de uitvoering van de overeenkomst, zijn in 2025 zes klachten ingediend</w:t>
      </w:r>
      <w:r>
        <w:rPr>
          <w:rFonts w:ascii="Times New Roman" w:hAnsi="Times New Roman" w:cs="Times New Roman"/>
          <w:noProof/>
          <w:vertAlign w:val="superscript"/>
        </w:rPr>
        <w:footnoteReference w:id="18"/>
      </w:r>
      <w:r>
        <w:rPr>
          <w:rFonts w:ascii="Times New Roman" w:hAnsi="Times New Roman"/>
          <w:noProof/>
          <w:sz w:val="24"/>
        </w:rPr>
        <w:t>. Slechts twee klachten hadden betrekking op de uitvoering van de overeenkomst</w:t>
      </w:r>
      <w:r>
        <w:rPr>
          <w:rStyle w:val="FootnoteReference"/>
          <w:rFonts w:ascii="Times New Roman" w:eastAsia="Times New Roman" w:hAnsi="Times New Roman" w:cs="Times New Roman"/>
          <w:noProof/>
          <w:sz w:val="24"/>
          <w:szCs w:val="24"/>
        </w:rPr>
        <w:footnoteReference w:id="19"/>
      </w:r>
      <w:r>
        <w:rPr>
          <w:rFonts w:ascii="Times New Roman" w:hAnsi="Times New Roman"/>
          <w:noProof/>
          <w:sz w:val="24"/>
        </w:rPr>
        <w:t>. De overige vier klachten hadden betrekking op kwesties buiten het toepassingsgebied van de overeenkomst en werden dienovereenkomstig door de Commissie afgehandeld.</w:t>
      </w:r>
    </w:p>
    <w:p w14:paraId="5EC85A68" w14:textId="1D076C06" w:rsidR="004350B3" w:rsidRPr="0086076B" w:rsidRDefault="3B7D07B8" w:rsidP="00470A6D">
      <w:pPr>
        <w:pStyle w:val="Heading2"/>
        <w:keepNext w:val="0"/>
        <w:keepLines w:val="0"/>
        <w:numPr>
          <w:ilvl w:val="1"/>
          <w:numId w:val="55"/>
        </w:numPr>
        <w:spacing w:before="100" w:beforeAutospacing="1" w:after="100" w:afterAutospacing="1" w:line="240" w:lineRule="auto"/>
        <w:ind w:left="1077"/>
        <w:rPr>
          <w:rFonts w:ascii="Times New Roman" w:eastAsia="Times New Roman" w:hAnsi="Times New Roman" w:cs="Times New Roman"/>
          <w:b/>
          <w:bCs/>
          <w:noProof/>
          <w:color w:val="auto"/>
        </w:rPr>
      </w:pPr>
      <w:bookmarkStart w:id="19" w:name="_Toc185413381"/>
      <w:bookmarkStart w:id="20" w:name="_Toc204769318"/>
      <w:bookmarkStart w:id="21" w:name="_Toc226723200"/>
      <w:r>
        <w:rPr>
          <w:rFonts w:ascii="Times New Roman" w:hAnsi="Times New Roman"/>
          <w:b/>
          <w:noProof/>
          <w:color w:val="auto"/>
        </w:rPr>
        <w:t>Geschillenbeslechting</w:t>
      </w:r>
      <w:bookmarkEnd w:id="19"/>
      <w:bookmarkEnd w:id="20"/>
      <w:bookmarkEnd w:id="21"/>
    </w:p>
    <w:p w14:paraId="26A935A9" w14:textId="7D799734" w:rsidR="009C24DE" w:rsidRDefault="003163D4" w:rsidP="00470A6D">
      <w:pPr>
        <w:spacing w:before="100" w:beforeAutospacing="1" w:after="100" w:afterAutospacing="1" w:line="240" w:lineRule="auto"/>
        <w:jc w:val="both"/>
        <w:rPr>
          <w:rFonts w:ascii="Times New Roman" w:hAnsi="Times New Roman" w:cs="Times New Roman"/>
          <w:noProof/>
          <w:sz w:val="24"/>
          <w:szCs w:val="24"/>
        </w:rPr>
      </w:pPr>
      <w:bookmarkStart w:id="22" w:name="_Hlk181272529"/>
      <w:r>
        <w:rPr>
          <w:rFonts w:ascii="Times New Roman" w:hAnsi="Times New Roman"/>
          <w:noProof/>
          <w:sz w:val="24"/>
        </w:rPr>
        <w:t>De arbitrageprocedure die de EU op 25 oktober 2024 op grond van artikel 739 van de overeenkomst had ingeleid met betrekking tot het besluit van het Verenigd Koninkrijk om de visserij op zandspiering in zijn wateren vanaf 26 maart 2024 te verbieden, werd op 28 april 2025 afgerond.</w:t>
      </w:r>
    </w:p>
    <w:p w14:paraId="21614D9F" w14:textId="409BA7E5" w:rsidR="009C24DE" w:rsidRDefault="005F588D" w:rsidP="00470A6D">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In zijn uitspraak</w:t>
      </w:r>
      <w:r>
        <w:rPr>
          <w:rStyle w:val="FootnoteReference"/>
          <w:rFonts w:ascii="Times New Roman" w:hAnsi="Times New Roman" w:cs="Times New Roman"/>
          <w:noProof/>
          <w:sz w:val="24"/>
          <w:szCs w:val="24"/>
        </w:rPr>
        <w:footnoteReference w:id="20"/>
      </w:r>
      <w:r>
        <w:rPr>
          <w:rFonts w:ascii="Times New Roman" w:hAnsi="Times New Roman"/>
          <w:noProof/>
          <w:sz w:val="24"/>
        </w:rPr>
        <w:t>, oordeelde het scheidsgerecht dat het verbod op de visserij op zandspiering in de Engelse wateren in strijd was met de verplichtingen van het Verenigd Koninkrijk uit hoofde van artikel 496, lid 1, van de overeenkomst, gelezen in samenhang met artikel 494, lid 3, punt f). Het scheidsgerecht kwam tot de slotsom dat het Verenigd Koninkrijk bij de vaststelling van de maatregel het evenredigheidsbeginsel niet naar behoren in acht had genomen. Voorts stelde het vast dat het Verenigd Koninkrijk als gevolg daarvan zijn verplichting niet was nagekomen om volledige toegang tot zijn wateren te verlenen voor de visserij op zandspiering, overeenkomstig artikel 2, lid 1, punt a), van bijlage 38 bij de overeenkomst. Op grond van de uitspraak moest het Verenigd Koninkrijk de nodige maatregelen nemen om de desbetreffende bepalingen van de overeenkomst na te leven.</w:t>
      </w:r>
    </w:p>
    <w:p w14:paraId="0E0483B8" w14:textId="37A6B301" w:rsidR="00D3563F" w:rsidRDefault="00093869" w:rsidP="00470A6D">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Het Verenigd Koninkrijk herzag vervolgens zijn beoordeling door er geactualiseerde wetenschappelijke elementen en effectbeoordelingen in op te nemen en nam een nieuw besluit over de sluiting van de Engelse wateren voor de visserij op zandspiering. Op 25 juni 2025 stelde het de EU in kennis van de maatregelen die het had genomen om de uitspraak na te leven. De Commissie heeft die informatie beoordeeld in het licht van de uitspraak en besloten niet om een nalevingsbeoordeling te verzoeken.</w:t>
      </w:r>
    </w:p>
    <w:p w14:paraId="5E042427" w14:textId="0748626E" w:rsidR="00BD4DEC" w:rsidRPr="00BD4DEC" w:rsidRDefault="00CF2581" w:rsidP="00470A6D">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Met betrekking tot het deskundigenpanel voor geschillen in verband met het hoofdstuk over het gelijke speelveld voor open en eerlijke mededinging en duurzame ontwikkeling heeft de Commissie overeenkomstig artikel 409 van de overeenkomst op 23 februari 2026 een voorstel aangenomen over een besluit van de Raad tot vaststelling van de lijst van personen die bereid en in staat zijn om als lid van het deskundigenpanel te fungeren</w:t>
      </w:r>
      <w:r>
        <w:rPr>
          <w:rStyle w:val="FootnoteReference"/>
          <w:rFonts w:ascii="Times New Roman" w:hAnsi="Times New Roman" w:cs="Times New Roman"/>
          <w:noProof/>
          <w:sz w:val="24"/>
          <w:szCs w:val="24"/>
        </w:rPr>
        <w:footnoteReference w:id="21"/>
      </w:r>
      <w:r>
        <w:rPr>
          <w:rFonts w:ascii="Times New Roman" w:hAnsi="Times New Roman"/>
          <w:noProof/>
          <w:sz w:val="24"/>
        </w:rPr>
        <w:t xml:space="preserve">. </w:t>
      </w:r>
    </w:p>
    <w:p w14:paraId="137590D4" w14:textId="42269B5E" w:rsidR="006D1404" w:rsidRPr="0086076B" w:rsidRDefault="33A451BC" w:rsidP="00470A6D">
      <w:pPr>
        <w:pStyle w:val="Heading1"/>
        <w:keepLines w:val="0"/>
        <w:numPr>
          <w:ilvl w:val="0"/>
          <w:numId w:val="55"/>
        </w:numPr>
        <w:spacing w:before="100" w:beforeAutospacing="1" w:after="100" w:afterAutospacing="1" w:line="240" w:lineRule="auto"/>
        <w:ind w:left="714" w:hanging="357"/>
        <w:rPr>
          <w:rFonts w:ascii="Times New Roman" w:hAnsi="Times New Roman" w:cs="Times New Roman"/>
          <w:b/>
          <w:bCs/>
          <w:noProof/>
          <w:color w:val="auto"/>
        </w:rPr>
      </w:pPr>
      <w:bookmarkStart w:id="23" w:name="_Toc185413382"/>
      <w:bookmarkStart w:id="24" w:name="_Toc204769319"/>
      <w:bookmarkStart w:id="25" w:name="_Toc226723201"/>
      <w:bookmarkEnd w:id="22"/>
      <w:r>
        <w:rPr>
          <w:rFonts w:ascii="Times New Roman" w:hAnsi="Times New Roman"/>
          <w:b/>
          <w:noProof/>
          <w:color w:val="auto"/>
        </w:rPr>
        <w:t>Sectorale uitvoering</w:t>
      </w:r>
      <w:bookmarkEnd w:id="23"/>
      <w:bookmarkEnd w:id="24"/>
      <w:bookmarkEnd w:id="25"/>
    </w:p>
    <w:p w14:paraId="0DE58DA4" w14:textId="77C95A41" w:rsidR="00764E6C" w:rsidRPr="00F006D0" w:rsidRDefault="00554FBD" w:rsidP="00470A6D">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In dit deel wordt ingegaan op de resultaten op de beleidsterreinen die onder de overeenkomst vallen, en op de vooruitgang die is geboekt bij de uitvoering van de in het gezamenlijk akkoord overeengekomen acties die binnen het toepassingsgebied van de overeenkomst vallen. Het bevat ook gegevens over de handelsstromen in goederen en diensten tussen de EU en het Verenigd Koninkrijk.</w:t>
      </w:r>
    </w:p>
    <w:p w14:paraId="18A6A513" w14:textId="62E78BCC" w:rsidR="006D1404" w:rsidRPr="0086076B" w:rsidRDefault="33A451BC" w:rsidP="00470A6D">
      <w:pPr>
        <w:pStyle w:val="Heading2"/>
        <w:keepNext w:val="0"/>
        <w:keepLines w:val="0"/>
        <w:numPr>
          <w:ilvl w:val="1"/>
          <w:numId w:val="55"/>
        </w:numPr>
        <w:spacing w:before="100" w:beforeAutospacing="1" w:after="100" w:afterAutospacing="1" w:line="240" w:lineRule="auto"/>
        <w:ind w:left="1077"/>
        <w:rPr>
          <w:rFonts w:ascii="Times New Roman" w:hAnsi="Times New Roman" w:cs="Times New Roman"/>
          <w:b/>
          <w:bCs/>
          <w:noProof/>
          <w:color w:val="auto"/>
        </w:rPr>
      </w:pPr>
      <w:bookmarkStart w:id="26" w:name="_Toc185413383"/>
      <w:bookmarkStart w:id="27" w:name="_Toc204769320"/>
      <w:bookmarkStart w:id="28" w:name="_Toc226723202"/>
      <w:r>
        <w:rPr>
          <w:rFonts w:ascii="Times New Roman" w:hAnsi="Times New Roman"/>
          <w:b/>
          <w:noProof/>
          <w:color w:val="auto"/>
        </w:rPr>
        <w:t>Handel in goederen</w:t>
      </w:r>
      <w:bookmarkEnd w:id="26"/>
      <w:bookmarkEnd w:id="27"/>
      <w:bookmarkEnd w:id="28"/>
    </w:p>
    <w:p w14:paraId="7B427CB0" w14:textId="02987943" w:rsidR="00786D3D" w:rsidRPr="00F006D0" w:rsidRDefault="3EA7FCBB" w:rsidP="00470A6D">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In het algemeen waren de in de overeenkomst neergelegde handelsregelingen doeltreffend en functioneerden zij goed.</w:t>
      </w:r>
    </w:p>
    <w:p w14:paraId="243C2595" w14:textId="46307EA7" w:rsidR="008E0385" w:rsidRDefault="42B9BA73" w:rsidP="3B674C25">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Overeenkomstig artikel 31 van de overeenkomst hebben de EU en het Verenigd Koninkrijk invoerstatistieken uitgewisseld</w:t>
      </w:r>
      <w:r>
        <w:rPr>
          <w:rStyle w:val="FootnoteReference"/>
          <w:rFonts w:ascii="Times New Roman" w:eastAsia="Times New Roman" w:hAnsi="Times New Roman" w:cs="Times New Roman"/>
          <w:noProof/>
          <w:sz w:val="24"/>
          <w:szCs w:val="24"/>
        </w:rPr>
        <w:footnoteReference w:id="22"/>
      </w:r>
      <w:r>
        <w:rPr>
          <w:rFonts w:ascii="Times New Roman" w:hAnsi="Times New Roman"/>
          <w:noProof/>
          <w:sz w:val="24"/>
        </w:rPr>
        <w:t xml:space="preserve">. Hieruit blijkt dat ongeveer 39,5 % van de EU-uitvoer naar het Verenigd Koninkrijk en 48,5 % van de EU-invoer uit het Verenigd Koninkrijk in aanmerking kwam voor een preferentiële behandeling in het kader van de handelsovereenkomst. De overige handelsstromen hadden betrekking op tarieflijnen die reeds rechtenvrij waren op basis van de meestbegunstigingsregel. </w:t>
      </w:r>
    </w:p>
    <w:p w14:paraId="4C429E98" w14:textId="1566CFBC" w:rsidR="00565046" w:rsidRPr="00F006D0" w:rsidRDefault="42B9BA73" w:rsidP="3B674C25">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Het preferentiegebruik</w:t>
      </w:r>
      <w:r>
        <w:rPr>
          <w:rStyle w:val="FootnoteReference"/>
          <w:rFonts w:ascii="Times New Roman" w:eastAsia="Times New Roman" w:hAnsi="Times New Roman" w:cs="Times New Roman"/>
          <w:noProof/>
          <w:sz w:val="24"/>
          <w:szCs w:val="24"/>
        </w:rPr>
        <w:footnoteReference w:id="23"/>
      </w:r>
      <w:r>
        <w:rPr>
          <w:rFonts w:ascii="Times New Roman" w:hAnsi="Times New Roman"/>
          <w:noProof/>
          <w:sz w:val="24"/>
        </w:rPr>
        <w:t xml:space="preserve"> is nog steeds hoog en vergelijkbaar met dat van het voorgaande jaar: 88 % van de goederen uit de EU die naar het Verenigd Koninkrijk werden uitgevoerd en voor preferentiële behandeling in aanmerking kwamen, en 83,2 % van de goederen die uit het Verenigd Koninkrijk werden ingevoerd en voor preferentiële behandeling in aanmerking kwamen, ondergingen een preferentiële behandeling uit hoofde van de overeenkomst. Deze percentages zijn in overeenstemming met de percentages voor andere partners waarmee de EU een vrijhandelsovereenkomst heeft</w:t>
      </w:r>
      <w:r>
        <w:rPr>
          <w:rStyle w:val="FootnoteReference"/>
          <w:rFonts w:ascii="Times New Roman" w:eastAsia="Times New Roman" w:hAnsi="Times New Roman" w:cs="Times New Roman"/>
          <w:noProof/>
          <w:sz w:val="24"/>
          <w:szCs w:val="24"/>
        </w:rPr>
        <w:footnoteReference w:id="24"/>
      </w:r>
      <w:r>
        <w:rPr>
          <w:rFonts w:ascii="Times New Roman" w:hAnsi="Times New Roman"/>
          <w:noProof/>
          <w:sz w:val="24"/>
        </w:rPr>
        <w:t>.</w:t>
      </w:r>
    </w:p>
    <w:p w14:paraId="4C69AD7C" w14:textId="14226C88" w:rsidR="00050116" w:rsidRPr="00E9362D" w:rsidRDefault="00CA2DC7" w:rsidP="00470A6D">
      <w:pPr>
        <w:spacing w:before="100" w:beforeAutospacing="1" w:after="100" w:afterAutospacing="1" w:line="240" w:lineRule="auto"/>
        <w:jc w:val="both"/>
        <w:rPr>
          <w:rFonts w:ascii="Times New Roman" w:eastAsia="Times New Roman" w:hAnsi="Times New Roman" w:cs="Times New Roman"/>
          <w:noProof/>
          <w:sz w:val="24"/>
          <w:szCs w:val="24"/>
        </w:rPr>
      </w:pPr>
      <w:bookmarkStart w:id="30" w:name="_Hlk204787258"/>
      <w:bookmarkStart w:id="31" w:name="_Hlk148710669"/>
      <w:r>
        <w:rPr>
          <w:rFonts w:ascii="Times New Roman" w:hAnsi="Times New Roman"/>
          <w:noProof/>
          <w:sz w:val="24"/>
        </w:rPr>
        <w:t>Hieronder volgt een overzicht van de ontwikkeling van de</w:t>
      </w:r>
      <w:r>
        <w:rPr>
          <w:rFonts w:ascii="Times New Roman" w:hAnsi="Times New Roman"/>
          <w:b/>
          <w:noProof/>
          <w:sz w:val="24"/>
        </w:rPr>
        <w:t xml:space="preserve"> handelsstromen in goederen</w:t>
      </w:r>
      <w:r>
        <w:rPr>
          <w:rFonts w:ascii="Times New Roman" w:eastAsia="Times New Roman" w:hAnsi="Times New Roman" w:cs="Times New Roman"/>
          <w:noProof/>
          <w:vertAlign w:val="superscript"/>
        </w:rPr>
        <w:footnoteReference w:id="25"/>
      </w:r>
      <w:r>
        <w:rPr>
          <w:rFonts w:ascii="Times New Roman" w:hAnsi="Times New Roman"/>
          <w:b/>
          <w:noProof/>
          <w:sz w:val="24"/>
        </w:rPr>
        <w:t xml:space="preserve"> </w:t>
      </w:r>
      <w:r>
        <w:rPr>
          <w:rFonts w:ascii="Times New Roman" w:hAnsi="Times New Roman"/>
          <w:noProof/>
          <w:sz w:val="24"/>
        </w:rPr>
        <w:t>tussen de EU en het Verenigd Koninkrijk in 2025.</w:t>
      </w:r>
    </w:p>
    <w:bookmarkEnd w:id="30"/>
    <w:p w14:paraId="381B9F1A" w14:textId="2D379EE3" w:rsidR="00CE052D" w:rsidRDefault="00CE052D" w:rsidP="00CE052D">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De EU boekte een aanzienlijk handelsoverschot op het gebied van goederen met het Verenigd Koninkrijk van 188 miljard EUR. De EU voerde voor 346 miljard EUR aan goederen uit naar het Verenigd Koninkrijk, wat neerkomt op een stijging van 0,8 % ten opzichte van 2024. De waarde van de invoer van goederen uit het Verenigd Koninkrijk bedroeg 159 miljard EUR, wat neerkomt op een daling van 3,1 % ten opzichte van 2024.</w:t>
      </w:r>
    </w:p>
    <w:p w14:paraId="0E33E134" w14:textId="4E2BB93C" w:rsidR="00CE052D" w:rsidRPr="00C13EF7" w:rsidRDefault="00CE052D" w:rsidP="00CE052D">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De sectoren waarin de uitvoer uit de EU naar het Verenigd Koninkrijk de hoogste stijging kende, waren voedingsmiddelen, drank en tabak (+3,5 %), grondstoffen (+3,3 %) en chemische en aanverwante producten (+3,3 %). De enige uitvoercategorie die een daling liet zien, was die van minerale brandstoffen (-2,5 %). Aan de invoerzijde steeg de invoer van voedingsmiddelen, drank en tabak (+3,8 %) en grondstoffen (+4,1 %), terwijl de invoer van de overige categorieën goederen daalde. De grootste daling werd waargenomen bij minerale brandstoffen (-14,2 %). Over het geheel genomen duiden deze ontwikkelingen op een divergentie in de handelsdynamiek tussen sectoren, waarbij energiegerelateerde producten blijven krimpen, terwijl voedingsmiddelen, drank en tabak, en grondstoffen een gematigde groei blijven vertonen. </w:t>
      </w:r>
    </w:p>
    <w:p w14:paraId="77532E40" w14:textId="27715C9B" w:rsidR="00CE052D" w:rsidRPr="00C13EF7" w:rsidRDefault="00CE052D" w:rsidP="00CE052D">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In vergelijking met andere derde landen verliep de handel in goederen tussen de EU en het Verenigd Koninkrijk minder dynamisch. In 2025 steeg de uitvoer uit de EU naar andere derde landen met 2,4 % ten opzichte van 2024, terwijl de invoer in de EU uit andere derde landen met 2,9 % steeg. In 2025 was de totale handel in goederen met het Verenigd Koninkrijk goed voor 9,8 % van de totale handel van de EU met haar internationale partners, een daling ten opzichte van de 10,1 % in 2024. Het Verenigd Koninkrijk bleef de op één na belangrijkste bestemming voor de uitvoer van de EU, met 13,1 % van haar totale goederenuitvoer, tegenover 13,3 % in 2024, na de Verenigde Staten (20,9 %). Aan de invoerzijde was 6,3 % van de EU-invoer van goederen afkomstig uit het Verenigd Koninkrijk, een daling ten opzichte van 6,7 % in 2024. Het Verenigd Koninkrijk kwam daarmee op de derde plaats na China (22,3 %) en de Verenigde Staten (14,1 %). Deze cijfers bevestigen de voortzetting van een trend die werd vastgesteld in de vorige jaarverslagen van de Commissie over de uitvoering van de overeenkomst, waarbij de handel in goederen met andere niet-EU-partners sinds de terugtrekking van het Verenigd Koninkrijk uit de EU sneller is toegenomen dan de handel met het Verenigd Koninkrijk.</w:t>
      </w:r>
    </w:p>
    <w:p w14:paraId="4D224D74" w14:textId="0B9B2F96" w:rsidR="00CE052D" w:rsidRDefault="00AB5C7B" w:rsidP="00CE052D">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 xml:space="preserve">Als we kijken naar de ontwikkeling van de handel in goederen sinds de overeenkomst in 2021 van toepassing werd, blijkt dat de EU-uitvoer naar het Verenigd Koninkrijk gestaag is gegroeid. In 2025 bedroeg de uitvoer 346 miljard EUR, tegenover 282 miljard EUR in 2021, een stijging van 23 %. De sterkste jaarlijkse groei deed zich voor tussen 2021 en 2022, als gevolg van een herstel van de impact van COVID-19. De invoer in de EU uit het Verenigd Koninkrijk volgde daarentegen een volatieler pad, met een sterke stijging van 147 miljard EUR in 2021 tot 216 miljard EUR in 2022, mede als gevolg van de aanpassing na de pandemie, alvorens gestaag te dalen tot 159 miljard EUR in 2025. Dit verschil tussen uitvoer en invoer wijst erop dat de economie van de EU zich doeltreffend heeft aangepast aan de nieuwe handelsvoorwaarden met het Verenigd Koninkrijk na zijn vertrek uit de EU. </w:t>
      </w:r>
    </w:p>
    <w:p w14:paraId="7633CEC8" w14:textId="487B238D" w:rsidR="00F44321" w:rsidRPr="008C0FA2" w:rsidRDefault="00C637D9" w:rsidP="00076B08">
      <w:pPr>
        <w:spacing w:before="100" w:beforeAutospacing="1" w:after="100" w:afterAutospacing="1" w:line="240" w:lineRule="auto"/>
        <w:jc w:val="both"/>
        <w:rPr>
          <w:rFonts w:ascii="Times New Roman" w:hAnsi="Times New Roman" w:cs="Times New Roman"/>
          <w:noProof/>
          <w:sz w:val="24"/>
          <w:szCs w:val="24"/>
          <w:highlight w:val="lightGray"/>
        </w:rPr>
      </w:pPr>
      <w:r>
        <w:rPr>
          <w:noProof/>
          <w:lang w:val="en-GB" w:eastAsia="en-GB"/>
        </w:rPr>
        <w:drawing>
          <wp:inline distT="0" distB="0" distL="0" distR="0" wp14:anchorId="370FB91B" wp14:editId="7271BA6B">
            <wp:extent cx="5731510" cy="3348990"/>
            <wp:effectExtent l="0" t="0" r="0" b="0"/>
            <wp:docPr id="108970465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704654" name=""/>
                    <pic:cNvPicPr/>
                  </pic:nvPicPr>
                  <pic:blipFill>
                    <a:blip r:embed="rId15">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6"/>
                        </a:ext>
                      </a:extLst>
                    </a:blip>
                    <a:stretch>
                      <a:fillRect/>
                    </a:stretch>
                  </pic:blipFill>
                  <pic:spPr>
                    <a:xfrm>
                      <a:off x="0" y="0"/>
                      <a:ext cx="5731510" cy="3348990"/>
                    </a:xfrm>
                    <a:prstGeom prst="rect">
                      <a:avLst/>
                    </a:prstGeom>
                  </pic:spPr>
                </pic:pic>
              </a:graphicData>
            </a:graphic>
          </wp:inline>
        </w:drawing>
      </w:r>
    </w:p>
    <w:p w14:paraId="738369C9" w14:textId="1096D3C9" w:rsidR="00F44321" w:rsidRPr="00C13EF7" w:rsidRDefault="00F44321" w:rsidP="00F44321">
      <w:pPr>
        <w:rPr>
          <w:i/>
          <w:iCs/>
          <w:noProof/>
        </w:rPr>
      </w:pPr>
      <w:r>
        <w:rPr>
          <w:i/>
          <w:noProof/>
        </w:rPr>
        <w:t xml:space="preserve">Figuur 1: EU-handel in goederen met het Verenigd Koninkrijk, 2021-2025, in miljard EUR, bron: Eurostat (gegevensreeks </w:t>
      </w:r>
      <w:hyperlink r:id="rId17" w:history="1">
        <w:r>
          <w:rPr>
            <w:rStyle w:val="Hyperlink"/>
            <w:i/>
            <w:noProof/>
          </w:rPr>
          <w:t>ext_lt_maineu</w:t>
        </w:r>
      </w:hyperlink>
      <w:r>
        <w:rPr>
          <w:i/>
          <w:noProof/>
        </w:rPr>
        <w:t>)</w:t>
      </w:r>
      <w:r>
        <w:rPr>
          <w:noProof/>
        </w:rPr>
        <w:t>.</w:t>
      </w:r>
    </w:p>
    <w:p w14:paraId="23714695" w14:textId="54500DF8" w:rsidR="006D1404" w:rsidRPr="0086076B" w:rsidRDefault="5A876DED" w:rsidP="00470A6D">
      <w:pPr>
        <w:pStyle w:val="Heading2"/>
        <w:keepLines w:val="0"/>
        <w:numPr>
          <w:ilvl w:val="1"/>
          <w:numId w:val="55"/>
        </w:numPr>
        <w:spacing w:before="100" w:beforeAutospacing="1" w:after="100" w:afterAutospacing="1" w:line="240" w:lineRule="auto"/>
        <w:ind w:left="1077"/>
        <w:rPr>
          <w:rFonts w:ascii="Times New Roman" w:hAnsi="Times New Roman" w:cs="Times New Roman"/>
          <w:b/>
          <w:bCs/>
          <w:noProof/>
          <w:color w:val="auto"/>
        </w:rPr>
      </w:pPr>
      <w:bookmarkStart w:id="32" w:name="_Toc185413384"/>
      <w:bookmarkStart w:id="33" w:name="_Toc204769321"/>
      <w:bookmarkStart w:id="34" w:name="_Toc226723203"/>
      <w:bookmarkStart w:id="35" w:name="_Hlk190384460"/>
      <w:bookmarkEnd w:id="31"/>
      <w:r>
        <w:rPr>
          <w:rFonts w:ascii="Times New Roman" w:hAnsi="Times New Roman"/>
          <w:b/>
          <w:noProof/>
          <w:color w:val="auto"/>
        </w:rPr>
        <w:t>Diensten en investeringen, digitale handel, overheidsopdrachten en kleine en middelgrote ondernemingen</w:t>
      </w:r>
      <w:bookmarkEnd w:id="32"/>
      <w:bookmarkEnd w:id="33"/>
      <w:bookmarkEnd w:id="34"/>
    </w:p>
    <w:p w14:paraId="39F08706" w14:textId="77777777" w:rsidR="000D7DA0" w:rsidRDefault="00B8510B" w:rsidP="000D7DA0">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De uitvoering van de overeenkomst op het gebied van diensten en investeringen, digitale handel, intellectuele eigendom, overheidsopdrachten en kleine en middelgrote ondernemingen is in het algemeen vlot verlopen, met uitzondering van aanhoudende problemen in verband met het </w:t>
      </w:r>
      <w:r>
        <w:rPr>
          <w:rFonts w:ascii="Times New Roman" w:hAnsi="Times New Roman"/>
          <w:b/>
          <w:noProof/>
          <w:sz w:val="24"/>
        </w:rPr>
        <w:t>sponsoringsysteem voor visums</w:t>
      </w:r>
      <w:r>
        <w:rPr>
          <w:rStyle w:val="FootnoteReference"/>
          <w:rFonts w:ascii="Times New Roman" w:eastAsia="Times New Roman" w:hAnsi="Times New Roman" w:cs="Times New Roman"/>
          <w:noProof/>
          <w:sz w:val="24"/>
          <w:szCs w:val="24"/>
        </w:rPr>
        <w:footnoteReference w:id="26"/>
      </w:r>
      <w:r>
        <w:rPr>
          <w:rFonts w:ascii="Times New Roman" w:hAnsi="Times New Roman"/>
          <w:noProof/>
          <w:sz w:val="24"/>
        </w:rPr>
        <w:t xml:space="preserve"> van het Verenigd Koninkrijk dat wordt toegepast op EU-dienstverleners die onder de overeenkomst vallen. </w:t>
      </w:r>
    </w:p>
    <w:bookmarkEnd w:id="35"/>
    <w:p w14:paraId="6665E26B" w14:textId="1AF1FFA9" w:rsidR="000D7DA0" w:rsidRDefault="000D7DA0" w:rsidP="000D7DA0">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Sinds 2022 heeft de EU binnen de gemengde organen van de overeenkomst voortdurend haar bezorgdheid geuit over de complexiteit, de onevenredige lastendruk en het gebrek aan duidelijkheid van het systeem</w:t>
      </w:r>
      <w:r>
        <w:rPr>
          <w:rStyle w:val="FootnoteReference"/>
          <w:rFonts w:ascii="Times New Roman" w:eastAsia="Times New Roman" w:hAnsi="Times New Roman" w:cs="Times New Roman"/>
          <w:noProof/>
          <w:sz w:val="24"/>
          <w:szCs w:val="24"/>
        </w:rPr>
        <w:footnoteReference w:id="27"/>
      </w:r>
      <w:r>
        <w:rPr>
          <w:rFonts w:ascii="Times New Roman" w:hAnsi="Times New Roman"/>
          <w:noProof/>
          <w:sz w:val="24"/>
        </w:rPr>
        <w:t xml:space="preserve">. De sponsoringvereiste blijft de doeltreffende uitvoering van de overeenkomst voor dienstverleners uit de EU belemmeren, zoals blijkt uit de afgifte van slechts 49 visums in de eerste negen maanden van 2025 aan EU-onderdanen in het kader van het traject voor dienstverleners, dat betrekking heeft op zelfstandigen en dienstverleners op contractbasis uit de EU. Als gevolg daarvan ondervinden dienstverleners uit de EU nog steeds aanzienlijke belemmeringen bij het verlenen van diensten aan klanten in het Verenigd Koninkrijk, terwijl de regering nog steeds aarzelt om het probleem aan te pakken. Zoals overeengekomen in het gezamenlijk akkoord, is een dialoog over de uitvoering van de verbintenissen van de overeenkomst inzake de toegang en het tijdelijke verblijf van natuurlijke personen voor zakelijke doeleinden bedoeld om dit reeds lang bestaande probleem, die de volledige uitvoering van de overeenkomst belemmert, op te lossen. </w:t>
      </w:r>
    </w:p>
    <w:p w14:paraId="6DAC217F" w14:textId="4FA2B177" w:rsidR="000D7DA0" w:rsidRPr="00F006D0" w:rsidRDefault="000D7DA0" w:rsidP="000D7DA0">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Er werd een andere dialoog opgezet over de uitvoering van de verbintenissen van de overeenkomst inzake de </w:t>
      </w:r>
      <w:r>
        <w:rPr>
          <w:rFonts w:ascii="Times New Roman" w:hAnsi="Times New Roman"/>
          <w:b/>
          <w:noProof/>
          <w:sz w:val="24"/>
        </w:rPr>
        <w:t>erkenning van beroepskwalificaties</w:t>
      </w:r>
      <w:r>
        <w:rPr>
          <w:rFonts w:ascii="Times New Roman" w:hAnsi="Times New Roman"/>
          <w:noProof/>
          <w:sz w:val="24"/>
        </w:rPr>
        <w:t>, in overeenstemming met het gezamenlijk akkoord.</w:t>
      </w:r>
    </w:p>
    <w:p w14:paraId="0175AA10" w14:textId="1116248D" w:rsidR="00D03CCA" w:rsidRDefault="00D03CCA" w:rsidP="00D03CCA">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Op het gebied van </w:t>
      </w:r>
      <w:r>
        <w:rPr>
          <w:rFonts w:ascii="Times New Roman" w:hAnsi="Times New Roman"/>
          <w:b/>
          <w:noProof/>
          <w:sz w:val="24"/>
        </w:rPr>
        <w:t>financiële diensten</w:t>
      </w:r>
      <w:r>
        <w:rPr>
          <w:rFonts w:ascii="Times New Roman" w:hAnsi="Times New Roman"/>
          <w:noProof/>
          <w:sz w:val="24"/>
        </w:rPr>
        <w:t>, is het forum voor financiële regelgeving tussen de EU en het Verenigd Koninkrijk, dat overeenkomstig het memorandum van overeenstemming</w:t>
      </w:r>
      <w:r>
        <w:rPr>
          <w:rStyle w:val="FootnoteReference"/>
          <w:rFonts w:ascii="Times New Roman" w:eastAsia="Times New Roman" w:hAnsi="Times New Roman" w:cs="Times New Roman"/>
          <w:noProof/>
          <w:sz w:val="24"/>
          <w:szCs w:val="24"/>
        </w:rPr>
        <w:footnoteReference w:id="28"/>
      </w:r>
      <w:r>
        <w:rPr>
          <w:rFonts w:ascii="Times New Roman" w:hAnsi="Times New Roman"/>
          <w:noProof/>
          <w:sz w:val="24"/>
        </w:rPr>
        <w:t xml:space="preserve"> van 2023 wordt gehouden, in 2025 tweemaal bijeengekomen: op 12 februari in Londen en op 1 oktober in Brussel. De besprekingen hadden betrekking op een reeks onderwerpen, waaronder macro-economische vooruitzichten en vooruitzichten in verband met de financiële stabiliteit, bankregulering, het digitale geldwezen, hervormingen van de kapitaalmarkt en duurzame financiering. Na beide bijeenkomsten werd een gezamenlijke verklaring</w:t>
      </w:r>
      <w:r>
        <w:rPr>
          <w:rStyle w:val="FootnoteReference"/>
          <w:rFonts w:ascii="Times New Roman" w:eastAsia="Times New Roman" w:hAnsi="Times New Roman" w:cs="Times New Roman"/>
          <w:noProof/>
          <w:sz w:val="24"/>
          <w:szCs w:val="24"/>
        </w:rPr>
        <w:footnoteReference w:id="29"/>
      </w:r>
      <w:r>
        <w:rPr>
          <w:rFonts w:ascii="Times New Roman" w:hAnsi="Times New Roman"/>
          <w:noProof/>
          <w:sz w:val="24"/>
        </w:rPr>
        <w:t xml:space="preserve"> afgelegd waarin de resultaten werden samengevat.</w:t>
      </w:r>
    </w:p>
    <w:p w14:paraId="59404A5F" w14:textId="6BC2CD6C" w:rsidR="00E8406E" w:rsidRPr="00E1040D" w:rsidRDefault="00286F43" w:rsidP="00470A6D">
      <w:pPr>
        <w:spacing w:before="100" w:beforeAutospacing="1" w:after="100" w:afterAutospacing="1" w:line="240" w:lineRule="auto"/>
        <w:jc w:val="both"/>
        <w:rPr>
          <w:rFonts w:ascii="Times New Roman" w:eastAsia="Times New Roman" w:hAnsi="Times New Roman" w:cs="Times New Roman"/>
          <w:noProof/>
          <w:sz w:val="24"/>
          <w:szCs w:val="24"/>
        </w:rPr>
      </w:pPr>
      <w:bookmarkStart w:id="36" w:name="_Hlk184225968"/>
      <w:r>
        <w:rPr>
          <w:rFonts w:ascii="Times New Roman" w:hAnsi="Times New Roman"/>
          <w:noProof/>
          <w:sz w:val="24"/>
        </w:rPr>
        <w:t>Hieronder volgt een overzicht van de</w:t>
      </w:r>
      <w:r>
        <w:rPr>
          <w:rFonts w:ascii="Times New Roman" w:hAnsi="Times New Roman"/>
          <w:b/>
          <w:noProof/>
          <w:sz w:val="24"/>
        </w:rPr>
        <w:t xml:space="preserve"> handelsstromen in diensten</w:t>
      </w:r>
      <w:r>
        <w:rPr>
          <w:rFonts w:ascii="Times New Roman" w:hAnsi="Times New Roman"/>
          <w:noProof/>
          <w:sz w:val="24"/>
        </w:rPr>
        <w:t xml:space="preserve"> tussen de EU en het Verenigd Koninkrijk in 2025</w:t>
      </w:r>
      <w:r>
        <w:rPr>
          <w:rFonts w:ascii="Times New Roman" w:eastAsia="Times New Roman" w:hAnsi="Times New Roman" w:cs="Times New Roman"/>
          <w:noProof/>
          <w:sz w:val="24"/>
          <w:szCs w:val="24"/>
          <w:vertAlign w:val="superscript"/>
        </w:rPr>
        <w:footnoteReference w:id="30"/>
      </w:r>
      <w:r>
        <w:rPr>
          <w:rFonts w:ascii="Times New Roman" w:hAnsi="Times New Roman"/>
          <w:noProof/>
          <w:sz w:val="24"/>
        </w:rPr>
        <w:t>.</w:t>
      </w:r>
    </w:p>
    <w:p w14:paraId="7D44BF00" w14:textId="53FAF043" w:rsidR="00AB5C7B" w:rsidRPr="00C13EF7" w:rsidRDefault="002E2FC3" w:rsidP="00AB5C7B">
      <w:pPr>
        <w:spacing w:before="100" w:beforeAutospacing="1" w:after="100" w:afterAutospacing="1" w:line="240" w:lineRule="auto"/>
        <w:jc w:val="both"/>
        <w:rPr>
          <w:rFonts w:ascii="Times New Roman" w:eastAsia="Times New Roman" w:hAnsi="Times New Roman" w:cs="Times New Roman"/>
          <w:noProof/>
          <w:sz w:val="24"/>
          <w:szCs w:val="24"/>
        </w:rPr>
      </w:pPr>
      <w:bookmarkStart w:id="37" w:name="_Hlk214522268"/>
      <w:bookmarkStart w:id="38" w:name="_Hlk184331826"/>
      <w:r>
        <w:rPr>
          <w:rFonts w:ascii="Times New Roman" w:hAnsi="Times New Roman"/>
          <w:noProof/>
          <w:sz w:val="24"/>
        </w:rPr>
        <w:t xml:space="preserve">In de eerste </w:t>
      </w:r>
      <w:bookmarkStart w:id="39" w:name="_Hlk222925372"/>
      <w:r>
        <w:rPr>
          <w:rFonts w:ascii="Times New Roman" w:hAnsi="Times New Roman"/>
          <w:noProof/>
          <w:sz w:val="24"/>
        </w:rPr>
        <w:t xml:space="preserve">drie kwartalen </w:t>
      </w:r>
      <w:bookmarkEnd w:id="39"/>
      <w:r>
        <w:rPr>
          <w:rFonts w:ascii="Times New Roman" w:hAnsi="Times New Roman"/>
          <w:noProof/>
          <w:sz w:val="24"/>
        </w:rPr>
        <w:t>van 2025 exporteerde de EU voor 230 miljard EUR aan diensten naar het Verenigd Koninkrijk, een stijging met 5,1 % ten opzichte van dezelfde periode in 2024</w:t>
      </w:r>
      <w:bookmarkEnd w:id="37"/>
      <w:r>
        <w:rPr>
          <w:rFonts w:ascii="Times New Roman" w:hAnsi="Times New Roman"/>
          <w:noProof/>
          <w:sz w:val="24"/>
        </w:rPr>
        <w:t xml:space="preserve">. </w:t>
      </w:r>
      <w:bookmarkStart w:id="40" w:name="_Hlk214522310"/>
      <w:r>
        <w:rPr>
          <w:rFonts w:ascii="Times New Roman" w:hAnsi="Times New Roman"/>
          <w:noProof/>
          <w:sz w:val="24"/>
        </w:rPr>
        <w:t>De waarde van de invoer uit het Verenigd Koninkrijk bedroeg in de eerste drie kwartalen van 2025 183 miljard EUR. Dat is een stijging van 4 % ten opzichte van dezelfde periode in 2024</w:t>
      </w:r>
      <w:bookmarkEnd w:id="40"/>
      <w:r>
        <w:rPr>
          <w:rFonts w:ascii="Times New Roman" w:hAnsi="Times New Roman"/>
          <w:noProof/>
          <w:sz w:val="24"/>
        </w:rPr>
        <w:t>. In de eerste drie kwartalen van 2025 had de EU een handelsoverschot op het gebied van diensten met het Verenigd Koninkrijk van 47 miljard EUR. De sectoren waarin de EU-uitvoer naar het Verenigd Koninkrijk in 2025 de sterkste groei vertoonde ten opzichte van 2024, waren onderhouds- en reparatiediensten (+20,7 %) en vergoedingen voor het gebruik van intellectuele eigendom (+20,3 %). De invoer vanuit het Verenigd Koninkrijk steeg het sterkst in de sectoren vergoedingen voor het gebruik van intellectuele eigendom (+15 %) en reizen (+12,2 %).</w:t>
      </w:r>
    </w:p>
    <w:p w14:paraId="5160684C" w14:textId="4AF966CA" w:rsidR="00AB5C7B" w:rsidRDefault="00AB5C7B" w:rsidP="00AB5C7B">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In de eerste drie kwartalen van 2025 was de totale handel in diensten met het Verenigd Koninkrijk goed voor 18,7 % van de totale handel van de EU met haar internationale partners. Dit is een daling ten opzichte van dezelfde periode in 2024, toen dit 18,6 % was. Het Verenigd Koninkrijk was in de eerste drie kwartalen van 2025 het land van bestemming van 19,8 % van de EU-uitvoer van diensten (tegenover 19,1 % in dezelfde periode in 2024). Het was daarmee het belangrijkste land van bestemming na de Verenigde Staten (21,5 %). Het Verenigd Koninkrijk was in de eerste drie kwartalen van 2025 het land van herkomst van 17,5 % van de EU-invoer (tegenover 17,9 % in dezelfde periode in 2024). Het was daarmee het belangrijkste land van herkomst na de Verenigde Staten (36,5 %).</w:t>
      </w:r>
    </w:p>
    <w:p w14:paraId="7A8E0AD7" w14:textId="52282BDF" w:rsidR="00AB5C7B" w:rsidRDefault="00AB5C7B" w:rsidP="00AB5C7B">
      <w:pPr>
        <w:spacing w:before="100" w:beforeAutospacing="1" w:after="100" w:afterAutospacing="1" w:line="240" w:lineRule="auto"/>
        <w:jc w:val="both"/>
        <w:rPr>
          <w:rFonts w:ascii="Times New Roman" w:hAnsi="Times New Roman" w:cs="Times New Roman"/>
          <w:noProof/>
          <w:sz w:val="24"/>
          <w:szCs w:val="24"/>
        </w:rPr>
      </w:pPr>
      <w:bookmarkStart w:id="41" w:name="_Hlk214522424"/>
      <w:r>
        <w:rPr>
          <w:rFonts w:ascii="Times New Roman" w:hAnsi="Times New Roman"/>
          <w:noProof/>
          <w:sz w:val="24"/>
        </w:rPr>
        <w:t xml:space="preserve">Als we kijken naar de ontwikkeling van de handel in diensten sinds de overeenkomst in 2021 van toepassing werd, zien we een gestage groei van de EU-uitvoer van diensten naar het Verenigd Koninkrijk, van 150 miljard EUR in de eerste drie kwartalen van 2021 tot 230 miljard EUR in de eerste drie kwartalen van 2025, een stijging van meer dan 53 %. Ook de EU-invoer van diensten uit het Verenigd Koninkrijk nam gestaag toe, van 125 miljard EUR in 2021 tot 183 miljard EUR in 2025 (+47 %). </w:t>
      </w:r>
      <w:bookmarkEnd w:id="41"/>
      <w:r>
        <w:rPr>
          <w:rFonts w:ascii="Times New Roman" w:hAnsi="Times New Roman"/>
          <w:noProof/>
          <w:sz w:val="24"/>
        </w:rPr>
        <w:t xml:space="preserve">De sterkste jaarlijkse groei deed zich voor tussen 2021 en 2022, </w:t>
      </w:r>
      <w:bookmarkStart w:id="42" w:name="_Hlk214523018"/>
      <w:r>
        <w:rPr>
          <w:rFonts w:ascii="Times New Roman" w:hAnsi="Times New Roman"/>
          <w:noProof/>
          <w:sz w:val="24"/>
        </w:rPr>
        <w:t xml:space="preserve">als gevolg van een herstel van de </w:t>
      </w:r>
      <w:bookmarkEnd w:id="42"/>
      <w:r>
        <w:rPr>
          <w:rFonts w:ascii="Times New Roman" w:hAnsi="Times New Roman"/>
          <w:noProof/>
          <w:sz w:val="24"/>
        </w:rPr>
        <w:t xml:space="preserve">impact van COVID-19 op de sectoren reizen en toerisme en andere dienstensectoren. Al met al wijzen deze trends erop dat de handel in diensten met het Verenigd Koninkrijk zowel wat de uitvoer als wat de invoer betreft gestaag is toegenomen. </w:t>
      </w:r>
    </w:p>
    <w:p w14:paraId="5D4552F4" w14:textId="259B8844" w:rsidR="00B84BEB" w:rsidRPr="00B84BEB" w:rsidRDefault="00C637D9" w:rsidP="00B84BEB">
      <w:pPr>
        <w:spacing w:before="100" w:beforeAutospacing="1" w:after="100" w:afterAutospacing="1" w:line="240" w:lineRule="auto"/>
        <w:jc w:val="both"/>
        <w:rPr>
          <w:rFonts w:ascii="Times New Roman" w:hAnsi="Times New Roman" w:cs="Times New Roman"/>
          <w:noProof/>
          <w:sz w:val="24"/>
          <w:szCs w:val="24"/>
        </w:rPr>
      </w:pPr>
      <w:r>
        <w:rPr>
          <w:noProof/>
          <w:lang w:val="en-GB" w:eastAsia="en-GB"/>
        </w:rPr>
        <w:drawing>
          <wp:inline distT="0" distB="0" distL="0" distR="0" wp14:anchorId="5AC765E1" wp14:editId="7C0B9744">
            <wp:extent cx="5657850" cy="3404402"/>
            <wp:effectExtent l="0" t="0" r="0" b="0"/>
            <wp:docPr id="36150426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504268" name=""/>
                    <pic:cNvPicPr/>
                  </pic:nvPicPr>
                  <pic:blipFill>
                    <a:blip r:embed="rId18">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9"/>
                        </a:ext>
                      </a:extLst>
                    </a:blip>
                    <a:stretch>
                      <a:fillRect/>
                    </a:stretch>
                  </pic:blipFill>
                  <pic:spPr>
                    <a:xfrm>
                      <a:off x="0" y="0"/>
                      <a:ext cx="5665322" cy="3408898"/>
                    </a:xfrm>
                    <a:prstGeom prst="rect">
                      <a:avLst/>
                    </a:prstGeom>
                  </pic:spPr>
                </pic:pic>
              </a:graphicData>
            </a:graphic>
          </wp:inline>
        </w:drawing>
      </w:r>
    </w:p>
    <w:p w14:paraId="478C3A79" w14:textId="4369C53E" w:rsidR="00B84BEB" w:rsidRPr="00D455C1" w:rsidRDefault="00B84BEB" w:rsidP="00B84BEB">
      <w:pPr>
        <w:rPr>
          <w:i/>
          <w:iCs/>
          <w:noProof/>
        </w:rPr>
      </w:pPr>
      <w:r>
        <w:rPr>
          <w:i/>
          <w:noProof/>
        </w:rPr>
        <w:t xml:space="preserve">Figuur 2: EU-handel in diensten met het Verenigd Koninkrijk, eerste drie kwartalen van 2021-2025, in miljard EUR, bron: Eurostat (gegevensreeks </w:t>
      </w:r>
      <w:hyperlink r:id="rId20" w:history="1">
        <w:r>
          <w:rPr>
            <w:rStyle w:val="Hyperlink"/>
            <w:noProof/>
          </w:rPr>
          <w:t>bop_eu6_q</w:t>
        </w:r>
      </w:hyperlink>
      <w:r>
        <w:rPr>
          <w:i/>
          <w:noProof/>
        </w:rPr>
        <w:t>)</w:t>
      </w:r>
      <w:r>
        <w:rPr>
          <w:noProof/>
        </w:rPr>
        <w:t>.</w:t>
      </w:r>
    </w:p>
    <w:p w14:paraId="5BEF67C5" w14:textId="7CCF3DCC" w:rsidR="00C229A5" w:rsidRPr="0067486A" w:rsidRDefault="00C229A5" w:rsidP="00470A6D">
      <w:pPr>
        <w:pStyle w:val="Heading2"/>
        <w:keepNext w:val="0"/>
        <w:keepLines w:val="0"/>
        <w:numPr>
          <w:ilvl w:val="1"/>
          <w:numId w:val="55"/>
        </w:numPr>
        <w:spacing w:before="100" w:beforeAutospacing="1" w:after="100" w:afterAutospacing="1" w:line="240" w:lineRule="auto"/>
        <w:rPr>
          <w:rFonts w:ascii="Times New Roman" w:hAnsi="Times New Roman" w:cs="Times New Roman"/>
          <w:b/>
          <w:bCs/>
          <w:noProof/>
          <w:color w:val="auto"/>
        </w:rPr>
      </w:pPr>
      <w:bookmarkStart w:id="43" w:name="_Toc204769322"/>
      <w:bookmarkStart w:id="44" w:name="_Toc226723204"/>
      <w:bookmarkStart w:id="45" w:name="_Toc185413385"/>
      <w:bookmarkEnd w:id="36"/>
      <w:bookmarkEnd w:id="38"/>
      <w:r>
        <w:rPr>
          <w:rFonts w:ascii="Times New Roman" w:hAnsi="Times New Roman"/>
          <w:b/>
          <w:noProof/>
          <w:color w:val="auto"/>
        </w:rPr>
        <w:t>Intellectuele-eigendomsrechten</w:t>
      </w:r>
      <w:bookmarkEnd w:id="43"/>
      <w:bookmarkEnd w:id="44"/>
    </w:p>
    <w:p w14:paraId="4CB80B80" w14:textId="7790B84A" w:rsidR="002530EB" w:rsidRPr="00F006D0" w:rsidRDefault="0071342F" w:rsidP="6A5D11F7">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De besprekingen over een memorandum van overeenstemming tussen het Bureau voor intellectuele eigendom van de Europese Unie en het Bureau voor intellectuele eigendom van het Verenigd Koninkrijk om de administratieve samenwerking te verbeteren, zoals bedoeld in artikel 273, lid 2, punt g), van de overeenkomst, werden voortgezet.</w:t>
      </w:r>
    </w:p>
    <w:p w14:paraId="21E2CF68" w14:textId="3C000EE4" w:rsidR="00DF5454" w:rsidRPr="0086076B" w:rsidRDefault="00DF5454" w:rsidP="00470A6D">
      <w:pPr>
        <w:pStyle w:val="Heading2"/>
        <w:keepNext w:val="0"/>
        <w:keepLines w:val="0"/>
        <w:numPr>
          <w:ilvl w:val="1"/>
          <w:numId w:val="55"/>
        </w:numPr>
        <w:spacing w:before="100" w:beforeAutospacing="1" w:after="100" w:afterAutospacing="1" w:line="240" w:lineRule="auto"/>
        <w:rPr>
          <w:rFonts w:ascii="Times New Roman" w:hAnsi="Times New Roman" w:cs="Times New Roman"/>
          <w:b/>
          <w:bCs/>
          <w:noProof/>
          <w:color w:val="auto"/>
        </w:rPr>
      </w:pPr>
      <w:bookmarkStart w:id="46" w:name="_Toc204769323"/>
      <w:bookmarkStart w:id="47" w:name="_Toc226723205"/>
      <w:r>
        <w:rPr>
          <w:rFonts w:ascii="Times New Roman" w:hAnsi="Times New Roman"/>
          <w:b/>
          <w:noProof/>
          <w:color w:val="auto"/>
        </w:rPr>
        <w:t xml:space="preserve">Gelijk </w:t>
      </w:r>
      <w:bookmarkEnd w:id="45"/>
      <w:r>
        <w:rPr>
          <w:rFonts w:ascii="Times New Roman" w:hAnsi="Times New Roman"/>
          <w:b/>
          <w:noProof/>
          <w:color w:val="auto"/>
        </w:rPr>
        <w:t>speelveld</w:t>
      </w:r>
      <w:bookmarkEnd w:id="46"/>
      <w:bookmarkEnd w:id="47"/>
    </w:p>
    <w:p w14:paraId="394EB410" w14:textId="18559878" w:rsidR="0071342F" w:rsidRDefault="00D455C1" w:rsidP="00C104C4">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Zoals opgemerkt in het gezamenlijk akkoord, werd de eerste aanvullende overeenkomst uit hoofde van artikel 361, lid 4, van de overeenkomst in 2025 gesloten en op 25 februari 2026 ondertekend</w:t>
      </w:r>
      <w:r>
        <w:rPr>
          <w:rStyle w:val="FootnoteReference"/>
          <w:rFonts w:ascii="Times New Roman" w:hAnsi="Times New Roman" w:cs="Times New Roman"/>
          <w:noProof/>
          <w:sz w:val="24"/>
          <w:szCs w:val="24"/>
        </w:rPr>
        <w:footnoteReference w:id="31"/>
      </w:r>
      <w:r>
        <w:rPr>
          <w:rFonts w:ascii="Times New Roman" w:hAnsi="Times New Roman"/>
          <w:noProof/>
          <w:sz w:val="24"/>
        </w:rPr>
        <w:t xml:space="preserve">. De </w:t>
      </w:r>
      <w:bookmarkStart w:id="48" w:name="_Hlk215156914"/>
      <w:r>
        <w:rPr>
          <w:rFonts w:ascii="Times New Roman" w:hAnsi="Times New Roman"/>
          <w:noProof/>
          <w:sz w:val="24"/>
        </w:rPr>
        <w:t>samenwerkingsovereenkomst op mededingingsgebied</w:t>
      </w:r>
      <w:bookmarkEnd w:id="48"/>
      <w:r>
        <w:rPr>
          <w:rFonts w:ascii="Times New Roman" w:hAnsi="Times New Roman"/>
          <w:noProof/>
          <w:sz w:val="24"/>
        </w:rPr>
        <w:t>:</w:t>
      </w:r>
    </w:p>
    <w:p w14:paraId="4CAEE030" w14:textId="06A371B6" w:rsidR="0071342F" w:rsidRPr="00DD4985" w:rsidRDefault="00E86DA7" w:rsidP="00DD4985">
      <w:pPr>
        <w:pStyle w:val="ListParagraph"/>
        <w:numPr>
          <w:ilvl w:val="0"/>
          <w:numId w:val="68"/>
        </w:num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voorziet in een kader voor samenwerking op het gebied van mededinging tussen enerzijds de Commissie en de mededingingsautoriteiten van de EU-lidstaten en anderzijds de Competition and Markets Authority van het Verenigd Koninkrijk;</w:t>
      </w:r>
    </w:p>
    <w:p w14:paraId="77FE1980" w14:textId="55A71A29" w:rsidR="0071342F" w:rsidRPr="00DD4985" w:rsidRDefault="002D1213" w:rsidP="00DD4985">
      <w:pPr>
        <w:pStyle w:val="ListParagraph"/>
        <w:numPr>
          <w:ilvl w:val="0"/>
          <w:numId w:val="68"/>
        </w:num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 xml:space="preserve">bepaalt dat belangrijke antitrust- en concentratieonderzoeken onder de aandacht van elke partij moeten worden gebracht; </w:t>
      </w:r>
    </w:p>
    <w:p w14:paraId="2BA4C5F7" w14:textId="126EC8D7" w:rsidR="0071342F" w:rsidRPr="00DD4985" w:rsidRDefault="00903CE3" w:rsidP="00DD4985">
      <w:pPr>
        <w:pStyle w:val="ListParagraph"/>
        <w:numPr>
          <w:ilvl w:val="0"/>
          <w:numId w:val="68"/>
        </w:num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maakt waar nodig de coördinatie van onderzoeken tussen de betrokken jurisdicties mogelijk (waarbij aan EU-zijde, afhankelijk van het geval, de Commissie of de mededingingsautoriteiten van de lidstaten betrokken kunnen zijn);</w:t>
      </w:r>
    </w:p>
    <w:p w14:paraId="2CAD454A" w14:textId="3F1B8C9D" w:rsidR="0080197F" w:rsidRPr="00DD4985" w:rsidRDefault="00903CE3" w:rsidP="00DD4985">
      <w:pPr>
        <w:pStyle w:val="ListParagraph"/>
        <w:numPr>
          <w:ilvl w:val="0"/>
          <w:numId w:val="68"/>
        </w:num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bevat duidelijke beginselen voor samenwerking om conflicten tussen jurisdicties te voorkomen.</w:t>
      </w:r>
    </w:p>
    <w:p w14:paraId="41244E06" w14:textId="06032026" w:rsidR="006D1404" w:rsidRDefault="5A876DED" w:rsidP="0080197F">
      <w:pPr>
        <w:pStyle w:val="Heading2"/>
        <w:keepNext w:val="0"/>
        <w:keepLines w:val="0"/>
        <w:numPr>
          <w:ilvl w:val="1"/>
          <w:numId w:val="55"/>
        </w:numPr>
        <w:spacing w:before="100" w:beforeAutospacing="1" w:after="100" w:afterAutospacing="1" w:line="240" w:lineRule="auto"/>
        <w:rPr>
          <w:rFonts w:ascii="Times New Roman" w:hAnsi="Times New Roman" w:cs="Times New Roman"/>
          <w:b/>
          <w:bCs/>
          <w:noProof/>
          <w:color w:val="auto"/>
        </w:rPr>
      </w:pPr>
      <w:bookmarkStart w:id="49" w:name="_Toc185413386"/>
      <w:bookmarkStart w:id="50" w:name="_Toc204769324"/>
      <w:bookmarkStart w:id="51" w:name="_Toc226723206"/>
      <w:r>
        <w:rPr>
          <w:rFonts w:ascii="Times New Roman" w:hAnsi="Times New Roman"/>
          <w:b/>
          <w:noProof/>
          <w:color w:val="auto"/>
        </w:rPr>
        <w:t>Energie</w:t>
      </w:r>
      <w:bookmarkEnd w:id="49"/>
      <w:bookmarkEnd w:id="50"/>
      <w:bookmarkEnd w:id="51"/>
    </w:p>
    <w:p w14:paraId="6CCE9F77" w14:textId="56DA0E39" w:rsidR="00DC4CB9" w:rsidRPr="003029C6" w:rsidRDefault="003029C6" w:rsidP="00DC4CB9">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De belangrijkste ontwikkeling op energiegebied in 2025 was het politieke akkoord dat tijdens de top tussen de EU en het Verenigd Koninkrijk van 19 mei werd bereikt om de samenwerking op energiegebied tussen de partijen op continue basis uit te breiden. Beide partijen waren het er politiek gezien over eens dat de energiegerelateerde doelstellingen van de overeenkomst voortdurend moesten worden nagestreefd, waardoor het passend was de toepassing van de titel “energie” uit te breiden. Dit werd geformaliseerd door de vaststelling van Verklaring 1/2025</w:t>
      </w:r>
      <w:r>
        <w:rPr>
          <w:rStyle w:val="FootnoteReference"/>
          <w:rFonts w:ascii="Times New Roman" w:hAnsi="Times New Roman" w:cs="Times New Roman"/>
          <w:noProof/>
          <w:sz w:val="24"/>
          <w:szCs w:val="24"/>
        </w:rPr>
        <w:footnoteReference w:id="32"/>
      </w:r>
      <w:r>
        <w:rPr>
          <w:rFonts w:ascii="Times New Roman" w:hAnsi="Times New Roman"/>
          <w:noProof/>
          <w:sz w:val="24"/>
        </w:rPr>
        <w:t xml:space="preserve"> en Besluit nr. 2/2025</w:t>
      </w:r>
      <w:r>
        <w:rPr>
          <w:rStyle w:val="FootnoteReference"/>
          <w:rFonts w:ascii="Times New Roman" w:hAnsi="Times New Roman" w:cs="Times New Roman"/>
          <w:noProof/>
          <w:sz w:val="24"/>
          <w:szCs w:val="24"/>
        </w:rPr>
        <w:footnoteReference w:id="33"/>
      </w:r>
      <w:r>
        <w:rPr>
          <w:rFonts w:ascii="Times New Roman" w:hAnsi="Times New Roman"/>
          <w:noProof/>
          <w:sz w:val="24"/>
        </w:rPr>
        <w:t xml:space="preserve"> van de Partnerschapsraad van 19 juni 2025, dat voorziet in de eerste verlenging tot en met 31 maart 2027. Dit kader biedt stabiliteit en voorspelbaarheid voor belanghebbenden in zowel de EU als het Verenigd Koninkrijk, vergemakkelijkt ondernemen en waarborgt de marktstabiliteit.</w:t>
      </w:r>
    </w:p>
    <w:p w14:paraId="3D767F4F" w14:textId="1B450F1C" w:rsidR="001A412E" w:rsidRDefault="00D62585" w:rsidP="001A412E">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Wat de regelingen voor de handel in elektriciteit betreft, heeft het Gespecialiseerd Comité voor energie zijn bespreking van de in bijlage 29 bij de overeenkomst bedoelde losse koppeling van volumes in meerdere regio’s (Multi-Region Loose Volume Coupling, MRLVC) voortgezet. Overeenkomstig Aanbeveling nr. 1/2024</w:t>
      </w:r>
      <w:r>
        <w:rPr>
          <w:rStyle w:val="FootnoteReference"/>
          <w:rFonts w:ascii="Times New Roman" w:hAnsi="Times New Roman" w:cs="Times New Roman"/>
          <w:noProof/>
          <w:sz w:val="24"/>
          <w:szCs w:val="24"/>
        </w:rPr>
        <w:footnoteReference w:id="34"/>
      </w:r>
      <w:r>
        <w:rPr>
          <w:rFonts w:ascii="Times New Roman" w:hAnsi="Times New Roman"/>
          <w:noProof/>
          <w:sz w:val="24"/>
        </w:rPr>
        <w:t xml:space="preserve"> hebben de transmissiesysteembeheerders voor elektriciteit van de EU en het Verenigd Koninkrijk op 30 september 2025 bij het Gespecialiseerd Comité voor energie een gezamenlijk verslag ingediend over de uitvoering van de MRLVC. </w:t>
      </w:r>
      <w:bookmarkStart w:id="52" w:name="_Hlk214543247"/>
      <w:r>
        <w:rPr>
          <w:rFonts w:ascii="Times New Roman" w:hAnsi="Times New Roman"/>
          <w:noProof/>
          <w:sz w:val="24"/>
        </w:rPr>
        <w:t>Op respectievelijk 27 en 28 oktober 2025 hebben de nationale energieregulators van het Verenigd Koninkrijk en het Agentschap van de Europese Unie voor de samenwerking tussen energieregulators hun informele adviezen ingediend bij het Gespecialiseerd Comité voor energie</w:t>
      </w:r>
      <w:bookmarkEnd w:id="52"/>
      <w:r>
        <w:rPr>
          <w:rFonts w:ascii="Times New Roman" w:hAnsi="Times New Roman"/>
          <w:noProof/>
          <w:sz w:val="24"/>
        </w:rPr>
        <w:t>, dat de adviezen in 2026 verder zal beoordelen. Uit deze documenten bleek niet dat de MRLVC op bevredigende wijze kon worden voortgezet.</w:t>
      </w:r>
    </w:p>
    <w:p w14:paraId="4C0F8813" w14:textId="77324CBF" w:rsidR="00E81BD4" w:rsidRPr="0065255E" w:rsidRDefault="001A412E" w:rsidP="003E301C">
      <w:pPr>
        <w:spacing w:line="276" w:lineRule="auto"/>
        <w:jc w:val="both"/>
        <w:rPr>
          <w:rFonts w:ascii="Times New Roman" w:hAnsi="Times New Roman" w:cs="Times New Roman"/>
          <w:noProof/>
          <w:sz w:val="24"/>
          <w:szCs w:val="24"/>
        </w:rPr>
      </w:pPr>
      <w:r>
        <w:rPr>
          <w:rFonts w:ascii="Times New Roman" w:hAnsi="Times New Roman"/>
          <w:noProof/>
          <w:sz w:val="24"/>
        </w:rPr>
        <w:t>Naar aanleiding daarvan hebben de Europese Commissie en het Verenigd Koninkrijk op basis van het gezamenlijk akkoord verkennende gesprekken gevoerd en afgerond over de deelname van het Verenigd Koninkrijk aan de interne elektriciteitsmarkt van de EU. Op basis hiervan heeft de Europese Commissie een aanbeveling aangenomen voor een onderhandelingskader voor de deelname van het Verenigd Koninkrijk aan de interne elektriciteitsmarkt van de EU en over de financiële bijdrage van het Verenigd Koninkrijk aan het verkleinen van de economische en sociale ongelijkheden tussen de regio’s van de EU</w:t>
      </w:r>
      <w:r>
        <w:rPr>
          <w:rStyle w:val="FootnoteReference"/>
          <w:rFonts w:ascii="Times New Roman" w:hAnsi="Times New Roman" w:cs="Times New Roman"/>
          <w:noProof/>
          <w:sz w:val="24"/>
          <w:szCs w:val="24"/>
        </w:rPr>
        <w:footnoteReference w:id="35"/>
      </w:r>
      <w:r>
        <w:rPr>
          <w:rFonts w:ascii="Times New Roman" w:hAnsi="Times New Roman"/>
          <w:noProof/>
          <w:sz w:val="24"/>
        </w:rPr>
        <w:t>.</w:t>
      </w:r>
    </w:p>
    <w:p w14:paraId="26B131D9" w14:textId="6F1ACA29" w:rsidR="007E1D53" w:rsidRPr="0065255E" w:rsidRDefault="008F2672" w:rsidP="00A050CA">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Tot slot is de Werkgroep bevoorradingszekerheid, die is opgericht bij Besluit nr. 2/2024</w:t>
      </w:r>
      <w:r>
        <w:rPr>
          <w:rStyle w:val="FootnoteReference"/>
          <w:rFonts w:ascii="Times New Roman" w:hAnsi="Times New Roman" w:cs="Times New Roman"/>
          <w:noProof/>
          <w:sz w:val="24"/>
          <w:szCs w:val="24"/>
        </w:rPr>
        <w:footnoteReference w:id="36"/>
      </w:r>
      <w:r>
        <w:rPr>
          <w:rFonts w:ascii="Times New Roman" w:hAnsi="Times New Roman"/>
          <w:noProof/>
          <w:sz w:val="24"/>
        </w:rPr>
        <w:t xml:space="preserve"> van het Gespecialiseerd Comité voor energie, in 2025 driemaal bijeengekomen om haar mandaat vast te stellen en de bevoorradingszekerheid te bespreken in de aanloop naar de zomer- en winterperioden.</w:t>
      </w:r>
    </w:p>
    <w:p w14:paraId="4B35EA80" w14:textId="0C3A93D4" w:rsidR="006D1404" w:rsidRPr="0065255E" w:rsidRDefault="5A876DED" w:rsidP="00470A6D">
      <w:pPr>
        <w:pStyle w:val="Heading2"/>
        <w:keepLines w:val="0"/>
        <w:numPr>
          <w:ilvl w:val="1"/>
          <w:numId w:val="55"/>
        </w:numPr>
        <w:spacing w:before="100" w:beforeAutospacing="1" w:after="100" w:afterAutospacing="1" w:line="240" w:lineRule="auto"/>
        <w:ind w:left="1077"/>
        <w:rPr>
          <w:rFonts w:ascii="Times New Roman" w:hAnsi="Times New Roman" w:cs="Times New Roman"/>
          <w:b/>
          <w:bCs/>
          <w:noProof/>
          <w:color w:val="auto"/>
        </w:rPr>
      </w:pPr>
      <w:bookmarkStart w:id="53" w:name="_Hlk157433161"/>
      <w:bookmarkStart w:id="54" w:name="_Toc185413387"/>
      <w:bookmarkStart w:id="55" w:name="_Toc204769325"/>
      <w:bookmarkStart w:id="56" w:name="_Toc226723207"/>
      <w:bookmarkEnd w:id="53"/>
      <w:r>
        <w:rPr>
          <w:rFonts w:ascii="Times New Roman" w:hAnsi="Times New Roman"/>
          <w:b/>
          <w:noProof/>
          <w:color w:val="auto"/>
        </w:rPr>
        <w:t>Vervoer</w:t>
      </w:r>
      <w:bookmarkEnd w:id="54"/>
      <w:bookmarkEnd w:id="55"/>
      <w:bookmarkEnd w:id="56"/>
    </w:p>
    <w:p w14:paraId="6321356A" w14:textId="71CA7975" w:rsidR="00520836" w:rsidRPr="00411895" w:rsidRDefault="3DF2D69C" w:rsidP="00470A6D">
      <w:pPr>
        <w:spacing w:before="100" w:beforeAutospacing="1" w:after="100" w:afterAutospacing="1" w:line="240" w:lineRule="auto"/>
        <w:jc w:val="both"/>
        <w:rPr>
          <w:rFonts w:ascii="Times New Roman" w:eastAsia="Calibri" w:hAnsi="Times New Roman" w:cs="Times New Roman"/>
          <w:noProof/>
          <w:sz w:val="24"/>
          <w:szCs w:val="24"/>
        </w:rPr>
      </w:pPr>
      <w:r>
        <w:rPr>
          <w:rFonts w:ascii="Times New Roman" w:hAnsi="Times New Roman"/>
          <w:noProof/>
          <w:sz w:val="24"/>
        </w:rPr>
        <w:t>De uitvoering van de overeenkomst op het gebied van vervoer was gericht op de doeltreffende uitoefening van de door de EU en het Verenigd Koninkrijk wederzijds verleende rechten en verliep soepel.</w:t>
      </w:r>
    </w:p>
    <w:p w14:paraId="5409AED8" w14:textId="57F61107" w:rsidR="00DB5952" w:rsidRPr="002F3EF0" w:rsidRDefault="00DB5952" w:rsidP="00DB5952">
      <w:pPr>
        <w:spacing w:before="100" w:beforeAutospacing="1" w:after="100" w:afterAutospacing="1" w:line="240" w:lineRule="auto"/>
        <w:jc w:val="both"/>
        <w:rPr>
          <w:rFonts w:ascii="Times New Roman" w:eastAsia="Calibri" w:hAnsi="Times New Roman" w:cs="Times New Roman"/>
          <w:noProof/>
          <w:sz w:val="24"/>
          <w:szCs w:val="24"/>
        </w:rPr>
      </w:pPr>
      <w:r>
        <w:rPr>
          <w:rFonts w:ascii="Times New Roman" w:hAnsi="Times New Roman"/>
          <w:noProof/>
          <w:sz w:val="24"/>
        </w:rPr>
        <w:t xml:space="preserve">Op het gebied van de </w:t>
      </w:r>
      <w:r>
        <w:rPr>
          <w:rFonts w:ascii="Times New Roman" w:hAnsi="Times New Roman"/>
          <w:b/>
          <w:noProof/>
          <w:sz w:val="24"/>
        </w:rPr>
        <w:t>veiligheid van de luchtvaart</w:t>
      </w:r>
      <w:r>
        <w:rPr>
          <w:rFonts w:ascii="Times New Roman" w:hAnsi="Times New Roman"/>
          <w:noProof/>
          <w:sz w:val="24"/>
        </w:rPr>
        <w:t xml:space="preserve"> heeft het EU-Agentschap voor de veiligheid van de luchtvaart (EASA) 23 van de 32 aanvragen tot validering van door de burgerluchtvaartautoriteit van het Verenigd Koninkrijk afgegeven certificaten goedgekeurd op grond van artikel 446 in samenhang met bijlage 30 bij de overeenkomst. De autoriteiten van het Verenigd Koninkrijk hebben met steun van het EASA 4 van de 11 door EU-aanvragers ingediende projecten gevalideerd, wat in overeenstemming is met de verwachte activiteitsniveaus voor de validering van certificaten.</w:t>
      </w:r>
    </w:p>
    <w:p w14:paraId="128565B2" w14:textId="7E7EE9FA" w:rsidR="00DB5952" w:rsidRPr="00F006D0" w:rsidRDefault="00DB5952" w:rsidP="00DB5952">
      <w:pPr>
        <w:spacing w:before="100" w:beforeAutospacing="1" w:after="100" w:afterAutospacing="1" w:line="240" w:lineRule="auto"/>
        <w:jc w:val="both"/>
        <w:rPr>
          <w:rFonts w:ascii="Times New Roman" w:eastAsia="Calibri" w:hAnsi="Times New Roman" w:cs="Times New Roman"/>
          <w:noProof/>
        </w:rPr>
      </w:pPr>
      <w:r>
        <w:rPr>
          <w:rFonts w:ascii="Times New Roman" w:hAnsi="Times New Roman"/>
          <w:noProof/>
          <w:sz w:val="24"/>
        </w:rPr>
        <w:t xml:space="preserve">Op het gebied van </w:t>
      </w:r>
      <w:r>
        <w:rPr>
          <w:rFonts w:ascii="Times New Roman" w:hAnsi="Times New Roman"/>
          <w:b/>
          <w:noProof/>
          <w:sz w:val="24"/>
        </w:rPr>
        <w:t>luchtvervoer</w:t>
      </w:r>
      <w:r>
        <w:rPr>
          <w:rFonts w:ascii="Times New Roman" w:hAnsi="Times New Roman"/>
          <w:noProof/>
          <w:sz w:val="24"/>
        </w:rPr>
        <w:t xml:space="preserve"> werd verwacht dat het luchtverkeer tussen de EU en het Verenigd Koninkrijk eind 2025 het niveau van vóór de pandemie zou hebben bereikt. Tussen de EU-lidstaten en het Verenigd Koninkrijk zijn op grond van artikel 419, leden 4 en 9, van de overeenkomst in totaal 26 regelingen inzake luchtvervoersdiensten en procedures voor de goedkeuring van niet-geregelde vluchten gesloten</w:t>
      </w:r>
      <w:r>
        <w:rPr>
          <w:rStyle w:val="FootnoteReference"/>
          <w:rFonts w:ascii="Times New Roman" w:eastAsia="Calibri" w:hAnsi="Times New Roman" w:cs="Times New Roman"/>
          <w:noProof/>
          <w:sz w:val="24"/>
          <w:szCs w:val="24"/>
        </w:rPr>
        <w:footnoteReference w:id="37"/>
      </w:r>
      <w:r>
        <w:rPr>
          <w:rFonts w:ascii="Times New Roman" w:hAnsi="Times New Roman"/>
          <w:noProof/>
          <w:sz w:val="24"/>
        </w:rPr>
        <w:t>. Daarnaast hebben de EU-lidstaten en het Verenigd Koninkrijk ad-hocvergunningen verleend voor geregelde vluchten waarmee goederen of passagiers tussen het Verenigd Koninkrijk en de EU worden vervoerd die verder gaan dan de vrijheden waarin artikel 419 van de overeenkomst voorziet.</w:t>
      </w:r>
      <w:r w:rsidR="00C637D9">
        <w:rPr>
          <w:rFonts w:ascii="Times New Roman" w:hAnsi="Times New Roman"/>
          <w:noProof/>
          <w:sz w:val="24"/>
        </w:rPr>
        <w:t xml:space="preserve"> </w:t>
      </w:r>
      <w:r>
        <w:rPr>
          <w:rFonts w:ascii="Times New Roman" w:hAnsi="Times New Roman"/>
          <w:noProof/>
          <w:sz w:val="24"/>
        </w:rPr>
        <w:t xml:space="preserve">Het Verenigd Koninkrijk en 25 lidstaten hebben deze vergunningen verleend door middel van “blokvergunningen” voor een aantal vluchten voor een bepaalde luchtvaartmaatschappij. </w:t>
      </w:r>
    </w:p>
    <w:p w14:paraId="229B0D3F" w14:textId="5B82697B" w:rsidR="00DB5952" w:rsidRPr="00F006D0" w:rsidRDefault="00DB5952" w:rsidP="00DB5952">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Op het gebied van het </w:t>
      </w:r>
      <w:r>
        <w:rPr>
          <w:rFonts w:ascii="Times New Roman" w:hAnsi="Times New Roman"/>
          <w:b/>
          <w:noProof/>
          <w:sz w:val="24"/>
        </w:rPr>
        <w:t>wegvervoer</w:t>
      </w:r>
      <w:r>
        <w:rPr>
          <w:rFonts w:ascii="Times New Roman" w:hAnsi="Times New Roman"/>
          <w:noProof/>
          <w:sz w:val="24"/>
        </w:rPr>
        <w:t xml:space="preserve"> is verder gewerkt aan de uitvoering van de bepalingen van de overeenkomst die zien op de uitwisseling van informatie en gegevens tussen de nationale elektronische registers (zie deel A, afdeling 1, artikel 14, van bijlage 31 bij de overeenkomst). Dit hield onder meer in dat het Verenigd Koninkrijk vanaf 1 januari 2026 werd aangesloten op de European Registers of Road Undertakings, een systeem waarin de nationale registers van wegvervoerondernemingen onderling zijn gekoppeld en dat de uitwisseling mogelijk maakt van informatie over ernstige inbreuken die door wegvervoerondernemingen in de andere partij zijn gepleegd, alsook van andere informatie in de nationale elektronische registers. Deze initiatieven hebben tot doel de samenwerking te versterken en de gegevensuitwisseling tussen de EU en het Verenigd Koninkrijk te verbeteren, en zijn geformaliseerd bij Besluiten nrs. 1/2025, 2/2025 en 3/2025 van het Gespecialiseerd Comité voor het wegvervoer</w:t>
      </w:r>
      <w:r>
        <w:rPr>
          <w:rStyle w:val="FootnoteReference"/>
          <w:rFonts w:ascii="Times New Roman" w:eastAsia="Times New Roman" w:hAnsi="Times New Roman" w:cs="Times New Roman"/>
          <w:noProof/>
          <w:sz w:val="24"/>
          <w:szCs w:val="24"/>
        </w:rPr>
        <w:footnoteReference w:id="38"/>
      </w:r>
      <w:r>
        <w:rPr>
          <w:rFonts w:ascii="Times New Roman" w:hAnsi="Times New Roman"/>
          <w:noProof/>
          <w:sz w:val="24"/>
        </w:rPr>
        <w:t>.</w:t>
      </w:r>
    </w:p>
    <w:p w14:paraId="29BC8358" w14:textId="7CB14664" w:rsidR="00F12521" w:rsidRDefault="33A451BC" w:rsidP="00470A6D">
      <w:pPr>
        <w:pStyle w:val="Heading2"/>
        <w:keepNext w:val="0"/>
        <w:keepLines w:val="0"/>
        <w:numPr>
          <w:ilvl w:val="1"/>
          <w:numId w:val="55"/>
        </w:numPr>
        <w:spacing w:before="100" w:beforeAutospacing="1" w:after="100" w:afterAutospacing="1" w:line="240" w:lineRule="auto"/>
        <w:rPr>
          <w:rFonts w:ascii="Times New Roman" w:hAnsi="Times New Roman" w:cs="Times New Roman"/>
          <w:b/>
          <w:bCs/>
          <w:noProof/>
          <w:color w:val="auto"/>
        </w:rPr>
      </w:pPr>
      <w:bookmarkStart w:id="57" w:name="_Toc185413388"/>
      <w:bookmarkStart w:id="58" w:name="_Toc204769326"/>
      <w:bookmarkStart w:id="59" w:name="_Toc226723208"/>
      <w:r>
        <w:rPr>
          <w:rFonts w:ascii="Times New Roman" w:hAnsi="Times New Roman"/>
          <w:b/>
          <w:noProof/>
          <w:color w:val="auto"/>
        </w:rPr>
        <w:t>Visserij</w:t>
      </w:r>
      <w:bookmarkEnd w:id="57"/>
      <w:bookmarkEnd w:id="58"/>
      <w:bookmarkEnd w:id="59"/>
    </w:p>
    <w:p w14:paraId="581315E5" w14:textId="43779723" w:rsidR="00B7366F" w:rsidRDefault="00A9100D" w:rsidP="00A9100D">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Het baanbrekende politieke akkoord dat tijdens de top tussen de EU en het Verenigd Koninkrijk werd bereikt om volledige wederzijdse toegang tot de wateren na 30 juni 2026 tot en met 30 juni 2038 te waarborgen, is de belangrijkste ontwikkeling op het gebied van visserij. Dit akkoord, dat werd geformaliseerd bij Besluit nr. 1/2025</w:t>
      </w:r>
      <w:r>
        <w:rPr>
          <w:rStyle w:val="FootnoteReference"/>
          <w:rFonts w:ascii="Times New Roman" w:hAnsi="Times New Roman" w:cs="Times New Roman"/>
          <w:noProof/>
          <w:sz w:val="24"/>
          <w:szCs w:val="24"/>
        </w:rPr>
        <w:footnoteReference w:id="39"/>
      </w:r>
      <w:r>
        <w:rPr>
          <w:rFonts w:ascii="Times New Roman" w:hAnsi="Times New Roman"/>
          <w:noProof/>
          <w:sz w:val="24"/>
        </w:rPr>
        <w:t xml:space="preserve"> van de Partnerschapsraad en Besluit nr. 1/2025</w:t>
      </w:r>
      <w:r>
        <w:rPr>
          <w:rStyle w:val="FootnoteReference"/>
          <w:rFonts w:ascii="Times New Roman" w:hAnsi="Times New Roman" w:cs="Times New Roman"/>
          <w:noProof/>
          <w:sz w:val="24"/>
          <w:szCs w:val="24"/>
        </w:rPr>
        <w:footnoteReference w:id="40"/>
      </w:r>
      <w:r>
        <w:rPr>
          <w:rFonts w:ascii="Times New Roman" w:hAnsi="Times New Roman"/>
          <w:noProof/>
          <w:sz w:val="24"/>
        </w:rPr>
        <w:t xml:space="preserve"> van het Gespecialiseerd Comité voor de visserij in het kader van de overeenkomst, biedt EU-vissers stabiliteit en voorspelbaarheid op lange termijn, waarborgt hun rechten en beschermt hun bestaansmiddelen, en is een belangrijke stap voorwaarts in de uitvoering van het gezamenlijk akkoord.</w:t>
      </w:r>
    </w:p>
    <w:p w14:paraId="7DC693C0" w14:textId="5DEDF008" w:rsidR="00B33843" w:rsidRDefault="00B33843" w:rsidP="00A14452">
      <w:pPr>
        <w:spacing w:before="100" w:beforeAutospacing="1" w:after="100" w:afterAutospacing="1" w:line="240" w:lineRule="auto"/>
        <w:jc w:val="both"/>
        <w:rPr>
          <w:rFonts w:ascii="Times New Roman" w:hAnsi="Times New Roman" w:cs="Times New Roman"/>
          <w:noProof/>
          <w:sz w:val="24"/>
          <w:szCs w:val="24"/>
        </w:rPr>
      </w:pPr>
      <w:bookmarkStart w:id="60" w:name="_Hlk218760230"/>
      <w:bookmarkStart w:id="61" w:name="_Hlk210125164"/>
      <w:r>
        <w:rPr>
          <w:rFonts w:ascii="Times New Roman" w:hAnsi="Times New Roman"/>
          <w:noProof/>
          <w:sz w:val="24"/>
        </w:rPr>
        <w:t>Voorts heeft de Commissie actief deelgenomen aan besprekingen met het Verenigd Koninkrijk over zijn beschermde mariene gebieden. De Commissie staat volledig achter de bescherming van mariene ecosystemen, maar wijst op de noodzaak van benaderingen waarbij instandhouding in evenwicht is met sociaal-economische overwegingen en de bescherming van de visserijrechten van de EU. De Commissie blijft zich inzetten voor een constructieve dialoog met de autoriteiten van het Verenigd Koninkrijk.</w:t>
      </w:r>
    </w:p>
    <w:bookmarkEnd w:id="60"/>
    <w:p w14:paraId="7684B2D5" w14:textId="5DCEBD49" w:rsidR="00A9100D" w:rsidRPr="00A9100D" w:rsidRDefault="0023461A" w:rsidP="00A9100D">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Tot slot hebben de EU en het Verenigd Koninkrijk in december 2025 hun jaarlijks overleg uit hoofde van artikel 498 van de overeenkomst afgerond om de totaal toegestane vangsten voor gedeelde bestanden voor 2026 vast te stellen. De overeenkomst zorgt ervoor dat de EU-vloten tot 288 000 ton kunnen vissen, met een waarde van meer dan 1,2 miljard EUR.</w:t>
      </w:r>
    </w:p>
    <w:p w14:paraId="2F3DBB23" w14:textId="12FB78F2" w:rsidR="006D1404" w:rsidRPr="0086076B" w:rsidRDefault="33A451BC" w:rsidP="00470A6D">
      <w:pPr>
        <w:pStyle w:val="Heading2"/>
        <w:keepNext w:val="0"/>
        <w:keepLines w:val="0"/>
        <w:numPr>
          <w:ilvl w:val="1"/>
          <w:numId w:val="55"/>
        </w:numPr>
        <w:spacing w:before="100" w:beforeAutospacing="1" w:after="100" w:afterAutospacing="1" w:line="240" w:lineRule="auto"/>
        <w:rPr>
          <w:rFonts w:ascii="Times New Roman" w:hAnsi="Times New Roman" w:cs="Times New Roman"/>
          <w:b/>
          <w:bCs/>
          <w:noProof/>
          <w:color w:val="auto"/>
        </w:rPr>
      </w:pPr>
      <w:bookmarkStart w:id="62" w:name="_Toc185413389"/>
      <w:bookmarkStart w:id="63" w:name="_Toc204769327"/>
      <w:bookmarkStart w:id="64" w:name="_Toc226723209"/>
      <w:bookmarkEnd w:id="61"/>
      <w:r>
        <w:rPr>
          <w:rFonts w:ascii="Times New Roman" w:hAnsi="Times New Roman"/>
          <w:b/>
          <w:noProof/>
          <w:color w:val="auto"/>
        </w:rPr>
        <w:t>Coördinatie van de sociale zekerheid</w:t>
      </w:r>
      <w:bookmarkEnd w:id="62"/>
      <w:bookmarkEnd w:id="63"/>
      <w:bookmarkEnd w:id="64"/>
    </w:p>
    <w:p w14:paraId="5A6C51B1" w14:textId="7A85E211" w:rsidR="01125C26" w:rsidRDefault="01125C26" w:rsidP="001D0BC1">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Net zoals in voorgaande jaren verliep de uitvoering van het Protocol betreffende de coördinatie van de sociale zekerheid bij de overeenkomst (“het protocol”) op constructieve wijze, zonder dat systemische of structurele problemen werden vastgesteld.</w:t>
      </w:r>
    </w:p>
    <w:p w14:paraId="3F455BA4" w14:textId="69F2E688" w:rsidR="01125C26" w:rsidRDefault="01125C26" w:rsidP="00411895">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Het Gespecialiseerd Comité voor coördinatie van de sociale zekerheid heeft zijn technische werkzaamheden verricht, met name met betrekking tot: i) wijzigingen in gestructureerde elektronische documenten en draagbare documenten; ii) de procedures voor vergoeding van de kosten van prestaties bij ziekte; iii) de omzetting van relevante besluiten van de Administratieve Commissie voor de coördinatie van de socialezekerheidsstelsels; en iv) verkennende gesprekken over de mogelijkheid om in de uitvoeringsbepalingen van het protocol een nieuwe bepaling op te nemen op grond waarvan staten in welomschreven situaties en in het belang van de betrokkenen in onderlinge overeenstemming kunnen afwijken van de regels inzake de toepasselijke wetgeving. In 2025 werden geen besluiten of aanbevelingen vastgesteld.</w:t>
      </w:r>
    </w:p>
    <w:p w14:paraId="7A26BA23" w14:textId="70077539" w:rsidR="006D1404" w:rsidRPr="0086076B" w:rsidRDefault="33A451BC" w:rsidP="00470A6D">
      <w:pPr>
        <w:pStyle w:val="Heading2"/>
        <w:keepNext w:val="0"/>
        <w:keepLines w:val="0"/>
        <w:numPr>
          <w:ilvl w:val="1"/>
          <w:numId w:val="55"/>
        </w:numPr>
        <w:spacing w:before="100" w:beforeAutospacing="1" w:after="100" w:afterAutospacing="1" w:line="240" w:lineRule="auto"/>
        <w:rPr>
          <w:rFonts w:ascii="Times New Roman" w:hAnsi="Times New Roman" w:cs="Times New Roman"/>
          <w:b/>
          <w:bCs/>
          <w:noProof/>
          <w:color w:val="auto"/>
        </w:rPr>
      </w:pPr>
      <w:bookmarkStart w:id="65" w:name="_Toc185413390"/>
      <w:bookmarkStart w:id="66" w:name="_Toc204769328"/>
      <w:bookmarkStart w:id="67" w:name="_Toc226723210"/>
      <w:r>
        <w:rPr>
          <w:rFonts w:ascii="Times New Roman" w:hAnsi="Times New Roman"/>
          <w:b/>
          <w:noProof/>
          <w:color w:val="auto"/>
        </w:rPr>
        <w:t>Samenwerking inzake rechtshandhaving en justitie in strafzaken</w:t>
      </w:r>
      <w:bookmarkEnd w:id="65"/>
      <w:bookmarkEnd w:id="66"/>
      <w:bookmarkEnd w:id="67"/>
    </w:p>
    <w:p w14:paraId="5BA06319" w14:textId="64BCFB75" w:rsidR="00AE3EE8" w:rsidRDefault="00AE3EE8" w:rsidP="00470A6D">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In 2025 werd verdere vooruitgang geboekt bij het versterken van de samenwerking op dit gebied.</w:t>
      </w:r>
    </w:p>
    <w:p w14:paraId="4091524D" w14:textId="0978DE52" w:rsidR="00AE3EE8" w:rsidRDefault="00AE3EE8" w:rsidP="00AE3EE8">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Aan het einde van het jaar hadden 25 lidstaten en het Verenigd Koninkrijk elkaar toegang verleend tot hun nationale databanken voor vingerafdrukken, overeenkomstig artikel 534 van de overeenkomst. Hiermee werd voortgebouwd op de vooruitgang die werd geboekt in 2024, toen alle lidstaten en het Verenigd Koninkrijk elkaar toegang verleenden tot hun nationale DNA-gegevensbanken voor geautomatiseerde bevraging, overeenkomstig artikel 530 van de overeenkomst.</w:t>
      </w:r>
    </w:p>
    <w:p w14:paraId="6C37DB65" w14:textId="391CF3AD" w:rsidR="00764E6C" w:rsidRDefault="00AE3EE8" w:rsidP="00AE3EE8">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Wat de uitwisseling van voertuigregistratiegegevens betreft, zijn in het Verenigd Koninkrijk een evaluatiebezoek en een proefproject uitgevoerd om te beoordelen of het land voldoet aan de verplichtingen van deel drie, titel II, van de overeenkomst. Op basis van het hieruit voortvloeiende evaluatieverslag van 17 oktober 2025 zal de Raad bepalen vanaf welke datum de lidstaten kunnen beginnen met het verstrekken van gegevens aan het Verenigd Koninkrijk. Zodra dit besluit is vastgesteld, kunnen zowel de lidstaten als het Verenigd Koninkrijk geautomatiseerde bevragingen van elkaars nationale databanken verrichten, zoals bedoeld in artikel 537 van de overeenkomst.</w:t>
      </w:r>
    </w:p>
    <w:p w14:paraId="218532FD" w14:textId="2E880FA9" w:rsidR="00305A8B" w:rsidRDefault="00305A8B" w:rsidP="00AE3EE8">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Op 24 september hebben Europol en het National Crime Agency van het Verenigd Koninkrijk een werkafspraak ondertekend over de verbindingsofficieren die door het Verenigd Koninkrijk bij Europol zijn gedetacheerd. Deze werkafspraak biedt het Verenigd Koninkrijk de mogelijkheid tot twintig verbindingsofficieren bij Europol te detacheren en bevat een specificatie van de taken van de verbindingsofficieren, hun rechten en plichten en de daarmee gepaard gaande kosten overeenkomstig artikel 577, lid 2, punt d), van de overeenkomst.</w:t>
      </w:r>
    </w:p>
    <w:p w14:paraId="3E663A9B" w14:textId="42F8ECFE" w:rsidR="00263800" w:rsidRDefault="00263800" w:rsidP="00AE3EE8">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Overeenkomstig artikel 630, lid 2, van de overeenkomst heeft de EU haar kennisgevingen aan het Verenigd Koninkrijk met betrekking tot de overlevering van gezochte personen geëvalueerd en het Gespecialiseerd Comité voor samenwerking inzake rechtshandhaving en justitie daarvan dienovereenkomstig in kennis gesteld. Een dergelijke evaluatie moet om de vijf jaar na de inwerkingtreding van de overeenkomst worden uitgevoerd</w:t>
      </w:r>
      <w:r>
        <w:rPr>
          <w:rStyle w:val="FootnoteReference"/>
          <w:rFonts w:ascii="Times New Roman" w:eastAsia="Times New Roman" w:hAnsi="Times New Roman" w:cs="Times New Roman"/>
          <w:noProof/>
          <w:sz w:val="24"/>
          <w:szCs w:val="24"/>
        </w:rPr>
        <w:footnoteReference w:id="41"/>
      </w:r>
      <w:r>
        <w:rPr>
          <w:rFonts w:ascii="Times New Roman" w:hAnsi="Times New Roman"/>
          <w:noProof/>
          <w:sz w:val="24"/>
        </w:rPr>
        <w:t>.</w:t>
      </w:r>
    </w:p>
    <w:p w14:paraId="5E3C5BB2" w14:textId="47735B9B" w:rsidR="006D1404" w:rsidRPr="0086076B" w:rsidRDefault="4EF2814B" w:rsidP="00470A6D">
      <w:pPr>
        <w:pStyle w:val="Heading2"/>
        <w:keepNext w:val="0"/>
        <w:keepLines w:val="0"/>
        <w:numPr>
          <w:ilvl w:val="1"/>
          <w:numId w:val="55"/>
        </w:numPr>
        <w:spacing w:before="100" w:beforeAutospacing="1" w:after="100" w:afterAutospacing="1" w:line="240" w:lineRule="auto"/>
        <w:rPr>
          <w:rFonts w:ascii="Times New Roman" w:hAnsi="Times New Roman" w:cs="Times New Roman"/>
          <w:b/>
          <w:bCs/>
          <w:noProof/>
          <w:color w:val="auto"/>
        </w:rPr>
      </w:pPr>
      <w:bookmarkStart w:id="68" w:name="_Toc185413391"/>
      <w:bookmarkStart w:id="69" w:name="_Toc204769329"/>
      <w:bookmarkStart w:id="70" w:name="_Toc226723211"/>
      <w:r>
        <w:rPr>
          <w:rFonts w:ascii="Times New Roman" w:hAnsi="Times New Roman"/>
          <w:b/>
          <w:noProof/>
          <w:color w:val="auto"/>
        </w:rPr>
        <w:t>Associatie van het Verenigd Koninkrijk met bepaalde programma’s van de EU</w:t>
      </w:r>
      <w:bookmarkEnd w:id="68"/>
      <w:bookmarkEnd w:id="69"/>
      <w:bookmarkEnd w:id="70"/>
    </w:p>
    <w:p w14:paraId="5699DD03" w14:textId="07C2BE5D" w:rsidR="00B66F0C" w:rsidRPr="00F52880" w:rsidRDefault="00B66F0C" w:rsidP="00B66F0C">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Sinds 2024 is het Verenigd Koninkrijk geassocieerd met verschillende EU-programma’s, waaronder Horizon Europa en de Copernicus-component van het ruimtevaartprogramma van de Unie. Op grond hiervan kunnen entiteiten uit het Verenigd Koninkrijk deelnemen aan gezamenlijke onderzoeks- en innovatieprojecten in de hele EU en daarbuiten.</w:t>
      </w:r>
    </w:p>
    <w:p w14:paraId="18F03217" w14:textId="3992EB39" w:rsidR="00EC3EB0" w:rsidRPr="00F52880" w:rsidRDefault="00BD370D" w:rsidP="00B66F0C">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Volgens de meest recente gegevens</w:t>
      </w:r>
      <w:r>
        <w:rPr>
          <w:rStyle w:val="FootnoteReference"/>
          <w:rFonts w:ascii="Times New Roman" w:eastAsia="Times New Roman" w:hAnsi="Times New Roman" w:cs="Times New Roman"/>
          <w:noProof/>
          <w:sz w:val="24"/>
          <w:szCs w:val="24"/>
        </w:rPr>
        <w:footnoteReference w:id="42"/>
      </w:r>
      <w:r>
        <w:rPr>
          <w:rFonts w:ascii="Times New Roman" w:hAnsi="Times New Roman"/>
          <w:noProof/>
          <w:sz w:val="24"/>
        </w:rPr>
        <w:t xml:space="preserve"> is het Verenigd Koninkrijk sinds 2024 de op drie na grootste ontvanger van subsidies van alle deelnemende landen (na Duitsland, Spanje en Frankrijk</w:t>
      </w:r>
      <w:r>
        <w:rPr>
          <w:rStyle w:val="FootnoteReference"/>
          <w:rFonts w:ascii="Times New Roman" w:eastAsia="Times New Roman" w:hAnsi="Times New Roman" w:cs="Times New Roman"/>
          <w:noProof/>
          <w:sz w:val="24"/>
          <w:szCs w:val="24"/>
        </w:rPr>
        <w:footnoteReference w:id="43"/>
      </w:r>
      <w:r>
        <w:rPr>
          <w:rFonts w:ascii="Times New Roman" w:hAnsi="Times New Roman"/>
          <w:noProof/>
          <w:sz w:val="24"/>
        </w:rPr>
        <w:t>), waarbij Britse entiteiten ongeveer 1,2 miljard EUR aan Horizon Europa-financiering hebben ontvangen. Het Verenigd Koninkrijk voert ook de lijst van Marie Skłodowska-Curie-acties aan, in het kader waarvan zijn universiteiten en instellingen kunnen deelnemen aan doctoraatsnetwerken en projecten kunnen coördineren.</w:t>
      </w:r>
    </w:p>
    <w:p w14:paraId="3224EBC7" w14:textId="6EEE91C3" w:rsidR="000F4C0B" w:rsidRDefault="00B66F0C" w:rsidP="00E10EB6">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Voorts zijn beide partijen tijdens de top van mei 2025 overeengekomen te werken aan de associatie van het Verenigd Koninkrijk met het Erasmus+-programma. De onderhandelingen over de associatie van het Verenigd Koninkrijk per 1 januari 2027 werden in december 2025 door de Commissie afgerond</w:t>
      </w:r>
      <w:r>
        <w:rPr>
          <w:rStyle w:val="FootnoteReference"/>
          <w:rFonts w:ascii="Times New Roman" w:eastAsia="Times New Roman" w:hAnsi="Times New Roman" w:cs="Times New Roman"/>
          <w:noProof/>
          <w:sz w:val="24"/>
          <w:szCs w:val="24"/>
        </w:rPr>
        <w:footnoteReference w:id="44"/>
      </w:r>
      <w:r>
        <w:rPr>
          <w:rFonts w:ascii="Times New Roman" w:hAnsi="Times New Roman"/>
          <w:noProof/>
          <w:sz w:val="24"/>
        </w:rPr>
        <w:t>. Zij zullen worden gevolgd door een voorstel van de Commissie aan de Raad tot wijziging van protocol I bij de overeenkomst, dat op zijn beurt zal worden gevolgd door de wetgevende en procedurele stappen die het Gespecialiseerd Comité voor de deelname aan programma’s van de Unie nodig heeft om de geactualiseerde voorwaarden van protocol I met betrekking tot de associatie van het Verenigd Koninkrijk met Erasmus+ vast te stellen. Dit is een belangrijke stap op weg naar een bredere deelname aan mobiliteitsactiviteiten tussen de EU en het Verenigd Koninkrijk en naar samenwerking in alle sectoren die onder het programma vallen (onderwijs, opleiding, jeugd en sport).</w:t>
      </w:r>
    </w:p>
    <w:p w14:paraId="6D4ABEFD" w14:textId="2AAC12F7" w:rsidR="00446FCC" w:rsidRPr="00446FCC" w:rsidRDefault="00446FCC" w:rsidP="007F7326">
      <w:pPr>
        <w:pStyle w:val="Heading2"/>
        <w:numPr>
          <w:ilvl w:val="1"/>
          <w:numId w:val="55"/>
        </w:numPr>
        <w:spacing w:before="100" w:beforeAutospacing="1" w:after="100" w:afterAutospacing="1" w:line="240" w:lineRule="auto"/>
        <w:rPr>
          <w:rFonts w:ascii="Times New Roman" w:eastAsia="Times New Roman" w:hAnsi="Times New Roman" w:cs="Times New Roman"/>
          <w:b/>
          <w:bCs/>
          <w:noProof/>
          <w:color w:val="auto"/>
        </w:rPr>
      </w:pPr>
      <w:bookmarkStart w:id="71" w:name="_Toc226723212"/>
      <w:r>
        <w:rPr>
          <w:rFonts w:ascii="Times New Roman" w:hAnsi="Times New Roman"/>
          <w:b/>
          <w:noProof/>
          <w:color w:val="auto"/>
        </w:rPr>
        <w:t>Andere gebieden</w:t>
      </w:r>
      <w:bookmarkEnd w:id="71"/>
    </w:p>
    <w:p w14:paraId="06B769E2" w14:textId="121C8889" w:rsidR="00023CFA" w:rsidRPr="00F52880" w:rsidRDefault="00A94F20" w:rsidP="00470A6D">
      <w:pPr>
        <w:spacing w:before="100" w:beforeAutospacing="1" w:after="100" w:afterAutospacing="1" w:line="240" w:lineRule="auto"/>
        <w:jc w:val="both"/>
        <w:rPr>
          <w:rFonts w:ascii="Times New Roman" w:eastAsia="Times New Roman" w:hAnsi="Times New Roman" w:cs="Times New Roman"/>
          <w:noProof/>
          <w:sz w:val="24"/>
          <w:szCs w:val="24"/>
        </w:rPr>
      </w:pPr>
      <w:bookmarkStart w:id="72" w:name="_Hlk215156840"/>
      <w:r>
        <w:rPr>
          <w:rFonts w:ascii="Times New Roman" w:hAnsi="Times New Roman"/>
          <w:noProof/>
          <w:sz w:val="24"/>
        </w:rPr>
        <w:t xml:space="preserve">Wat </w:t>
      </w:r>
      <w:r>
        <w:rPr>
          <w:rFonts w:ascii="Times New Roman" w:hAnsi="Times New Roman"/>
          <w:b/>
          <w:noProof/>
          <w:sz w:val="24"/>
        </w:rPr>
        <w:t>gezondheidsveiligheid</w:t>
      </w:r>
      <w:r>
        <w:rPr>
          <w:rFonts w:ascii="Times New Roman" w:hAnsi="Times New Roman"/>
          <w:noProof/>
          <w:sz w:val="24"/>
        </w:rPr>
        <w:t xml:space="preserve"> betreft, zijn verkennende gesprekken gevoerd om optimaal bilateraal samen te werken op het gebied van de opsporing van en paraatheid voor toekomstige pandemieën en de respons op opkomende gezondheidsbedreigingen.</w:t>
      </w:r>
    </w:p>
    <w:p w14:paraId="619399A7" w14:textId="3DDF9C4C" w:rsidR="001E56AA" w:rsidRDefault="001E56AA" w:rsidP="00470A6D">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In overeenstemming met het gezamenlijk akkoord en na de vaststelling door de Raad op 11 juni 2025 van een besluit</w:t>
      </w:r>
      <w:r>
        <w:rPr>
          <w:rStyle w:val="FootnoteReference"/>
          <w:rFonts w:ascii="Times New Roman" w:eastAsia="Times New Roman" w:hAnsi="Times New Roman" w:cs="Times New Roman"/>
          <w:noProof/>
          <w:sz w:val="24"/>
          <w:szCs w:val="24"/>
        </w:rPr>
        <w:footnoteReference w:id="45"/>
      </w:r>
      <w:r>
        <w:rPr>
          <w:rFonts w:ascii="Times New Roman" w:hAnsi="Times New Roman"/>
          <w:noProof/>
          <w:sz w:val="24"/>
        </w:rPr>
        <w:t xml:space="preserve"> en onderhandelingsrichtsnoeren, zijn onderhandelingen gestart met het oog op het sluiten van een internationale overeenkomst over het </w:t>
      </w:r>
      <w:r>
        <w:rPr>
          <w:rFonts w:ascii="Times New Roman" w:hAnsi="Times New Roman"/>
          <w:b/>
          <w:noProof/>
          <w:sz w:val="24"/>
        </w:rPr>
        <w:t>jongerenervaringsprogramma</w:t>
      </w:r>
      <w:r>
        <w:rPr>
          <w:rFonts w:ascii="Times New Roman" w:hAnsi="Times New Roman"/>
          <w:noProof/>
          <w:sz w:val="24"/>
        </w:rPr>
        <w:t>, het invoeren van een nieuw visumtraject en het vergemakkelijken van de deelname van jongeren uit de EU en het Verenigd Koninkrijk aan een reeks activiteiten.</w:t>
      </w:r>
    </w:p>
    <w:p w14:paraId="3F12493A" w14:textId="0289FC29" w:rsidR="006D1404" w:rsidRPr="0086076B" w:rsidRDefault="27FE4BCF" w:rsidP="000E5D73">
      <w:pPr>
        <w:pStyle w:val="Heading1"/>
        <w:keepLines w:val="0"/>
        <w:numPr>
          <w:ilvl w:val="0"/>
          <w:numId w:val="55"/>
        </w:numPr>
        <w:spacing w:before="100" w:beforeAutospacing="1" w:after="100" w:afterAutospacing="1" w:line="240" w:lineRule="auto"/>
        <w:rPr>
          <w:rFonts w:ascii="Times New Roman" w:hAnsi="Times New Roman" w:cs="Times New Roman"/>
          <w:b/>
          <w:bCs/>
          <w:noProof/>
          <w:color w:val="auto"/>
        </w:rPr>
      </w:pPr>
      <w:bookmarkStart w:id="73" w:name="_Toc86154517"/>
      <w:bookmarkStart w:id="74" w:name="_Toc185413393"/>
      <w:bookmarkStart w:id="75" w:name="_Toc204769330"/>
      <w:bookmarkStart w:id="76" w:name="_Toc226723213"/>
      <w:bookmarkEnd w:id="72"/>
      <w:r>
        <w:rPr>
          <w:rFonts w:ascii="Times New Roman" w:hAnsi="Times New Roman"/>
          <w:b/>
          <w:noProof/>
          <w:color w:val="auto"/>
        </w:rPr>
        <w:t xml:space="preserve">Ontwikkelingen in het recht van </w:t>
      </w:r>
      <w:bookmarkEnd w:id="73"/>
      <w:r>
        <w:rPr>
          <w:rFonts w:ascii="Times New Roman" w:hAnsi="Times New Roman"/>
          <w:b/>
          <w:noProof/>
          <w:color w:val="auto"/>
        </w:rPr>
        <w:t>het Verenigd Koninkrijk</w:t>
      </w:r>
      <w:bookmarkEnd w:id="74"/>
      <w:bookmarkEnd w:id="75"/>
      <w:bookmarkEnd w:id="76"/>
    </w:p>
    <w:p w14:paraId="01EEAF13" w14:textId="5B0A9DA4" w:rsidR="009C4EB8" w:rsidRDefault="00225BB2" w:rsidP="00E81C30">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In het kader van de lopende monitoring door de Commissie worden in dit deel de ontwikkelingen op wetgevingsgebied in het Verenigd Koninkrijk besproken, zoals vereist op grond van artikel 2, lid 4, van Besluit (EU) 2021/689 van de Raad, met bijzondere aandacht voor de belangrijkste maatregelen die relevant zijn voor de uitvoering van de overeenkomst.</w:t>
      </w:r>
    </w:p>
    <w:p w14:paraId="43031B4E" w14:textId="1404317F" w:rsidR="007D3844" w:rsidRPr="006146F7" w:rsidRDefault="007D3844" w:rsidP="007D3844">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Op het gebied van </w:t>
      </w:r>
      <w:r>
        <w:rPr>
          <w:rFonts w:ascii="Times New Roman" w:hAnsi="Times New Roman"/>
          <w:b/>
          <w:noProof/>
          <w:sz w:val="24"/>
        </w:rPr>
        <w:t>subsidiecontrole</w:t>
      </w:r>
      <w:r>
        <w:rPr>
          <w:rFonts w:ascii="Times New Roman" w:hAnsi="Times New Roman"/>
          <w:noProof/>
          <w:sz w:val="24"/>
        </w:rPr>
        <w:t>, heeft de overheid het kader verder verfijnd dat op grond van de Subsidy Control Act 2022 was vastgesteld</w:t>
      </w:r>
      <w:r>
        <w:rPr>
          <w:rStyle w:val="FootnoteReference"/>
          <w:rFonts w:ascii="Times New Roman" w:eastAsia="Times New Roman" w:hAnsi="Times New Roman" w:cs="Times New Roman"/>
          <w:noProof/>
          <w:sz w:val="24"/>
          <w:szCs w:val="24"/>
        </w:rPr>
        <w:footnoteReference w:id="46"/>
      </w:r>
      <w:r>
        <w:rPr>
          <w:rFonts w:ascii="Times New Roman" w:hAnsi="Times New Roman"/>
          <w:noProof/>
          <w:sz w:val="24"/>
        </w:rPr>
        <w:t>. Bij de Subsidy Control (Subsidies and Schemes of Interest or Particular Interest) (Amendment) Regulations 2025</w:t>
      </w:r>
      <w:r>
        <w:rPr>
          <w:rStyle w:val="FootnoteReference"/>
          <w:rFonts w:ascii="Times New Roman" w:eastAsia="Times New Roman" w:hAnsi="Times New Roman" w:cs="Times New Roman"/>
          <w:noProof/>
          <w:sz w:val="24"/>
          <w:szCs w:val="24"/>
        </w:rPr>
        <w:footnoteReference w:id="47"/>
      </w:r>
      <w:r>
        <w:rPr>
          <w:rFonts w:ascii="Times New Roman" w:hAnsi="Times New Roman"/>
          <w:noProof/>
          <w:sz w:val="24"/>
        </w:rPr>
        <w:t>, die in augustus 2025 in werking zijn getreden, is de financiële drempel voor de verplichte doorverwijzing van subsidies en regelingen in niet-gevoelige sectoren naar de Competition and Markets Authority verhoogd van 10 tot 25 miljoen GBP.</w:t>
      </w:r>
      <w:r>
        <w:rPr>
          <w:noProof/>
        </w:rPr>
        <w:t xml:space="preserve"> </w:t>
      </w:r>
      <w:r>
        <w:rPr>
          <w:rFonts w:ascii="Times New Roman" w:hAnsi="Times New Roman"/>
          <w:noProof/>
          <w:sz w:val="24"/>
        </w:rPr>
        <w:t>Als gevolg daarvan schatte de Competition and Markets Authority dat het aantal door de Subsidy Advice Unit gecontroleerde subsidies met 28 % zou dalen.</w:t>
      </w:r>
    </w:p>
    <w:p w14:paraId="50E46F1B" w14:textId="1B32F897" w:rsidR="00E81C30" w:rsidRPr="006146F7" w:rsidRDefault="00E81C30" w:rsidP="00E81C30">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Op het gebied van </w:t>
      </w:r>
      <w:r>
        <w:rPr>
          <w:rFonts w:ascii="Times New Roman" w:hAnsi="Times New Roman"/>
          <w:b/>
          <w:noProof/>
          <w:sz w:val="24"/>
        </w:rPr>
        <w:t>arbeids- en sociale normen</w:t>
      </w:r>
      <w:r>
        <w:rPr>
          <w:rFonts w:ascii="Times New Roman" w:hAnsi="Times New Roman"/>
          <w:noProof/>
          <w:sz w:val="24"/>
        </w:rPr>
        <w:t xml:space="preserve"> zijn met de Employment Rights Act 2025</w:t>
      </w:r>
      <w:r>
        <w:rPr>
          <w:rStyle w:val="FootnoteReference"/>
          <w:rFonts w:ascii="Times New Roman" w:eastAsia="Times New Roman" w:hAnsi="Times New Roman" w:cs="Times New Roman"/>
          <w:noProof/>
          <w:sz w:val="24"/>
          <w:szCs w:val="24"/>
        </w:rPr>
        <w:footnoteReference w:id="48"/>
      </w:r>
      <w:r>
        <w:rPr>
          <w:rFonts w:ascii="Times New Roman" w:hAnsi="Times New Roman"/>
          <w:noProof/>
          <w:sz w:val="24"/>
        </w:rPr>
        <w:t xml:space="preserve"> hervormingen van het arbeidsrecht ingevoerd in Engeland, Schotland en Wales. Belangrijke bepalingen die door de EU positief zijn ontvangen, zijn onder meer actualiseringen van ontslagprocedures, gelijkheidsverplichtingen voor werkgevers, vakbondstaken en handhaving van de arbeidsmarktwetgeving. Deze wet heeft met name tot doel een einde te maken aan nulurencontracten door een recht op gegarandeerde uren toe te kennen en de vakbondswetgeving te moderniseren, onder meer door de controversiële Strikes (Minimum Service Levels) Act 2023</w:t>
      </w:r>
      <w:r>
        <w:rPr>
          <w:rStyle w:val="FootnoteReference"/>
          <w:rFonts w:ascii="Times New Roman" w:eastAsia="Times New Roman" w:hAnsi="Times New Roman" w:cs="Times New Roman"/>
          <w:noProof/>
          <w:sz w:val="24"/>
          <w:szCs w:val="24"/>
        </w:rPr>
        <w:footnoteReference w:id="49"/>
      </w:r>
      <w:r>
        <w:rPr>
          <w:rFonts w:ascii="Times New Roman" w:hAnsi="Times New Roman"/>
          <w:noProof/>
          <w:sz w:val="24"/>
        </w:rPr>
        <w:t xml:space="preserve"> in te trekken, waarop de Commissie in haar uitvoeringsverslag van de overeenkomst van 2023 had gewezen</w:t>
      </w:r>
      <w:r>
        <w:rPr>
          <w:rStyle w:val="FootnoteReference"/>
          <w:rFonts w:ascii="Times New Roman" w:eastAsia="Times New Roman" w:hAnsi="Times New Roman" w:cs="Times New Roman"/>
          <w:noProof/>
          <w:sz w:val="24"/>
          <w:szCs w:val="24"/>
        </w:rPr>
        <w:footnoteReference w:id="50"/>
      </w:r>
      <w:r>
        <w:rPr>
          <w:rFonts w:ascii="Times New Roman" w:hAnsi="Times New Roman"/>
          <w:noProof/>
          <w:sz w:val="24"/>
        </w:rPr>
        <w:t>.</w:t>
      </w:r>
    </w:p>
    <w:p w14:paraId="25BF688E" w14:textId="3A01553A" w:rsidR="00E661FF" w:rsidRDefault="00A5477E" w:rsidP="00E81C30">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Wat de </w:t>
      </w:r>
      <w:r>
        <w:rPr>
          <w:rFonts w:ascii="Times New Roman" w:hAnsi="Times New Roman"/>
          <w:b/>
          <w:noProof/>
          <w:sz w:val="24"/>
        </w:rPr>
        <w:t>klimaat- en milieuwetgeving</w:t>
      </w:r>
      <w:r>
        <w:rPr>
          <w:rFonts w:ascii="Times New Roman" w:hAnsi="Times New Roman"/>
          <w:noProof/>
          <w:sz w:val="24"/>
        </w:rPr>
        <w:t xml:space="preserve"> betreft, wordt bij de Great British Energy Act 2025</w:t>
      </w:r>
      <w:r>
        <w:rPr>
          <w:rStyle w:val="FootnoteReference"/>
          <w:rFonts w:ascii="Times New Roman" w:eastAsia="Times New Roman" w:hAnsi="Times New Roman" w:cs="Times New Roman"/>
          <w:noProof/>
          <w:sz w:val="24"/>
          <w:szCs w:val="24"/>
        </w:rPr>
        <w:footnoteReference w:id="51"/>
      </w:r>
      <w:r>
        <w:rPr>
          <w:rFonts w:ascii="Times New Roman" w:hAnsi="Times New Roman"/>
          <w:noProof/>
          <w:sz w:val="24"/>
        </w:rPr>
        <w:t xml:space="preserve"> Great British Energy (GBE) opgericht, een energiebedrijf in overheidshanden dat tot taak heeft de ontwikkeling van schone binnenlandse energie te versnellen. Deze wet verleent de GBE de bevoegdheid om te investeren in infrastructuur voor energieopwekking en deze te beheren, waardoor de milieuduurzaamheid en energiezekerheid worden bevorderd. Aangezien meer dan 8,3 miljard GBP moet worden geïnvesteerd, houdt de Commissie zorgvuldig toezicht op de uitvoering om ervoor te zorgen dat deze in overeenstemming is met de verbintenissen van het Verenigd Koninkrijk uit hoofde van de overeenkomst.</w:t>
      </w:r>
    </w:p>
    <w:p w14:paraId="6FD30062" w14:textId="632DDCAD" w:rsidR="00E81C30" w:rsidRPr="006146F7" w:rsidRDefault="00212267" w:rsidP="00E661FF">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Voorts heeft de Planning and Infrastructure Act 2025</w:t>
      </w:r>
      <w:r>
        <w:rPr>
          <w:rStyle w:val="FootnoteReference"/>
          <w:rFonts w:ascii="Times New Roman" w:eastAsia="Times New Roman" w:hAnsi="Times New Roman" w:cs="Times New Roman"/>
          <w:noProof/>
          <w:sz w:val="24"/>
          <w:szCs w:val="24"/>
        </w:rPr>
        <w:footnoteReference w:id="52"/>
      </w:r>
      <w:r>
        <w:rPr>
          <w:rFonts w:ascii="Times New Roman" w:hAnsi="Times New Roman"/>
          <w:noProof/>
          <w:sz w:val="24"/>
        </w:rPr>
        <w:t xml:space="preserve"> tot doel de levering van kritieke infrastructuur te stroomlijnen door strategische ruimtelijke ordening in heel Engeland in te voeren en grote projecten ter ondersteuning van economische groei en milieuduurzaamheid te versnellen. Met deze wet worden de plannings- en infrastructuurregels herzien en worden verplichtingen in verband met milieuplanning vervangen door een heffing voor ontwikkelaars die wordt betaald aan het Nature Restoration Fund om herstelprojecten te financieren. De wet zorgt er bovendien voor dat de goedkeuringen voor zogenaamde nationaal significante infrastructuurprojecten en elektriciteitsinfrastructuur worden gestroomlijnd. De wet is een belangrijke ontwikkeling op dit gebied en de Commissie houdt actief toezicht op de gevolgen ervan voor de handel, investeringen en mogelijke niet-naleving van de non-regressieverplichtingen uit hoofde van de overeenkomst.</w:t>
      </w:r>
    </w:p>
    <w:p w14:paraId="0C283AFC" w14:textId="74C297D5" w:rsidR="00144CF1" w:rsidRDefault="00E81C30" w:rsidP="00E81C30">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Op het gebied van </w:t>
      </w:r>
      <w:r>
        <w:rPr>
          <w:rFonts w:ascii="Times New Roman" w:hAnsi="Times New Roman"/>
          <w:b/>
          <w:noProof/>
          <w:sz w:val="24"/>
        </w:rPr>
        <w:t>productregulering</w:t>
      </w:r>
      <w:r>
        <w:rPr>
          <w:rFonts w:ascii="Times New Roman" w:hAnsi="Times New Roman"/>
          <w:noProof/>
          <w:sz w:val="24"/>
        </w:rPr>
        <w:t xml:space="preserve"> vormt de Product Regulation and Metrology Act 2025</w:t>
      </w:r>
      <w:r>
        <w:rPr>
          <w:rStyle w:val="FootnoteReference"/>
          <w:rFonts w:ascii="Times New Roman" w:eastAsia="Times New Roman" w:hAnsi="Times New Roman" w:cs="Times New Roman"/>
          <w:noProof/>
          <w:sz w:val="24"/>
          <w:szCs w:val="24"/>
        </w:rPr>
        <w:footnoteReference w:id="53"/>
      </w:r>
      <w:r>
        <w:rPr>
          <w:rFonts w:ascii="Times New Roman" w:hAnsi="Times New Roman"/>
          <w:noProof/>
          <w:sz w:val="24"/>
        </w:rPr>
        <w:t xml:space="preserve"> een uitgebreide hervorming van het Britse kader voor productveiligheid, metrologie en consumentenbescherming. De wet verleent de Secretary of State de bevoegdheid om voorschriften in te voeren inzake productveiligheid, efficiëntie en nauwkeurigheid, onder meer voor weeg- en meettoestellen, en geldt ook voor installateurs van producten. De wet maakt ook de standaardisering van meeteenheden mogelijk en voorziet in procedures voor regelgevend toezicht en in coördinatie met gedecentraliseerde overheden. Hoewel bepaalde sectoren, zoals levensmiddelen, geneesmiddelen, militaire uitrusting, luchtvaartuigen en bepaalde landbouwproducten, zijn uitgesloten, is met deze wet de basis gelegd voor toekomstige secundaire wetgeving, met inbegrip van regels die gericht zijn op onlinemarktplaatsen en digitale handel. Toezicht op de uitvoering van de wet is essentieel om de Commissie in staat te stellen de naleving van de overeenkomst te blijven waarborgen en te anticiperen op wijzigingen in de regelgeving die van invloed zijn op de grensoverschrijdende handel.</w:t>
      </w:r>
    </w:p>
    <w:p w14:paraId="3A825B03" w14:textId="20610E3D" w:rsidR="006749E2" w:rsidRDefault="006749E2" w:rsidP="00E81C30">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Op het gebied van </w:t>
      </w:r>
      <w:r>
        <w:rPr>
          <w:rFonts w:ascii="Times New Roman" w:hAnsi="Times New Roman"/>
          <w:b/>
          <w:noProof/>
          <w:sz w:val="24"/>
        </w:rPr>
        <w:t>gegevensbescherming</w:t>
      </w:r>
      <w:r>
        <w:rPr>
          <w:rFonts w:ascii="Times New Roman" w:hAnsi="Times New Roman"/>
          <w:noProof/>
          <w:sz w:val="24"/>
        </w:rPr>
        <w:t xml:space="preserve"> wordt met de Data (Use and Access) Act 2025</w:t>
      </w:r>
      <w:r>
        <w:rPr>
          <w:rStyle w:val="FootnoteReference"/>
          <w:rFonts w:ascii="Times New Roman" w:eastAsia="Times New Roman" w:hAnsi="Times New Roman" w:cs="Times New Roman"/>
          <w:noProof/>
          <w:sz w:val="24"/>
          <w:szCs w:val="24"/>
        </w:rPr>
        <w:footnoteReference w:id="54"/>
      </w:r>
      <w:r>
        <w:rPr>
          <w:rFonts w:ascii="Times New Roman" w:hAnsi="Times New Roman"/>
          <w:noProof/>
          <w:sz w:val="24"/>
        </w:rPr>
        <w:t>, die in juni 2025 is vastgesteld en tussen juni 2025 en juni 2026 geleidelijk in werking treedt, het gegevensbeschermingskader van het Verenigd Koninkrijk voor digitale verificatie en gegevensuitwisseling hervormd. Deze wet wijzigt de General Data Protection Regulation en de Data Protection Act 2018, waarbij nieuwe rechtsgronden worden vastgesteld voor de verwerking van persoonsgegevens op bepaalde gebieden van algemeen belang, slimme gegevensregelingen voor beveiligde gegevensuitwisseling mogelijk worden gemaakt, een rechtskader voor digitale identiteitsdiensten wordt gecreëerd en een nationaal register van ondergrondse activa wordt opgezet.</w:t>
      </w:r>
    </w:p>
    <w:p w14:paraId="7491E04D" w14:textId="56910B66" w:rsidR="00640672" w:rsidRDefault="00640672" w:rsidP="00E81C30">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In juni 2025 heeft de Europese Commissie een technische verlenging van de twee adequaatheidsbesluiten van 2021</w:t>
      </w:r>
      <w:r>
        <w:rPr>
          <w:rStyle w:val="FootnoteReference"/>
          <w:rFonts w:ascii="Times New Roman" w:eastAsia="Times New Roman" w:hAnsi="Times New Roman" w:cs="Times New Roman"/>
          <w:noProof/>
          <w:sz w:val="24"/>
          <w:szCs w:val="24"/>
        </w:rPr>
        <w:footnoteReference w:id="55"/>
      </w:r>
      <w:r>
        <w:rPr>
          <w:rFonts w:ascii="Times New Roman" w:hAnsi="Times New Roman"/>
          <w:noProof/>
          <w:sz w:val="24"/>
        </w:rPr>
        <w:t xml:space="preserve"> met zes maanden goedgekeurd om de gevolgen van de Data (Use and Access) Act 2025 te beoordelen. In juli 2025 concludeerde zij dat het rechtskader van het Verenigd Koninkrijk voorziet in waarborgen inzake gegevensbescherming, met inbegrip van de waarborgen die zijn gewijzigd bij de Data (Use and Access) Act 2025, die in wezen gelijkwaardig zijn aan die van de EU, en startte zij vervolgens de procedure voor de vaststelling van nieuwe adequaatheidsbesluiten door de Raad</w:t>
      </w:r>
      <w:r>
        <w:rPr>
          <w:rStyle w:val="FootnoteReference"/>
          <w:rFonts w:ascii="Times New Roman" w:eastAsia="Times New Roman" w:hAnsi="Times New Roman" w:cs="Times New Roman"/>
          <w:noProof/>
          <w:sz w:val="24"/>
          <w:szCs w:val="24"/>
        </w:rPr>
        <w:footnoteReference w:id="56"/>
      </w:r>
      <w:r>
        <w:rPr>
          <w:rFonts w:ascii="Times New Roman" w:hAnsi="Times New Roman"/>
          <w:noProof/>
          <w:sz w:val="24"/>
        </w:rPr>
        <w:t>. Deze adequaatheidsbesluiten werden op 19 december 2025 vastgesteld</w:t>
      </w:r>
      <w:r>
        <w:rPr>
          <w:rStyle w:val="FootnoteReference"/>
          <w:rFonts w:ascii="Times New Roman" w:eastAsia="Times New Roman" w:hAnsi="Times New Roman" w:cs="Times New Roman"/>
          <w:noProof/>
          <w:sz w:val="24"/>
          <w:szCs w:val="24"/>
        </w:rPr>
        <w:footnoteReference w:id="57"/>
      </w:r>
      <w:r>
        <w:rPr>
          <w:rFonts w:ascii="Times New Roman" w:hAnsi="Times New Roman"/>
          <w:noProof/>
          <w:sz w:val="24"/>
        </w:rPr>
        <w:t>. De adequaatheidsbesluiten worden na vier jaar periodiek geëvalueerd en verstrijken op 27 december 2031, tenzij zij worden verlengd.</w:t>
      </w:r>
    </w:p>
    <w:p w14:paraId="44996096" w14:textId="692EDF65" w:rsidR="006D1404" w:rsidRPr="0086076B" w:rsidRDefault="33A451BC" w:rsidP="71022153">
      <w:pPr>
        <w:pStyle w:val="Heading1"/>
        <w:keepNext w:val="0"/>
        <w:keepLines w:val="0"/>
        <w:numPr>
          <w:ilvl w:val="0"/>
          <w:numId w:val="55"/>
        </w:numPr>
        <w:spacing w:before="100" w:beforeAutospacing="1" w:after="100" w:afterAutospacing="1" w:line="240" w:lineRule="auto"/>
        <w:rPr>
          <w:rFonts w:ascii="Times New Roman" w:hAnsi="Times New Roman" w:cs="Times New Roman"/>
          <w:b/>
          <w:bCs/>
          <w:noProof/>
          <w:color w:val="auto"/>
        </w:rPr>
      </w:pPr>
      <w:bookmarkStart w:id="77" w:name="_Toc120291013"/>
      <w:bookmarkStart w:id="78" w:name="_Toc86061903"/>
      <w:bookmarkStart w:id="79" w:name="_Toc86154525"/>
      <w:bookmarkStart w:id="80" w:name="_Toc185413397"/>
      <w:bookmarkStart w:id="81" w:name="_Toc204769334"/>
      <w:bookmarkStart w:id="82" w:name="_Toc226723214"/>
      <w:bookmarkEnd w:id="77"/>
      <w:r>
        <w:rPr>
          <w:rFonts w:ascii="Times New Roman" w:hAnsi="Times New Roman"/>
          <w:b/>
          <w:noProof/>
          <w:color w:val="auto"/>
        </w:rPr>
        <w:t>Conclusie</w:t>
      </w:r>
      <w:bookmarkEnd w:id="78"/>
      <w:bookmarkEnd w:id="79"/>
      <w:bookmarkEnd w:id="80"/>
      <w:bookmarkEnd w:id="81"/>
      <w:bookmarkEnd w:id="82"/>
    </w:p>
    <w:p w14:paraId="42E1930E" w14:textId="27695B5A" w:rsidR="00CB29E2" w:rsidRPr="00CB29E2" w:rsidRDefault="00CB29E2" w:rsidP="00CB29E2">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Na vijf jaar uitvoering is de overeenkomst een solide en doeltreffende basis gebleken voor de betrekkingen tussen de EU en het Verenigd Koninkrijk, waarvan de uitvoering over het algemeen goed is gevorderd. De in dit verslag vastgestelde problemen vormen uitzonderingen, gezien de omvang en diepgang van de samenwerking in het kader van de overeenkomst.</w:t>
      </w:r>
    </w:p>
    <w:p w14:paraId="62D35BCC" w14:textId="4FBDAF7E" w:rsidR="00CB29E2" w:rsidRPr="00CB29E2" w:rsidRDefault="00CB29E2" w:rsidP="00CB29E2">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Zoals bevestigd in het gezamenlijk akkoord dat tijdens de eerste top tussen de EU en het Verenigd Koninkrijk op 19 mei 2025 werd aangenomen, is de overeenkomst nog steeds een hoeksteen voor de ontwikkeling van het nieuwe strategische partnerschap tussen de EU en het Verenigd Koninkrijk en blijft zij het belangrijkste instrument voor het verdiepen van de samenwerking in een veranderende geopolitieke context.</w:t>
      </w:r>
    </w:p>
    <w:p w14:paraId="057651B9" w14:textId="01F1C7B7" w:rsidR="000B0C31" w:rsidRPr="00CB29E2" w:rsidRDefault="00CB29E2" w:rsidP="00155310">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De beoordeling van de Commissie bevestigt dat de overeenkomst vijf jaar later een stabiel, voorspelbaar en wederzijds voordelig kader biedt dat verder zal worden versterkt door de nieuwe overeenkomsten die in het kader van het gezamenlijk akkoord worden beoogd.</w:t>
      </w:r>
    </w:p>
    <w:p w14:paraId="4DBF3B62" w14:textId="77777777" w:rsidR="00CB29E2" w:rsidRDefault="00CB29E2">
      <w:pPr>
        <w:rPr>
          <w:rFonts w:ascii="Times New Roman" w:eastAsiaTheme="majorEastAsia" w:hAnsi="Times New Roman" w:cs="Times New Roman"/>
          <w:b/>
          <w:bCs/>
          <w:noProof/>
          <w:sz w:val="32"/>
          <w:szCs w:val="32"/>
        </w:rPr>
      </w:pPr>
      <w:bookmarkStart w:id="83" w:name="_Toc185413398"/>
      <w:bookmarkStart w:id="84" w:name="_Toc204769335"/>
      <w:r>
        <w:rPr>
          <w:noProof/>
        </w:rPr>
        <w:br w:type="page"/>
      </w:r>
    </w:p>
    <w:p w14:paraId="78E52ABD" w14:textId="00C003F4" w:rsidR="006D1404" w:rsidRPr="00157ED4" w:rsidRDefault="00537043" w:rsidP="6A5D11F7">
      <w:pPr>
        <w:pStyle w:val="Heading1"/>
        <w:keepNext w:val="0"/>
        <w:keepLines w:val="0"/>
        <w:spacing w:before="100" w:beforeAutospacing="1" w:after="100" w:afterAutospacing="1" w:line="240" w:lineRule="auto"/>
        <w:rPr>
          <w:rFonts w:ascii="Times New Roman" w:hAnsi="Times New Roman" w:cs="Times New Roman"/>
          <w:b/>
          <w:bCs/>
          <w:noProof/>
          <w:color w:val="auto"/>
        </w:rPr>
      </w:pPr>
      <w:bookmarkStart w:id="85" w:name="_Toc226723215"/>
      <w:r>
        <w:rPr>
          <w:rFonts w:ascii="Times New Roman" w:hAnsi="Times New Roman"/>
          <w:b/>
          <w:noProof/>
          <w:color w:val="auto"/>
        </w:rPr>
        <w:t>Bijlage 1: Vergaderingen van de bij de overeenkomst opgerichte gemengde organen en andere structuren</w:t>
      </w:r>
      <w:bookmarkEnd w:id="83"/>
      <w:bookmarkEnd w:id="84"/>
      <w:r>
        <w:rPr>
          <w:rStyle w:val="FootnoteReference"/>
          <w:rFonts w:ascii="Times New Roman" w:hAnsi="Times New Roman" w:cs="Times New Roman"/>
          <w:noProof/>
          <w:color w:val="auto"/>
        </w:rPr>
        <w:footnoteReference w:id="58"/>
      </w:r>
      <w:bookmarkEnd w:id="85"/>
    </w:p>
    <w:tbl>
      <w:tblPr>
        <w:tblStyle w:val="TableGrid"/>
        <w:tblW w:w="9103" w:type="dxa"/>
        <w:tblLook w:val="04A0" w:firstRow="1" w:lastRow="0" w:firstColumn="1" w:lastColumn="0" w:noHBand="0" w:noVBand="1"/>
      </w:tblPr>
      <w:tblGrid>
        <w:gridCol w:w="1661"/>
        <w:gridCol w:w="7442"/>
      </w:tblGrid>
      <w:tr w:rsidR="00F006D0" w:rsidRPr="00F006D0" w14:paraId="2538BE6C" w14:textId="77777777" w:rsidTr="00BF7CBB">
        <w:trPr>
          <w:trHeight w:val="227"/>
        </w:trPr>
        <w:tc>
          <w:tcPr>
            <w:tcW w:w="1661" w:type="dxa"/>
            <w:shd w:val="clear" w:color="auto" w:fill="BFBFBF" w:themeFill="background1" w:themeFillShade="BF"/>
            <w:hideMark/>
          </w:tcPr>
          <w:p w14:paraId="52070644" w14:textId="77777777" w:rsidR="00487231" w:rsidRPr="00F006D0" w:rsidRDefault="00487231" w:rsidP="00470A6D">
            <w:pPr>
              <w:spacing w:before="100" w:beforeAutospacing="1" w:after="100" w:afterAutospacing="1"/>
              <w:rPr>
                <w:rFonts w:ascii="Times New Roman" w:hAnsi="Times New Roman" w:cs="Times New Roman"/>
                <w:b/>
                <w:bCs/>
                <w:noProof/>
                <w:sz w:val="24"/>
                <w:szCs w:val="24"/>
              </w:rPr>
            </w:pPr>
            <w:r>
              <w:rPr>
                <w:rFonts w:ascii="Times New Roman" w:hAnsi="Times New Roman"/>
                <w:b/>
                <w:noProof/>
                <w:sz w:val="24"/>
              </w:rPr>
              <w:t>Datum</w:t>
            </w:r>
          </w:p>
          <w:p w14:paraId="728846B3" w14:textId="77777777" w:rsidR="00487231" w:rsidRPr="00F006D0" w:rsidRDefault="00487231" w:rsidP="00470A6D">
            <w:pPr>
              <w:spacing w:before="100" w:beforeAutospacing="1" w:after="100" w:afterAutospacing="1"/>
              <w:rPr>
                <w:rFonts w:ascii="Times New Roman" w:hAnsi="Times New Roman" w:cs="Times New Roman"/>
                <w:b/>
                <w:bCs/>
                <w:noProof/>
                <w:sz w:val="24"/>
                <w:szCs w:val="24"/>
              </w:rPr>
            </w:pPr>
          </w:p>
        </w:tc>
        <w:tc>
          <w:tcPr>
            <w:tcW w:w="7442" w:type="dxa"/>
            <w:shd w:val="clear" w:color="auto" w:fill="BFBFBF" w:themeFill="background1" w:themeFillShade="BF"/>
            <w:hideMark/>
          </w:tcPr>
          <w:p w14:paraId="710D45B9" w14:textId="77777777" w:rsidR="00487231" w:rsidRPr="00F006D0" w:rsidRDefault="00487231" w:rsidP="00470A6D">
            <w:pPr>
              <w:spacing w:before="100" w:beforeAutospacing="1" w:after="100" w:afterAutospacing="1"/>
              <w:rPr>
                <w:rFonts w:ascii="Times New Roman" w:hAnsi="Times New Roman" w:cs="Times New Roman"/>
                <w:b/>
                <w:bCs/>
                <w:noProof/>
                <w:sz w:val="24"/>
                <w:szCs w:val="24"/>
              </w:rPr>
            </w:pPr>
            <w:r>
              <w:rPr>
                <w:rFonts w:ascii="Times New Roman" w:hAnsi="Times New Roman"/>
                <w:b/>
                <w:noProof/>
                <w:sz w:val="24"/>
              </w:rPr>
              <w:t>Gemengd orgaan/structuur</w:t>
            </w:r>
          </w:p>
        </w:tc>
      </w:tr>
      <w:tr w:rsidR="00792558" w:rsidRPr="00F006D0" w14:paraId="0D8A811A" w14:textId="77777777" w:rsidTr="00BF7CBB">
        <w:tc>
          <w:tcPr>
            <w:tcW w:w="1661" w:type="dxa"/>
            <w:vAlign w:val="center"/>
          </w:tcPr>
          <w:p w14:paraId="0CEE0496" w14:textId="055C264D"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28 januari</w:t>
            </w:r>
          </w:p>
        </w:tc>
        <w:tc>
          <w:tcPr>
            <w:tcW w:w="7442" w:type="dxa"/>
            <w:vAlign w:val="center"/>
          </w:tcPr>
          <w:p w14:paraId="2232AFAF" w14:textId="41A85E70"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Energievoorzieningszekerheid (werkgroep): eerste vergadering</w:t>
            </w:r>
          </w:p>
        </w:tc>
      </w:tr>
      <w:tr w:rsidR="00792558" w:rsidRPr="00F006D0" w14:paraId="22CF46B2" w14:textId="77777777" w:rsidTr="00BF7CBB">
        <w:tc>
          <w:tcPr>
            <w:tcW w:w="1661" w:type="dxa"/>
            <w:vAlign w:val="center"/>
          </w:tcPr>
          <w:p w14:paraId="15878296" w14:textId="3B35FA4A"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4 februari</w:t>
            </w:r>
          </w:p>
        </w:tc>
        <w:tc>
          <w:tcPr>
            <w:tcW w:w="7442" w:type="dxa"/>
            <w:vAlign w:val="center"/>
          </w:tcPr>
          <w:p w14:paraId="0AA97A8E" w14:textId="637E0EC2"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Dialoog over terrorismebestrijding — artikel 768 van de overeenkomst: tweede vergadering</w:t>
            </w:r>
          </w:p>
        </w:tc>
      </w:tr>
      <w:tr w:rsidR="00792558" w:rsidRPr="00F006D0" w14:paraId="24479BAE" w14:textId="77777777" w:rsidTr="00BF7CBB">
        <w:tc>
          <w:tcPr>
            <w:tcW w:w="1661" w:type="dxa"/>
            <w:vAlign w:val="center"/>
          </w:tcPr>
          <w:p w14:paraId="04D7DB7B" w14:textId="20CFCA11"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10 februari</w:t>
            </w:r>
          </w:p>
        </w:tc>
        <w:tc>
          <w:tcPr>
            <w:tcW w:w="7442" w:type="dxa"/>
            <w:vAlign w:val="center"/>
          </w:tcPr>
          <w:p w14:paraId="680BB5BA" w14:textId="76090EAD"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Samenwerking door toezichthouders (milieu/klimaat) — artikel 395 van de overeenkomst: eerste vergadering</w:t>
            </w:r>
          </w:p>
        </w:tc>
      </w:tr>
      <w:tr w:rsidR="00792558" w:rsidRPr="00F006D0" w14:paraId="6C1AC1AD" w14:textId="77777777" w:rsidTr="00BF7CBB">
        <w:tc>
          <w:tcPr>
            <w:tcW w:w="1661" w:type="dxa"/>
            <w:vAlign w:val="center"/>
          </w:tcPr>
          <w:p w14:paraId="6A2C2665" w14:textId="5E87B834"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12 februari</w:t>
            </w:r>
          </w:p>
        </w:tc>
        <w:tc>
          <w:tcPr>
            <w:tcW w:w="7442" w:type="dxa"/>
            <w:vAlign w:val="center"/>
          </w:tcPr>
          <w:p w14:paraId="3AC9D5C5" w14:textId="1CD2471A" w:rsidR="00792558" w:rsidRPr="004E3ECA" w:rsidRDefault="00386F61"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Gezamenlijk forum voor financiële regelgeving tussen de EU en het Verenigd Koninkrijk: derde vergadering</w:t>
            </w:r>
          </w:p>
        </w:tc>
      </w:tr>
      <w:tr w:rsidR="00792558" w:rsidRPr="00F006D0" w14:paraId="06D070F4" w14:textId="77777777" w:rsidTr="00BF7CBB">
        <w:tc>
          <w:tcPr>
            <w:tcW w:w="1661" w:type="dxa"/>
            <w:vAlign w:val="center"/>
          </w:tcPr>
          <w:p w14:paraId="59850541" w14:textId="17B28E6A"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 xml:space="preserve">26 februari </w:t>
            </w:r>
          </w:p>
        </w:tc>
        <w:tc>
          <w:tcPr>
            <w:tcW w:w="7442" w:type="dxa"/>
            <w:vAlign w:val="center"/>
          </w:tcPr>
          <w:p w14:paraId="5F276EBF" w14:textId="7973276A"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Visserij (werkgroep): negende vergadering</w:t>
            </w:r>
          </w:p>
        </w:tc>
      </w:tr>
      <w:tr w:rsidR="00792558" w:rsidRPr="00F006D0" w14:paraId="40920834" w14:textId="77777777" w:rsidTr="00BF7CBB">
        <w:tc>
          <w:tcPr>
            <w:tcW w:w="1661" w:type="dxa"/>
            <w:vAlign w:val="center"/>
          </w:tcPr>
          <w:p w14:paraId="19F2CC8A" w14:textId="167D28E6"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17-18 maart</w:t>
            </w:r>
          </w:p>
        </w:tc>
        <w:tc>
          <w:tcPr>
            <w:tcW w:w="7442" w:type="dxa"/>
            <w:vAlign w:val="center"/>
          </w:tcPr>
          <w:p w14:paraId="129D88B3" w14:textId="51BBFCA0"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Parlementaire Partnerschapsassemblee: vijfde vergadering</w:t>
            </w:r>
          </w:p>
        </w:tc>
      </w:tr>
      <w:tr w:rsidR="00792558" w:rsidRPr="00F006D0" w14:paraId="26EE21AC" w14:textId="77777777" w:rsidTr="00BF7CBB">
        <w:tc>
          <w:tcPr>
            <w:tcW w:w="1661" w:type="dxa"/>
            <w:vAlign w:val="center"/>
          </w:tcPr>
          <w:p w14:paraId="3D51902D" w14:textId="5A96B31B"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25 maart</w:t>
            </w:r>
          </w:p>
        </w:tc>
        <w:tc>
          <w:tcPr>
            <w:tcW w:w="7442" w:type="dxa"/>
            <w:vAlign w:val="center"/>
          </w:tcPr>
          <w:p w14:paraId="7D14EDA7" w14:textId="33D76E5A"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Binnenlandse adviesgroep van de EU: veertiende vergadering</w:t>
            </w:r>
          </w:p>
        </w:tc>
      </w:tr>
      <w:tr w:rsidR="00792558" w:rsidRPr="00F006D0" w14:paraId="082C9BA4" w14:textId="77777777" w:rsidTr="00BF7CBB">
        <w:tc>
          <w:tcPr>
            <w:tcW w:w="1661" w:type="dxa"/>
            <w:vAlign w:val="center"/>
          </w:tcPr>
          <w:p w14:paraId="2D4F8DD1" w14:textId="6192700B"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14 mei</w:t>
            </w:r>
          </w:p>
        </w:tc>
        <w:tc>
          <w:tcPr>
            <w:tcW w:w="7442" w:type="dxa"/>
            <w:vAlign w:val="center"/>
          </w:tcPr>
          <w:p w14:paraId="60005793" w14:textId="6AB13F92"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Visserij (gespecialiseerd comité): tiende vergadering</w:t>
            </w:r>
          </w:p>
        </w:tc>
      </w:tr>
      <w:tr w:rsidR="00792558" w:rsidRPr="00F006D0" w14:paraId="751D5DC4" w14:textId="77777777" w:rsidTr="00BF7CBB">
        <w:tc>
          <w:tcPr>
            <w:tcW w:w="1661" w:type="dxa"/>
            <w:vAlign w:val="center"/>
          </w:tcPr>
          <w:p w14:paraId="325B9202" w14:textId="49E14AF5"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22 mei</w:t>
            </w:r>
          </w:p>
        </w:tc>
        <w:tc>
          <w:tcPr>
            <w:tcW w:w="7442" w:type="dxa"/>
            <w:vAlign w:val="center"/>
          </w:tcPr>
          <w:p w14:paraId="7DFD2FBD" w14:textId="2CE0ABD1"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Energievoorzieningszekerheid (werkgroep): tweede vergadering</w:t>
            </w:r>
          </w:p>
        </w:tc>
      </w:tr>
      <w:tr w:rsidR="00792558" w:rsidRPr="00F006D0" w14:paraId="729354C7" w14:textId="77777777" w:rsidTr="00BF7CBB">
        <w:tc>
          <w:tcPr>
            <w:tcW w:w="1661" w:type="dxa"/>
            <w:vAlign w:val="center"/>
          </w:tcPr>
          <w:p w14:paraId="02A32F01" w14:textId="63058799"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4 juni</w:t>
            </w:r>
          </w:p>
        </w:tc>
        <w:tc>
          <w:tcPr>
            <w:tcW w:w="7442" w:type="dxa"/>
            <w:vAlign w:val="center"/>
          </w:tcPr>
          <w:p w14:paraId="494EE426" w14:textId="422C3A5B"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Organische producten (werkgroep): tweede vergadering</w:t>
            </w:r>
          </w:p>
        </w:tc>
      </w:tr>
      <w:tr w:rsidR="00792558" w:rsidRPr="00F006D0" w14:paraId="26FD90DB" w14:textId="77777777" w:rsidTr="00BF7CBB">
        <w:tc>
          <w:tcPr>
            <w:tcW w:w="1661" w:type="dxa"/>
            <w:vAlign w:val="center"/>
          </w:tcPr>
          <w:p w14:paraId="1928585F" w14:textId="662FD651"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5 juni</w:t>
            </w:r>
          </w:p>
        </w:tc>
        <w:tc>
          <w:tcPr>
            <w:tcW w:w="7442" w:type="dxa"/>
            <w:vAlign w:val="center"/>
          </w:tcPr>
          <w:p w14:paraId="3BD2F493" w14:textId="35C78F33"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Geneesmiddelen (werkgroep): tweede vergadering</w:t>
            </w:r>
          </w:p>
        </w:tc>
      </w:tr>
      <w:tr w:rsidR="00792558" w:rsidRPr="00F006D0" w14:paraId="21103B8A" w14:textId="77777777" w:rsidTr="00BF7CBB">
        <w:tc>
          <w:tcPr>
            <w:tcW w:w="1661" w:type="dxa"/>
            <w:vAlign w:val="center"/>
          </w:tcPr>
          <w:p w14:paraId="100C6E84" w14:textId="609C01FC"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11 juni</w:t>
            </w:r>
          </w:p>
        </w:tc>
        <w:tc>
          <w:tcPr>
            <w:tcW w:w="7442" w:type="dxa"/>
            <w:vAlign w:val="center"/>
          </w:tcPr>
          <w:p w14:paraId="47F870E7" w14:textId="43CD5EB6"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Luchtvervoer (gespecialiseerd comité): vijfde vergadering</w:t>
            </w:r>
          </w:p>
        </w:tc>
      </w:tr>
      <w:tr w:rsidR="00792558" w:rsidRPr="00F006D0" w14:paraId="5E2647EB" w14:textId="77777777" w:rsidTr="00BF7CBB">
        <w:tc>
          <w:tcPr>
            <w:tcW w:w="1661" w:type="dxa"/>
            <w:vAlign w:val="center"/>
          </w:tcPr>
          <w:p w14:paraId="06C8ED03" w14:textId="5C050241"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 xml:space="preserve">12 juni </w:t>
            </w:r>
          </w:p>
        </w:tc>
        <w:tc>
          <w:tcPr>
            <w:tcW w:w="7442" w:type="dxa"/>
            <w:vAlign w:val="center"/>
          </w:tcPr>
          <w:p w14:paraId="65393154" w14:textId="38B73506"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Motorvoertuigen en -onderdelen (werkgroep): tweede vergadering</w:t>
            </w:r>
          </w:p>
        </w:tc>
      </w:tr>
      <w:tr w:rsidR="00792558" w:rsidRPr="00F006D0" w14:paraId="33E4B31E" w14:textId="77777777" w:rsidTr="00BF7CBB">
        <w:tc>
          <w:tcPr>
            <w:tcW w:w="1661" w:type="dxa"/>
            <w:vAlign w:val="center"/>
          </w:tcPr>
          <w:p w14:paraId="7DA1EB7E" w14:textId="47344C0F"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13 juni</w:t>
            </w:r>
          </w:p>
        </w:tc>
        <w:tc>
          <w:tcPr>
            <w:tcW w:w="7442" w:type="dxa"/>
            <w:vAlign w:val="center"/>
          </w:tcPr>
          <w:p w14:paraId="47D43AE8" w14:textId="6779F6E7"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Binnenlandse adviesgroep van de EU: vijftiende vergadering</w:t>
            </w:r>
          </w:p>
        </w:tc>
      </w:tr>
      <w:tr w:rsidR="00792558" w:rsidRPr="00F006D0" w14:paraId="24B66C51" w14:textId="77777777" w:rsidTr="00BF7CBB">
        <w:tc>
          <w:tcPr>
            <w:tcW w:w="1661" w:type="dxa"/>
            <w:vAlign w:val="center"/>
          </w:tcPr>
          <w:p w14:paraId="67B861C2" w14:textId="3C56AA20"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18 juni</w:t>
            </w:r>
          </w:p>
        </w:tc>
        <w:tc>
          <w:tcPr>
            <w:tcW w:w="7442" w:type="dxa"/>
            <w:vAlign w:val="center"/>
          </w:tcPr>
          <w:p w14:paraId="278B43D8" w14:textId="4D01DFF2"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Energie (gespecialiseerd comité): zesde vergadering</w:t>
            </w:r>
          </w:p>
        </w:tc>
      </w:tr>
      <w:tr w:rsidR="00792558" w:rsidRPr="00F006D0" w14:paraId="7B9A7173" w14:textId="77777777" w:rsidTr="00BF7CBB">
        <w:tc>
          <w:tcPr>
            <w:tcW w:w="1661" w:type="dxa"/>
            <w:vAlign w:val="center"/>
          </w:tcPr>
          <w:p w14:paraId="056637C5" w14:textId="63C95CD3"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24 juni</w:t>
            </w:r>
          </w:p>
        </w:tc>
        <w:tc>
          <w:tcPr>
            <w:tcW w:w="7442" w:type="dxa"/>
            <w:vAlign w:val="center"/>
          </w:tcPr>
          <w:p w14:paraId="3D7639F6" w14:textId="5BF9338F" w:rsidR="00792558" w:rsidRPr="004E3ECA" w:rsidRDefault="00792558"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Forum voor het maatschappelijk middenveld: vierde vergadering</w:t>
            </w:r>
          </w:p>
        </w:tc>
      </w:tr>
      <w:tr w:rsidR="008D7052" w:rsidRPr="00F006D0" w14:paraId="140DBCAC" w14:textId="77777777" w:rsidTr="00BF7CBB">
        <w:tc>
          <w:tcPr>
            <w:tcW w:w="1661" w:type="dxa"/>
            <w:vAlign w:val="center"/>
          </w:tcPr>
          <w:p w14:paraId="6EFF35DF" w14:textId="102C5E0A" w:rsidR="008D7052" w:rsidRPr="004E3ECA" w:rsidRDefault="008D70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16 juli</w:t>
            </w:r>
          </w:p>
        </w:tc>
        <w:tc>
          <w:tcPr>
            <w:tcW w:w="7442" w:type="dxa"/>
            <w:vAlign w:val="center"/>
          </w:tcPr>
          <w:p w14:paraId="7747AEE7" w14:textId="0A0ABED0" w:rsidR="008D7052" w:rsidRPr="004E3ECA" w:rsidRDefault="008D70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Visserij (werkgroep): tiende vergadering</w:t>
            </w:r>
          </w:p>
        </w:tc>
      </w:tr>
      <w:tr w:rsidR="008D7052" w:rsidRPr="00F006D0" w14:paraId="13F6DD8B" w14:textId="77777777" w:rsidTr="00BF7CBB">
        <w:tc>
          <w:tcPr>
            <w:tcW w:w="1661" w:type="dxa"/>
            <w:vAlign w:val="center"/>
          </w:tcPr>
          <w:p w14:paraId="46588D13" w14:textId="22A5CC04" w:rsidR="008D7052" w:rsidRPr="004E3ECA" w:rsidRDefault="001A2F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17 september</w:t>
            </w:r>
          </w:p>
        </w:tc>
        <w:tc>
          <w:tcPr>
            <w:tcW w:w="7442" w:type="dxa"/>
            <w:vAlign w:val="center"/>
          </w:tcPr>
          <w:p w14:paraId="4E28F2C9" w14:textId="3D839926" w:rsidR="008D7052" w:rsidRPr="004E3ECA" w:rsidRDefault="008D70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Visserij (gespecialiseerd comité): elfde vergadering</w:t>
            </w:r>
          </w:p>
        </w:tc>
      </w:tr>
      <w:tr w:rsidR="008D7052" w:rsidRPr="00F006D0" w14:paraId="7C654B80" w14:textId="77777777" w:rsidTr="00BF7CBB">
        <w:tc>
          <w:tcPr>
            <w:tcW w:w="1661" w:type="dxa"/>
            <w:vAlign w:val="center"/>
          </w:tcPr>
          <w:p w14:paraId="009DCCC8" w14:textId="7BA59EDC" w:rsidR="008D7052" w:rsidRPr="004E3ECA" w:rsidRDefault="00E453DD"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29 september</w:t>
            </w:r>
          </w:p>
        </w:tc>
        <w:tc>
          <w:tcPr>
            <w:tcW w:w="7442" w:type="dxa"/>
            <w:vAlign w:val="center"/>
          </w:tcPr>
          <w:p w14:paraId="40C5B95F" w14:textId="7C971ED8" w:rsidR="008D7052" w:rsidRPr="004E3ECA" w:rsidRDefault="008D70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Sanitaire en fytosanitaire maatregelen (gespecialiseerd handelscomité): vijfde vergadering</w:t>
            </w:r>
          </w:p>
        </w:tc>
      </w:tr>
      <w:tr w:rsidR="008D7052" w:rsidRPr="00F006D0" w14:paraId="28E4CDE8" w14:textId="77777777" w:rsidTr="00BF7CBB">
        <w:tc>
          <w:tcPr>
            <w:tcW w:w="1661" w:type="dxa"/>
            <w:vAlign w:val="center"/>
          </w:tcPr>
          <w:p w14:paraId="550E5892" w14:textId="05695931" w:rsidR="008D7052" w:rsidRPr="004E3ECA" w:rsidRDefault="001A2F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1 oktober</w:t>
            </w:r>
          </w:p>
        </w:tc>
        <w:tc>
          <w:tcPr>
            <w:tcW w:w="7442" w:type="dxa"/>
            <w:vAlign w:val="center"/>
          </w:tcPr>
          <w:p w14:paraId="2268C89C" w14:textId="4342D8C1" w:rsidR="008D7052" w:rsidRPr="004E3ECA" w:rsidRDefault="008D70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Gezamenlijk forum voor financiële regelgeving tussen de EU en het Verenigd Koninkrijk: vierde vergadering</w:t>
            </w:r>
          </w:p>
        </w:tc>
      </w:tr>
      <w:tr w:rsidR="008D7052" w:rsidRPr="00F006D0" w14:paraId="3E9AD88C" w14:textId="77777777" w:rsidTr="00BF7CBB">
        <w:tc>
          <w:tcPr>
            <w:tcW w:w="1661" w:type="dxa"/>
            <w:vAlign w:val="center"/>
          </w:tcPr>
          <w:p w14:paraId="6CBC10D3" w14:textId="2EBC714D" w:rsidR="008D7052" w:rsidRPr="004E3ECA" w:rsidRDefault="001A2F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2 oktober</w:t>
            </w:r>
          </w:p>
        </w:tc>
        <w:tc>
          <w:tcPr>
            <w:tcW w:w="7442" w:type="dxa"/>
            <w:vAlign w:val="center"/>
          </w:tcPr>
          <w:p w14:paraId="05DE5CCD" w14:textId="79181232" w:rsidR="008D7052" w:rsidRPr="004E3ECA" w:rsidRDefault="008D70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Administratieve samenwerking inzake btw en inning van belastingen en rechten (gespecialiseerd handelscomité): vijfde vergadering</w:t>
            </w:r>
          </w:p>
        </w:tc>
      </w:tr>
      <w:tr w:rsidR="008D7052" w:rsidRPr="00F006D0" w14:paraId="0394CCF9" w14:textId="77777777" w:rsidTr="00BF7CBB">
        <w:tc>
          <w:tcPr>
            <w:tcW w:w="1661" w:type="dxa"/>
            <w:vAlign w:val="center"/>
          </w:tcPr>
          <w:p w14:paraId="557255EA" w14:textId="1621FBEF" w:rsidR="008D7052" w:rsidRPr="004E3ECA" w:rsidRDefault="001A2F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8 oktober</w:t>
            </w:r>
          </w:p>
        </w:tc>
        <w:tc>
          <w:tcPr>
            <w:tcW w:w="7442" w:type="dxa"/>
            <w:vAlign w:val="center"/>
          </w:tcPr>
          <w:p w14:paraId="1E56D0CB" w14:textId="2B7F01B3" w:rsidR="008D7052" w:rsidRPr="004E3ECA" w:rsidRDefault="008D70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Overheidsopdrachten (gespecialiseerd handelscomité): vijfde vergadering</w:t>
            </w:r>
          </w:p>
        </w:tc>
      </w:tr>
      <w:tr w:rsidR="008D7052" w:rsidRPr="00F006D0" w14:paraId="5BB42817" w14:textId="77777777" w:rsidTr="00BF7CBB">
        <w:tc>
          <w:tcPr>
            <w:tcW w:w="1661" w:type="dxa"/>
            <w:vAlign w:val="center"/>
          </w:tcPr>
          <w:p w14:paraId="72B0C72B" w14:textId="5E6B46D0" w:rsidR="008D7052" w:rsidRPr="004E3ECA" w:rsidRDefault="001A2F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9 oktober</w:t>
            </w:r>
          </w:p>
        </w:tc>
        <w:tc>
          <w:tcPr>
            <w:tcW w:w="7442" w:type="dxa"/>
            <w:vAlign w:val="center"/>
          </w:tcPr>
          <w:p w14:paraId="02D5B602" w14:textId="2972F17F" w:rsidR="008D7052" w:rsidRPr="004E3ECA" w:rsidRDefault="008D70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Intellectuele eigendom (gespecialiseerd handelscomité): vijfde vergadering</w:t>
            </w:r>
          </w:p>
        </w:tc>
      </w:tr>
      <w:tr w:rsidR="008D7052" w:rsidRPr="00F006D0" w14:paraId="038D95FF" w14:textId="77777777" w:rsidTr="00BF7CBB">
        <w:tc>
          <w:tcPr>
            <w:tcW w:w="1661" w:type="dxa"/>
            <w:vAlign w:val="center"/>
          </w:tcPr>
          <w:p w14:paraId="6067EC4A" w14:textId="1041D063" w:rsidR="008D7052" w:rsidRPr="004E3ECA" w:rsidRDefault="00DB0117"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15 oktober</w:t>
            </w:r>
          </w:p>
        </w:tc>
        <w:tc>
          <w:tcPr>
            <w:tcW w:w="7442" w:type="dxa"/>
            <w:vAlign w:val="center"/>
          </w:tcPr>
          <w:p w14:paraId="0DE0C90C" w14:textId="1776D5C8" w:rsidR="008D7052" w:rsidRPr="004E3ECA" w:rsidRDefault="008D7052" w:rsidP="00DB0117">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Gelijk speelveld voor open en eerlijke concurrentie en duurzame ontwikkeling (gespecialiseerd handelscomité): vijfde vergadering</w:t>
            </w:r>
          </w:p>
        </w:tc>
      </w:tr>
      <w:tr w:rsidR="008D7052" w:rsidRPr="00F006D0" w14:paraId="2692AC4C" w14:textId="77777777" w:rsidTr="00BF7CBB">
        <w:tc>
          <w:tcPr>
            <w:tcW w:w="1661" w:type="dxa"/>
            <w:vAlign w:val="center"/>
          </w:tcPr>
          <w:p w14:paraId="77DAF0B2" w14:textId="4CA9C0C1" w:rsidR="008D7052" w:rsidRPr="004E3ECA" w:rsidRDefault="00DB0117"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16 oktober</w:t>
            </w:r>
          </w:p>
        </w:tc>
        <w:tc>
          <w:tcPr>
            <w:tcW w:w="7442" w:type="dxa"/>
            <w:vAlign w:val="center"/>
          </w:tcPr>
          <w:p w14:paraId="2550C497" w14:textId="189BB513" w:rsidR="008D7052" w:rsidRPr="004E3ECA" w:rsidRDefault="008D70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Douanesamenwerking en oorsprongsregels (gespecialiseerd handelscomité): vijfde vergadering</w:t>
            </w:r>
          </w:p>
        </w:tc>
      </w:tr>
      <w:tr w:rsidR="008D7052" w:rsidRPr="00F006D0" w14:paraId="55F8B2AF" w14:textId="77777777" w:rsidTr="00BF7CBB">
        <w:tc>
          <w:tcPr>
            <w:tcW w:w="1661" w:type="dxa"/>
            <w:vAlign w:val="center"/>
          </w:tcPr>
          <w:p w14:paraId="2D83A036" w14:textId="78EABCEA" w:rsidR="008D7052" w:rsidRPr="004E3ECA" w:rsidRDefault="00DB0117"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22 oktober</w:t>
            </w:r>
          </w:p>
        </w:tc>
        <w:tc>
          <w:tcPr>
            <w:tcW w:w="7442" w:type="dxa"/>
            <w:vAlign w:val="center"/>
          </w:tcPr>
          <w:p w14:paraId="2DA60ACA" w14:textId="40EBD278" w:rsidR="008D7052" w:rsidRPr="004E3ECA" w:rsidRDefault="008D70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Technische handelsbelemmeringen (gespecialiseerd handelscomité): vijfde vergadering</w:t>
            </w:r>
          </w:p>
        </w:tc>
      </w:tr>
      <w:tr w:rsidR="008D7052" w:rsidRPr="00F006D0" w14:paraId="36FF98D9" w14:textId="77777777" w:rsidTr="00BF7CBB">
        <w:tc>
          <w:tcPr>
            <w:tcW w:w="1661" w:type="dxa"/>
            <w:vAlign w:val="center"/>
          </w:tcPr>
          <w:p w14:paraId="7BE4C7A5" w14:textId="0705B185" w:rsidR="008D7052" w:rsidRPr="004E3ECA" w:rsidRDefault="00DB0117"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23 oktober</w:t>
            </w:r>
          </w:p>
        </w:tc>
        <w:tc>
          <w:tcPr>
            <w:tcW w:w="7442" w:type="dxa"/>
            <w:vAlign w:val="center"/>
          </w:tcPr>
          <w:p w14:paraId="12CBFEEE" w14:textId="06979301" w:rsidR="008D7052" w:rsidRPr="004E3ECA" w:rsidRDefault="008D70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Diensten, investeringen en digitale handel (gespecialiseerd handelscomité): vijfde vergadering</w:t>
            </w:r>
          </w:p>
        </w:tc>
      </w:tr>
      <w:tr w:rsidR="0050341E" w:rsidRPr="00F006D0" w14:paraId="14F14061" w14:textId="77777777" w:rsidTr="00BF7CBB">
        <w:tc>
          <w:tcPr>
            <w:tcW w:w="1661" w:type="dxa"/>
            <w:vAlign w:val="center"/>
          </w:tcPr>
          <w:p w14:paraId="5034C046" w14:textId="490CF111" w:rsidR="0050341E" w:rsidRDefault="0050341E" w:rsidP="0050341E">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30 oktober</w:t>
            </w:r>
          </w:p>
        </w:tc>
        <w:tc>
          <w:tcPr>
            <w:tcW w:w="7442" w:type="dxa"/>
            <w:vAlign w:val="center"/>
          </w:tcPr>
          <w:p w14:paraId="12C11938" w14:textId="1088F5B7" w:rsidR="0050341E" w:rsidRPr="004E3ECA" w:rsidRDefault="0050341E" w:rsidP="0050341E">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 xml:space="preserve">Wegvervoer (gespecialiseerd comité): vijfde vergadering </w:t>
            </w:r>
          </w:p>
        </w:tc>
      </w:tr>
      <w:tr w:rsidR="008D7052" w:rsidRPr="00F006D0" w14:paraId="03ADF3D4" w14:textId="77777777" w:rsidTr="00BF7CBB">
        <w:tc>
          <w:tcPr>
            <w:tcW w:w="1661" w:type="dxa"/>
            <w:vAlign w:val="center"/>
          </w:tcPr>
          <w:p w14:paraId="03023307" w14:textId="62AC5FAB" w:rsidR="008D7052" w:rsidRPr="004E3ECA" w:rsidRDefault="00DB0117"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6 november</w:t>
            </w:r>
          </w:p>
        </w:tc>
        <w:tc>
          <w:tcPr>
            <w:tcW w:w="7442" w:type="dxa"/>
            <w:vAlign w:val="center"/>
          </w:tcPr>
          <w:p w14:paraId="066C4C0B" w14:textId="436FCE78" w:rsidR="008D7052" w:rsidRPr="004E3ECA" w:rsidRDefault="008D70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Goederen (gespecialiseerd handelscomité): vijfde vergadering</w:t>
            </w:r>
          </w:p>
        </w:tc>
      </w:tr>
      <w:tr w:rsidR="00DB0117" w:rsidRPr="00F006D0" w14:paraId="27D0B194" w14:textId="77777777" w:rsidTr="00BF7CBB">
        <w:tc>
          <w:tcPr>
            <w:tcW w:w="1661" w:type="dxa"/>
            <w:vAlign w:val="center"/>
          </w:tcPr>
          <w:p w14:paraId="2C12FA8E" w14:textId="291BA340" w:rsidR="00DB0117" w:rsidRDefault="00DB0117" w:rsidP="00DB0117">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7 november</w:t>
            </w:r>
          </w:p>
        </w:tc>
        <w:tc>
          <w:tcPr>
            <w:tcW w:w="7442" w:type="dxa"/>
            <w:vAlign w:val="center"/>
          </w:tcPr>
          <w:p w14:paraId="6F22DEF8" w14:textId="24528553" w:rsidR="00DB0117" w:rsidRPr="004E3ECA" w:rsidRDefault="00DB0117" w:rsidP="00DB0117">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Energie (gespecialiseerd comité): zevende vergadering</w:t>
            </w:r>
          </w:p>
        </w:tc>
      </w:tr>
      <w:tr w:rsidR="008D7052" w:rsidRPr="00F006D0" w14:paraId="3955CBC1" w14:textId="77777777" w:rsidTr="00BF7CBB">
        <w:tc>
          <w:tcPr>
            <w:tcW w:w="1661" w:type="dxa"/>
            <w:vAlign w:val="center"/>
          </w:tcPr>
          <w:p w14:paraId="7505E392" w14:textId="72A5778D" w:rsidR="008D7052" w:rsidRPr="004E3ECA" w:rsidRDefault="00DB0117"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12 november</w:t>
            </w:r>
          </w:p>
        </w:tc>
        <w:tc>
          <w:tcPr>
            <w:tcW w:w="7442" w:type="dxa"/>
            <w:vAlign w:val="center"/>
          </w:tcPr>
          <w:p w14:paraId="7DF84AAD" w14:textId="2B767D29" w:rsidR="008D7052" w:rsidRPr="004E3ECA" w:rsidRDefault="008D70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Samenwerking op het gebied van regelgeving (gespecialiseerd handelscomité): vijfde vergadering</w:t>
            </w:r>
          </w:p>
        </w:tc>
      </w:tr>
      <w:tr w:rsidR="008D7052" w:rsidRPr="00F006D0" w14:paraId="7A4B7683" w14:textId="77777777" w:rsidTr="00BF7CBB">
        <w:tc>
          <w:tcPr>
            <w:tcW w:w="1661" w:type="dxa"/>
            <w:vAlign w:val="center"/>
          </w:tcPr>
          <w:p w14:paraId="7577DF5A" w14:textId="5756D7B8" w:rsidR="008D7052" w:rsidRPr="00BE46DE" w:rsidRDefault="00BE46DE"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18-19 november</w:t>
            </w:r>
          </w:p>
        </w:tc>
        <w:tc>
          <w:tcPr>
            <w:tcW w:w="7442" w:type="dxa"/>
            <w:vAlign w:val="center"/>
          </w:tcPr>
          <w:p w14:paraId="12C06766" w14:textId="2D609A12" w:rsidR="008D7052" w:rsidRPr="00BE46DE" w:rsidRDefault="008D70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Parlementaire Partnerschapsassemblee: zesde vergadering</w:t>
            </w:r>
          </w:p>
        </w:tc>
      </w:tr>
      <w:tr w:rsidR="00153F3B" w:rsidRPr="00F006D0" w14:paraId="0E4A58C2" w14:textId="77777777" w:rsidTr="00BF7CBB">
        <w:tc>
          <w:tcPr>
            <w:tcW w:w="1661" w:type="dxa"/>
            <w:vAlign w:val="center"/>
          </w:tcPr>
          <w:p w14:paraId="6E5F0CF1" w14:textId="75D116AF" w:rsidR="00153F3B" w:rsidRDefault="00153F3B"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21 november</w:t>
            </w:r>
          </w:p>
        </w:tc>
        <w:tc>
          <w:tcPr>
            <w:tcW w:w="7442" w:type="dxa"/>
            <w:vAlign w:val="center"/>
          </w:tcPr>
          <w:p w14:paraId="4F807661" w14:textId="113061AD" w:rsidR="00153F3B" w:rsidRPr="004E3ECA" w:rsidRDefault="00153F3B"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Dialoog over schadelijke belastingregelingen: tweede vergadering</w:t>
            </w:r>
          </w:p>
        </w:tc>
      </w:tr>
      <w:tr w:rsidR="008D7052" w:rsidRPr="00F006D0" w14:paraId="15E7374F" w14:textId="77777777" w:rsidTr="00BF7CBB">
        <w:tc>
          <w:tcPr>
            <w:tcW w:w="1661" w:type="dxa"/>
            <w:vAlign w:val="center"/>
          </w:tcPr>
          <w:p w14:paraId="2AF1248C" w14:textId="016166F4" w:rsidR="008D7052" w:rsidRPr="004E3ECA" w:rsidRDefault="00DB0117"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26 november</w:t>
            </w:r>
          </w:p>
        </w:tc>
        <w:tc>
          <w:tcPr>
            <w:tcW w:w="7442" w:type="dxa"/>
            <w:vAlign w:val="center"/>
          </w:tcPr>
          <w:p w14:paraId="0013E28F" w14:textId="62417D62" w:rsidR="008D7052" w:rsidRPr="004E3ECA" w:rsidRDefault="008D70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Veiligheid van de luchtvaart (gespecialiseerd comité): vijfde vergadering</w:t>
            </w:r>
          </w:p>
        </w:tc>
      </w:tr>
      <w:tr w:rsidR="008D7052" w:rsidRPr="00F006D0" w14:paraId="0420BB1D" w14:textId="77777777" w:rsidTr="00BF7CBB">
        <w:tc>
          <w:tcPr>
            <w:tcW w:w="1661" w:type="dxa"/>
            <w:vAlign w:val="center"/>
          </w:tcPr>
          <w:p w14:paraId="42F1AFA1" w14:textId="2CEC0C39" w:rsidR="008D7052" w:rsidRPr="004E3ECA" w:rsidRDefault="00DB0117"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1 december</w:t>
            </w:r>
          </w:p>
        </w:tc>
        <w:tc>
          <w:tcPr>
            <w:tcW w:w="7442" w:type="dxa"/>
            <w:vAlign w:val="center"/>
          </w:tcPr>
          <w:p w14:paraId="4CEB90D9" w14:textId="76B6F8AF" w:rsidR="008D7052" w:rsidRPr="004E3ECA" w:rsidRDefault="008D70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Coördinatie van de sociale zekerheid (gespecialiseerd comité): vijfde vergadering</w:t>
            </w:r>
          </w:p>
        </w:tc>
      </w:tr>
      <w:tr w:rsidR="008D7052" w:rsidRPr="00F006D0" w14:paraId="430CC0E3" w14:textId="77777777" w:rsidTr="00BF7CBB">
        <w:tc>
          <w:tcPr>
            <w:tcW w:w="1661" w:type="dxa"/>
            <w:vAlign w:val="center"/>
          </w:tcPr>
          <w:p w14:paraId="3D18A43F" w14:textId="37EF8E22" w:rsidR="008D7052" w:rsidRPr="004E3ECA" w:rsidRDefault="00206650"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4 december</w:t>
            </w:r>
          </w:p>
        </w:tc>
        <w:tc>
          <w:tcPr>
            <w:tcW w:w="7442" w:type="dxa"/>
            <w:vAlign w:val="center"/>
          </w:tcPr>
          <w:p w14:paraId="7561C699" w14:textId="5B508E1E" w:rsidR="008D7052" w:rsidRPr="004E3ECA" w:rsidRDefault="008D70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 xml:space="preserve">Comité voor het handelspartnerschap: vijfde vergadering </w:t>
            </w:r>
          </w:p>
        </w:tc>
      </w:tr>
      <w:tr w:rsidR="008D7052" w:rsidRPr="00F006D0" w14:paraId="49552707" w14:textId="77777777" w:rsidTr="00BF7CBB">
        <w:tc>
          <w:tcPr>
            <w:tcW w:w="1661" w:type="dxa"/>
            <w:vAlign w:val="center"/>
          </w:tcPr>
          <w:p w14:paraId="1368C1DA" w14:textId="5B9563F1" w:rsidR="008D7052" w:rsidRPr="004E3ECA" w:rsidRDefault="0050341E"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4 december</w:t>
            </w:r>
          </w:p>
        </w:tc>
        <w:tc>
          <w:tcPr>
            <w:tcW w:w="7442" w:type="dxa"/>
            <w:vAlign w:val="center"/>
          </w:tcPr>
          <w:p w14:paraId="34E17BBF" w14:textId="62C70CCF" w:rsidR="008D7052" w:rsidRPr="004E3ECA" w:rsidRDefault="008D70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Samenwerking inzake rechtshandhaving en justitie in strafzaken (gespecialiseerd comité): vijfde vergadering</w:t>
            </w:r>
          </w:p>
        </w:tc>
      </w:tr>
      <w:tr w:rsidR="008D7052" w:rsidRPr="00F006D0" w14:paraId="7032F7F9" w14:textId="77777777" w:rsidTr="00BF7CBB">
        <w:tc>
          <w:tcPr>
            <w:tcW w:w="1661" w:type="dxa"/>
            <w:vAlign w:val="center"/>
          </w:tcPr>
          <w:p w14:paraId="568E3695" w14:textId="756F568C" w:rsidR="008D7052" w:rsidRPr="004E3ECA" w:rsidRDefault="00153F3B" w:rsidP="00470A6D">
            <w:pPr>
              <w:spacing w:before="100" w:beforeAutospacing="1" w:after="100" w:afterAutospacing="1"/>
              <w:rPr>
                <w:rFonts w:ascii="Times New Roman" w:hAnsi="Times New Roman" w:cs="Times New Roman"/>
                <w:noProof/>
                <w:sz w:val="24"/>
                <w:szCs w:val="24"/>
              </w:rPr>
            </w:pPr>
            <w:bookmarkStart w:id="86" w:name="_Hlk215156625"/>
            <w:r>
              <w:rPr>
                <w:rFonts w:ascii="Times New Roman" w:hAnsi="Times New Roman"/>
                <w:noProof/>
                <w:sz w:val="24"/>
              </w:rPr>
              <w:t>9-10 december</w:t>
            </w:r>
          </w:p>
        </w:tc>
        <w:tc>
          <w:tcPr>
            <w:tcW w:w="7442" w:type="dxa"/>
            <w:vAlign w:val="center"/>
          </w:tcPr>
          <w:p w14:paraId="28D0E020" w14:textId="5484F9C2" w:rsidR="008D7052" w:rsidRPr="00153F3B" w:rsidRDefault="008D7052"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Dialoog over cybervraagstukken — artikel 703 van de overeenkomst: derde vergadering</w:t>
            </w:r>
          </w:p>
        </w:tc>
      </w:tr>
      <w:tr w:rsidR="008D7052" w:rsidRPr="00F006D0" w14:paraId="344F8DE6" w14:textId="77777777" w:rsidTr="00BF7CBB">
        <w:tc>
          <w:tcPr>
            <w:tcW w:w="1661" w:type="dxa"/>
            <w:vAlign w:val="center"/>
          </w:tcPr>
          <w:p w14:paraId="0706EB29" w14:textId="52269998" w:rsidR="008D7052" w:rsidRPr="004E3ECA" w:rsidRDefault="00153F3B"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15 december</w:t>
            </w:r>
          </w:p>
        </w:tc>
        <w:tc>
          <w:tcPr>
            <w:tcW w:w="7442" w:type="dxa"/>
            <w:vAlign w:val="center"/>
          </w:tcPr>
          <w:p w14:paraId="2F78472E" w14:textId="7E5E53B4" w:rsidR="008D7052" w:rsidRPr="00153F3B" w:rsidRDefault="00153F3B"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Deelname aan programma’s van de Unie (gespecialiseerd comité): vijfde vergadering</w:t>
            </w:r>
          </w:p>
        </w:tc>
      </w:tr>
    </w:tbl>
    <w:p w14:paraId="5105B79E" w14:textId="77777777" w:rsidR="00DF1978" w:rsidRDefault="00DF1978" w:rsidP="00470A6D">
      <w:pPr>
        <w:pStyle w:val="Heading1"/>
        <w:keepNext w:val="0"/>
        <w:keepLines w:val="0"/>
        <w:spacing w:before="100" w:beforeAutospacing="1" w:after="100" w:afterAutospacing="1" w:line="240" w:lineRule="auto"/>
        <w:rPr>
          <w:rFonts w:ascii="Times New Roman" w:hAnsi="Times New Roman" w:cs="Times New Roman"/>
          <w:b/>
          <w:bCs/>
          <w:noProof/>
          <w:color w:val="auto"/>
        </w:rPr>
      </w:pPr>
      <w:bookmarkStart w:id="87" w:name="_Toc185413400"/>
      <w:bookmarkStart w:id="88" w:name="_Toc204769336"/>
      <w:bookmarkEnd w:id="86"/>
    </w:p>
    <w:p w14:paraId="433041FF" w14:textId="77777777" w:rsidR="00DF1978" w:rsidRDefault="00DF1978" w:rsidP="00470A6D">
      <w:pPr>
        <w:spacing w:before="100" w:beforeAutospacing="1" w:after="100" w:afterAutospacing="1" w:line="240" w:lineRule="auto"/>
        <w:rPr>
          <w:rFonts w:ascii="Times New Roman" w:eastAsiaTheme="majorEastAsia" w:hAnsi="Times New Roman" w:cs="Times New Roman"/>
          <w:b/>
          <w:bCs/>
          <w:noProof/>
          <w:sz w:val="32"/>
          <w:szCs w:val="32"/>
        </w:rPr>
      </w:pPr>
      <w:r>
        <w:rPr>
          <w:noProof/>
        </w:rPr>
        <w:br w:type="page"/>
      </w:r>
    </w:p>
    <w:p w14:paraId="11EBED9A" w14:textId="0C6E6B82" w:rsidR="001A76E8" w:rsidRPr="00157ED4" w:rsidRDefault="7AFBC456" w:rsidP="00470A6D">
      <w:pPr>
        <w:pStyle w:val="Heading1"/>
        <w:keepNext w:val="0"/>
        <w:keepLines w:val="0"/>
        <w:spacing w:before="100" w:beforeAutospacing="1" w:after="100" w:afterAutospacing="1" w:line="240" w:lineRule="auto"/>
        <w:rPr>
          <w:rFonts w:ascii="Times New Roman" w:hAnsi="Times New Roman" w:cs="Times New Roman"/>
          <w:b/>
          <w:bCs/>
          <w:noProof/>
          <w:color w:val="auto"/>
          <w:sz w:val="31"/>
          <w:szCs w:val="31"/>
        </w:rPr>
      </w:pPr>
      <w:bookmarkStart w:id="89" w:name="_Toc226723216"/>
      <w:r>
        <w:rPr>
          <w:rFonts w:ascii="Times New Roman" w:hAnsi="Times New Roman"/>
          <w:b/>
          <w:noProof/>
          <w:color w:val="auto"/>
        </w:rPr>
        <w:t>Bijlage 2:</w:t>
      </w:r>
      <w:r>
        <w:rPr>
          <w:rFonts w:ascii="Times New Roman" w:hAnsi="Times New Roman"/>
          <w:b/>
          <w:noProof/>
          <w:color w:val="auto"/>
          <w:sz w:val="31"/>
        </w:rPr>
        <w:t xml:space="preserve"> </w:t>
      </w:r>
      <w:r>
        <w:rPr>
          <w:rFonts w:ascii="Times New Roman" w:hAnsi="Times New Roman"/>
          <w:b/>
          <w:noProof/>
          <w:color w:val="auto"/>
        </w:rPr>
        <w:t xml:space="preserve">Besluiten, aanbevelingen en verklaringen van de </w:t>
      </w:r>
      <w:r>
        <w:rPr>
          <w:rFonts w:ascii="Times New Roman" w:hAnsi="Times New Roman"/>
          <w:b/>
          <w:noProof/>
          <w:color w:val="auto"/>
          <w:sz w:val="31"/>
        </w:rPr>
        <w:t>Partnerschapsraad en de bij de overeenkomst ingestelde comités</w:t>
      </w:r>
      <w:bookmarkStart w:id="90" w:name="_Hlk187697968"/>
      <w:bookmarkEnd w:id="87"/>
      <w:bookmarkEnd w:id="88"/>
      <w:bookmarkEnd w:id="89"/>
    </w:p>
    <w:tbl>
      <w:tblPr>
        <w:tblStyle w:val="TableGrid"/>
        <w:tblW w:w="0" w:type="auto"/>
        <w:tblInd w:w="-34" w:type="dxa"/>
        <w:tblLook w:val="04A0" w:firstRow="1" w:lastRow="0" w:firstColumn="1" w:lastColumn="0" w:noHBand="0" w:noVBand="1"/>
      </w:tblPr>
      <w:tblGrid>
        <w:gridCol w:w="1560"/>
        <w:gridCol w:w="7716"/>
      </w:tblGrid>
      <w:tr w:rsidR="00F006D0" w:rsidRPr="00F006D0" w14:paraId="4D25622D" w14:textId="77777777" w:rsidTr="008C47FD">
        <w:tc>
          <w:tcPr>
            <w:tcW w:w="1560" w:type="dxa"/>
            <w:shd w:val="clear" w:color="auto" w:fill="D0CECE" w:themeFill="background2" w:themeFillShade="E6"/>
          </w:tcPr>
          <w:p w14:paraId="760E1FFE" w14:textId="77777777" w:rsidR="00040652" w:rsidRPr="00F006D0" w:rsidRDefault="00040652" w:rsidP="00470A6D">
            <w:pPr>
              <w:spacing w:before="100" w:beforeAutospacing="1" w:after="100" w:afterAutospacing="1"/>
              <w:rPr>
                <w:rFonts w:ascii="Times New Roman" w:eastAsia="Times New Roman" w:hAnsi="Times New Roman" w:cs="Times New Roman"/>
                <w:b/>
                <w:bCs/>
                <w:noProof/>
                <w:sz w:val="24"/>
                <w:szCs w:val="24"/>
              </w:rPr>
            </w:pPr>
            <w:r>
              <w:rPr>
                <w:rFonts w:ascii="Times New Roman" w:hAnsi="Times New Roman"/>
                <w:b/>
                <w:noProof/>
                <w:sz w:val="24"/>
              </w:rPr>
              <w:t>Datum</w:t>
            </w:r>
          </w:p>
        </w:tc>
        <w:tc>
          <w:tcPr>
            <w:tcW w:w="7716" w:type="dxa"/>
            <w:shd w:val="clear" w:color="auto" w:fill="D0CECE" w:themeFill="background2" w:themeFillShade="E6"/>
          </w:tcPr>
          <w:p w14:paraId="16EE404C" w14:textId="77777777" w:rsidR="00040652" w:rsidRPr="00F006D0" w:rsidRDefault="00040652" w:rsidP="00470A6D">
            <w:pPr>
              <w:spacing w:before="100" w:beforeAutospacing="1" w:after="100" w:afterAutospacing="1"/>
              <w:rPr>
                <w:rFonts w:ascii="Times New Roman" w:eastAsia="Times New Roman" w:hAnsi="Times New Roman" w:cs="Times New Roman"/>
                <w:b/>
                <w:bCs/>
                <w:noProof/>
                <w:sz w:val="24"/>
                <w:szCs w:val="24"/>
              </w:rPr>
            </w:pPr>
            <w:r>
              <w:rPr>
                <w:rFonts w:ascii="Times New Roman" w:hAnsi="Times New Roman"/>
                <w:b/>
                <w:noProof/>
                <w:sz w:val="24"/>
              </w:rPr>
              <w:t>Besluit of aanbeveling</w:t>
            </w:r>
          </w:p>
        </w:tc>
      </w:tr>
      <w:tr w:rsidR="00F67C44" w:rsidRPr="00F006D0" w14:paraId="0A820F82" w14:textId="77777777" w:rsidTr="008C47FD">
        <w:tc>
          <w:tcPr>
            <w:tcW w:w="1560" w:type="dxa"/>
          </w:tcPr>
          <w:p w14:paraId="6F1F37D8" w14:textId="29078AFA" w:rsidR="00F67C44" w:rsidRDefault="00853323" w:rsidP="00470A6D">
            <w:pPr>
              <w:spacing w:before="100" w:beforeAutospacing="1" w:after="100" w:afterAutospacing="1"/>
              <w:rPr>
                <w:rFonts w:ascii="Times New Roman" w:eastAsia="Times New Roman" w:hAnsi="Times New Roman" w:cs="Times New Roman"/>
                <w:noProof/>
                <w:sz w:val="24"/>
                <w:szCs w:val="24"/>
              </w:rPr>
            </w:pPr>
            <w:r>
              <w:rPr>
                <w:rFonts w:ascii="Times New Roman" w:hAnsi="Times New Roman"/>
                <w:noProof/>
                <w:sz w:val="24"/>
              </w:rPr>
              <w:t>18 juni 2025</w:t>
            </w:r>
          </w:p>
        </w:tc>
        <w:tc>
          <w:tcPr>
            <w:tcW w:w="7716" w:type="dxa"/>
          </w:tcPr>
          <w:p w14:paraId="1BAE5866" w14:textId="2C9681D9" w:rsidR="00F67C44" w:rsidRPr="00F67C44" w:rsidRDefault="00F67C44" w:rsidP="00470A6D">
            <w:pPr>
              <w:spacing w:before="100" w:beforeAutospacing="1" w:after="100" w:afterAutospacing="1"/>
              <w:jc w:val="both"/>
              <w:rPr>
                <w:rFonts w:ascii="Times New Roman" w:eastAsia="Times New Roman" w:hAnsi="Times New Roman" w:cs="Times New Roman"/>
                <w:noProof/>
                <w:sz w:val="24"/>
                <w:szCs w:val="24"/>
              </w:rPr>
            </w:pPr>
            <w:r>
              <w:rPr>
                <w:rFonts w:ascii="Times New Roman" w:hAnsi="Times New Roman"/>
                <w:noProof/>
                <w:sz w:val="24"/>
              </w:rPr>
              <w:t>Besluit Nr. 1/2025 van de Partnerschapsraad tot interpretatie van artikel 508, lid 2, punt d), van de Handels- en samenwerkingsovereenkomst</w:t>
            </w:r>
            <w:r>
              <w:rPr>
                <w:rStyle w:val="FootnoteReference"/>
                <w:rFonts w:ascii="Times New Roman" w:eastAsia="Times New Roman" w:hAnsi="Times New Roman" w:cs="Times New Roman"/>
                <w:noProof/>
                <w:sz w:val="24"/>
                <w:szCs w:val="24"/>
              </w:rPr>
              <w:footnoteReference w:id="59"/>
            </w:r>
          </w:p>
        </w:tc>
      </w:tr>
      <w:tr w:rsidR="00F006D0" w:rsidRPr="00F006D0" w14:paraId="79A78066" w14:textId="77777777" w:rsidTr="008C47FD">
        <w:tc>
          <w:tcPr>
            <w:tcW w:w="1560" w:type="dxa"/>
          </w:tcPr>
          <w:p w14:paraId="7496C444" w14:textId="0CF631AE" w:rsidR="00040652" w:rsidRPr="00F006D0" w:rsidRDefault="00F67C44" w:rsidP="00470A6D">
            <w:pPr>
              <w:spacing w:before="100" w:beforeAutospacing="1" w:after="100" w:afterAutospacing="1"/>
              <w:rPr>
                <w:rFonts w:ascii="Times New Roman" w:eastAsia="Times New Roman" w:hAnsi="Times New Roman" w:cs="Times New Roman"/>
                <w:noProof/>
                <w:sz w:val="24"/>
                <w:szCs w:val="24"/>
              </w:rPr>
            </w:pPr>
            <w:r>
              <w:rPr>
                <w:rFonts w:ascii="Times New Roman" w:hAnsi="Times New Roman"/>
                <w:noProof/>
                <w:sz w:val="24"/>
              </w:rPr>
              <w:t>19 juni 2025</w:t>
            </w:r>
          </w:p>
        </w:tc>
        <w:tc>
          <w:tcPr>
            <w:tcW w:w="7716" w:type="dxa"/>
          </w:tcPr>
          <w:p w14:paraId="56F46A86" w14:textId="109286CE" w:rsidR="00040652" w:rsidRPr="00F006D0" w:rsidRDefault="00F67C44" w:rsidP="00470A6D">
            <w:pPr>
              <w:spacing w:before="100" w:beforeAutospacing="1" w:after="100" w:afterAutospacing="1"/>
              <w:jc w:val="both"/>
              <w:rPr>
                <w:rFonts w:ascii="Times New Roman" w:hAnsi="Times New Roman" w:cs="Times New Roman"/>
                <w:noProof/>
                <w:sz w:val="24"/>
                <w:szCs w:val="24"/>
              </w:rPr>
            </w:pPr>
            <w:r>
              <w:rPr>
                <w:rFonts w:ascii="Times New Roman" w:hAnsi="Times New Roman"/>
                <w:noProof/>
                <w:sz w:val="24"/>
              </w:rPr>
              <w:t>Besluit nr. 2/2025 van de Partnerschapsraad tot interpretatie van artikel 331, lid 2, en tot verlenging van de toepassing van deel twee, rubriek een, titel VIII inzake energie, van de Handels- en samenwerkingsovereenkomst</w:t>
            </w:r>
            <w:r>
              <w:rPr>
                <w:rStyle w:val="FootnoteReference"/>
                <w:rFonts w:ascii="Times New Roman" w:hAnsi="Times New Roman" w:cs="Times New Roman"/>
                <w:noProof/>
                <w:sz w:val="24"/>
                <w:szCs w:val="24"/>
              </w:rPr>
              <w:footnoteReference w:id="60"/>
            </w:r>
          </w:p>
        </w:tc>
      </w:tr>
      <w:tr w:rsidR="00764227" w:rsidRPr="00F006D0" w14:paraId="3B3180ED" w14:textId="77777777" w:rsidTr="008C47FD">
        <w:tc>
          <w:tcPr>
            <w:tcW w:w="1560" w:type="dxa"/>
          </w:tcPr>
          <w:p w14:paraId="29F5D493" w14:textId="061C8D01" w:rsidR="00764227" w:rsidRPr="00F006D0" w:rsidRDefault="00764227" w:rsidP="00470A6D">
            <w:pPr>
              <w:spacing w:before="100" w:beforeAutospacing="1" w:after="100" w:afterAutospacing="1"/>
              <w:rPr>
                <w:rFonts w:ascii="Times New Roman" w:eastAsia="Times New Roman" w:hAnsi="Times New Roman" w:cs="Times New Roman"/>
                <w:noProof/>
                <w:sz w:val="24"/>
                <w:szCs w:val="24"/>
              </w:rPr>
            </w:pPr>
            <w:r>
              <w:rPr>
                <w:rFonts w:ascii="Times New Roman" w:hAnsi="Times New Roman"/>
                <w:noProof/>
                <w:sz w:val="24"/>
              </w:rPr>
              <w:t>19 juni 2025</w:t>
            </w:r>
          </w:p>
        </w:tc>
        <w:tc>
          <w:tcPr>
            <w:tcW w:w="7716" w:type="dxa"/>
          </w:tcPr>
          <w:p w14:paraId="56E8C745" w14:textId="3ABE36F7" w:rsidR="00764227" w:rsidRPr="00F006D0" w:rsidRDefault="00764227" w:rsidP="00470A6D">
            <w:pPr>
              <w:spacing w:before="100" w:beforeAutospacing="1" w:after="100" w:afterAutospacing="1"/>
              <w:jc w:val="both"/>
              <w:rPr>
                <w:rFonts w:ascii="Times New Roman" w:eastAsia="Times New Roman" w:hAnsi="Times New Roman" w:cs="Times New Roman"/>
                <w:noProof/>
                <w:sz w:val="24"/>
                <w:szCs w:val="24"/>
              </w:rPr>
            </w:pPr>
            <w:r>
              <w:rPr>
                <w:rFonts w:ascii="Times New Roman" w:hAnsi="Times New Roman"/>
                <w:noProof/>
                <w:sz w:val="24"/>
              </w:rPr>
              <w:t>Gezamenlijke Verklaring 1/2025 van de Unie en het Verenigd Koninkrijk in de Partnerschapsraad die is opgericht bij de Handels- en samenwerkingsovereenkomst</w:t>
            </w:r>
            <w:r>
              <w:rPr>
                <w:rStyle w:val="FootnoteReference"/>
                <w:rFonts w:ascii="Times New Roman" w:eastAsia="Times New Roman" w:hAnsi="Times New Roman" w:cs="Times New Roman"/>
                <w:noProof/>
                <w:sz w:val="24"/>
                <w:szCs w:val="24"/>
              </w:rPr>
              <w:footnoteReference w:id="61"/>
            </w:r>
          </w:p>
        </w:tc>
      </w:tr>
      <w:tr w:rsidR="00F006D0" w:rsidRPr="00F006D0" w14:paraId="0422E4B9" w14:textId="77777777" w:rsidTr="008C47FD">
        <w:tc>
          <w:tcPr>
            <w:tcW w:w="1560" w:type="dxa"/>
          </w:tcPr>
          <w:p w14:paraId="752BDC49" w14:textId="24BB8A4C" w:rsidR="00040652" w:rsidRPr="00F006D0" w:rsidRDefault="003071B8" w:rsidP="00470A6D">
            <w:pPr>
              <w:spacing w:before="100" w:beforeAutospacing="1" w:after="100" w:afterAutospacing="1"/>
              <w:rPr>
                <w:rFonts w:ascii="Times New Roman" w:eastAsia="Times New Roman" w:hAnsi="Times New Roman" w:cs="Times New Roman"/>
                <w:noProof/>
                <w:sz w:val="24"/>
                <w:szCs w:val="24"/>
              </w:rPr>
            </w:pPr>
            <w:r>
              <w:rPr>
                <w:rFonts w:ascii="Times New Roman" w:hAnsi="Times New Roman"/>
                <w:noProof/>
                <w:sz w:val="24"/>
              </w:rPr>
              <w:t>19 juni 2025</w:t>
            </w:r>
          </w:p>
        </w:tc>
        <w:tc>
          <w:tcPr>
            <w:tcW w:w="7716" w:type="dxa"/>
          </w:tcPr>
          <w:p w14:paraId="2EAED4B5" w14:textId="6B60E169" w:rsidR="00040652" w:rsidRPr="00F006D0" w:rsidRDefault="00A22C1C" w:rsidP="00470A6D">
            <w:pPr>
              <w:spacing w:before="100" w:beforeAutospacing="1" w:after="100" w:afterAutospacing="1"/>
              <w:jc w:val="both"/>
              <w:rPr>
                <w:rFonts w:ascii="Times New Roman" w:eastAsia="Times New Roman" w:hAnsi="Times New Roman" w:cs="Times New Roman"/>
                <w:noProof/>
                <w:sz w:val="24"/>
                <w:szCs w:val="24"/>
              </w:rPr>
            </w:pPr>
            <w:r>
              <w:rPr>
                <w:rFonts w:ascii="Times New Roman" w:hAnsi="Times New Roman"/>
                <w:noProof/>
                <w:sz w:val="24"/>
              </w:rPr>
              <w:t>Besluit Nr. 1/2025 van het Gespecialiseerd Comité voor de visserij betreffende de regelingen inzake het niveau van en de voorwaarden voor de toegang die elke partij van 1 juli 2026 tot en met 30 juni 2038 verleent aan vaartuigen van de andere partij om in haar wateren te vissen</w:t>
            </w:r>
            <w:r>
              <w:rPr>
                <w:rStyle w:val="FootnoteReference"/>
                <w:rFonts w:ascii="Times New Roman" w:eastAsia="Times New Roman" w:hAnsi="Times New Roman" w:cs="Times New Roman"/>
                <w:noProof/>
                <w:sz w:val="24"/>
                <w:szCs w:val="24"/>
              </w:rPr>
              <w:footnoteReference w:id="62"/>
            </w:r>
          </w:p>
        </w:tc>
      </w:tr>
      <w:tr w:rsidR="00F006D0" w:rsidRPr="00F006D0" w14:paraId="4E0A5D17" w14:textId="77777777" w:rsidTr="008C47FD">
        <w:tc>
          <w:tcPr>
            <w:tcW w:w="1560" w:type="dxa"/>
          </w:tcPr>
          <w:p w14:paraId="4277D2B8" w14:textId="0157DF29" w:rsidR="00C76B39" w:rsidRPr="007049DB" w:rsidRDefault="007049DB" w:rsidP="00470A6D">
            <w:pPr>
              <w:spacing w:before="100" w:beforeAutospacing="1" w:after="100" w:afterAutospacing="1"/>
              <w:rPr>
                <w:rFonts w:ascii="Times New Roman" w:eastAsia="Times New Roman" w:hAnsi="Times New Roman" w:cs="Times New Roman"/>
                <w:noProof/>
                <w:sz w:val="24"/>
                <w:szCs w:val="24"/>
                <w:highlight w:val="yellow"/>
              </w:rPr>
            </w:pPr>
            <w:r>
              <w:rPr>
                <w:rFonts w:ascii="Times New Roman" w:hAnsi="Times New Roman"/>
                <w:noProof/>
                <w:sz w:val="24"/>
              </w:rPr>
              <w:t>31 juli 2025</w:t>
            </w:r>
          </w:p>
        </w:tc>
        <w:tc>
          <w:tcPr>
            <w:tcW w:w="7716" w:type="dxa"/>
          </w:tcPr>
          <w:p w14:paraId="09DBBDBB" w14:textId="031F2083" w:rsidR="00C76B39" w:rsidRPr="007049DB" w:rsidRDefault="00A75372" w:rsidP="00470A6D">
            <w:pPr>
              <w:spacing w:before="100" w:beforeAutospacing="1" w:after="100" w:afterAutospacing="1"/>
              <w:jc w:val="both"/>
              <w:rPr>
                <w:rFonts w:ascii="Times New Roman" w:eastAsia="Calibri" w:hAnsi="Times New Roman" w:cs="Times New Roman"/>
                <w:noProof/>
                <w:sz w:val="24"/>
                <w:szCs w:val="24"/>
              </w:rPr>
            </w:pPr>
            <w:r>
              <w:rPr>
                <w:rFonts w:ascii="Times New Roman" w:hAnsi="Times New Roman"/>
                <w:noProof/>
                <w:sz w:val="24"/>
              </w:rPr>
              <w:t>Besluit Nr. 1/2025 van het Gespecialiseerd Handelscomité voor administratieve samenwerking inzake btw en inning van belastingen en rechten van 31 juli 2025 tot wijziging van Besluit nr. 4/2023 betreffende standaardformulieren voor de verstrekking en doorgifte van inlichtingen en statistische gegevens via het gemeenschappelijk communicatienetwerk en de uitvoeringsvoorschriften voor de organisatie van contacten tussen centrale verbindingsbureaus en verbindingsdiensten</w:t>
            </w:r>
            <w:r>
              <w:rPr>
                <w:rStyle w:val="FootnoteReference"/>
                <w:rFonts w:ascii="Times New Roman" w:eastAsia="Calibri" w:hAnsi="Times New Roman" w:cs="Times New Roman"/>
                <w:noProof/>
                <w:sz w:val="24"/>
                <w:szCs w:val="24"/>
              </w:rPr>
              <w:footnoteReference w:id="63"/>
            </w:r>
          </w:p>
        </w:tc>
      </w:tr>
      <w:tr w:rsidR="008C47FD" w:rsidRPr="00F006D0" w14:paraId="1DB67225" w14:textId="77777777" w:rsidTr="008C47FD">
        <w:tc>
          <w:tcPr>
            <w:tcW w:w="1560" w:type="dxa"/>
          </w:tcPr>
          <w:p w14:paraId="673FC51C" w14:textId="77777777" w:rsidR="008C47FD" w:rsidRPr="00B21CE1" w:rsidRDefault="008C47FD" w:rsidP="00637692">
            <w:pPr>
              <w:spacing w:before="100" w:beforeAutospacing="1" w:after="100" w:afterAutospacing="1"/>
              <w:rPr>
                <w:rFonts w:ascii="Times New Roman" w:eastAsia="Times New Roman" w:hAnsi="Times New Roman" w:cs="Times New Roman"/>
                <w:noProof/>
                <w:sz w:val="24"/>
                <w:szCs w:val="24"/>
              </w:rPr>
            </w:pPr>
            <w:r>
              <w:rPr>
                <w:rFonts w:ascii="Times New Roman" w:hAnsi="Times New Roman"/>
                <w:noProof/>
                <w:sz w:val="24"/>
              </w:rPr>
              <w:t>30 oktober 2025</w:t>
            </w:r>
          </w:p>
        </w:tc>
        <w:tc>
          <w:tcPr>
            <w:tcW w:w="7716" w:type="dxa"/>
          </w:tcPr>
          <w:p w14:paraId="1479BF8E" w14:textId="77777777" w:rsidR="008C47FD" w:rsidRPr="00A75372" w:rsidRDefault="008C47FD" w:rsidP="00637692">
            <w:pPr>
              <w:spacing w:before="100" w:beforeAutospacing="1" w:after="100" w:afterAutospacing="1"/>
              <w:jc w:val="both"/>
              <w:rPr>
                <w:rFonts w:ascii="Times New Roman" w:eastAsia="Calibri" w:hAnsi="Times New Roman" w:cs="Times New Roman"/>
                <w:noProof/>
                <w:sz w:val="24"/>
                <w:szCs w:val="24"/>
              </w:rPr>
            </w:pPr>
            <w:bookmarkStart w:id="91" w:name="_Hlk222926831"/>
            <w:r>
              <w:rPr>
                <w:rFonts w:ascii="Times New Roman" w:hAnsi="Times New Roman"/>
                <w:noProof/>
                <w:sz w:val="24"/>
              </w:rPr>
              <w:t>Besluit nr. 1/2025 van het Gespecialiseerd Comité voor het wegvervoer betreffende een lijst van categorieën en soorten ernstige inbreuken, met inbegrip van de zwaarte daarvan, die kunnen leiden tot verlies van de betrouwbaarheidsstatus van een ondernemer van goederenvervoer over de weg</w:t>
            </w:r>
            <w:r>
              <w:rPr>
                <w:rStyle w:val="FootnoteReference"/>
                <w:rFonts w:ascii="Times New Roman" w:eastAsia="Calibri" w:hAnsi="Times New Roman" w:cs="Times New Roman"/>
                <w:noProof/>
                <w:sz w:val="24"/>
                <w:szCs w:val="24"/>
              </w:rPr>
              <w:footnoteReference w:id="64"/>
            </w:r>
            <w:bookmarkEnd w:id="91"/>
          </w:p>
        </w:tc>
      </w:tr>
      <w:tr w:rsidR="008C47FD" w:rsidRPr="00F006D0" w14:paraId="1F4D8855" w14:textId="77777777" w:rsidTr="008C47FD">
        <w:tc>
          <w:tcPr>
            <w:tcW w:w="1560" w:type="dxa"/>
          </w:tcPr>
          <w:p w14:paraId="7B45BAD2" w14:textId="77777777" w:rsidR="008C47FD" w:rsidRPr="00B21CE1" w:rsidRDefault="008C47FD" w:rsidP="00637692">
            <w:pPr>
              <w:spacing w:before="100" w:beforeAutospacing="1" w:after="100" w:afterAutospacing="1"/>
              <w:rPr>
                <w:rFonts w:ascii="Times New Roman" w:eastAsia="Times New Roman" w:hAnsi="Times New Roman" w:cs="Times New Roman"/>
                <w:noProof/>
                <w:sz w:val="24"/>
                <w:szCs w:val="24"/>
              </w:rPr>
            </w:pPr>
            <w:r>
              <w:rPr>
                <w:rFonts w:ascii="Times New Roman" w:hAnsi="Times New Roman"/>
                <w:noProof/>
                <w:sz w:val="24"/>
              </w:rPr>
              <w:t>30 oktober 2025</w:t>
            </w:r>
          </w:p>
        </w:tc>
        <w:tc>
          <w:tcPr>
            <w:tcW w:w="7716" w:type="dxa"/>
          </w:tcPr>
          <w:p w14:paraId="3D1D1222" w14:textId="77777777" w:rsidR="008C47FD" w:rsidRPr="00A75372" w:rsidRDefault="008C47FD" w:rsidP="00637692">
            <w:pPr>
              <w:spacing w:before="100" w:beforeAutospacing="1" w:after="100" w:afterAutospacing="1"/>
              <w:jc w:val="both"/>
              <w:rPr>
                <w:rFonts w:ascii="Times New Roman" w:eastAsia="Calibri" w:hAnsi="Times New Roman" w:cs="Times New Roman"/>
                <w:noProof/>
                <w:sz w:val="24"/>
                <w:szCs w:val="24"/>
              </w:rPr>
            </w:pPr>
            <w:bookmarkStart w:id="93" w:name="_Hlk222926868"/>
            <w:r>
              <w:rPr>
                <w:rFonts w:ascii="Times New Roman" w:hAnsi="Times New Roman"/>
                <w:noProof/>
                <w:sz w:val="24"/>
              </w:rPr>
              <w:t>Besluit nr. 2/2025 van het Gespecialiseerd Comité voor het wegvervoer betreffende de nationale elektronische registers van wegvervoerondernemingen en de bepalingen voor de uitwisseling van in die registers opgenomen informatie</w:t>
            </w:r>
            <w:r>
              <w:rPr>
                <w:rStyle w:val="FootnoteReference"/>
                <w:rFonts w:ascii="Times New Roman" w:eastAsia="Calibri" w:hAnsi="Times New Roman" w:cs="Times New Roman"/>
                <w:noProof/>
                <w:sz w:val="24"/>
                <w:szCs w:val="24"/>
              </w:rPr>
              <w:footnoteReference w:id="65"/>
            </w:r>
            <w:bookmarkEnd w:id="93"/>
          </w:p>
        </w:tc>
      </w:tr>
      <w:tr w:rsidR="008C47FD" w:rsidRPr="00F006D0" w14:paraId="3A64B17B" w14:textId="77777777" w:rsidTr="008C47FD">
        <w:tc>
          <w:tcPr>
            <w:tcW w:w="1560" w:type="dxa"/>
          </w:tcPr>
          <w:p w14:paraId="7C73E085" w14:textId="77777777" w:rsidR="008C47FD" w:rsidRPr="00B21CE1" w:rsidRDefault="008C47FD" w:rsidP="00637692">
            <w:pPr>
              <w:spacing w:before="100" w:beforeAutospacing="1" w:after="100" w:afterAutospacing="1"/>
              <w:rPr>
                <w:rFonts w:ascii="Times New Roman" w:eastAsia="Times New Roman" w:hAnsi="Times New Roman" w:cs="Times New Roman"/>
                <w:noProof/>
                <w:sz w:val="24"/>
                <w:szCs w:val="24"/>
              </w:rPr>
            </w:pPr>
            <w:r>
              <w:rPr>
                <w:rFonts w:ascii="Times New Roman" w:hAnsi="Times New Roman"/>
                <w:noProof/>
                <w:sz w:val="24"/>
              </w:rPr>
              <w:t>30 oktober 2025</w:t>
            </w:r>
          </w:p>
        </w:tc>
        <w:tc>
          <w:tcPr>
            <w:tcW w:w="7716" w:type="dxa"/>
          </w:tcPr>
          <w:p w14:paraId="04793EA3" w14:textId="77777777" w:rsidR="008C47FD" w:rsidRPr="00A75372" w:rsidRDefault="008C47FD" w:rsidP="00637692">
            <w:pPr>
              <w:spacing w:before="100" w:beforeAutospacing="1" w:after="100" w:afterAutospacing="1"/>
              <w:jc w:val="both"/>
              <w:rPr>
                <w:rFonts w:ascii="Times New Roman" w:eastAsia="Calibri" w:hAnsi="Times New Roman" w:cs="Times New Roman"/>
                <w:noProof/>
                <w:sz w:val="24"/>
                <w:szCs w:val="24"/>
              </w:rPr>
            </w:pPr>
            <w:r>
              <w:rPr>
                <w:rFonts w:ascii="Times New Roman" w:hAnsi="Times New Roman"/>
                <w:noProof/>
                <w:sz w:val="24"/>
              </w:rPr>
              <w:t>Besluit nr. 3/2025 van het Gespecialiseerd Comité voor het wegvervoer betreffende het bedrag en de voorwaarden van de financiële bijdrage van het Verenigd Koninkrijk aan bepaalde door de Unie beheerde informatiesystemen voor het wegvervoer en de wijziging van Besluit nr. 1/2022 van het Gespecialiseerd Comité voor het wegvervoer</w:t>
            </w:r>
            <w:r>
              <w:rPr>
                <w:rStyle w:val="FootnoteReference"/>
                <w:rFonts w:ascii="Times New Roman" w:eastAsia="Calibri" w:hAnsi="Times New Roman" w:cs="Times New Roman"/>
                <w:noProof/>
                <w:sz w:val="24"/>
                <w:szCs w:val="24"/>
              </w:rPr>
              <w:footnoteReference w:id="66"/>
            </w:r>
            <w:r>
              <w:rPr>
                <w:rFonts w:ascii="Times New Roman" w:hAnsi="Times New Roman"/>
                <w:noProof/>
                <w:sz w:val="24"/>
              </w:rPr>
              <w:t xml:space="preserve"> </w:t>
            </w:r>
          </w:p>
        </w:tc>
      </w:tr>
    </w:tbl>
    <w:p w14:paraId="02E118BD" w14:textId="655E33D7" w:rsidR="001B243A" w:rsidRDefault="001B243A" w:rsidP="00470A6D">
      <w:pPr>
        <w:pStyle w:val="Heading1"/>
        <w:keepNext w:val="0"/>
        <w:keepLines w:val="0"/>
        <w:spacing w:before="100" w:beforeAutospacing="1" w:after="100" w:afterAutospacing="1" w:line="240" w:lineRule="auto"/>
        <w:rPr>
          <w:rFonts w:ascii="Times New Roman" w:hAnsi="Times New Roman" w:cs="Times New Roman"/>
          <w:b/>
          <w:bCs/>
          <w:noProof/>
          <w:color w:val="auto"/>
        </w:rPr>
      </w:pPr>
      <w:r>
        <w:rPr>
          <w:noProof/>
        </w:rPr>
        <w:br w:type="page"/>
      </w:r>
      <w:bookmarkStart w:id="95" w:name="_Toc204769337"/>
      <w:bookmarkStart w:id="96" w:name="_Toc226723217"/>
      <w:r>
        <w:rPr>
          <w:rFonts w:ascii="Times New Roman" w:hAnsi="Times New Roman"/>
          <w:b/>
          <w:noProof/>
          <w:color w:val="auto"/>
        </w:rPr>
        <w:t>Bijlage 3: Overzicht van de uitvoering van de aan de overeenkomst gerelateerde acties die in het gezamenlijk akkoord zijn overeengekomen</w:t>
      </w:r>
      <w:bookmarkEnd w:id="95"/>
      <w:bookmarkEnd w:id="96"/>
    </w:p>
    <w:tbl>
      <w:tblPr>
        <w:tblStyle w:val="TableGrid"/>
        <w:tblW w:w="0" w:type="auto"/>
        <w:tblInd w:w="-34" w:type="dxa"/>
        <w:tblLook w:val="04A0" w:firstRow="1" w:lastRow="0" w:firstColumn="1" w:lastColumn="0" w:noHBand="0" w:noVBand="1"/>
      </w:tblPr>
      <w:tblGrid>
        <w:gridCol w:w="3096"/>
        <w:gridCol w:w="6180"/>
      </w:tblGrid>
      <w:tr w:rsidR="001B243A" w:rsidRPr="00F006D0" w14:paraId="04742748" w14:textId="77777777">
        <w:tc>
          <w:tcPr>
            <w:tcW w:w="2977" w:type="dxa"/>
            <w:shd w:val="clear" w:color="auto" w:fill="D0CECE" w:themeFill="background2" w:themeFillShade="E6"/>
          </w:tcPr>
          <w:p w14:paraId="107EBAC4" w14:textId="77777777" w:rsidR="001B243A" w:rsidRPr="00F006D0" w:rsidRDefault="001B243A" w:rsidP="00470A6D">
            <w:pPr>
              <w:spacing w:before="100" w:beforeAutospacing="1" w:after="100" w:afterAutospacing="1"/>
              <w:rPr>
                <w:rFonts w:ascii="Times New Roman" w:eastAsia="Times New Roman" w:hAnsi="Times New Roman" w:cs="Times New Roman"/>
                <w:b/>
                <w:bCs/>
                <w:noProof/>
                <w:sz w:val="24"/>
                <w:szCs w:val="24"/>
              </w:rPr>
            </w:pPr>
            <w:r>
              <w:rPr>
                <w:rFonts w:ascii="Times New Roman" w:hAnsi="Times New Roman"/>
                <w:b/>
                <w:noProof/>
                <w:sz w:val="24"/>
              </w:rPr>
              <w:t>Actie/samenwerkingsgebied</w:t>
            </w:r>
          </w:p>
        </w:tc>
        <w:tc>
          <w:tcPr>
            <w:tcW w:w="6237" w:type="dxa"/>
            <w:shd w:val="clear" w:color="auto" w:fill="D0CECE" w:themeFill="background2" w:themeFillShade="E6"/>
          </w:tcPr>
          <w:p w14:paraId="68CFBC35" w14:textId="77777777" w:rsidR="001B243A" w:rsidRPr="00F006D0" w:rsidRDefault="001B243A" w:rsidP="00470A6D">
            <w:pPr>
              <w:spacing w:before="100" w:beforeAutospacing="1" w:after="100" w:afterAutospacing="1"/>
              <w:rPr>
                <w:rFonts w:ascii="Times New Roman" w:eastAsia="Times New Roman" w:hAnsi="Times New Roman" w:cs="Times New Roman"/>
                <w:b/>
                <w:bCs/>
                <w:noProof/>
                <w:sz w:val="24"/>
                <w:szCs w:val="24"/>
              </w:rPr>
            </w:pPr>
            <w:r>
              <w:rPr>
                <w:rFonts w:ascii="Times New Roman" w:hAnsi="Times New Roman"/>
                <w:b/>
                <w:noProof/>
                <w:sz w:val="24"/>
              </w:rPr>
              <w:t>Stand van zaken</w:t>
            </w:r>
          </w:p>
        </w:tc>
      </w:tr>
      <w:tr w:rsidR="001B243A" w:rsidRPr="00F006D0" w14:paraId="0FA81AF2" w14:textId="77777777">
        <w:tc>
          <w:tcPr>
            <w:tcW w:w="2977" w:type="dxa"/>
          </w:tcPr>
          <w:p w14:paraId="7713A974" w14:textId="77777777" w:rsidR="001B243A" w:rsidRPr="00F006D0" w:rsidRDefault="001B243A" w:rsidP="00470A6D">
            <w:pPr>
              <w:spacing w:before="100" w:beforeAutospacing="1" w:after="100" w:afterAutospacing="1"/>
              <w:rPr>
                <w:rFonts w:ascii="Times New Roman" w:eastAsia="Times New Roman" w:hAnsi="Times New Roman" w:cs="Times New Roman"/>
                <w:noProof/>
                <w:sz w:val="24"/>
                <w:szCs w:val="24"/>
              </w:rPr>
            </w:pPr>
            <w:r>
              <w:rPr>
                <w:rFonts w:ascii="Times New Roman" w:hAnsi="Times New Roman"/>
                <w:noProof/>
                <w:sz w:val="24"/>
              </w:rPr>
              <w:t>Volledige wederzijdse toegang tot viswateren tot en met 30 juni 2038</w:t>
            </w:r>
          </w:p>
        </w:tc>
        <w:tc>
          <w:tcPr>
            <w:tcW w:w="6237" w:type="dxa"/>
          </w:tcPr>
          <w:p w14:paraId="4858BF1A" w14:textId="0EEE656F" w:rsidR="001B243A" w:rsidRPr="00F006D0" w:rsidRDefault="00B21CE1" w:rsidP="00470A6D">
            <w:pPr>
              <w:spacing w:before="100" w:beforeAutospacing="1" w:after="100" w:afterAutospacing="1"/>
              <w:jc w:val="both"/>
              <w:rPr>
                <w:rFonts w:ascii="Times New Roman" w:eastAsia="Times New Roman" w:hAnsi="Times New Roman" w:cs="Times New Roman"/>
                <w:noProof/>
                <w:sz w:val="24"/>
                <w:szCs w:val="24"/>
              </w:rPr>
            </w:pPr>
            <w:r>
              <w:rPr>
                <w:rFonts w:ascii="Times New Roman" w:hAnsi="Times New Roman"/>
                <w:noProof/>
                <w:sz w:val="24"/>
              </w:rPr>
              <w:t>Besluit Nr. 1/2025</w:t>
            </w:r>
            <w:r>
              <w:rPr>
                <w:rStyle w:val="FootnoteReference"/>
                <w:rFonts w:ascii="Times New Roman" w:hAnsi="Times New Roman" w:cs="Times New Roman"/>
                <w:noProof/>
                <w:sz w:val="24"/>
                <w:szCs w:val="24"/>
              </w:rPr>
              <w:footnoteReference w:id="67"/>
            </w:r>
            <w:r>
              <w:rPr>
                <w:rFonts w:ascii="Times New Roman" w:hAnsi="Times New Roman"/>
                <w:noProof/>
                <w:sz w:val="24"/>
              </w:rPr>
              <w:t xml:space="preserve"> van de Partnerschapsraad van 18 juni 2025 en Besluit Nr. 1/2025</w:t>
            </w:r>
            <w:r>
              <w:rPr>
                <w:rStyle w:val="FootnoteReference"/>
                <w:rFonts w:ascii="Times New Roman" w:hAnsi="Times New Roman" w:cs="Times New Roman"/>
                <w:noProof/>
                <w:sz w:val="24"/>
                <w:szCs w:val="24"/>
              </w:rPr>
              <w:footnoteReference w:id="68"/>
            </w:r>
            <w:r>
              <w:rPr>
                <w:rFonts w:ascii="Times New Roman" w:hAnsi="Times New Roman"/>
                <w:noProof/>
                <w:sz w:val="24"/>
              </w:rPr>
              <w:t xml:space="preserve"> van het Gespecialiseerd Comité voor de visserij van 1 juli 2025 voorzien in de volledige en wederzijdse toegang tot wateren na 30 juni 2026 tot en met 30 juni 2038. </w:t>
            </w:r>
          </w:p>
        </w:tc>
      </w:tr>
      <w:tr w:rsidR="001B243A" w:rsidRPr="00F006D0" w14:paraId="6A333B27" w14:textId="77777777">
        <w:tc>
          <w:tcPr>
            <w:tcW w:w="2977" w:type="dxa"/>
          </w:tcPr>
          <w:p w14:paraId="3F1E68DE" w14:textId="77777777" w:rsidR="001B243A" w:rsidRPr="00F006D0" w:rsidRDefault="001B243A" w:rsidP="00470A6D">
            <w:pPr>
              <w:spacing w:before="100" w:beforeAutospacing="1" w:after="100" w:afterAutospacing="1"/>
              <w:rPr>
                <w:rFonts w:ascii="Times New Roman" w:eastAsia="Times New Roman" w:hAnsi="Times New Roman" w:cs="Times New Roman"/>
                <w:noProof/>
                <w:sz w:val="24"/>
                <w:szCs w:val="24"/>
              </w:rPr>
            </w:pPr>
            <w:r>
              <w:rPr>
                <w:rFonts w:ascii="Times New Roman" w:hAnsi="Times New Roman"/>
                <w:noProof/>
                <w:sz w:val="24"/>
              </w:rPr>
              <w:t>Uitbreiding van de samenwerking op energiegebied</w:t>
            </w:r>
          </w:p>
        </w:tc>
        <w:tc>
          <w:tcPr>
            <w:tcW w:w="6237" w:type="dxa"/>
          </w:tcPr>
          <w:p w14:paraId="0CA9D3E9" w14:textId="479A89D5" w:rsidR="001B243A" w:rsidRPr="00F006D0" w:rsidRDefault="00A10D75" w:rsidP="00470A6D">
            <w:pPr>
              <w:spacing w:before="100" w:beforeAutospacing="1" w:after="100" w:afterAutospacing="1"/>
              <w:jc w:val="both"/>
              <w:rPr>
                <w:rFonts w:ascii="Times New Roman" w:hAnsi="Times New Roman" w:cs="Times New Roman"/>
                <w:noProof/>
                <w:sz w:val="24"/>
                <w:szCs w:val="24"/>
              </w:rPr>
            </w:pPr>
            <w:r>
              <w:rPr>
                <w:rFonts w:ascii="Times New Roman" w:hAnsi="Times New Roman"/>
                <w:noProof/>
                <w:sz w:val="24"/>
              </w:rPr>
              <w:t>Verklaring 1/2025</w:t>
            </w:r>
            <w:r>
              <w:rPr>
                <w:rStyle w:val="FootnoteReference"/>
                <w:rFonts w:ascii="Times New Roman" w:hAnsi="Times New Roman" w:cs="Times New Roman"/>
                <w:noProof/>
                <w:sz w:val="24"/>
                <w:szCs w:val="24"/>
              </w:rPr>
              <w:footnoteReference w:id="69"/>
            </w:r>
            <w:r>
              <w:rPr>
                <w:rFonts w:ascii="Times New Roman" w:hAnsi="Times New Roman"/>
                <w:noProof/>
                <w:sz w:val="24"/>
              </w:rPr>
              <w:t xml:space="preserve"> en Besluit nr. 2/2025</w:t>
            </w:r>
            <w:r>
              <w:rPr>
                <w:rStyle w:val="FootnoteReference"/>
                <w:rFonts w:ascii="Times New Roman" w:hAnsi="Times New Roman" w:cs="Times New Roman"/>
                <w:noProof/>
                <w:sz w:val="24"/>
                <w:szCs w:val="24"/>
              </w:rPr>
              <w:footnoteReference w:id="70"/>
            </w:r>
            <w:r>
              <w:rPr>
                <w:rFonts w:ascii="Times New Roman" w:hAnsi="Times New Roman"/>
                <w:noProof/>
                <w:sz w:val="24"/>
              </w:rPr>
              <w:t xml:space="preserve"> van de Partnerschapsraad van 19 juni 2025 voorzien in de voortgezette toepassing van de energiebepalingen van de overeenkomst. De eerste verlenging geldt tot en met 31 maart 2027, met verdere verlengingen op jaarbasis.</w:t>
            </w:r>
          </w:p>
        </w:tc>
      </w:tr>
      <w:tr w:rsidR="001B243A" w:rsidRPr="00F006D0" w14:paraId="2D15223D" w14:textId="77777777">
        <w:tc>
          <w:tcPr>
            <w:tcW w:w="2977" w:type="dxa"/>
          </w:tcPr>
          <w:p w14:paraId="4A713922" w14:textId="1055ED4E" w:rsidR="001B243A" w:rsidRPr="00F006D0" w:rsidRDefault="001B243A" w:rsidP="00470A6D">
            <w:pPr>
              <w:spacing w:before="100" w:beforeAutospacing="1" w:after="100" w:afterAutospacing="1"/>
              <w:rPr>
                <w:rFonts w:ascii="Times New Roman" w:eastAsia="Times New Roman" w:hAnsi="Times New Roman" w:cs="Times New Roman"/>
                <w:noProof/>
                <w:sz w:val="24"/>
                <w:szCs w:val="24"/>
              </w:rPr>
            </w:pPr>
            <w:r>
              <w:rPr>
                <w:rFonts w:ascii="Times New Roman" w:hAnsi="Times New Roman"/>
                <w:noProof/>
                <w:sz w:val="24"/>
              </w:rPr>
              <w:t>Werken aan de koppeling van de emissiehandelssystemen van beide partijen</w:t>
            </w:r>
          </w:p>
        </w:tc>
        <w:tc>
          <w:tcPr>
            <w:tcW w:w="6237" w:type="dxa"/>
          </w:tcPr>
          <w:p w14:paraId="74A9B1C1" w14:textId="3E7A026A" w:rsidR="001B243A" w:rsidRPr="00F006D0" w:rsidRDefault="00AC273F" w:rsidP="00470A6D">
            <w:pPr>
              <w:spacing w:before="100" w:beforeAutospacing="1" w:after="100" w:afterAutospacing="1"/>
              <w:jc w:val="both"/>
              <w:rPr>
                <w:rFonts w:ascii="Times New Roman" w:eastAsia="Times New Roman" w:hAnsi="Times New Roman" w:cs="Times New Roman"/>
                <w:noProof/>
                <w:sz w:val="24"/>
                <w:szCs w:val="24"/>
              </w:rPr>
            </w:pPr>
            <w:r>
              <w:rPr>
                <w:rFonts w:ascii="Times New Roman" w:hAnsi="Times New Roman"/>
                <w:noProof/>
                <w:sz w:val="24"/>
              </w:rPr>
              <w:t xml:space="preserve">Na de goedkeuring van het onderhandelingsmandaat van de Raad op 17 november 2025 zijn de onderhandelingen van start gegaan. </w:t>
            </w:r>
          </w:p>
        </w:tc>
      </w:tr>
      <w:tr w:rsidR="00D13CD5" w:rsidRPr="009E033A" w14:paraId="1FB9D752" w14:textId="77777777">
        <w:tc>
          <w:tcPr>
            <w:tcW w:w="2977" w:type="dxa"/>
          </w:tcPr>
          <w:p w14:paraId="2F412437" w14:textId="56940615" w:rsidR="00D13CD5" w:rsidRPr="009E033A" w:rsidRDefault="00D13CD5" w:rsidP="00470A6D">
            <w:pPr>
              <w:spacing w:before="100" w:beforeAutospacing="1" w:after="100" w:afterAutospacing="1"/>
              <w:rPr>
                <w:rFonts w:ascii="Times New Roman" w:hAnsi="Times New Roman" w:cs="Times New Roman"/>
                <w:noProof/>
                <w:sz w:val="24"/>
                <w:szCs w:val="24"/>
              </w:rPr>
            </w:pPr>
            <w:r>
              <w:rPr>
                <w:rFonts w:ascii="Times New Roman" w:hAnsi="Times New Roman"/>
                <w:noProof/>
                <w:sz w:val="24"/>
              </w:rPr>
              <w:t>Associatie van het Verenigd Koninkrijk met Erasmus+</w:t>
            </w:r>
          </w:p>
        </w:tc>
        <w:tc>
          <w:tcPr>
            <w:tcW w:w="6237" w:type="dxa"/>
          </w:tcPr>
          <w:p w14:paraId="71172380" w14:textId="1FBE21A1" w:rsidR="00D13CD5" w:rsidRPr="00AC273F" w:rsidDel="00D13CD5" w:rsidRDefault="00BD2ED4" w:rsidP="00470A6D">
            <w:pPr>
              <w:spacing w:before="100" w:beforeAutospacing="1" w:after="100" w:afterAutospacing="1"/>
              <w:jc w:val="both"/>
              <w:rPr>
                <w:rFonts w:ascii="Times New Roman" w:eastAsia="Times New Roman" w:hAnsi="Times New Roman" w:cs="Times New Roman"/>
                <w:noProof/>
                <w:sz w:val="24"/>
                <w:szCs w:val="24"/>
              </w:rPr>
            </w:pPr>
            <w:r>
              <w:rPr>
                <w:rFonts w:ascii="Times New Roman" w:hAnsi="Times New Roman"/>
                <w:noProof/>
                <w:sz w:val="24"/>
              </w:rPr>
              <w:t>De onderhandelingen over de associatie van het Verenigd Koninkrijk per 1 januari 2027 werden in december 2025 door de Commissie afgerond.</w:t>
            </w:r>
          </w:p>
        </w:tc>
      </w:tr>
      <w:tr w:rsidR="001B243A" w:rsidRPr="009E033A" w14:paraId="4C978D9F" w14:textId="77777777">
        <w:tc>
          <w:tcPr>
            <w:tcW w:w="2977" w:type="dxa"/>
          </w:tcPr>
          <w:p w14:paraId="1ECF5202" w14:textId="77777777" w:rsidR="001B243A" w:rsidRPr="009E033A" w:rsidRDefault="001B243A" w:rsidP="00470A6D">
            <w:pPr>
              <w:spacing w:before="100" w:beforeAutospacing="1" w:after="100" w:afterAutospacing="1"/>
              <w:rPr>
                <w:rFonts w:ascii="Times New Roman" w:eastAsia="Times New Roman" w:hAnsi="Times New Roman" w:cs="Times New Roman"/>
                <w:noProof/>
                <w:sz w:val="24"/>
                <w:szCs w:val="24"/>
              </w:rPr>
            </w:pPr>
            <w:r>
              <w:rPr>
                <w:rFonts w:ascii="Times New Roman" w:hAnsi="Times New Roman"/>
                <w:noProof/>
                <w:sz w:val="24"/>
              </w:rPr>
              <w:t>De dienstverlening verbeteren</w:t>
            </w:r>
          </w:p>
        </w:tc>
        <w:tc>
          <w:tcPr>
            <w:tcW w:w="6237" w:type="dxa"/>
          </w:tcPr>
          <w:p w14:paraId="1289D405" w14:textId="77BD3254" w:rsidR="001B243A" w:rsidRPr="009E033A" w:rsidRDefault="00BE2C45" w:rsidP="00470A6D">
            <w:pPr>
              <w:spacing w:before="100" w:beforeAutospacing="1" w:after="100" w:afterAutospacing="1"/>
              <w:jc w:val="both"/>
              <w:rPr>
                <w:rFonts w:ascii="Times New Roman" w:eastAsia="Times New Roman" w:hAnsi="Times New Roman" w:cs="Times New Roman"/>
                <w:i/>
                <w:iCs/>
                <w:noProof/>
                <w:sz w:val="24"/>
                <w:szCs w:val="24"/>
              </w:rPr>
            </w:pPr>
            <w:r>
              <w:rPr>
                <w:rFonts w:ascii="Times New Roman" w:hAnsi="Times New Roman"/>
                <w:noProof/>
                <w:sz w:val="24"/>
              </w:rPr>
              <w:t>Specifieke dialogen over de uitvoering van de overeenkomst wat betreft de toegang en het tijdelijke verblijf van natuurlijke personen voor zakelijke doeleinden, met inbegrip van de sponsoringregeling, en de erkenning van beroepskwalificaties, waarbij verslag wordt uitgebracht aan de gemengde organen van de overeenkomst</w:t>
            </w:r>
          </w:p>
        </w:tc>
      </w:tr>
      <w:tr w:rsidR="001B243A" w:rsidRPr="009E033A" w14:paraId="57FB8490" w14:textId="77777777">
        <w:tc>
          <w:tcPr>
            <w:tcW w:w="2977" w:type="dxa"/>
          </w:tcPr>
          <w:p w14:paraId="6D20E360" w14:textId="77777777" w:rsidR="001B243A" w:rsidRPr="009E033A" w:rsidRDefault="001B243A" w:rsidP="00470A6D">
            <w:pPr>
              <w:spacing w:before="100" w:beforeAutospacing="1" w:after="100" w:afterAutospacing="1"/>
              <w:rPr>
                <w:rFonts w:ascii="Times New Roman" w:eastAsia="Times New Roman" w:hAnsi="Times New Roman" w:cs="Times New Roman"/>
                <w:noProof/>
                <w:sz w:val="24"/>
                <w:szCs w:val="24"/>
              </w:rPr>
            </w:pPr>
            <w:r>
              <w:rPr>
                <w:rFonts w:ascii="Times New Roman" w:hAnsi="Times New Roman"/>
                <w:noProof/>
                <w:sz w:val="24"/>
              </w:rPr>
              <w:t>De samenwerking op het gebied van gezondheidsveiligheid maximaliseren</w:t>
            </w:r>
          </w:p>
        </w:tc>
        <w:tc>
          <w:tcPr>
            <w:tcW w:w="6237" w:type="dxa"/>
          </w:tcPr>
          <w:p w14:paraId="21BFD92E" w14:textId="60D4E466" w:rsidR="001B243A" w:rsidRPr="009E033A" w:rsidRDefault="00A94F20" w:rsidP="00470A6D">
            <w:pPr>
              <w:spacing w:before="100" w:beforeAutospacing="1" w:after="100" w:afterAutospacing="1"/>
              <w:jc w:val="both"/>
              <w:rPr>
                <w:rFonts w:ascii="Times New Roman" w:eastAsia="Times New Roman" w:hAnsi="Times New Roman" w:cs="Times New Roman"/>
                <w:noProof/>
                <w:sz w:val="24"/>
                <w:szCs w:val="24"/>
              </w:rPr>
            </w:pPr>
            <w:r>
              <w:rPr>
                <w:rFonts w:ascii="Times New Roman" w:hAnsi="Times New Roman"/>
                <w:noProof/>
                <w:sz w:val="24"/>
              </w:rPr>
              <w:t>De verkennende gesprekken worden voortgezet.</w:t>
            </w:r>
          </w:p>
        </w:tc>
      </w:tr>
      <w:tr w:rsidR="001B243A" w:rsidRPr="00F006D0" w14:paraId="3EF59CCD" w14:textId="77777777">
        <w:tc>
          <w:tcPr>
            <w:tcW w:w="2977" w:type="dxa"/>
          </w:tcPr>
          <w:p w14:paraId="671973C2" w14:textId="77777777" w:rsidR="001B243A" w:rsidRPr="009E033A" w:rsidRDefault="001B243A" w:rsidP="00470A6D">
            <w:pPr>
              <w:spacing w:before="100" w:beforeAutospacing="1" w:after="100" w:afterAutospacing="1"/>
              <w:rPr>
                <w:rFonts w:ascii="Times New Roman" w:eastAsia="Times New Roman" w:hAnsi="Times New Roman" w:cs="Times New Roman"/>
                <w:noProof/>
                <w:sz w:val="24"/>
                <w:szCs w:val="24"/>
              </w:rPr>
            </w:pPr>
            <w:r>
              <w:rPr>
                <w:rFonts w:ascii="Times New Roman" w:hAnsi="Times New Roman"/>
                <w:noProof/>
                <w:sz w:val="24"/>
              </w:rPr>
              <w:t>De samenwerking inzake rechtshandhaving en justitie in strafzaken versterken</w:t>
            </w:r>
          </w:p>
        </w:tc>
        <w:tc>
          <w:tcPr>
            <w:tcW w:w="6237" w:type="dxa"/>
          </w:tcPr>
          <w:p w14:paraId="567AC572" w14:textId="63271916" w:rsidR="001B243A" w:rsidRPr="00F006D0" w:rsidRDefault="009E033A" w:rsidP="00470A6D">
            <w:pPr>
              <w:spacing w:before="100" w:beforeAutospacing="1" w:after="100" w:afterAutospacing="1"/>
              <w:jc w:val="both"/>
              <w:rPr>
                <w:rFonts w:ascii="Times New Roman" w:eastAsia="Times New Roman" w:hAnsi="Times New Roman" w:cs="Times New Roman"/>
                <w:noProof/>
                <w:sz w:val="24"/>
                <w:szCs w:val="24"/>
              </w:rPr>
            </w:pPr>
            <w:r>
              <w:rPr>
                <w:rFonts w:ascii="Times New Roman" w:hAnsi="Times New Roman"/>
                <w:noProof/>
                <w:sz w:val="24"/>
              </w:rPr>
              <w:t>De verkennende gesprekken worden voortgezet.</w:t>
            </w:r>
          </w:p>
        </w:tc>
      </w:tr>
      <w:tr w:rsidR="001B243A" w:rsidRPr="00F006D0" w14:paraId="0751E247" w14:textId="77777777">
        <w:tc>
          <w:tcPr>
            <w:tcW w:w="2977" w:type="dxa"/>
          </w:tcPr>
          <w:p w14:paraId="6F8D3E02" w14:textId="77777777" w:rsidR="001B243A" w:rsidRPr="00F006D0" w:rsidRDefault="001B243A" w:rsidP="00470A6D">
            <w:pPr>
              <w:spacing w:before="100" w:beforeAutospacing="1" w:after="100" w:afterAutospacing="1"/>
              <w:rPr>
                <w:rFonts w:ascii="Times New Roman" w:eastAsia="Times New Roman" w:hAnsi="Times New Roman" w:cs="Times New Roman"/>
                <w:noProof/>
                <w:sz w:val="24"/>
                <w:szCs w:val="24"/>
              </w:rPr>
            </w:pPr>
            <w:r>
              <w:rPr>
                <w:rFonts w:ascii="Times New Roman" w:hAnsi="Times New Roman"/>
                <w:noProof/>
                <w:sz w:val="24"/>
              </w:rPr>
              <w:t xml:space="preserve">Samenwerkingsovereenkomst op mededingingsgebied </w:t>
            </w:r>
          </w:p>
        </w:tc>
        <w:tc>
          <w:tcPr>
            <w:tcW w:w="6237" w:type="dxa"/>
          </w:tcPr>
          <w:p w14:paraId="1890D541" w14:textId="0FA6A9B4" w:rsidR="001B243A" w:rsidRPr="00F006D0" w:rsidRDefault="00C46761" w:rsidP="00470A6D">
            <w:pPr>
              <w:spacing w:before="100" w:beforeAutospacing="1" w:after="100" w:afterAutospacing="1"/>
              <w:jc w:val="both"/>
              <w:rPr>
                <w:rFonts w:ascii="Times New Roman" w:eastAsia="Times New Roman" w:hAnsi="Times New Roman" w:cs="Times New Roman"/>
                <w:noProof/>
                <w:sz w:val="24"/>
                <w:szCs w:val="24"/>
              </w:rPr>
            </w:pPr>
            <w:r>
              <w:rPr>
                <w:rFonts w:ascii="Times New Roman" w:hAnsi="Times New Roman"/>
                <w:noProof/>
                <w:sz w:val="24"/>
              </w:rPr>
              <w:t>De samenwerkingsovereenkomst op mededingingsgebied tussen de EU en het Verenigd Koninkrijk werd in 2025 gesloten en in februari 2026 ondertekend.</w:t>
            </w:r>
          </w:p>
        </w:tc>
      </w:tr>
      <w:bookmarkEnd w:id="90"/>
    </w:tbl>
    <w:p w14:paraId="49AD2CD4" w14:textId="23F3777C" w:rsidR="00040652" w:rsidRPr="001B243A" w:rsidRDefault="00040652" w:rsidP="00F44491">
      <w:pPr>
        <w:spacing w:before="100" w:beforeAutospacing="1" w:after="100" w:afterAutospacing="1" w:line="240" w:lineRule="auto"/>
        <w:rPr>
          <w:noProof/>
        </w:rPr>
      </w:pPr>
    </w:p>
    <w:sectPr w:rsidR="00040652" w:rsidRPr="001B243A" w:rsidSect="00656149">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18"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A1661E" w14:textId="77777777" w:rsidR="00CF526D" w:rsidRDefault="00CF526D" w:rsidP="003E5080">
      <w:pPr>
        <w:spacing w:after="0" w:line="240" w:lineRule="auto"/>
      </w:pPr>
      <w:r>
        <w:separator/>
      </w:r>
    </w:p>
  </w:endnote>
  <w:endnote w:type="continuationSeparator" w:id="0">
    <w:p w14:paraId="3BC4A96D" w14:textId="77777777" w:rsidR="00CF526D" w:rsidRDefault="00CF526D" w:rsidP="003E5080">
      <w:pPr>
        <w:spacing w:after="0" w:line="240" w:lineRule="auto"/>
      </w:pPr>
      <w:r>
        <w:continuationSeparator/>
      </w:r>
    </w:p>
  </w:endnote>
  <w:endnote w:type="continuationNotice" w:id="1">
    <w:p w14:paraId="7D6F6EE9" w14:textId="77777777" w:rsidR="00CF526D" w:rsidRDefault="00CF52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F9DD5" w14:textId="7DD8D47D" w:rsidR="00442FE6" w:rsidRPr="00442FE6" w:rsidRDefault="00442FE6" w:rsidP="00442FE6">
    <w:pPr>
      <w:pStyle w:val="FooterCoverPage"/>
      <w:rPr>
        <w:rFonts w:ascii="Arial" w:hAnsi="Arial" w:cs="Arial"/>
        <w:b/>
        <w:sz w:val="48"/>
      </w:rPr>
    </w:pPr>
    <w:r w:rsidRPr="00442FE6">
      <w:rPr>
        <w:rFonts w:ascii="Arial" w:hAnsi="Arial" w:cs="Arial"/>
        <w:b/>
        <w:sz w:val="48"/>
      </w:rPr>
      <w:t>NL</w:t>
    </w:r>
    <w:r w:rsidRPr="00442FE6">
      <w:rPr>
        <w:rFonts w:ascii="Arial" w:hAnsi="Arial" w:cs="Arial"/>
        <w:b/>
        <w:sz w:val="48"/>
      </w:rPr>
      <w:tab/>
    </w:r>
    <w:r w:rsidRPr="00442FE6">
      <w:rPr>
        <w:rFonts w:ascii="Arial" w:hAnsi="Arial" w:cs="Arial"/>
        <w:b/>
        <w:sz w:val="48"/>
      </w:rPr>
      <w:tab/>
    </w:r>
    <w:r w:rsidRPr="00442FE6">
      <w:tab/>
    </w:r>
    <w:r w:rsidRPr="00442FE6">
      <w:rPr>
        <w:rFonts w:ascii="Arial" w:hAnsi="Arial" w:cs="Arial"/>
        <w:b/>
        <w:sz w:val="48"/>
      </w:rPr>
      <w:t>NL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EA377" w14:textId="031FB6A3" w:rsidR="00442FE6" w:rsidRPr="00442FE6" w:rsidRDefault="00442FE6" w:rsidP="00442FE6">
    <w:pPr>
      <w:pStyle w:val="FooterCoverPage"/>
      <w:rPr>
        <w:rFonts w:ascii="Arial" w:hAnsi="Arial" w:cs="Arial"/>
        <w:b/>
        <w:sz w:val="48"/>
      </w:rPr>
    </w:pPr>
    <w:r w:rsidRPr="00442FE6">
      <w:rPr>
        <w:rFonts w:ascii="Arial" w:hAnsi="Arial" w:cs="Arial"/>
        <w:b/>
        <w:sz w:val="48"/>
      </w:rPr>
      <w:t>NL</w:t>
    </w:r>
    <w:r w:rsidRPr="00442FE6">
      <w:rPr>
        <w:rFonts w:ascii="Arial" w:hAnsi="Arial" w:cs="Arial"/>
        <w:b/>
        <w:sz w:val="48"/>
      </w:rPr>
      <w:tab/>
    </w:r>
    <w:r w:rsidRPr="00442FE6">
      <w:rPr>
        <w:rFonts w:ascii="Arial" w:hAnsi="Arial" w:cs="Arial"/>
        <w:b/>
        <w:sz w:val="48"/>
      </w:rPr>
      <w:tab/>
    </w:r>
    <w:r w:rsidRPr="00442FE6">
      <w:tab/>
    </w:r>
    <w:r w:rsidRPr="00442FE6">
      <w:rPr>
        <w:rFonts w:ascii="Arial" w:hAnsi="Arial" w:cs="Arial"/>
        <w:b/>
        <w:sz w:val="48"/>
      </w:rPr>
      <w:t>NL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EF908" w14:textId="77777777" w:rsidR="00442FE6" w:rsidRPr="00442FE6" w:rsidRDefault="00442FE6" w:rsidP="00442FE6">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56874" w14:textId="77777777" w:rsidR="00656149" w:rsidRDefault="00656149" w:rsidP="00073840">
    <w:pPr>
      <w:pStyle w:val="Footer"/>
      <w:jc w:val="right"/>
    </w:pPr>
    <w:r>
      <w:fldChar w:fldCharType="begin"/>
    </w:r>
    <w:r>
      <w:instrText xml:space="preserve"> PAGE   \* MERGEFORMAT </w:instrText>
    </w:r>
    <w:r>
      <w:fldChar w:fldCharType="separate"/>
    </w:r>
    <w:r>
      <w:t>4</w:t>
    </w:r>
    <w:r>
      <w:fldChar w:fldCharType="end"/>
    </w:r>
  </w:p>
  <w:p w14:paraId="1EF51F8F" w14:textId="77777777" w:rsidR="00656149" w:rsidRDefault="00656149" w:rsidP="00073840">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0635974"/>
      <w:docPartObj>
        <w:docPartGallery w:val="Page Numbers (Bottom of Page)"/>
        <w:docPartUnique/>
      </w:docPartObj>
    </w:sdtPr>
    <w:sdtEndPr>
      <w:rPr>
        <w:rFonts w:ascii="Times New Roman" w:hAnsi="Times New Roman" w:cs="Times New Roman"/>
        <w:noProof/>
      </w:rPr>
    </w:sdtEndPr>
    <w:sdtContent>
      <w:p w14:paraId="3C94C359" w14:textId="7AAC57FB" w:rsidR="00656149" w:rsidRPr="009A44EE" w:rsidRDefault="00656149" w:rsidP="00CB2675">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442FE6">
          <w:rPr>
            <w:rFonts w:ascii="Times New Roman" w:hAnsi="Times New Roman" w:cs="Times New Roman"/>
            <w:noProof/>
          </w:rPr>
          <w:t>5</w:t>
        </w:r>
        <w:r>
          <w:rPr>
            <w:rFonts w:ascii="Times New Roman" w:hAnsi="Times New Roman" w:cs="Times New Roman"/>
          </w:rPr>
          <w:fldChar w:fldCharType="end"/>
        </w:r>
      </w:p>
    </w:sdtContent>
  </w:sdt>
  <w:p w14:paraId="32171423" w14:textId="77777777" w:rsidR="00656149" w:rsidRDefault="0065614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3686626"/>
      <w:docPartObj>
        <w:docPartGallery w:val="Page Numbers (Bottom of Page)"/>
        <w:docPartUnique/>
      </w:docPartObj>
    </w:sdtPr>
    <w:sdtEndPr>
      <w:rPr>
        <w:rFonts w:ascii="Times New Roman" w:hAnsi="Times New Roman" w:cs="Times New Roman"/>
        <w:noProof/>
      </w:rPr>
    </w:sdtEndPr>
    <w:sdtContent>
      <w:p w14:paraId="000216C7" w14:textId="0797DE0B" w:rsidR="00CB2675" w:rsidRPr="00764E6C" w:rsidRDefault="00CB2675">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442FE6">
          <w:rPr>
            <w:rFonts w:ascii="Times New Roman" w:hAnsi="Times New Roman" w:cs="Times New Roman"/>
            <w:noProof/>
          </w:rPr>
          <w:t>1</w:t>
        </w:r>
        <w:r>
          <w:rPr>
            <w:rFonts w:ascii="Times New Roman" w:hAnsi="Times New Roman" w:cs="Times New Roman"/>
          </w:rPr>
          <w:fldChar w:fldCharType="end"/>
        </w:r>
      </w:p>
    </w:sdtContent>
  </w:sdt>
  <w:p w14:paraId="5D6CEF75" w14:textId="77777777" w:rsidR="00656149" w:rsidRDefault="006561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B73812" w14:textId="77777777" w:rsidR="00CF526D" w:rsidRDefault="00CF526D" w:rsidP="003E5080">
      <w:pPr>
        <w:spacing w:after="0" w:line="240" w:lineRule="auto"/>
      </w:pPr>
      <w:r>
        <w:separator/>
      </w:r>
    </w:p>
  </w:footnote>
  <w:footnote w:type="continuationSeparator" w:id="0">
    <w:p w14:paraId="3B7146C3" w14:textId="77777777" w:rsidR="00CF526D" w:rsidRDefault="00CF526D" w:rsidP="003E5080">
      <w:pPr>
        <w:spacing w:after="0" w:line="240" w:lineRule="auto"/>
      </w:pPr>
      <w:r>
        <w:continuationSeparator/>
      </w:r>
    </w:p>
  </w:footnote>
  <w:footnote w:type="continuationNotice" w:id="1">
    <w:p w14:paraId="40011624" w14:textId="77777777" w:rsidR="00CF526D" w:rsidRDefault="00CF526D">
      <w:pPr>
        <w:spacing w:after="0" w:line="240" w:lineRule="auto"/>
      </w:pPr>
    </w:p>
  </w:footnote>
  <w:footnote w:id="2">
    <w:p w14:paraId="75957F4E" w14:textId="5AA7DB73" w:rsidR="00C976FE" w:rsidRPr="00054215" w:rsidRDefault="00C976FE" w:rsidP="00C976F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Top VK-EU 2025 — Joint Statement </w:t>
      </w:r>
      <w:hyperlink r:id="rId1" w:history="1">
        <w:r>
          <w:rPr>
            <w:rStyle w:val="Hyperlink"/>
            <w:rFonts w:ascii="Times New Roman" w:hAnsi="Times New Roman"/>
          </w:rPr>
          <w:t>https://www.consilium.europa.eu/media/1edla1hi/eu-uk_joint-statement.pdf</w:t>
        </w:r>
      </w:hyperlink>
      <w:r>
        <w:rPr>
          <w:rFonts w:ascii="Times New Roman" w:hAnsi="Times New Roman"/>
        </w:rPr>
        <w:t>.</w:t>
      </w:r>
    </w:p>
  </w:footnote>
  <w:footnote w:id="3">
    <w:p w14:paraId="26CF5AB0" w14:textId="749AAC1B" w:rsidR="00DF6F61" w:rsidRPr="00846AF8" w:rsidRDefault="00DF6F6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Akkoord inzake de terugtrekking van het Verenigd Koninkrijk van Groot-Brittannië en Noord-Ierland uit de Europese Unie en de Europese Gemeenschap voor Atoomenergie 2019/C 384 I/01 </w:t>
      </w:r>
      <w:hyperlink r:id="rId2" w:history="1">
        <w:r>
          <w:rPr>
            <w:rStyle w:val="Hyperlink"/>
            <w:rFonts w:ascii="Times New Roman" w:hAnsi="Times New Roman"/>
          </w:rPr>
          <w:t>https://eur-lex.europa.eu/legal-content/NL/TXT/?uri=CELEX%3A12019W/TXT%2802%29</w:t>
        </w:r>
      </w:hyperlink>
      <w:r>
        <w:rPr>
          <w:rFonts w:ascii="Times New Roman" w:hAnsi="Times New Roman"/>
        </w:rPr>
        <w:t>.</w:t>
      </w:r>
    </w:p>
  </w:footnote>
  <w:footnote w:id="4">
    <w:p w14:paraId="58D490EB" w14:textId="77777777" w:rsidR="00846AF8" w:rsidRPr="00C637D9" w:rsidRDefault="00846AF8" w:rsidP="00846AF8">
      <w:pPr>
        <w:pStyle w:val="FootnoteText"/>
        <w:rPr>
          <w:rFonts w:ascii="Times New Roman" w:hAnsi="Times New Roman" w:cs="Times New Roman"/>
          <w:lang w:val="en-IE"/>
        </w:rPr>
      </w:pPr>
      <w:r>
        <w:rPr>
          <w:rStyle w:val="FootnoteReference"/>
          <w:rFonts w:ascii="Times New Roman" w:hAnsi="Times New Roman" w:cs="Times New Roman"/>
        </w:rPr>
        <w:footnoteRef/>
      </w:r>
      <w:r w:rsidRPr="00C637D9">
        <w:rPr>
          <w:rFonts w:ascii="Times New Roman" w:hAnsi="Times New Roman"/>
          <w:lang w:val="en-IE"/>
        </w:rPr>
        <w:t xml:space="preserve"> Windsor Political Declaration by the European Commission and the Government of the United Kingdom.</w:t>
      </w:r>
    </w:p>
    <w:p w14:paraId="511EC776" w14:textId="6CC98623" w:rsidR="00846AF8" w:rsidRPr="00C637D9" w:rsidRDefault="00846AF8">
      <w:pPr>
        <w:pStyle w:val="FootnoteText"/>
        <w:rPr>
          <w:rFonts w:ascii="Times New Roman" w:hAnsi="Times New Roman" w:cs="Times New Roman"/>
          <w:lang w:val="en-IE"/>
        </w:rPr>
      </w:pPr>
      <w:r w:rsidRPr="00C637D9">
        <w:rPr>
          <w:rFonts w:ascii="Times New Roman" w:hAnsi="Times New Roman"/>
          <w:lang w:val="en-IE"/>
        </w:rPr>
        <w:t xml:space="preserve"> </w:t>
      </w:r>
      <w:hyperlink r:id="rId3" w:history="1">
        <w:r w:rsidRPr="00C637D9">
          <w:rPr>
            <w:rStyle w:val="Hyperlink"/>
            <w:rFonts w:ascii="Times New Roman" w:hAnsi="Times New Roman"/>
            <w:lang w:val="en-IE"/>
          </w:rPr>
          <w:t>https://commission.europa.eu/publications/windsor-political-declaration-european-commission-and-government-united-kingdom_nl</w:t>
        </w:r>
      </w:hyperlink>
      <w:r w:rsidRPr="00C637D9">
        <w:rPr>
          <w:rFonts w:ascii="Times New Roman" w:hAnsi="Times New Roman"/>
          <w:lang w:val="en-IE"/>
        </w:rPr>
        <w:t>.</w:t>
      </w:r>
    </w:p>
  </w:footnote>
  <w:footnote w:id="5">
    <w:p w14:paraId="5B7F9EA1" w14:textId="0A2BD026" w:rsidR="00846AF8" w:rsidRPr="00846AF8" w:rsidRDefault="00846AF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Handels- en samenwerkingsovereenkomst tussen de Europese Unie en de Europese Gemeenschap voor Atoomenergie, enerzijds, en het Verenigd Koninkrijk van Groot-Brittannië en Noord-Ierland, anderzijds </w:t>
      </w:r>
      <w:hyperlink r:id="rId4" w:history="1">
        <w:r>
          <w:rPr>
            <w:rStyle w:val="Hyperlink"/>
            <w:rFonts w:ascii="Times New Roman" w:hAnsi="Times New Roman"/>
          </w:rPr>
          <w:t>https://eur-lex.europa.eu/eli/agree_internation/2021/689(1)/oj/nld</w:t>
        </w:r>
      </w:hyperlink>
      <w:r>
        <w:rPr>
          <w:rFonts w:ascii="Times New Roman" w:hAnsi="Times New Roman"/>
        </w:rPr>
        <w:t>.</w:t>
      </w:r>
    </w:p>
  </w:footnote>
  <w:footnote w:id="6">
    <w:p w14:paraId="54C2A237" w14:textId="77777777" w:rsidR="001017A9" w:rsidRPr="00C637D9" w:rsidRDefault="001017A9" w:rsidP="001017A9">
      <w:pPr>
        <w:pStyle w:val="FootnoteText"/>
        <w:jc w:val="both"/>
        <w:rPr>
          <w:rFonts w:ascii="Times New Roman" w:hAnsi="Times New Roman" w:cs="Times New Roman"/>
          <w:lang w:val="en-IE"/>
        </w:rPr>
      </w:pPr>
      <w:r>
        <w:rPr>
          <w:rStyle w:val="FootnoteReference"/>
          <w:rFonts w:ascii="Times New Roman" w:hAnsi="Times New Roman" w:cs="Times New Roman"/>
        </w:rPr>
        <w:footnoteRef/>
      </w:r>
      <w:r w:rsidRPr="00C637D9">
        <w:rPr>
          <w:rFonts w:ascii="Times New Roman" w:hAnsi="Times New Roman"/>
          <w:lang w:val="en-IE"/>
        </w:rPr>
        <w:t>A renewed agenda for European Union — United Kingdom cooperation Common Understanding.</w:t>
      </w:r>
    </w:p>
    <w:p w14:paraId="49D5FB56" w14:textId="4DDCF6C7" w:rsidR="001017A9" w:rsidRPr="00C637D9" w:rsidRDefault="001017A9" w:rsidP="001017A9">
      <w:pPr>
        <w:pStyle w:val="FootnoteText"/>
        <w:jc w:val="both"/>
        <w:rPr>
          <w:rFonts w:ascii="Times New Roman" w:hAnsi="Times New Roman" w:cs="Times New Roman"/>
          <w:lang w:val="en-IE"/>
        </w:rPr>
      </w:pPr>
      <w:r w:rsidRPr="00C637D9">
        <w:rPr>
          <w:rFonts w:ascii="Times New Roman" w:hAnsi="Times New Roman"/>
          <w:lang w:val="en-IE"/>
        </w:rPr>
        <w:t xml:space="preserve"> </w:t>
      </w:r>
      <w:hyperlink r:id="rId5" w:history="1">
        <w:r w:rsidRPr="00C637D9">
          <w:rPr>
            <w:rStyle w:val="Hyperlink"/>
            <w:rFonts w:ascii="Times New Roman" w:hAnsi="Times New Roman"/>
            <w:lang w:val="en-IE"/>
          </w:rPr>
          <w:t>https://ec.europa.eu/commission/presscorner/detail/nl/statement_25_1267</w:t>
        </w:r>
      </w:hyperlink>
      <w:r w:rsidRPr="00C637D9">
        <w:rPr>
          <w:rFonts w:ascii="Times New Roman" w:hAnsi="Times New Roman"/>
          <w:lang w:val="en-IE"/>
        </w:rPr>
        <w:t>.</w:t>
      </w:r>
    </w:p>
  </w:footnote>
  <w:footnote w:id="7">
    <w:p w14:paraId="63124ED5" w14:textId="30F41A3E" w:rsidR="00FA7FF2" w:rsidRPr="00C637D9" w:rsidRDefault="00FA7FF2" w:rsidP="00FA7FF2">
      <w:pPr>
        <w:pStyle w:val="FootnoteText"/>
        <w:rPr>
          <w:lang w:val="en-IE"/>
        </w:rPr>
      </w:pPr>
      <w:r>
        <w:rPr>
          <w:rStyle w:val="FootnoteReference"/>
          <w:rFonts w:ascii="Times New Roman" w:hAnsi="Times New Roman" w:cs="Times New Roman"/>
        </w:rPr>
        <w:footnoteRef/>
      </w:r>
      <w:r w:rsidRPr="00C637D9">
        <w:rPr>
          <w:rFonts w:ascii="Times New Roman" w:hAnsi="Times New Roman"/>
          <w:lang w:val="en-IE"/>
        </w:rPr>
        <w:t xml:space="preserve"> </w:t>
      </w:r>
      <w:hyperlink r:id="rId6" w:history="1">
        <w:r w:rsidRPr="00C637D9">
          <w:rPr>
            <w:rStyle w:val="Hyperlink"/>
            <w:rFonts w:ascii="Times New Roman" w:hAnsi="Times New Roman"/>
            <w:lang w:val="en-IE"/>
          </w:rPr>
          <w:t>https://ec.europa.eu/commission/presscorner/detail/nl/statement_25_3103</w:t>
        </w:r>
      </w:hyperlink>
      <w:r w:rsidRPr="00C637D9">
        <w:rPr>
          <w:rFonts w:ascii="Times New Roman" w:hAnsi="Times New Roman"/>
          <w:lang w:val="en-IE"/>
        </w:rPr>
        <w:t>.</w:t>
      </w:r>
    </w:p>
  </w:footnote>
  <w:footnote w:id="8">
    <w:p w14:paraId="4988E30B" w14:textId="77777777" w:rsidR="00E31ED7" w:rsidRPr="004F21B5" w:rsidRDefault="00E31ED7" w:rsidP="004F21B5">
      <w:pPr>
        <w:pStyle w:val="FootnoteText"/>
        <w:spacing w:after="1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Besluit (EU) 2021/689 van de Raad van 29 april 2021 betreffende de sluiting, namens de Unie, van de Handels- en samenwerkingsovereenkomst tussen de Europese Unie en de Europese Gemeenschap voor Atoomenergie, enerzijds, en het Verenigd Koninkrijk van Groot-Brittannië en Noord-Ierland, anderzijds, en van de Overeenkomst tussen de Europese Unie en het Verenigd Koninkrijk van Groot-Brittannië en Noord-Ierland inzake beveiligingsprocedures voor de uitwisseling en bescherming van gerubriceerde gegevens, PB L 149 van 30.4.2021, blz. 2, </w:t>
      </w:r>
      <w:r>
        <w:rPr>
          <w:rFonts w:ascii="Times New Roman" w:hAnsi="Times New Roman"/>
          <w:color w:val="0563C1" w:themeColor="hyperlink"/>
          <w:u w:val="single"/>
        </w:rPr>
        <w:t xml:space="preserve">ELI: </w:t>
      </w:r>
      <w:hyperlink r:id="rId7" w:history="1">
        <w:r>
          <w:rPr>
            <w:rStyle w:val="Hyperlink"/>
            <w:rFonts w:ascii="Times New Roman" w:hAnsi="Times New Roman"/>
          </w:rPr>
          <w:t>http://data.europa.eu/eli/dec/2021/689/oj</w:t>
        </w:r>
      </w:hyperlink>
      <w:r>
        <w:rPr>
          <w:rFonts w:ascii="Times New Roman" w:hAnsi="Times New Roman"/>
        </w:rPr>
        <w:t>.</w:t>
      </w:r>
    </w:p>
  </w:footnote>
  <w:footnote w:id="9">
    <w:p w14:paraId="3F9ED5BF" w14:textId="143DC43E" w:rsidR="001B6AD6" w:rsidRPr="00095FFB" w:rsidRDefault="001B6AD6" w:rsidP="001B6AD6">
      <w:pPr>
        <w:pStyle w:val="FootnoteText"/>
      </w:pPr>
      <w:r>
        <w:rPr>
          <w:rStyle w:val="FootnoteReference"/>
          <w:rFonts w:ascii="Times New Roman" w:hAnsi="Times New Roman" w:cs="Times New Roman"/>
        </w:rPr>
        <w:footnoteRef/>
      </w:r>
      <w:r>
        <w:rPr>
          <w:rFonts w:ascii="Times New Roman" w:hAnsi="Times New Roman"/>
        </w:rPr>
        <w:t xml:space="preserve"> Werkgroepen voor: organische producten, motorvoertuigen en onderdelen, geneesmiddelen en coördinatie van de sociale zekerheid.</w:t>
      </w:r>
    </w:p>
  </w:footnote>
  <w:footnote w:id="10">
    <w:p w14:paraId="4591E44A" w14:textId="433CF58B" w:rsidR="00095FFB" w:rsidRPr="00C637D9" w:rsidRDefault="003D6027" w:rsidP="00095FFB">
      <w:pPr>
        <w:pStyle w:val="FootnoteText"/>
        <w:rPr>
          <w:rFonts w:ascii="Times New Roman" w:hAnsi="Times New Roman" w:cs="Times New Roman"/>
          <w:lang w:val="en-IE"/>
        </w:rPr>
      </w:pPr>
      <w:r>
        <w:rPr>
          <w:rStyle w:val="FootnoteReference"/>
          <w:rFonts w:ascii="Times New Roman" w:hAnsi="Times New Roman" w:cs="Times New Roman"/>
        </w:rPr>
        <w:footnoteRef/>
      </w:r>
      <w:r w:rsidRPr="00C637D9">
        <w:rPr>
          <w:rFonts w:ascii="Times New Roman" w:hAnsi="Times New Roman"/>
          <w:lang w:val="en-IE"/>
        </w:rPr>
        <w:t xml:space="preserve"> Fifth EU-UK Parliamentary Partnership Assembly, 17-18 March 2025, Brussels.</w:t>
      </w:r>
    </w:p>
    <w:p w14:paraId="1F1CC57F" w14:textId="14A4AA2B" w:rsidR="003D6027" w:rsidRPr="00C637D9" w:rsidRDefault="00442FE6" w:rsidP="004F21B5">
      <w:pPr>
        <w:pStyle w:val="FootnoteText"/>
        <w:rPr>
          <w:rFonts w:ascii="Times New Roman" w:hAnsi="Times New Roman" w:cs="Times New Roman"/>
          <w:lang w:val="en-IE"/>
        </w:rPr>
      </w:pPr>
      <w:hyperlink r:id="rId8" w:history="1">
        <w:r w:rsidR="003D6027" w:rsidRPr="00C637D9">
          <w:rPr>
            <w:rStyle w:val="Hyperlink"/>
            <w:rFonts w:ascii="Times New Roman" w:hAnsi="Times New Roman"/>
            <w:lang w:val="en-IE"/>
          </w:rPr>
          <w:t>https://www.europarl.europa.eu/delegations/nl/5th-eu-uk-parliamentary-partnership-asse/product-details/20250224DPU39839</w:t>
        </w:r>
      </w:hyperlink>
      <w:r w:rsidR="003D6027" w:rsidRPr="00C637D9">
        <w:rPr>
          <w:rFonts w:ascii="Times New Roman" w:hAnsi="Times New Roman"/>
          <w:lang w:val="en-IE"/>
        </w:rPr>
        <w:t>.</w:t>
      </w:r>
    </w:p>
  </w:footnote>
  <w:footnote w:id="11">
    <w:p w14:paraId="50C6C1DB" w14:textId="0C20F0D7" w:rsidR="00A60811" w:rsidRPr="00C637D9" w:rsidRDefault="00A60811">
      <w:pPr>
        <w:pStyle w:val="FootnoteText"/>
        <w:rPr>
          <w:lang w:val="en-IE"/>
        </w:rPr>
      </w:pPr>
      <w:r>
        <w:rPr>
          <w:rStyle w:val="FootnoteReference"/>
          <w:rFonts w:ascii="Times New Roman" w:hAnsi="Times New Roman" w:cs="Times New Roman"/>
        </w:rPr>
        <w:footnoteRef/>
      </w:r>
      <w:r w:rsidRPr="00C637D9">
        <w:rPr>
          <w:rFonts w:ascii="Times New Roman" w:hAnsi="Times New Roman"/>
          <w:lang w:val="en-IE"/>
        </w:rPr>
        <w:t xml:space="preserve"> </w:t>
      </w:r>
      <w:hyperlink r:id="rId9" w:history="1">
        <w:r w:rsidRPr="00C637D9">
          <w:rPr>
            <w:rStyle w:val="Hyperlink"/>
            <w:rFonts w:ascii="Times New Roman" w:hAnsi="Times New Roman"/>
            <w:lang w:val="en-IE"/>
          </w:rPr>
          <w:t>https://www.europarl.europa.eu/delegations/nl/d-uk/activities/inter-parliamentary</w:t>
        </w:r>
      </w:hyperlink>
      <w:r w:rsidRPr="00C637D9">
        <w:rPr>
          <w:lang w:val="en-IE"/>
        </w:rPr>
        <w:t>.</w:t>
      </w:r>
    </w:p>
  </w:footnote>
  <w:footnote w:id="12">
    <w:p w14:paraId="7E3C3949" w14:textId="66C42AF1" w:rsidR="00A60811" w:rsidRPr="00270FCE" w:rsidRDefault="00A60811" w:rsidP="00A60811">
      <w:pPr>
        <w:pStyle w:val="FootnoteText"/>
        <w:rPr>
          <w:rFonts w:ascii="Times New Roman" w:hAnsi="Times New Roman" w:cs="Times New Roman"/>
        </w:rPr>
      </w:pPr>
      <w:r>
        <w:rPr>
          <w:rStyle w:val="FootnoteReference"/>
          <w:rFonts w:ascii="Times New Roman" w:hAnsi="Times New Roman" w:cs="Times New Roman"/>
        </w:rPr>
        <w:footnoteRef/>
      </w:r>
      <w:r w:rsidRPr="00C637D9">
        <w:rPr>
          <w:rFonts w:ascii="Times New Roman" w:hAnsi="Times New Roman"/>
          <w:lang w:val="en-IE"/>
        </w:rPr>
        <w:t xml:space="preserve"> Recommendation on strengthening the EU-UK partnership. </w:t>
      </w:r>
      <w:hyperlink r:id="rId10" w:history="1">
        <w:r>
          <w:rPr>
            <w:rStyle w:val="Hyperlink"/>
            <w:rFonts w:ascii="Times New Roman" w:hAnsi="Times New Roman"/>
          </w:rPr>
          <w:t>https://www.europarl.europa.eu/cmsdata/293904/5th%20PPA%20Recommendation%2017.03.25.pdf</w:t>
        </w:r>
      </w:hyperlink>
      <w:r>
        <w:rPr>
          <w:rFonts w:ascii="Times New Roman" w:hAnsi="Times New Roman"/>
        </w:rPr>
        <w:t>.</w:t>
      </w:r>
    </w:p>
  </w:footnote>
  <w:footnote w:id="13">
    <w:p w14:paraId="17A8A0B6" w14:textId="0EB03A4B" w:rsidR="00A60811" w:rsidRPr="00270FCE" w:rsidRDefault="00A6081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11" w:history="1">
        <w:r>
          <w:rPr>
            <w:rStyle w:val="Hyperlink"/>
            <w:rFonts w:ascii="Times New Roman" w:hAnsi="Times New Roman"/>
          </w:rPr>
          <w:t>https://www.europarl.europa.eu/cmsdata/300310/6th%20PPA%20-%20Recommendation%20on%20trade,%20security%20and%20global%20challenges.pdf</w:t>
        </w:r>
      </w:hyperlink>
      <w:r>
        <w:rPr>
          <w:rFonts w:ascii="Times New Roman" w:hAnsi="Times New Roman"/>
        </w:rPr>
        <w:t>.</w:t>
      </w:r>
    </w:p>
  </w:footnote>
  <w:footnote w:id="14">
    <w:p w14:paraId="6BFDC906" w14:textId="19B90173" w:rsidR="00095FFB" w:rsidRPr="00270FCE" w:rsidRDefault="00865BFD" w:rsidP="00095FFB">
      <w:pPr>
        <w:pStyle w:val="FootnoteText"/>
        <w:rPr>
          <w:rFonts w:ascii="Times New Roman" w:hAnsi="Times New Roman" w:cs="Times New Roman"/>
          <w:b/>
          <w:bCs/>
        </w:rPr>
      </w:pPr>
      <w:r>
        <w:rPr>
          <w:rStyle w:val="FootnoteReference"/>
          <w:rFonts w:ascii="Times New Roman" w:hAnsi="Times New Roman" w:cs="Times New Roman"/>
        </w:rPr>
        <w:footnoteRef/>
      </w:r>
      <w:r>
        <w:rPr>
          <w:rFonts w:ascii="Times New Roman" w:hAnsi="Times New Roman"/>
        </w:rPr>
        <w:t xml:space="preserve"> De interne adviesgroep van de EU in het kader van de handels- en samenwerkingsovereenkomst tussen de EU en het VK,</w:t>
      </w:r>
    </w:p>
    <w:p w14:paraId="12087600" w14:textId="1784F6E3" w:rsidR="00865BFD" w:rsidRPr="004F21B5" w:rsidRDefault="00442FE6" w:rsidP="004F21B5">
      <w:pPr>
        <w:pStyle w:val="FootnoteText"/>
        <w:rPr>
          <w:rFonts w:ascii="Times New Roman" w:hAnsi="Times New Roman" w:cs="Times New Roman"/>
        </w:rPr>
      </w:pPr>
      <w:hyperlink r:id="rId12" w:history="1">
        <w:r w:rsidR="00865BFD">
          <w:rPr>
            <w:rStyle w:val="Hyperlink"/>
            <w:rFonts w:ascii="Times New Roman" w:hAnsi="Times New Roman"/>
          </w:rPr>
          <w:t>https://www.eesc.europa.eu/nl/sections-other-bodies/other/de-interne-adviesgroep-van-de-eu-het-kader-van-de-handels-en-samenwerkingsovereenkomst-tussen-de-eu-en-het-vk</w:t>
        </w:r>
      </w:hyperlink>
      <w:r w:rsidR="00865BFD">
        <w:rPr>
          <w:rFonts w:ascii="Times New Roman" w:hAnsi="Times New Roman"/>
        </w:rPr>
        <w:t>.</w:t>
      </w:r>
    </w:p>
  </w:footnote>
  <w:footnote w:id="15">
    <w:p w14:paraId="54D2A8F8" w14:textId="6300284C" w:rsidR="00D72AC6" w:rsidRPr="00C637D9" w:rsidRDefault="00D72AC6" w:rsidP="004F21B5">
      <w:pPr>
        <w:pStyle w:val="FootnoteText"/>
        <w:rPr>
          <w:rFonts w:ascii="Times New Roman" w:hAnsi="Times New Roman" w:cs="Times New Roman"/>
          <w:lang w:val="en-IE"/>
        </w:rPr>
      </w:pPr>
      <w:r>
        <w:rPr>
          <w:rStyle w:val="FootnoteReference"/>
          <w:rFonts w:ascii="Times New Roman" w:hAnsi="Times New Roman" w:cs="Times New Roman"/>
        </w:rPr>
        <w:footnoteRef/>
      </w:r>
      <w:r w:rsidRPr="00C637D9">
        <w:rPr>
          <w:rFonts w:ascii="Times New Roman" w:hAnsi="Times New Roman"/>
          <w:lang w:val="en-IE"/>
        </w:rPr>
        <w:t xml:space="preserve"> Joint Statement </w:t>
      </w:r>
      <w:hyperlink r:id="rId13" w:history="1">
        <w:r w:rsidRPr="00C637D9">
          <w:rPr>
            <w:rStyle w:val="Hyperlink"/>
            <w:rFonts w:ascii="Times New Roman" w:hAnsi="Times New Roman"/>
            <w:lang w:val="en-IE"/>
          </w:rPr>
          <w:t>https://www.eesc.europa.eu/sites/default/files/2025-06/eu-uk_dags_joint_statement_2025.pdf</w:t>
        </w:r>
      </w:hyperlink>
      <w:r w:rsidRPr="00C637D9">
        <w:rPr>
          <w:rFonts w:ascii="Times New Roman" w:hAnsi="Times New Roman"/>
          <w:lang w:val="en-IE"/>
        </w:rPr>
        <w:t>.</w:t>
      </w:r>
    </w:p>
  </w:footnote>
  <w:footnote w:id="16">
    <w:p w14:paraId="25C08730" w14:textId="5FFDB2FC" w:rsidR="00D72AC6" w:rsidRPr="00C637D9" w:rsidRDefault="00D72AC6" w:rsidP="004F21B5">
      <w:pPr>
        <w:pStyle w:val="FootnoteText"/>
        <w:rPr>
          <w:rFonts w:ascii="Times New Roman" w:hAnsi="Times New Roman" w:cs="Times New Roman"/>
          <w:lang w:val="en-IE"/>
        </w:rPr>
      </w:pPr>
      <w:r>
        <w:rPr>
          <w:rStyle w:val="FootnoteReference"/>
          <w:rFonts w:ascii="Times New Roman" w:hAnsi="Times New Roman" w:cs="Times New Roman"/>
        </w:rPr>
        <w:footnoteRef/>
      </w:r>
      <w:r w:rsidRPr="00C637D9">
        <w:rPr>
          <w:rFonts w:ascii="Times New Roman" w:hAnsi="Times New Roman"/>
          <w:lang w:val="en-IE"/>
        </w:rPr>
        <w:t xml:space="preserve"> Fourth EU-UK Trade and Cooperation Agreement Civil Society Forum </w:t>
      </w:r>
      <w:hyperlink r:id="rId14" w:history="1">
        <w:r w:rsidRPr="00C637D9">
          <w:rPr>
            <w:rStyle w:val="Hyperlink"/>
            <w:rFonts w:ascii="Times New Roman" w:hAnsi="Times New Roman"/>
            <w:lang w:val="en-IE"/>
          </w:rPr>
          <w:t>https://policy.trade.ec.europa.eu/events/fourth-eu-uk-trade-and-cooperation-agreement-civil-society-forum-2025-06-24_nl</w:t>
        </w:r>
      </w:hyperlink>
      <w:r w:rsidRPr="00C637D9">
        <w:rPr>
          <w:rFonts w:ascii="Times New Roman" w:hAnsi="Times New Roman"/>
          <w:lang w:val="en-IE"/>
        </w:rPr>
        <w:t>.</w:t>
      </w:r>
    </w:p>
  </w:footnote>
  <w:footnote w:id="17">
    <w:p w14:paraId="515663C2" w14:textId="77777777" w:rsidR="007971BC" w:rsidRPr="00C637D9" w:rsidRDefault="007971BC" w:rsidP="007971BC">
      <w:pPr>
        <w:pStyle w:val="FootnoteText"/>
        <w:rPr>
          <w:rFonts w:ascii="Times New Roman" w:hAnsi="Times New Roman" w:cs="Times New Roman"/>
          <w:lang w:val="en-IE"/>
        </w:rPr>
      </w:pPr>
      <w:r>
        <w:rPr>
          <w:rStyle w:val="FootnoteReference"/>
          <w:rFonts w:ascii="Times New Roman" w:hAnsi="Times New Roman" w:cs="Times New Roman"/>
        </w:rPr>
        <w:footnoteRef/>
      </w:r>
      <w:r w:rsidRPr="00C637D9">
        <w:rPr>
          <w:rFonts w:ascii="Times New Roman" w:hAnsi="Times New Roman"/>
          <w:lang w:val="en-IE"/>
        </w:rPr>
        <w:t xml:space="preserve"> Fourth meeting of the Partnership Council</w:t>
      </w:r>
      <w:r w:rsidRPr="00C637D9">
        <w:rPr>
          <w:lang w:val="en-IE"/>
        </w:rPr>
        <w:t>.</w:t>
      </w:r>
    </w:p>
    <w:p w14:paraId="7A3DDA9F" w14:textId="77777777" w:rsidR="007971BC" w:rsidRPr="00C637D9" w:rsidRDefault="00442FE6" w:rsidP="007971BC">
      <w:pPr>
        <w:pStyle w:val="FootnoteText"/>
        <w:rPr>
          <w:rFonts w:ascii="Times New Roman" w:hAnsi="Times New Roman" w:cs="Times New Roman"/>
          <w:lang w:val="en-IE"/>
        </w:rPr>
      </w:pPr>
      <w:hyperlink r:id="rId15" w:history="1">
        <w:r w:rsidR="007971BC" w:rsidRPr="00C637D9">
          <w:rPr>
            <w:rStyle w:val="Hyperlink"/>
            <w:rFonts w:ascii="Times New Roman" w:hAnsi="Times New Roman"/>
            <w:lang w:val="en-IE"/>
          </w:rPr>
          <w:t>Fourth meeting of the Partnership Council - European Commission</w:t>
        </w:r>
      </w:hyperlink>
      <w:r w:rsidR="007971BC" w:rsidRPr="00C637D9">
        <w:rPr>
          <w:lang w:val="en-IE"/>
        </w:rPr>
        <w:t>.</w:t>
      </w:r>
    </w:p>
  </w:footnote>
  <w:footnote w:id="18">
    <w:p w14:paraId="616FD0A9" w14:textId="77777777" w:rsidR="007359FB" w:rsidRPr="007359FB" w:rsidRDefault="00862667" w:rsidP="007359F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Vragenlijst van het centrale klachtenpunt HSO EU-VK</w:t>
      </w:r>
      <w:r>
        <w:t>.</w:t>
      </w:r>
    </w:p>
    <w:p w14:paraId="728CFCDE" w14:textId="37739E16" w:rsidR="007359FB" w:rsidRPr="007359FB" w:rsidRDefault="00442FE6" w:rsidP="007359FB">
      <w:pPr>
        <w:pStyle w:val="FootnoteText"/>
        <w:jc w:val="both"/>
        <w:rPr>
          <w:rFonts w:ascii="Times New Roman" w:hAnsi="Times New Roman" w:cs="Times New Roman"/>
        </w:rPr>
      </w:pPr>
      <w:hyperlink r:id="rId16" w:history="1">
        <w:r w:rsidR="00862667">
          <w:rPr>
            <w:rStyle w:val="Hyperlink"/>
            <w:rFonts w:ascii="Times New Roman" w:hAnsi="Times New Roman"/>
          </w:rPr>
          <w:t>https://ec.europa.eu/assets/sg/complaint_eu_uk_tca/complaints_nl/</w:t>
        </w:r>
      </w:hyperlink>
      <w:r w:rsidR="00862667">
        <w:rPr>
          <w:rFonts w:ascii="Times New Roman" w:hAnsi="Times New Roman"/>
        </w:rPr>
        <w:t xml:space="preserve"> en centraal toegangspunt.</w:t>
      </w:r>
    </w:p>
    <w:p w14:paraId="24596BD5" w14:textId="5B389C2D" w:rsidR="00862667" w:rsidRPr="006A1351" w:rsidRDefault="007359FB" w:rsidP="004F21B5">
      <w:pPr>
        <w:pStyle w:val="FootnoteText"/>
        <w:jc w:val="both"/>
        <w:rPr>
          <w:rFonts w:ascii="Times New Roman" w:hAnsi="Times New Roman" w:cs="Times New Roman"/>
        </w:rPr>
      </w:pPr>
      <w:r>
        <w:t xml:space="preserve"> </w:t>
      </w:r>
      <w:hyperlink r:id="rId17" w:history="1">
        <w:r>
          <w:rPr>
            <w:rStyle w:val="Hyperlink"/>
            <w:rFonts w:ascii="Times New Roman" w:hAnsi="Times New Roman"/>
          </w:rPr>
          <w:t>https://trade.ec.europa.eu/access-to-markets/en/content/single-entry-point-0</w:t>
        </w:r>
      </w:hyperlink>
      <w:r>
        <w:rPr>
          <w:rFonts w:ascii="Times New Roman" w:hAnsi="Times New Roman"/>
        </w:rPr>
        <w:t>.</w:t>
      </w:r>
    </w:p>
  </w:footnote>
  <w:footnote w:id="19">
    <w:p w14:paraId="76B76CE4" w14:textId="1F5FD2BE" w:rsidR="00BA4E5E" w:rsidRPr="00DE0E87" w:rsidRDefault="00BA4E5E" w:rsidP="00DE0E8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Eén klacht betrof de beweerde onjuiste toepassing van de overeenkomst in de vorm van het besluit van een autoriteit van een lidstaat om oude strafregisters met het Verenigd Koninkrijk te delen op grond van artikel 649, lid 2. De diensten van de Commissie hebben de kwestie geverifieerd en de klager meegedeeld dat het de wetgeving van de lidstaat is die regelt hoelang de informatie over oude veroordelingen moet worden doorgegeven en wat de omvang van de doorgegeven informatie zal zijn. De tweede klacht had betrekking op de zevende toewijzingsronde van de “Contracts for Difference”-regeling van het Verenigd Koninkrijk voor de opwekking van hernieuwbare elektriciteit. Op de datum van dit verslag heeft de Commissie de beoordeling van deze klacht nog niet afgerond.</w:t>
      </w:r>
    </w:p>
  </w:footnote>
  <w:footnote w:id="20">
    <w:p w14:paraId="2065D78E" w14:textId="323769C3" w:rsidR="006A1351" w:rsidRPr="00C637D9" w:rsidRDefault="006A1351">
      <w:pPr>
        <w:pStyle w:val="FootnoteText"/>
        <w:rPr>
          <w:lang w:val="en-IE"/>
        </w:rPr>
      </w:pPr>
      <w:r>
        <w:rPr>
          <w:rStyle w:val="FootnoteReference"/>
          <w:rFonts w:ascii="Times New Roman" w:hAnsi="Times New Roman" w:cs="Times New Roman"/>
        </w:rPr>
        <w:footnoteRef/>
      </w:r>
      <w:r w:rsidRPr="00C637D9">
        <w:rPr>
          <w:rFonts w:ascii="Times New Roman" w:hAnsi="Times New Roman"/>
          <w:lang w:val="en-IE"/>
        </w:rPr>
        <w:t xml:space="preserve"> PCA CASE No. 2024-45 </w:t>
      </w:r>
      <w:hyperlink r:id="rId18" w:history="1">
        <w:r w:rsidRPr="00C637D9">
          <w:rPr>
            <w:rStyle w:val="Hyperlink"/>
            <w:rFonts w:ascii="Times New Roman" w:hAnsi="Times New Roman"/>
            <w:lang w:val="en-IE"/>
          </w:rPr>
          <w:t>https://pcacases.com/web/sendAttach/70467</w:t>
        </w:r>
      </w:hyperlink>
      <w:r w:rsidRPr="00C637D9">
        <w:rPr>
          <w:lang w:val="en-IE"/>
        </w:rPr>
        <w:t>.</w:t>
      </w:r>
    </w:p>
  </w:footnote>
  <w:footnote w:id="21">
    <w:p w14:paraId="0BBDDB8E" w14:textId="07AA9DE8" w:rsidR="007E3B5A" w:rsidRPr="00C53FC6" w:rsidRDefault="007E3B5A">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Voorstel voor een besluit van de Raad betreffende het standpunt dat namens de Europese Unie moet worden ingenomen in het Gespecialiseerd Handelscomité voor een gelijk speelveld voor open en eerlijke mededinging en duurzame ontwikkeling, dat is opgericht bij de handels- en samenwerkingsovereenkomst tussen de Europese Unie en de Europese Gemeenschap voor Atoomenergie, enerzijds, en het Verenigd Koninkrijk van Groot-Brittannië en Noord-Ierland, anderzijds, met betrekking tot de vaststelling van een besluit tot vaststelling van een lijst van personen die bereid en in staat zijn om als lid van het bij artikel 409 van de handels- en samenwerkingsovereenkomst ingestelde deskundigenpanel te fungeren, </w:t>
      </w:r>
      <w:hyperlink r:id="rId19" w:history="1">
        <w:r>
          <w:rPr>
            <w:rStyle w:val="Hyperlink"/>
            <w:rFonts w:ascii="Times New Roman" w:hAnsi="Times New Roman"/>
          </w:rPr>
          <w:t>https://eur-lex.europa.eu/legal-content/NL/TXT/HTML/?uri=CELEX:52026PC0089</w:t>
        </w:r>
      </w:hyperlink>
      <w:r>
        <w:rPr>
          <w:rFonts w:ascii="Times New Roman" w:hAnsi="Times New Roman"/>
        </w:rPr>
        <w:t xml:space="preserve"> </w:t>
      </w:r>
    </w:p>
  </w:footnote>
  <w:footnote w:id="22">
    <w:p w14:paraId="26C1F84B" w14:textId="2479A685" w:rsidR="006F2932" w:rsidRPr="006F2932" w:rsidRDefault="006F2932">
      <w:pPr>
        <w:pStyle w:val="FootnoteText"/>
      </w:pPr>
      <w:r>
        <w:rPr>
          <w:rStyle w:val="FootnoteReference"/>
        </w:rPr>
        <w:footnoteRef/>
      </w:r>
      <w:r>
        <w:t xml:space="preserve"> </w:t>
      </w:r>
      <w:bookmarkStart w:id="29" w:name="_Hlk158194613"/>
      <w:r>
        <w:rPr>
          <w:rFonts w:ascii="Times New Roman" w:hAnsi="Times New Roman"/>
        </w:rPr>
        <w:t>De statistieken hadden betrekking op de invoer in 202</w:t>
      </w:r>
      <w:bookmarkEnd w:id="29"/>
      <w:r>
        <w:rPr>
          <w:rFonts w:ascii="Times New Roman" w:hAnsi="Times New Roman"/>
        </w:rPr>
        <w:t>4.</w:t>
      </w:r>
    </w:p>
  </w:footnote>
  <w:footnote w:id="23">
    <w:p w14:paraId="0235A4B5" w14:textId="73C8258C" w:rsidR="007E5B4E" w:rsidRPr="00BB7C1E" w:rsidRDefault="007E5B4E" w:rsidP="004F21B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Het preferentiegebruik is het deel van de in- of uitvoer dat onder een handelspreferentie valt als percentage van de totale waarde van de in- of uitvoer die per partnerland in aanmerking komt voor preferentiële behandeling.</w:t>
      </w:r>
    </w:p>
  </w:footnote>
  <w:footnote w:id="24">
    <w:p w14:paraId="13C40051" w14:textId="1D021361" w:rsidR="000B7200" w:rsidRPr="00BB7C1E" w:rsidRDefault="000B7200" w:rsidP="004F21B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Zie voor nadere informatie over de uitvoering van de vrijhandelsovereenkomsten van de EU het verslag van de Commissie aan het Europees Parlement, de Raad, het Europees Economisch en Sociaal Comité en het Comité van de Regio’s over de uitvoering en de handhaving van het handelsbeleid van de EU: </w:t>
      </w:r>
      <w:hyperlink r:id="rId20" w:history="1">
        <w:r>
          <w:rPr>
            <w:rStyle w:val="Hyperlink"/>
            <w:rFonts w:ascii="Times New Roman" w:hAnsi="Times New Roman"/>
          </w:rPr>
          <w:t>https://policy.trade.ec.europa.eu/enforcement-and-protection/implementing-and-enforcing-eu-trade-agreements_nl</w:t>
        </w:r>
      </w:hyperlink>
      <w:r>
        <w:rPr>
          <w:rFonts w:ascii="Times New Roman" w:hAnsi="Times New Roman"/>
        </w:rPr>
        <w:t>.</w:t>
      </w:r>
    </w:p>
  </w:footnote>
  <w:footnote w:id="25">
    <w:p w14:paraId="0CC97C07" w14:textId="77777777" w:rsidR="00CA2DC7" w:rsidRPr="00BB7C1E" w:rsidRDefault="00CA2DC7" w:rsidP="00CA2DC7">
      <w:pPr>
        <w:pStyle w:val="oCarCar1"/>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Tenzij anders vermeld, zijn alle cijfers gebaseerd op gegevens van Eurostat: </w:t>
      </w:r>
      <w:hyperlink r:id="rId21" w:history="1">
        <w:r>
          <w:rPr>
            <w:rStyle w:val="Hyperlink"/>
            <w:rFonts w:ascii="Times New Roman" w:hAnsi="Times New Roman"/>
          </w:rPr>
          <w:t>https://ec.europa.eu/eurostat/web/international-trade-in-goods/overview</w:t>
        </w:r>
      </w:hyperlink>
      <w:r>
        <w:rPr>
          <w:rFonts w:ascii="Times New Roman" w:hAnsi="Times New Roman"/>
        </w:rPr>
        <w:t>.</w:t>
      </w:r>
    </w:p>
  </w:footnote>
  <w:footnote w:id="26">
    <w:p w14:paraId="42D2101F" w14:textId="72CCB7A6" w:rsidR="00EE202D" w:rsidRPr="00C637D9" w:rsidRDefault="00B8510B" w:rsidP="00EE202D">
      <w:pPr>
        <w:pStyle w:val="FootnoteText"/>
        <w:rPr>
          <w:rFonts w:ascii="Times New Roman" w:hAnsi="Times New Roman" w:cs="Times New Roman"/>
          <w:lang w:val="en-IE"/>
        </w:rPr>
      </w:pPr>
      <w:r>
        <w:rPr>
          <w:rStyle w:val="FootnoteReference"/>
          <w:rFonts w:ascii="Times New Roman" w:hAnsi="Times New Roman" w:cs="Times New Roman"/>
        </w:rPr>
        <w:footnoteRef/>
      </w:r>
      <w:r w:rsidRPr="00C637D9">
        <w:rPr>
          <w:rFonts w:ascii="Times New Roman" w:hAnsi="Times New Roman"/>
          <w:lang w:val="en-IE"/>
        </w:rPr>
        <w:t xml:space="preserve"> Service Supplier visa (Global Business Mobility)</w:t>
      </w:r>
    </w:p>
    <w:p w14:paraId="67C7CE6E" w14:textId="06F350D6" w:rsidR="00B8510B" w:rsidRPr="00C637D9" w:rsidRDefault="00F97D5F" w:rsidP="00B8510B">
      <w:pPr>
        <w:pStyle w:val="FootnoteText"/>
        <w:rPr>
          <w:rFonts w:ascii="Times New Roman" w:hAnsi="Times New Roman" w:cs="Times New Roman"/>
          <w:lang w:val="en-IE"/>
        </w:rPr>
      </w:pPr>
      <w:r w:rsidRPr="00C637D9">
        <w:rPr>
          <w:rFonts w:ascii="Times New Roman" w:hAnsi="Times New Roman"/>
          <w:lang w:val="en-IE"/>
        </w:rPr>
        <w:t xml:space="preserve"> </w:t>
      </w:r>
      <w:hyperlink r:id="rId22" w:history="1">
        <w:r w:rsidRPr="00C637D9">
          <w:rPr>
            <w:rStyle w:val="Hyperlink"/>
            <w:rFonts w:ascii="Times New Roman" w:hAnsi="Times New Roman"/>
            <w:lang w:val="en-IE"/>
          </w:rPr>
          <w:t>https://www.gov.uk/service-supplier-visa/eligibility</w:t>
        </w:r>
      </w:hyperlink>
      <w:r w:rsidRPr="00C637D9">
        <w:rPr>
          <w:rFonts w:ascii="Times New Roman" w:hAnsi="Times New Roman"/>
          <w:lang w:val="en-IE"/>
        </w:rPr>
        <w:t>.</w:t>
      </w:r>
    </w:p>
  </w:footnote>
  <w:footnote w:id="27">
    <w:p w14:paraId="7F8E0449" w14:textId="77777777" w:rsidR="000D7DA0" w:rsidRPr="00DB2614" w:rsidRDefault="000D7DA0" w:rsidP="000D7DA0">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Zie de verslagen van de Commissie over de uitvoering van de overeenkomst voor de jaren 2022, 2023 en 2024. </w:t>
      </w:r>
    </w:p>
  </w:footnote>
  <w:footnote w:id="28">
    <w:p w14:paraId="1A09CA5B" w14:textId="77777777" w:rsidR="00D03CCA" w:rsidRPr="00C637D9" w:rsidRDefault="00D03CCA" w:rsidP="00D03CCA">
      <w:pPr>
        <w:pStyle w:val="FootnoteText"/>
        <w:rPr>
          <w:rFonts w:ascii="Times New Roman" w:hAnsi="Times New Roman" w:cs="Times New Roman"/>
          <w:lang w:val="en-IE"/>
        </w:rPr>
      </w:pPr>
      <w:r>
        <w:rPr>
          <w:rStyle w:val="FootnoteReference"/>
          <w:rFonts w:ascii="Times New Roman" w:hAnsi="Times New Roman" w:cs="Times New Roman"/>
        </w:rPr>
        <w:footnoteRef/>
      </w:r>
      <w:r w:rsidRPr="00C637D9">
        <w:rPr>
          <w:rFonts w:ascii="Times New Roman" w:hAnsi="Times New Roman"/>
          <w:lang w:val="en-IE"/>
        </w:rPr>
        <w:t xml:space="preserve"> Memorandum of Understanding establishing a framework for financial services regulatory</w:t>
      </w:r>
    </w:p>
    <w:p w14:paraId="04A4D4CA" w14:textId="77777777" w:rsidR="00D03CCA" w:rsidRPr="00C637D9" w:rsidRDefault="00D03CCA" w:rsidP="00D03CCA">
      <w:pPr>
        <w:pStyle w:val="FootnoteText"/>
        <w:rPr>
          <w:rFonts w:ascii="Times New Roman" w:hAnsi="Times New Roman" w:cs="Times New Roman"/>
          <w:lang w:val="en-IE"/>
        </w:rPr>
      </w:pPr>
      <w:r w:rsidRPr="00C637D9">
        <w:rPr>
          <w:rFonts w:ascii="Times New Roman" w:hAnsi="Times New Roman"/>
          <w:lang w:val="en-IE"/>
        </w:rPr>
        <w:t>cooperation between the European Union and the United Kingdom of Great Britain and</w:t>
      </w:r>
    </w:p>
    <w:p w14:paraId="4283EC30" w14:textId="77777777" w:rsidR="00D03CCA" w:rsidRPr="00C637D9" w:rsidRDefault="00D03CCA" w:rsidP="00D03CCA">
      <w:pPr>
        <w:pStyle w:val="FootnoteText"/>
        <w:rPr>
          <w:rFonts w:ascii="Times New Roman" w:hAnsi="Times New Roman" w:cs="Times New Roman"/>
          <w:lang w:val="en-IE"/>
        </w:rPr>
      </w:pPr>
      <w:r w:rsidRPr="00C637D9">
        <w:rPr>
          <w:rFonts w:ascii="Times New Roman" w:hAnsi="Times New Roman"/>
          <w:lang w:val="en-IE"/>
        </w:rPr>
        <w:t xml:space="preserve">Northern Ireland: </w:t>
      </w:r>
      <w:hyperlink r:id="rId23" w:history="1">
        <w:r w:rsidRPr="00C637D9">
          <w:rPr>
            <w:rStyle w:val="Hyperlink"/>
            <w:rFonts w:ascii="Times New Roman" w:hAnsi="Times New Roman"/>
            <w:lang w:val="en-IE"/>
          </w:rPr>
          <w:t>https://finance.ec.europa.eu/system/files/2023-09/230627-memorandum-understanding-financial-services-eu-uk_en.pdf</w:t>
        </w:r>
      </w:hyperlink>
      <w:r w:rsidRPr="00C637D9">
        <w:rPr>
          <w:rFonts w:ascii="Times New Roman" w:hAnsi="Times New Roman"/>
          <w:lang w:val="en-IE"/>
        </w:rPr>
        <w:t>.</w:t>
      </w:r>
    </w:p>
  </w:footnote>
  <w:footnote w:id="29">
    <w:p w14:paraId="5A08C25E" w14:textId="77777777" w:rsidR="00D03CCA" w:rsidRPr="00C637D9" w:rsidRDefault="00D03CCA" w:rsidP="00D03CCA">
      <w:pPr>
        <w:pStyle w:val="FootnoteText"/>
        <w:rPr>
          <w:rFonts w:ascii="Times New Roman" w:hAnsi="Times New Roman" w:cs="Times New Roman"/>
          <w:lang w:val="en-IE"/>
        </w:rPr>
      </w:pPr>
      <w:r>
        <w:rPr>
          <w:rStyle w:val="FootnoteReference"/>
          <w:rFonts w:ascii="Times New Roman" w:hAnsi="Times New Roman" w:cs="Times New Roman"/>
        </w:rPr>
        <w:footnoteRef/>
      </w:r>
      <w:r w:rsidRPr="00C637D9">
        <w:rPr>
          <w:rFonts w:ascii="Times New Roman" w:hAnsi="Times New Roman"/>
          <w:lang w:val="en-IE"/>
        </w:rPr>
        <w:t xml:space="preserve"> </w:t>
      </w:r>
      <w:hyperlink r:id="rId24" w:history="1">
        <w:r w:rsidRPr="00C637D9">
          <w:rPr>
            <w:rStyle w:val="Hyperlink"/>
            <w:rFonts w:ascii="Times New Roman" w:hAnsi="Times New Roman"/>
            <w:lang w:val="en-IE"/>
          </w:rPr>
          <w:t>https://finance.ec.europa.eu/eu-and-world/bilateral-relations/regulatory-dialogues-united-kingdom_en?prefLang=nl</w:t>
        </w:r>
      </w:hyperlink>
      <w:r w:rsidRPr="00C637D9">
        <w:rPr>
          <w:rFonts w:ascii="Times New Roman" w:hAnsi="Times New Roman"/>
          <w:lang w:val="en-IE"/>
        </w:rPr>
        <w:t>.</w:t>
      </w:r>
    </w:p>
  </w:footnote>
  <w:footnote w:id="30">
    <w:p w14:paraId="788188CC" w14:textId="70C84FB5" w:rsidR="00E8406E" w:rsidRPr="008B263A" w:rsidRDefault="00E8406E" w:rsidP="004F21B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Tenzij anders vermeld, zijn alle cijfers gebaseerd op gegevens van Eurostat: </w:t>
      </w:r>
      <w:hyperlink r:id="rId25" w:history="1">
        <w:r>
          <w:rPr>
            <w:rStyle w:val="Hyperlink"/>
            <w:rFonts w:ascii="Times New Roman" w:hAnsi="Times New Roman"/>
          </w:rPr>
          <w:t>https://ec.europa.eu/eurostat/web/balance-of-payments/overview</w:t>
        </w:r>
      </w:hyperlink>
      <w:r>
        <w:rPr>
          <w:rFonts w:ascii="Times New Roman" w:hAnsi="Times New Roman"/>
        </w:rPr>
        <w:t xml:space="preserve"> en </w:t>
      </w:r>
      <w:hyperlink r:id="rId26" w:history="1">
        <w:r>
          <w:rPr>
            <w:rStyle w:val="Hyperlink"/>
            <w:rFonts w:ascii="Times New Roman" w:hAnsi="Times New Roman"/>
          </w:rPr>
          <w:t>https://ec.europa.eu/eurostat/web/international-trade-in-services/overview</w:t>
        </w:r>
      </w:hyperlink>
      <w:r>
        <w:rPr>
          <w:rFonts w:ascii="Times New Roman" w:hAnsi="Times New Roman"/>
        </w:rPr>
        <w:t>.</w:t>
      </w:r>
    </w:p>
  </w:footnote>
  <w:footnote w:id="31">
    <w:p w14:paraId="22B04B35" w14:textId="4209552C" w:rsidR="008937E9" w:rsidRPr="00B06BD4" w:rsidRDefault="008937E9">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27" w:history="1">
        <w:r>
          <w:rPr>
            <w:rStyle w:val="Hyperlink"/>
            <w:rFonts w:ascii="Times New Roman" w:hAnsi="Times New Roman"/>
          </w:rPr>
          <w:t>https://ec.europa.eu/commission/presscorner/detail/nl/ip_26_454</w:t>
        </w:r>
      </w:hyperlink>
      <w:r>
        <w:t>.</w:t>
      </w:r>
      <w:r>
        <w:rPr>
          <w:rFonts w:ascii="Times New Roman" w:hAnsi="Times New Roman"/>
        </w:rPr>
        <w:t xml:space="preserve"> </w:t>
      </w:r>
    </w:p>
  </w:footnote>
  <w:footnote w:id="32">
    <w:p w14:paraId="25EAA47D" w14:textId="0B935FF2" w:rsidR="00DC4CB9" w:rsidRPr="00DC4CB9" w:rsidRDefault="00DC4CB9" w:rsidP="00DC4CB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Gezamenlijke Verklaring 1/2025 van de Unie en het Verenigd Koninkrijk in de Partnerschapsraad die is opgericht bij de Handels- en samenwerkingsovereenkomst tussen de Europese Unie en de Europese Gemeenschap voor Atoomenergie, enerzijds, en het Verenigd Koninkrijk van Groot-Brittannië en Noord-Ierland, anderzijds, van 19 juni 2025, </w:t>
      </w:r>
      <w:hyperlink r:id="rId28" w:history="1">
        <w:r>
          <w:rPr>
            <w:rStyle w:val="Hyperlink"/>
            <w:rFonts w:ascii="Times New Roman" w:hAnsi="Times New Roman"/>
          </w:rPr>
          <w:t>https://eur-lex.europa.eu/legal-content/NL/TXT/?uri=OJ%3AL_202501232</w:t>
        </w:r>
      </w:hyperlink>
      <w:r>
        <w:rPr>
          <w:rFonts w:ascii="Times New Roman" w:hAnsi="Times New Roman"/>
        </w:rPr>
        <w:t>.</w:t>
      </w:r>
    </w:p>
  </w:footnote>
  <w:footnote w:id="33">
    <w:p w14:paraId="74927A7D" w14:textId="2FD486AE" w:rsidR="00DC4CB9" w:rsidRPr="00DC4CB9" w:rsidRDefault="00DC4CB9" w:rsidP="00DC4CB9">
      <w:pPr>
        <w:pStyle w:val="FootnoteText"/>
        <w:jc w:val="both"/>
      </w:pPr>
      <w:r>
        <w:rPr>
          <w:rStyle w:val="FootnoteReference"/>
          <w:rFonts w:ascii="Times New Roman" w:hAnsi="Times New Roman" w:cs="Times New Roman"/>
        </w:rPr>
        <w:footnoteRef/>
      </w:r>
      <w:r>
        <w:rPr>
          <w:rFonts w:ascii="Times New Roman" w:hAnsi="Times New Roman"/>
        </w:rPr>
        <w:t xml:space="preserve"> Besluit nr. 2/2025 van de Partnerschapsraad die is opgericht bij de Handels- en samenwerkingsovereenkomst tussen de Europese Unie en de Europese Gemeenschap voor Atoomenergie, enerzijds, en het Verenigd Koninkrijk van Groot-Brittannië en Noord-Ierland, anderzijds, van 19 juni 2025 tot interpretatie van artikel 331, lid 2, en tot verlenging van de toepassing van deel twee, rubriek een, titel VIII inzake energie, van de Handels- en samenwerkingsovereenkomst tussen de Europese Unie en de Europese Gemeenschap voor Atoomenergie, enerzijds, en het Verenigd Koninkrijk van Groot-Brittannië en Noord-Ierland, anderzijds, </w:t>
      </w:r>
      <w:hyperlink r:id="rId29" w:history="1">
        <w:r>
          <w:rPr>
            <w:rStyle w:val="Hyperlink"/>
            <w:rFonts w:ascii="Times New Roman" w:hAnsi="Times New Roman"/>
          </w:rPr>
          <w:t>https://eur-lex.europa.eu/legal-content/NL/TXT/?uri=OJ%3AL_202501230</w:t>
        </w:r>
      </w:hyperlink>
      <w:r>
        <w:t>.</w:t>
      </w:r>
    </w:p>
  </w:footnote>
  <w:footnote w:id="34">
    <w:p w14:paraId="05FEDA23" w14:textId="2BBC4F76" w:rsidR="001A412E" w:rsidRPr="002237FC" w:rsidRDefault="001A412E" w:rsidP="001A412E">
      <w:pPr>
        <w:pStyle w:val="FootnoteText"/>
        <w:jc w:val="both"/>
        <w:rPr>
          <w:rFonts w:ascii="Times New Roman" w:hAnsi="Times New Roman" w:cs="Times New Roman"/>
          <w:i/>
          <w:iCs/>
        </w:rPr>
      </w:pPr>
      <w:r>
        <w:rPr>
          <w:rStyle w:val="FootnoteReference"/>
        </w:rPr>
        <w:footnoteRef/>
      </w:r>
      <w:r>
        <w:t xml:space="preserve"> </w:t>
      </w:r>
      <w:r>
        <w:rPr>
          <w:rFonts w:ascii="Times New Roman" w:hAnsi="Times New Roman"/>
        </w:rPr>
        <w:t>Aanbeveling Nr. 1/2024 van het Gespecialiseerd Comité voor energie dat is ingesteld bij artikel 8, lid 1, punt l), van de Handels- en samenwerkingsovereenkomst tussen de Europese Unie en de Europese Gemeenschap voor Atoomenergie, enerzijds, en het Verenigd Koninkrijk van Groot-Brittannië en Noord-Ierland, anderzijds, van 19 december 2024 aan elk van de partijen betreffende de voorbereiding van technische procedures voor het efficiënte gebruik van elektriciteitsinterconnectoren,</w:t>
      </w:r>
    </w:p>
    <w:p w14:paraId="1D031B6D" w14:textId="1AD0CEB8" w:rsidR="001A412E" w:rsidRPr="0057302A" w:rsidRDefault="00442FE6" w:rsidP="001A412E">
      <w:pPr>
        <w:pStyle w:val="FootnoteText"/>
        <w:jc w:val="both"/>
        <w:rPr>
          <w:rFonts w:ascii="Times New Roman" w:hAnsi="Times New Roman" w:cs="Times New Roman"/>
        </w:rPr>
      </w:pPr>
      <w:hyperlink r:id="rId30" w:history="1">
        <w:r w:rsidR="001A412E">
          <w:rPr>
            <w:rStyle w:val="Hyperlink"/>
            <w:rFonts w:ascii="Times New Roman" w:hAnsi="Times New Roman"/>
          </w:rPr>
          <w:t>https://eur-lex.europa.eu/legal-content/NL/TXT/?uri=CELEX%3A22025D0706&amp;qid=1756374227559</w:t>
        </w:r>
      </w:hyperlink>
      <w:r w:rsidR="001A412E">
        <w:t>.</w:t>
      </w:r>
    </w:p>
  </w:footnote>
  <w:footnote w:id="35">
    <w:p w14:paraId="7BBF6A47" w14:textId="21E2CB40" w:rsidR="003E301C" w:rsidRPr="00E81BD4" w:rsidRDefault="003E301C" w:rsidP="003E301C">
      <w:pPr>
        <w:pStyle w:val="FootnoteText"/>
      </w:pPr>
      <w:r>
        <w:rPr>
          <w:rStyle w:val="FootnoteReference"/>
          <w:rFonts w:ascii="Times New Roman" w:hAnsi="Times New Roman" w:cs="Times New Roman"/>
        </w:rPr>
        <w:footnoteRef/>
      </w:r>
      <w:r>
        <w:rPr>
          <w:rFonts w:ascii="Times New Roman" w:hAnsi="Times New Roman"/>
        </w:rPr>
        <w:t xml:space="preserve"> </w:t>
      </w:r>
      <w:hyperlink r:id="rId31" w:history="1">
        <w:r>
          <w:rPr>
            <w:rStyle w:val="Hyperlink"/>
            <w:rFonts w:ascii="Times New Roman" w:hAnsi="Times New Roman"/>
          </w:rPr>
          <w:t>https://eur-lex.europa.eu/legal-content/NL/TXT/HTML/?uri=COM:2025:804:FIN</w:t>
        </w:r>
      </w:hyperlink>
      <w:r>
        <w:t>.</w:t>
      </w:r>
    </w:p>
  </w:footnote>
  <w:footnote w:id="36">
    <w:p w14:paraId="2DCF85CD" w14:textId="414C0C80" w:rsidR="00C31234" w:rsidRPr="006C4F09" w:rsidRDefault="00C31234">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Besluit Nr. 2/2024 van het Gespecialiseerd Comité voor energie, opgericht bij artikel 8, lid 1, punt l), van de Handels- en samenwerkingsovereenkomst tussen de Europese Unie en de Europese Gemeenschap voor Atoomenergie, enerzijds, en het Verenigd Koninkrijk van Groot-Brittannië en Noord-Ierland, anderzijds van 7 november 2024 betreffende de oprichting van een Werkgroep bevoorradingszekerheid, </w:t>
      </w:r>
      <w:hyperlink r:id="rId32" w:history="1">
        <w:r>
          <w:rPr>
            <w:rStyle w:val="Hyperlink"/>
            <w:rFonts w:ascii="Times New Roman" w:hAnsi="Times New Roman"/>
          </w:rPr>
          <w:t>https://eur-lex.europa.eu/legal-content/NL/TXT/?uri=CELEX%3A22025D0705&amp;qid=1756375999645</w:t>
        </w:r>
      </w:hyperlink>
      <w:r>
        <w:t>.</w:t>
      </w:r>
    </w:p>
  </w:footnote>
  <w:footnote w:id="37">
    <w:p w14:paraId="4E8C1182" w14:textId="77777777" w:rsidR="00016EB0" w:rsidRPr="0066529A" w:rsidRDefault="00016EB0" w:rsidP="00016EB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De volgende lidstaten hebben een bilaterale overeenkomst gesloten met het Verenigd Koninkrijk: België, Bulgarije, Cyprus, Denemarken, Duitsland, Estland, Finland, Frankrijk, Griekenland, Hongarije, Ierland, Italië, Kroatië, Letland, Litouwen, Luxemburg, Malta, Nederland, Oostenrijk, Slovenië, Slowakije, Tsjechië en Zweden.</w:t>
      </w:r>
    </w:p>
  </w:footnote>
  <w:footnote w:id="38">
    <w:p w14:paraId="14CB13D4" w14:textId="5277C7E1" w:rsidR="00DB5952" w:rsidRPr="006B530F" w:rsidRDefault="00DB5952" w:rsidP="006B530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Besluit nr. 1/2025 van het Gespecialiseerd Comité voor het wegvervoer betreffende een lijst van categorieën en soorten ernstige inbreuken, met inbegrip van de zwaarte daarvan, die kunnen leiden tot verlies van de betrouwbaarheidsstatus van een ondernemer van goederenvervoer over de weg, </w:t>
      </w:r>
      <w:hyperlink r:id="rId33" w:history="1">
        <w:r>
          <w:rPr>
            <w:rStyle w:val="Hyperlink"/>
            <w:rFonts w:ascii="Times New Roman" w:hAnsi="Times New Roman"/>
          </w:rPr>
          <w:t>EUR-Lex - 22025D2330 - NL - EUR-Lex</w:t>
        </w:r>
      </w:hyperlink>
      <w:r>
        <w:rPr>
          <w:rFonts w:ascii="Times New Roman" w:hAnsi="Times New Roman"/>
        </w:rPr>
        <w:t xml:space="preserve">, en Besluit nr. 2/2025 van het Gespecialiseerd Comité voor het wegvervoer betreffende de nationale elektronische registers van wegvervoerondernemingen en de bepalingen voor de uitwisseling van in die registers opgenomen informatie, </w:t>
      </w:r>
      <w:hyperlink r:id="rId34" w:history="1">
        <w:r>
          <w:rPr>
            <w:rStyle w:val="Hyperlink"/>
            <w:rFonts w:ascii="Times New Roman" w:hAnsi="Times New Roman"/>
          </w:rPr>
          <w:t>https://eur-lex.europa.eu/legal-content/NL/TXT/?uri=OJ:L_202502331</w:t>
        </w:r>
      </w:hyperlink>
      <w:r>
        <w:rPr>
          <w:rFonts w:ascii="Times New Roman" w:hAnsi="Times New Roman"/>
        </w:rPr>
        <w:t xml:space="preserve"> </w:t>
      </w:r>
    </w:p>
  </w:footnote>
  <w:footnote w:id="39">
    <w:p w14:paraId="44677093" w14:textId="2682CFD7" w:rsidR="00A9100D" w:rsidRPr="00A9100D" w:rsidRDefault="00A9100D" w:rsidP="00A9100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Besluit Nr. 1/2025 van de Partnerschapsraad die is opgericht bij de Handels- en samenwerkingsovereenkomst tussen de Europese Unie en de Europese Gemeenschap voor Atoomenergie, enerzijds, en het Verenigd Koninkrijk van Groot-Brittannië en Noord-Ierland, anderzijds, van 18 juni 2025 tot interpretatie van artikel 508, lid 2, punt d), van de Handels- en samenwerkingsovereenkomst tussen de Europese Unie en de Europese Gemeenschap voor Atoomenergie, enerzijds, en het Verenigd Koninkrijk van Groot-Brittannië en Noord-Ierland, anderzijds, </w:t>
      </w:r>
      <w:hyperlink r:id="rId35" w:history="1">
        <w:r>
          <w:rPr>
            <w:rStyle w:val="Hyperlink"/>
            <w:rFonts w:ascii="Times New Roman" w:hAnsi="Times New Roman"/>
          </w:rPr>
          <w:t>https://eur-lex.europa.eu/legal-content/NL/TXT/?uri=OJ%3AL_202501229</w:t>
        </w:r>
      </w:hyperlink>
      <w:r>
        <w:rPr>
          <w:rFonts w:ascii="Times New Roman" w:hAnsi="Times New Roman"/>
        </w:rPr>
        <w:t>.</w:t>
      </w:r>
    </w:p>
  </w:footnote>
  <w:footnote w:id="40">
    <w:p w14:paraId="02C09CC1" w14:textId="036C3C2F" w:rsidR="00A9100D" w:rsidRPr="00A9100D" w:rsidRDefault="00A9100D" w:rsidP="00A9100D">
      <w:pPr>
        <w:pStyle w:val="FootnoteText"/>
        <w:jc w:val="both"/>
      </w:pPr>
      <w:r>
        <w:rPr>
          <w:rStyle w:val="FootnoteReference"/>
          <w:rFonts w:ascii="Times New Roman" w:hAnsi="Times New Roman" w:cs="Times New Roman"/>
        </w:rPr>
        <w:footnoteRef/>
      </w:r>
      <w:r>
        <w:rPr>
          <w:rFonts w:ascii="Times New Roman" w:hAnsi="Times New Roman"/>
        </w:rPr>
        <w:t xml:space="preserve"> Besluit Nr. 1/2025 van het Gespecialiseerd Comité voor de visserij betreffende de regelingen inzake het niveau van en de voorwaarden voor de toegang die elke partij van 1 juli 2026 tot en met 30 juni 2038 verleent aan vaartuigen van de andere partij om in haar wateren te vissen, </w:t>
      </w:r>
      <w:hyperlink r:id="rId36" w:history="1">
        <w:r>
          <w:rPr>
            <w:rStyle w:val="Hyperlink"/>
            <w:rFonts w:ascii="Times New Roman" w:hAnsi="Times New Roman"/>
          </w:rPr>
          <w:t>https://eur-lex.europa.eu/legal-content/NL/TXT/?uri=OJ:L_202501231</w:t>
        </w:r>
      </w:hyperlink>
      <w:r>
        <w:t>.</w:t>
      </w:r>
    </w:p>
  </w:footnote>
  <w:footnote w:id="41">
    <w:p w14:paraId="40AA7418" w14:textId="7A2BE07C" w:rsidR="004E689D" w:rsidRPr="005A2BA7" w:rsidRDefault="004E689D" w:rsidP="004E689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Kennisgevingen uit hoofde van deel drie — Samenwerking inzake rechtshandhaving en justitie in strafzaken van de handels- en samenwerkingsovereenkomst tussen de Europese Unie en het Verenigd Koninkrijk — Evaluatie van de kennisgevingen aan het Verenigd Koninkrijk in het kader van de gezamenlijke evaluatie van deel drie van de handels- en samenwerkingsovereenkomst (artikel 630 handels- en samenwerkingsovereenkomst): </w:t>
      </w:r>
      <w:hyperlink r:id="rId37" w:history="1">
        <w:r>
          <w:rPr>
            <w:rStyle w:val="Hyperlink"/>
            <w:rFonts w:ascii="Times New Roman" w:hAnsi="Times New Roman"/>
          </w:rPr>
          <w:t>https://eur-lex.europa.eu/legal-content/NL/TXT/?uri=OJ:C_202506451</w:t>
        </w:r>
      </w:hyperlink>
      <w:r>
        <w:rPr>
          <w:rFonts w:ascii="Times New Roman" w:hAnsi="Times New Roman"/>
        </w:rPr>
        <w:t>.</w:t>
      </w:r>
    </w:p>
  </w:footnote>
  <w:footnote w:id="42">
    <w:p w14:paraId="76010AD3" w14:textId="75819E4D" w:rsidR="000C5317" w:rsidRPr="00C637D9" w:rsidRDefault="000C5317">
      <w:pPr>
        <w:pStyle w:val="FootnoteText"/>
        <w:rPr>
          <w:lang w:val="en-IE"/>
        </w:rPr>
      </w:pPr>
      <w:r>
        <w:rPr>
          <w:rStyle w:val="FootnoteReference"/>
        </w:rPr>
        <w:footnoteRef/>
      </w:r>
      <w:r w:rsidRPr="00C637D9">
        <w:rPr>
          <w:lang w:val="en-IE"/>
        </w:rPr>
        <w:t xml:space="preserve"> </w:t>
      </w:r>
      <w:r w:rsidRPr="00C637D9">
        <w:rPr>
          <w:rFonts w:ascii="Times New Roman" w:hAnsi="Times New Roman"/>
          <w:lang w:val="en-IE"/>
        </w:rPr>
        <w:t>Gegevens van oktober 2025.</w:t>
      </w:r>
    </w:p>
  </w:footnote>
  <w:footnote w:id="43">
    <w:p w14:paraId="3A4A753D" w14:textId="65377431" w:rsidR="00BD370D" w:rsidRPr="00C637D9" w:rsidRDefault="00BD370D" w:rsidP="00BD370D">
      <w:pPr>
        <w:pStyle w:val="FootnoteText"/>
        <w:rPr>
          <w:rFonts w:ascii="Times New Roman" w:hAnsi="Times New Roman" w:cs="Times New Roman"/>
          <w:lang w:val="en-IE"/>
        </w:rPr>
      </w:pPr>
      <w:r>
        <w:rPr>
          <w:rStyle w:val="FootnoteReference"/>
          <w:rFonts w:ascii="Times New Roman" w:hAnsi="Times New Roman" w:cs="Times New Roman"/>
        </w:rPr>
        <w:footnoteRef/>
      </w:r>
      <w:r w:rsidRPr="00C637D9">
        <w:rPr>
          <w:rFonts w:ascii="Times New Roman" w:hAnsi="Times New Roman"/>
          <w:lang w:val="en-IE"/>
        </w:rPr>
        <w:t xml:space="preserve"> Horizon Dashboard: </w:t>
      </w:r>
      <w:hyperlink r:id="rId38" w:history="1">
        <w:r w:rsidRPr="00C637D9">
          <w:rPr>
            <w:rStyle w:val="Hyperlink"/>
            <w:rFonts w:ascii="Times New Roman" w:hAnsi="Times New Roman"/>
            <w:lang w:val="en-IE"/>
          </w:rPr>
          <w:t>R&amp;I Country Profile - Welcome |</w:t>
        </w:r>
      </w:hyperlink>
      <w:hyperlink r:id="rId39" w:history="1">
        <w:r w:rsidRPr="00C637D9">
          <w:rPr>
            <w:rStyle w:val="Hyperlink"/>
            <w:rFonts w:ascii="Times New Roman" w:hAnsi="Times New Roman"/>
            <w:lang w:val="en-IE"/>
          </w:rPr>
          <w:t xml:space="preserve"> Sheet - Qlik Sense</w:t>
        </w:r>
      </w:hyperlink>
    </w:p>
  </w:footnote>
  <w:footnote w:id="44">
    <w:p w14:paraId="15609000" w14:textId="1B7179D5" w:rsidR="00BD370D" w:rsidRPr="00C637D9" w:rsidRDefault="00BD370D">
      <w:pPr>
        <w:pStyle w:val="FootnoteText"/>
        <w:rPr>
          <w:lang w:val="en-IE"/>
        </w:rPr>
      </w:pPr>
      <w:r>
        <w:rPr>
          <w:rStyle w:val="FootnoteReference"/>
          <w:rFonts w:ascii="Times New Roman" w:hAnsi="Times New Roman" w:cs="Times New Roman"/>
        </w:rPr>
        <w:footnoteRef/>
      </w:r>
      <w:r w:rsidRPr="00C637D9">
        <w:rPr>
          <w:rFonts w:ascii="Times New Roman" w:hAnsi="Times New Roman"/>
          <w:lang w:val="en-IE"/>
        </w:rPr>
        <w:t xml:space="preserve"> </w:t>
      </w:r>
      <w:hyperlink r:id="rId40" w:history="1">
        <w:r w:rsidRPr="00C637D9">
          <w:rPr>
            <w:rStyle w:val="Hyperlink"/>
            <w:rFonts w:ascii="Times New Roman" w:hAnsi="Times New Roman"/>
            <w:lang w:val="en-IE"/>
          </w:rPr>
          <w:t>https://ec.europa.eu/commission/presscorner/detail/nl/statement_25_3103</w:t>
        </w:r>
      </w:hyperlink>
      <w:r w:rsidRPr="00C637D9">
        <w:rPr>
          <w:lang w:val="en-IE"/>
        </w:rPr>
        <w:t>.</w:t>
      </w:r>
    </w:p>
  </w:footnote>
  <w:footnote w:id="45">
    <w:p w14:paraId="24F86AC0" w14:textId="7CBD391D" w:rsidR="001E56AA" w:rsidRPr="007D3844" w:rsidRDefault="001E56AA" w:rsidP="001E56AA">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Besluit (EU) 2025/1286 van de Raad van 20 juni 2025 houdende machtiging tot het openen van onderhandelingen met het Verenigd Koninkrijk van Groot-Brittannië en Noord-Ierland voor een overeenkomst inzake een jongerenervaringsprogramma, </w:t>
      </w:r>
      <w:hyperlink r:id="rId41" w:history="1">
        <w:r>
          <w:rPr>
            <w:rStyle w:val="Hyperlink"/>
            <w:rFonts w:ascii="Times New Roman" w:hAnsi="Times New Roman"/>
          </w:rPr>
          <w:t>https://eur-lex.europa.eu/eli/dec/2025/1286/oj/nld</w:t>
        </w:r>
      </w:hyperlink>
      <w:r>
        <w:rPr>
          <w:rFonts w:ascii="Times New Roman" w:hAnsi="Times New Roman"/>
        </w:rPr>
        <w:t>.</w:t>
      </w:r>
    </w:p>
  </w:footnote>
  <w:footnote w:id="46">
    <w:p w14:paraId="1AEBC27D" w14:textId="2782EFD4" w:rsidR="007D3844" w:rsidRPr="00C637D9" w:rsidRDefault="007D3844">
      <w:pPr>
        <w:pStyle w:val="FootnoteText"/>
        <w:rPr>
          <w:rFonts w:ascii="Times New Roman" w:hAnsi="Times New Roman" w:cs="Times New Roman"/>
          <w:lang w:val="en-IE"/>
        </w:rPr>
      </w:pPr>
      <w:r>
        <w:rPr>
          <w:rStyle w:val="FootnoteReference"/>
          <w:rFonts w:ascii="Times New Roman" w:hAnsi="Times New Roman" w:cs="Times New Roman"/>
        </w:rPr>
        <w:footnoteRef/>
      </w:r>
      <w:r w:rsidRPr="00C637D9">
        <w:rPr>
          <w:rFonts w:ascii="Times New Roman" w:hAnsi="Times New Roman"/>
          <w:lang w:val="en-IE"/>
        </w:rPr>
        <w:t xml:space="preserve"> </w:t>
      </w:r>
      <w:hyperlink r:id="rId42" w:history="1">
        <w:r w:rsidRPr="00C637D9">
          <w:rPr>
            <w:rStyle w:val="Hyperlink"/>
            <w:rFonts w:ascii="Times New Roman" w:hAnsi="Times New Roman"/>
            <w:lang w:val="en-IE"/>
          </w:rPr>
          <w:t>Subsidy Control Act 2022</w:t>
        </w:r>
      </w:hyperlink>
      <w:r w:rsidRPr="00C637D9">
        <w:rPr>
          <w:lang w:val="en-IE"/>
        </w:rPr>
        <w:t>.</w:t>
      </w:r>
      <w:r w:rsidRPr="00C637D9">
        <w:rPr>
          <w:rFonts w:ascii="Times New Roman" w:hAnsi="Times New Roman"/>
          <w:lang w:val="en-IE"/>
        </w:rPr>
        <w:t xml:space="preserve"> </w:t>
      </w:r>
    </w:p>
  </w:footnote>
  <w:footnote w:id="47">
    <w:p w14:paraId="693B47CA" w14:textId="77777777" w:rsidR="007D3844" w:rsidRPr="00C637D9" w:rsidRDefault="007D3844" w:rsidP="007D3844">
      <w:pPr>
        <w:pStyle w:val="FootnoteText"/>
        <w:rPr>
          <w:rFonts w:ascii="Times New Roman" w:hAnsi="Times New Roman" w:cs="Times New Roman"/>
          <w:lang w:val="en-IE"/>
        </w:rPr>
      </w:pPr>
      <w:r>
        <w:rPr>
          <w:rStyle w:val="FootnoteReference"/>
          <w:rFonts w:ascii="Times New Roman" w:hAnsi="Times New Roman" w:cs="Times New Roman"/>
        </w:rPr>
        <w:footnoteRef/>
      </w:r>
      <w:r w:rsidRPr="00C637D9">
        <w:rPr>
          <w:rFonts w:ascii="Times New Roman" w:hAnsi="Times New Roman"/>
          <w:lang w:val="en-IE"/>
        </w:rPr>
        <w:t xml:space="preserve"> </w:t>
      </w:r>
      <w:hyperlink r:id="rId43" w:history="1">
        <w:r w:rsidRPr="00C637D9">
          <w:rPr>
            <w:rStyle w:val="Hyperlink"/>
            <w:rFonts w:ascii="Times New Roman" w:hAnsi="Times New Roman"/>
            <w:lang w:val="en-IE"/>
          </w:rPr>
          <w:t>https://www.legislation.gov.uk/uksi/2025/845/made</w:t>
        </w:r>
      </w:hyperlink>
      <w:r w:rsidRPr="00C637D9">
        <w:rPr>
          <w:lang w:val="en-IE"/>
        </w:rPr>
        <w:t>.</w:t>
      </w:r>
      <w:r w:rsidRPr="00C637D9">
        <w:rPr>
          <w:rFonts w:ascii="Times New Roman" w:hAnsi="Times New Roman"/>
          <w:lang w:val="en-IE"/>
        </w:rPr>
        <w:t xml:space="preserve"> </w:t>
      </w:r>
    </w:p>
  </w:footnote>
  <w:footnote w:id="48">
    <w:p w14:paraId="60B18121" w14:textId="6BDC0AA1" w:rsidR="00836903" w:rsidRPr="00C637D9" w:rsidRDefault="00836903">
      <w:pPr>
        <w:pStyle w:val="FootnoteText"/>
        <w:rPr>
          <w:rFonts w:ascii="Times New Roman" w:hAnsi="Times New Roman" w:cs="Times New Roman"/>
          <w:lang w:val="en-IE"/>
        </w:rPr>
      </w:pPr>
      <w:r>
        <w:rPr>
          <w:rStyle w:val="FootnoteReference"/>
          <w:rFonts w:ascii="Times New Roman" w:hAnsi="Times New Roman" w:cs="Times New Roman"/>
        </w:rPr>
        <w:footnoteRef/>
      </w:r>
      <w:r w:rsidRPr="00C637D9">
        <w:rPr>
          <w:rFonts w:ascii="Times New Roman" w:hAnsi="Times New Roman"/>
          <w:lang w:val="en-IE"/>
        </w:rPr>
        <w:t xml:space="preserve"> https://assets.publishing.service.gov.uk/media/69440cd78f4636fa2c547e8a/employment-rights-act-2025-overview.pdf.</w:t>
      </w:r>
    </w:p>
  </w:footnote>
  <w:footnote w:id="49">
    <w:p w14:paraId="403A8039" w14:textId="2BA61A95" w:rsidR="00670DDE" w:rsidRPr="00C637D9" w:rsidRDefault="00670DDE">
      <w:pPr>
        <w:pStyle w:val="FootnoteText"/>
        <w:rPr>
          <w:rFonts w:ascii="Times New Roman" w:hAnsi="Times New Roman" w:cs="Times New Roman"/>
          <w:lang w:val="en-IE"/>
        </w:rPr>
      </w:pPr>
      <w:r>
        <w:rPr>
          <w:rStyle w:val="FootnoteReference"/>
          <w:rFonts w:ascii="Times New Roman" w:hAnsi="Times New Roman" w:cs="Times New Roman"/>
        </w:rPr>
        <w:footnoteRef/>
      </w:r>
      <w:r w:rsidRPr="00C637D9">
        <w:rPr>
          <w:rFonts w:ascii="Times New Roman" w:hAnsi="Times New Roman"/>
          <w:lang w:val="en-IE"/>
        </w:rPr>
        <w:t xml:space="preserve"> </w:t>
      </w:r>
      <w:hyperlink r:id="rId44" w:history="1">
        <w:r w:rsidRPr="00C637D9">
          <w:rPr>
            <w:rStyle w:val="Hyperlink"/>
            <w:rFonts w:ascii="Times New Roman" w:hAnsi="Times New Roman"/>
            <w:lang w:val="en-IE"/>
          </w:rPr>
          <w:t>https://www.legislation.gov.uk/ukpga/2023/39</w:t>
        </w:r>
      </w:hyperlink>
      <w:r w:rsidRPr="00C637D9">
        <w:rPr>
          <w:rFonts w:ascii="Times New Roman" w:hAnsi="Times New Roman"/>
          <w:lang w:val="en-IE"/>
        </w:rPr>
        <w:t>.</w:t>
      </w:r>
    </w:p>
  </w:footnote>
  <w:footnote w:id="50">
    <w:p w14:paraId="1ABBFF10" w14:textId="1E568D9D" w:rsidR="0018706E" w:rsidRPr="00C637D9" w:rsidRDefault="0018706E">
      <w:pPr>
        <w:pStyle w:val="FootnoteText"/>
        <w:rPr>
          <w:rFonts w:ascii="Times New Roman" w:hAnsi="Times New Roman" w:cs="Times New Roman"/>
          <w:lang w:val="en-IE"/>
        </w:rPr>
      </w:pPr>
      <w:r>
        <w:rPr>
          <w:rStyle w:val="FootnoteReference"/>
          <w:rFonts w:ascii="Times New Roman" w:hAnsi="Times New Roman" w:cs="Times New Roman"/>
        </w:rPr>
        <w:footnoteRef/>
      </w:r>
      <w:r w:rsidRPr="00C637D9">
        <w:rPr>
          <w:rFonts w:ascii="Times New Roman" w:hAnsi="Times New Roman"/>
          <w:lang w:val="en-IE"/>
        </w:rPr>
        <w:t xml:space="preserve"> </w:t>
      </w:r>
      <w:hyperlink r:id="rId45" w:history="1">
        <w:r w:rsidRPr="00C637D9">
          <w:rPr>
            <w:rStyle w:val="Hyperlink"/>
            <w:rFonts w:ascii="Times New Roman" w:hAnsi="Times New Roman"/>
            <w:lang w:val="en-IE"/>
          </w:rPr>
          <w:t>https://eur-lex.europa.eu/legal-content/NL/TXT/?uri=celex:52024DC0127</w:t>
        </w:r>
      </w:hyperlink>
      <w:r w:rsidRPr="00C637D9">
        <w:rPr>
          <w:rFonts w:ascii="Times New Roman" w:hAnsi="Times New Roman"/>
          <w:lang w:val="en-IE"/>
        </w:rPr>
        <w:t>.</w:t>
      </w:r>
    </w:p>
  </w:footnote>
  <w:footnote w:id="51">
    <w:p w14:paraId="596F5552" w14:textId="79839573" w:rsidR="003758D3" w:rsidRPr="00C637D9" w:rsidRDefault="003758D3">
      <w:pPr>
        <w:pStyle w:val="FootnoteText"/>
        <w:rPr>
          <w:rFonts w:ascii="Times New Roman" w:hAnsi="Times New Roman" w:cs="Times New Roman"/>
          <w:lang w:val="en-IE"/>
        </w:rPr>
      </w:pPr>
      <w:r>
        <w:rPr>
          <w:rStyle w:val="FootnoteReference"/>
          <w:rFonts w:ascii="Times New Roman" w:hAnsi="Times New Roman" w:cs="Times New Roman"/>
        </w:rPr>
        <w:footnoteRef/>
      </w:r>
      <w:r w:rsidRPr="00C637D9">
        <w:rPr>
          <w:rFonts w:ascii="Times New Roman" w:hAnsi="Times New Roman"/>
          <w:lang w:val="en-IE"/>
        </w:rPr>
        <w:t xml:space="preserve"> </w:t>
      </w:r>
      <w:hyperlink r:id="rId46" w:history="1">
        <w:r w:rsidRPr="00C637D9">
          <w:rPr>
            <w:rStyle w:val="Hyperlink"/>
            <w:rFonts w:ascii="Times New Roman" w:hAnsi="Times New Roman"/>
            <w:lang w:val="en-IE"/>
          </w:rPr>
          <w:t>https://www.legislation.gov.uk/ukpga/2025/16</w:t>
        </w:r>
      </w:hyperlink>
      <w:r w:rsidRPr="00C637D9">
        <w:rPr>
          <w:rFonts w:ascii="Times New Roman" w:hAnsi="Times New Roman"/>
          <w:lang w:val="en-IE"/>
        </w:rPr>
        <w:t>.</w:t>
      </w:r>
    </w:p>
  </w:footnote>
  <w:footnote w:id="52">
    <w:p w14:paraId="7E103CB6" w14:textId="466C01DE" w:rsidR="00212267" w:rsidRPr="00C637D9" w:rsidRDefault="00212267">
      <w:pPr>
        <w:pStyle w:val="FootnoteText"/>
        <w:rPr>
          <w:rFonts w:ascii="Times New Roman" w:hAnsi="Times New Roman" w:cs="Times New Roman"/>
          <w:lang w:val="en-IE"/>
        </w:rPr>
      </w:pPr>
      <w:r>
        <w:rPr>
          <w:rStyle w:val="FootnoteReference"/>
          <w:rFonts w:ascii="Times New Roman" w:hAnsi="Times New Roman" w:cs="Times New Roman"/>
        </w:rPr>
        <w:footnoteRef/>
      </w:r>
      <w:r w:rsidRPr="00C637D9">
        <w:rPr>
          <w:rFonts w:ascii="Times New Roman" w:hAnsi="Times New Roman"/>
          <w:lang w:val="en-IE"/>
        </w:rPr>
        <w:t xml:space="preserve"> </w:t>
      </w:r>
      <w:hyperlink r:id="rId47" w:history="1">
        <w:r w:rsidRPr="00C637D9">
          <w:rPr>
            <w:rStyle w:val="Hyperlink"/>
            <w:rFonts w:ascii="Times New Roman" w:hAnsi="Times New Roman"/>
            <w:lang w:val="en-IE"/>
          </w:rPr>
          <w:t>https://www.legislation.gov.uk/ukpga/2025/34/enacted</w:t>
        </w:r>
      </w:hyperlink>
      <w:r w:rsidRPr="00C637D9">
        <w:rPr>
          <w:rFonts w:ascii="Times New Roman" w:hAnsi="Times New Roman"/>
          <w:lang w:val="en-IE"/>
        </w:rPr>
        <w:t>.</w:t>
      </w:r>
    </w:p>
  </w:footnote>
  <w:footnote w:id="53">
    <w:p w14:paraId="25D70552" w14:textId="389074F8" w:rsidR="00945223" w:rsidRPr="00C637D9" w:rsidRDefault="00945223">
      <w:pPr>
        <w:pStyle w:val="FootnoteText"/>
        <w:rPr>
          <w:rFonts w:ascii="Times New Roman" w:hAnsi="Times New Roman" w:cs="Times New Roman"/>
          <w:lang w:val="en-IE"/>
        </w:rPr>
      </w:pPr>
      <w:r>
        <w:rPr>
          <w:rStyle w:val="FootnoteReference"/>
          <w:rFonts w:ascii="Times New Roman" w:hAnsi="Times New Roman" w:cs="Times New Roman"/>
        </w:rPr>
        <w:footnoteRef/>
      </w:r>
      <w:r w:rsidRPr="00C637D9">
        <w:rPr>
          <w:rFonts w:ascii="Times New Roman" w:hAnsi="Times New Roman"/>
          <w:lang w:val="en-IE"/>
        </w:rPr>
        <w:t xml:space="preserve"> </w:t>
      </w:r>
      <w:hyperlink r:id="rId48" w:history="1">
        <w:r w:rsidRPr="00C637D9">
          <w:rPr>
            <w:rStyle w:val="Hyperlink"/>
            <w:rFonts w:ascii="Times New Roman" w:hAnsi="Times New Roman"/>
            <w:lang w:val="en-IE"/>
          </w:rPr>
          <w:t>https://www.legislation.gov.uk/ukpga/2025/20</w:t>
        </w:r>
      </w:hyperlink>
      <w:r w:rsidRPr="00C637D9">
        <w:rPr>
          <w:rFonts w:ascii="Times New Roman" w:hAnsi="Times New Roman"/>
          <w:lang w:val="en-IE"/>
        </w:rPr>
        <w:t>.</w:t>
      </w:r>
    </w:p>
  </w:footnote>
  <w:footnote w:id="54">
    <w:p w14:paraId="7779E441" w14:textId="18E42756" w:rsidR="006749E2" w:rsidRPr="00C637D9" w:rsidRDefault="006749E2">
      <w:pPr>
        <w:pStyle w:val="FootnoteText"/>
        <w:rPr>
          <w:rFonts w:ascii="Times New Roman" w:hAnsi="Times New Roman" w:cs="Times New Roman"/>
          <w:lang w:val="en-IE"/>
        </w:rPr>
      </w:pPr>
      <w:r>
        <w:rPr>
          <w:rStyle w:val="FootnoteReference"/>
          <w:rFonts w:ascii="Times New Roman" w:hAnsi="Times New Roman" w:cs="Times New Roman"/>
        </w:rPr>
        <w:footnoteRef/>
      </w:r>
      <w:r w:rsidRPr="00C637D9">
        <w:rPr>
          <w:rFonts w:ascii="Times New Roman" w:hAnsi="Times New Roman"/>
          <w:lang w:val="en-IE"/>
        </w:rPr>
        <w:t xml:space="preserve"> </w:t>
      </w:r>
      <w:hyperlink r:id="rId49" w:history="1">
        <w:r w:rsidRPr="00C637D9">
          <w:rPr>
            <w:rStyle w:val="Hyperlink"/>
            <w:rFonts w:ascii="Times New Roman" w:hAnsi="Times New Roman"/>
            <w:lang w:val="en-IE"/>
          </w:rPr>
          <w:t>https://www.legislation.gov.uk/ukpga/2025/18/contents</w:t>
        </w:r>
      </w:hyperlink>
      <w:r w:rsidRPr="00C637D9">
        <w:rPr>
          <w:rFonts w:ascii="Times New Roman" w:hAnsi="Times New Roman"/>
          <w:lang w:val="en-IE"/>
        </w:rPr>
        <w:t>.</w:t>
      </w:r>
    </w:p>
  </w:footnote>
  <w:footnote w:id="55">
    <w:p w14:paraId="533BDCF8" w14:textId="03C5CE89" w:rsidR="00640672" w:rsidRPr="003A2C95" w:rsidRDefault="00640672" w:rsidP="00640672">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Uitvoeringsbesluit van de Commissie van 24 juni 2025 tot wijziging van Uitvoeringsbesluit (EU) 2021/1772 van de Commissie overeenkomstig Verordening (EU) 2016/679 van het Europees Parlement en de Raad betreffende de passende bescherming van persoonsgegevens door het Verenigd Koninkrijk, </w:t>
      </w:r>
      <w:hyperlink r:id="rId50" w:history="1">
        <w:r>
          <w:rPr>
            <w:rStyle w:val="Hyperlink"/>
            <w:rFonts w:ascii="Times New Roman" w:hAnsi="Times New Roman"/>
          </w:rPr>
          <w:t>https://eur-lex.europa.eu/legal-content/NL/TXT/PDF/?uri=OJ:L_202501226</w:t>
        </w:r>
      </w:hyperlink>
      <w:r>
        <w:rPr>
          <w:rFonts w:ascii="Times New Roman" w:hAnsi="Times New Roman"/>
        </w:rPr>
        <w:t>.</w:t>
      </w:r>
    </w:p>
  </w:footnote>
  <w:footnote w:id="56">
    <w:p w14:paraId="7EF1C424" w14:textId="18C4BEA1" w:rsidR="003A2C95" w:rsidRPr="00C637D9" w:rsidRDefault="003A2C95" w:rsidP="003A2C95">
      <w:pPr>
        <w:pStyle w:val="FootnoteText"/>
        <w:rPr>
          <w:rFonts w:ascii="Times New Roman" w:hAnsi="Times New Roman" w:cs="Times New Roman"/>
          <w:lang w:val="en-IE"/>
        </w:rPr>
      </w:pPr>
      <w:r>
        <w:rPr>
          <w:rStyle w:val="FootnoteReference"/>
          <w:rFonts w:ascii="Times New Roman" w:hAnsi="Times New Roman" w:cs="Times New Roman"/>
        </w:rPr>
        <w:footnoteRef/>
      </w:r>
      <w:r w:rsidRPr="00C637D9">
        <w:rPr>
          <w:rFonts w:ascii="Times New Roman" w:hAnsi="Times New Roman"/>
          <w:lang w:val="en-IE"/>
        </w:rPr>
        <w:t xml:space="preserve"> Commission Implementing Decision amending Commission Implementing Decision (EU) 2021/1772 of 28 June 2021 pursuant to Regulation (EU) 2016/679 of the European Parliament and of the Council on the</w:t>
      </w:r>
    </w:p>
    <w:p w14:paraId="4FEE8992" w14:textId="33875A06" w:rsidR="003A2C95" w:rsidRPr="00C637D9" w:rsidRDefault="003A2C95" w:rsidP="003A2C95">
      <w:pPr>
        <w:pStyle w:val="FootnoteText"/>
        <w:rPr>
          <w:lang w:val="en-IE"/>
        </w:rPr>
      </w:pPr>
      <w:r w:rsidRPr="00C637D9">
        <w:rPr>
          <w:rFonts w:ascii="Times New Roman" w:hAnsi="Times New Roman"/>
          <w:lang w:val="en-IE"/>
        </w:rPr>
        <w:t xml:space="preserve">adequate protection of personal data by the United Kingdom (notified under document C(2021)4800), </w:t>
      </w:r>
      <w:hyperlink r:id="rId51" w:history="1">
        <w:r w:rsidRPr="00C637D9">
          <w:rPr>
            <w:rStyle w:val="Hyperlink"/>
            <w:rFonts w:ascii="Times New Roman" w:hAnsi="Times New Roman"/>
            <w:lang w:val="en-IE"/>
          </w:rPr>
          <w:t>https://commission.europa.eu/document/download/6f636fa0-30d4-4c05-a713-64484ad913fa_en?filename=Draft%20Renewal%20of%20EU%20adequacy%20decision%20for%20the%20UK%20under%20the%20GDPR.pdf</w:t>
        </w:r>
      </w:hyperlink>
      <w:r w:rsidRPr="00C637D9">
        <w:rPr>
          <w:lang w:val="en-IE"/>
        </w:rPr>
        <w:t>.</w:t>
      </w:r>
    </w:p>
  </w:footnote>
  <w:footnote w:id="57">
    <w:p w14:paraId="5EB4474A" w14:textId="6A9567E7" w:rsidR="00736AFA" w:rsidRPr="00C637D9" w:rsidRDefault="00736AFA">
      <w:pPr>
        <w:pStyle w:val="FootnoteText"/>
        <w:rPr>
          <w:rFonts w:ascii="Times New Roman" w:hAnsi="Times New Roman" w:cs="Times New Roman"/>
          <w:lang w:val="en-IE"/>
        </w:rPr>
      </w:pPr>
      <w:r>
        <w:rPr>
          <w:rStyle w:val="FootnoteReference"/>
          <w:rFonts w:ascii="Times New Roman" w:hAnsi="Times New Roman" w:cs="Times New Roman"/>
        </w:rPr>
        <w:footnoteRef/>
      </w:r>
      <w:r w:rsidRPr="00C637D9">
        <w:rPr>
          <w:rFonts w:ascii="Times New Roman" w:hAnsi="Times New Roman"/>
          <w:lang w:val="en-IE"/>
        </w:rPr>
        <w:t xml:space="preserve"> </w:t>
      </w:r>
      <w:hyperlink r:id="rId52" w:history="1">
        <w:r w:rsidRPr="00C637D9">
          <w:rPr>
            <w:rStyle w:val="Hyperlink"/>
            <w:rFonts w:ascii="Times New Roman" w:hAnsi="Times New Roman"/>
            <w:lang w:val="en-IE"/>
          </w:rPr>
          <w:t>https://ec.europa.eu/commission/presscorner/detail/en/ip_25_3059</w:t>
        </w:r>
      </w:hyperlink>
      <w:r w:rsidRPr="00C637D9">
        <w:rPr>
          <w:rFonts w:ascii="Times New Roman" w:hAnsi="Times New Roman"/>
          <w:lang w:val="en-IE"/>
        </w:rPr>
        <w:t>.</w:t>
      </w:r>
    </w:p>
  </w:footnote>
  <w:footnote w:id="58">
    <w:p w14:paraId="0B34A20D" w14:textId="77777777" w:rsidR="00101E60" w:rsidRPr="00C95D06" w:rsidRDefault="00101E60" w:rsidP="00101E60">
      <w:pPr>
        <w:pStyle w:val="FootnoteText"/>
        <w:jc w:val="both"/>
        <w:rPr>
          <w:rFonts w:ascii="Times New Roman" w:hAnsi="Times New Roman" w:cs="Times New Roman"/>
        </w:rPr>
      </w:pPr>
      <w:r>
        <w:rPr>
          <w:rStyle w:val="FootnoteReference"/>
        </w:rPr>
        <w:footnoteRef/>
      </w:r>
      <w:r>
        <w:t xml:space="preserve"> </w:t>
      </w:r>
      <w:r>
        <w:rPr>
          <w:rFonts w:ascii="Times New Roman" w:hAnsi="Times New Roman"/>
        </w:rPr>
        <w:t xml:space="preserve">De agenda’s en notulen van de vergaderingen van de Partnerschapsraad en de gespecialiseerde comités in het kader van de overeenkomst zijn beschikbaar op: </w:t>
      </w:r>
      <w:hyperlink r:id="rId53" w:history="1">
        <w:r>
          <w:rPr>
            <w:rStyle w:val="Hyperlink"/>
            <w:rFonts w:ascii="Times New Roman" w:hAnsi="Times New Roman"/>
          </w:rPr>
          <w:t>https://ec.europa.eu/info/strategy/relations-non-eu-countries/relations-united-kingdom/eu-uk-trade-and-cooperation-agreement/meetings-eu-uk-partnership-council-and-specialised-committees-under-trade-and-cooperation-agreement_nl</w:t>
        </w:r>
      </w:hyperlink>
      <w:r>
        <w:rPr>
          <w:rFonts w:ascii="Times New Roman" w:hAnsi="Times New Roman"/>
        </w:rPr>
        <w:t>.</w:t>
      </w:r>
    </w:p>
    <w:p w14:paraId="51131AB8" w14:textId="7D3970D6" w:rsidR="00101E60" w:rsidRPr="00101E60" w:rsidRDefault="00101E60">
      <w:pPr>
        <w:pStyle w:val="FootnoteText"/>
      </w:pPr>
    </w:p>
  </w:footnote>
  <w:footnote w:id="59">
    <w:p w14:paraId="2500389A" w14:textId="5C2F039A" w:rsidR="00F67C44" w:rsidRPr="00AC273F" w:rsidRDefault="00F67C44">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54" w:history="1">
        <w:r>
          <w:rPr>
            <w:rStyle w:val="Hyperlink"/>
            <w:rFonts w:ascii="Times New Roman" w:hAnsi="Times New Roman"/>
          </w:rPr>
          <w:t>https://eur-lex.europa.eu/legal-content/NL/TXT/?uri=OJ%3AL_202501229</w:t>
        </w:r>
      </w:hyperlink>
      <w:r>
        <w:rPr>
          <w:rFonts w:ascii="Times New Roman" w:hAnsi="Times New Roman"/>
        </w:rPr>
        <w:t>.</w:t>
      </w:r>
    </w:p>
  </w:footnote>
  <w:footnote w:id="60">
    <w:p w14:paraId="604A53A4" w14:textId="12AA05C4" w:rsidR="00F67C44" w:rsidRPr="00AC273F" w:rsidRDefault="00F67C44">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55" w:history="1">
        <w:r>
          <w:rPr>
            <w:rStyle w:val="Hyperlink"/>
            <w:rFonts w:ascii="Times New Roman" w:hAnsi="Times New Roman"/>
          </w:rPr>
          <w:t>https://eur-lex.europa.eu/legal-content/NL/TXT/?uri=OJ%3AL_202501230</w:t>
        </w:r>
      </w:hyperlink>
      <w:r>
        <w:rPr>
          <w:rFonts w:ascii="Times New Roman" w:hAnsi="Times New Roman"/>
        </w:rPr>
        <w:t>.</w:t>
      </w:r>
    </w:p>
  </w:footnote>
  <w:footnote w:id="61">
    <w:p w14:paraId="2E4F7D4B" w14:textId="1FABDA04" w:rsidR="00764227" w:rsidRPr="00AC273F" w:rsidRDefault="0076422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56" w:history="1">
        <w:r>
          <w:rPr>
            <w:rStyle w:val="Hyperlink"/>
            <w:rFonts w:ascii="Times New Roman" w:hAnsi="Times New Roman"/>
          </w:rPr>
          <w:t>https://eur-lex.europa.eu/legal-content/NL/TXT/?uri=OJ%3AL_202501232</w:t>
        </w:r>
      </w:hyperlink>
      <w:r>
        <w:rPr>
          <w:rFonts w:ascii="Times New Roman" w:hAnsi="Times New Roman"/>
        </w:rPr>
        <w:t>.</w:t>
      </w:r>
    </w:p>
  </w:footnote>
  <w:footnote w:id="62">
    <w:p w14:paraId="7EB46291" w14:textId="1ED78C91" w:rsidR="00A22C1C" w:rsidRPr="00AC273F" w:rsidRDefault="00A22C1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57" w:history="1">
        <w:r>
          <w:rPr>
            <w:rStyle w:val="Hyperlink"/>
            <w:rFonts w:ascii="Times New Roman" w:hAnsi="Times New Roman"/>
          </w:rPr>
          <w:t>https://eur-lex.europa.eu/legal-content/NL/TXT/?uri=OJ:L_202501231</w:t>
        </w:r>
      </w:hyperlink>
      <w:r>
        <w:rPr>
          <w:rFonts w:ascii="Times New Roman" w:hAnsi="Times New Roman"/>
        </w:rPr>
        <w:t>.</w:t>
      </w:r>
    </w:p>
  </w:footnote>
  <w:footnote w:id="63">
    <w:p w14:paraId="6FDD5313" w14:textId="4E386A98" w:rsidR="007049DB" w:rsidRPr="00AC273F" w:rsidRDefault="007049DB">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58" w:history="1">
        <w:r>
          <w:rPr>
            <w:rStyle w:val="Hyperlink"/>
            <w:rFonts w:ascii="Times New Roman" w:hAnsi="Times New Roman"/>
          </w:rPr>
          <w:t>https://eur-lex.europa.eu/legal-content/NL/TXT/?uri=OJ:L_202501755</w:t>
        </w:r>
      </w:hyperlink>
      <w:r>
        <w:rPr>
          <w:rFonts w:ascii="Times New Roman" w:hAnsi="Times New Roman"/>
        </w:rPr>
        <w:t>.</w:t>
      </w:r>
    </w:p>
  </w:footnote>
  <w:footnote w:id="64">
    <w:p w14:paraId="43F9935A" w14:textId="77777777" w:rsidR="008C47FD" w:rsidRPr="00C637D9" w:rsidRDefault="008C47FD" w:rsidP="008C47FD">
      <w:pPr>
        <w:pStyle w:val="FootnoteText"/>
        <w:rPr>
          <w:rFonts w:ascii="Times New Roman" w:hAnsi="Times New Roman" w:cs="Times New Roman"/>
          <w:lang w:val="fr-BE"/>
        </w:rPr>
      </w:pPr>
      <w:r>
        <w:rPr>
          <w:rStyle w:val="FootnoteReference"/>
          <w:rFonts w:ascii="Times New Roman" w:hAnsi="Times New Roman" w:cs="Times New Roman"/>
        </w:rPr>
        <w:footnoteRef/>
      </w:r>
      <w:r w:rsidRPr="00C637D9">
        <w:rPr>
          <w:rFonts w:ascii="Times New Roman" w:hAnsi="Times New Roman"/>
          <w:lang w:val="fr-BE"/>
        </w:rPr>
        <w:t xml:space="preserve"> </w:t>
      </w:r>
      <w:bookmarkStart w:id="92" w:name="_Hlk222926852"/>
      <w:r>
        <w:rPr>
          <w:rFonts w:ascii="Times New Roman" w:hAnsi="Times New Roman" w:cs="Times New Roman"/>
          <w:color w:val="0563C1" w:themeColor="hyperlink"/>
          <w:u w:val="single"/>
        </w:rPr>
        <w:fldChar w:fldCharType="begin"/>
      </w:r>
      <w:r w:rsidRPr="00C637D9">
        <w:rPr>
          <w:rFonts w:ascii="Times New Roman" w:hAnsi="Times New Roman" w:cs="Times New Roman"/>
          <w:color w:val="0563C1" w:themeColor="hyperlink"/>
          <w:u w:val="single"/>
          <w:lang w:val="fr-BE"/>
        </w:rPr>
        <w:instrText>HYPERLINK "https://eur-lex.europa.eu/legal-content/NL/TXT/?uri=CELEX:22025D2330"</w:instrText>
      </w:r>
      <w:r>
        <w:rPr>
          <w:rFonts w:ascii="Times New Roman" w:hAnsi="Times New Roman" w:cs="Times New Roman"/>
          <w:color w:val="0563C1" w:themeColor="hyperlink"/>
          <w:u w:val="single"/>
        </w:rPr>
        <w:fldChar w:fldCharType="separate"/>
      </w:r>
      <w:r w:rsidRPr="00C637D9">
        <w:rPr>
          <w:rStyle w:val="Hyperlink"/>
          <w:rFonts w:ascii="Times New Roman" w:hAnsi="Times New Roman"/>
          <w:lang w:val="fr-BE"/>
        </w:rPr>
        <w:t>EUR-Lex - 22025D2330 - NL - EUR-Lex.</w:t>
      </w:r>
      <w:r>
        <w:rPr>
          <w:rFonts w:ascii="Times New Roman" w:hAnsi="Times New Roman" w:cs="Times New Roman"/>
          <w:color w:val="0563C1" w:themeColor="hyperlink"/>
          <w:u w:val="single"/>
        </w:rPr>
        <w:fldChar w:fldCharType="end"/>
      </w:r>
      <w:r w:rsidRPr="00C637D9">
        <w:rPr>
          <w:rFonts w:ascii="Times New Roman" w:hAnsi="Times New Roman"/>
          <w:lang w:val="fr-BE"/>
        </w:rPr>
        <w:t>.</w:t>
      </w:r>
      <w:bookmarkEnd w:id="92"/>
    </w:p>
  </w:footnote>
  <w:footnote w:id="65">
    <w:p w14:paraId="5896AB1A" w14:textId="77777777" w:rsidR="008C47FD" w:rsidRPr="00C637D9" w:rsidRDefault="008C47FD" w:rsidP="008C47FD">
      <w:pPr>
        <w:pStyle w:val="FootnoteText"/>
        <w:rPr>
          <w:rFonts w:ascii="Times New Roman" w:hAnsi="Times New Roman" w:cs="Times New Roman"/>
          <w:lang w:val="fr-BE"/>
        </w:rPr>
      </w:pPr>
      <w:r>
        <w:rPr>
          <w:rStyle w:val="FootnoteReference"/>
          <w:rFonts w:ascii="Times New Roman" w:hAnsi="Times New Roman" w:cs="Times New Roman"/>
        </w:rPr>
        <w:footnoteRef/>
      </w:r>
      <w:r w:rsidRPr="00C637D9">
        <w:rPr>
          <w:rFonts w:ascii="Times New Roman" w:hAnsi="Times New Roman"/>
          <w:lang w:val="fr-BE"/>
        </w:rPr>
        <w:t xml:space="preserve"> </w:t>
      </w:r>
      <w:bookmarkStart w:id="94" w:name="_Hlk222926879"/>
      <w:r w:rsidRPr="00C637D9">
        <w:rPr>
          <w:rFonts w:ascii="Times New Roman" w:hAnsi="Times New Roman"/>
          <w:lang w:val="fr-BE"/>
        </w:rPr>
        <w:t>https://eur-lex.europa.eu/legal-content/NL/TXT/?uri=OJ:L_202502331</w:t>
      </w:r>
      <w:bookmarkEnd w:id="94"/>
    </w:p>
  </w:footnote>
  <w:footnote w:id="66">
    <w:p w14:paraId="272EE242" w14:textId="77777777" w:rsidR="008C47FD" w:rsidRPr="00C637D9" w:rsidRDefault="008C47FD" w:rsidP="008C47FD">
      <w:pPr>
        <w:pStyle w:val="FootnoteText"/>
        <w:rPr>
          <w:rFonts w:ascii="Times New Roman" w:hAnsi="Times New Roman" w:cs="Times New Roman"/>
          <w:lang w:val="fr-BE"/>
        </w:rPr>
      </w:pPr>
      <w:r>
        <w:rPr>
          <w:rStyle w:val="FootnoteReference"/>
          <w:rFonts w:ascii="Times New Roman" w:hAnsi="Times New Roman" w:cs="Times New Roman"/>
        </w:rPr>
        <w:footnoteRef/>
      </w:r>
      <w:r w:rsidRPr="00C637D9">
        <w:rPr>
          <w:rFonts w:ascii="Times New Roman" w:hAnsi="Times New Roman"/>
          <w:lang w:val="fr-BE"/>
        </w:rPr>
        <w:t xml:space="preserve"> </w:t>
      </w:r>
      <w:hyperlink r:id="rId59" w:history="1">
        <w:r w:rsidRPr="00C637D9">
          <w:rPr>
            <w:rStyle w:val="Hyperlink"/>
            <w:rFonts w:ascii="Times New Roman" w:hAnsi="Times New Roman"/>
            <w:lang w:val="fr-BE"/>
          </w:rPr>
          <w:t>EUR-Lex - 22025D2329 - NL - EUR-Lex</w:t>
        </w:r>
      </w:hyperlink>
      <w:r w:rsidRPr="00C637D9">
        <w:rPr>
          <w:rFonts w:ascii="Times New Roman" w:hAnsi="Times New Roman"/>
          <w:lang w:val="fr-BE"/>
        </w:rPr>
        <w:t>.</w:t>
      </w:r>
    </w:p>
  </w:footnote>
  <w:footnote w:id="67">
    <w:p w14:paraId="449C28AA" w14:textId="6AB61482" w:rsidR="00B21CE1" w:rsidRPr="00A9100D" w:rsidRDefault="00B21CE1" w:rsidP="00B21CE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Besluit Nr. 1/2025 van de Partnerschapsraad die is opgericht bij de Handels- en samenwerkingsovereenkomst tussen de Europese Unie en de Europese Gemeenschap voor Atoomenergie, enerzijds, en het Verenigd Koninkrijk van Groot-Brittannië en Noord-Ierland, anderzijds, van 18 juni 2025 tot interpretatie van artikel 508, lid 2, punt d), van de Handels- en samenwerkingsovereenkomst tussen de Europese Unie en de Europese Gemeenschap voor Atoomenergie, enerzijds, en het Verenigd Koninkrijk van Groot-Brittannië en Noord-Ierland, anderzijds, </w:t>
      </w:r>
      <w:hyperlink r:id="rId60" w:history="1">
        <w:r>
          <w:rPr>
            <w:rStyle w:val="Hyperlink"/>
            <w:rFonts w:ascii="Times New Roman" w:hAnsi="Times New Roman"/>
          </w:rPr>
          <w:t>https://eur-lex.europa.eu/legal-content/NL/TXT/?uri=OJ%3AL_202501229</w:t>
        </w:r>
      </w:hyperlink>
      <w:r>
        <w:t>.</w:t>
      </w:r>
    </w:p>
  </w:footnote>
  <w:footnote w:id="68">
    <w:p w14:paraId="35D0DB26" w14:textId="663DC07A" w:rsidR="00B21CE1" w:rsidRPr="00A9100D" w:rsidRDefault="00B21CE1" w:rsidP="00B21CE1">
      <w:pPr>
        <w:pStyle w:val="FootnoteText"/>
        <w:jc w:val="both"/>
      </w:pPr>
      <w:r>
        <w:rPr>
          <w:rStyle w:val="FootnoteReference"/>
          <w:rFonts w:ascii="Times New Roman" w:hAnsi="Times New Roman" w:cs="Times New Roman"/>
        </w:rPr>
        <w:footnoteRef/>
      </w:r>
      <w:r>
        <w:rPr>
          <w:rFonts w:ascii="Times New Roman" w:hAnsi="Times New Roman"/>
        </w:rPr>
        <w:t xml:space="preserve"> Besluit Nr. 1/2025 van het Gespecialiseerd Comité voor de visserij betreffende de regelingen inzake het niveau van en de voorwaarden voor de toegang die elke partij van 1 juli 2026 tot en met 30 juni 2038 verleent aan vaartuigen van de andere partij om in haar wateren te vissen, </w:t>
      </w:r>
      <w:hyperlink r:id="rId61" w:history="1">
        <w:r>
          <w:rPr>
            <w:rStyle w:val="Hyperlink"/>
            <w:rFonts w:ascii="Times New Roman" w:hAnsi="Times New Roman"/>
          </w:rPr>
          <w:t>https://eur-lex.europa.eu/legal-content/NL/TXT/?uri=OJ:L_202501231</w:t>
        </w:r>
      </w:hyperlink>
      <w:r>
        <w:t>.</w:t>
      </w:r>
    </w:p>
  </w:footnote>
  <w:footnote w:id="69">
    <w:p w14:paraId="4A0E2D24" w14:textId="6A0DEED2" w:rsidR="00A10D75" w:rsidRPr="00DC4CB9" w:rsidRDefault="00A10D75" w:rsidP="00A10D7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Gezamenlijke Verklaring 1/2025 van de Unie en het Verenigd Koninkrijk in de Partnerschapsraad die is opgericht bij de Handels- en samenwerkingsovereenkomst tussen de Europese Unie en de Europese Gemeenschap voor Atoomenergie, enerzijds, en het Verenigd Koninkrijk van Groot-Brittannië en Noord-Ierland, anderzijds, van 19 juni 2025, </w:t>
      </w:r>
      <w:hyperlink r:id="rId62" w:history="1">
        <w:r>
          <w:rPr>
            <w:rStyle w:val="Hyperlink"/>
            <w:rFonts w:ascii="Times New Roman" w:hAnsi="Times New Roman"/>
          </w:rPr>
          <w:t>https://eur-lex.europa.eu/legal-content/NL/TXT/?uri=OJ%3AL_202501232</w:t>
        </w:r>
      </w:hyperlink>
      <w:r>
        <w:t>.</w:t>
      </w:r>
    </w:p>
  </w:footnote>
  <w:footnote w:id="70">
    <w:p w14:paraId="1CE68929" w14:textId="338FDAB6" w:rsidR="00A10D75" w:rsidRPr="00DC4CB9" w:rsidRDefault="00A10D75" w:rsidP="00A10D75">
      <w:pPr>
        <w:pStyle w:val="FootnoteText"/>
        <w:jc w:val="both"/>
      </w:pPr>
      <w:r>
        <w:rPr>
          <w:rStyle w:val="FootnoteReference"/>
          <w:rFonts w:ascii="Times New Roman" w:hAnsi="Times New Roman" w:cs="Times New Roman"/>
        </w:rPr>
        <w:footnoteRef/>
      </w:r>
      <w:r>
        <w:rPr>
          <w:rFonts w:ascii="Times New Roman" w:hAnsi="Times New Roman"/>
        </w:rPr>
        <w:t xml:space="preserve"> Besluit nr. 2/2025 van de Partnerschapsraad die is opgericht bij de Handels- en samenwerkingsovereenkomst tussen de Europese Unie en de Europese Gemeenschap voor Atoomenergie, enerzijds, en het Verenigd Koninkrijk van Groot-Brittannië en Noord-Ierland, anderzijds, van 19 juni 2025 tot interpretatie van artikel 331, lid 2, en tot verlenging van de toepassing van deel twee, rubriek een, titel VIII inzake energie, van de Handels- en samenwerkingsovereenkomst tussen de Europese Unie en de Europese Gemeenschap voor Atoomenergie, enerzijds, en het Verenigd Koninkrijk van Groot-Brittannië en Noord-Ierland, anderzijds, </w:t>
      </w:r>
      <w:hyperlink r:id="rId63" w:history="1">
        <w:r>
          <w:rPr>
            <w:rStyle w:val="Hyperlink"/>
            <w:rFonts w:ascii="Times New Roman" w:hAnsi="Times New Roman"/>
          </w:rPr>
          <w:t>https://eur-lex.europa.eu/legal-content/NL/TXT/?uri=OJ%3AL_202501230</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FDAF0" w14:textId="77777777" w:rsidR="00442FE6" w:rsidRPr="00442FE6" w:rsidRDefault="00442FE6" w:rsidP="00442FE6">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E867F" w14:textId="77777777" w:rsidR="00442FE6" w:rsidRPr="00442FE6" w:rsidRDefault="00442FE6" w:rsidP="00442FE6">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1A451" w14:textId="77777777" w:rsidR="00442FE6" w:rsidRPr="00442FE6" w:rsidRDefault="00442FE6" w:rsidP="00442FE6">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9F337" w14:textId="77777777" w:rsidR="00656149" w:rsidRDefault="00656149" w:rsidP="00073840">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156ED" w14:textId="77777777" w:rsidR="00656149" w:rsidRDefault="00656149" w:rsidP="00073840">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FCF9D" w14:textId="77777777" w:rsidR="00656149" w:rsidRDefault="006561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011EA"/>
    <w:multiLevelType w:val="hybridMultilevel"/>
    <w:tmpl w:val="0C4C2B9E"/>
    <w:lvl w:ilvl="0" w:tplc="F3049B36">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3E346B5"/>
    <w:multiLevelType w:val="hybridMultilevel"/>
    <w:tmpl w:val="B7CA3A30"/>
    <w:lvl w:ilvl="0" w:tplc="C16AA0AA">
      <w:start w:val="1"/>
      <w:numFmt w:val="bullet"/>
      <w:lvlText w:val="·"/>
      <w:lvlJc w:val="left"/>
      <w:pPr>
        <w:ind w:left="720" w:hanging="360"/>
      </w:pPr>
      <w:rPr>
        <w:rFonts w:ascii="Symbol" w:hAnsi="Symbol" w:hint="default"/>
      </w:rPr>
    </w:lvl>
    <w:lvl w:ilvl="1" w:tplc="203ADCCA">
      <w:start w:val="1"/>
      <w:numFmt w:val="bullet"/>
      <w:lvlText w:val="o"/>
      <w:lvlJc w:val="left"/>
      <w:pPr>
        <w:ind w:left="1440" w:hanging="360"/>
      </w:pPr>
      <w:rPr>
        <w:rFonts w:ascii="Courier New" w:hAnsi="Courier New" w:hint="default"/>
      </w:rPr>
    </w:lvl>
    <w:lvl w:ilvl="2" w:tplc="BDA2687A">
      <w:start w:val="1"/>
      <w:numFmt w:val="bullet"/>
      <w:lvlText w:val=""/>
      <w:lvlJc w:val="left"/>
      <w:pPr>
        <w:ind w:left="2160" w:hanging="360"/>
      </w:pPr>
      <w:rPr>
        <w:rFonts w:ascii="Wingdings" w:hAnsi="Wingdings" w:hint="default"/>
      </w:rPr>
    </w:lvl>
    <w:lvl w:ilvl="3" w:tplc="9838193A">
      <w:start w:val="1"/>
      <w:numFmt w:val="bullet"/>
      <w:lvlText w:val=""/>
      <w:lvlJc w:val="left"/>
      <w:pPr>
        <w:ind w:left="2880" w:hanging="360"/>
      </w:pPr>
      <w:rPr>
        <w:rFonts w:ascii="Symbol" w:hAnsi="Symbol" w:hint="default"/>
      </w:rPr>
    </w:lvl>
    <w:lvl w:ilvl="4" w:tplc="20945298">
      <w:start w:val="1"/>
      <w:numFmt w:val="bullet"/>
      <w:lvlText w:val="o"/>
      <w:lvlJc w:val="left"/>
      <w:pPr>
        <w:ind w:left="3600" w:hanging="360"/>
      </w:pPr>
      <w:rPr>
        <w:rFonts w:ascii="Courier New" w:hAnsi="Courier New" w:hint="default"/>
      </w:rPr>
    </w:lvl>
    <w:lvl w:ilvl="5" w:tplc="1A12790E">
      <w:start w:val="1"/>
      <w:numFmt w:val="bullet"/>
      <w:lvlText w:val=""/>
      <w:lvlJc w:val="left"/>
      <w:pPr>
        <w:ind w:left="4320" w:hanging="360"/>
      </w:pPr>
      <w:rPr>
        <w:rFonts w:ascii="Wingdings" w:hAnsi="Wingdings" w:hint="default"/>
      </w:rPr>
    </w:lvl>
    <w:lvl w:ilvl="6" w:tplc="A8C64DC8">
      <w:start w:val="1"/>
      <w:numFmt w:val="bullet"/>
      <w:lvlText w:val=""/>
      <w:lvlJc w:val="left"/>
      <w:pPr>
        <w:ind w:left="5040" w:hanging="360"/>
      </w:pPr>
      <w:rPr>
        <w:rFonts w:ascii="Symbol" w:hAnsi="Symbol" w:hint="default"/>
      </w:rPr>
    </w:lvl>
    <w:lvl w:ilvl="7" w:tplc="78A02AD8">
      <w:start w:val="1"/>
      <w:numFmt w:val="bullet"/>
      <w:lvlText w:val="o"/>
      <w:lvlJc w:val="left"/>
      <w:pPr>
        <w:ind w:left="5760" w:hanging="360"/>
      </w:pPr>
      <w:rPr>
        <w:rFonts w:ascii="Courier New" w:hAnsi="Courier New" w:hint="default"/>
      </w:rPr>
    </w:lvl>
    <w:lvl w:ilvl="8" w:tplc="E91EDCEC">
      <w:start w:val="1"/>
      <w:numFmt w:val="bullet"/>
      <w:lvlText w:val=""/>
      <w:lvlJc w:val="left"/>
      <w:pPr>
        <w:ind w:left="6480" w:hanging="360"/>
      </w:pPr>
      <w:rPr>
        <w:rFonts w:ascii="Wingdings" w:hAnsi="Wingdings" w:hint="default"/>
      </w:rPr>
    </w:lvl>
  </w:abstractNum>
  <w:abstractNum w:abstractNumId="2" w15:restartNumberingAfterBreak="0">
    <w:nsid w:val="03F8B7B9"/>
    <w:multiLevelType w:val="hybridMultilevel"/>
    <w:tmpl w:val="C6928C84"/>
    <w:lvl w:ilvl="0" w:tplc="0DF837BE">
      <w:start w:val="1"/>
      <w:numFmt w:val="bullet"/>
      <w:lvlText w:val=""/>
      <w:lvlJc w:val="left"/>
      <w:pPr>
        <w:ind w:left="720" w:hanging="360"/>
      </w:pPr>
      <w:rPr>
        <w:rFonts w:ascii="Symbol" w:hAnsi="Symbol" w:hint="default"/>
      </w:rPr>
    </w:lvl>
    <w:lvl w:ilvl="1" w:tplc="C20A8A80">
      <w:start w:val="1"/>
      <w:numFmt w:val="bullet"/>
      <w:lvlText w:val="o"/>
      <w:lvlJc w:val="left"/>
      <w:pPr>
        <w:ind w:left="1440" w:hanging="360"/>
      </w:pPr>
      <w:rPr>
        <w:rFonts w:ascii="Courier New" w:hAnsi="Courier New" w:hint="default"/>
      </w:rPr>
    </w:lvl>
    <w:lvl w:ilvl="2" w:tplc="BA54C512">
      <w:start w:val="1"/>
      <w:numFmt w:val="bullet"/>
      <w:lvlText w:val=""/>
      <w:lvlJc w:val="left"/>
      <w:pPr>
        <w:ind w:left="2160" w:hanging="360"/>
      </w:pPr>
      <w:rPr>
        <w:rFonts w:ascii="Wingdings" w:hAnsi="Wingdings" w:hint="default"/>
      </w:rPr>
    </w:lvl>
    <w:lvl w:ilvl="3" w:tplc="F5C4FF3E">
      <w:start w:val="1"/>
      <w:numFmt w:val="bullet"/>
      <w:lvlText w:val=""/>
      <w:lvlJc w:val="left"/>
      <w:pPr>
        <w:ind w:left="2880" w:hanging="360"/>
      </w:pPr>
      <w:rPr>
        <w:rFonts w:ascii="Symbol" w:hAnsi="Symbol" w:hint="default"/>
      </w:rPr>
    </w:lvl>
    <w:lvl w:ilvl="4" w:tplc="97BCAB42">
      <w:start w:val="1"/>
      <w:numFmt w:val="bullet"/>
      <w:lvlText w:val="o"/>
      <w:lvlJc w:val="left"/>
      <w:pPr>
        <w:ind w:left="3600" w:hanging="360"/>
      </w:pPr>
      <w:rPr>
        <w:rFonts w:ascii="Courier New" w:hAnsi="Courier New" w:hint="default"/>
      </w:rPr>
    </w:lvl>
    <w:lvl w:ilvl="5" w:tplc="7E120428">
      <w:start w:val="1"/>
      <w:numFmt w:val="bullet"/>
      <w:lvlText w:val=""/>
      <w:lvlJc w:val="left"/>
      <w:pPr>
        <w:ind w:left="4320" w:hanging="360"/>
      </w:pPr>
      <w:rPr>
        <w:rFonts w:ascii="Wingdings" w:hAnsi="Wingdings" w:hint="default"/>
      </w:rPr>
    </w:lvl>
    <w:lvl w:ilvl="6" w:tplc="AC6C56EC">
      <w:start w:val="1"/>
      <w:numFmt w:val="bullet"/>
      <w:lvlText w:val=""/>
      <w:lvlJc w:val="left"/>
      <w:pPr>
        <w:ind w:left="5040" w:hanging="360"/>
      </w:pPr>
      <w:rPr>
        <w:rFonts w:ascii="Symbol" w:hAnsi="Symbol" w:hint="default"/>
      </w:rPr>
    </w:lvl>
    <w:lvl w:ilvl="7" w:tplc="3092DCC2">
      <w:start w:val="1"/>
      <w:numFmt w:val="bullet"/>
      <w:lvlText w:val="o"/>
      <w:lvlJc w:val="left"/>
      <w:pPr>
        <w:ind w:left="5760" w:hanging="360"/>
      </w:pPr>
      <w:rPr>
        <w:rFonts w:ascii="Courier New" w:hAnsi="Courier New" w:hint="default"/>
      </w:rPr>
    </w:lvl>
    <w:lvl w:ilvl="8" w:tplc="82A45428">
      <w:start w:val="1"/>
      <w:numFmt w:val="bullet"/>
      <w:lvlText w:val=""/>
      <w:lvlJc w:val="left"/>
      <w:pPr>
        <w:ind w:left="6480" w:hanging="360"/>
      </w:pPr>
      <w:rPr>
        <w:rFonts w:ascii="Wingdings" w:hAnsi="Wingdings" w:hint="default"/>
      </w:rPr>
    </w:lvl>
  </w:abstractNum>
  <w:abstractNum w:abstractNumId="3" w15:restartNumberingAfterBreak="0">
    <w:nsid w:val="051059EC"/>
    <w:multiLevelType w:val="hybridMultilevel"/>
    <w:tmpl w:val="0B2E4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B5B44A"/>
    <w:multiLevelType w:val="hybridMultilevel"/>
    <w:tmpl w:val="62362092"/>
    <w:lvl w:ilvl="0" w:tplc="DB4EF0AA">
      <w:start w:val="1"/>
      <w:numFmt w:val="bullet"/>
      <w:lvlText w:val="-"/>
      <w:lvlJc w:val="left"/>
      <w:pPr>
        <w:ind w:left="720" w:hanging="360"/>
      </w:pPr>
      <w:rPr>
        <w:rFonts w:ascii="Calibri" w:hAnsi="Calibri" w:hint="default"/>
      </w:rPr>
    </w:lvl>
    <w:lvl w:ilvl="1" w:tplc="3C90E556">
      <w:start w:val="1"/>
      <w:numFmt w:val="bullet"/>
      <w:lvlText w:val="o"/>
      <w:lvlJc w:val="left"/>
      <w:pPr>
        <w:ind w:left="1440" w:hanging="360"/>
      </w:pPr>
      <w:rPr>
        <w:rFonts w:ascii="Courier New" w:hAnsi="Courier New" w:hint="default"/>
      </w:rPr>
    </w:lvl>
    <w:lvl w:ilvl="2" w:tplc="CB02C54C">
      <w:start w:val="1"/>
      <w:numFmt w:val="bullet"/>
      <w:lvlText w:val=""/>
      <w:lvlJc w:val="left"/>
      <w:pPr>
        <w:ind w:left="2160" w:hanging="360"/>
      </w:pPr>
      <w:rPr>
        <w:rFonts w:ascii="Wingdings" w:hAnsi="Wingdings" w:hint="default"/>
      </w:rPr>
    </w:lvl>
    <w:lvl w:ilvl="3" w:tplc="6D00FB02">
      <w:start w:val="1"/>
      <w:numFmt w:val="bullet"/>
      <w:lvlText w:val=""/>
      <w:lvlJc w:val="left"/>
      <w:pPr>
        <w:ind w:left="2880" w:hanging="360"/>
      </w:pPr>
      <w:rPr>
        <w:rFonts w:ascii="Symbol" w:hAnsi="Symbol" w:hint="default"/>
      </w:rPr>
    </w:lvl>
    <w:lvl w:ilvl="4" w:tplc="32B24F86">
      <w:start w:val="1"/>
      <w:numFmt w:val="bullet"/>
      <w:lvlText w:val="o"/>
      <w:lvlJc w:val="left"/>
      <w:pPr>
        <w:ind w:left="3600" w:hanging="360"/>
      </w:pPr>
      <w:rPr>
        <w:rFonts w:ascii="Courier New" w:hAnsi="Courier New" w:hint="default"/>
      </w:rPr>
    </w:lvl>
    <w:lvl w:ilvl="5" w:tplc="32F8C684">
      <w:start w:val="1"/>
      <w:numFmt w:val="bullet"/>
      <w:lvlText w:val=""/>
      <w:lvlJc w:val="left"/>
      <w:pPr>
        <w:ind w:left="4320" w:hanging="360"/>
      </w:pPr>
      <w:rPr>
        <w:rFonts w:ascii="Wingdings" w:hAnsi="Wingdings" w:hint="default"/>
      </w:rPr>
    </w:lvl>
    <w:lvl w:ilvl="6" w:tplc="50262DB6">
      <w:start w:val="1"/>
      <w:numFmt w:val="bullet"/>
      <w:lvlText w:val=""/>
      <w:lvlJc w:val="left"/>
      <w:pPr>
        <w:ind w:left="5040" w:hanging="360"/>
      </w:pPr>
      <w:rPr>
        <w:rFonts w:ascii="Symbol" w:hAnsi="Symbol" w:hint="default"/>
      </w:rPr>
    </w:lvl>
    <w:lvl w:ilvl="7" w:tplc="EE2E0D36">
      <w:start w:val="1"/>
      <w:numFmt w:val="bullet"/>
      <w:lvlText w:val="o"/>
      <w:lvlJc w:val="left"/>
      <w:pPr>
        <w:ind w:left="5760" w:hanging="360"/>
      </w:pPr>
      <w:rPr>
        <w:rFonts w:ascii="Courier New" w:hAnsi="Courier New" w:hint="default"/>
      </w:rPr>
    </w:lvl>
    <w:lvl w:ilvl="8" w:tplc="24366F3C">
      <w:start w:val="1"/>
      <w:numFmt w:val="bullet"/>
      <w:lvlText w:val=""/>
      <w:lvlJc w:val="left"/>
      <w:pPr>
        <w:ind w:left="6480" w:hanging="360"/>
      </w:pPr>
      <w:rPr>
        <w:rFonts w:ascii="Wingdings" w:hAnsi="Wingdings" w:hint="default"/>
      </w:rPr>
    </w:lvl>
  </w:abstractNum>
  <w:abstractNum w:abstractNumId="5" w15:restartNumberingAfterBreak="0">
    <w:nsid w:val="06B86DE1"/>
    <w:multiLevelType w:val="hybridMultilevel"/>
    <w:tmpl w:val="34A636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A504660"/>
    <w:multiLevelType w:val="hybridMultilevel"/>
    <w:tmpl w:val="AD4E1F58"/>
    <w:lvl w:ilvl="0" w:tplc="18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FF553FD"/>
    <w:multiLevelType w:val="multilevel"/>
    <w:tmpl w:val="C32E4A1C"/>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117D71"/>
    <w:multiLevelType w:val="multilevel"/>
    <w:tmpl w:val="440E4B88"/>
    <w:lvl w:ilvl="0">
      <w:start w:val="4"/>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7B0C30"/>
    <w:multiLevelType w:val="multilevel"/>
    <w:tmpl w:val="8B76AE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6784192"/>
    <w:multiLevelType w:val="hybridMultilevel"/>
    <w:tmpl w:val="681EB4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6A91549"/>
    <w:multiLevelType w:val="multilevel"/>
    <w:tmpl w:val="8B76AE02"/>
    <w:lvl w:ilvl="0">
      <w:start w:val="1"/>
      <w:numFmt w:val="decimal"/>
      <w:lvlText w:val="%1."/>
      <w:lvlJc w:val="left"/>
      <w:pPr>
        <w:ind w:left="5605"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8AB1946"/>
    <w:multiLevelType w:val="multilevel"/>
    <w:tmpl w:val="ECB4410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A9C887D"/>
    <w:multiLevelType w:val="hybridMultilevel"/>
    <w:tmpl w:val="30023C44"/>
    <w:lvl w:ilvl="0" w:tplc="812E4DA2">
      <w:start w:val="1"/>
      <w:numFmt w:val="bullet"/>
      <w:lvlText w:val="·"/>
      <w:lvlJc w:val="left"/>
      <w:pPr>
        <w:ind w:left="720" w:hanging="360"/>
      </w:pPr>
      <w:rPr>
        <w:rFonts w:ascii="Symbol" w:hAnsi="Symbol" w:hint="default"/>
      </w:rPr>
    </w:lvl>
    <w:lvl w:ilvl="1" w:tplc="D5A0198E">
      <w:start w:val="1"/>
      <w:numFmt w:val="bullet"/>
      <w:lvlText w:val="o"/>
      <w:lvlJc w:val="left"/>
      <w:pPr>
        <w:ind w:left="1440" w:hanging="360"/>
      </w:pPr>
      <w:rPr>
        <w:rFonts w:ascii="Courier New" w:hAnsi="Courier New" w:hint="default"/>
      </w:rPr>
    </w:lvl>
    <w:lvl w:ilvl="2" w:tplc="B99C2B40">
      <w:start w:val="1"/>
      <w:numFmt w:val="bullet"/>
      <w:lvlText w:val=""/>
      <w:lvlJc w:val="left"/>
      <w:pPr>
        <w:ind w:left="2160" w:hanging="360"/>
      </w:pPr>
      <w:rPr>
        <w:rFonts w:ascii="Wingdings" w:hAnsi="Wingdings" w:hint="default"/>
      </w:rPr>
    </w:lvl>
    <w:lvl w:ilvl="3" w:tplc="97088834">
      <w:start w:val="1"/>
      <w:numFmt w:val="bullet"/>
      <w:lvlText w:val=""/>
      <w:lvlJc w:val="left"/>
      <w:pPr>
        <w:ind w:left="2880" w:hanging="360"/>
      </w:pPr>
      <w:rPr>
        <w:rFonts w:ascii="Symbol" w:hAnsi="Symbol" w:hint="default"/>
      </w:rPr>
    </w:lvl>
    <w:lvl w:ilvl="4" w:tplc="9FF06654">
      <w:start w:val="1"/>
      <w:numFmt w:val="bullet"/>
      <w:lvlText w:val="o"/>
      <w:lvlJc w:val="left"/>
      <w:pPr>
        <w:ind w:left="3600" w:hanging="360"/>
      </w:pPr>
      <w:rPr>
        <w:rFonts w:ascii="Courier New" w:hAnsi="Courier New" w:hint="default"/>
      </w:rPr>
    </w:lvl>
    <w:lvl w:ilvl="5" w:tplc="037635F2">
      <w:start w:val="1"/>
      <w:numFmt w:val="bullet"/>
      <w:lvlText w:val=""/>
      <w:lvlJc w:val="left"/>
      <w:pPr>
        <w:ind w:left="4320" w:hanging="360"/>
      </w:pPr>
      <w:rPr>
        <w:rFonts w:ascii="Wingdings" w:hAnsi="Wingdings" w:hint="default"/>
      </w:rPr>
    </w:lvl>
    <w:lvl w:ilvl="6" w:tplc="0BF616BE">
      <w:start w:val="1"/>
      <w:numFmt w:val="bullet"/>
      <w:lvlText w:val=""/>
      <w:lvlJc w:val="left"/>
      <w:pPr>
        <w:ind w:left="5040" w:hanging="360"/>
      </w:pPr>
      <w:rPr>
        <w:rFonts w:ascii="Symbol" w:hAnsi="Symbol" w:hint="default"/>
      </w:rPr>
    </w:lvl>
    <w:lvl w:ilvl="7" w:tplc="D8C6E128">
      <w:start w:val="1"/>
      <w:numFmt w:val="bullet"/>
      <w:lvlText w:val="o"/>
      <w:lvlJc w:val="left"/>
      <w:pPr>
        <w:ind w:left="5760" w:hanging="360"/>
      </w:pPr>
      <w:rPr>
        <w:rFonts w:ascii="Courier New" w:hAnsi="Courier New" w:hint="default"/>
      </w:rPr>
    </w:lvl>
    <w:lvl w:ilvl="8" w:tplc="564E4D5C">
      <w:start w:val="1"/>
      <w:numFmt w:val="bullet"/>
      <w:lvlText w:val=""/>
      <w:lvlJc w:val="left"/>
      <w:pPr>
        <w:ind w:left="6480" w:hanging="360"/>
      </w:pPr>
      <w:rPr>
        <w:rFonts w:ascii="Wingdings" w:hAnsi="Wingdings" w:hint="default"/>
      </w:rPr>
    </w:lvl>
  </w:abstractNum>
  <w:abstractNum w:abstractNumId="14" w15:restartNumberingAfterBreak="0">
    <w:nsid w:val="1B681634"/>
    <w:multiLevelType w:val="multilevel"/>
    <w:tmpl w:val="176874A4"/>
    <w:lvl w:ilvl="0">
      <w:start w:val="6"/>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1D066455"/>
    <w:multiLevelType w:val="hybridMultilevel"/>
    <w:tmpl w:val="6486D560"/>
    <w:lvl w:ilvl="0" w:tplc="4FCA626E">
      <w:start w:val="1"/>
      <w:numFmt w:val="bullet"/>
      <w:lvlText w:val=""/>
      <w:lvlJc w:val="left"/>
      <w:pPr>
        <w:ind w:left="720" w:hanging="360"/>
      </w:pPr>
      <w:rPr>
        <w:rFonts w:ascii="Symbol" w:hAnsi="Symbol" w:hint="default"/>
      </w:rPr>
    </w:lvl>
    <w:lvl w:ilvl="1" w:tplc="97C25E6E">
      <w:start w:val="1"/>
      <w:numFmt w:val="bullet"/>
      <w:lvlText w:val="o"/>
      <w:lvlJc w:val="left"/>
      <w:pPr>
        <w:ind w:left="1440" w:hanging="360"/>
      </w:pPr>
      <w:rPr>
        <w:rFonts w:ascii="Courier New" w:hAnsi="Courier New" w:hint="default"/>
      </w:rPr>
    </w:lvl>
    <w:lvl w:ilvl="2" w:tplc="113EB96C">
      <w:start w:val="1"/>
      <w:numFmt w:val="bullet"/>
      <w:lvlText w:val=""/>
      <w:lvlJc w:val="left"/>
      <w:pPr>
        <w:ind w:left="2160" w:hanging="360"/>
      </w:pPr>
      <w:rPr>
        <w:rFonts w:ascii="Wingdings" w:hAnsi="Wingdings" w:hint="default"/>
      </w:rPr>
    </w:lvl>
    <w:lvl w:ilvl="3" w:tplc="F3861FFA">
      <w:start w:val="1"/>
      <w:numFmt w:val="bullet"/>
      <w:lvlText w:val=""/>
      <w:lvlJc w:val="left"/>
      <w:pPr>
        <w:ind w:left="2880" w:hanging="360"/>
      </w:pPr>
      <w:rPr>
        <w:rFonts w:ascii="Symbol" w:hAnsi="Symbol" w:hint="default"/>
      </w:rPr>
    </w:lvl>
    <w:lvl w:ilvl="4" w:tplc="1C2662BA">
      <w:start w:val="1"/>
      <w:numFmt w:val="bullet"/>
      <w:lvlText w:val="o"/>
      <w:lvlJc w:val="left"/>
      <w:pPr>
        <w:ind w:left="3600" w:hanging="360"/>
      </w:pPr>
      <w:rPr>
        <w:rFonts w:ascii="Courier New" w:hAnsi="Courier New" w:hint="default"/>
      </w:rPr>
    </w:lvl>
    <w:lvl w:ilvl="5" w:tplc="E7B0DA18">
      <w:start w:val="1"/>
      <w:numFmt w:val="bullet"/>
      <w:lvlText w:val=""/>
      <w:lvlJc w:val="left"/>
      <w:pPr>
        <w:ind w:left="4320" w:hanging="360"/>
      </w:pPr>
      <w:rPr>
        <w:rFonts w:ascii="Wingdings" w:hAnsi="Wingdings" w:hint="default"/>
      </w:rPr>
    </w:lvl>
    <w:lvl w:ilvl="6" w:tplc="8500DEE2">
      <w:start w:val="1"/>
      <w:numFmt w:val="bullet"/>
      <w:lvlText w:val=""/>
      <w:lvlJc w:val="left"/>
      <w:pPr>
        <w:ind w:left="5040" w:hanging="360"/>
      </w:pPr>
      <w:rPr>
        <w:rFonts w:ascii="Symbol" w:hAnsi="Symbol" w:hint="default"/>
      </w:rPr>
    </w:lvl>
    <w:lvl w:ilvl="7" w:tplc="2F18F128">
      <w:start w:val="1"/>
      <w:numFmt w:val="bullet"/>
      <w:lvlText w:val="o"/>
      <w:lvlJc w:val="left"/>
      <w:pPr>
        <w:ind w:left="5760" w:hanging="360"/>
      </w:pPr>
      <w:rPr>
        <w:rFonts w:ascii="Courier New" w:hAnsi="Courier New" w:hint="default"/>
      </w:rPr>
    </w:lvl>
    <w:lvl w:ilvl="8" w:tplc="124C5710">
      <w:start w:val="1"/>
      <w:numFmt w:val="bullet"/>
      <w:lvlText w:val=""/>
      <w:lvlJc w:val="left"/>
      <w:pPr>
        <w:ind w:left="6480" w:hanging="360"/>
      </w:pPr>
      <w:rPr>
        <w:rFonts w:ascii="Wingdings" w:hAnsi="Wingdings" w:hint="default"/>
      </w:rPr>
    </w:lvl>
  </w:abstractNum>
  <w:abstractNum w:abstractNumId="16" w15:restartNumberingAfterBreak="0">
    <w:nsid w:val="1E57C548"/>
    <w:multiLevelType w:val="hybridMultilevel"/>
    <w:tmpl w:val="B97E8806"/>
    <w:lvl w:ilvl="0" w:tplc="F5E4C564">
      <w:numFmt w:val="none"/>
      <w:lvlText w:val=""/>
      <w:lvlJc w:val="left"/>
      <w:pPr>
        <w:tabs>
          <w:tab w:val="num" w:pos="360"/>
        </w:tabs>
      </w:pPr>
    </w:lvl>
    <w:lvl w:ilvl="1" w:tplc="2932A6E0">
      <w:start w:val="1"/>
      <w:numFmt w:val="lowerLetter"/>
      <w:lvlText w:val="%2."/>
      <w:lvlJc w:val="left"/>
      <w:pPr>
        <w:ind w:left="1437" w:hanging="360"/>
      </w:pPr>
    </w:lvl>
    <w:lvl w:ilvl="2" w:tplc="87E8508C">
      <w:start w:val="1"/>
      <w:numFmt w:val="lowerRoman"/>
      <w:lvlText w:val="%3."/>
      <w:lvlJc w:val="right"/>
      <w:pPr>
        <w:ind w:left="2157" w:hanging="180"/>
      </w:pPr>
    </w:lvl>
    <w:lvl w:ilvl="3" w:tplc="8F182F76">
      <w:start w:val="1"/>
      <w:numFmt w:val="decimal"/>
      <w:lvlText w:val="%4."/>
      <w:lvlJc w:val="left"/>
      <w:pPr>
        <w:ind w:left="2877" w:hanging="360"/>
      </w:pPr>
    </w:lvl>
    <w:lvl w:ilvl="4" w:tplc="422CEAA0">
      <w:start w:val="1"/>
      <w:numFmt w:val="lowerLetter"/>
      <w:lvlText w:val="%5."/>
      <w:lvlJc w:val="left"/>
      <w:pPr>
        <w:ind w:left="3597" w:hanging="360"/>
      </w:pPr>
    </w:lvl>
    <w:lvl w:ilvl="5" w:tplc="AB9C0C9C">
      <w:start w:val="1"/>
      <w:numFmt w:val="lowerRoman"/>
      <w:lvlText w:val="%6."/>
      <w:lvlJc w:val="right"/>
      <w:pPr>
        <w:ind w:left="4317" w:hanging="180"/>
      </w:pPr>
    </w:lvl>
    <w:lvl w:ilvl="6" w:tplc="358CCBEC">
      <w:start w:val="1"/>
      <w:numFmt w:val="decimal"/>
      <w:lvlText w:val="%7."/>
      <w:lvlJc w:val="left"/>
      <w:pPr>
        <w:ind w:left="5037" w:hanging="360"/>
      </w:pPr>
    </w:lvl>
    <w:lvl w:ilvl="7" w:tplc="D00AA292">
      <w:start w:val="1"/>
      <w:numFmt w:val="lowerLetter"/>
      <w:lvlText w:val="%8."/>
      <w:lvlJc w:val="left"/>
      <w:pPr>
        <w:ind w:left="5757" w:hanging="360"/>
      </w:pPr>
    </w:lvl>
    <w:lvl w:ilvl="8" w:tplc="6BC4B5A8">
      <w:start w:val="1"/>
      <w:numFmt w:val="lowerRoman"/>
      <w:lvlText w:val="%9."/>
      <w:lvlJc w:val="right"/>
      <w:pPr>
        <w:ind w:left="6477" w:hanging="180"/>
      </w:pPr>
    </w:lvl>
  </w:abstractNum>
  <w:abstractNum w:abstractNumId="17" w15:restartNumberingAfterBreak="0">
    <w:nsid w:val="216C580D"/>
    <w:multiLevelType w:val="hybridMultilevel"/>
    <w:tmpl w:val="6256F1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5986A20"/>
    <w:multiLevelType w:val="hybridMultilevel"/>
    <w:tmpl w:val="549663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97F1A7D"/>
    <w:multiLevelType w:val="hybridMultilevel"/>
    <w:tmpl w:val="CBDC69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29D33E63"/>
    <w:multiLevelType w:val="hybridMultilevel"/>
    <w:tmpl w:val="43FA2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0B1A30"/>
    <w:multiLevelType w:val="multilevel"/>
    <w:tmpl w:val="ECB4410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DA87A40"/>
    <w:multiLevelType w:val="hybridMultilevel"/>
    <w:tmpl w:val="8CEA5820"/>
    <w:lvl w:ilvl="0" w:tplc="230E58F4">
      <w:start w:val="1"/>
      <w:numFmt w:val="bullet"/>
      <w:lvlText w:val="·"/>
      <w:lvlJc w:val="left"/>
      <w:pPr>
        <w:ind w:left="720" w:hanging="360"/>
      </w:pPr>
      <w:rPr>
        <w:rFonts w:ascii="Symbol" w:hAnsi="Symbol" w:hint="default"/>
      </w:rPr>
    </w:lvl>
    <w:lvl w:ilvl="1" w:tplc="00C6166E">
      <w:start w:val="1"/>
      <w:numFmt w:val="bullet"/>
      <w:lvlText w:val="o"/>
      <w:lvlJc w:val="left"/>
      <w:pPr>
        <w:ind w:left="1440" w:hanging="360"/>
      </w:pPr>
      <w:rPr>
        <w:rFonts w:ascii="Courier New" w:hAnsi="Courier New" w:hint="default"/>
      </w:rPr>
    </w:lvl>
    <w:lvl w:ilvl="2" w:tplc="E58014F6">
      <w:start w:val="1"/>
      <w:numFmt w:val="bullet"/>
      <w:lvlText w:val=""/>
      <w:lvlJc w:val="left"/>
      <w:pPr>
        <w:ind w:left="2160" w:hanging="360"/>
      </w:pPr>
      <w:rPr>
        <w:rFonts w:ascii="Wingdings" w:hAnsi="Wingdings" w:hint="default"/>
      </w:rPr>
    </w:lvl>
    <w:lvl w:ilvl="3" w:tplc="60C031B6">
      <w:start w:val="1"/>
      <w:numFmt w:val="bullet"/>
      <w:lvlText w:val=""/>
      <w:lvlJc w:val="left"/>
      <w:pPr>
        <w:ind w:left="2880" w:hanging="360"/>
      </w:pPr>
      <w:rPr>
        <w:rFonts w:ascii="Symbol" w:hAnsi="Symbol" w:hint="default"/>
      </w:rPr>
    </w:lvl>
    <w:lvl w:ilvl="4" w:tplc="6BA890BC">
      <w:start w:val="1"/>
      <w:numFmt w:val="bullet"/>
      <w:lvlText w:val="o"/>
      <w:lvlJc w:val="left"/>
      <w:pPr>
        <w:ind w:left="3600" w:hanging="360"/>
      </w:pPr>
      <w:rPr>
        <w:rFonts w:ascii="Courier New" w:hAnsi="Courier New" w:hint="default"/>
      </w:rPr>
    </w:lvl>
    <w:lvl w:ilvl="5" w:tplc="E4D0C4B8">
      <w:start w:val="1"/>
      <w:numFmt w:val="bullet"/>
      <w:lvlText w:val=""/>
      <w:lvlJc w:val="left"/>
      <w:pPr>
        <w:ind w:left="4320" w:hanging="360"/>
      </w:pPr>
      <w:rPr>
        <w:rFonts w:ascii="Wingdings" w:hAnsi="Wingdings" w:hint="default"/>
      </w:rPr>
    </w:lvl>
    <w:lvl w:ilvl="6" w:tplc="60702F4C">
      <w:start w:val="1"/>
      <w:numFmt w:val="bullet"/>
      <w:lvlText w:val=""/>
      <w:lvlJc w:val="left"/>
      <w:pPr>
        <w:ind w:left="5040" w:hanging="360"/>
      </w:pPr>
      <w:rPr>
        <w:rFonts w:ascii="Symbol" w:hAnsi="Symbol" w:hint="default"/>
      </w:rPr>
    </w:lvl>
    <w:lvl w:ilvl="7" w:tplc="E65A9212">
      <w:start w:val="1"/>
      <w:numFmt w:val="bullet"/>
      <w:lvlText w:val="o"/>
      <w:lvlJc w:val="left"/>
      <w:pPr>
        <w:ind w:left="5760" w:hanging="360"/>
      </w:pPr>
      <w:rPr>
        <w:rFonts w:ascii="Courier New" w:hAnsi="Courier New" w:hint="default"/>
      </w:rPr>
    </w:lvl>
    <w:lvl w:ilvl="8" w:tplc="23D2A6C4">
      <w:start w:val="1"/>
      <w:numFmt w:val="bullet"/>
      <w:lvlText w:val=""/>
      <w:lvlJc w:val="left"/>
      <w:pPr>
        <w:ind w:left="6480" w:hanging="360"/>
      </w:pPr>
      <w:rPr>
        <w:rFonts w:ascii="Wingdings" w:hAnsi="Wingdings" w:hint="default"/>
      </w:rPr>
    </w:lvl>
  </w:abstractNum>
  <w:abstractNum w:abstractNumId="23" w15:restartNumberingAfterBreak="0">
    <w:nsid w:val="2F5C2088"/>
    <w:multiLevelType w:val="hybridMultilevel"/>
    <w:tmpl w:val="CAB64B10"/>
    <w:lvl w:ilvl="0" w:tplc="8202FB4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0653F77"/>
    <w:multiLevelType w:val="multilevel"/>
    <w:tmpl w:val="8B76AE02"/>
    <w:lvl w:ilvl="0">
      <w:start w:val="1"/>
      <w:numFmt w:val="decimal"/>
      <w:lvlText w:val="%1."/>
      <w:lvlJc w:val="left"/>
      <w:pPr>
        <w:ind w:left="5605"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0D88E63"/>
    <w:multiLevelType w:val="hybridMultilevel"/>
    <w:tmpl w:val="F4529B22"/>
    <w:lvl w:ilvl="0" w:tplc="F4E6E3C6">
      <w:start w:val="1"/>
      <w:numFmt w:val="bullet"/>
      <w:lvlText w:val="·"/>
      <w:lvlJc w:val="left"/>
      <w:pPr>
        <w:ind w:left="720" w:hanging="360"/>
      </w:pPr>
      <w:rPr>
        <w:rFonts w:ascii="Symbol" w:hAnsi="Symbol" w:hint="default"/>
      </w:rPr>
    </w:lvl>
    <w:lvl w:ilvl="1" w:tplc="B9B6EC86">
      <w:start w:val="1"/>
      <w:numFmt w:val="bullet"/>
      <w:lvlText w:val="o"/>
      <w:lvlJc w:val="left"/>
      <w:pPr>
        <w:ind w:left="1440" w:hanging="360"/>
      </w:pPr>
      <w:rPr>
        <w:rFonts w:ascii="Courier New" w:hAnsi="Courier New" w:hint="default"/>
      </w:rPr>
    </w:lvl>
    <w:lvl w:ilvl="2" w:tplc="80860B82">
      <w:start w:val="1"/>
      <w:numFmt w:val="bullet"/>
      <w:lvlText w:val=""/>
      <w:lvlJc w:val="left"/>
      <w:pPr>
        <w:ind w:left="2160" w:hanging="360"/>
      </w:pPr>
      <w:rPr>
        <w:rFonts w:ascii="Wingdings" w:hAnsi="Wingdings" w:hint="default"/>
      </w:rPr>
    </w:lvl>
    <w:lvl w:ilvl="3" w:tplc="DE26EACA">
      <w:start w:val="1"/>
      <w:numFmt w:val="bullet"/>
      <w:lvlText w:val=""/>
      <w:lvlJc w:val="left"/>
      <w:pPr>
        <w:ind w:left="2880" w:hanging="360"/>
      </w:pPr>
      <w:rPr>
        <w:rFonts w:ascii="Symbol" w:hAnsi="Symbol" w:hint="default"/>
      </w:rPr>
    </w:lvl>
    <w:lvl w:ilvl="4" w:tplc="FECED558">
      <w:start w:val="1"/>
      <w:numFmt w:val="bullet"/>
      <w:lvlText w:val="o"/>
      <w:lvlJc w:val="left"/>
      <w:pPr>
        <w:ind w:left="3600" w:hanging="360"/>
      </w:pPr>
      <w:rPr>
        <w:rFonts w:ascii="Courier New" w:hAnsi="Courier New" w:hint="default"/>
      </w:rPr>
    </w:lvl>
    <w:lvl w:ilvl="5" w:tplc="23D2A90E">
      <w:start w:val="1"/>
      <w:numFmt w:val="bullet"/>
      <w:lvlText w:val=""/>
      <w:lvlJc w:val="left"/>
      <w:pPr>
        <w:ind w:left="4320" w:hanging="360"/>
      </w:pPr>
      <w:rPr>
        <w:rFonts w:ascii="Wingdings" w:hAnsi="Wingdings" w:hint="default"/>
      </w:rPr>
    </w:lvl>
    <w:lvl w:ilvl="6" w:tplc="F36AE38E">
      <w:start w:val="1"/>
      <w:numFmt w:val="bullet"/>
      <w:lvlText w:val=""/>
      <w:lvlJc w:val="left"/>
      <w:pPr>
        <w:ind w:left="5040" w:hanging="360"/>
      </w:pPr>
      <w:rPr>
        <w:rFonts w:ascii="Symbol" w:hAnsi="Symbol" w:hint="default"/>
      </w:rPr>
    </w:lvl>
    <w:lvl w:ilvl="7" w:tplc="74623270">
      <w:start w:val="1"/>
      <w:numFmt w:val="bullet"/>
      <w:lvlText w:val="o"/>
      <w:lvlJc w:val="left"/>
      <w:pPr>
        <w:ind w:left="5760" w:hanging="360"/>
      </w:pPr>
      <w:rPr>
        <w:rFonts w:ascii="Courier New" w:hAnsi="Courier New" w:hint="default"/>
      </w:rPr>
    </w:lvl>
    <w:lvl w:ilvl="8" w:tplc="400EEF10">
      <w:start w:val="1"/>
      <w:numFmt w:val="bullet"/>
      <w:lvlText w:val=""/>
      <w:lvlJc w:val="left"/>
      <w:pPr>
        <w:ind w:left="6480" w:hanging="360"/>
      </w:pPr>
      <w:rPr>
        <w:rFonts w:ascii="Wingdings" w:hAnsi="Wingdings" w:hint="default"/>
      </w:rPr>
    </w:lvl>
  </w:abstractNum>
  <w:abstractNum w:abstractNumId="26" w15:restartNumberingAfterBreak="0">
    <w:nsid w:val="32676382"/>
    <w:multiLevelType w:val="hybridMultilevel"/>
    <w:tmpl w:val="7478B7DA"/>
    <w:lvl w:ilvl="0" w:tplc="18090001">
      <w:start w:val="1"/>
      <w:numFmt w:val="bullet"/>
      <w:lvlText w:val=""/>
      <w:lvlJc w:val="left"/>
      <w:pPr>
        <w:ind w:left="783" w:hanging="360"/>
      </w:pPr>
      <w:rPr>
        <w:rFonts w:ascii="Symbol" w:hAnsi="Symbol" w:hint="default"/>
      </w:rPr>
    </w:lvl>
    <w:lvl w:ilvl="1" w:tplc="18090003" w:tentative="1">
      <w:start w:val="1"/>
      <w:numFmt w:val="bullet"/>
      <w:lvlText w:val="o"/>
      <w:lvlJc w:val="left"/>
      <w:pPr>
        <w:ind w:left="1503" w:hanging="360"/>
      </w:pPr>
      <w:rPr>
        <w:rFonts w:ascii="Courier New" w:hAnsi="Courier New" w:cs="Courier New" w:hint="default"/>
      </w:rPr>
    </w:lvl>
    <w:lvl w:ilvl="2" w:tplc="18090005" w:tentative="1">
      <w:start w:val="1"/>
      <w:numFmt w:val="bullet"/>
      <w:lvlText w:val=""/>
      <w:lvlJc w:val="left"/>
      <w:pPr>
        <w:ind w:left="2223" w:hanging="360"/>
      </w:pPr>
      <w:rPr>
        <w:rFonts w:ascii="Wingdings" w:hAnsi="Wingdings" w:hint="default"/>
      </w:rPr>
    </w:lvl>
    <w:lvl w:ilvl="3" w:tplc="18090001" w:tentative="1">
      <w:start w:val="1"/>
      <w:numFmt w:val="bullet"/>
      <w:lvlText w:val=""/>
      <w:lvlJc w:val="left"/>
      <w:pPr>
        <w:ind w:left="2943" w:hanging="360"/>
      </w:pPr>
      <w:rPr>
        <w:rFonts w:ascii="Symbol" w:hAnsi="Symbol" w:hint="default"/>
      </w:rPr>
    </w:lvl>
    <w:lvl w:ilvl="4" w:tplc="18090003" w:tentative="1">
      <w:start w:val="1"/>
      <w:numFmt w:val="bullet"/>
      <w:lvlText w:val="o"/>
      <w:lvlJc w:val="left"/>
      <w:pPr>
        <w:ind w:left="3663" w:hanging="360"/>
      </w:pPr>
      <w:rPr>
        <w:rFonts w:ascii="Courier New" w:hAnsi="Courier New" w:cs="Courier New" w:hint="default"/>
      </w:rPr>
    </w:lvl>
    <w:lvl w:ilvl="5" w:tplc="18090005" w:tentative="1">
      <w:start w:val="1"/>
      <w:numFmt w:val="bullet"/>
      <w:lvlText w:val=""/>
      <w:lvlJc w:val="left"/>
      <w:pPr>
        <w:ind w:left="4383" w:hanging="360"/>
      </w:pPr>
      <w:rPr>
        <w:rFonts w:ascii="Wingdings" w:hAnsi="Wingdings" w:hint="default"/>
      </w:rPr>
    </w:lvl>
    <w:lvl w:ilvl="6" w:tplc="18090001" w:tentative="1">
      <w:start w:val="1"/>
      <w:numFmt w:val="bullet"/>
      <w:lvlText w:val=""/>
      <w:lvlJc w:val="left"/>
      <w:pPr>
        <w:ind w:left="5103" w:hanging="360"/>
      </w:pPr>
      <w:rPr>
        <w:rFonts w:ascii="Symbol" w:hAnsi="Symbol" w:hint="default"/>
      </w:rPr>
    </w:lvl>
    <w:lvl w:ilvl="7" w:tplc="18090003" w:tentative="1">
      <w:start w:val="1"/>
      <w:numFmt w:val="bullet"/>
      <w:lvlText w:val="o"/>
      <w:lvlJc w:val="left"/>
      <w:pPr>
        <w:ind w:left="5823" w:hanging="360"/>
      </w:pPr>
      <w:rPr>
        <w:rFonts w:ascii="Courier New" w:hAnsi="Courier New" w:cs="Courier New" w:hint="default"/>
      </w:rPr>
    </w:lvl>
    <w:lvl w:ilvl="8" w:tplc="18090005" w:tentative="1">
      <w:start w:val="1"/>
      <w:numFmt w:val="bullet"/>
      <w:lvlText w:val=""/>
      <w:lvlJc w:val="left"/>
      <w:pPr>
        <w:ind w:left="6543" w:hanging="360"/>
      </w:pPr>
      <w:rPr>
        <w:rFonts w:ascii="Wingdings" w:hAnsi="Wingdings" w:hint="default"/>
      </w:rPr>
    </w:lvl>
  </w:abstractNum>
  <w:abstractNum w:abstractNumId="27" w15:restartNumberingAfterBreak="0">
    <w:nsid w:val="32AC2495"/>
    <w:multiLevelType w:val="multilevel"/>
    <w:tmpl w:val="482AD95E"/>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32C2CFA7"/>
    <w:multiLevelType w:val="hybridMultilevel"/>
    <w:tmpl w:val="B6D2478A"/>
    <w:lvl w:ilvl="0" w:tplc="089EFA84">
      <w:numFmt w:val="none"/>
      <w:lvlText w:val=""/>
      <w:lvlJc w:val="left"/>
      <w:pPr>
        <w:tabs>
          <w:tab w:val="num" w:pos="360"/>
        </w:tabs>
      </w:pPr>
    </w:lvl>
    <w:lvl w:ilvl="1" w:tplc="3EBC1EBA">
      <w:start w:val="1"/>
      <w:numFmt w:val="lowerLetter"/>
      <w:lvlText w:val="%2."/>
      <w:lvlJc w:val="left"/>
      <w:pPr>
        <w:ind w:left="1440" w:hanging="360"/>
      </w:pPr>
    </w:lvl>
    <w:lvl w:ilvl="2" w:tplc="45BA56A8">
      <w:start w:val="1"/>
      <w:numFmt w:val="lowerRoman"/>
      <w:lvlText w:val="%3."/>
      <w:lvlJc w:val="right"/>
      <w:pPr>
        <w:ind w:left="2160" w:hanging="180"/>
      </w:pPr>
    </w:lvl>
    <w:lvl w:ilvl="3" w:tplc="D6BC877C">
      <w:start w:val="1"/>
      <w:numFmt w:val="decimal"/>
      <w:lvlText w:val="%4."/>
      <w:lvlJc w:val="left"/>
      <w:pPr>
        <w:ind w:left="2880" w:hanging="360"/>
      </w:pPr>
    </w:lvl>
    <w:lvl w:ilvl="4" w:tplc="1882851C">
      <w:start w:val="1"/>
      <w:numFmt w:val="lowerLetter"/>
      <w:lvlText w:val="%5."/>
      <w:lvlJc w:val="left"/>
      <w:pPr>
        <w:ind w:left="3600" w:hanging="360"/>
      </w:pPr>
    </w:lvl>
    <w:lvl w:ilvl="5" w:tplc="E9E0F31E">
      <w:start w:val="1"/>
      <w:numFmt w:val="lowerRoman"/>
      <w:lvlText w:val="%6."/>
      <w:lvlJc w:val="right"/>
      <w:pPr>
        <w:ind w:left="4320" w:hanging="180"/>
      </w:pPr>
    </w:lvl>
    <w:lvl w:ilvl="6" w:tplc="558AE584">
      <w:start w:val="1"/>
      <w:numFmt w:val="decimal"/>
      <w:lvlText w:val="%7."/>
      <w:lvlJc w:val="left"/>
      <w:pPr>
        <w:ind w:left="5040" w:hanging="360"/>
      </w:pPr>
    </w:lvl>
    <w:lvl w:ilvl="7" w:tplc="B5A85F60">
      <w:start w:val="1"/>
      <w:numFmt w:val="lowerLetter"/>
      <w:lvlText w:val="%8."/>
      <w:lvlJc w:val="left"/>
      <w:pPr>
        <w:ind w:left="5760" w:hanging="360"/>
      </w:pPr>
    </w:lvl>
    <w:lvl w:ilvl="8" w:tplc="542A356A">
      <w:start w:val="1"/>
      <w:numFmt w:val="lowerRoman"/>
      <w:lvlText w:val="%9."/>
      <w:lvlJc w:val="right"/>
      <w:pPr>
        <w:ind w:left="6480" w:hanging="180"/>
      </w:pPr>
    </w:lvl>
  </w:abstractNum>
  <w:abstractNum w:abstractNumId="29" w15:restartNumberingAfterBreak="0">
    <w:nsid w:val="38F979D2"/>
    <w:multiLevelType w:val="hybridMultilevel"/>
    <w:tmpl w:val="F516FFF8"/>
    <w:lvl w:ilvl="0" w:tplc="ABFA1B34">
      <w:start w:val="1"/>
      <w:numFmt w:val="decimal"/>
      <w:lvlText w:val="(%1)"/>
      <w:lvlJc w:val="left"/>
      <w:pPr>
        <w:ind w:left="42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30" w15:restartNumberingAfterBreak="0">
    <w:nsid w:val="393F6AE9"/>
    <w:multiLevelType w:val="hybridMultilevel"/>
    <w:tmpl w:val="8D4C26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3A575005"/>
    <w:multiLevelType w:val="hybridMultilevel"/>
    <w:tmpl w:val="2D42A382"/>
    <w:lvl w:ilvl="0" w:tplc="4438861E">
      <w:start w:val="1"/>
      <w:numFmt w:val="decimal"/>
      <w:lvlText w:val="%1)"/>
      <w:lvlJc w:val="left"/>
      <w:pPr>
        <w:ind w:left="1020" w:hanging="360"/>
      </w:pPr>
    </w:lvl>
    <w:lvl w:ilvl="1" w:tplc="AC26A8EC">
      <w:start w:val="1"/>
      <w:numFmt w:val="decimal"/>
      <w:lvlText w:val="%2)"/>
      <w:lvlJc w:val="left"/>
      <w:pPr>
        <w:ind w:left="1020" w:hanging="360"/>
      </w:pPr>
    </w:lvl>
    <w:lvl w:ilvl="2" w:tplc="ED9E6C28">
      <w:start w:val="1"/>
      <w:numFmt w:val="decimal"/>
      <w:lvlText w:val="%3)"/>
      <w:lvlJc w:val="left"/>
      <w:pPr>
        <w:ind w:left="1020" w:hanging="360"/>
      </w:pPr>
    </w:lvl>
    <w:lvl w:ilvl="3" w:tplc="A11EA2EC">
      <w:start w:val="1"/>
      <w:numFmt w:val="decimal"/>
      <w:lvlText w:val="%4)"/>
      <w:lvlJc w:val="left"/>
      <w:pPr>
        <w:ind w:left="1020" w:hanging="360"/>
      </w:pPr>
    </w:lvl>
    <w:lvl w:ilvl="4" w:tplc="E468EF38">
      <w:start w:val="1"/>
      <w:numFmt w:val="decimal"/>
      <w:lvlText w:val="%5)"/>
      <w:lvlJc w:val="left"/>
      <w:pPr>
        <w:ind w:left="1020" w:hanging="360"/>
      </w:pPr>
    </w:lvl>
    <w:lvl w:ilvl="5" w:tplc="C5725190">
      <w:start w:val="1"/>
      <w:numFmt w:val="decimal"/>
      <w:lvlText w:val="%6)"/>
      <w:lvlJc w:val="left"/>
      <w:pPr>
        <w:ind w:left="1020" w:hanging="360"/>
      </w:pPr>
    </w:lvl>
    <w:lvl w:ilvl="6" w:tplc="7A104DF0">
      <w:start w:val="1"/>
      <w:numFmt w:val="decimal"/>
      <w:lvlText w:val="%7)"/>
      <w:lvlJc w:val="left"/>
      <w:pPr>
        <w:ind w:left="1020" w:hanging="360"/>
      </w:pPr>
    </w:lvl>
    <w:lvl w:ilvl="7" w:tplc="55368304">
      <w:start w:val="1"/>
      <w:numFmt w:val="decimal"/>
      <w:lvlText w:val="%8)"/>
      <w:lvlJc w:val="left"/>
      <w:pPr>
        <w:ind w:left="1020" w:hanging="360"/>
      </w:pPr>
    </w:lvl>
    <w:lvl w:ilvl="8" w:tplc="A1222F9C">
      <w:start w:val="1"/>
      <w:numFmt w:val="decimal"/>
      <w:lvlText w:val="%9)"/>
      <w:lvlJc w:val="left"/>
      <w:pPr>
        <w:ind w:left="1020" w:hanging="360"/>
      </w:pPr>
    </w:lvl>
  </w:abstractNum>
  <w:abstractNum w:abstractNumId="32" w15:restartNumberingAfterBreak="0">
    <w:nsid w:val="3B903B3C"/>
    <w:multiLevelType w:val="multilevel"/>
    <w:tmpl w:val="8B76AE02"/>
    <w:lvl w:ilvl="0">
      <w:start w:val="1"/>
      <w:numFmt w:val="decimal"/>
      <w:lvlText w:val="%1."/>
      <w:lvlJc w:val="left"/>
      <w:pPr>
        <w:ind w:left="5605"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3BEE844A"/>
    <w:multiLevelType w:val="hybridMultilevel"/>
    <w:tmpl w:val="F530C7F2"/>
    <w:lvl w:ilvl="0" w:tplc="2812BFA8">
      <w:start w:val="1"/>
      <w:numFmt w:val="bullet"/>
      <w:lvlText w:val="-"/>
      <w:lvlJc w:val="left"/>
      <w:pPr>
        <w:ind w:left="720" w:hanging="360"/>
      </w:pPr>
      <w:rPr>
        <w:rFonts w:ascii="Calibri" w:hAnsi="Calibri" w:hint="default"/>
      </w:rPr>
    </w:lvl>
    <w:lvl w:ilvl="1" w:tplc="0E4CF494">
      <w:start w:val="1"/>
      <w:numFmt w:val="bullet"/>
      <w:lvlText w:val="o"/>
      <w:lvlJc w:val="left"/>
      <w:pPr>
        <w:ind w:left="1440" w:hanging="360"/>
      </w:pPr>
      <w:rPr>
        <w:rFonts w:ascii="Courier New" w:hAnsi="Courier New" w:hint="default"/>
      </w:rPr>
    </w:lvl>
    <w:lvl w:ilvl="2" w:tplc="918E89F2">
      <w:start w:val="1"/>
      <w:numFmt w:val="bullet"/>
      <w:lvlText w:val=""/>
      <w:lvlJc w:val="left"/>
      <w:pPr>
        <w:ind w:left="2160" w:hanging="360"/>
      </w:pPr>
      <w:rPr>
        <w:rFonts w:ascii="Wingdings" w:hAnsi="Wingdings" w:hint="default"/>
      </w:rPr>
    </w:lvl>
    <w:lvl w:ilvl="3" w:tplc="8DF0A1DC">
      <w:start w:val="1"/>
      <w:numFmt w:val="bullet"/>
      <w:lvlText w:val=""/>
      <w:lvlJc w:val="left"/>
      <w:pPr>
        <w:ind w:left="2880" w:hanging="360"/>
      </w:pPr>
      <w:rPr>
        <w:rFonts w:ascii="Symbol" w:hAnsi="Symbol" w:hint="default"/>
      </w:rPr>
    </w:lvl>
    <w:lvl w:ilvl="4" w:tplc="EF88BF76">
      <w:start w:val="1"/>
      <w:numFmt w:val="bullet"/>
      <w:lvlText w:val="o"/>
      <w:lvlJc w:val="left"/>
      <w:pPr>
        <w:ind w:left="3600" w:hanging="360"/>
      </w:pPr>
      <w:rPr>
        <w:rFonts w:ascii="Courier New" w:hAnsi="Courier New" w:hint="default"/>
      </w:rPr>
    </w:lvl>
    <w:lvl w:ilvl="5" w:tplc="872AE9D4">
      <w:start w:val="1"/>
      <w:numFmt w:val="bullet"/>
      <w:lvlText w:val=""/>
      <w:lvlJc w:val="left"/>
      <w:pPr>
        <w:ind w:left="4320" w:hanging="360"/>
      </w:pPr>
      <w:rPr>
        <w:rFonts w:ascii="Wingdings" w:hAnsi="Wingdings" w:hint="default"/>
      </w:rPr>
    </w:lvl>
    <w:lvl w:ilvl="6" w:tplc="E7C40BC8">
      <w:start w:val="1"/>
      <w:numFmt w:val="bullet"/>
      <w:lvlText w:val=""/>
      <w:lvlJc w:val="left"/>
      <w:pPr>
        <w:ind w:left="5040" w:hanging="360"/>
      </w:pPr>
      <w:rPr>
        <w:rFonts w:ascii="Symbol" w:hAnsi="Symbol" w:hint="default"/>
      </w:rPr>
    </w:lvl>
    <w:lvl w:ilvl="7" w:tplc="372852B6">
      <w:start w:val="1"/>
      <w:numFmt w:val="bullet"/>
      <w:lvlText w:val="o"/>
      <w:lvlJc w:val="left"/>
      <w:pPr>
        <w:ind w:left="5760" w:hanging="360"/>
      </w:pPr>
      <w:rPr>
        <w:rFonts w:ascii="Courier New" w:hAnsi="Courier New" w:hint="default"/>
      </w:rPr>
    </w:lvl>
    <w:lvl w:ilvl="8" w:tplc="A260CEB4">
      <w:start w:val="1"/>
      <w:numFmt w:val="bullet"/>
      <w:lvlText w:val=""/>
      <w:lvlJc w:val="left"/>
      <w:pPr>
        <w:ind w:left="6480" w:hanging="360"/>
      </w:pPr>
      <w:rPr>
        <w:rFonts w:ascii="Wingdings" w:hAnsi="Wingdings" w:hint="default"/>
      </w:rPr>
    </w:lvl>
  </w:abstractNum>
  <w:abstractNum w:abstractNumId="34" w15:restartNumberingAfterBreak="0">
    <w:nsid w:val="3BF3B791"/>
    <w:multiLevelType w:val="hybridMultilevel"/>
    <w:tmpl w:val="A22296AE"/>
    <w:lvl w:ilvl="0" w:tplc="3D42877A">
      <w:numFmt w:val="none"/>
      <w:lvlText w:val=""/>
      <w:lvlJc w:val="left"/>
      <w:pPr>
        <w:tabs>
          <w:tab w:val="num" w:pos="360"/>
        </w:tabs>
      </w:pPr>
    </w:lvl>
    <w:lvl w:ilvl="1" w:tplc="F0D2271A">
      <w:start w:val="1"/>
      <w:numFmt w:val="lowerLetter"/>
      <w:lvlText w:val="%2."/>
      <w:lvlJc w:val="left"/>
      <w:pPr>
        <w:ind w:left="1437" w:hanging="360"/>
      </w:pPr>
    </w:lvl>
    <w:lvl w:ilvl="2" w:tplc="843C6BF2">
      <w:start w:val="1"/>
      <w:numFmt w:val="lowerRoman"/>
      <w:lvlText w:val="%3."/>
      <w:lvlJc w:val="right"/>
      <w:pPr>
        <w:ind w:left="2157" w:hanging="180"/>
      </w:pPr>
    </w:lvl>
    <w:lvl w:ilvl="3" w:tplc="88D002B2">
      <w:start w:val="1"/>
      <w:numFmt w:val="decimal"/>
      <w:lvlText w:val="%4."/>
      <w:lvlJc w:val="left"/>
      <w:pPr>
        <w:ind w:left="2877" w:hanging="360"/>
      </w:pPr>
    </w:lvl>
    <w:lvl w:ilvl="4" w:tplc="BE8EF3D4">
      <w:start w:val="1"/>
      <w:numFmt w:val="lowerLetter"/>
      <w:lvlText w:val="%5."/>
      <w:lvlJc w:val="left"/>
      <w:pPr>
        <w:ind w:left="3597" w:hanging="360"/>
      </w:pPr>
    </w:lvl>
    <w:lvl w:ilvl="5" w:tplc="C17E8016">
      <w:start w:val="1"/>
      <w:numFmt w:val="lowerRoman"/>
      <w:lvlText w:val="%6."/>
      <w:lvlJc w:val="right"/>
      <w:pPr>
        <w:ind w:left="4317" w:hanging="180"/>
      </w:pPr>
    </w:lvl>
    <w:lvl w:ilvl="6" w:tplc="6EF07092">
      <w:start w:val="1"/>
      <w:numFmt w:val="decimal"/>
      <w:lvlText w:val="%7."/>
      <w:lvlJc w:val="left"/>
      <w:pPr>
        <w:ind w:left="5037" w:hanging="360"/>
      </w:pPr>
    </w:lvl>
    <w:lvl w:ilvl="7" w:tplc="0EB0BBF8">
      <w:start w:val="1"/>
      <w:numFmt w:val="lowerLetter"/>
      <w:lvlText w:val="%8."/>
      <w:lvlJc w:val="left"/>
      <w:pPr>
        <w:ind w:left="5757" w:hanging="360"/>
      </w:pPr>
    </w:lvl>
    <w:lvl w:ilvl="8" w:tplc="992CBADC">
      <w:start w:val="1"/>
      <w:numFmt w:val="lowerRoman"/>
      <w:lvlText w:val="%9."/>
      <w:lvlJc w:val="right"/>
      <w:pPr>
        <w:ind w:left="6477" w:hanging="180"/>
      </w:pPr>
    </w:lvl>
  </w:abstractNum>
  <w:abstractNum w:abstractNumId="35" w15:restartNumberingAfterBreak="0">
    <w:nsid w:val="3E14567B"/>
    <w:multiLevelType w:val="hybridMultilevel"/>
    <w:tmpl w:val="050292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3E18EA44"/>
    <w:multiLevelType w:val="hybridMultilevel"/>
    <w:tmpl w:val="921E2B90"/>
    <w:lvl w:ilvl="0" w:tplc="AEAA6272">
      <w:numFmt w:val="none"/>
      <w:lvlText w:val=""/>
      <w:lvlJc w:val="left"/>
      <w:pPr>
        <w:tabs>
          <w:tab w:val="num" w:pos="360"/>
        </w:tabs>
      </w:pPr>
    </w:lvl>
    <w:lvl w:ilvl="1" w:tplc="428C6A14">
      <w:start w:val="1"/>
      <w:numFmt w:val="lowerLetter"/>
      <w:lvlText w:val="%2."/>
      <w:lvlJc w:val="left"/>
      <w:pPr>
        <w:ind w:left="1440" w:hanging="360"/>
      </w:pPr>
    </w:lvl>
    <w:lvl w:ilvl="2" w:tplc="D74287DE">
      <w:start w:val="1"/>
      <w:numFmt w:val="lowerRoman"/>
      <w:lvlText w:val="%3."/>
      <w:lvlJc w:val="right"/>
      <w:pPr>
        <w:ind w:left="2160" w:hanging="180"/>
      </w:pPr>
    </w:lvl>
    <w:lvl w:ilvl="3" w:tplc="EE4680F0">
      <w:start w:val="1"/>
      <w:numFmt w:val="decimal"/>
      <w:lvlText w:val="%4."/>
      <w:lvlJc w:val="left"/>
      <w:pPr>
        <w:ind w:left="2880" w:hanging="360"/>
      </w:pPr>
    </w:lvl>
    <w:lvl w:ilvl="4" w:tplc="116CA952">
      <w:start w:val="1"/>
      <w:numFmt w:val="lowerLetter"/>
      <w:lvlText w:val="%5."/>
      <w:lvlJc w:val="left"/>
      <w:pPr>
        <w:ind w:left="3600" w:hanging="360"/>
      </w:pPr>
    </w:lvl>
    <w:lvl w:ilvl="5" w:tplc="5904843C">
      <w:start w:val="1"/>
      <w:numFmt w:val="lowerRoman"/>
      <w:lvlText w:val="%6."/>
      <w:lvlJc w:val="right"/>
      <w:pPr>
        <w:ind w:left="4320" w:hanging="180"/>
      </w:pPr>
    </w:lvl>
    <w:lvl w:ilvl="6" w:tplc="9C32DB8A">
      <w:start w:val="1"/>
      <w:numFmt w:val="decimal"/>
      <w:lvlText w:val="%7."/>
      <w:lvlJc w:val="left"/>
      <w:pPr>
        <w:ind w:left="5040" w:hanging="360"/>
      </w:pPr>
    </w:lvl>
    <w:lvl w:ilvl="7" w:tplc="F39A2082">
      <w:start w:val="1"/>
      <w:numFmt w:val="lowerLetter"/>
      <w:lvlText w:val="%8."/>
      <w:lvlJc w:val="left"/>
      <w:pPr>
        <w:ind w:left="5760" w:hanging="360"/>
      </w:pPr>
    </w:lvl>
    <w:lvl w:ilvl="8" w:tplc="68DE8660">
      <w:start w:val="1"/>
      <w:numFmt w:val="lowerRoman"/>
      <w:lvlText w:val="%9."/>
      <w:lvlJc w:val="right"/>
      <w:pPr>
        <w:ind w:left="6480" w:hanging="180"/>
      </w:pPr>
    </w:lvl>
  </w:abstractNum>
  <w:abstractNum w:abstractNumId="37" w15:restartNumberingAfterBreak="0">
    <w:nsid w:val="41C974EE"/>
    <w:multiLevelType w:val="hybridMultilevel"/>
    <w:tmpl w:val="68BC7AF6"/>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41D53C69"/>
    <w:multiLevelType w:val="multilevel"/>
    <w:tmpl w:val="482AD95E"/>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44E0A120"/>
    <w:multiLevelType w:val="hybridMultilevel"/>
    <w:tmpl w:val="70747BEC"/>
    <w:lvl w:ilvl="0" w:tplc="9CCCDB62">
      <w:start w:val="1"/>
      <w:numFmt w:val="bullet"/>
      <w:lvlText w:val=""/>
      <w:lvlJc w:val="left"/>
      <w:pPr>
        <w:ind w:left="720" w:hanging="360"/>
      </w:pPr>
      <w:rPr>
        <w:rFonts w:ascii="Symbol" w:hAnsi="Symbol" w:hint="default"/>
      </w:rPr>
    </w:lvl>
    <w:lvl w:ilvl="1" w:tplc="DACA3946">
      <w:start w:val="1"/>
      <w:numFmt w:val="bullet"/>
      <w:lvlText w:val="o"/>
      <w:lvlJc w:val="left"/>
      <w:pPr>
        <w:ind w:left="1440" w:hanging="360"/>
      </w:pPr>
      <w:rPr>
        <w:rFonts w:ascii="Courier New" w:hAnsi="Courier New" w:hint="default"/>
      </w:rPr>
    </w:lvl>
    <w:lvl w:ilvl="2" w:tplc="8FE2536E">
      <w:start w:val="1"/>
      <w:numFmt w:val="bullet"/>
      <w:lvlText w:val=""/>
      <w:lvlJc w:val="left"/>
      <w:pPr>
        <w:ind w:left="2160" w:hanging="360"/>
      </w:pPr>
      <w:rPr>
        <w:rFonts w:ascii="Wingdings" w:hAnsi="Wingdings" w:hint="default"/>
      </w:rPr>
    </w:lvl>
    <w:lvl w:ilvl="3" w:tplc="2A5A37C2">
      <w:start w:val="1"/>
      <w:numFmt w:val="bullet"/>
      <w:lvlText w:val=""/>
      <w:lvlJc w:val="left"/>
      <w:pPr>
        <w:ind w:left="2880" w:hanging="360"/>
      </w:pPr>
      <w:rPr>
        <w:rFonts w:ascii="Symbol" w:hAnsi="Symbol" w:hint="default"/>
      </w:rPr>
    </w:lvl>
    <w:lvl w:ilvl="4" w:tplc="86B8C17A">
      <w:start w:val="1"/>
      <w:numFmt w:val="bullet"/>
      <w:lvlText w:val="o"/>
      <w:lvlJc w:val="left"/>
      <w:pPr>
        <w:ind w:left="3600" w:hanging="360"/>
      </w:pPr>
      <w:rPr>
        <w:rFonts w:ascii="Courier New" w:hAnsi="Courier New" w:hint="default"/>
      </w:rPr>
    </w:lvl>
    <w:lvl w:ilvl="5" w:tplc="F9F6046C">
      <w:start w:val="1"/>
      <w:numFmt w:val="bullet"/>
      <w:lvlText w:val=""/>
      <w:lvlJc w:val="left"/>
      <w:pPr>
        <w:ind w:left="4320" w:hanging="360"/>
      </w:pPr>
      <w:rPr>
        <w:rFonts w:ascii="Wingdings" w:hAnsi="Wingdings" w:hint="default"/>
      </w:rPr>
    </w:lvl>
    <w:lvl w:ilvl="6" w:tplc="171A9994">
      <w:start w:val="1"/>
      <w:numFmt w:val="bullet"/>
      <w:lvlText w:val=""/>
      <w:lvlJc w:val="left"/>
      <w:pPr>
        <w:ind w:left="5040" w:hanging="360"/>
      </w:pPr>
      <w:rPr>
        <w:rFonts w:ascii="Symbol" w:hAnsi="Symbol" w:hint="default"/>
      </w:rPr>
    </w:lvl>
    <w:lvl w:ilvl="7" w:tplc="4DB22CCE">
      <w:start w:val="1"/>
      <w:numFmt w:val="bullet"/>
      <w:lvlText w:val="o"/>
      <w:lvlJc w:val="left"/>
      <w:pPr>
        <w:ind w:left="5760" w:hanging="360"/>
      </w:pPr>
      <w:rPr>
        <w:rFonts w:ascii="Courier New" w:hAnsi="Courier New" w:hint="default"/>
      </w:rPr>
    </w:lvl>
    <w:lvl w:ilvl="8" w:tplc="59ACAFBA">
      <w:start w:val="1"/>
      <w:numFmt w:val="bullet"/>
      <w:lvlText w:val=""/>
      <w:lvlJc w:val="left"/>
      <w:pPr>
        <w:ind w:left="6480" w:hanging="360"/>
      </w:pPr>
      <w:rPr>
        <w:rFonts w:ascii="Wingdings" w:hAnsi="Wingdings" w:hint="default"/>
      </w:rPr>
    </w:lvl>
  </w:abstractNum>
  <w:abstractNum w:abstractNumId="40" w15:restartNumberingAfterBreak="0">
    <w:nsid w:val="468A517D"/>
    <w:multiLevelType w:val="hybridMultilevel"/>
    <w:tmpl w:val="D21E6D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48A237AA"/>
    <w:multiLevelType w:val="multilevel"/>
    <w:tmpl w:val="482AD95E"/>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15:restartNumberingAfterBreak="0">
    <w:nsid w:val="49F344F8"/>
    <w:multiLevelType w:val="hybridMultilevel"/>
    <w:tmpl w:val="38F6A57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A670E74"/>
    <w:multiLevelType w:val="multilevel"/>
    <w:tmpl w:val="ECB4410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5039736A"/>
    <w:multiLevelType w:val="hybridMultilevel"/>
    <w:tmpl w:val="0D3E7F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53AD6343"/>
    <w:multiLevelType w:val="hybridMultilevel"/>
    <w:tmpl w:val="836660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55ED3A74"/>
    <w:multiLevelType w:val="hybridMultilevel"/>
    <w:tmpl w:val="1A6AB2F6"/>
    <w:lvl w:ilvl="0" w:tplc="1988FB36">
      <w:start w:val="1"/>
      <w:numFmt w:val="bullet"/>
      <w:lvlText w:val=""/>
      <w:lvlJc w:val="left"/>
      <w:pPr>
        <w:ind w:left="720" w:hanging="360"/>
      </w:pPr>
      <w:rPr>
        <w:rFonts w:ascii="Symbol" w:hAnsi="Symbol" w:hint="default"/>
      </w:rPr>
    </w:lvl>
    <w:lvl w:ilvl="1" w:tplc="F6941D84">
      <w:start w:val="1"/>
      <w:numFmt w:val="bullet"/>
      <w:lvlText w:val="o"/>
      <w:lvlJc w:val="left"/>
      <w:pPr>
        <w:ind w:left="1440" w:hanging="360"/>
      </w:pPr>
      <w:rPr>
        <w:rFonts w:ascii="Courier New" w:hAnsi="Courier New" w:hint="default"/>
      </w:rPr>
    </w:lvl>
    <w:lvl w:ilvl="2" w:tplc="DB921DE0">
      <w:start w:val="1"/>
      <w:numFmt w:val="bullet"/>
      <w:lvlText w:val=""/>
      <w:lvlJc w:val="left"/>
      <w:pPr>
        <w:ind w:left="2160" w:hanging="360"/>
      </w:pPr>
      <w:rPr>
        <w:rFonts w:ascii="Wingdings" w:hAnsi="Wingdings" w:hint="default"/>
      </w:rPr>
    </w:lvl>
    <w:lvl w:ilvl="3" w:tplc="A504F8BC">
      <w:start w:val="1"/>
      <w:numFmt w:val="bullet"/>
      <w:lvlText w:val=""/>
      <w:lvlJc w:val="left"/>
      <w:pPr>
        <w:ind w:left="2880" w:hanging="360"/>
      </w:pPr>
      <w:rPr>
        <w:rFonts w:ascii="Symbol" w:hAnsi="Symbol" w:hint="default"/>
      </w:rPr>
    </w:lvl>
    <w:lvl w:ilvl="4" w:tplc="089A7798">
      <w:start w:val="1"/>
      <w:numFmt w:val="bullet"/>
      <w:lvlText w:val="o"/>
      <w:lvlJc w:val="left"/>
      <w:pPr>
        <w:ind w:left="3600" w:hanging="360"/>
      </w:pPr>
      <w:rPr>
        <w:rFonts w:ascii="Courier New" w:hAnsi="Courier New" w:hint="default"/>
      </w:rPr>
    </w:lvl>
    <w:lvl w:ilvl="5" w:tplc="7076F7E4">
      <w:start w:val="1"/>
      <w:numFmt w:val="bullet"/>
      <w:lvlText w:val=""/>
      <w:lvlJc w:val="left"/>
      <w:pPr>
        <w:ind w:left="4320" w:hanging="360"/>
      </w:pPr>
      <w:rPr>
        <w:rFonts w:ascii="Wingdings" w:hAnsi="Wingdings" w:hint="default"/>
      </w:rPr>
    </w:lvl>
    <w:lvl w:ilvl="6" w:tplc="A2F4158E">
      <w:start w:val="1"/>
      <w:numFmt w:val="bullet"/>
      <w:lvlText w:val=""/>
      <w:lvlJc w:val="left"/>
      <w:pPr>
        <w:ind w:left="5040" w:hanging="360"/>
      </w:pPr>
      <w:rPr>
        <w:rFonts w:ascii="Symbol" w:hAnsi="Symbol" w:hint="default"/>
      </w:rPr>
    </w:lvl>
    <w:lvl w:ilvl="7" w:tplc="56F6B282">
      <w:start w:val="1"/>
      <w:numFmt w:val="bullet"/>
      <w:lvlText w:val="o"/>
      <w:lvlJc w:val="left"/>
      <w:pPr>
        <w:ind w:left="5760" w:hanging="360"/>
      </w:pPr>
      <w:rPr>
        <w:rFonts w:ascii="Courier New" w:hAnsi="Courier New" w:hint="default"/>
      </w:rPr>
    </w:lvl>
    <w:lvl w:ilvl="8" w:tplc="91D66BA8">
      <w:start w:val="1"/>
      <w:numFmt w:val="bullet"/>
      <w:lvlText w:val=""/>
      <w:lvlJc w:val="left"/>
      <w:pPr>
        <w:ind w:left="6480" w:hanging="360"/>
      </w:pPr>
      <w:rPr>
        <w:rFonts w:ascii="Wingdings" w:hAnsi="Wingdings" w:hint="default"/>
      </w:rPr>
    </w:lvl>
  </w:abstractNum>
  <w:abstractNum w:abstractNumId="47" w15:restartNumberingAfterBreak="0">
    <w:nsid w:val="5B6F76CC"/>
    <w:multiLevelType w:val="multilevel"/>
    <w:tmpl w:val="8E583D90"/>
    <w:lvl w:ilvl="0">
      <w:start w:val="4"/>
      <w:numFmt w:val="decimal"/>
      <w:lvlText w:val="%1"/>
      <w:lvlJc w:val="left"/>
      <w:pPr>
        <w:ind w:left="465" w:hanging="465"/>
      </w:pPr>
      <w:rPr>
        <w:rFonts w:hint="default"/>
      </w:rPr>
    </w:lvl>
    <w:lvl w:ilvl="1">
      <w:start w:val="11"/>
      <w:numFmt w:val="decimal"/>
      <w:lvlText w:val="%1.%2"/>
      <w:lvlJc w:val="left"/>
      <w:pPr>
        <w:ind w:left="1545" w:hanging="46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8" w15:restartNumberingAfterBreak="0">
    <w:nsid w:val="5C8A3E06"/>
    <w:multiLevelType w:val="hybridMultilevel"/>
    <w:tmpl w:val="9990A774"/>
    <w:lvl w:ilvl="0" w:tplc="85522EC0">
      <w:start w:val="1"/>
      <w:numFmt w:val="bullet"/>
      <w:lvlText w:val=""/>
      <w:lvlJc w:val="left"/>
      <w:pPr>
        <w:ind w:left="720" w:hanging="360"/>
      </w:pPr>
      <w:rPr>
        <w:rFonts w:ascii="Symbol" w:hAnsi="Symbol" w:hint="default"/>
      </w:rPr>
    </w:lvl>
    <w:lvl w:ilvl="1" w:tplc="0AB07216">
      <w:start w:val="1"/>
      <w:numFmt w:val="bullet"/>
      <w:lvlText w:val="o"/>
      <w:lvlJc w:val="left"/>
      <w:pPr>
        <w:ind w:left="1440" w:hanging="360"/>
      </w:pPr>
      <w:rPr>
        <w:rFonts w:ascii="Courier New" w:hAnsi="Courier New" w:hint="default"/>
      </w:rPr>
    </w:lvl>
    <w:lvl w:ilvl="2" w:tplc="3050EABC">
      <w:start w:val="1"/>
      <w:numFmt w:val="bullet"/>
      <w:lvlText w:val=""/>
      <w:lvlJc w:val="left"/>
      <w:pPr>
        <w:ind w:left="2160" w:hanging="360"/>
      </w:pPr>
      <w:rPr>
        <w:rFonts w:ascii="Wingdings" w:hAnsi="Wingdings" w:hint="default"/>
      </w:rPr>
    </w:lvl>
    <w:lvl w:ilvl="3" w:tplc="C344A81A">
      <w:start w:val="1"/>
      <w:numFmt w:val="bullet"/>
      <w:lvlText w:val=""/>
      <w:lvlJc w:val="left"/>
      <w:pPr>
        <w:ind w:left="2880" w:hanging="360"/>
      </w:pPr>
      <w:rPr>
        <w:rFonts w:ascii="Symbol" w:hAnsi="Symbol" w:hint="default"/>
      </w:rPr>
    </w:lvl>
    <w:lvl w:ilvl="4" w:tplc="63A4FC6A">
      <w:start w:val="1"/>
      <w:numFmt w:val="bullet"/>
      <w:lvlText w:val="o"/>
      <w:lvlJc w:val="left"/>
      <w:pPr>
        <w:ind w:left="3600" w:hanging="360"/>
      </w:pPr>
      <w:rPr>
        <w:rFonts w:ascii="Courier New" w:hAnsi="Courier New" w:hint="default"/>
      </w:rPr>
    </w:lvl>
    <w:lvl w:ilvl="5" w:tplc="0A861B94">
      <w:start w:val="1"/>
      <w:numFmt w:val="bullet"/>
      <w:lvlText w:val=""/>
      <w:lvlJc w:val="left"/>
      <w:pPr>
        <w:ind w:left="4320" w:hanging="360"/>
      </w:pPr>
      <w:rPr>
        <w:rFonts w:ascii="Wingdings" w:hAnsi="Wingdings" w:hint="default"/>
      </w:rPr>
    </w:lvl>
    <w:lvl w:ilvl="6" w:tplc="72405BCC">
      <w:start w:val="1"/>
      <w:numFmt w:val="bullet"/>
      <w:lvlText w:val=""/>
      <w:lvlJc w:val="left"/>
      <w:pPr>
        <w:ind w:left="5040" w:hanging="360"/>
      </w:pPr>
      <w:rPr>
        <w:rFonts w:ascii="Symbol" w:hAnsi="Symbol" w:hint="default"/>
      </w:rPr>
    </w:lvl>
    <w:lvl w:ilvl="7" w:tplc="F744B188">
      <w:start w:val="1"/>
      <w:numFmt w:val="bullet"/>
      <w:lvlText w:val="o"/>
      <w:lvlJc w:val="left"/>
      <w:pPr>
        <w:ind w:left="5760" w:hanging="360"/>
      </w:pPr>
      <w:rPr>
        <w:rFonts w:ascii="Courier New" w:hAnsi="Courier New" w:hint="default"/>
      </w:rPr>
    </w:lvl>
    <w:lvl w:ilvl="8" w:tplc="30E87E3A">
      <w:start w:val="1"/>
      <w:numFmt w:val="bullet"/>
      <w:lvlText w:val=""/>
      <w:lvlJc w:val="left"/>
      <w:pPr>
        <w:ind w:left="6480" w:hanging="360"/>
      </w:pPr>
      <w:rPr>
        <w:rFonts w:ascii="Wingdings" w:hAnsi="Wingdings" w:hint="default"/>
      </w:rPr>
    </w:lvl>
  </w:abstractNum>
  <w:abstractNum w:abstractNumId="49" w15:restartNumberingAfterBreak="0">
    <w:nsid w:val="5D6F3C48"/>
    <w:multiLevelType w:val="hybridMultilevel"/>
    <w:tmpl w:val="CDBEAB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0" w15:restartNumberingAfterBreak="0">
    <w:nsid w:val="5D8E59BC"/>
    <w:multiLevelType w:val="hybridMultilevel"/>
    <w:tmpl w:val="C7F6AA48"/>
    <w:lvl w:ilvl="0" w:tplc="721C039C">
      <w:start w:val="6"/>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5DA26A19"/>
    <w:multiLevelType w:val="multilevel"/>
    <w:tmpl w:val="FFE6B82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F4B0483"/>
    <w:multiLevelType w:val="multilevel"/>
    <w:tmpl w:val="8B76AE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603D457D"/>
    <w:multiLevelType w:val="hybridMultilevel"/>
    <w:tmpl w:val="1082CC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4" w15:restartNumberingAfterBreak="0">
    <w:nsid w:val="60D1E02B"/>
    <w:multiLevelType w:val="hybridMultilevel"/>
    <w:tmpl w:val="30267516"/>
    <w:lvl w:ilvl="0" w:tplc="41BAFE56">
      <w:start w:val="1"/>
      <w:numFmt w:val="bullet"/>
      <w:lvlText w:val="·"/>
      <w:lvlJc w:val="left"/>
      <w:pPr>
        <w:ind w:left="720" w:hanging="360"/>
      </w:pPr>
      <w:rPr>
        <w:rFonts w:ascii="Symbol" w:hAnsi="Symbol" w:hint="default"/>
      </w:rPr>
    </w:lvl>
    <w:lvl w:ilvl="1" w:tplc="B434DCFC">
      <w:start w:val="1"/>
      <w:numFmt w:val="bullet"/>
      <w:lvlText w:val="o"/>
      <w:lvlJc w:val="left"/>
      <w:pPr>
        <w:ind w:left="1440" w:hanging="360"/>
      </w:pPr>
      <w:rPr>
        <w:rFonts w:ascii="Courier New" w:hAnsi="Courier New" w:hint="default"/>
      </w:rPr>
    </w:lvl>
    <w:lvl w:ilvl="2" w:tplc="5142A43A">
      <w:start w:val="1"/>
      <w:numFmt w:val="bullet"/>
      <w:lvlText w:val=""/>
      <w:lvlJc w:val="left"/>
      <w:pPr>
        <w:ind w:left="2160" w:hanging="360"/>
      </w:pPr>
      <w:rPr>
        <w:rFonts w:ascii="Wingdings" w:hAnsi="Wingdings" w:hint="default"/>
      </w:rPr>
    </w:lvl>
    <w:lvl w:ilvl="3" w:tplc="EC229AEA">
      <w:start w:val="1"/>
      <w:numFmt w:val="bullet"/>
      <w:lvlText w:val=""/>
      <w:lvlJc w:val="left"/>
      <w:pPr>
        <w:ind w:left="2880" w:hanging="360"/>
      </w:pPr>
      <w:rPr>
        <w:rFonts w:ascii="Symbol" w:hAnsi="Symbol" w:hint="default"/>
      </w:rPr>
    </w:lvl>
    <w:lvl w:ilvl="4" w:tplc="9E827398">
      <w:start w:val="1"/>
      <w:numFmt w:val="bullet"/>
      <w:lvlText w:val="o"/>
      <w:lvlJc w:val="left"/>
      <w:pPr>
        <w:ind w:left="3600" w:hanging="360"/>
      </w:pPr>
      <w:rPr>
        <w:rFonts w:ascii="Courier New" w:hAnsi="Courier New" w:hint="default"/>
      </w:rPr>
    </w:lvl>
    <w:lvl w:ilvl="5" w:tplc="F1E4376C">
      <w:start w:val="1"/>
      <w:numFmt w:val="bullet"/>
      <w:lvlText w:val=""/>
      <w:lvlJc w:val="left"/>
      <w:pPr>
        <w:ind w:left="4320" w:hanging="360"/>
      </w:pPr>
      <w:rPr>
        <w:rFonts w:ascii="Wingdings" w:hAnsi="Wingdings" w:hint="default"/>
      </w:rPr>
    </w:lvl>
    <w:lvl w:ilvl="6" w:tplc="98405556">
      <w:start w:val="1"/>
      <w:numFmt w:val="bullet"/>
      <w:lvlText w:val=""/>
      <w:lvlJc w:val="left"/>
      <w:pPr>
        <w:ind w:left="5040" w:hanging="360"/>
      </w:pPr>
      <w:rPr>
        <w:rFonts w:ascii="Symbol" w:hAnsi="Symbol" w:hint="default"/>
      </w:rPr>
    </w:lvl>
    <w:lvl w:ilvl="7" w:tplc="3CB44896">
      <w:start w:val="1"/>
      <w:numFmt w:val="bullet"/>
      <w:lvlText w:val="o"/>
      <w:lvlJc w:val="left"/>
      <w:pPr>
        <w:ind w:left="5760" w:hanging="360"/>
      </w:pPr>
      <w:rPr>
        <w:rFonts w:ascii="Courier New" w:hAnsi="Courier New" w:hint="default"/>
      </w:rPr>
    </w:lvl>
    <w:lvl w:ilvl="8" w:tplc="272C4D58">
      <w:start w:val="1"/>
      <w:numFmt w:val="bullet"/>
      <w:lvlText w:val=""/>
      <w:lvlJc w:val="left"/>
      <w:pPr>
        <w:ind w:left="6480" w:hanging="360"/>
      </w:pPr>
      <w:rPr>
        <w:rFonts w:ascii="Wingdings" w:hAnsi="Wingdings" w:hint="default"/>
      </w:rPr>
    </w:lvl>
  </w:abstractNum>
  <w:abstractNum w:abstractNumId="55" w15:restartNumberingAfterBreak="0">
    <w:nsid w:val="6263411A"/>
    <w:multiLevelType w:val="hybridMultilevel"/>
    <w:tmpl w:val="9C8629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6" w15:restartNumberingAfterBreak="0">
    <w:nsid w:val="65B8111B"/>
    <w:multiLevelType w:val="hybridMultilevel"/>
    <w:tmpl w:val="83165916"/>
    <w:lvl w:ilvl="0" w:tplc="874CDF42">
      <w:start w:val="1"/>
      <w:numFmt w:val="bullet"/>
      <w:lvlText w:val="-"/>
      <w:lvlJc w:val="left"/>
      <w:pPr>
        <w:ind w:left="1080" w:hanging="360"/>
      </w:pPr>
      <w:rPr>
        <w:rFonts w:ascii="Calibri" w:eastAsia="Calibri" w:hAnsi="Calibri" w:cs="Calibri"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57" w15:restartNumberingAfterBreak="0">
    <w:nsid w:val="67531A74"/>
    <w:multiLevelType w:val="hybridMultilevel"/>
    <w:tmpl w:val="3A1A65C4"/>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8" w15:restartNumberingAfterBreak="0">
    <w:nsid w:val="6D24832A"/>
    <w:multiLevelType w:val="hybridMultilevel"/>
    <w:tmpl w:val="FE0CC7BE"/>
    <w:lvl w:ilvl="0" w:tplc="368C05A8">
      <w:start w:val="1"/>
      <w:numFmt w:val="bullet"/>
      <w:lvlText w:val="·"/>
      <w:lvlJc w:val="left"/>
      <w:pPr>
        <w:ind w:left="720" w:hanging="360"/>
      </w:pPr>
      <w:rPr>
        <w:rFonts w:ascii="Symbol" w:hAnsi="Symbol" w:hint="default"/>
      </w:rPr>
    </w:lvl>
    <w:lvl w:ilvl="1" w:tplc="36CA6508">
      <w:start w:val="1"/>
      <w:numFmt w:val="bullet"/>
      <w:lvlText w:val="o"/>
      <w:lvlJc w:val="left"/>
      <w:pPr>
        <w:ind w:left="1440" w:hanging="360"/>
      </w:pPr>
      <w:rPr>
        <w:rFonts w:ascii="Courier New" w:hAnsi="Courier New" w:hint="default"/>
      </w:rPr>
    </w:lvl>
    <w:lvl w:ilvl="2" w:tplc="7FA67FB6">
      <w:start w:val="1"/>
      <w:numFmt w:val="bullet"/>
      <w:lvlText w:val=""/>
      <w:lvlJc w:val="left"/>
      <w:pPr>
        <w:ind w:left="2160" w:hanging="360"/>
      </w:pPr>
      <w:rPr>
        <w:rFonts w:ascii="Wingdings" w:hAnsi="Wingdings" w:hint="default"/>
      </w:rPr>
    </w:lvl>
    <w:lvl w:ilvl="3" w:tplc="0F02251A">
      <w:start w:val="1"/>
      <w:numFmt w:val="bullet"/>
      <w:lvlText w:val=""/>
      <w:lvlJc w:val="left"/>
      <w:pPr>
        <w:ind w:left="2880" w:hanging="360"/>
      </w:pPr>
      <w:rPr>
        <w:rFonts w:ascii="Symbol" w:hAnsi="Symbol" w:hint="default"/>
      </w:rPr>
    </w:lvl>
    <w:lvl w:ilvl="4" w:tplc="BEFAFE26">
      <w:start w:val="1"/>
      <w:numFmt w:val="bullet"/>
      <w:lvlText w:val="o"/>
      <w:lvlJc w:val="left"/>
      <w:pPr>
        <w:ind w:left="3600" w:hanging="360"/>
      </w:pPr>
      <w:rPr>
        <w:rFonts w:ascii="Courier New" w:hAnsi="Courier New" w:hint="default"/>
      </w:rPr>
    </w:lvl>
    <w:lvl w:ilvl="5" w:tplc="B3D46156">
      <w:start w:val="1"/>
      <w:numFmt w:val="bullet"/>
      <w:lvlText w:val=""/>
      <w:lvlJc w:val="left"/>
      <w:pPr>
        <w:ind w:left="4320" w:hanging="360"/>
      </w:pPr>
      <w:rPr>
        <w:rFonts w:ascii="Wingdings" w:hAnsi="Wingdings" w:hint="default"/>
      </w:rPr>
    </w:lvl>
    <w:lvl w:ilvl="6" w:tplc="BCB02586">
      <w:start w:val="1"/>
      <w:numFmt w:val="bullet"/>
      <w:lvlText w:val=""/>
      <w:lvlJc w:val="left"/>
      <w:pPr>
        <w:ind w:left="5040" w:hanging="360"/>
      </w:pPr>
      <w:rPr>
        <w:rFonts w:ascii="Symbol" w:hAnsi="Symbol" w:hint="default"/>
      </w:rPr>
    </w:lvl>
    <w:lvl w:ilvl="7" w:tplc="C9AC46D8">
      <w:start w:val="1"/>
      <w:numFmt w:val="bullet"/>
      <w:lvlText w:val="o"/>
      <w:lvlJc w:val="left"/>
      <w:pPr>
        <w:ind w:left="5760" w:hanging="360"/>
      </w:pPr>
      <w:rPr>
        <w:rFonts w:ascii="Courier New" w:hAnsi="Courier New" w:hint="default"/>
      </w:rPr>
    </w:lvl>
    <w:lvl w:ilvl="8" w:tplc="3160BB3C">
      <w:start w:val="1"/>
      <w:numFmt w:val="bullet"/>
      <w:lvlText w:val=""/>
      <w:lvlJc w:val="left"/>
      <w:pPr>
        <w:ind w:left="6480" w:hanging="360"/>
      </w:pPr>
      <w:rPr>
        <w:rFonts w:ascii="Wingdings" w:hAnsi="Wingdings" w:hint="default"/>
      </w:rPr>
    </w:lvl>
  </w:abstractNum>
  <w:abstractNum w:abstractNumId="59" w15:restartNumberingAfterBreak="0">
    <w:nsid w:val="6F852277"/>
    <w:multiLevelType w:val="hybridMultilevel"/>
    <w:tmpl w:val="89DC286C"/>
    <w:lvl w:ilvl="0" w:tplc="5B009D2E">
      <w:start w:val="2"/>
      <w:numFmt w:val="bullet"/>
      <w:lvlText w:val="-"/>
      <w:lvlJc w:val="left"/>
      <w:pPr>
        <w:ind w:left="1080" w:hanging="360"/>
      </w:pPr>
      <w:rPr>
        <w:rFonts w:ascii="Aptos" w:eastAsia="Aptos" w:hAnsi="Apto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0" w15:restartNumberingAfterBreak="0">
    <w:nsid w:val="7028C21A"/>
    <w:multiLevelType w:val="hybridMultilevel"/>
    <w:tmpl w:val="FAC4FDE8"/>
    <w:lvl w:ilvl="0" w:tplc="45B6C7D6">
      <w:start w:val="1"/>
      <w:numFmt w:val="bullet"/>
      <w:lvlText w:val=""/>
      <w:lvlJc w:val="left"/>
      <w:pPr>
        <w:ind w:left="720" w:hanging="360"/>
      </w:pPr>
      <w:rPr>
        <w:rFonts w:ascii="Symbol" w:hAnsi="Symbol" w:hint="default"/>
      </w:rPr>
    </w:lvl>
    <w:lvl w:ilvl="1" w:tplc="FF94556A">
      <w:start w:val="1"/>
      <w:numFmt w:val="bullet"/>
      <w:lvlText w:val="o"/>
      <w:lvlJc w:val="left"/>
      <w:pPr>
        <w:ind w:left="1440" w:hanging="360"/>
      </w:pPr>
      <w:rPr>
        <w:rFonts w:ascii="Courier New" w:hAnsi="Courier New" w:hint="default"/>
      </w:rPr>
    </w:lvl>
    <w:lvl w:ilvl="2" w:tplc="4B8C8BCE">
      <w:start w:val="1"/>
      <w:numFmt w:val="bullet"/>
      <w:lvlText w:val=""/>
      <w:lvlJc w:val="left"/>
      <w:pPr>
        <w:ind w:left="2160" w:hanging="360"/>
      </w:pPr>
      <w:rPr>
        <w:rFonts w:ascii="Wingdings" w:hAnsi="Wingdings" w:hint="default"/>
      </w:rPr>
    </w:lvl>
    <w:lvl w:ilvl="3" w:tplc="E076AA28">
      <w:start w:val="1"/>
      <w:numFmt w:val="bullet"/>
      <w:lvlText w:val=""/>
      <w:lvlJc w:val="left"/>
      <w:pPr>
        <w:ind w:left="2880" w:hanging="360"/>
      </w:pPr>
      <w:rPr>
        <w:rFonts w:ascii="Symbol" w:hAnsi="Symbol" w:hint="default"/>
      </w:rPr>
    </w:lvl>
    <w:lvl w:ilvl="4" w:tplc="53A4419A">
      <w:start w:val="1"/>
      <w:numFmt w:val="bullet"/>
      <w:lvlText w:val="o"/>
      <w:lvlJc w:val="left"/>
      <w:pPr>
        <w:ind w:left="3600" w:hanging="360"/>
      </w:pPr>
      <w:rPr>
        <w:rFonts w:ascii="Courier New" w:hAnsi="Courier New" w:hint="default"/>
      </w:rPr>
    </w:lvl>
    <w:lvl w:ilvl="5" w:tplc="FF74A136">
      <w:start w:val="1"/>
      <w:numFmt w:val="bullet"/>
      <w:lvlText w:val=""/>
      <w:lvlJc w:val="left"/>
      <w:pPr>
        <w:ind w:left="4320" w:hanging="360"/>
      </w:pPr>
      <w:rPr>
        <w:rFonts w:ascii="Wingdings" w:hAnsi="Wingdings" w:hint="default"/>
      </w:rPr>
    </w:lvl>
    <w:lvl w:ilvl="6" w:tplc="425C4E56">
      <w:start w:val="1"/>
      <w:numFmt w:val="bullet"/>
      <w:lvlText w:val=""/>
      <w:lvlJc w:val="left"/>
      <w:pPr>
        <w:ind w:left="5040" w:hanging="360"/>
      </w:pPr>
      <w:rPr>
        <w:rFonts w:ascii="Symbol" w:hAnsi="Symbol" w:hint="default"/>
      </w:rPr>
    </w:lvl>
    <w:lvl w:ilvl="7" w:tplc="ADAE900A">
      <w:start w:val="1"/>
      <w:numFmt w:val="bullet"/>
      <w:lvlText w:val="o"/>
      <w:lvlJc w:val="left"/>
      <w:pPr>
        <w:ind w:left="5760" w:hanging="360"/>
      </w:pPr>
      <w:rPr>
        <w:rFonts w:ascii="Courier New" w:hAnsi="Courier New" w:hint="default"/>
      </w:rPr>
    </w:lvl>
    <w:lvl w:ilvl="8" w:tplc="6016C9BC">
      <w:start w:val="1"/>
      <w:numFmt w:val="bullet"/>
      <w:lvlText w:val=""/>
      <w:lvlJc w:val="left"/>
      <w:pPr>
        <w:ind w:left="6480" w:hanging="360"/>
      </w:pPr>
      <w:rPr>
        <w:rFonts w:ascii="Wingdings" w:hAnsi="Wingdings" w:hint="default"/>
      </w:rPr>
    </w:lvl>
  </w:abstractNum>
  <w:abstractNum w:abstractNumId="61" w15:restartNumberingAfterBreak="0">
    <w:nsid w:val="74954C19"/>
    <w:multiLevelType w:val="multilevel"/>
    <w:tmpl w:val="482AD95E"/>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2" w15:restartNumberingAfterBreak="0">
    <w:nsid w:val="76491D28"/>
    <w:multiLevelType w:val="hybridMultilevel"/>
    <w:tmpl w:val="82BE4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83132DF"/>
    <w:multiLevelType w:val="hybridMultilevel"/>
    <w:tmpl w:val="868C09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4" w15:restartNumberingAfterBreak="0">
    <w:nsid w:val="784D6D5D"/>
    <w:multiLevelType w:val="hybridMultilevel"/>
    <w:tmpl w:val="81761B32"/>
    <w:lvl w:ilvl="0" w:tplc="D38428A0">
      <w:numFmt w:val="none"/>
      <w:lvlText w:val=""/>
      <w:lvlJc w:val="left"/>
      <w:pPr>
        <w:tabs>
          <w:tab w:val="num" w:pos="360"/>
        </w:tabs>
      </w:pPr>
    </w:lvl>
    <w:lvl w:ilvl="1" w:tplc="D36460CC">
      <w:start w:val="1"/>
      <w:numFmt w:val="lowerLetter"/>
      <w:lvlText w:val="%2."/>
      <w:lvlJc w:val="left"/>
      <w:pPr>
        <w:ind w:left="1440" w:hanging="360"/>
      </w:pPr>
    </w:lvl>
    <w:lvl w:ilvl="2" w:tplc="00F876DA">
      <w:start w:val="1"/>
      <w:numFmt w:val="lowerRoman"/>
      <w:lvlText w:val="%3."/>
      <w:lvlJc w:val="right"/>
      <w:pPr>
        <w:ind w:left="2160" w:hanging="180"/>
      </w:pPr>
    </w:lvl>
    <w:lvl w:ilvl="3" w:tplc="F4A2A93C">
      <w:start w:val="1"/>
      <w:numFmt w:val="decimal"/>
      <w:lvlText w:val="%4."/>
      <w:lvlJc w:val="left"/>
      <w:pPr>
        <w:ind w:left="2880" w:hanging="360"/>
      </w:pPr>
    </w:lvl>
    <w:lvl w:ilvl="4" w:tplc="1366B08E">
      <w:start w:val="1"/>
      <w:numFmt w:val="lowerLetter"/>
      <w:lvlText w:val="%5."/>
      <w:lvlJc w:val="left"/>
      <w:pPr>
        <w:ind w:left="3600" w:hanging="360"/>
      </w:pPr>
    </w:lvl>
    <w:lvl w:ilvl="5" w:tplc="AD8ED516">
      <w:start w:val="1"/>
      <w:numFmt w:val="lowerRoman"/>
      <w:lvlText w:val="%6."/>
      <w:lvlJc w:val="right"/>
      <w:pPr>
        <w:ind w:left="4320" w:hanging="180"/>
      </w:pPr>
    </w:lvl>
    <w:lvl w:ilvl="6" w:tplc="306631F2">
      <w:start w:val="1"/>
      <w:numFmt w:val="decimal"/>
      <w:lvlText w:val="%7."/>
      <w:lvlJc w:val="left"/>
      <w:pPr>
        <w:ind w:left="5040" w:hanging="360"/>
      </w:pPr>
    </w:lvl>
    <w:lvl w:ilvl="7" w:tplc="64AEECD4">
      <w:start w:val="1"/>
      <w:numFmt w:val="lowerLetter"/>
      <w:lvlText w:val="%8."/>
      <w:lvlJc w:val="left"/>
      <w:pPr>
        <w:ind w:left="5760" w:hanging="360"/>
      </w:pPr>
    </w:lvl>
    <w:lvl w:ilvl="8" w:tplc="0186B208">
      <w:start w:val="1"/>
      <w:numFmt w:val="lowerRoman"/>
      <w:lvlText w:val="%9."/>
      <w:lvlJc w:val="right"/>
      <w:pPr>
        <w:ind w:left="6480" w:hanging="180"/>
      </w:pPr>
    </w:lvl>
  </w:abstractNum>
  <w:abstractNum w:abstractNumId="65" w15:restartNumberingAfterBreak="0">
    <w:nsid w:val="795D3ACD"/>
    <w:multiLevelType w:val="hybridMultilevel"/>
    <w:tmpl w:val="04AECA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6" w15:restartNumberingAfterBreak="0">
    <w:nsid w:val="79975DA1"/>
    <w:multiLevelType w:val="hybridMultilevel"/>
    <w:tmpl w:val="762E4276"/>
    <w:lvl w:ilvl="0" w:tplc="0902F4A6">
      <w:start w:val="1"/>
      <w:numFmt w:val="bullet"/>
      <w:lvlText w:val="·"/>
      <w:lvlJc w:val="left"/>
      <w:pPr>
        <w:ind w:left="720" w:hanging="360"/>
      </w:pPr>
      <w:rPr>
        <w:rFonts w:ascii="Symbol" w:hAnsi="Symbol" w:hint="default"/>
      </w:rPr>
    </w:lvl>
    <w:lvl w:ilvl="1" w:tplc="08F28374">
      <w:start w:val="1"/>
      <w:numFmt w:val="bullet"/>
      <w:lvlText w:val="o"/>
      <w:lvlJc w:val="left"/>
      <w:pPr>
        <w:ind w:left="1440" w:hanging="360"/>
      </w:pPr>
      <w:rPr>
        <w:rFonts w:ascii="Courier New" w:hAnsi="Courier New" w:hint="default"/>
      </w:rPr>
    </w:lvl>
    <w:lvl w:ilvl="2" w:tplc="89C485C2">
      <w:start w:val="1"/>
      <w:numFmt w:val="bullet"/>
      <w:lvlText w:val=""/>
      <w:lvlJc w:val="left"/>
      <w:pPr>
        <w:ind w:left="2160" w:hanging="360"/>
      </w:pPr>
      <w:rPr>
        <w:rFonts w:ascii="Wingdings" w:hAnsi="Wingdings" w:hint="default"/>
      </w:rPr>
    </w:lvl>
    <w:lvl w:ilvl="3" w:tplc="052EFBA2">
      <w:start w:val="1"/>
      <w:numFmt w:val="bullet"/>
      <w:lvlText w:val=""/>
      <w:lvlJc w:val="left"/>
      <w:pPr>
        <w:ind w:left="2880" w:hanging="360"/>
      </w:pPr>
      <w:rPr>
        <w:rFonts w:ascii="Symbol" w:hAnsi="Symbol" w:hint="default"/>
      </w:rPr>
    </w:lvl>
    <w:lvl w:ilvl="4" w:tplc="3216BBD0">
      <w:start w:val="1"/>
      <w:numFmt w:val="bullet"/>
      <w:lvlText w:val="o"/>
      <w:lvlJc w:val="left"/>
      <w:pPr>
        <w:ind w:left="3600" w:hanging="360"/>
      </w:pPr>
      <w:rPr>
        <w:rFonts w:ascii="Courier New" w:hAnsi="Courier New" w:hint="default"/>
      </w:rPr>
    </w:lvl>
    <w:lvl w:ilvl="5" w:tplc="A5E004B0">
      <w:start w:val="1"/>
      <w:numFmt w:val="bullet"/>
      <w:lvlText w:val=""/>
      <w:lvlJc w:val="left"/>
      <w:pPr>
        <w:ind w:left="4320" w:hanging="360"/>
      </w:pPr>
      <w:rPr>
        <w:rFonts w:ascii="Wingdings" w:hAnsi="Wingdings" w:hint="default"/>
      </w:rPr>
    </w:lvl>
    <w:lvl w:ilvl="6" w:tplc="1124D14A">
      <w:start w:val="1"/>
      <w:numFmt w:val="bullet"/>
      <w:lvlText w:val=""/>
      <w:lvlJc w:val="left"/>
      <w:pPr>
        <w:ind w:left="5040" w:hanging="360"/>
      </w:pPr>
      <w:rPr>
        <w:rFonts w:ascii="Symbol" w:hAnsi="Symbol" w:hint="default"/>
      </w:rPr>
    </w:lvl>
    <w:lvl w:ilvl="7" w:tplc="7B6EBEA4">
      <w:start w:val="1"/>
      <w:numFmt w:val="bullet"/>
      <w:lvlText w:val="o"/>
      <w:lvlJc w:val="left"/>
      <w:pPr>
        <w:ind w:left="5760" w:hanging="360"/>
      </w:pPr>
      <w:rPr>
        <w:rFonts w:ascii="Courier New" w:hAnsi="Courier New" w:hint="default"/>
      </w:rPr>
    </w:lvl>
    <w:lvl w:ilvl="8" w:tplc="2E76B868">
      <w:start w:val="1"/>
      <w:numFmt w:val="bullet"/>
      <w:lvlText w:val=""/>
      <w:lvlJc w:val="left"/>
      <w:pPr>
        <w:ind w:left="6480" w:hanging="360"/>
      </w:pPr>
      <w:rPr>
        <w:rFonts w:ascii="Wingdings" w:hAnsi="Wingdings" w:hint="default"/>
      </w:rPr>
    </w:lvl>
  </w:abstractNum>
  <w:abstractNum w:abstractNumId="67" w15:restartNumberingAfterBreak="0">
    <w:nsid w:val="7FFE0871"/>
    <w:multiLevelType w:val="hybridMultilevel"/>
    <w:tmpl w:val="077806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60"/>
  </w:num>
  <w:num w:numId="2">
    <w:abstractNumId w:val="15"/>
  </w:num>
  <w:num w:numId="3">
    <w:abstractNumId w:val="2"/>
  </w:num>
  <w:num w:numId="4">
    <w:abstractNumId w:val="48"/>
  </w:num>
  <w:num w:numId="5">
    <w:abstractNumId w:val="39"/>
  </w:num>
  <w:num w:numId="6">
    <w:abstractNumId w:val="13"/>
  </w:num>
  <w:num w:numId="7">
    <w:abstractNumId w:val="34"/>
  </w:num>
  <w:num w:numId="8">
    <w:abstractNumId w:val="16"/>
  </w:num>
  <w:num w:numId="9">
    <w:abstractNumId w:val="46"/>
  </w:num>
  <w:num w:numId="10">
    <w:abstractNumId w:val="36"/>
  </w:num>
  <w:num w:numId="11">
    <w:abstractNumId w:val="28"/>
  </w:num>
  <w:num w:numId="12">
    <w:abstractNumId w:val="66"/>
  </w:num>
  <w:num w:numId="13">
    <w:abstractNumId w:val="58"/>
  </w:num>
  <w:num w:numId="14">
    <w:abstractNumId w:val="22"/>
  </w:num>
  <w:num w:numId="15">
    <w:abstractNumId w:val="54"/>
  </w:num>
  <w:num w:numId="16">
    <w:abstractNumId w:val="1"/>
  </w:num>
  <w:num w:numId="17">
    <w:abstractNumId w:val="33"/>
  </w:num>
  <w:num w:numId="18">
    <w:abstractNumId w:val="4"/>
  </w:num>
  <w:num w:numId="19">
    <w:abstractNumId w:val="25"/>
  </w:num>
  <w:num w:numId="20">
    <w:abstractNumId w:val="11"/>
  </w:num>
  <w:num w:numId="21">
    <w:abstractNumId w:val="45"/>
  </w:num>
  <w:num w:numId="22">
    <w:abstractNumId w:val="52"/>
  </w:num>
  <w:num w:numId="23">
    <w:abstractNumId w:val="7"/>
  </w:num>
  <w:num w:numId="24">
    <w:abstractNumId w:val="8"/>
  </w:num>
  <w:num w:numId="25">
    <w:abstractNumId w:val="64"/>
  </w:num>
  <w:num w:numId="26">
    <w:abstractNumId w:val="65"/>
  </w:num>
  <w:num w:numId="27">
    <w:abstractNumId w:val="23"/>
  </w:num>
  <w:num w:numId="28">
    <w:abstractNumId w:val="20"/>
  </w:num>
  <w:num w:numId="29">
    <w:abstractNumId w:val="67"/>
  </w:num>
  <w:num w:numId="30">
    <w:abstractNumId w:val="44"/>
  </w:num>
  <w:num w:numId="31">
    <w:abstractNumId w:val="62"/>
  </w:num>
  <w:num w:numId="32">
    <w:abstractNumId w:val="9"/>
  </w:num>
  <w:num w:numId="33">
    <w:abstractNumId w:val="3"/>
  </w:num>
  <w:num w:numId="34">
    <w:abstractNumId w:val="42"/>
  </w:num>
  <w:num w:numId="35">
    <w:abstractNumId w:val="18"/>
  </w:num>
  <w:num w:numId="36">
    <w:abstractNumId w:val="17"/>
  </w:num>
  <w:num w:numId="37">
    <w:abstractNumId w:val="30"/>
  </w:num>
  <w:num w:numId="38">
    <w:abstractNumId w:val="10"/>
  </w:num>
  <w:num w:numId="39">
    <w:abstractNumId w:val="32"/>
  </w:num>
  <w:num w:numId="40">
    <w:abstractNumId w:val="61"/>
  </w:num>
  <w:num w:numId="41">
    <w:abstractNumId w:val="49"/>
  </w:num>
  <w:num w:numId="42">
    <w:abstractNumId w:val="26"/>
  </w:num>
  <w:num w:numId="43">
    <w:abstractNumId w:val="55"/>
  </w:num>
  <w:num w:numId="44">
    <w:abstractNumId w:val="35"/>
  </w:num>
  <w:num w:numId="45">
    <w:abstractNumId w:val="63"/>
  </w:num>
  <w:num w:numId="46">
    <w:abstractNumId w:val="51"/>
  </w:num>
  <w:num w:numId="47">
    <w:abstractNumId w:val="19"/>
  </w:num>
  <w:num w:numId="48">
    <w:abstractNumId w:val="38"/>
  </w:num>
  <w:num w:numId="49">
    <w:abstractNumId w:val="40"/>
  </w:num>
  <w:num w:numId="50">
    <w:abstractNumId w:val="50"/>
  </w:num>
  <w:num w:numId="51">
    <w:abstractNumId w:val="41"/>
  </w:num>
  <w:num w:numId="52">
    <w:abstractNumId w:val="27"/>
  </w:num>
  <w:num w:numId="53">
    <w:abstractNumId w:val="24"/>
  </w:num>
  <w:num w:numId="54">
    <w:abstractNumId w:val="14"/>
  </w:num>
  <w:num w:numId="55">
    <w:abstractNumId w:val="43"/>
  </w:num>
  <w:num w:numId="56">
    <w:abstractNumId w:val="12"/>
  </w:num>
  <w:num w:numId="57">
    <w:abstractNumId w:val="29"/>
  </w:num>
  <w:num w:numId="58">
    <w:abstractNumId w:val="37"/>
  </w:num>
  <w:num w:numId="59">
    <w:abstractNumId w:val="53"/>
  </w:num>
  <w:num w:numId="60">
    <w:abstractNumId w:val="56"/>
  </w:num>
  <w:num w:numId="61">
    <w:abstractNumId w:val="6"/>
  </w:num>
  <w:num w:numId="62">
    <w:abstractNumId w:val="0"/>
  </w:num>
  <w:num w:numId="63">
    <w:abstractNumId w:val="57"/>
  </w:num>
  <w:num w:numId="64">
    <w:abstractNumId w:val="31"/>
  </w:num>
  <w:num w:numId="65">
    <w:abstractNumId w:val="21"/>
  </w:num>
  <w:num w:numId="66">
    <w:abstractNumId w:val="47"/>
  </w:num>
  <w:num w:numId="67">
    <w:abstractNumId w:val="59"/>
  </w:num>
  <w:num w:numId="68">
    <w:abstractNumId w:val="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ctiveWritingStyle w:appName="MSWord" w:lang="en-US" w:vendorID="64" w:dllVersion="0" w:nlCheck="1" w:checkStyle="0"/>
  <w:activeWritingStyle w:appName="MSWord" w:lang="en-IE" w:vendorID="64" w:dllVersion="0" w:nlCheck="1" w:checkStyle="0"/>
  <w:activeWritingStyle w:appName="MSWord" w:lang="en-GB" w:vendorID="64" w:dllVersion="0" w:nlCheck="1" w:checkStyle="0"/>
  <w:activeWritingStyle w:appName="MSWord" w:lang="de-DE" w:vendorID="64" w:dllVersion="0" w:nlCheck="1" w:checkStyle="0"/>
  <w:activeWritingStyle w:appName="MSWord" w:lang="fr-BE" w:vendorID="64" w:dllVersion="0" w:nlCheck="1" w:checkStyle="0"/>
  <w:activeWritingStyle w:appName="MSWord" w:lang="fr-FR" w:vendorID="64" w:dllVersion="0" w:nlCheck="1" w:checkStyle="0"/>
  <w:activeWritingStyle w:appName="MSWord" w:lang="nl-NL" w:vendorID="64" w:dllVersion="0" w:nlCheck="1" w:checkStyle="0"/>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2"/>
  </w:compat>
  <w:docVars>
    <w:docVar w:name="DocStatus" w:val="Green"/>
    <w:docVar w:name="LW_CORRIGENDUM" w:val="&lt;UNUSED&gt;"/>
    <w:docVar w:name="LW_COVERPAGE_EXISTS" w:val="True"/>
    <w:docVar w:name="LW_COVERPAGE_GUID" w:val="9C415C52-E6F2-46FE-A20F-F60B7E503543"/>
    <w:docVar w:name="LW_COVERPAGE_TYPE" w:val="1"/>
    <w:docVar w:name="LW_CROSSREFERENCE" w:val="&lt;UNUSED&gt;"/>
    <w:docVar w:name="LW_DocType" w:val="NORMAL"/>
    <w:docVar w:name="LW_EMISSION" w:val="21.4.2026"/>
    <w:docVar w:name="LW_EMISSION_ISODATE" w:val="2026-04-21"/>
    <w:docVar w:name="LW_EMISSION_LOCATION" w:val="BRX"/>
    <w:docVar w:name="LW_EMISSION_PREFIX" w:val="Brussel, "/>
    <w:docVar w:name="LW_EMISSION_SUFFIX" w:val=" "/>
    <w:docVar w:name="LW_ID_DOCTYPE_NONLW" w:val="CP-006"/>
    <w:docVar w:name="LW_LANGUE" w:val="NL"/>
    <w:docVar w:name="LW_LEVEL_OF_SENSITIVITY" w:val="Standard treatment"/>
    <w:docVar w:name="LW_NOM.INST" w:val="EUROPESE COMMISSIE"/>
    <w:docVar w:name="LW_NOM.INST_JOINTDOC" w:val="&lt;EMPTY&gt;"/>
    <w:docVar w:name="LW_PART_NBR" w:val="1"/>
    <w:docVar w:name="LW_PART_NBR_TOTAL" w:val="1"/>
    <w:docVar w:name="LW_REF.INST.NEW" w:val="COM"/>
    <w:docVar w:name="LW_REF.INST.NEW_ADOPTED" w:val="final"/>
    <w:docVar w:name="LW_REF.INST.NEW_TEXT" w:val="(2026) 166"/>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over de uitvoering en toepassing van de handels- en samenwerkingsovereenkomst tussen de Europese Unie en het Verenigd Koninkrijk van Groot-Brittannië en Noord-Ierland_x000d__x000d__x000d__x000d__x000d__x000d__x000d__x000d__x000d__x000d__x000d__x000d__x000d__x000d__x000d__x000d__x000b__x000d__x000d__x000d__x000d__x000d__x000d__x000d__x000d__x000d__x000d__x000d__x000d__x000d__x000d__x000d__x000d__x000d__x000b_1 januari \u8211? 31 december 2025"/>
    <w:docVar w:name="LW_TYPE.DOC.CP" w:val="VERSLAG VAN DE COMMISSIE AAN HET EUROPEES PARLEMENT EN DE RAAD"/>
    <w:docVar w:name="LwApiVersions" w:val="LW4CoDe 1.24.5.0; LW 9.2, Build 20251112"/>
  </w:docVars>
  <w:rsids>
    <w:rsidRoot w:val="00D54585"/>
    <w:rsid w:val="00000306"/>
    <w:rsid w:val="000007A4"/>
    <w:rsid w:val="0000104B"/>
    <w:rsid w:val="00001275"/>
    <w:rsid w:val="0000188D"/>
    <w:rsid w:val="00001891"/>
    <w:rsid w:val="00002647"/>
    <w:rsid w:val="00002B7E"/>
    <w:rsid w:val="000032CF"/>
    <w:rsid w:val="00003840"/>
    <w:rsid w:val="00003FCC"/>
    <w:rsid w:val="00004111"/>
    <w:rsid w:val="00004751"/>
    <w:rsid w:val="00004D10"/>
    <w:rsid w:val="00004D1D"/>
    <w:rsid w:val="00005207"/>
    <w:rsid w:val="00005308"/>
    <w:rsid w:val="00005C07"/>
    <w:rsid w:val="00005C6E"/>
    <w:rsid w:val="0000609D"/>
    <w:rsid w:val="000061F3"/>
    <w:rsid w:val="000065A9"/>
    <w:rsid w:val="00006788"/>
    <w:rsid w:val="00006C00"/>
    <w:rsid w:val="00006D0B"/>
    <w:rsid w:val="00007142"/>
    <w:rsid w:val="00007848"/>
    <w:rsid w:val="000079C2"/>
    <w:rsid w:val="00007E74"/>
    <w:rsid w:val="000104AB"/>
    <w:rsid w:val="00010783"/>
    <w:rsid w:val="00010BA6"/>
    <w:rsid w:val="00010E1E"/>
    <w:rsid w:val="00010E78"/>
    <w:rsid w:val="0001117E"/>
    <w:rsid w:val="00011335"/>
    <w:rsid w:val="000113C6"/>
    <w:rsid w:val="0001158A"/>
    <w:rsid w:val="000115DE"/>
    <w:rsid w:val="00011B9E"/>
    <w:rsid w:val="00012286"/>
    <w:rsid w:val="00012658"/>
    <w:rsid w:val="00012710"/>
    <w:rsid w:val="00012C9B"/>
    <w:rsid w:val="00012ECB"/>
    <w:rsid w:val="0001303C"/>
    <w:rsid w:val="0001325C"/>
    <w:rsid w:val="00013508"/>
    <w:rsid w:val="00013525"/>
    <w:rsid w:val="00013B49"/>
    <w:rsid w:val="000142C1"/>
    <w:rsid w:val="00014693"/>
    <w:rsid w:val="000146AB"/>
    <w:rsid w:val="0001481C"/>
    <w:rsid w:val="00014D1B"/>
    <w:rsid w:val="00015337"/>
    <w:rsid w:val="000153A1"/>
    <w:rsid w:val="000153E0"/>
    <w:rsid w:val="000157FF"/>
    <w:rsid w:val="0001587D"/>
    <w:rsid w:val="00015F9B"/>
    <w:rsid w:val="00016550"/>
    <w:rsid w:val="000168BD"/>
    <w:rsid w:val="00016C53"/>
    <w:rsid w:val="00016EB0"/>
    <w:rsid w:val="000175C8"/>
    <w:rsid w:val="00017D6D"/>
    <w:rsid w:val="000200F1"/>
    <w:rsid w:val="000207EE"/>
    <w:rsid w:val="00020EC8"/>
    <w:rsid w:val="000216FD"/>
    <w:rsid w:val="000217E8"/>
    <w:rsid w:val="00021B26"/>
    <w:rsid w:val="00021CAA"/>
    <w:rsid w:val="00021D74"/>
    <w:rsid w:val="00021E9C"/>
    <w:rsid w:val="00021F00"/>
    <w:rsid w:val="000223BE"/>
    <w:rsid w:val="000225AE"/>
    <w:rsid w:val="00022783"/>
    <w:rsid w:val="00022A83"/>
    <w:rsid w:val="0002324A"/>
    <w:rsid w:val="00023CFA"/>
    <w:rsid w:val="0002423B"/>
    <w:rsid w:val="00024562"/>
    <w:rsid w:val="00024752"/>
    <w:rsid w:val="00024840"/>
    <w:rsid w:val="00024AB7"/>
    <w:rsid w:val="00024D39"/>
    <w:rsid w:val="0002515A"/>
    <w:rsid w:val="00025219"/>
    <w:rsid w:val="000252E0"/>
    <w:rsid w:val="000252ED"/>
    <w:rsid w:val="00025303"/>
    <w:rsid w:val="00025795"/>
    <w:rsid w:val="00025BB9"/>
    <w:rsid w:val="000260AA"/>
    <w:rsid w:val="000261D3"/>
    <w:rsid w:val="00026471"/>
    <w:rsid w:val="00026618"/>
    <w:rsid w:val="0002672F"/>
    <w:rsid w:val="00026E9E"/>
    <w:rsid w:val="00026F98"/>
    <w:rsid w:val="000271BF"/>
    <w:rsid w:val="000271C4"/>
    <w:rsid w:val="000276CC"/>
    <w:rsid w:val="00027CD9"/>
    <w:rsid w:val="00030013"/>
    <w:rsid w:val="000301EA"/>
    <w:rsid w:val="00030347"/>
    <w:rsid w:val="00030436"/>
    <w:rsid w:val="000306F0"/>
    <w:rsid w:val="00030988"/>
    <w:rsid w:val="00030E17"/>
    <w:rsid w:val="00031009"/>
    <w:rsid w:val="000310FD"/>
    <w:rsid w:val="00031464"/>
    <w:rsid w:val="00031830"/>
    <w:rsid w:val="00032120"/>
    <w:rsid w:val="000322C0"/>
    <w:rsid w:val="0003247B"/>
    <w:rsid w:val="000325EE"/>
    <w:rsid w:val="00033010"/>
    <w:rsid w:val="00033520"/>
    <w:rsid w:val="000335E7"/>
    <w:rsid w:val="000338D6"/>
    <w:rsid w:val="00033C0A"/>
    <w:rsid w:val="00033C13"/>
    <w:rsid w:val="0003427B"/>
    <w:rsid w:val="0003431F"/>
    <w:rsid w:val="00034447"/>
    <w:rsid w:val="000344EF"/>
    <w:rsid w:val="00034714"/>
    <w:rsid w:val="00034BAF"/>
    <w:rsid w:val="00034D82"/>
    <w:rsid w:val="000352A1"/>
    <w:rsid w:val="00035DDE"/>
    <w:rsid w:val="00035F8D"/>
    <w:rsid w:val="000361B5"/>
    <w:rsid w:val="00036505"/>
    <w:rsid w:val="000368B4"/>
    <w:rsid w:val="00036B14"/>
    <w:rsid w:val="00036B1B"/>
    <w:rsid w:val="00036B52"/>
    <w:rsid w:val="00037256"/>
    <w:rsid w:val="00037355"/>
    <w:rsid w:val="000379C6"/>
    <w:rsid w:val="00037D7B"/>
    <w:rsid w:val="00040337"/>
    <w:rsid w:val="000403C9"/>
    <w:rsid w:val="00040621"/>
    <w:rsid w:val="00040652"/>
    <w:rsid w:val="00040729"/>
    <w:rsid w:val="0004079B"/>
    <w:rsid w:val="00040810"/>
    <w:rsid w:val="0004094C"/>
    <w:rsid w:val="00040B22"/>
    <w:rsid w:val="0004105D"/>
    <w:rsid w:val="0004124E"/>
    <w:rsid w:val="0004141C"/>
    <w:rsid w:val="00041423"/>
    <w:rsid w:val="00041741"/>
    <w:rsid w:val="00041BE4"/>
    <w:rsid w:val="00041BEA"/>
    <w:rsid w:val="00041C04"/>
    <w:rsid w:val="00041C0E"/>
    <w:rsid w:val="00041C4F"/>
    <w:rsid w:val="00041CF6"/>
    <w:rsid w:val="00041EA1"/>
    <w:rsid w:val="00042229"/>
    <w:rsid w:val="00042251"/>
    <w:rsid w:val="00042371"/>
    <w:rsid w:val="000425F8"/>
    <w:rsid w:val="0004269C"/>
    <w:rsid w:val="000427B7"/>
    <w:rsid w:val="0004321E"/>
    <w:rsid w:val="000440CE"/>
    <w:rsid w:val="000446CA"/>
    <w:rsid w:val="00044B61"/>
    <w:rsid w:val="00044D30"/>
    <w:rsid w:val="00044D5B"/>
    <w:rsid w:val="00045096"/>
    <w:rsid w:val="000450A1"/>
    <w:rsid w:val="000452FC"/>
    <w:rsid w:val="0004588D"/>
    <w:rsid w:val="000458AD"/>
    <w:rsid w:val="000459F6"/>
    <w:rsid w:val="00045C33"/>
    <w:rsid w:val="0004609E"/>
    <w:rsid w:val="00046138"/>
    <w:rsid w:val="000463D3"/>
    <w:rsid w:val="000466FE"/>
    <w:rsid w:val="00046813"/>
    <w:rsid w:val="000468D3"/>
    <w:rsid w:val="00046AFE"/>
    <w:rsid w:val="00046BC6"/>
    <w:rsid w:val="000475FA"/>
    <w:rsid w:val="00047747"/>
    <w:rsid w:val="00047A42"/>
    <w:rsid w:val="00047C4B"/>
    <w:rsid w:val="00050116"/>
    <w:rsid w:val="00050F75"/>
    <w:rsid w:val="000510E5"/>
    <w:rsid w:val="00051418"/>
    <w:rsid w:val="00052618"/>
    <w:rsid w:val="000528AB"/>
    <w:rsid w:val="0005296D"/>
    <w:rsid w:val="00052993"/>
    <w:rsid w:val="000534CE"/>
    <w:rsid w:val="000537F7"/>
    <w:rsid w:val="00053B5A"/>
    <w:rsid w:val="00053D4D"/>
    <w:rsid w:val="00053E24"/>
    <w:rsid w:val="00053F5E"/>
    <w:rsid w:val="00054215"/>
    <w:rsid w:val="000543FB"/>
    <w:rsid w:val="00054488"/>
    <w:rsid w:val="0005453F"/>
    <w:rsid w:val="00054561"/>
    <w:rsid w:val="0005470B"/>
    <w:rsid w:val="0005493B"/>
    <w:rsid w:val="00054EE6"/>
    <w:rsid w:val="00055E8F"/>
    <w:rsid w:val="00055F72"/>
    <w:rsid w:val="00055FE8"/>
    <w:rsid w:val="00056C49"/>
    <w:rsid w:val="00056CAD"/>
    <w:rsid w:val="00056E2C"/>
    <w:rsid w:val="0005708D"/>
    <w:rsid w:val="0005718A"/>
    <w:rsid w:val="0005730C"/>
    <w:rsid w:val="00057FE1"/>
    <w:rsid w:val="0006000B"/>
    <w:rsid w:val="00060274"/>
    <w:rsid w:val="00060307"/>
    <w:rsid w:val="000603BC"/>
    <w:rsid w:val="0006063C"/>
    <w:rsid w:val="00060A22"/>
    <w:rsid w:val="00061246"/>
    <w:rsid w:val="000614F7"/>
    <w:rsid w:val="00061766"/>
    <w:rsid w:val="00061B7A"/>
    <w:rsid w:val="00061C6F"/>
    <w:rsid w:val="00061E77"/>
    <w:rsid w:val="00062591"/>
    <w:rsid w:val="000625F1"/>
    <w:rsid w:val="00062E29"/>
    <w:rsid w:val="00063633"/>
    <w:rsid w:val="00063F6C"/>
    <w:rsid w:val="000642DC"/>
    <w:rsid w:val="00064305"/>
    <w:rsid w:val="00064A64"/>
    <w:rsid w:val="00064FB9"/>
    <w:rsid w:val="000651DF"/>
    <w:rsid w:val="000656A6"/>
    <w:rsid w:val="000657BD"/>
    <w:rsid w:val="000659CC"/>
    <w:rsid w:val="00065E31"/>
    <w:rsid w:val="00065F22"/>
    <w:rsid w:val="00065FFE"/>
    <w:rsid w:val="00066658"/>
    <w:rsid w:val="00066724"/>
    <w:rsid w:val="0006721F"/>
    <w:rsid w:val="00067416"/>
    <w:rsid w:val="000700A0"/>
    <w:rsid w:val="00070C32"/>
    <w:rsid w:val="000712B5"/>
    <w:rsid w:val="00071555"/>
    <w:rsid w:val="0007178A"/>
    <w:rsid w:val="00071DC2"/>
    <w:rsid w:val="00071F9F"/>
    <w:rsid w:val="0007231C"/>
    <w:rsid w:val="00072891"/>
    <w:rsid w:val="00072CA9"/>
    <w:rsid w:val="00072E05"/>
    <w:rsid w:val="00073205"/>
    <w:rsid w:val="0007344F"/>
    <w:rsid w:val="0007361D"/>
    <w:rsid w:val="00073840"/>
    <w:rsid w:val="000739A6"/>
    <w:rsid w:val="000745BC"/>
    <w:rsid w:val="000747B9"/>
    <w:rsid w:val="00074B7C"/>
    <w:rsid w:val="00074BBB"/>
    <w:rsid w:val="00075370"/>
    <w:rsid w:val="000753EA"/>
    <w:rsid w:val="000754A6"/>
    <w:rsid w:val="0007551C"/>
    <w:rsid w:val="00075D85"/>
    <w:rsid w:val="00075EB1"/>
    <w:rsid w:val="000760FB"/>
    <w:rsid w:val="00076178"/>
    <w:rsid w:val="00076B08"/>
    <w:rsid w:val="00077421"/>
    <w:rsid w:val="000776F5"/>
    <w:rsid w:val="00077B8B"/>
    <w:rsid w:val="00077D94"/>
    <w:rsid w:val="00077EE7"/>
    <w:rsid w:val="000801B6"/>
    <w:rsid w:val="00080357"/>
    <w:rsid w:val="000803FE"/>
    <w:rsid w:val="00080483"/>
    <w:rsid w:val="000809CB"/>
    <w:rsid w:val="00080A48"/>
    <w:rsid w:val="00080A58"/>
    <w:rsid w:val="00080B1D"/>
    <w:rsid w:val="00081323"/>
    <w:rsid w:val="000813C2"/>
    <w:rsid w:val="0008161B"/>
    <w:rsid w:val="00081670"/>
    <w:rsid w:val="0008185F"/>
    <w:rsid w:val="00081C8C"/>
    <w:rsid w:val="00081E8C"/>
    <w:rsid w:val="00082071"/>
    <w:rsid w:val="000824AF"/>
    <w:rsid w:val="000824B8"/>
    <w:rsid w:val="0008255D"/>
    <w:rsid w:val="00083233"/>
    <w:rsid w:val="00083380"/>
    <w:rsid w:val="00083695"/>
    <w:rsid w:val="00083ABD"/>
    <w:rsid w:val="00083B96"/>
    <w:rsid w:val="00083F72"/>
    <w:rsid w:val="00084B11"/>
    <w:rsid w:val="00084CCD"/>
    <w:rsid w:val="00085204"/>
    <w:rsid w:val="000852AA"/>
    <w:rsid w:val="0008552E"/>
    <w:rsid w:val="00085596"/>
    <w:rsid w:val="00085676"/>
    <w:rsid w:val="00085C22"/>
    <w:rsid w:val="0008616A"/>
    <w:rsid w:val="000864EC"/>
    <w:rsid w:val="000869A5"/>
    <w:rsid w:val="00086A99"/>
    <w:rsid w:val="0008713D"/>
    <w:rsid w:val="000876F0"/>
    <w:rsid w:val="00087994"/>
    <w:rsid w:val="00087F49"/>
    <w:rsid w:val="0009001D"/>
    <w:rsid w:val="00090202"/>
    <w:rsid w:val="00090274"/>
    <w:rsid w:val="00090BFB"/>
    <w:rsid w:val="00091500"/>
    <w:rsid w:val="00091644"/>
    <w:rsid w:val="00092127"/>
    <w:rsid w:val="0009252B"/>
    <w:rsid w:val="000926C2"/>
    <w:rsid w:val="0009273D"/>
    <w:rsid w:val="00092957"/>
    <w:rsid w:val="00093055"/>
    <w:rsid w:val="000933D8"/>
    <w:rsid w:val="000935CA"/>
    <w:rsid w:val="000937D0"/>
    <w:rsid w:val="00093869"/>
    <w:rsid w:val="00093A9F"/>
    <w:rsid w:val="00093EEE"/>
    <w:rsid w:val="0009414C"/>
    <w:rsid w:val="000943A9"/>
    <w:rsid w:val="00094417"/>
    <w:rsid w:val="000948FB"/>
    <w:rsid w:val="00094901"/>
    <w:rsid w:val="0009501B"/>
    <w:rsid w:val="00095415"/>
    <w:rsid w:val="00095492"/>
    <w:rsid w:val="00095B61"/>
    <w:rsid w:val="00095DBD"/>
    <w:rsid w:val="00095ED2"/>
    <w:rsid w:val="00095FFB"/>
    <w:rsid w:val="0009657C"/>
    <w:rsid w:val="00096A6A"/>
    <w:rsid w:val="00097002"/>
    <w:rsid w:val="000972FB"/>
    <w:rsid w:val="0009743D"/>
    <w:rsid w:val="000A0397"/>
    <w:rsid w:val="000A05B3"/>
    <w:rsid w:val="000A109E"/>
    <w:rsid w:val="000A1126"/>
    <w:rsid w:val="000A1275"/>
    <w:rsid w:val="000A17C2"/>
    <w:rsid w:val="000A18C9"/>
    <w:rsid w:val="000A1D08"/>
    <w:rsid w:val="000A1D39"/>
    <w:rsid w:val="000A2113"/>
    <w:rsid w:val="000A217F"/>
    <w:rsid w:val="000A2575"/>
    <w:rsid w:val="000A25DA"/>
    <w:rsid w:val="000A2BC6"/>
    <w:rsid w:val="000A2C56"/>
    <w:rsid w:val="000A2F0B"/>
    <w:rsid w:val="000A312F"/>
    <w:rsid w:val="000A3281"/>
    <w:rsid w:val="000A3B2C"/>
    <w:rsid w:val="000A3BE6"/>
    <w:rsid w:val="000A3CCE"/>
    <w:rsid w:val="000A4312"/>
    <w:rsid w:val="000A48EB"/>
    <w:rsid w:val="000A4DA5"/>
    <w:rsid w:val="000A52FA"/>
    <w:rsid w:val="000A5313"/>
    <w:rsid w:val="000A5FE4"/>
    <w:rsid w:val="000A6097"/>
    <w:rsid w:val="000A642E"/>
    <w:rsid w:val="000A681D"/>
    <w:rsid w:val="000A695E"/>
    <w:rsid w:val="000A69A5"/>
    <w:rsid w:val="000A6ECD"/>
    <w:rsid w:val="000A6EFE"/>
    <w:rsid w:val="000A70E7"/>
    <w:rsid w:val="000A7239"/>
    <w:rsid w:val="000A778C"/>
    <w:rsid w:val="000A7D53"/>
    <w:rsid w:val="000B0172"/>
    <w:rsid w:val="000B026C"/>
    <w:rsid w:val="000B0C31"/>
    <w:rsid w:val="000B0D52"/>
    <w:rsid w:val="000B1449"/>
    <w:rsid w:val="000B1C34"/>
    <w:rsid w:val="000B2193"/>
    <w:rsid w:val="000B220A"/>
    <w:rsid w:val="000B2634"/>
    <w:rsid w:val="000B27A8"/>
    <w:rsid w:val="000B2D5E"/>
    <w:rsid w:val="000B356D"/>
    <w:rsid w:val="000B3592"/>
    <w:rsid w:val="000B39A8"/>
    <w:rsid w:val="000B3C86"/>
    <w:rsid w:val="000B3E46"/>
    <w:rsid w:val="000B3F3B"/>
    <w:rsid w:val="000B3F6B"/>
    <w:rsid w:val="000B4065"/>
    <w:rsid w:val="000B421A"/>
    <w:rsid w:val="000B4318"/>
    <w:rsid w:val="000B499E"/>
    <w:rsid w:val="000B49E2"/>
    <w:rsid w:val="000B4A15"/>
    <w:rsid w:val="000B4E0D"/>
    <w:rsid w:val="000B4FE4"/>
    <w:rsid w:val="000B5394"/>
    <w:rsid w:val="000B5489"/>
    <w:rsid w:val="000B5560"/>
    <w:rsid w:val="000B5B10"/>
    <w:rsid w:val="000B5D5D"/>
    <w:rsid w:val="000B5E5F"/>
    <w:rsid w:val="000B60FF"/>
    <w:rsid w:val="000B66B1"/>
    <w:rsid w:val="000B67DF"/>
    <w:rsid w:val="000B6DC1"/>
    <w:rsid w:val="000B6DDB"/>
    <w:rsid w:val="000B6E82"/>
    <w:rsid w:val="000B7200"/>
    <w:rsid w:val="000B79E7"/>
    <w:rsid w:val="000C00B9"/>
    <w:rsid w:val="000C084C"/>
    <w:rsid w:val="000C08C4"/>
    <w:rsid w:val="000C0AA4"/>
    <w:rsid w:val="000C0E09"/>
    <w:rsid w:val="000C0FA1"/>
    <w:rsid w:val="000C117A"/>
    <w:rsid w:val="000C1229"/>
    <w:rsid w:val="000C182E"/>
    <w:rsid w:val="000C1847"/>
    <w:rsid w:val="000C2118"/>
    <w:rsid w:val="000C23FF"/>
    <w:rsid w:val="000C2500"/>
    <w:rsid w:val="000C26EB"/>
    <w:rsid w:val="000C37CF"/>
    <w:rsid w:val="000C380D"/>
    <w:rsid w:val="000C3CF9"/>
    <w:rsid w:val="000C3FBD"/>
    <w:rsid w:val="000C4554"/>
    <w:rsid w:val="000C46FA"/>
    <w:rsid w:val="000C4776"/>
    <w:rsid w:val="000C4BF7"/>
    <w:rsid w:val="000C4F88"/>
    <w:rsid w:val="000C5317"/>
    <w:rsid w:val="000C543E"/>
    <w:rsid w:val="000C5741"/>
    <w:rsid w:val="000C576B"/>
    <w:rsid w:val="000C584A"/>
    <w:rsid w:val="000C61A9"/>
    <w:rsid w:val="000C665B"/>
    <w:rsid w:val="000C6787"/>
    <w:rsid w:val="000C68EF"/>
    <w:rsid w:val="000C753C"/>
    <w:rsid w:val="000C7834"/>
    <w:rsid w:val="000C7B30"/>
    <w:rsid w:val="000C7B8F"/>
    <w:rsid w:val="000C7DBA"/>
    <w:rsid w:val="000C7E5D"/>
    <w:rsid w:val="000D0590"/>
    <w:rsid w:val="000D0591"/>
    <w:rsid w:val="000D067B"/>
    <w:rsid w:val="000D0CBC"/>
    <w:rsid w:val="000D10E3"/>
    <w:rsid w:val="000D16CB"/>
    <w:rsid w:val="000D181D"/>
    <w:rsid w:val="000D1BCC"/>
    <w:rsid w:val="000D1FDC"/>
    <w:rsid w:val="000D22CE"/>
    <w:rsid w:val="000D230E"/>
    <w:rsid w:val="000D252F"/>
    <w:rsid w:val="000D2B25"/>
    <w:rsid w:val="000D36CA"/>
    <w:rsid w:val="000D3866"/>
    <w:rsid w:val="000D399F"/>
    <w:rsid w:val="000D3C77"/>
    <w:rsid w:val="000D4735"/>
    <w:rsid w:val="000D48BF"/>
    <w:rsid w:val="000D4AC2"/>
    <w:rsid w:val="000D4D0A"/>
    <w:rsid w:val="000D4D16"/>
    <w:rsid w:val="000D4D8F"/>
    <w:rsid w:val="000D4E03"/>
    <w:rsid w:val="000D4F2F"/>
    <w:rsid w:val="000D4FD0"/>
    <w:rsid w:val="000D4FD2"/>
    <w:rsid w:val="000D5254"/>
    <w:rsid w:val="000D53D6"/>
    <w:rsid w:val="000D5AE7"/>
    <w:rsid w:val="000D5B0E"/>
    <w:rsid w:val="000D5B2C"/>
    <w:rsid w:val="000D5CA6"/>
    <w:rsid w:val="000D5D1C"/>
    <w:rsid w:val="000D6265"/>
    <w:rsid w:val="000D6294"/>
    <w:rsid w:val="000D62C4"/>
    <w:rsid w:val="000D6458"/>
    <w:rsid w:val="000D659F"/>
    <w:rsid w:val="000D6C06"/>
    <w:rsid w:val="000D6C5B"/>
    <w:rsid w:val="000D6E6D"/>
    <w:rsid w:val="000D6F6A"/>
    <w:rsid w:val="000D6FCD"/>
    <w:rsid w:val="000D75C2"/>
    <w:rsid w:val="000D770C"/>
    <w:rsid w:val="000D7DA0"/>
    <w:rsid w:val="000D7E0E"/>
    <w:rsid w:val="000E00AE"/>
    <w:rsid w:val="000E059D"/>
    <w:rsid w:val="000E07D9"/>
    <w:rsid w:val="000E07E7"/>
    <w:rsid w:val="000E087B"/>
    <w:rsid w:val="000E0BA2"/>
    <w:rsid w:val="000E0F4C"/>
    <w:rsid w:val="000E103F"/>
    <w:rsid w:val="000E1060"/>
    <w:rsid w:val="000E1761"/>
    <w:rsid w:val="000E19D8"/>
    <w:rsid w:val="000E1B56"/>
    <w:rsid w:val="000E232D"/>
    <w:rsid w:val="000E2713"/>
    <w:rsid w:val="000E2C0D"/>
    <w:rsid w:val="000E2C32"/>
    <w:rsid w:val="000E2EE7"/>
    <w:rsid w:val="000E2F49"/>
    <w:rsid w:val="000E348C"/>
    <w:rsid w:val="000E4252"/>
    <w:rsid w:val="000E4365"/>
    <w:rsid w:val="000E4497"/>
    <w:rsid w:val="000E45C7"/>
    <w:rsid w:val="000E4C12"/>
    <w:rsid w:val="000E4DBB"/>
    <w:rsid w:val="000E540B"/>
    <w:rsid w:val="000E561C"/>
    <w:rsid w:val="000E57A7"/>
    <w:rsid w:val="000E5879"/>
    <w:rsid w:val="000E59C0"/>
    <w:rsid w:val="000E5D73"/>
    <w:rsid w:val="000E634D"/>
    <w:rsid w:val="000E6483"/>
    <w:rsid w:val="000E666C"/>
    <w:rsid w:val="000E66E3"/>
    <w:rsid w:val="000E692A"/>
    <w:rsid w:val="000E6A39"/>
    <w:rsid w:val="000E6D17"/>
    <w:rsid w:val="000E7215"/>
    <w:rsid w:val="000E7BB3"/>
    <w:rsid w:val="000F02F1"/>
    <w:rsid w:val="000F066D"/>
    <w:rsid w:val="000F0B07"/>
    <w:rsid w:val="000F0F22"/>
    <w:rsid w:val="000F10AD"/>
    <w:rsid w:val="000F11B6"/>
    <w:rsid w:val="000F11D5"/>
    <w:rsid w:val="000F123D"/>
    <w:rsid w:val="000F207C"/>
    <w:rsid w:val="000F2628"/>
    <w:rsid w:val="000F2954"/>
    <w:rsid w:val="000F2F21"/>
    <w:rsid w:val="000F309F"/>
    <w:rsid w:val="000F3284"/>
    <w:rsid w:val="000F3431"/>
    <w:rsid w:val="000F370C"/>
    <w:rsid w:val="000F4090"/>
    <w:rsid w:val="000F4487"/>
    <w:rsid w:val="000F47FF"/>
    <w:rsid w:val="000F4AD7"/>
    <w:rsid w:val="000F4B62"/>
    <w:rsid w:val="000F4C0B"/>
    <w:rsid w:val="000F4C4F"/>
    <w:rsid w:val="000F4E35"/>
    <w:rsid w:val="000F4FB7"/>
    <w:rsid w:val="000F52BD"/>
    <w:rsid w:val="000F5876"/>
    <w:rsid w:val="000F5D2D"/>
    <w:rsid w:val="000F5D51"/>
    <w:rsid w:val="000F6245"/>
    <w:rsid w:val="000F643C"/>
    <w:rsid w:val="000F64C5"/>
    <w:rsid w:val="000F7230"/>
    <w:rsid w:val="000F757A"/>
    <w:rsid w:val="000F7A1F"/>
    <w:rsid w:val="000F7BFF"/>
    <w:rsid w:val="0010013B"/>
    <w:rsid w:val="0010078B"/>
    <w:rsid w:val="001009B7"/>
    <w:rsid w:val="00100EF7"/>
    <w:rsid w:val="001011D8"/>
    <w:rsid w:val="00101518"/>
    <w:rsid w:val="001017A9"/>
    <w:rsid w:val="00101891"/>
    <w:rsid w:val="00101AA1"/>
    <w:rsid w:val="00101B27"/>
    <w:rsid w:val="00101BB1"/>
    <w:rsid w:val="00101E60"/>
    <w:rsid w:val="00102330"/>
    <w:rsid w:val="001026D8"/>
    <w:rsid w:val="001028A3"/>
    <w:rsid w:val="00102E35"/>
    <w:rsid w:val="00103136"/>
    <w:rsid w:val="0010376E"/>
    <w:rsid w:val="00103E5B"/>
    <w:rsid w:val="0010435A"/>
    <w:rsid w:val="001049D0"/>
    <w:rsid w:val="00104A73"/>
    <w:rsid w:val="00104ACE"/>
    <w:rsid w:val="00105957"/>
    <w:rsid w:val="00105FB9"/>
    <w:rsid w:val="00106318"/>
    <w:rsid w:val="00106863"/>
    <w:rsid w:val="001068F6"/>
    <w:rsid w:val="00106CFD"/>
    <w:rsid w:val="00106EF4"/>
    <w:rsid w:val="001070D3"/>
    <w:rsid w:val="00107172"/>
    <w:rsid w:val="00107623"/>
    <w:rsid w:val="00107B8E"/>
    <w:rsid w:val="00107D62"/>
    <w:rsid w:val="00107F30"/>
    <w:rsid w:val="001103D9"/>
    <w:rsid w:val="0011055D"/>
    <w:rsid w:val="00110844"/>
    <w:rsid w:val="001108D8"/>
    <w:rsid w:val="001110D5"/>
    <w:rsid w:val="0011174F"/>
    <w:rsid w:val="0011222B"/>
    <w:rsid w:val="00112239"/>
    <w:rsid w:val="00112273"/>
    <w:rsid w:val="00112393"/>
    <w:rsid w:val="001129BB"/>
    <w:rsid w:val="00112BD9"/>
    <w:rsid w:val="00112D7E"/>
    <w:rsid w:val="00113BBD"/>
    <w:rsid w:val="00114156"/>
    <w:rsid w:val="00114920"/>
    <w:rsid w:val="00114B94"/>
    <w:rsid w:val="00114BA9"/>
    <w:rsid w:val="00115706"/>
    <w:rsid w:val="00115A1B"/>
    <w:rsid w:val="00115D8A"/>
    <w:rsid w:val="001165CA"/>
    <w:rsid w:val="00117233"/>
    <w:rsid w:val="001172BB"/>
    <w:rsid w:val="0011746B"/>
    <w:rsid w:val="001178A2"/>
    <w:rsid w:val="0011792A"/>
    <w:rsid w:val="00117E26"/>
    <w:rsid w:val="0012006D"/>
    <w:rsid w:val="001202A5"/>
    <w:rsid w:val="001204AC"/>
    <w:rsid w:val="00120950"/>
    <w:rsid w:val="00120F8C"/>
    <w:rsid w:val="001210A7"/>
    <w:rsid w:val="001212CC"/>
    <w:rsid w:val="00121467"/>
    <w:rsid w:val="00121B0C"/>
    <w:rsid w:val="00121E35"/>
    <w:rsid w:val="00121E53"/>
    <w:rsid w:val="00122E2D"/>
    <w:rsid w:val="00122F7A"/>
    <w:rsid w:val="001234EC"/>
    <w:rsid w:val="001238B5"/>
    <w:rsid w:val="00123F45"/>
    <w:rsid w:val="00124041"/>
    <w:rsid w:val="001242E6"/>
    <w:rsid w:val="001245C1"/>
    <w:rsid w:val="00124E04"/>
    <w:rsid w:val="0012505F"/>
    <w:rsid w:val="00125408"/>
    <w:rsid w:val="001256C0"/>
    <w:rsid w:val="0012593C"/>
    <w:rsid w:val="00125C50"/>
    <w:rsid w:val="00125D36"/>
    <w:rsid w:val="001265A7"/>
    <w:rsid w:val="001268AD"/>
    <w:rsid w:val="00126970"/>
    <w:rsid w:val="00126A2D"/>
    <w:rsid w:val="001270BD"/>
    <w:rsid w:val="001273CB"/>
    <w:rsid w:val="0012763D"/>
    <w:rsid w:val="00127904"/>
    <w:rsid w:val="00127ADC"/>
    <w:rsid w:val="00127E8A"/>
    <w:rsid w:val="00130144"/>
    <w:rsid w:val="001301F8"/>
    <w:rsid w:val="001302B4"/>
    <w:rsid w:val="00130681"/>
    <w:rsid w:val="00130CFD"/>
    <w:rsid w:val="00130DA7"/>
    <w:rsid w:val="0013147C"/>
    <w:rsid w:val="001316B5"/>
    <w:rsid w:val="001316DA"/>
    <w:rsid w:val="00131868"/>
    <w:rsid w:val="0013189E"/>
    <w:rsid w:val="00131D08"/>
    <w:rsid w:val="0013267A"/>
    <w:rsid w:val="001326DB"/>
    <w:rsid w:val="00132F79"/>
    <w:rsid w:val="001331E3"/>
    <w:rsid w:val="0013328D"/>
    <w:rsid w:val="0013345F"/>
    <w:rsid w:val="0013364B"/>
    <w:rsid w:val="001339E6"/>
    <w:rsid w:val="00133E3D"/>
    <w:rsid w:val="00133F1E"/>
    <w:rsid w:val="00133FAF"/>
    <w:rsid w:val="00134138"/>
    <w:rsid w:val="001345B7"/>
    <w:rsid w:val="001345E4"/>
    <w:rsid w:val="00134B77"/>
    <w:rsid w:val="00134BEE"/>
    <w:rsid w:val="00134C85"/>
    <w:rsid w:val="00134FA5"/>
    <w:rsid w:val="00134FFB"/>
    <w:rsid w:val="001358BC"/>
    <w:rsid w:val="00135A51"/>
    <w:rsid w:val="00135D0E"/>
    <w:rsid w:val="00135F65"/>
    <w:rsid w:val="00135F79"/>
    <w:rsid w:val="00136009"/>
    <w:rsid w:val="00136729"/>
    <w:rsid w:val="00136A04"/>
    <w:rsid w:val="00136B2A"/>
    <w:rsid w:val="0013707E"/>
    <w:rsid w:val="00137354"/>
    <w:rsid w:val="0013747A"/>
    <w:rsid w:val="001374F4"/>
    <w:rsid w:val="001377C7"/>
    <w:rsid w:val="001377FA"/>
    <w:rsid w:val="00137A98"/>
    <w:rsid w:val="00137D4F"/>
    <w:rsid w:val="00140053"/>
    <w:rsid w:val="001404E5"/>
    <w:rsid w:val="00140564"/>
    <w:rsid w:val="00140835"/>
    <w:rsid w:val="00140875"/>
    <w:rsid w:val="00140A43"/>
    <w:rsid w:val="00140B3B"/>
    <w:rsid w:val="00140FC1"/>
    <w:rsid w:val="00141385"/>
    <w:rsid w:val="001413B3"/>
    <w:rsid w:val="001413F5"/>
    <w:rsid w:val="0014197A"/>
    <w:rsid w:val="00141E71"/>
    <w:rsid w:val="001424E2"/>
    <w:rsid w:val="001429B6"/>
    <w:rsid w:val="00142D1C"/>
    <w:rsid w:val="0014308A"/>
    <w:rsid w:val="0014312D"/>
    <w:rsid w:val="00143227"/>
    <w:rsid w:val="0014342D"/>
    <w:rsid w:val="00143AAA"/>
    <w:rsid w:val="00143B4F"/>
    <w:rsid w:val="00143CFE"/>
    <w:rsid w:val="00143E16"/>
    <w:rsid w:val="00144257"/>
    <w:rsid w:val="00144922"/>
    <w:rsid w:val="00144996"/>
    <w:rsid w:val="00144ABF"/>
    <w:rsid w:val="00144CF1"/>
    <w:rsid w:val="00144F8A"/>
    <w:rsid w:val="001450F6"/>
    <w:rsid w:val="0014551D"/>
    <w:rsid w:val="00145E28"/>
    <w:rsid w:val="00146101"/>
    <w:rsid w:val="001461C0"/>
    <w:rsid w:val="001461CA"/>
    <w:rsid w:val="001462D7"/>
    <w:rsid w:val="00146DA7"/>
    <w:rsid w:val="00146DE7"/>
    <w:rsid w:val="00146EB0"/>
    <w:rsid w:val="0014779D"/>
    <w:rsid w:val="00147953"/>
    <w:rsid w:val="00147DE5"/>
    <w:rsid w:val="00150335"/>
    <w:rsid w:val="00150664"/>
    <w:rsid w:val="00150790"/>
    <w:rsid w:val="00150CCD"/>
    <w:rsid w:val="00150EB5"/>
    <w:rsid w:val="0015122A"/>
    <w:rsid w:val="001518AE"/>
    <w:rsid w:val="00151A6D"/>
    <w:rsid w:val="00151C16"/>
    <w:rsid w:val="00151CF5"/>
    <w:rsid w:val="0015205A"/>
    <w:rsid w:val="00152115"/>
    <w:rsid w:val="0015276A"/>
    <w:rsid w:val="00152780"/>
    <w:rsid w:val="00152812"/>
    <w:rsid w:val="0015291C"/>
    <w:rsid w:val="001529C8"/>
    <w:rsid w:val="0015311B"/>
    <w:rsid w:val="0015331C"/>
    <w:rsid w:val="0015346D"/>
    <w:rsid w:val="001534CA"/>
    <w:rsid w:val="001535D8"/>
    <w:rsid w:val="00153963"/>
    <w:rsid w:val="00153F3B"/>
    <w:rsid w:val="00154048"/>
    <w:rsid w:val="00154492"/>
    <w:rsid w:val="001546A7"/>
    <w:rsid w:val="001548C0"/>
    <w:rsid w:val="0015491A"/>
    <w:rsid w:val="00154A9C"/>
    <w:rsid w:val="00154CF6"/>
    <w:rsid w:val="00154F62"/>
    <w:rsid w:val="0015519F"/>
    <w:rsid w:val="0015527F"/>
    <w:rsid w:val="00155310"/>
    <w:rsid w:val="001554BB"/>
    <w:rsid w:val="0015580C"/>
    <w:rsid w:val="00155877"/>
    <w:rsid w:val="00155C6E"/>
    <w:rsid w:val="00155E7B"/>
    <w:rsid w:val="0015640B"/>
    <w:rsid w:val="00156B5D"/>
    <w:rsid w:val="0015785B"/>
    <w:rsid w:val="00157A9F"/>
    <w:rsid w:val="00157B27"/>
    <w:rsid w:val="00157E89"/>
    <w:rsid w:val="00157ED4"/>
    <w:rsid w:val="001601E5"/>
    <w:rsid w:val="001605D6"/>
    <w:rsid w:val="00160BDC"/>
    <w:rsid w:val="00161AC1"/>
    <w:rsid w:val="00161C1F"/>
    <w:rsid w:val="00161CB5"/>
    <w:rsid w:val="00161CDF"/>
    <w:rsid w:val="00161E4F"/>
    <w:rsid w:val="001621DB"/>
    <w:rsid w:val="001629FA"/>
    <w:rsid w:val="00162C31"/>
    <w:rsid w:val="001630D1"/>
    <w:rsid w:val="0016319E"/>
    <w:rsid w:val="00163276"/>
    <w:rsid w:val="00163384"/>
    <w:rsid w:val="001634D6"/>
    <w:rsid w:val="0016353D"/>
    <w:rsid w:val="0016392A"/>
    <w:rsid w:val="00163A50"/>
    <w:rsid w:val="00163FF6"/>
    <w:rsid w:val="0016416B"/>
    <w:rsid w:val="00164436"/>
    <w:rsid w:val="00164E7B"/>
    <w:rsid w:val="00164FC8"/>
    <w:rsid w:val="001650BC"/>
    <w:rsid w:val="00165510"/>
    <w:rsid w:val="00165562"/>
    <w:rsid w:val="0016558F"/>
    <w:rsid w:val="001656BD"/>
    <w:rsid w:val="00165CAE"/>
    <w:rsid w:val="00165D89"/>
    <w:rsid w:val="0016646A"/>
    <w:rsid w:val="0016676D"/>
    <w:rsid w:val="001672C6"/>
    <w:rsid w:val="0016733A"/>
    <w:rsid w:val="00167699"/>
    <w:rsid w:val="00167A20"/>
    <w:rsid w:val="00167BB2"/>
    <w:rsid w:val="00167CAF"/>
    <w:rsid w:val="00167E5A"/>
    <w:rsid w:val="00170304"/>
    <w:rsid w:val="00170729"/>
    <w:rsid w:val="0017074A"/>
    <w:rsid w:val="00170893"/>
    <w:rsid w:val="001708E5"/>
    <w:rsid w:val="001719C8"/>
    <w:rsid w:val="00171B5E"/>
    <w:rsid w:val="00171CD7"/>
    <w:rsid w:val="00171D5C"/>
    <w:rsid w:val="001720BA"/>
    <w:rsid w:val="0017291A"/>
    <w:rsid w:val="0017297D"/>
    <w:rsid w:val="00172F5A"/>
    <w:rsid w:val="00172F6B"/>
    <w:rsid w:val="00173738"/>
    <w:rsid w:val="00173925"/>
    <w:rsid w:val="00173A62"/>
    <w:rsid w:val="00173D4B"/>
    <w:rsid w:val="00173DF2"/>
    <w:rsid w:val="00173E25"/>
    <w:rsid w:val="00173E80"/>
    <w:rsid w:val="00174375"/>
    <w:rsid w:val="001749D5"/>
    <w:rsid w:val="00174D4A"/>
    <w:rsid w:val="00175209"/>
    <w:rsid w:val="0017543C"/>
    <w:rsid w:val="00175499"/>
    <w:rsid w:val="0017570C"/>
    <w:rsid w:val="001757C1"/>
    <w:rsid w:val="001757EB"/>
    <w:rsid w:val="001760D5"/>
    <w:rsid w:val="0017632F"/>
    <w:rsid w:val="0017679F"/>
    <w:rsid w:val="001768BD"/>
    <w:rsid w:val="00176904"/>
    <w:rsid w:val="00176F54"/>
    <w:rsid w:val="00176FCA"/>
    <w:rsid w:val="00177041"/>
    <w:rsid w:val="0017720A"/>
    <w:rsid w:val="001772B0"/>
    <w:rsid w:val="00177638"/>
    <w:rsid w:val="0017778F"/>
    <w:rsid w:val="00177F5C"/>
    <w:rsid w:val="0017EF6E"/>
    <w:rsid w:val="00180096"/>
    <w:rsid w:val="0018017D"/>
    <w:rsid w:val="001804AC"/>
    <w:rsid w:val="001807FD"/>
    <w:rsid w:val="001809BC"/>
    <w:rsid w:val="001809FC"/>
    <w:rsid w:val="00180BFD"/>
    <w:rsid w:val="00180E77"/>
    <w:rsid w:val="00180E99"/>
    <w:rsid w:val="00180FEC"/>
    <w:rsid w:val="0018101A"/>
    <w:rsid w:val="0018144C"/>
    <w:rsid w:val="00181940"/>
    <w:rsid w:val="00181BB6"/>
    <w:rsid w:val="00181DE3"/>
    <w:rsid w:val="00181DEC"/>
    <w:rsid w:val="001820C2"/>
    <w:rsid w:val="001823EE"/>
    <w:rsid w:val="001825CF"/>
    <w:rsid w:val="001826B4"/>
    <w:rsid w:val="00182926"/>
    <w:rsid w:val="00182DCB"/>
    <w:rsid w:val="001831B0"/>
    <w:rsid w:val="001838DB"/>
    <w:rsid w:val="0018471F"/>
    <w:rsid w:val="00184BBA"/>
    <w:rsid w:val="00184CDE"/>
    <w:rsid w:val="00184D17"/>
    <w:rsid w:val="00184DC8"/>
    <w:rsid w:val="00185459"/>
    <w:rsid w:val="001858D4"/>
    <w:rsid w:val="0018614C"/>
    <w:rsid w:val="00186D96"/>
    <w:rsid w:val="0018706E"/>
    <w:rsid w:val="001875E4"/>
    <w:rsid w:val="00187805"/>
    <w:rsid w:val="00187945"/>
    <w:rsid w:val="001879F3"/>
    <w:rsid w:val="00187B41"/>
    <w:rsid w:val="00187CC2"/>
    <w:rsid w:val="0018964E"/>
    <w:rsid w:val="0018AAD9"/>
    <w:rsid w:val="00190024"/>
    <w:rsid w:val="00190A8F"/>
    <w:rsid w:val="00190DD0"/>
    <w:rsid w:val="00190F17"/>
    <w:rsid w:val="001910DD"/>
    <w:rsid w:val="00191251"/>
    <w:rsid w:val="00191278"/>
    <w:rsid w:val="001912B2"/>
    <w:rsid w:val="0019166C"/>
    <w:rsid w:val="001916D2"/>
    <w:rsid w:val="0019175F"/>
    <w:rsid w:val="001918B6"/>
    <w:rsid w:val="00191D78"/>
    <w:rsid w:val="00191EFB"/>
    <w:rsid w:val="00191F1D"/>
    <w:rsid w:val="00192413"/>
    <w:rsid w:val="0019262B"/>
    <w:rsid w:val="00192D49"/>
    <w:rsid w:val="00192EE0"/>
    <w:rsid w:val="00192F86"/>
    <w:rsid w:val="001932C9"/>
    <w:rsid w:val="001934BE"/>
    <w:rsid w:val="001937B8"/>
    <w:rsid w:val="00193ED2"/>
    <w:rsid w:val="00193FCD"/>
    <w:rsid w:val="001943A1"/>
    <w:rsid w:val="001948C0"/>
    <w:rsid w:val="00194A50"/>
    <w:rsid w:val="00194D0A"/>
    <w:rsid w:val="00194FF9"/>
    <w:rsid w:val="00195509"/>
    <w:rsid w:val="001962AF"/>
    <w:rsid w:val="001964CA"/>
    <w:rsid w:val="00196A86"/>
    <w:rsid w:val="00196B7F"/>
    <w:rsid w:val="00196F3D"/>
    <w:rsid w:val="0019775F"/>
    <w:rsid w:val="00197E14"/>
    <w:rsid w:val="001A045E"/>
    <w:rsid w:val="001A04AE"/>
    <w:rsid w:val="001A05AF"/>
    <w:rsid w:val="001A076C"/>
    <w:rsid w:val="001A0947"/>
    <w:rsid w:val="001A0AC7"/>
    <w:rsid w:val="001A0B0A"/>
    <w:rsid w:val="001A0D88"/>
    <w:rsid w:val="001A0DCB"/>
    <w:rsid w:val="001A0EB1"/>
    <w:rsid w:val="001A14C9"/>
    <w:rsid w:val="001A15B3"/>
    <w:rsid w:val="001A16A6"/>
    <w:rsid w:val="001A19D5"/>
    <w:rsid w:val="001A20DF"/>
    <w:rsid w:val="001A2810"/>
    <w:rsid w:val="001A2A13"/>
    <w:rsid w:val="001A2DBA"/>
    <w:rsid w:val="001A2F52"/>
    <w:rsid w:val="001A3855"/>
    <w:rsid w:val="001A3B9E"/>
    <w:rsid w:val="001A3CDB"/>
    <w:rsid w:val="001A412E"/>
    <w:rsid w:val="001A4881"/>
    <w:rsid w:val="001A4A55"/>
    <w:rsid w:val="001A4D1A"/>
    <w:rsid w:val="001A4FDA"/>
    <w:rsid w:val="001A57C7"/>
    <w:rsid w:val="001A5EFA"/>
    <w:rsid w:val="001A610B"/>
    <w:rsid w:val="001A6355"/>
    <w:rsid w:val="001A6482"/>
    <w:rsid w:val="001A64FB"/>
    <w:rsid w:val="001A66D3"/>
    <w:rsid w:val="001A69DF"/>
    <w:rsid w:val="001A72A0"/>
    <w:rsid w:val="001A730F"/>
    <w:rsid w:val="001A73DB"/>
    <w:rsid w:val="001A746A"/>
    <w:rsid w:val="001A7491"/>
    <w:rsid w:val="001A74E5"/>
    <w:rsid w:val="001A76E8"/>
    <w:rsid w:val="001A76F2"/>
    <w:rsid w:val="001A7C2C"/>
    <w:rsid w:val="001A7C69"/>
    <w:rsid w:val="001B01A7"/>
    <w:rsid w:val="001B023A"/>
    <w:rsid w:val="001B03BD"/>
    <w:rsid w:val="001B05E4"/>
    <w:rsid w:val="001B09F8"/>
    <w:rsid w:val="001B0A35"/>
    <w:rsid w:val="001B0D82"/>
    <w:rsid w:val="001B138A"/>
    <w:rsid w:val="001B1404"/>
    <w:rsid w:val="001B14B8"/>
    <w:rsid w:val="001B1514"/>
    <w:rsid w:val="001B16EC"/>
    <w:rsid w:val="001B170F"/>
    <w:rsid w:val="001B1C55"/>
    <w:rsid w:val="001B1D80"/>
    <w:rsid w:val="001B210C"/>
    <w:rsid w:val="001B2362"/>
    <w:rsid w:val="001B243A"/>
    <w:rsid w:val="001B24A8"/>
    <w:rsid w:val="001B2891"/>
    <w:rsid w:val="001B2B72"/>
    <w:rsid w:val="001B3050"/>
    <w:rsid w:val="001B38BA"/>
    <w:rsid w:val="001B39E9"/>
    <w:rsid w:val="001B39FC"/>
    <w:rsid w:val="001B3B48"/>
    <w:rsid w:val="001B4209"/>
    <w:rsid w:val="001B43AD"/>
    <w:rsid w:val="001B4578"/>
    <w:rsid w:val="001B4684"/>
    <w:rsid w:val="001B47A4"/>
    <w:rsid w:val="001B4B18"/>
    <w:rsid w:val="001B4C8F"/>
    <w:rsid w:val="001B4EF9"/>
    <w:rsid w:val="001B521E"/>
    <w:rsid w:val="001B5DD8"/>
    <w:rsid w:val="001B603A"/>
    <w:rsid w:val="001B606D"/>
    <w:rsid w:val="001B6AD6"/>
    <w:rsid w:val="001B6AEB"/>
    <w:rsid w:val="001B6BD1"/>
    <w:rsid w:val="001B6CF3"/>
    <w:rsid w:val="001B7B0D"/>
    <w:rsid w:val="001C01D6"/>
    <w:rsid w:val="001C0674"/>
    <w:rsid w:val="001C08BB"/>
    <w:rsid w:val="001C0C11"/>
    <w:rsid w:val="001C13CE"/>
    <w:rsid w:val="001C143D"/>
    <w:rsid w:val="001C15A6"/>
    <w:rsid w:val="001C189E"/>
    <w:rsid w:val="001C1AF7"/>
    <w:rsid w:val="001C1DBF"/>
    <w:rsid w:val="001C23BF"/>
    <w:rsid w:val="001C24E6"/>
    <w:rsid w:val="001C2CAE"/>
    <w:rsid w:val="001C33C0"/>
    <w:rsid w:val="001C36BB"/>
    <w:rsid w:val="001C37A3"/>
    <w:rsid w:val="001C3888"/>
    <w:rsid w:val="001C3A8A"/>
    <w:rsid w:val="001C3BAC"/>
    <w:rsid w:val="001C3CA6"/>
    <w:rsid w:val="001C3D74"/>
    <w:rsid w:val="001C4234"/>
    <w:rsid w:val="001C4AB3"/>
    <w:rsid w:val="001C4BE4"/>
    <w:rsid w:val="001C58E4"/>
    <w:rsid w:val="001C5B76"/>
    <w:rsid w:val="001C60E7"/>
    <w:rsid w:val="001C6170"/>
    <w:rsid w:val="001C682A"/>
    <w:rsid w:val="001C690C"/>
    <w:rsid w:val="001C69F7"/>
    <w:rsid w:val="001C6AA5"/>
    <w:rsid w:val="001C6C2A"/>
    <w:rsid w:val="001C6CAD"/>
    <w:rsid w:val="001C6D60"/>
    <w:rsid w:val="001C6DDF"/>
    <w:rsid w:val="001C6E1A"/>
    <w:rsid w:val="001C6EC8"/>
    <w:rsid w:val="001C7C60"/>
    <w:rsid w:val="001CBD9C"/>
    <w:rsid w:val="001D0177"/>
    <w:rsid w:val="001D04D2"/>
    <w:rsid w:val="001D0BC1"/>
    <w:rsid w:val="001D0CC6"/>
    <w:rsid w:val="001D0D67"/>
    <w:rsid w:val="001D0DF7"/>
    <w:rsid w:val="001D0FAB"/>
    <w:rsid w:val="001D1690"/>
    <w:rsid w:val="001D1746"/>
    <w:rsid w:val="001D197C"/>
    <w:rsid w:val="001D1D30"/>
    <w:rsid w:val="001D1E77"/>
    <w:rsid w:val="001D226E"/>
    <w:rsid w:val="001D2425"/>
    <w:rsid w:val="001D24A1"/>
    <w:rsid w:val="001D274B"/>
    <w:rsid w:val="001D2EEB"/>
    <w:rsid w:val="001D34C0"/>
    <w:rsid w:val="001D356D"/>
    <w:rsid w:val="001D3ABE"/>
    <w:rsid w:val="001D3E28"/>
    <w:rsid w:val="001D4065"/>
    <w:rsid w:val="001D416B"/>
    <w:rsid w:val="001D4308"/>
    <w:rsid w:val="001D43C8"/>
    <w:rsid w:val="001D459A"/>
    <w:rsid w:val="001D45F8"/>
    <w:rsid w:val="001D4719"/>
    <w:rsid w:val="001D494D"/>
    <w:rsid w:val="001D4B86"/>
    <w:rsid w:val="001D50DC"/>
    <w:rsid w:val="001D5581"/>
    <w:rsid w:val="001D5666"/>
    <w:rsid w:val="001D5778"/>
    <w:rsid w:val="001D5B2D"/>
    <w:rsid w:val="001D674C"/>
    <w:rsid w:val="001D6766"/>
    <w:rsid w:val="001D7079"/>
    <w:rsid w:val="001D725B"/>
    <w:rsid w:val="001D740B"/>
    <w:rsid w:val="001D7B3D"/>
    <w:rsid w:val="001E01AF"/>
    <w:rsid w:val="001E020B"/>
    <w:rsid w:val="001E0222"/>
    <w:rsid w:val="001E043D"/>
    <w:rsid w:val="001E04D9"/>
    <w:rsid w:val="001E0A65"/>
    <w:rsid w:val="001E1D65"/>
    <w:rsid w:val="001E1DED"/>
    <w:rsid w:val="001E1F98"/>
    <w:rsid w:val="001E2034"/>
    <w:rsid w:val="001E2057"/>
    <w:rsid w:val="001E264D"/>
    <w:rsid w:val="001E26D2"/>
    <w:rsid w:val="001E27CA"/>
    <w:rsid w:val="001E2A4B"/>
    <w:rsid w:val="001E2C32"/>
    <w:rsid w:val="001E2DC7"/>
    <w:rsid w:val="001E3109"/>
    <w:rsid w:val="001E31F9"/>
    <w:rsid w:val="001E39DA"/>
    <w:rsid w:val="001E45A7"/>
    <w:rsid w:val="001E4785"/>
    <w:rsid w:val="001E53C3"/>
    <w:rsid w:val="001E553E"/>
    <w:rsid w:val="001E5682"/>
    <w:rsid w:val="001E56A5"/>
    <w:rsid w:val="001E56AA"/>
    <w:rsid w:val="001E5ADE"/>
    <w:rsid w:val="001E5E23"/>
    <w:rsid w:val="001E5FC9"/>
    <w:rsid w:val="001E5FD5"/>
    <w:rsid w:val="001E6B6A"/>
    <w:rsid w:val="001E6B6F"/>
    <w:rsid w:val="001E6D3B"/>
    <w:rsid w:val="001E6DFE"/>
    <w:rsid w:val="001E6F0B"/>
    <w:rsid w:val="001E70DD"/>
    <w:rsid w:val="001E716C"/>
    <w:rsid w:val="001E73ED"/>
    <w:rsid w:val="001E74D4"/>
    <w:rsid w:val="001E7679"/>
    <w:rsid w:val="001E7691"/>
    <w:rsid w:val="001E7B95"/>
    <w:rsid w:val="001E7B99"/>
    <w:rsid w:val="001E7E00"/>
    <w:rsid w:val="001E7E06"/>
    <w:rsid w:val="001ECADF"/>
    <w:rsid w:val="001F00B8"/>
    <w:rsid w:val="001F096B"/>
    <w:rsid w:val="001F0B89"/>
    <w:rsid w:val="001F1272"/>
    <w:rsid w:val="001F13DF"/>
    <w:rsid w:val="001F1556"/>
    <w:rsid w:val="001F1A3A"/>
    <w:rsid w:val="001F1F20"/>
    <w:rsid w:val="001F1FC5"/>
    <w:rsid w:val="001F2302"/>
    <w:rsid w:val="001F2547"/>
    <w:rsid w:val="001F293D"/>
    <w:rsid w:val="001F2C03"/>
    <w:rsid w:val="001F2CD5"/>
    <w:rsid w:val="001F2DBC"/>
    <w:rsid w:val="001F3223"/>
    <w:rsid w:val="001F3B60"/>
    <w:rsid w:val="001F3BA2"/>
    <w:rsid w:val="001F3C8B"/>
    <w:rsid w:val="001F3CB4"/>
    <w:rsid w:val="001F3DD7"/>
    <w:rsid w:val="001F3E05"/>
    <w:rsid w:val="001F3F50"/>
    <w:rsid w:val="001F455E"/>
    <w:rsid w:val="001F4A0D"/>
    <w:rsid w:val="001F4B43"/>
    <w:rsid w:val="001F4CF6"/>
    <w:rsid w:val="001F4D13"/>
    <w:rsid w:val="001F4DEE"/>
    <w:rsid w:val="001F5499"/>
    <w:rsid w:val="001F574B"/>
    <w:rsid w:val="001F59E3"/>
    <w:rsid w:val="001F5FC7"/>
    <w:rsid w:val="001F6054"/>
    <w:rsid w:val="001F6130"/>
    <w:rsid w:val="001F6B18"/>
    <w:rsid w:val="001F6FDF"/>
    <w:rsid w:val="001F71AF"/>
    <w:rsid w:val="001F7271"/>
    <w:rsid w:val="001F7719"/>
    <w:rsid w:val="001F773A"/>
    <w:rsid w:val="001F77B4"/>
    <w:rsid w:val="001F77C8"/>
    <w:rsid w:val="001F77C9"/>
    <w:rsid w:val="001F79F7"/>
    <w:rsid w:val="001F7E0F"/>
    <w:rsid w:val="001F7E6A"/>
    <w:rsid w:val="001F7F65"/>
    <w:rsid w:val="00200139"/>
    <w:rsid w:val="00200468"/>
    <w:rsid w:val="002005D5"/>
    <w:rsid w:val="0020067E"/>
    <w:rsid w:val="00200A3D"/>
    <w:rsid w:val="00200B3F"/>
    <w:rsid w:val="00201810"/>
    <w:rsid w:val="00201C58"/>
    <w:rsid w:val="00201C5C"/>
    <w:rsid w:val="00201D57"/>
    <w:rsid w:val="00201DBE"/>
    <w:rsid w:val="00201E22"/>
    <w:rsid w:val="00202070"/>
    <w:rsid w:val="00202B3F"/>
    <w:rsid w:val="00202F94"/>
    <w:rsid w:val="00202F96"/>
    <w:rsid w:val="00203588"/>
    <w:rsid w:val="0020394C"/>
    <w:rsid w:val="00203A68"/>
    <w:rsid w:val="00203BD5"/>
    <w:rsid w:val="00204296"/>
    <w:rsid w:val="002050F8"/>
    <w:rsid w:val="00205669"/>
    <w:rsid w:val="002056B4"/>
    <w:rsid w:val="00205AF1"/>
    <w:rsid w:val="00205F1F"/>
    <w:rsid w:val="00206650"/>
    <w:rsid w:val="0020690A"/>
    <w:rsid w:val="00207045"/>
    <w:rsid w:val="002072E7"/>
    <w:rsid w:val="002074B9"/>
    <w:rsid w:val="00207564"/>
    <w:rsid w:val="0020769B"/>
    <w:rsid w:val="002076B0"/>
    <w:rsid w:val="0020782B"/>
    <w:rsid w:val="00207FB8"/>
    <w:rsid w:val="002101E1"/>
    <w:rsid w:val="00210393"/>
    <w:rsid w:val="002103AC"/>
    <w:rsid w:val="00210498"/>
    <w:rsid w:val="002109DA"/>
    <w:rsid w:val="00210E31"/>
    <w:rsid w:val="002113EF"/>
    <w:rsid w:val="00211BF5"/>
    <w:rsid w:val="00212267"/>
    <w:rsid w:val="00212950"/>
    <w:rsid w:val="00212C00"/>
    <w:rsid w:val="00212D2A"/>
    <w:rsid w:val="00212FCE"/>
    <w:rsid w:val="002132B6"/>
    <w:rsid w:val="0021364B"/>
    <w:rsid w:val="00213C54"/>
    <w:rsid w:val="00214397"/>
    <w:rsid w:val="00214714"/>
    <w:rsid w:val="00214844"/>
    <w:rsid w:val="002148E4"/>
    <w:rsid w:val="00214AD5"/>
    <w:rsid w:val="00215567"/>
    <w:rsid w:val="00215617"/>
    <w:rsid w:val="00215654"/>
    <w:rsid w:val="00215C02"/>
    <w:rsid w:val="002160E4"/>
    <w:rsid w:val="00216208"/>
    <w:rsid w:val="002162A3"/>
    <w:rsid w:val="002164A6"/>
    <w:rsid w:val="0021655C"/>
    <w:rsid w:val="00216592"/>
    <w:rsid w:val="002167B5"/>
    <w:rsid w:val="00216B4D"/>
    <w:rsid w:val="00216B6D"/>
    <w:rsid w:val="00216F4C"/>
    <w:rsid w:val="002172CD"/>
    <w:rsid w:val="00217870"/>
    <w:rsid w:val="00217DE2"/>
    <w:rsid w:val="00217E5D"/>
    <w:rsid w:val="002210D6"/>
    <w:rsid w:val="002215A5"/>
    <w:rsid w:val="0022190B"/>
    <w:rsid w:val="00221D4A"/>
    <w:rsid w:val="00222C98"/>
    <w:rsid w:val="00222CD0"/>
    <w:rsid w:val="00222DDC"/>
    <w:rsid w:val="0022353D"/>
    <w:rsid w:val="002237FC"/>
    <w:rsid w:val="002238B7"/>
    <w:rsid w:val="00223A21"/>
    <w:rsid w:val="00223E23"/>
    <w:rsid w:val="0022419E"/>
    <w:rsid w:val="002245C0"/>
    <w:rsid w:val="00224838"/>
    <w:rsid w:val="00224CEA"/>
    <w:rsid w:val="002254D2"/>
    <w:rsid w:val="0022565A"/>
    <w:rsid w:val="002259A9"/>
    <w:rsid w:val="00225BB2"/>
    <w:rsid w:val="00225FB1"/>
    <w:rsid w:val="002262A6"/>
    <w:rsid w:val="0022640D"/>
    <w:rsid w:val="002268BB"/>
    <w:rsid w:val="00226D41"/>
    <w:rsid w:val="00226DF3"/>
    <w:rsid w:val="00227084"/>
    <w:rsid w:val="00227386"/>
    <w:rsid w:val="00227810"/>
    <w:rsid w:val="00227B79"/>
    <w:rsid w:val="00230534"/>
    <w:rsid w:val="00230E9C"/>
    <w:rsid w:val="00231073"/>
    <w:rsid w:val="0023129F"/>
    <w:rsid w:val="00231808"/>
    <w:rsid w:val="002318B2"/>
    <w:rsid w:val="00232064"/>
    <w:rsid w:val="0023222D"/>
    <w:rsid w:val="00232B09"/>
    <w:rsid w:val="00232D02"/>
    <w:rsid w:val="00232DB8"/>
    <w:rsid w:val="002330BA"/>
    <w:rsid w:val="00233237"/>
    <w:rsid w:val="002336D1"/>
    <w:rsid w:val="00233D83"/>
    <w:rsid w:val="00233E60"/>
    <w:rsid w:val="00234103"/>
    <w:rsid w:val="00234340"/>
    <w:rsid w:val="00234471"/>
    <w:rsid w:val="0023461A"/>
    <w:rsid w:val="00234A1C"/>
    <w:rsid w:val="00234ABE"/>
    <w:rsid w:val="00234BA8"/>
    <w:rsid w:val="00234F22"/>
    <w:rsid w:val="00235231"/>
    <w:rsid w:val="002354BE"/>
    <w:rsid w:val="002354D5"/>
    <w:rsid w:val="0023554A"/>
    <w:rsid w:val="00235788"/>
    <w:rsid w:val="0023590E"/>
    <w:rsid w:val="0023655A"/>
    <w:rsid w:val="002366EF"/>
    <w:rsid w:val="00236901"/>
    <w:rsid w:val="00237096"/>
    <w:rsid w:val="00237774"/>
    <w:rsid w:val="00237A8C"/>
    <w:rsid w:val="00237AC6"/>
    <w:rsid w:val="00237D14"/>
    <w:rsid w:val="00237E0F"/>
    <w:rsid w:val="00237F99"/>
    <w:rsid w:val="0024002C"/>
    <w:rsid w:val="002400DB"/>
    <w:rsid w:val="0024015D"/>
    <w:rsid w:val="002407C1"/>
    <w:rsid w:val="00240C86"/>
    <w:rsid w:val="00240F37"/>
    <w:rsid w:val="0024124B"/>
    <w:rsid w:val="00241289"/>
    <w:rsid w:val="002415D1"/>
    <w:rsid w:val="002417C8"/>
    <w:rsid w:val="00241AAD"/>
    <w:rsid w:val="00241AEB"/>
    <w:rsid w:val="00241B4E"/>
    <w:rsid w:val="00241C0A"/>
    <w:rsid w:val="00241EF4"/>
    <w:rsid w:val="002426DA"/>
    <w:rsid w:val="00242AB6"/>
    <w:rsid w:val="00242D91"/>
    <w:rsid w:val="00242E30"/>
    <w:rsid w:val="00242E33"/>
    <w:rsid w:val="00243094"/>
    <w:rsid w:val="0024319C"/>
    <w:rsid w:val="00243785"/>
    <w:rsid w:val="00243C85"/>
    <w:rsid w:val="00244012"/>
    <w:rsid w:val="002440F0"/>
    <w:rsid w:val="0024431B"/>
    <w:rsid w:val="0024436A"/>
    <w:rsid w:val="00244461"/>
    <w:rsid w:val="0024451E"/>
    <w:rsid w:val="0024452A"/>
    <w:rsid w:val="002450AE"/>
    <w:rsid w:val="00245747"/>
    <w:rsid w:val="002457CF"/>
    <w:rsid w:val="00245905"/>
    <w:rsid w:val="00245B72"/>
    <w:rsid w:val="00245E5D"/>
    <w:rsid w:val="00246256"/>
    <w:rsid w:val="002462A4"/>
    <w:rsid w:val="002463D6"/>
    <w:rsid w:val="002469D3"/>
    <w:rsid w:val="00246B56"/>
    <w:rsid w:val="00246BF8"/>
    <w:rsid w:val="00246E4F"/>
    <w:rsid w:val="00246F60"/>
    <w:rsid w:val="00247768"/>
    <w:rsid w:val="00247C30"/>
    <w:rsid w:val="00247C3C"/>
    <w:rsid w:val="00250012"/>
    <w:rsid w:val="002500DC"/>
    <w:rsid w:val="0025038E"/>
    <w:rsid w:val="0025051E"/>
    <w:rsid w:val="00250E0E"/>
    <w:rsid w:val="00250E21"/>
    <w:rsid w:val="00250E78"/>
    <w:rsid w:val="00250F12"/>
    <w:rsid w:val="00250F70"/>
    <w:rsid w:val="0025151D"/>
    <w:rsid w:val="00251969"/>
    <w:rsid w:val="00251B7A"/>
    <w:rsid w:val="0025218D"/>
    <w:rsid w:val="002527AD"/>
    <w:rsid w:val="00252813"/>
    <w:rsid w:val="00252847"/>
    <w:rsid w:val="002530EB"/>
    <w:rsid w:val="0025310C"/>
    <w:rsid w:val="00253324"/>
    <w:rsid w:val="0025337A"/>
    <w:rsid w:val="00253963"/>
    <w:rsid w:val="00253B63"/>
    <w:rsid w:val="00253F2E"/>
    <w:rsid w:val="00254059"/>
    <w:rsid w:val="002542C8"/>
    <w:rsid w:val="002543E8"/>
    <w:rsid w:val="00254665"/>
    <w:rsid w:val="00254701"/>
    <w:rsid w:val="002548AE"/>
    <w:rsid w:val="00254973"/>
    <w:rsid w:val="00254C4C"/>
    <w:rsid w:val="002562E4"/>
    <w:rsid w:val="0025689B"/>
    <w:rsid w:val="00256FAA"/>
    <w:rsid w:val="00256FC4"/>
    <w:rsid w:val="0025720F"/>
    <w:rsid w:val="0025739E"/>
    <w:rsid w:val="00257434"/>
    <w:rsid w:val="002574E1"/>
    <w:rsid w:val="002577BC"/>
    <w:rsid w:val="00257823"/>
    <w:rsid w:val="002578C1"/>
    <w:rsid w:val="002601FF"/>
    <w:rsid w:val="0026029B"/>
    <w:rsid w:val="0026033D"/>
    <w:rsid w:val="002606EC"/>
    <w:rsid w:val="0026072E"/>
    <w:rsid w:val="002608D7"/>
    <w:rsid w:val="00260A0A"/>
    <w:rsid w:val="00260BEF"/>
    <w:rsid w:val="002611CF"/>
    <w:rsid w:val="0026171C"/>
    <w:rsid w:val="00261C49"/>
    <w:rsid w:val="00261C77"/>
    <w:rsid w:val="00262152"/>
    <w:rsid w:val="00262652"/>
    <w:rsid w:val="0026274C"/>
    <w:rsid w:val="00262A0B"/>
    <w:rsid w:val="00262DE9"/>
    <w:rsid w:val="00263372"/>
    <w:rsid w:val="00263471"/>
    <w:rsid w:val="0026347D"/>
    <w:rsid w:val="0026352E"/>
    <w:rsid w:val="002635CA"/>
    <w:rsid w:val="00263800"/>
    <w:rsid w:val="00263B12"/>
    <w:rsid w:val="00263FB1"/>
    <w:rsid w:val="00264937"/>
    <w:rsid w:val="0026540A"/>
    <w:rsid w:val="00265A82"/>
    <w:rsid w:val="002661B8"/>
    <w:rsid w:val="002661CF"/>
    <w:rsid w:val="00266238"/>
    <w:rsid w:val="002663C5"/>
    <w:rsid w:val="00266758"/>
    <w:rsid w:val="0026681E"/>
    <w:rsid w:val="00266A7B"/>
    <w:rsid w:val="00266EFB"/>
    <w:rsid w:val="0026737D"/>
    <w:rsid w:val="002673DB"/>
    <w:rsid w:val="00267658"/>
    <w:rsid w:val="00267671"/>
    <w:rsid w:val="00267F88"/>
    <w:rsid w:val="00270221"/>
    <w:rsid w:val="00270833"/>
    <w:rsid w:val="00270AEF"/>
    <w:rsid w:val="00270BA8"/>
    <w:rsid w:val="00270D47"/>
    <w:rsid w:val="00270FCE"/>
    <w:rsid w:val="00272124"/>
    <w:rsid w:val="00272210"/>
    <w:rsid w:val="002723C0"/>
    <w:rsid w:val="002726E1"/>
    <w:rsid w:val="0027276E"/>
    <w:rsid w:val="00272ED3"/>
    <w:rsid w:val="002736B3"/>
    <w:rsid w:val="002736F5"/>
    <w:rsid w:val="0027370F"/>
    <w:rsid w:val="0027383E"/>
    <w:rsid w:val="002739DA"/>
    <w:rsid w:val="00274057"/>
    <w:rsid w:val="002740C9"/>
    <w:rsid w:val="00274253"/>
    <w:rsid w:val="002743A1"/>
    <w:rsid w:val="002748EE"/>
    <w:rsid w:val="00274963"/>
    <w:rsid w:val="002749DD"/>
    <w:rsid w:val="00274BA9"/>
    <w:rsid w:val="00274E45"/>
    <w:rsid w:val="0027583D"/>
    <w:rsid w:val="00275F77"/>
    <w:rsid w:val="002761B6"/>
    <w:rsid w:val="00276F27"/>
    <w:rsid w:val="002777DF"/>
    <w:rsid w:val="00277A64"/>
    <w:rsid w:val="00277A8D"/>
    <w:rsid w:val="00280047"/>
    <w:rsid w:val="002810BC"/>
    <w:rsid w:val="002811A4"/>
    <w:rsid w:val="002816B4"/>
    <w:rsid w:val="00281768"/>
    <w:rsid w:val="00281BDE"/>
    <w:rsid w:val="00281ECC"/>
    <w:rsid w:val="002822A0"/>
    <w:rsid w:val="00282949"/>
    <w:rsid w:val="00282EDE"/>
    <w:rsid w:val="00283186"/>
    <w:rsid w:val="00283222"/>
    <w:rsid w:val="00283594"/>
    <w:rsid w:val="002838FC"/>
    <w:rsid w:val="0028392F"/>
    <w:rsid w:val="00283A12"/>
    <w:rsid w:val="00283A95"/>
    <w:rsid w:val="00283A9F"/>
    <w:rsid w:val="00283AB9"/>
    <w:rsid w:val="00284199"/>
    <w:rsid w:val="002844A5"/>
    <w:rsid w:val="002847F7"/>
    <w:rsid w:val="00284A39"/>
    <w:rsid w:val="00284EB0"/>
    <w:rsid w:val="00285299"/>
    <w:rsid w:val="0028563B"/>
    <w:rsid w:val="00285916"/>
    <w:rsid w:val="00286396"/>
    <w:rsid w:val="0028674C"/>
    <w:rsid w:val="002869E0"/>
    <w:rsid w:val="00286BE8"/>
    <w:rsid w:val="00286F43"/>
    <w:rsid w:val="00287221"/>
    <w:rsid w:val="0028745C"/>
    <w:rsid w:val="00287722"/>
    <w:rsid w:val="00287AB5"/>
    <w:rsid w:val="00287BCF"/>
    <w:rsid w:val="00287CFF"/>
    <w:rsid w:val="00287DC1"/>
    <w:rsid w:val="00290082"/>
    <w:rsid w:val="002903D9"/>
    <w:rsid w:val="00290AB1"/>
    <w:rsid w:val="00291267"/>
    <w:rsid w:val="002914AA"/>
    <w:rsid w:val="00291502"/>
    <w:rsid w:val="00291530"/>
    <w:rsid w:val="002918DF"/>
    <w:rsid w:val="00292300"/>
    <w:rsid w:val="002927BC"/>
    <w:rsid w:val="0029294F"/>
    <w:rsid w:val="00292B43"/>
    <w:rsid w:val="00292CD2"/>
    <w:rsid w:val="002933B5"/>
    <w:rsid w:val="002934E5"/>
    <w:rsid w:val="0029353E"/>
    <w:rsid w:val="0029358A"/>
    <w:rsid w:val="002937DB"/>
    <w:rsid w:val="00293901"/>
    <w:rsid w:val="00293EA7"/>
    <w:rsid w:val="00293F45"/>
    <w:rsid w:val="002943BB"/>
    <w:rsid w:val="00294671"/>
    <w:rsid w:val="00294AFD"/>
    <w:rsid w:val="002951F1"/>
    <w:rsid w:val="00296511"/>
    <w:rsid w:val="0029684C"/>
    <w:rsid w:val="0029684D"/>
    <w:rsid w:val="0029707D"/>
    <w:rsid w:val="00297631"/>
    <w:rsid w:val="002976F0"/>
    <w:rsid w:val="0029783B"/>
    <w:rsid w:val="00297F90"/>
    <w:rsid w:val="002A009C"/>
    <w:rsid w:val="002A0C6B"/>
    <w:rsid w:val="002A0CCA"/>
    <w:rsid w:val="002A0DEE"/>
    <w:rsid w:val="002A0EBC"/>
    <w:rsid w:val="002A1177"/>
    <w:rsid w:val="002A149A"/>
    <w:rsid w:val="002A1815"/>
    <w:rsid w:val="002A1BCA"/>
    <w:rsid w:val="002A1BD8"/>
    <w:rsid w:val="002A2401"/>
    <w:rsid w:val="002A2A57"/>
    <w:rsid w:val="002A3183"/>
    <w:rsid w:val="002A35A0"/>
    <w:rsid w:val="002A35E3"/>
    <w:rsid w:val="002A3762"/>
    <w:rsid w:val="002A3A29"/>
    <w:rsid w:val="002A4182"/>
    <w:rsid w:val="002A41E2"/>
    <w:rsid w:val="002A433E"/>
    <w:rsid w:val="002A44AE"/>
    <w:rsid w:val="002A46C0"/>
    <w:rsid w:val="002A4A34"/>
    <w:rsid w:val="002A4ECE"/>
    <w:rsid w:val="002A4EFB"/>
    <w:rsid w:val="002A5538"/>
    <w:rsid w:val="002A558B"/>
    <w:rsid w:val="002A5893"/>
    <w:rsid w:val="002A604E"/>
    <w:rsid w:val="002A6314"/>
    <w:rsid w:val="002A66AF"/>
    <w:rsid w:val="002A6771"/>
    <w:rsid w:val="002A6954"/>
    <w:rsid w:val="002A6FB6"/>
    <w:rsid w:val="002A7AAB"/>
    <w:rsid w:val="002A7E27"/>
    <w:rsid w:val="002B09A5"/>
    <w:rsid w:val="002B0B64"/>
    <w:rsid w:val="002B0C09"/>
    <w:rsid w:val="002B1607"/>
    <w:rsid w:val="002B1B12"/>
    <w:rsid w:val="002B1B87"/>
    <w:rsid w:val="002B2212"/>
    <w:rsid w:val="002B28B0"/>
    <w:rsid w:val="002B2CB8"/>
    <w:rsid w:val="002B3419"/>
    <w:rsid w:val="002B3518"/>
    <w:rsid w:val="002B3778"/>
    <w:rsid w:val="002B3F24"/>
    <w:rsid w:val="002B4230"/>
    <w:rsid w:val="002B4626"/>
    <w:rsid w:val="002B4B73"/>
    <w:rsid w:val="002B5016"/>
    <w:rsid w:val="002B53E6"/>
    <w:rsid w:val="002B5760"/>
    <w:rsid w:val="002B5891"/>
    <w:rsid w:val="002B65FA"/>
    <w:rsid w:val="002B6893"/>
    <w:rsid w:val="002B68E8"/>
    <w:rsid w:val="002B69D0"/>
    <w:rsid w:val="002B6E39"/>
    <w:rsid w:val="002B6FA6"/>
    <w:rsid w:val="002B7453"/>
    <w:rsid w:val="002B7D0B"/>
    <w:rsid w:val="002C00B9"/>
    <w:rsid w:val="002C0389"/>
    <w:rsid w:val="002C070E"/>
    <w:rsid w:val="002C0996"/>
    <w:rsid w:val="002C0A0E"/>
    <w:rsid w:val="002C0A29"/>
    <w:rsid w:val="002C0B00"/>
    <w:rsid w:val="002C0B8E"/>
    <w:rsid w:val="002C1160"/>
    <w:rsid w:val="002C12F3"/>
    <w:rsid w:val="002C13A0"/>
    <w:rsid w:val="002C14AF"/>
    <w:rsid w:val="002C14C6"/>
    <w:rsid w:val="002C17C4"/>
    <w:rsid w:val="002C1895"/>
    <w:rsid w:val="002C207C"/>
    <w:rsid w:val="002C21BC"/>
    <w:rsid w:val="002C2276"/>
    <w:rsid w:val="002C26D9"/>
    <w:rsid w:val="002C2723"/>
    <w:rsid w:val="002C2742"/>
    <w:rsid w:val="002C3814"/>
    <w:rsid w:val="002C3BC0"/>
    <w:rsid w:val="002C406F"/>
    <w:rsid w:val="002C4954"/>
    <w:rsid w:val="002C4CF4"/>
    <w:rsid w:val="002C4D27"/>
    <w:rsid w:val="002C4EF9"/>
    <w:rsid w:val="002C5711"/>
    <w:rsid w:val="002C5786"/>
    <w:rsid w:val="002C5A8B"/>
    <w:rsid w:val="002C5E64"/>
    <w:rsid w:val="002C68CD"/>
    <w:rsid w:val="002C70DB"/>
    <w:rsid w:val="002C70F3"/>
    <w:rsid w:val="002C78C8"/>
    <w:rsid w:val="002C7D9C"/>
    <w:rsid w:val="002C7EB2"/>
    <w:rsid w:val="002D01A6"/>
    <w:rsid w:val="002D036C"/>
    <w:rsid w:val="002D040F"/>
    <w:rsid w:val="002D050E"/>
    <w:rsid w:val="002D0533"/>
    <w:rsid w:val="002D0812"/>
    <w:rsid w:val="002D0CD9"/>
    <w:rsid w:val="002D11E2"/>
    <w:rsid w:val="002D1213"/>
    <w:rsid w:val="002D18B7"/>
    <w:rsid w:val="002D1DAF"/>
    <w:rsid w:val="002D2466"/>
    <w:rsid w:val="002D28A0"/>
    <w:rsid w:val="002D2B9F"/>
    <w:rsid w:val="002D2DA9"/>
    <w:rsid w:val="002D37F7"/>
    <w:rsid w:val="002D3E5F"/>
    <w:rsid w:val="002D3F2D"/>
    <w:rsid w:val="002D4169"/>
    <w:rsid w:val="002D4257"/>
    <w:rsid w:val="002D4600"/>
    <w:rsid w:val="002D4BBB"/>
    <w:rsid w:val="002D4BE8"/>
    <w:rsid w:val="002D5D6B"/>
    <w:rsid w:val="002D6121"/>
    <w:rsid w:val="002D6261"/>
    <w:rsid w:val="002D65BE"/>
    <w:rsid w:val="002D6A3C"/>
    <w:rsid w:val="002D6BF8"/>
    <w:rsid w:val="002D779E"/>
    <w:rsid w:val="002D77C1"/>
    <w:rsid w:val="002D7B09"/>
    <w:rsid w:val="002E031C"/>
    <w:rsid w:val="002E0658"/>
    <w:rsid w:val="002E0960"/>
    <w:rsid w:val="002E0FFD"/>
    <w:rsid w:val="002E105B"/>
    <w:rsid w:val="002E1078"/>
    <w:rsid w:val="002E10B6"/>
    <w:rsid w:val="002E18B7"/>
    <w:rsid w:val="002E1BE3"/>
    <w:rsid w:val="002E2B52"/>
    <w:rsid w:val="002E2E00"/>
    <w:rsid w:val="002E2FC3"/>
    <w:rsid w:val="002E32A4"/>
    <w:rsid w:val="002E32A5"/>
    <w:rsid w:val="002E393B"/>
    <w:rsid w:val="002E39AE"/>
    <w:rsid w:val="002E3DEA"/>
    <w:rsid w:val="002E40F1"/>
    <w:rsid w:val="002E4211"/>
    <w:rsid w:val="002E46D8"/>
    <w:rsid w:val="002E5017"/>
    <w:rsid w:val="002E5114"/>
    <w:rsid w:val="002E57F4"/>
    <w:rsid w:val="002E5F16"/>
    <w:rsid w:val="002E5F8C"/>
    <w:rsid w:val="002E6A94"/>
    <w:rsid w:val="002E6D46"/>
    <w:rsid w:val="002E6EE6"/>
    <w:rsid w:val="002E71AC"/>
    <w:rsid w:val="002E72E0"/>
    <w:rsid w:val="002E7684"/>
    <w:rsid w:val="002E783F"/>
    <w:rsid w:val="002E7AD8"/>
    <w:rsid w:val="002F014B"/>
    <w:rsid w:val="002F036E"/>
    <w:rsid w:val="002F064A"/>
    <w:rsid w:val="002F0947"/>
    <w:rsid w:val="002F0F4D"/>
    <w:rsid w:val="002F129F"/>
    <w:rsid w:val="002F1F64"/>
    <w:rsid w:val="002F1FC8"/>
    <w:rsid w:val="002F2668"/>
    <w:rsid w:val="002F2937"/>
    <w:rsid w:val="002F2D13"/>
    <w:rsid w:val="002F2DC4"/>
    <w:rsid w:val="002F31F1"/>
    <w:rsid w:val="002F3774"/>
    <w:rsid w:val="002F3B1D"/>
    <w:rsid w:val="002F3F60"/>
    <w:rsid w:val="002F4168"/>
    <w:rsid w:val="002F4234"/>
    <w:rsid w:val="002F4A03"/>
    <w:rsid w:val="002F4A4E"/>
    <w:rsid w:val="002F502D"/>
    <w:rsid w:val="002F54A1"/>
    <w:rsid w:val="002F5AFE"/>
    <w:rsid w:val="002F5B7C"/>
    <w:rsid w:val="002F5CD1"/>
    <w:rsid w:val="002F5EAD"/>
    <w:rsid w:val="002F5F74"/>
    <w:rsid w:val="002F61CE"/>
    <w:rsid w:val="003001C3"/>
    <w:rsid w:val="00300871"/>
    <w:rsid w:val="003008BF"/>
    <w:rsid w:val="00300F35"/>
    <w:rsid w:val="00301170"/>
    <w:rsid w:val="003013D6"/>
    <w:rsid w:val="00301715"/>
    <w:rsid w:val="00301785"/>
    <w:rsid w:val="00301A99"/>
    <w:rsid w:val="00301D6A"/>
    <w:rsid w:val="00302295"/>
    <w:rsid w:val="0030229D"/>
    <w:rsid w:val="003029C6"/>
    <w:rsid w:val="00303022"/>
    <w:rsid w:val="003035D7"/>
    <w:rsid w:val="003037AC"/>
    <w:rsid w:val="00303C60"/>
    <w:rsid w:val="00303C99"/>
    <w:rsid w:val="00303E69"/>
    <w:rsid w:val="00303EA6"/>
    <w:rsid w:val="0030405E"/>
    <w:rsid w:val="003042D0"/>
    <w:rsid w:val="003045C6"/>
    <w:rsid w:val="00304746"/>
    <w:rsid w:val="00304876"/>
    <w:rsid w:val="003048B2"/>
    <w:rsid w:val="0030498B"/>
    <w:rsid w:val="00304B25"/>
    <w:rsid w:val="00304B5C"/>
    <w:rsid w:val="00304DEC"/>
    <w:rsid w:val="00304E35"/>
    <w:rsid w:val="00305557"/>
    <w:rsid w:val="00305A8B"/>
    <w:rsid w:val="00305AC9"/>
    <w:rsid w:val="00306019"/>
    <w:rsid w:val="00306463"/>
    <w:rsid w:val="003066C9"/>
    <w:rsid w:val="00306A6A"/>
    <w:rsid w:val="00306B7A"/>
    <w:rsid w:val="003071B8"/>
    <w:rsid w:val="0030729C"/>
    <w:rsid w:val="00307907"/>
    <w:rsid w:val="00307914"/>
    <w:rsid w:val="00307924"/>
    <w:rsid w:val="00307944"/>
    <w:rsid w:val="003105AC"/>
    <w:rsid w:val="00310609"/>
    <w:rsid w:val="00310A67"/>
    <w:rsid w:val="00310AB4"/>
    <w:rsid w:val="00310E9E"/>
    <w:rsid w:val="00310FE5"/>
    <w:rsid w:val="003124EF"/>
    <w:rsid w:val="0031251A"/>
    <w:rsid w:val="0031268A"/>
    <w:rsid w:val="003126F8"/>
    <w:rsid w:val="00312A05"/>
    <w:rsid w:val="00312B2D"/>
    <w:rsid w:val="00312B84"/>
    <w:rsid w:val="00312D2C"/>
    <w:rsid w:val="00312DB4"/>
    <w:rsid w:val="00312F2F"/>
    <w:rsid w:val="0031306C"/>
    <w:rsid w:val="003130D7"/>
    <w:rsid w:val="00313611"/>
    <w:rsid w:val="003136BD"/>
    <w:rsid w:val="00313C28"/>
    <w:rsid w:val="00313FC9"/>
    <w:rsid w:val="00314F54"/>
    <w:rsid w:val="003163D4"/>
    <w:rsid w:val="00316508"/>
    <w:rsid w:val="00316718"/>
    <w:rsid w:val="00316C3A"/>
    <w:rsid w:val="00316C79"/>
    <w:rsid w:val="00316E7E"/>
    <w:rsid w:val="00316F29"/>
    <w:rsid w:val="00317BBC"/>
    <w:rsid w:val="00317BDA"/>
    <w:rsid w:val="00317F6A"/>
    <w:rsid w:val="003201DF"/>
    <w:rsid w:val="0032054E"/>
    <w:rsid w:val="003208BD"/>
    <w:rsid w:val="00320B25"/>
    <w:rsid w:val="00320B95"/>
    <w:rsid w:val="00320F04"/>
    <w:rsid w:val="00321301"/>
    <w:rsid w:val="00321508"/>
    <w:rsid w:val="00321E94"/>
    <w:rsid w:val="0032230B"/>
    <w:rsid w:val="00322611"/>
    <w:rsid w:val="00322838"/>
    <w:rsid w:val="003229C6"/>
    <w:rsid w:val="00322CFC"/>
    <w:rsid w:val="00322D20"/>
    <w:rsid w:val="003234B0"/>
    <w:rsid w:val="0032360A"/>
    <w:rsid w:val="00323983"/>
    <w:rsid w:val="00323B38"/>
    <w:rsid w:val="00323BB8"/>
    <w:rsid w:val="00323BEC"/>
    <w:rsid w:val="00323FE9"/>
    <w:rsid w:val="00324241"/>
    <w:rsid w:val="00324319"/>
    <w:rsid w:val="00324321"/>
    <w:rsid w:val="00324684"/>
    <w:rsid w:val="00324A27"/>
    <w:rsid w:val="00324C32"/>
    <w:rsid w:val="0032538F"/>
    <w:rsid w:val="0032546D"/>
    <w:rsid w:val="003255A5"/>
    <w:rsid w:val="003255EC"/>
    <w:rsid w:val="0032597E"/>
    <w:rsid w:val="00325EA9"/>
    <w:rsid w:val="00326477"/>
    <w:rsid w:val="00326930"/>
    <w:rsid w:val="00326E5B"/>
    <w:rsid w:val="003271BB"/>
    <w:rsid w:val="00327923"/>
    <w:rsid w:val="00327A16"/>
    <w:rsid w:val="00327D60"/>
    <w:rsid w:val="00327FA4"/>
    <w:rsid w:val="003301AC"/>
    <w:rsid w:val="00330389"/>
    <w:rsid w:val="00330803"/>
    <w:rsid w:val="0033095D"/>
    <w:rsid w:val="00330F43"/>
    <w:rsid w:val="00331045"/>
    <w:rsid w:val="003317B1"/>
    <w:rsid w:val="00331873"/>
    <w:rsid w:val="00331B74"/>
    <w:rsid w:val="00331D01"/>
    <w:rsid w:val="003324BA"/>
    <w:rsid w:val="00332A1D"/>
    <w:rsid w:val="00332AAE"/>
    <w:rsid w:val="003330A7"/>
    <w:rsid w:val="003332D8"/>
    <w:rsid w:val="0033373C"/>
    <w:rsid w:val="00333E30"/>
    <w:rsid w:val="00333EC3"/>
    <w:rsid w:val="0033468B"/>
    <w:rsid w:val="0033487D"/>
    <w:rsid w:val="003349BB"/>
    <w:rsid w:val="00334BF4"/>
    <w:rsid w:val="00334E9D"/>
    <w:rsid w:val="003352B9"/>
    <w:rsid w:val="00335360"/>
    <w:rsid w:val="0033588A"/>
    <w:rsid w:val="00335D9E"/>
    <w:rsid w:val="00335E6A"/>
    <w:rsid w:val="00335EFD"/>
    <w:rsid w:val="003360F5"/>
    <w:rsid w:val="00336494"/>
    <w:rsid w:val="0033669F"/>
    <w:rsid w:val="003367DC"/>
    <w:rsid w:val="0033691D"/>
    <w:rsid w:val="00336927"/>
    <w:rsid w:val="00336929"/>
    <w:rsid w:val="00336E3E"/>
    <w:rsid w:val="0033734E"/>
    <w:rsid w:val="00337C0E"/>
    <w:rsid w:val="003405AB"/>
    <w:rsid w:val="003407B9"/>
    <w:rsid w:val="00341E71"/>
    <w:rsid w:val="00341E77"/>
    <w:rsid w:val="00341F5D"/>
    <w:rsid w:val="0034253F"/>
    <w:rsid w:val="0034308C"/>
    <w:rsid w:val="0034345B"/>
    <w:rsid w:val="003435BA"/>
    <w:rsid w:val="0034361E"/>
    <w:rsid w:val="00343DAF"/>
    <w:rsid w:val="0034411B"/>
    <w:rsid w:val="003444BD"/>
    <w:rsid w:val="003447F5"/>
    <w:rsid w:val="0034484E"/>
    <w:rsid w:val="00344917"/>
    <w:rsid w:val="00344969"/>
    <w:rsid w:val="00344A3E"/>
    <w:rsid w:val="00344C60"/>
    <w:rsid w:val="00344E8C"/>
    <w:rsid w:val="00345569"/>
    <w:rsid w:val="00345843"/>
    <w:rsid w:val="00345974"/>
    <w:rsid w:val="00345AF9"/>
    <w:rsid w:val="003460D4"/>
    <w:rsid w:val="0034613B"/>
    <w:rsid w:val="003465C1"/>
    <w:rsid w:val="0034677B"/>
    <w:rsid w:val="00346B95"/>
    <w:rsid w:val="00346DC9"/>
    <w:rsid w:val="00346FE9"/>
    <w:rsid w:val="0034704D"/>
    <w:rsid w:val="003470A1"/>
    <w:rsid w:val="00347302"/>
    <w:rsid w:val="0034763C"/>
    <w:rsid w:val="0034785C"/>
    <w:rsid w:val="00347AC2"/>
    <w:rsid w:val="0034F39B"/>
    <w:rsid w:val="00350418"/>
    <w:rsid w:val="003504F6"/>
    <w:rsid w:val="00350883"/>
    <w:rsid w:val="00350889"/>
    <w:rsid w:val="003508D7"/>
    <w:rsid w:val="00350F5F"/>
    <w:rsid w:val="003511CE"/>
    <w:rsid w:val="00351585"/>
    <w:rsid w:val="00351657"/>
    <w:rsid w:val="00351CA0"/>
    <w:rsid w:val="00352091"/>
    <w:rsid w:val="003520B1"/>
    <w:rsid w:val="00352655"/>
    <w:rsid w:val="00352C54"/>
    <w:rsid w:val="00352E98"/>
    <w:rsid w:val="0035373E"/>
    <w:rsid w:val="0035386B"/>
    <w:rsid w:val="00353D56"/>
    <w:rsid w:val="003541AF"/>
    <w:rsid w:val="003541D5"/>
    <w:rsid w:val="00354E91"/>
    <w:rsid w:val="00355325"/>
    <w:rsid w:val="00355461"/>
    <w:rsid w:val="003554AD"/>
    <w:rsid w:val="0035626F"/>
    <w:rsid w:val="00356884"/>
    <w:rsid w:val="00356FAE"/>
    <w:rsid w:val="00357057"/>
    <w:rsid w:val="003573C2"/>
    <w:rsid w:val="003576F1"/>
    <w:rsid w:val="003579A8"/>
    <w:rsid w:val="00357C71"/>
    <w:rsid w:val="00357E32"/>
    <w:rsid w:val="00357EB1"/>
    <w:rsid w:val="00360031"/>
    <w:rsid w:val="003602A5"/>
    <w:rsid w:val="0036071D"/>
    <w:rsid w:val="00360B71"/>
    <w:rsid w:val="00360CFA"/>
    <w:rsid w:val="00361153"/>
    <w:rsid w:val="003615C2"/>
    <w:rsid w:val="00361C56"/>
    <w:rsid w:val="00361FCD"/>
    <w:rsid w:val="00362362"/>
    <w:rsid w:val="00362542"/>
    <w:rsid w:val="0036267D"/>
    <w:rsid w:val="0036279E"/>
    <w:rsid w:val="00362B6C"/>
    <w:rsid w:val="00363071"/>
    <w:rsid w:val="00363191"/>
    <w:rsid w:val="0036337D"/>
    <w:rsid w:val="00363579"/>
    <w:rsid w:val="0036372E"/>
    <w:rsid w:val="00363CFE"/>
    <w:rsid w:val="00363F01"/>
    <w:rsid w:val="00364308"/>
    <w:rsid w:val="003643F3"/>
    <w:rsid w:val="00364E2A"/>
    <w:rsid w:val="00364FEC"/>
    <w:rsid w:val="003653F9"/>
    <w:rsid w:val="00365BCF"/>
    <w:rsid w:val="00365D25"/>
    <w:rsid w:val="003664D7"/>
    <w:rsid w:val="00366B93"/>
    <w:rsid w:val="00366BDF"/>
    <w:rsid w:val="00366BF8"/>
    <w:rsid w:val="00366F14"/>
    <w:rsid w:val="003672D0"/>
    <w:rsid w:val="0036749F"/>
    <w:rsid w:val="003674D3"/>
    <w:rsid w:val="0036760B"/>
    <w:rsid w:val="00367A44"/>
    <w:rsid w:val="00367AE9"/>
    <w:rsid w:val="0037000C"/>
    <w:rsid w:val="00370213"/>
    <w:rsid w:val="00370348"/>
    <w:rsid w:val="0037059B"/>
    <w:rsid w:val="003705C4"/>
    <w:rsid w:val="00370BFF"/>
    <w:rsid w:val="00370C02"/>
    <w:rsid w:val="00371020"/>
    <w:rsid w:val="0037121F"/>
    <w:rsid w:val="00371517"/>
    <w:rsid w:val="003716B0"/>
    <w:rsid w:val="003716F3"/>
    <w:rsid w:val="003717C4"/>
    <w:rsid w:val="003717D7"/>
    <w:rsid w:val="00371FBC"/>
    <w:rsid w:val="00372159"/>
    <w:rsid w:val="0037249E"/>
    <w:rsid w:val="00372A3D"/>
    <w:rsid w:val="00372BB8"/>
    <w:rsid w:val="00372BF9"/>
    <w:rsid w:val="00373261"/>
    <w:rsid w:val="00373318"/>
    <w:rsid w:val="00373647"/>
    <w:rsid w:val="00373C14"/>
    <w:rsid w:val="00373DA3"/>
    <w:rsid w:val="00373E67"/>
    <w:rsid w:val="00373FD1"/>
    <w:rsid w:val="0037415D"/>
    <w:rsid w:val="0037417E"/>
    <w:rsid w:val="0037423F"/>
    <w:rsid w:val="00374602"/>
    <w:rsid w:val="00374681"/>
    <w:rsid w:val="00374B52"/>
    <w:rsid w:val="00374EB1"/>
    <w:rsid w:val="00374F99"/>
    <w:rsid w:val="003751A6"/>
    <w:rsid w:val="00375227"/>
    <w:rsid w:val="003754C9"/>
    <w:rsid w:val="003754F0"/>
    <w:rsid w:val="00375658"/>
    <w:rsid w:val="003756E6"/>
    <w:rsid w:val="003758D3"/>
    <w:rsid w:val="00375DD0"/>
    <w:rsid w:val="00375F0B"/>
    <w:rsid w:val="003765B2"/>
    <w:rsid w:val="0037661A"/>
    <w:rsid w:val="003767BB"/>
    <w:rsid w:val="00376943"/>
    <w:rsid w:val="00376A42"/>
    <w:rsid w:val="00376A99"/>
    <w:rsid w:val="00376AED"/>
    <w:rsid w:val="0037723A"/>
    <w:rsid w:val="003776BE"/>
    <w:rsid w:val="00377E24"/>
    <w:rsid w:val="00377EA7"/>
    <w:rsid w:val="00380242"/>
    <w:rsid w:val="00380A5D"/>
    <w:rsid w:val="00380ADE"/>
    <w:rsid w:val="00380BB4"/>
    <w:rsid w:val="00380C4B"/>
    <w:rsid w:val="00380D06"/>
    <w:rsid w:val="00380D80"/>
    <w:rsid w:val="00381396"/>
    <w:rsid w:val="0038170F"/>
    <w:rsid w:val="003818BC"/>
    <w:rsid w:val="00382231"/>
    <w:rsid w:val="003825AE"/>
    <w:rsid w:val="00382679"/>
    <w:rsid w:val="003828CD"/>
    <w:rsid w:val="0038290C"/>
    <w:rsid w:val="00382AED"/>
    <w:rsid w:val="00382CDF"/>
    <w:rsid w:val="00382EEF"/>
    <w:rsid w:val="0038310F"/>
    <w:rsid w:val="0038332C"/>
    <w:rsid w:val="0038333F"/>
    <w:rsid w:val="003834E0"/>
    <w:rsid w:val="00383DEE"/>
    <w:rsid w:val="003843E0"/>
    <w:rsid w:val="0038465B"/>
    <w:rsid w:val="00384B28"/>
    <w:rsid w:val="003852EF"/>
    <w:rsid w:val="003853CF"/>
    <w:rsid w:val="00385DD4"/>
    <w:rsid w:val="00385DF2"/>
    <w:rsid w:val="0038627A"/>
    <w:rsid w:val="00386880"/>
    <w:rsid w:val="00386B86"/>
    <w:rsid w:val="00386E1F"/>
    <w:rsid w:val="00386F61"/>
    <w:rsid w:val="003873E2"/>
    <w:rsid w:val="00387ACF"/>
    <w:rsid w:val="00387BBD"/>
    <w:rsid w:val="0039001E"/>
    <w:rsid w:val="00390232"/>
    <w:rsid w:val="00390596"/>
    <w:rsid w:val="0039118E"/>
    <w:rsid w:val="003913E7"/>
    <w:rsid w:val="00391595"/>
    <w:rsid w:val="00391928"/>
    <w:rsid w:val="0039198D"/>
    <w:rsid w:val="00391EFE"/>
    <w:rsid w:val="003926BB"/>
    <w:rsid w:val="00392793"/>
    <w:rsid w:val="00392AF2"/>
    <w:rsid w:val="0039305E"/>
    <w:rsid w:val="00393192"/>
    <w:rsid w:val="0039327F"/>
    <w:rsid w:val="00393B85"/>
    <w:rsid w:val="00393B9E"/>
    <w:rsid w:val="0039451E"/>
    <w:rsid w:val="00394595"/>
    <w:rsid w:val="003952B6"/>
    <w:rsid w:val="003959AB"/>
    <w:rsid w:val="00395CF1"/>
    <w:rsid w:val="003961D2"/>
    <w:rsid w:val="003967E9"/>
    <w:rsid w:val="00396A56"/>
    <w:rsid w:val="003978DC"/>
    <w:rsid w:val="003979FE"/>
    <w:rsid w:val="00397E7D"/>
    <w:rsid w:val="00397EE4"/>
    <w:rsid w:val="003A0036"/>
    <w:rsid w:val="003A0558"/>
    <w:rsid w:val="003A094E"/>
    <w:rsid w:val="003A0D8D"/>
    <w:rsid w:val="003A10C9"/>
    <w:rsid w:val="003A16A8"/>
    <w:rsid w:val="003A19D0"/>
    <w:rsid w:val="003A1F97"/>
    <w:rsid w:val="003A2396"/>
    <w:rsid w:val="003A272F"/>
    <w:rsid w:val="003A2914"/>
    <w:rsid w:val="003A2C95"/>
    <w:rsid w:val="003A30AF"/>
    <w:rsid w:val="003A3624"/>
    <w:rsid w:val="003A3904"/>
    <w:rsid w:val="003A40C4"/>
    <w:rsid w:val="003A45D4"/>
    <w:rsid w:val="003A4654"/>
    <w:rsid w:val="003A4C9F"/>
    <w:rsid w:val="003A4DE8"/>
    <w:rsid w:val="003A4E08"/>
    <w:rsid w:val="003A4F8A"/>
    <w:rsid w:val="003A4FFE"/>
    <w:rsid w:val="003A52D0"/>
    <w:rsid w:val="003A5397"/>
    <w:rsid w:val="003A58BC"/>
    <w:rsid w:val="003A5915"/>
    <w:rsid w:val="003A5F2D"/>
    <w:rsid w:val="003A5FCC"/>
    <w:rsid w:val="003A5FDD"/>
    <w:rsid w:val="003A629D"/>
    <w:rsid w:val="003A6351"/>
    <w:rsid w:val="003A64C9"/>
    <w:rsid w:val="003A6995"/>
    <w:rsid w:val="003A721A"/>
    <w:rsid w:val="003A75A0"/>
    <w:rsid w:val="003B0130"/>
    <w:rsid w:val="003B064C"/>
    <w:rsid w:val="003B06DD"/>
    <w:rsid w:val="003B07C1"/>
    <w:rsid w:val="003B08C1"/>
    <w:rsid w:val="003B0BF0"/>
    <w:rsid w:val="003B0CED"/>
    <w:rsid w:val="003B0DC8"/>
    <w:rsid w:val="003B0E80"/>
    <w:rsid w:val="003B12F4"/>
    <w:rsid w:val="003B1584"/>
    <w:rsid w:val="003B240A"/>
    <w:rsid w:val="003B2F6C"/>
    <w:rsid w:val="003B342C"/>
    <w:rsid w:val="003B3859"/>
    <w:rsid w:val="003B3C67"/>
    <w:rsid w:val="003B3D43"/>
    <w:rsid w:val="003B3D6C"/>
    <w:rsid w:val="003B3DC2"/>
    <w:rsid w:val="003B428E"/>
    <w:rsid w:val="003B4331"/>
    <w:rsid w:val="003B456B"/>
    <w:rsid w:val="003B4671"/>
    <w:rsid w:val="003B4FDC"/>
    <w:rsid w:val="003B5439"/>
    <w:rsid w:val="003B55E0"/>
    <w:rsid w:val="003B55F6"/>
    <w:rsid w:val="003B5C15"/>
    <w:rsid w:val="003B5EA8"/>
    <w:rsid w:val="003B6086"/>
    <w:rsid w:val="003B6737"/>
    <w:rsid w:val="003B6AF0"/>
    <w:rsid w:val="003B6C3A"/>
    <w:rsid w:val="003B70A2"/>
    <w:rsid w:val="003B76DE"/>
    <w:rsid w:val="003B7A27"/>
    <w:rsid w:val="003B7F19"/>
    <w:rsid w:val="003C00DD"/>
    <w:rsid w:val="003C012F"/>
    <w:rsid w:val="003C055C"/>
    <w:rsid w:val="003C0B25"/>
    <w:rsid w:val="003C1246"/>
    <w:rsid w:val="003C153C"/>
    <w:rsid w:val="003C168A"/>
    <w:rsid w:val="003C1809"/>
    <w:rsid w:val="003C1B4C"/>
    <w:rsid w:val="003C1BA9"/>
    <w:rsid w:val="003C1CD9"/>
    <w:rsid w:val="003C20E1"/>
    <w:rsid w:val="003C229A"/>
    <w:rsid w:val="003C2489"/>
    <w:rsid w:val="003C281E"/>
    <w:rsid w:val="003C2AD0"/>
    <w:rsid w:val="003C2C3C"/>
    <w:rsid w:val="003C2CBD"/>
    <w:rsid w:val="003C2EEE"/>
    <w:rsid w:val="003C2F44"/>
    <w:rsid w:val="003C30FE"/>
    <w:rsid w:val="003C3BFB"/>
    <w:rsid w:val="003C3E1D"/>
    <w:rsid w:val="003C3F35"/>
    <w:rsid w:val="003C405E"/>
    <w:rsid w:val="003C4970"/>
    <w:rsid w:val="003C58F9"/>
    <w:rsid w:val="003C5CCD"/>
    <w:rsid w:val="003C61FB"/>
    <w:rsid w:val="003C628B"/>
    <w:rsid w:val="003C64ED"/>
    <w:rsid w:val="003C669F"/>
    <w:rsid w:val="003C6719"/>
    <w:rsid w:val="003C67FD"/>
    <w:rsid w:val="003C6953"/>
    <w:rsid w:val="003C6C41"/>
    <w:rsid w:val="003C6D8D"/>
    <w:rsid w:val="003C701A"/>
    <w:rsid w:val="003C76AC"/>
    <w:rsid w:val="003C7933"/>
    <w:rsid w:val="003C7A20"/>
    <w:rsid w:val="003C7A72"/>
    <w:rsid w:val="003C7AB2"/>
    <w:rsid w:val="003C7B11"/>
    <w:rsid w:val="003C7C59"/>
    <w:rsid w:val="003D000F"/>
    <w:rsid w:val="003D043B"/>
    <w:rsid w:val="003D0691"/>
    <w:rsid w:val="003D07EA"/>
    <w:rsid w:val="003D0AAC"/>
    <w:rsid w:val="003D0EBD"/>
    <w:rsid w:val="003D1415"/>
    <w:rsid w:val="003D178F"/>
    <w:rsid w:val="003D1B7A"/>
    <w:rsid w:val="003D2642"/>
    <w:rsid w:val="003D27C2"/>
    <w:rsid w:val="003D2D67"/>
    <w:rsid w:val="003D3055"/>
    <w:rsid w:val="003D33B8"/>
    <w:rsid w:val="003D3514"/>
    <w:rsid w:val="003D395E"/>
    <w:rsid w:val="003D3A45"/>
    <w:rsid w:val="003D42D6"/>
    <w:rsid w:val="003D4475"/>
    <w:rsid w:val="003D44D4"/>
    <w:rsid w:val="003D44D5"/>
    <w:rsid w:val="003D4518"/>
    <w:rsid w:val="003D459A"/>
    <w:rsid w:val="003D46ED"/>
    <w:rsid w:val="003D4DF8"/>
    <w:rsid w:val="003D501C"/>
    <w:rsid w:val="003D59E5"/>
    <w:rsid w:val="003D5F9E"/>
    <w:rsid w:val="003D6027"/>
    <w:rsid w:val="003D6497"/>
    <w:rsid w:val="003D65A0"/>
    <w:rsid w:val="003D666C"/>
    <w:rsid w:val="003D6763"/>
    <w:rsid w:val="003D68BE"/>
    <w:rsid w:val="003D69D8"/>
    <w:rsid w:val="003D6C51"/>
    <w:rsid w:val="003D6F97"/>
    <w:rsid w:val="003D736C"/>
    <w:rsid w:val="003E0129"/>
    <w:rsid w:val="003E014A"/>
    <w:rsid w:val="003E048C"/>
    <w:rsid w:val="003E0518"/>
    <w:rsid w:val="003E0645"/>
    <w:rsid w:val="003E1510"/>
    <w:rsid w:val="003E1570"/>
    <w:rsid w:val="003E1848"/>
    <w:rsid w:val="003E18B3"/>
    <w:rsid w:val="003E1D87"/>
    <w:rsid w:val="003E1E57"/>
    <w:rsid w:val="003E2341"/>
    <w:rsid w:val="003E25E8"/>
    <w:rsid w:val="003E26B3"/>
    <w:rsid w:val="003E298C"/>
    <w:rsid w:val="003E2B07"/>
    <w:rsid w:val="003E301C"/>
    <w:rsid w:val="003E3085"/>
    <w:rsid w:val="003E31D3"/>
    <w:rsid w:val="003E395B"/>
    <w:rsid w:val="003E3E68"/>
    <w:rsid w:val="003E3FDA"/>
    <w:rsid w:val="003E4484"/>
    <w:rsid w:val="003E47FD"/>
    <w:rsid w:val="003E492E"/>
    <w:rsid w:val="003E4A84"/>
    <w:rsid w:val="003E4C25"/>
    <w:rsid w:val="003E4C9E"/>
    <w:rsid w:val="003E4D43"/>
    <w:rsid w:val="003E4E57"/>
    <w:rsid w:val="003E5009"/>
    <w:rsid w:val="003E5080"/>
    <w:rsid w:val="003E529E"/>
    <w:rsid w:val="003E554B"/>
    <w:rsid w:val="003E6630"/>
    <w:rsid w:val="003E68E9"/>
    <w:rsid w:val="003E6B02"/>
    <w:rsid w:val="003E6C71"/>
    <w:rsid w:val="003E6CF3"/>
    <w:rsid w:val="003E6FA5"/>
    <w:rsid w:val="003E6FC0"/>
    <w:rsid w:val="003E71D9"/>
    <w:rsid w:val="003E721A"/>
    <w:rsid w:val="003E7798"/>
    <w:rsid w:val="003E7A79"/>
    <w:rsid w:val="003E7EE7"/>
    <w:rsid w:val="003F02CF"/>
    <w:rsid w:val="003F0FD5"/>
    <w:rsid w:val="003F202C"/>
    <w:rsid w:val="003F2FC6"/>
    <w:rsid w:val="003F3623"/>
    <w:rsid w:val="003F3806"/>
    <w:rsid w:val="003F3871"/>
    <w:rsid w:val="003F3C1A"/>
    <w:rsid w:val="003F3CB0"/>
    <w:rsid w:val="003F42C1"/>
    <w:rsid w:val="003F4848"/>
    <w:rsid w:val="003F49AE"/>
    <w:rsid w:val="003F5A1C"/>
    <w:rsid w:val="003F5A53"/>
    <w:rsid w:val="003F5F71"/>
    <w:rsid w:val="003F604C"/>
    <w:rsid w:val="003F6324"/>
    <w:rsid w:val="003F6807"/>
    <w:rsid w:val="003F6ADA"/>
    <w:rsid w:val="003F6E10"/>
    <w:rsid w:val="003F7223"/>
    <w:rsid w:val="003F75AA"/>
    <w:rsid w:val="003F7DB7"/>
    <w:rsid w:val="003F7E76"/>
    <w:rsid w:val="00400494"/>
    <w:rsid w:val="004007F5"/>
    <w:rsid w:val="00400DD8"/>
    <w:rsid w:val="00401002"/>
    <w:rsid w:val="00401559"/>
    <w:rsid w:val="004015F9"/>
    <w:rsid w:val="00401673"/>
    <w:rsid w:val="004016D8"/>
    <w:rsid w:val="004018F2"/>
    <w:rsid w:val="00401D07"/>
    <w:rsid w:val="00401D7B"/>
    <w:rsid w:val="0040270C"/>
    <w:rsid w:val="0040299F"/>
    <w:rsid w:val="00402E7F"/>
    <w:rsid w:val="00403094"/>
    <w:rsid w:val="00403323"/>
    <w:rsid w:val="004035CE"/>
    <w:rsid w:val="00403ACA"/>
    <w:rsid w:val="00403CC7"/>
    <w:rsid w:val="00403DA7"/>
    <w:rsid w:val="00403EB6"/>
    <w:rsid w:val="00403F96"/>
    <w:rsid w:val="004041F7"/>
    <w:rsid w:val="004045A9"/>
    <w:rsid w:val="00404C9B"/>
    <w:rsid w:val="00404D98"/>
    <w:rsid w:val="00405889"/>
    <w:rsid w:val="00405C69"/>
    <w:rsid w:val="00405DFA"/>
    <w:rsid w:val="004060CD"/>
    <w:rsid w:val="004064DC"/>
    <w:rsid w:val="00406810"/>
    <w:rsid w:val="004068CB"/>
    <w:rsid w:val="00407143"/>
    <w:rsid w:val="0040735D"/>
    <w:rsid w:val="004074C0"/>
    <w:rsid w:val="004078F2"/>
    <w:rsid w:val="00407CEC"/>
    <w:rsid w:val="00407EF6"/>
    <w:rsid w:val="00410272"/>
    <w:rsid w:val="00410280"/>
    <w:rsid w:val="004107FA"/>
    <w:rsid w:val="0041099E"/>
    <w:rsid w:val="00410D32"/>
    <w:rsid w:val="00410D38"/>
    <w:rsid w:val="00411895"/>
    <w:rsid w:val="00412017"/>
    <w:rsid w:val="00412284"/>
    <w:rsid w:val="0041239C"/>
    <w:rsid w:val="004128F6"/>
    <w:rsid w:val="00412B44"/>
    <w:rsid w:val="004130C1"/>
    <w:rsid w:val="0041354F"/>
    <w:rsid w:val="00413925"/>
    <w:rsid w:val="00413A4E"/>
    <w:rsid w:val="00414180"/>
    <w:rsid w:val="0041447C"/>
    <w:rsid w:val="004144D8"/>
    <w:rsid w:val="00414550"/>
    <w:rsid w:val="004146D3"/>
    <w:rsid w:val="00415038"/>
    <w:rsid w:val="004152A1"/>
    <w:rsid w:val="004155BE"/>
    <w:rsid w:val="0041565A"/>
    <w:rsid w:val="00415B08"/>
    <w:rsid w:val="00415C02"/>
    <w:rsid w:val="00415D66"/>
    <w:rsid w:val="00415E84"/>
    <w:rsid w:val="00415FBC"/>
    <w:rsid w:val="00416471"/>
    <w:rsid w:val="00416601"/>
    <w:rsid w:val="0041667C"/>
    <w:rsid w:val="004168A1"/>
    <w:rsid w:val="004168CC"/>
    <w:rsid w:val="00416A31"/>
    <w:rsid w:val="0041719B"/>
    <w:rsid w:val="004174EF"/>
    <w:rsid w:val="00417967"/>
    <w:rsid w:val="00417E00"/>
    <w:rsid w:val="00417F6E"/>
    <w:rsid w:val="0042071B"/>
    <w:rsid w:val="00420C47"/>
    <w:rsid w:val="00420DF7"/>
    <w:rsid w:val="004212BB"/>
    <w:rsid w:val="00421678"/>
    <w:rsid w:val="00421869"/>
    <w:rsid w:val="0042187B"/>
    <w:rsid w:val="004218AC"/>
    <w:rsid w:val="00421E9E"/>
    <w:rsid w:val="00421FF9"/>
    <w:rsid w:val="004223EE"/>
    <w:rsid w:val="004226AE"/>
    <w:rsid w:val="004226BB"/>
    <w:rsid w:val="004226C6"/>
    <w:rsid w:val="00422C9F"/>
    <w:rsid w:val="00422F8B"/>
    <w:rsid w:val="004235F5"/>
    <w:rsid w:val="004236E6"/>
    <w:rsid w:val="0042384E"/>
    <w:rsid w:val="0042386E"/>
    <w:rsid w:val="00423EF4"/>
    <w:rsid w:val="0042412A"/>
    <w:rsid w:val="00424190"/>
    <w:rsid w:val="004241E6"/>
    <w:rsid w:val="004247D1"/>
    <w:rsid w:val="00424890"/>
    <w:rsid w:val="00424E09"/>
    <w:rsid w:val="00424E57"/>
    <w:rsid w:val="0042598F"/>
    <w:rsid w:val="004259E9"/>
    <w:rsid w:val="00425B22"/>
    <w:rsid w:val="00426057"/>
    <w:rsid w:val="00426202"/>
    <w:rsid w:val="0042662C"/>
    <w:rsid w:val="0042699B"/>
    <w:rsid w:val="00426ADE"/>
    <w:rsid w:val="00426F7C"/>
    <w:rsid w:val="004270D8"/>
    <w:rsid w:val="00427506"/>
    <w:rsid w:val="0042754D"/>
    <w:rsid w:val="00427584"/>
    <w:rsid w:val="00427708"/>
    <w:rsid w:val="004277DE"/>
    <w:rsid w:val="00427B56"/>
    <w:rsid w:val="00427E1E"/>
    <w:rsid w:val="004303AA"/>
    <w:rsid w:val="00430449"/>
    <w:rsid w:val="004304A1"/>
    <w:rsid w:val="00430537"/>
    <w:rsid w:val="00430601"/>
    <w:rsid w:val="00430609"/>
    <w:rsid w:val="00430AB1"/>
    <w:rsid w:val="00430CB1"/>
    <w:rsid w:val="00430F52"/>
    <w:rsid w:val="004311B6"/>
    <w:rsid w:val="004311FB"/>
    <w:rsid w:val="00431781"/>
    <w:rsid w:val="004318CE"/>
    <w:rsid w:val="00431EF6"/>
    <w:rsid w:val="00431F62"/>
    <w:rsid w:val="00432382"/>
    <w:rsid w:val="00432407"/>
    <w:rsid w:val="00432F75"/>
    <w:rsid w:val="0043315A"/>
    <w:rsid w:val="00433178"/>
    <w:rsid w:val="004331AC"/>
    <w:rsid w:val="004331E9"/>
    <w:rsid w:val="00433244"/>
    <w:rsid w:val="00433485"/>
    <w:rsid w:val="004334F4"/>
    <w:rsid w:val="004335A1"/>
    <w:rsid w:val="00433A37"/>
    <w:rsid w:val="00433FBC"/>
    <w:rsid w:val="00434115"/>
    <w:rsid w:val="00434D76"/>
    <w:rsid w:val="004350B3"/>
    <w:rsid w:val="0043511A"/>
    <w:rsid w:val="004351DB"/>
    <w:rsid w:val="004353E8"/>
    <w:rsid w:val="00435FB7"/>
    <w:rsid w:val="00436402"/>
    <w:rsid w:val="00436438"/>
    <w:rsid w:val="00436456"/>
    <w:rsid w:val="00436A29"/>
    <w:rsid w:val="00436A39"/>
    <w:rsid w:val="00436C20"/>
    <w:rsid w:val="00436D11"/>
    <w:rsid w:val="00436F39"/>
    <w:rsid w:val="0043727F"/>
    <w:rsid w:val="004372BE"/>
    <w:rsid w:val="00437483"/>
    <w:rsid w:val="00437C09"/>
    <w:rsid w:val="00437DD1"/>
    <w:rsid w:val="00437E60"/>
    <w:rsid w:val="00437EDD"/>
    <w:rsid w:val="0044002B"/>
    <w:rsid w:val="004401F9"/>
    <w:rsid w:val="004403A6"/>
    <w:rsid w:val="00440924"/>
    <w:rsid w:val="00440AFC"/>
    <w:rsid w:val="00440B1B"/>
    <w:rsid w:val="00440B78"/>
    <w:rsid w:val="00441A6C"/>
    <w:rsid w:val="00441AB1"/>
    <w:rsid w:val="00441B61"/>
    <w:rsid w:val="00441CA0"/>
    <w:rsid w:val="00441EA7"/>
    <w:rsid w:val="004423D0"/>
    <w:rsid w:val="0044244B"/>
    <w:rsid w:val="004428C0"/>
    <w:rsid w:val="00442B46"/>
    <w:rsid w:val="00442B92"/>
    <w:rsid w:val="00442BD7"/>
    <w:rsid w:val="00442E98"/>
    <w:rsid w:val="00442FE6"/>
    <w:rsid w:val="0044308E"/>
    <w:rsid w:val="00443119"/>
    <w:rsid w:val="004437A2"/>
    <w:rsid w:val="00443993"/>
    <w:rsid w:val="00443A47"/>
    <w:rsid w:val="00444015"/>
    <w:rsid w:val="00444300"/>
    <w:rsid w:val="00444394"/>
    <w:rsid w:val="004448A8"/>
    <w:rsid w:val="00444FC7"/>
    <w:rsid w:val="0044519B"/>
    <w:rsid w:val="00445C5B"/>
    <w:rsid w:val="00445EBE"/>
    <w:rsid w:val="004462D3"/>
    <w:rsid w:val="004466F3"/>
    <w:rsid w:val="004469D3"/>
    <w:rsid w:val="00446A57"/>
    <w:rsid w:val="00446FCC"/>
    <w:rsid w:val="00447AC7"/>
    <w:rsid w:val="00447E1D"/>
    <w:rsid w:val="00447E47"/>
    <w:rsid w:val="004504F6"/>
    <w:rsid w:val="0045051A"/>
    <w:rsid w:val="00450552"/>
    <w:rsid w:val="00450753"/>
    <w:rsid w:val="0045091F"/>
    <w:rsid w:val="00450B1E"/>
    <w:rsid w:val="004512BF"/>
    <w:rsid w:val="0045294F"/>
    <w:rsid w:val="004532D0"/>
    <w:rsid w:val="0045382D"/>
    <w:rsid w:val="00453A77"/>
    <w:rsid w:val="00453D3C"/>
    <w:rsid w:val="00453F94"/>
    <w:rsid w:val="004544E2"/>
    <w:rsid w:val="00454604"/>
    <w:rsid w:val="004547E3"/>
    <w:rsid w:val="004547F6"/>
    <w:rsid w:val="0045481A"/>
    <w:rsid w:val="004548D6"/>
    <w:rsid w:val="00454C0E"/>
    <w:rsid w:val="004550B2"/>
    <w:rsid w:val="00455189"/>
    <w:rsid w:val="00455693"/>
    <w:rsid w:val="00455944"/>
    <w:rsid w:val="00455A02"/>
    <w:rsid w:val="00456112"/>
    <w:rsid w:val="004569E8"/>
    <w:rsid w:val="00456B65"/>
    <w:rsid w:val="00456F23"/>
    <w:rsid w:val="00457002"/>
    <w:rsid w:val="0045732C"/>
    <w:rsid w:val="004575A2"/>
    <w:rsid w:val="00457769"/>
    <w:rsid w:val="0045783D"/>
    <w:rsid w:val="0045798F"/>
    <w:rsid w:val="00457AFE"/>
    <w:rsid w:val="0045C25A"/>
    <w:rsid w:val="0046011E"/>
    <w:rsid w:val="004601C5"/>
    <w:rsid w:val="0046028F"/>
    <w:rsid w:val="004603B8"/>
    <w:rsid w:val="004608C9"/>
    <w:rsid w:val="00460BBA"/>
    <w:rsid w:val="00460D7C"/>
    <w:rsid w:val="00460E8E"/>
    <w:rsid w:val="004611B1"/>
    <w:rsid w:val="0046147C"/>
    <w:rsid w:val="0046171E"/>
    <w:rsid w:val="00461FA7"/>
    <w:rsid w:val="00462036"/>
    <w:rsid w:val="0046207B"/>
    <w:rsid w:val="00462ADB"/>
    <w:rsid w:val="00462C96"/>
    <w:rsid w:val="00462D5F"/>
    <w:rsid w:val="00462F58"/>
    <w:rsid w:val="004630BC"/>
    <w:rsid w:val="004632FA"/>
    <w:rsid w:val="00463935"/>
    <w:rsid w:val="00463A07"/>
    <w:rsid w:val="00463CF4"/>
    <w:rsid w:val="00464A14"/>
    <w:rsid w:val="00464D6A"/>
    <w:rsid w:val="0046516F"/>
    <w:rsid w:val="00465F97"/>
    <w:rsid w:val="00466328"/>
    <w:rsid w:val="00467256"/>
    <w:rsid w:val="00467344"/>
    <w:rsid w:val="004673C9"/>
    <w:rsid w:val="004675C8"/>
    <w:rsid w:val="004675EF"/>
    <w:rsid w:val="004700FF"/>
    <w:rsid w:val="004701FE"/>
    <w:rsid w:val="0047049B"/>
    <w:rsid w:val="00470A6D"/>
    <w:rsid w:val="00470A71"/>
    <w:rsid w:val="00470DCB"/>
    <w:rsid w:val="004711FD"/>
    <w:rsid w:val="0047132B"/>
    <w:rsid w:val="00471E90"/>
    <w:rsid w:val="0047210A"/>
    <w:rsid w:val="00472669"/>
    <w:rsid w:val="00473400"/>
    <w:rsid w:val="00473667"/>
    <w:rsid w:val="004739AD"/>
    <w:rsid w:val="00473A9B"/>
    <w:rsid w:val="00473CA0"/>
    <w:rsid w:val="00473F05"/>
    <w:rsid w:val="0047404B"/>
    <w:rsid w:val="004744CD"/>
    <w:rsid w:val="00474D18"/>
    <w:rsid w:val="00475458"/>
    <w:rsid w:val="00475691"/>
    <w:rsid w:val="00476524"/>
    <w:rsid w:val="00476B40"/>
    <w:rsid w:val="00476D61"/>
    <w:rsid w:val="00476D6D"/>
    <w:rsid w:val="00476E0A"/>
    <w:rsid w:val="00476F0A"/>
    <w:rsid w:val="00477488"/>
    <w:rsid w:val="004774D0"/>
    <w:rsid w:val="0047779A"/>
    <w:rsid w:val="00480352"/>
    <w:rsid w:val="00480773"/>
    <w:rsid w:val="00480864"/>
    <w:rsid w:val="004808E4"/>
    <w:rsid w:val="00480BE5"/>
    <w:rsid w:val="00480F98"/>
    <w:rsid w:val="00481053"/>
    <w:rsid w:val="004811A9"/>
    <w:rsid w:val="00481607"/>
    <w:rsid w:val="00481FC0"/>
    <w:rsid w:val="0048225D"/>
    <w:rsid w:val="004825AE"/>
    <w:rsid w:val="00482609"/>
    <w:rsid w:val="00482802"/>
    <w:rsid w:val="00482B83"/>
    <w:rsid w:val="00483032"/>
    <w:rsid w:val="00483370"/>
    <w:rsid w:val="00483946"/>
    <w:rsid w:val="00483C0B"/>
    <w:rsid w:val="00483CC0"/>
    <w:rsid w:val="00483DD5"/>
    <w:rsid w:val="00484106"/>
    <w:rsid w:val="0048439A"/>
    <w:rsid w:val="0048519D"/>
    <w:rsid w:val="004857DC"/>
    <w:rsid w:val="00485DF3"/>
    <w:rsid w:val="00485EAE"/>
    <w:rsid w:val="004861DC"/>
    <w:rsid w:val="00486313"/>
    <w:rsid w:val="00486512"/>
    <w:rsid w:val="00486666"/>
    <w:rsid w:val="004868AA"/>
    <w:rsid w:val="00486EA2"/>
    <w:rsid w:val="00486FBD"/>
    <w:rsid w:val="0048710A"/>
    <w:rsid w:val="00487231"/>
    <w:rsid w:val="0048734B"/>
    <w:rsid w:val="00487616"/>
    <w:rsid w:val="0048768B"/>
    <w:rsid w:val="00487715"/>
    <w:rsid w:val="00487847"/>
    <w:rsid w:val="004878F8"/>
    <w:rsid w:val="0048797A"/>
    <w:rsid w:val="00487D62"/>
    <w:rsid w:val="00487E54"/>
    <w:rsid w:val="00490308"/>
    <w:rsid w:val="00490598"/>
    <w:rsid w:val="00490ABA"/>
    <w:rsid w:val="00490FDE"/>
    <w:rsid w:val="004917A8"/>
    <w:rsid w:val="00491D15"/>
    <w:rsid w:val="00491D81"/>
    <w:rsid w:val="00491FD2"/>
    <w:rsid w:val="00492092"/>
    <w:rsid w:val="00492A4E"/>
    <w:rsid w:val="00492EA6"/>
    <w:rsid w:val="004932AD"/>
    <w:rsid w:val="0049346B"/>
    <w:rsid w:val="00493954"/>
    <w:rsid w:val="00493B5A"/>
    <w:rsid w:val="00493BD0"/>
    <w:rsid w:val="00493D72"/>
    <w:rsid w:val="00493F58"/>
    <w:rsid w:val="00494091"/>
    <w:rsid w:val="00494438"/>
    <w:rsid w:val="0049458A"/>
    <w:rsid w:val="004946C5"/>
    <w:rsid w:val="00494CF8"/>
    <w:rsid w:val="00495002"/>
    <w:rsid w:val="0049529B"/>
    <w:rsid w:val="004963BD"/>
    <w:rsid w:val="00496819"/>
    <w:rsid w:val="00496BF9"/>
    <w:rsid w:val="00496DDB"/>
    <w:rsid w:val="00496FC3"/>
    <w:rsid w:val="0049733C"/>
    <w:rsid w:val="004977E0"/>
    <w:rsid w:val="00497DF4"/>
    <w:rsid w:val="004A01B1"/>
    <w:rsid w:val="004A0509"/>
    <w:rsid w:val="004A0FBB"/>
    <w:rsid w:val="004A10DD"/>
    <w:rsid w:val="004A117A"/>
    <w:rsid w:val="004A12AB"/>
    <w:rsid w:val="004A15DC"/>
    <w:rsid w:val="004A19F5"/>
    <w:rsid w:val="004A1B96"/>
    <w:rsid w:val="004A1C23"/>
    <w:rsid w:val="004A22F8"/>
    <w:rsid w:val="004A2556"/>
    <w:rsid w:val="004A2AAB"/>
    <w:rsid w:val="004A2BA7"/>
    <w:rsid w:val="004A382C"/>
    <w:rsid w:val="004A39D8"/>
    <w:rsid w:val="004A3C4D"/>
    <w:rsid w:val="004A3C70"/>
    <w:rsid w:val="004A44F7"/>
    <w:rsid w:val="004A4830"/>
    <w:rsid w:val="004A48AE"/>
    <w:rsid w:val="004A4904"/>
    <w:rsid w:val="004A4B4C"/>
    <w:rsid w:val="004A5230"/>
    <w:rsid w:val="004A532F"/>
    <w:rsid w:val="004A55C8"/>
    <w:rsid w:val="004A5606"/>
    <w:rsid w:val="004A5F2C"/>
    <w:rsid w:val="004A60E1"/>
    <w:rsid w:val="004A6468"/>
    <w:rsid w:val="004A686D"/>
    <w:rsid w:val="004A6AE9"/>
    <w:rsid w:val="004A6CB9"/>
    <w:rsid w:val="004A6CC4"/>
    <w:rsid w:val="004A6D4E"/>
    <w:rsid w:val="004A798C"/>
    <w:rsid w:val="004A7A54"/>
    <w:rsid w:val="004A7B0A"/>
    <w:rsid w:val="004A7B0B"/>
    <w:rsid w:val="004A7BA6"/>
    <w:rsid w:val="004B08C3"/>
    <w:rsid w:val="004B0A71"/>
    <w:rsid w:val="004B0ECA"/>
    <w:rsid w:val="004B15D8"/>
    <w:rsid w:val="004B1752"/>
    <w:rsid w:val="004B1A85"/>
    <w:rsid w:val="004B1ABA"/>
    <w:rsid w:val="004B1B5A"/>
    <w:rsid w:val="004B2404"/>
    <w:rsid w:val="004B2A4C"/>
    <w:rsid w:val="004B382E"/>
    <w:rsid w:val="004B3BAC"/>
    <w:rsid w:val="004B3E5D"/>
    <w:rsid w:val="004B44EE"/>
    <w:rsid w:val="004B452C"/>
    <w:rsid w:val="004B45EF"/>
    <w:rsid w:val="004B4869"/>
    <w:rsid w:val="004B4C7D"/>
    <w:rsid w:val="004B4D30"/>
    <w:rsid w:val="004B506F"/>
    <w:rsid w:val="004B5458"/>
    <w:rsid w:val="004B54F2"/>
    <w:rsid w:val="004B5619"/>
    <w:rsid w:val="004B568C"/>
    <w:rsid w:val="004B57DA"/>
    <w:rsid w:val="004B5965"/>
    <w:rsid w:val="004B5A0B"/>
    <w:rsid w:val="004B5A4F"/>
    <w:rsid w:val="004B5E25"/>
    <w:rsid w:val="004B5EF7"/>
    <w:rsid w:val="004B609F"/>
    <w:rsid w:val="004B63B0"/>
    <w:rsid w:val="004B6683"/>
    <w:rsid w:val="004B68CB"/>
    <w:rsid w:val="004B6CC0"/>
    <w:rsid w:val="004B70C8"/>
    <w:rsid w:val="004B742B"/>
    <w:rsid w:val="004B779F"/>
    <w:rsid w:val="004B7CB5"/>
    <w:rsid w:val="004B7EB9"/>
    <w:rsid w:val="004B7EDC"/>
    <w:rsid w:val="004C029B"/>
    <w:rsid w:val="004C079C"/>
    <w:rsid w:val="004C07C5"/>
    <w:rsid w:val="004C0A32"/>
    <w:rsid w:val="004C0A6D"/>
    <w:rsid w:val="004C0D38"/>
    <w:rsid w:val="004C0E61"/>
    <w:rsid w:val="004C1090"/>
    <w:rsid w:val="004C1136"/>
    <w:rsid w:val="004C12C8"/>
    <w:rsid w:val="004C139E"/>
    <w:rsid w:val="004C1537"/>
    <w:rsid w:val="004C16B6"/>
    <w:rsid w:val="004C16ED"/>
    <w:rsid w:val="004C1948"/>
    <w:rsid w:val="004C19B1"/>
    <w:rsid w:val="004C1A7E"/>
    <w:rsid w:val="004C23ED"/>
    <w:rsid w:val="004C2491"/>
    <w:rsid w:val="004C2AFD"/>
    <w:rsid w:val="004C32F3"/>
    <w:rsid w:val="004C35C6"/>
    <w:rsid w:val="004C37EE"/>
    <w:rsid w:val="004C3C3F"/>
    <w:rsid w:val="004C4154"/>
    <w:rsid w:val="004C41FD"/>
    <w:rsid w:val="004C4984"/>
    <w:rsid w:val="004C4FC9"/>
    <w:rsid w:val="004C547C"/>
    <w:rsid w:val="004C5F26"/>
    <w:rsid w:val="004C5FE6"/>
    <w:rsid w:val="004C6297"/>
    <w:rsid w:val="004C6DE5"/>
    <w:rsid w:val="004C7450"/>
    <w:rsid w:val="004C77CE"/>
    <w:rsid w:val="004C7BC4"/>
    <w:rsid w:val="004C7ED2"/>
    <w:rsid w:val="004D02E1"/>
    <w:rsid w:val="004D09E1"/>
    <w:rsid w:val="004D0C9F"/>
    <w:rsid w:val="004D0CE0"/>
    <w:rsid w:val="004D0EEA"/>
    <w:rsid w:val="004D0F1C"/>
    <w:rsid w:val="004D17EE"/>
    <w:rsid w:val="004D21D0"/>
    <w:rsid w:val="004D2540"/>
    <w:rsid w:val="004D2A38"/>
    <w:rsid w:val="004D2C03"/>
    <w:rsid w:val="004D2CF9"/>
    <w:rsid w:val="004D2D21"/>
    <w:rsid w:val="004D3240"/>
    <w:rsid w:val="004D381A"/>
    <w:rsid w:val="004D3BC9"/>
    <w:rsid w:val="004D3F6C"/>
    <w:rsid w:val="004D42ED"/>
    <w:rsid w:val="004D43F2"/>
    <w:rsid w:val="004D465D"/>
    <w:rsid w:val="004D4966"/>
    <w:rsid w:val="004D4BF4"/>
    <w:rsid w:val="004D4CC6"/>
    <w:rsid w:val="004D5335"/>
    <w:rsid w:val="004D5393"/>
    <w:rsid w:val="004D552F"/>
    <w:rsid w:val="004D60CE"/>
    <w:rsid w:val="004D6B0A"/>
    <w:rsid w:val="004D6BA2"/>
    <w:rsid w:val="004D6F74"/>
    <w:rsid w:val="004D6FB1"/>
    <w:rsid w:val="004E02E6"/>
    <w:rsid w:val="004E0340"/>
    <w:rsid w:val="004E0649"/>
    <w:rsid w:val="004E06E8"/>
    <w:rsid w:val="004E0AAF"/>
    <w:rsid w:val="004E0C8A"/>
    <w:rsid w:val="004E1079"/>
    <w:rsid w:val="004E1101"/>
    <w:rsid w:val="004E111E"/>
    <w:rsid w:val="004E172D"/>
    <w:rsid w:val="004E1F33"/>
    <w:rsid w:val="004E2046"/>
    <w:rsid w:val="004E20AA"/>
    <w:rsid w:val="004E2554"/>
    <w:rsid w:val="004E285D"/>
    <w:rsid w:val="004E2B6B"/>
    <w:rsid w:val="004E2CE1"/>
    <w:rsid w:val="004E2D7C"/>
    <w:rsid w:val="004E3083"/>
    <w:rsid w:val="004E30BF"/>
    <w:rsid w:val="004E337B"/>
    <w:rsid w:val="004E36C6"/>
    <w:rsid w:val="004E37BD"/>
    <w:rsid w:val="004E38CD"/>
    <w:rsid w:val="004E39DF"/>
    <w:rsid w:val="004E3A27"/>
    <w:rsid w:val="004E3CB3"/>
    <w:rsid w:val="004E3DD5"/>
    <w:rsid w:val="004E3ECA"/>
    <w:rsid w:val="004E3FD8"/>
    <w:rsid w:val="004E41DD"/>
    <w:rsid w:val="004E4264"/>
    <w:rsid w:val="004E44BE"/>
    <w:rsid w:val="004E4511"/>
    <w:rsid w:val="004E4C41"/>
    <w:rsid w:val="004E5317"/>
    <w:rsid w:val="004E5320"/>
    <w:rsid w:val="004E571D"/>
    <w:rsid w:val="004E59D2"/>
    <w:rsid w:val="004E607C"/>
    <w:rsid w:val="004E6586"/>
    <w:rsid w:val="004E6722"/>
    <w:rsid w:val="004E689D"/>
    <w:rsid w:val="004E6FCB"/>
    <w:rsid w:val="004E7054"/>
    <w:rsid w:val="004E71C5"/>
    <w:rsid w:val="004E789C"/>
    <w:rsid w:val="004E796F"/>
    <w:rsid w:val="004E7991"/>
    <w:rsid w:val="004E7FBE"/>
    <w:rsid w:val="004F000A"/>
    <w:rsid w:val="004F03E8"/>
    <w:rsid w:val="004F1882"/>
    <w:rsid w:val="004F192D"/>
    <w:rsid w:val="004F20C6"/>
    <w:rsid w:val="004F21B5"/>
    <w:rsid w:val="004F27A3"/>
    <w:rsid w:val="004F29FC"/>
    <w:rsid w:val="004F2C5B"/>
    <w:rsid w:val="004F2C8B"/>
    <w:rsid w:val="004F2DC8"/>
    <w:rsid w:val="004F2E1F"/>
    <w:rsid w:val="004F2E71"/>
    <w:rsid w:val="004F3293"/>
    <w:rsid w:val="004F391F"/>
    <w:rsid w:val="004F394D"/>
    <w:rsid w:val="004F4138"/>
    <w:rsid w:val="004F4231"/>
    <w:rsid w:val="004F45C4"/>
    <w:rsid w:val="004F4755"/>
    <w:rsid w:val="004F4857"/>
    <w:rsid w:val="004F4DC0"/>
    <w:rsid w:val="004F50DB"/>
    <w:rsid w:val="004F5128"/>
    <w:rsid w:val="004F52AA"/>
    <w:rsid w:val="004F57A1"/>
    <w:rsid w:val="004F5A2F"/>
    <w:rsid w:val="004F5B99"/>
    <w:rsid w:val="004F6221"/>
    <w:rsid w:val="004F627B"/>
    <w:rsid w:val="004F62B3"/>
    <w:rsid w:val="004F6A69"/>
    <w:rsid w:val="004F6DFE"/>
    <w:rsid w:val="004F7173"/>
    <w:rsid w:val="004F7285"/>
    <w:rsid w:val="004F765E"/>
    <w:rsid w:val="004F7CCC"/>
    <w:rsid w:val="0050018F"/>
    <w:rsid w:val="0050029A"/>
    <w:rsid w:val="00500442"/>
    <w:rsid w:val="00500598"/>
    <w:rsid w:val="0050079B"/>
    <w:rsid w:val="005007DD"/>
    <w:rsid w:val="00500D0D"/>
    <w:rsid w:val="00500EDB"/>
    <w:rsid w:val="00500F30"/>
    <w:rsid w:val="00500F6A"/>
    <w:rsid w:val="00501203"/>
    <w:rsid w:val="0050124B"/>
    <w:rsid w:val="005019BC"/>
    <w:rsid w:val="00501BE1"/>
    <w:rsid w:val="00501CF1"/>
    <w:rsid w:val="0050215C"/>
    <w:rsid w:val="005027CA"/>
    <w:rsid w:val="00502933"/>
    <w:rsid w:val="00502EA6"/>
    <w:rsid w:val="0050341E"/>
    <w:rsid w:val="0050351D"/>
    <w:rsid w:val="005038E6"/>
    <w:rsid w:val="00503B3B"/>
    <w:rsid w:val="00503B4F"/>
    <w:rsid w:val="00503E98"/>
    <w:rsid w:val="00504035"/>
    <w:rsid w:val="00504267"/>
    <w:rsid w:val="00504B4C"/>
    <w:rsid w:val="00504BC7"/>
    <w:rsid w:val="00504E13"/>
    <w:rsid w:val="00504F28"/>
    <w:rsid w:val="00505967"/>
    <w:rsid w:val="00505AAE"/>
    <w:rsid w:val="00505ABD"/>
    <w:rsid w:val="00505DD8"/>
    <w:rsid w:val="00506904"/>
    <w:rsid w:val="00506A3B"/>
    <w:rsid w:val="00506C16"/>
    <w:rsid w:val="00507383"/>
    <w:rsid w:val="00507487"/>
    <w:rsid w:val="00507D59"/>
    <w:rsid w:val="00507E5D"/>
    <w:rsid w:val="00507F40"/>
    <w:rsid w:val="00507F90"/>
    <w:rsid w:val="00507FC4"/>
    <w:rsid w:val="00510785"/>
    <w:rsid w:val="005107A0"/>
    <w:rsid w:val="00510CA0"/>
    <w:rsid w:val="00510DE2"/>
    <w:rsid w:val="00510F8C"/>
    <w:rsid w:val="00511875"/>
    <w:rsid w:val="00512579"/>
    <w:rsid w:val="00512BB0"/>
    <w:rsid w:val="00512D90"/>
    <w:rsid w:val="00512E8E"/>
    <w:rsid w:val="00512F1F"/>
    <w:rsid w:val="005130D6"/>
    <w:rsid w:val="00513246"/>
    <w:rsid w:val="005139E6"/>
    <w:rsid w:val="005144BB"/>
    <w:rsid w:val="00514BEC"/>
    <w:rsid w:val="005153C6"/>
    <w:rsid w:val="00515E88"/>
    <w:rsid w:val="005167DC"/>
    <w:rsid w:val="005167DE"/>
    <w:rsid w:val="00516A09"/>
    <w:rsid w:val="00516B1D"/>
    <w:rsid w:val="00516C72"/>
    <w:rsid w:val="00516EAC"/>
    <w:rsid w:val="00516EC7"/>
    <w:rsid w:val="005170A9"/>
    <w:rsid w:val="00517165"/>
    <w:rsid w:val="0051754F"/>
    <w:rsid w:val="00517685"/>
    <w:rsid w:val="0051786A"/>
    <w:rsid w:val="005179B0"/>
    <w:rsid w:val="00517BF1"/>
    <w:rsid w:val="00517C87"/>
    <w:rsid w:val="00517D26"/>
    <w:rsid w:val="00517DDE"/>
    <w:rsid w:val="0052029C"/>
    <w:rsid w:val="00520400"/>
    <w:rsid w:val="0052046A"/>
    <w:rsid w:val="00520629"/>
    <w:rsid w:val="005206A4"/>
    <w:rsid w:val="0052079E"/>
    <w:rsid w:val="00520836"/>
    <w:rsid w:val="00520A7B"/>
    <w:rsid w:val="0052116F"/>
    <w:rsid w:val="005212E4"/>
    <w:rsid w:val="005216A4"/>
    <w:rsid w:val="00521D77"/>
    <w:rsid w:val="005227C1"/>
    <w:rsid w:val="00522A0E"/>
    <w:rsid w:val="00522A9A"/>
    <w:rsid w:val="00522DEA"/>
    <w:rsid w:val="00523290"/>
    <w:rsid w:val="00523579"/>
    <w:rsid w:val="005236D9"/>
    <w:rsid w:val="00524040"/>
    <w:rsid w:val="005241DD"/>
    <w:rsid w:val="005244C6"/>
    <w:rsid w:val="005245B7"/>
    <w:rsid w:val="0052465A"/>
    <w:rsid w:val="00524720"/>
    <w:rsid w:val="005248F8"/>
    <w:rsid w:val="005253B3"/>
    <w:rsid w:val="00525883"/>
    <w:rsid w:val="00525DB0"/>
    <w:rsid w:val="00525F66"/>
    <w:rsid w:val="0052622F"/>
    <w:rsid w:val="0052645D"/>
    <w:rsid w:val="00526F42"/>
    <w:rsid w:val="00527EE2"/>
    <w:rsid w:val="00530148"/>
    <w:rsid w:val="00530245"/>
    <w:rsid w:val="005303A3"/>
    <w:rsid w:val="0053044E"/>
    <w:rsid w:val="005305AB"/>
    <w:rsid w:val="00530F04"/>
    <w:rsid w:val="00530F73"/>
    <w:rsid w:val="005313C0"/>
    <w:rsid w:val="0053165F"/>
    <w:rsid w:val="00531776"/>
    <w:rsid w:val="005319E8"/>
    <w:rsid w:val="00531C43"/>
    <w:rsid w:val="00531E04"/>
    <w:rsid w:val="00531E79"/>
    <w:rsid w:val="00532308"/>
    <w:rsid w:val="0053230B"/>
    <w:rsid w:val="00532433"/>
    <w:rsid w:val="005325BA"/>
    <w:rsid w:val="0053286D"/>
    <w:rsid w:val="005328B9"/>
    <w:rsid w:val="00532B6C"/>
    <w:rsid w:val="00532F4B"/>
    <w:rsid w:val="005333D7"/>
    <w:rsid w:val="005335B3"/>
    <w:rsid w:val="005337AC"/>
    <w:rsid w:val="00533B0E"/>
    <w:rsid w:val="00533BEE"/>
    <w:rsid w:val="00533D41"/>
    <w:rsid w:val="00533D50"/>
    <w:rsid w:val="00533D62"/>
    <w:rsid w:val="00533E44"/>
    <w:rsid w:val="005342E2"/>
    <w:rsid w:val="0053476B"/>
    <w:rsid w:val="00534921"/>
    <w:rsid w:val="005353FC"/>
    <w:rsid w:val="0053550E"/>
    <w:rsid w:val="0053598F"/>
    <w:rsid w:val="005359F8"/>
    <w:rsid w:val="00535BBC"/>
    <w:rsid w:val="00535C84"/>
    <w:rsid w:val="005361A5"/>
    <w:rsid w:val="0053627D"/>
    <w:rsid w:val="00536325"/>
    <w:rsid w:val="005367CA"/>
    <w:rsid w:val="005368CB"/>
    <w:rsid w:val="00536DAB"/>
    <w:rsid w:val="00537043"/>
    <w:rsid w:val="005374CE"/>
    <w:rsid w:val="00537828"/>
    <w:rsid w:val="005379DB"/>
    <w:rsid w:val="00537B69"/>
    <w:rsid w:val="005406D1"/>
    <w:rsid w:val="00540752"/>
    <w:rsid w:val="005408CD"/>
    <w:rsid w:val="00540DF6"/>
    <w:rsid w:val="005416EE"/>
    <w:rsid w:val="00541D4A"/>
    <w:rsid w:val="00542456"/>
    <w:rsid w:val="0054264E"/>
    <w:rsid w:val="005428F6"/>
    <w:rsid w:val="00542914"/>
    <w:rsid w:val="00542BA1"/>
    <w:rsid w:val="00542D5F"/>
    <w:rsid w:val="00542F87"/>
    <w:rsid w:val="005431B7"/>
    <w:rsid w:val="0054337B"/>
    <w:rsid w:val="005435B4"/>
    <w:rsid w:val="0054380C"/>
    <w:rsid w:val="0054385E"/>
    <w:rsid w:val="005443EF"/>
    <w:rsid w:val="00544619"/>
    <w:rsid w:val="00544712"/>
    <w:rsid w:val="00544B49"/>
    <w:rsid w:val="00544CBE"/>
    <w:rsid w:val="0054570D"/>
    <w:rsid w:val="00545ACA"/>
    <w:rsid w:val="00545C11"/>
    <w:rsid w:val="0054605C"/>
    <w:rsid w:val="0054609A"/>
    <w:rsid w:val="00546AB0"/>
    <w:rsid w:val="00546F7C"/>
    <w:rsid w:val="0054756C"/>
    <w:rsid w:val="005478FC"/>
    <w:rsid w:val="0054C776"/>
    <w:rsid w:val="00550094"/>
    <w:rsid w:val="00550234"/>
    <w:rsid w:val="005508C2"/>
    <w:rsid w:val="00550BC2"/>
    <w:rsid w:val="00550F54"/>
    <w:rsid w:val="00551111"/>
    <w:rsid w:val="005519F8"/>
    <w:rsid w:val="00551CD0"/>
    <w:rsid w:val="0055216E"/>
    <w:rsid w:val="0055246F"/>
    <w:rsid w:val="00552727"/>
    <w:rsid w:val="00552A33"/>
    <w:rsid w:val="00552A95"/>
    <w:rsid w:val="00552F39"/>
    <w:rsid w:val="005531C8"/>
    <w:rsid w:val="005532BC"/>
    <w:rsid w:val="00553E16"/>
    <w:rsid w:val="00553E7C"/>
    <w:rsid w:val="005544FC"/>
    <w:rsid w:val="00554720"/>
    <w:rsid w:val="0055474C"/>
    <w:rsid w:val="00554FBD"/>
    <w:rsid w:val="00555325"/>
    <w:rsid w:val="00555565"/>
    <w:rsid w:val="0055570C"/>
    <w:rsid w:val="005557E3"/>
    <w:rsid w:val="00555B7E"/>
    <w:rsid w:val="00555C92"/>
    <w:rsid w:val="00556957"/>
    <w:rsid w:val="00556C38"/>
    <w:rsid w:val="00556EA8"/>
    <w:rsid w:val="00557237"/>
    <w:rsid w:val="00557322"/>
    <w:rsid w:val="005579E7"/>
    <w:rsid w:val="00557DF2"/>
    <w:rsid w:val="00557FD0"/>
    <w:rsid w:val="0056016B"/>
    <w:rsid w:val="005602EA"/>
    <w:rsid w:val="00560434"/>
    <w:rsid w:val="00560F04"/>
    <w:rsid w:val="005614CB"/>
    <w:rsid w:val="00561C70"/>
    <w:rsid w:val="00561D46"/>
    <w:rsid w:val="0056207F"/>
    <w:rsid w:val="005621A4"/>
    <w:rsid w:val="00562615"/>
    <w:rsid w:val="005626DD"/>
    <w:rsid w:val="00562B99"/>
    <w:rsid w:val="005636F6"/>
    <w:rsid w:val="00563830"/>
    <w:rsid w:val="005640DC"/>
    <w:rsid w:val="0056419F"/>
    <w:rsid w:val="00564A79"/>
    <w:rsid w:val="00565046"/>
    <w:rsid w:val="005650BD"/>
    <w:rsid w:val="005651AE"/>
    <w:rsid w:val="0056561F"/>
    <w:rsid w:val="00565FDC"/>
    <w:rsid w:val="00565FFC"/>
    <w:rsid w:val="005664CE"/>
    <w:rsid w:val="005668F1"/>
    <w:rsid w:val="00566921"/>
    <w:rsid w:val="00566AE1"/>
    <w:rsid w:val="005672E5"/>
    <w:rsid w:val="005673E4"/>
    <w:rsid w:val="005677DF"/>
    <w:rsid w:val="005679DC"/>
    <w:rsid w:val="00567C79"/>
    <w:rsid w:val="0057011E"/>
    <w:rsid w:val="00570293"/>
    <w:rsid w:val="005708CC"/>
    <w:rsid w:val="00570C61"/>
    <w:rsid w:val="00570E36"/>
    <w:rsid w:val="00571181"/>
    <w:rsid w:val="0057125A"/>
    <w:rsid w:val="0057126C"/>
    <w:rsid w:val="005715C2"/>
    <w:rsid w:val="0057172B"/>
    <w:rsid w:val="005717A5"/>
    <w:rsid w:val="00571806"/>
    <w:rsid w:val="0057185E"/>
    <w:rsid w:val="0057234C"/>
    <w:rsid w:val="0057302A"/>
    <w:rsid w:val="005730C2"/>
    <w:rsid w:val="00573317"/>
    <w:rsid w:val="0057336E"/>
    <w:rsid w:val="00573554"/>
    <w:rsid w:val="0057369D"/>
    <w:rsid w:val="00574791"/>
    <w:rsid w:val="005749B2"/>
    <w:rsid w:val="00574A0D"/>
    <w:rsid w:val="00574C56"/>
    <w:rsid w:val="00574CC5"/>
    <w:rsid w:val="00574EFC"/>
    <w:rsid w:val="0057526F"/>
    <w:rsid w:val="005759D3"/>
    <w:rsid w:val="0057607B"/>
    <w:rsid w:val="00576721"/>
    <w:rsid w:val="0057677E"/>
    <w:rsid w:val="0057688A"/>
    <w:rsid w:val="005769CE"/>
    <w:rsid w:val="00576B5A"/>
    <w:rsid w:val="00577458"/>
    <w:rsid w:val="00577600"/>
    <w:rsid w:val="00577A81"/>
    <w:rsid w:val="00577FAC"/>
    <w:rsid w:val="0058101D"/>
    <w:rsid w:val="00581105"/>
    <w:rsid w:val="0058115C"/>
    <w:rsid w:val="005813F9"/>
    <w:rsid w:val="00581506"/>
    <w:rsid w:val="00581724"/>
    <w:rsid w:val="0058199A"/>
    <w:rsid w:val="005819E2"/>
    <w:rsid w:val="00581B58"/>
    <w:rsid w:val="00581C91"/>
    <w:rsid w:val="00581E55"/>
    <w:rsid w:val="0058232F"/>
    <w:rsid w:val="00582B28"/>
    <w:rsid w:val="0058301B"/>
    <w:rsid w:val="005833A7"/>
    <w:rsid w:val="00583923"/>
    <w:rsid w:val="00583B32"/>
    <w:rsid w:val="00584B0B"/>
    <w:rsid w:val="00584EA1"/>
    <w:rsid w:val="00584FC5"/>
    <w:rsid w:val="00585047"/>
    <w:rsid w:val="00585964"/>
    <w:rsid w:val="00585AFA"/>
    <w:rsid w:val="00585CA2"/>
    <w:rsid w:val="00586931"/>
    <w:rsid w:val="00587467"/>
    <w:rsid w:val="005874CA"/>
    <w:rsid w:val="005879B8"/>
    <w:rsid w:val="00587AC0"/>
    <w:rsid w:val="00590292"/>
    <w:rsid w:val="00590594"/>
    <w:rsid w:val="00590B76"/>
    <w:rsid w:val="00590F5B"/>
    <w:rsid w:val="0059146D"/>
    <w:rsid w:val="005914A8"/>
    <w:rsid w:val="0059179D"/>
    <w:rsid w:val="005918DA"/>
    <w:rsid w:val="00591A57"/>
    <w:rsid w:val="005924E7"/>
    <w:rsid w:val="0059263A"/>
    <w:rsid w:val="00592778"/>
    <w:rsid w:val="005927E1"/>
    <w:rsid w:val="005929F1"/>
    <w:rsid w:val="00593206"/>
    <w:rsid w:val="0059354C"/>
    <w:rsid w:val="00593A0B"/>
    <w:rsid w:val="0059413A"/>
    <w:rsid w:val="005943E3"/>
    <w:rsid w:val="005945AB"/>
    <w:rsid w:val="0059477F"/>
    <w:rsid w:val="005948F0"/>
    <w:rsid w:val="00594917"/>
    <w:rsid w:val="00594AC6"/>
    <w:rsid w:val="00594E8E"/>
    <w:rsid w:val="0059525D"/>
    <w:rsid w:val="0059538A"/>
    <w:rsid w:val="005956D6"/>
    <w:rsid w:val="0059578D"/>
    <w:rsid w:val="00595C87"/>
    <w:rsid w:val="00595FF9"/>
    <w:rsid w:val="00596785"/>
    <w:rsid w:val="00596FFE"/>
    <w:rsid w:val="005970FD"/>
    <w:rsid w:val="005978A9"/>
    <w:rsid w:val="00597E3B"/>
    <w:rsid w:val="00597F94"/>
    <w:rsid w:val="00597FA1"/>
    <w:rsid w:val="005A0418"/>
    <w:rsid w:val="005A0688"/>
    <w:rsid w:val="005A06D1"/>
    <w:rsid w:val="005A081D"/>
    <w:rsid w:val="005A0879"/>
    <w:rsid w:val="005A08F6"/>
    <w:rsid w:val="005A0E08"/>
    <w:rsid w:val="005A10FA"/>
    <w:rsid w:val="005A115C"/>
    <w:rsid w:val="005A13E2"/>
    <w:rsid w:val="005A161E"/>
    <w:rsid w:val="005A181E"/>
    <w:rsid w:val="005A18B6"/>
    <w:rsid w:val="005A19A8"/>
    <w:rsid w:val="005A1E0E"/>
    <w:rsid w:val="005A21A8"/>
    <w:rsid w:val="005A2499"/>
    <w:rsid w:val="005A2A79"/>
    <w:rsid w:val="005A2BA7"/>
    <w:rsid w:val="005A2C75"/>
    <w:rsid w:val="005A3340"/>
    <w:rsid w:val="005A379D"/>
    <w:rsid w:val="005A3986"/>
    <w:rsid w:val="005A4E50"/>
    <w:rsid w:val="005A5B1D"/>
    <w:rsid w:val="005A5CA5"/>
    <w:rsid w:val="005A61E3"/>
    <w:rsid w:val="005A652E"/>
    <w:rsid w:val="005A6874"/>
    <w:rsid w:val="005A694C"/>
    <w:rsid w:val="005A69DC"/>
    <w:rsid w:val="005A6A36"/>
    <w:rsid w:val="005A6B12"/>
    <w:rsid w:val="005A729A"/>
    <w:rsid w:val="005A73B3"/>
    <w:rsid w:val="005A74B5"/>
    <w:rsid w:val="005A77C3"/>
    <w:rsid w:val="005A78AC"/>
    <w:rsid w:val="005A7977"/>
    <w:rsid w:val="005A7BC6"/>
    <w:rsid w:val="005A7E64"/>
    <w:rsid w:val="005AB887"/>
    <w:rsid w:val="005B0226"/>
    <w:rsid w:val="005B0455"/>
    <w:rsid w:val="005B04F6"/>
    <w:rsid w:val="005B0856"/>
    <w:rsid w:val="005B0FDA"/>
    <w:rsid w:val="005B102F"/>
    <w:rsid w:val="005B179B"/>
    <w:rsid w:val="005B1A15"/>
    <w:rsid w:val="005B2067"/>
    <w:rsid w:val="005B22B3"/>
    <w:rsid w:val="005B254F"/>
    <w:rsid w:val="005B2AB6"/>
    <w:rsid w:val="005B2C51"/>
    <w:rsid w:val="005B2EA1"/>
    <w:rsid w:val="005B2FEC"/>
    <w:rsid w:val="005B313B"/>
    <w:rsid w:val="005B35BB"/>
    <w:rsid w:val="005B376D"/>
    <w:rsid w:val="005B3FD5"/>
    <w:rsid w:val="005B42F1"/>
    <w:rsid w:val="005B4899"/>
    <w:rsid w:val="005B4C6F"/>
    <w:rsid w:val="005B4CE3"/>
    <w:rsid w:val="005B53FC"/>
    <w:rsid w:val="005B5A7C"/>
    <w:rsid w:val="005B651E"/>
    <w:rsid w:val="005B6667"/>
    <w:rsid w:val="005B6BDD"/>
    <w:rsid w:val="005B6C61"/>
    <w:rsid w:val="005B6CE2"/>
    <w:rsid w:val="005B72F5"/>
    <w:rsid w:val="005B7CA1"/>
    <w:rsid w:val="005C09DD"/>
    <w:rsid w:val="005C0AFC"/>
    <w:rsid w:val="005C0B93"/>
    <w:rsid w:val="005C0CCB"/>
    <w:rsid w:val="005C165D"/>
    <w:rsid w:val="005C1A1A"/>
    <w:rsid w:val="005C1F34"/>
    <w:rsid w:val="005C208F"/>
    <w:rsid w:val="005C30C9"/>
    <w:rsid w:val="005C3148"/>
    <w:rsid w:val="005C321A"/>
    <w:rsid w:val="005C3442"/>
    <w:rsid w:val="005C344E"/>
    <w:rsid w:val="005C376C"/>
    <w:rsid w:val="005C3FA3"/>
    <w:rsid w:val="005C41E6"/>
    <w:rsid w:val="005C43AD"/>
    <w:rsid w:val="005C45CB"/>
    <w:rsid w:val="005C4F98"/>
    <w:rsid w:val="005C58DB"/>
    <w:rsid w:val="005C5A27"/>
    <w:rsid w:val="005C5B19"/>
    <w:rsid w:val="005C5BD7"/>
    <w:rsid w:val="005C5C98"/>
    <w:rsid w:val="005C5F50"/>
    <w:rsid w:val="005C6422"/>
    <w:rsid w:val="005C64C9"/>
    <w:rsid w:val="005C64CC"/>
    <w:rsid w:val="005C651E"/>
    <w:rsid w:val="005C66BA"/>
    <w:rsid w:val="005C6F8A"/>
    <w:rsid w:val="005C717B"/>
    <w:rsid w:val="005C7269"/>
    <w:rsid w:val="005C7520"/>
    <w:rsid w:val="005C77A9"/>
    <w:rsid w:val="005C7E0B"/>
    <w:rsid w:val="005C7F14"/>
    <w:rsid w:val="005D0884"/>
    <w:rsid w:val="005D0BD7"/>
    <w:rsid w:val="005D0DCA"/>
    <w:rsid w:val="005D0EC0"/>
    <w:rsid w:val="005D0F62"/>
    <w:rsid w:val="005D1439"/>
    <w:rsid w:val="005D1B81"/>
    <w:rsid w:val="005D1D00"/>
    <w:rsid w:val="005D1F46"/>
    <w:rsid w:val="005D1F87"/>
    <w:rsid w:val="005D2375"/>
    <w:rsid w:val="005D2503"/>
    <w:rsid w:val="005D2C1C"/>
    <w:rsid w:val="005D30C6"/>
    <w:rsid w:val="005D31C9"/>
    <w:rsid w:val="005D31F2"/>
    <w:rsid w:val="005D3742"/>
    <w:rsid w:val="005D3885"/>
    <w:rsid w:val="005D390B"/>
    <w:rsid w:val="005D3C33"/>
    <w:rsid w:val="005D4391"/>
    <w:rsid w:val="005D4856"/>
    <w:rsid w:val="005D4AF4"/>
    <w:rsid w:val="005D4EE4"/>
    <w:rsid w:val="005D5225"/>
    <w:rsid w:val="005D5C33"/>
    <w:rsid w:val="005D5ED9"/>
    <w:rsid w:val="005D6557"/>
    <w:rsid w:val="005D66F5"/>
    <w:rsid w:val="005D7032"/>
    <w:rsid w:val="005D716C"/>
    <w:rsid w:val="005D7456"/>
    <w:rsid w:val="005D7550"/>
    <w:rsid w:val="005D7567"/>
    <w:rsid w:val="005D760A"/>
    <w:rsid w:val="005E0290"/>
    <w:rsid w:val="005E09BB"/>
    <w:rsid w:val="005E136A"/>
    <w:rsid w:val="005E154E"/>
    <w:rsid w:val="005E17B1"/>
    <w:rsid w:val="005E25EE"/>
    <w:rsid w:val="005E28EF"/>
    <w:rsid w:val="005E2CB0"/>
    <w:rsid w:val="005E2D15"/>
    <w:rsid w:val="005E2F08"/>
    <w:rsid w:val="005E3A48"/>
    <w:rsid w:val="005E3ECD"/>
    <w:rsid w:val="005E451A"/>
    <w:rsid w:val="005E47B5"/>
    <w:rsid w:val="005E49D6"/>
    <w:rsid w:val="005E4C58"/>
    <w:rsid w:val="005E5479"/>
    <w:rsid w:val="005E5880"/>
    <w:rsid w:val="005E6592"/>
    <w:rsid w:val="005E69DF"/>
    <w:rsid w:val="005E70EF"/>
    <w:rsid w:val="005E725A"/>
    <w:rsid w:val="005E7324"/>
    <w:rsid w:val="005E764F"/>
    <w:rsid w:val="005E77F2"/>
    <w:rsid w:val="005E7AB2"/>
    <w:rsid w:val="005E7C85"/>
    <w:rsid w:val="005E7D0D"/>
    <w:rsid w:val="005E7EAD"/>
    <w:rsid w:val="005E7F1A"/>
    <w:rsid w:val="005F0220"/>
    <w:rsid w:val="005F093D"/>
    <w:rsid w:val="005F0A0B"/>
    <w:rsid w:val="005F0DF0"/>
    <w:rsid w:val="005F107C"/>
    <w:rsid w:val="005F1148"/>
    <w:rsid w:val="005F1471"/>
    <w:rsid w:val="005F15BB"/>
    <w:rsid w:val="005F1663"/>
    <w:rsid w:val="005F172B"/>
    <w:rsid w:val="005F19A3"/>
    <w:rsid w:val="005F1F16"/>
    <w:rsid w:val="005F229F"/>
    <w:rsid w:val="005F23C8"/>
    <w:rsid w:val="005F244D"/>
    <w:rsid w:val="005F26B6"/>
    <w:rsid w:val="005F2A13"/>
    <w:rsid w:val="005F2DB6"/>
    <w:rsid w:val="005F313A"/>
    <w:rsid w:val="005F321C"/>
    <w:rsid w:val="005F3254"/>
    <w:rsid w:val="005F32A4"/>
    <w:rsid w:val="005F3532"/>
    <w:rsid w:val="005F35F4"/>
    <w:rsid w:val="005F3766"/>
    <w:rsid w:val="005F3A12"/>
    <w:rsid w:val="005F3BCF"/>
    <w:rsid w:val="005F3D50"/>
    <w:rsid w:val="005F4073"/>
    <w:rsid w:val="005F40C6"/>
    <w:rsid w:val="005F4579"/>
    <w:rsid w:val="005F488C"/>
    <w:rsid w:val="005F48ED"/>
    <w:rsid w:val="005F4F39"/>
    <w:rsid w:val="005F535D"/>
    <w:rsid w:val="005F54B2"/>
    <w:rsid w:val="005F588D"/>
    <w:rsid w:val="005F5B5E"/>
    <w:rsid w:val="005F5C58"/>
    <w:rsid w:val="005F5D94"/>
    <w:rsid w:val="005F60BE"/>
    <w:rsid w:val="005F612F"/>
    <w:rsid w:val="005F63AE"/>
    <w:rsid w:val="005F63EB"/>
    <w:rsid w:val="005F64C0"/>
    <w:rsid w:val="005F6D6B"/>
    <w:rsid w:val="005F6E2D"/>
    <w:rsid w:val="005F6EF6"/>
    <w:rsid w:val="005F728B"/>
    <w:rsid w:val="005F76FB"/>
    <w:rsid w:val="005F7E1C"/>
    <w:rsid w:val="00600192"/>
    <w:rsid w:val="0060041D"/>
    <w:rsid w:val="006007B1"/>
    <w:rsid w:val="0060147F"/>
    <w:rsid w:val="006017D1"/>
    <w:rsid w:val="00601CE2"/>
    <w:rsid w:val="00601E06"/>
    <w:rsid w:val="00601E48"/>
    <w:rsid w:val="006020CC"/>
    <w:rsid w:val="00602621"/>
    <w:rsid w:val="00602E66"/>
    <w:rsid w:val="00603228"/>
    <w:rsid w:val="006032DB"/>
    <w:rsid w:val="0060356E"/>
    <w:rsid w:val="00603664"/>
    <w:rsid w:val="00603818"/>
    <w:rsid w:val="00604DD9"/>
    <w:rsid w:val="00604E91"/>
    <w:rsid w:val="0060507F"/>
    <w:rsid w:val="0060528B"/>
    <w:rsid w:val="0060613D"/>
    <w:rsid w:val="006061A6"/>
    <w:rsid w:val="006061E8"/>
    <w:rsid w:val="006062C5"/>
    <w:rsid w:val="00606A65"/>
    <w:rsid w:val="00606CB3"/>
    <w:rsid w:val="00606E81"/>
    <w:rsid w:val="00607D5D"/>
    <w:rsid w:val="00609785"/>
    <w:rsid w:val="0061057C"/>
    <w:rsid w:val="00610662"/>
    <w:rsid w:val="00610828"/>
    <w:rsid w:val="00610D4F"/>
    <w:rsid w:val="00610D5A"/>
    <w:rsid w:val="006111E0"/>
    <w:rsid w:val="0061146D"/>
    <w:rsid w:val="006114D5"/>
    <w:rsid w:val="00611579"/>
    <w:rsid w:val="0061179A"/>
    <w:rsid w:val="00611901"/>
    <w:rsid w:val="0061196F"/>
    <w:rsid w:val="00611A81"/>
    <w:rsid w:val="00611B7D"/>
    <w:rsid w:val="00611E6A"/>
    <w:rsid w:val="0061219A"/>
    <w:rsid w:val="006122D1"/>
    <w:rsid w:val="00612545"/>
    <w:rsid w:val="00612EE5"/>
    <w:rsid w:val="00613136"/>
    <w:rsid w:val="00613142"/>
    <w:rsid w:val="0061317C"/>
    <w:rsid w:val="0061328C"/>
    <w:rsid w:val="00613412"/>
    <w:rsid w:val="006138A4"/>
    <w:rsid w:val="006139F6"/>
    <w:rsid w:val="00613FC8"/>
    <w:rsid w:val="0061423E"/>
    <w:rsid w:val="006146F7"/>
    <w:rsid w:val="00614935"/>
    <w:rsid w:val="00614B20"/>
    <w:rsid w:val="00614EF9"/>
    <w:rsid w:val="00615040"/>
    <w:rsid w:val="006159B7"/>
    <w:rsid w:val="00615A99"/>
    <w:rsid w:val="00615D7F"/>
    <w:rsid w:val="00615FA7"/>
    <w:rsid w:val="0061626D"/>
    <w:rsid w:val="006175CD"/>
    <w:rsid w:val="006176BE"/>
    <w:rsid w:val="00617D5E"/>
    <w:rsid w:val="00617E21"/>
    <w:rsid w:val="0061ADBF"/>
    <w:rsid w:val="00620543"/>
    <w:rsid w:val="0062056D"/>
    <w:rsid w:val="006205B7"/>
    <w:rsid w:val="006206C7"/>
    <w:rsid w:val="00620A07"/>
    <w:rsid w:val="00620E54"/>
    <w:rsid w:val="0062112B"/>
    <w:rsid w:val="006212AD"/>
    <w:rsid w:val="006219C4"/>
    <w:rsid w:val="00621B2B"/>
    <w:rsid w:val="00621DFD"/>
    <w:rsid w:val="00621ECB"/>
    <w:rsid w:val="00622118"/>
    <w:rsid w:val="0062220B"/>
    <w:rsid w:val="0062225E"/>
    <w:rsid w:val="00622511"/>
    <w:rsid w:val="006228CD"/>
    <w:rsid w:val="00622A87"/>
    <w:rsid w:val="00622C44"/>
    <w:rsid w:val="00622C81"/>
    <w:rsid w:val="00622C8A"/>
    <w:rsid w:val="00622E9C"/>
    <w:rsid w:val="006236E3"/>
    <w:rsid w:val="0062387A"/>
    <w:rsid w:val="00623E23"/>
    <w:rsid w:val="006246D1"/>
    <w:rsid w:val="00624911"/>
    <w:rsid w:val="0062492F"/>
    <w:rsid w:val="0062506C"/>
    <w:rsid w:val="006255C1"/>
    <w:rsid w:val="0062560D"/>
    <w:rsid w:val="00625AF6"/>
    <w:rsid w:val="0062625B"/>
    <w:rsid w:val="0062684F"/>
    <w:rsid w:val="006269EB"/>
    <w:rsid w:val="00626B9C"/>
    <w:rsid w:val="00626FEC"/>
    <w:rsid w:val="006276F0"/>
    <w:rsid w:val="00627811"/>
    <w:rsid w:val="00627BBB"/>
    <w:rsid w:val="00627C30"/>
    <w:rsid w:val="0063055F"/>
    <w:rsid w:val="00630618"/>
    <w:rsid w:val="00630680"/>
    <w:rsid w:val="00630965"/>
    <w:rsid w:val="00630D4F"/>
    <w:rsid w:val="006312C2"/>
    <w:rsid w:val="00631361"/>
    <w:rsid w:val="00631E93"/>
    <w:rsid w:val="0063226C"/>
    <w:rsid w:val="0063238F"/>
    <w:rsid w:val="0063257F"/>
    <w:rsid w:val="00632623"/>
    <w:rsid w:val="00632A02"/>
    <w:rsid w:val="00632B79"/>
    <w:rsid w:val="00632CAE"/>
    <w:rsid w:val="00633015"/>
    <w:rsid w:val="006334CF"/>
    <w:rsid w:val="0063367F"/>
    <w:rsid w:val="006341CB"/>
    <w:rsid w:val="006346B1"/>
    <w:rsid w:val="00634C11"/>
    <w:rsid w:val="0063558E"/>
    <w:rsid w:val="00635CC6"/>
    <w:rsid w:val="00635D16"/>
    <w:rsid w:val="00635D99"/>
    <w:rsid w:val="006363DD"/>
    <w:rsid w:val="00636780"/>
    <w:rsid w:val="00637069"/>
    <w:rsid w:val="0063753A"/>
    <w:rsid w:val="00637D9E"/>
    <w:rsid w:val="00637F14"/>
    <w:rsid w:val="00640358"/>
    <w:rsid w:val="00640672"/>
    <w:rsid w:val="00640AD4"/>
    <w:rsid w:val="00640BC5"/>
    <w:rsid w:val="0064144A"/>
    <w:rsid w:val="0064168C"/>
    <w:rsid w:val="00641703"/>
    <w:rsid w:val="00641706"/>
    <w:rsid w:val="00641947"/>
    <w:rsid w:val="00641CE6"/>
    <w:rsid w:val="006421C5"/>
    <w:rsid w:val="006421FF"/>
    <w:rsid w:val="0064246C"/>
    <w:rsid w:val="0064261F"/>
    <w:rsid w:val="00642650"/>
    <w:rsid w:val="0064295E"/>
    <w:rsid w:val="00642B37"/>
    <w:rsid w:val="006430E6"/>
    <w:rsid w:val="00643462"/>
    <w:rsid w:val="00643630"/>
    <w:rsid w:val="006436FF"/>
    <w:rsid w:val="006437C3"/>
    <w:rsid w:val="00643A76"/>
    <w:rsid w:val="00644670"/>
    <w:rsid w:val="00644696"/>
    <w:rsid w:val="0064493E"/>
    <w:rsid w:val="00644DE8"/>
    <w:rsid w:val="0064510E"/>
    <w:rsid w:val="00645BE2"/>
    <w:rsid w:val="00645CFA"/>
    <w:rsid w:val="006470FC"/>
    <w:rsid w:val="00647469"/>
    <w:rsid w:val="006478E3"/>
    <w:rsid w:val="0064798A"/>
    <w:rsid w:val="00647A50"/>
    <w:rsid w:val="00650004"/>
    <w:rsid w:val="00650095"/>
    <w:rsid w:val="006502AF"/>
    <w:rsid w:val="006503BE"/>
    <w:rsid w:val="0065041A"/>
    <w:rsid w:val="00650C57"/>
    <w:rsid w:val="00650F3C"/>
    <w:rsid w:val="0065120F"/>
    <w:rsid w:val="0065129D"/>
    <w:rsid w:val="006512B6"/>
    <w:rsid w:val="00651A1B"/>
    <w:rsid w:val="00651DC0"/>
    <w:rsid w:val="0065255E"/>
    <w:rsid w:val="006525F6"/>
    <w:rsid w:val="0065297A"/>
    <w:rsid w:val="00652A91"/>
    <w:rsid w:val="00652E2B"/>
    <w:rsid w:val="00653120"/>
    <w:rsid w:val="00653397"/>
    <w:rsid w:val="006538B8"/>
    <w:rsid w:val="006542F4"/>
    <w:rsid w:val="0065494A"/>
    <w:rsid w:val="006549EF"/>
    <w:rsid w:val="00654A08"/>
    <w:rsid w:val="00654AFF"/>
    <w:rsid w:val="00654C9B"/>
    <w:rsid w:val="00654FB7"/>
    <w:rsid w:val="00655207"/>
    <w:rsid w:val="00655BCE"/>
    <w:rsid w:val="00656027"/>
    <w:rsid w:val="00656149"/>
    <w:rsid w:val="00656F37"/>
    <w:rsid w:val="00657A2E"/>
    <w:rsid w:val="00657C93"/>
    <w:rsid w:val="006605A4"/>
    <w:rsid w:val="00660A4F"/>
    <w:rsid w:val="00660B63"/>
    <w:rsid w:val="00660C4A"/>
    <w:rsid w:val="00660F17"/>
    <w:rsid w:val="0066120C"/>
    <w:rsid w:val="006627A0"/>
    <w:rsid w:val="0066338C"/>
    <w:rsid w:val="006635DD"/>
    <w:rsid w:val="0066367F"/>
    <w:rsid w:val="006636CD"/>
    <w:rsid w:val="0066382C"/>
    <w:rsid w:val="00663E77"/>
    <w:rsid w:val="006644D7"/>
    <w:rsid w:val="00664D0F"/>
    <w:rsid w:val="00664D3D"/>
    <w:rsid w:val="00664D87"/>
    <w:rsid w:val="0066529A"/>
    <w:rsid w:val="00665747"/>
    <w:rsid w:val="00666315"/>
    <w:rsid w:val="00667003"/>
    <w:rsid w:val="006673FF"/>
    <w:rsid w:val="00667479"/>
    <w:rsid w:val="006674D9"/>
    <w:rsid w:val="00667D78"/>
    <w:rsid w:val="0067072D"/>
    <w:rsid w:val="00670DDE"/>
    <w:rsid w:val="0067122E"/>
    <w:rsid w:val="00671294"/>
    <w:rsid w:val="006714F7"/>
    <w:rsid w:val="00671659"/>
    <w:rsid w:val="00671A30"/>
    <w:rsid w:val="00671C03"/>
    <w:rsid w:val="00671F30"/>
    <w:rsid w:val="006722F6"/>
    <w:rsid w:val="0067269F"/>
    <w:rsid w:val="00672E06"/>
    <w:rsid w:val="00672EA9"/>
    <w:rsid w:val="006730B3"/>
    <w:rsid w:val="00673527"/>
    <w:rsid w:val="00673707"/>
    <w:rsid w:val="00673AA6"/>
    <w:rsid w:val="00673CFA"/>
    <w:rsid w:val="0067436F"/>
    <w:rsid w:val="00674805"/>
    <w:rsid w:val="0067486A"/>
    <w:rsid w:val="00674916"/>
    <w:rsid w:val="006749E2"/>
    <w:rsid w:val="00674B7C"/>
    <w:rsid w:val="00674BDF"/>
    <w:rsid w:val="00674E0D"/>
    <w:rsid w:val="00674F90"/>
    <w:rsid w:val="006750C0"/>
    <w:rsid w:val="006757CD"/>
    <w:rsid w:val="00675AEA"/>
    <w:rsid w:val="00675EB1"/>
    <w:rsid w:val="0067638B"/>
    <w:rsid w:val="0067648B"/>
    <w:rsid w:val="0067674F"/>
    <w:rsid w:val="00676905"/>
    <w:rsid w:val="006769EA"/>
    <w:rsid w:val="00676DBF"/>
    <w:rsid w:val="00677346"/>
    <w:rsid w:val="00677651"/>
    <w:rsid w:val="00677CDC"/>
    <w:rsid w:val="00677CF0"/>
    <w:rsid w:val="00677EBB"/>
    <w:rsid w:val="00677F92"/>
    <w:rsid w:val="0068095E"/>
    <w:rsid w:val="00681CBA"/>
    <w:rsid w:val="00681D34"/>
    <w:rsid w:val="006820CC"/>
    <w:rsid w:val="006820F8"/>
    <w:rsid w:val="0068257E"/>
    <w:rsid w:val="00682719"/>
    <w:rsid w:val="00682892"/>
    <w:rsid w:val="00682B09"/>
    <w:rsid w:val="0068304F"/>
    <w:rsid w:val="00683408"/>
    <w:rsid w:val="00683453"/>
    <w:rsid w:val="006839E0"/>
    <w:rsid w:val="00683C68"/>
    <w:rsid w:val="00683CA1"/>
    <w:rsid w:val="00683E69"/>
    <w:rsid w:val="00684195"/>
    <w:rsid w:val="0068467B"/>
    <w:rsid w:val="00684C77"/>
    <w:rsid w:val="00684DE1"/>
    <w:rsid w:val="006854DA"/>
    <w:rsid w:val="00685786"/>
    <w:rsid w:val="00685B33"/>
    <w:rsid w:val="006864D8"/>
    <w:rsid w:val="00686911"/>
    <w:rsid w:val="006869D6"/>
    <w:rsid w:val="00686D3A"/>
    <w:rsid w:val="00686DC3"/>
    <w:rsid w:val="00687404"/>
    <w:rsid w:val="0068788A"/>
    <w:rsid w:val="00687A5C"/>
    <w:rsid w:val="00687F62"/>
    <w:rsid w:val="00687F93"/>
    <w:rsid w:val="0069013E"/>
    <w:rsid w:val="006901AB"/>
    <w:rsid w:val="0069027E"/>
    <w:rsid w:val="00690321"/>
    <w:rsid w:val="00690338"/>
    <w:rsid w:val="0069045D"/>
    <w:rsid w:val="0069073B"/>
    <w:rsid w:val="00690941"/>
    <w:rsid w:val="00691421"/>
    <w:rsid w:val="00692022"/>
    <w:rsid w:val="00693365"/>
    <w:rsid w:val="006934D4"/>
    <w:rsid w:val="0069368E"/>
    <w:rsid w:val="00693E0B"/>
    <w:rsid w:val="00693E1D"/>
    <w:rsid w:val="00693F81"/>
    <w:rsid w:val="006941D0"/>
    <w:rsid w:val="006943F8"/>
    <w:rsid w:val="00695518"/>
    <w:rsid w:val="0069568D"/>
    <w:rsid w:val="006959E1"/>
    <w:rsid w:val="00696708"/>
    <w:rsid w:val="00696B3A"/>
    <w:rsid w:val="00696D5A"/>
    <w:rsid w:val="0069714F"/>
    <w:rsid w:val="0069732E"/>
    <w:rsid w:val="00697D49"/>
    <w:rsid w:val="006A0308"/>
    <w:rsid w:val="006A0FFA"/>
    <w:rsid w:val="006A1235"/>
    <w:rsid w:val="006A1287"/>
    <w:rsid w:val="006A1351"/>
    <w:rsid w:val="006A1495"/>
    <w:rsid w:val="006A15EB"/>
    <w:rsid w:val="006A167A"/>
    <w:rsid w:val="006A181B"/>
    <w:rsid w:val="006A1897"/>
    <w:rsid w:val="006A1900"/>
    <w:rsid w:val="006A1A76"/>
    <w:rsid w:val="006A1CD1"/>
    <w:rsid w:val="006A1FD3"/>
    <w:rsid w:val="006A284A"/>
    <w:rsid w:val="006A31C2"/>
    <w:rsid w:val="006A34D0"/>
    <w:rsid w:val="006A4B20"/>
    <w:rsid w:val="006A4BE0"/>
    <w:rsid w:val="006A4C39"/>
    <w:rsid w:val="006A4CE7"/>
    <w:rsid w:val="006A508E"/>
    <w:rsid w:val="006A5290"/>
    <w:rsid w:val="006A531B"/>
    <w:rsid w:val="006A56C7"/>
    <w:rsid w:val="006A5854"/>
    <w:rsid w:val="006A5B71"/>
    <w:rsid w:val="006A5CB1"/>
    <w:rsid w:val="006A5E5F"/>
    <w:rsid w:val="006A6C6D"/>
    <w:rsid w:val="006A6E66"/>
    <w:rsid w:val="006A6E6A"/>
    <w:rsid w:val="006A6F05"/>
    <w:rsid w:val="006A7275"/>
    <w:rsid w:val="006A7308"/>
    <w:rsid w:val="006A7A4E"/>
    <w:rsid w:val="006A7D03"/>
    <w:rsid w:val="006B0529"/>
    <w:rsid w:val="006B0730"/>
    <w:rsid w:val="006B08B2"/>
    <w:rsid w:val="006B093A"/>
    <w:rsid w:val="006B0B8F"/>
    <w:rsid w:val="006B0C4F"/>
    <w:rsid w:val="006B0D92"/>
    <w:rsid w:val="006B148B"/>
    <w:rsid w:val="006B174D"/>
    <w:rsid w:val="006B1A4C"/>
    <w:rsid w:val="006B1E8A"/>
    <w:rsid w:val="006B1F89"/>
    <w:rsid w:val="006B21BD"/>
    <w:rsid w:val="006B236B"/>
    <w:rsid w:val="006B2E20"/>
    <w:rsid w:val="006B32F0"/>
    <w:rsid w:val="006B3680"/>
    <w:rsid w:val="006B36A4"/>
    <w:rsid w:val="006B39B9"/>
    <w:rsid w:val="006B3C1C"/>
    <w:rsid w:val="006B3D87"/>
    <w:rsid w:val="006B403F"/>
    <w:rsid w:val="006B40F3"/>
    <w:rsid w:val="006B4AF7"/>
    <w:rsid w:val="006B4B89"/>
    <w:rsid w:val="006B4E76"/>
    <w:rsid w:val="006B501E"/>
    <w:rsid w:val="006B5091"/>
    <w:rsid w:val="006B5279"/>
    <w:rsid w:val="006B530F"/>
    <w:rsid w:val="006B5672"/>
    <w:rsid w:val="006B57B2"/>
    <w:rsid w:val="006B5975"/>
    <w:rsid w:val="006B5AFA"/>
    <w:rsid w:val="006B5EFA"/>
    <w:rsid w:val="006B6108"/>
    <w:rsid w:val="006B61B8"/>
    <w:rsid w:val="006B645F"/>
    <w:rsid w:val="006B6D53"/>
    <w:rsid w:val="006B6E92"/>
    <w:rsid w:val="006B6F05"/>
    <w:rsid w:val="006B7626"/>
    <w:rsid w:val="006B765F"/>
    <w:rsid w:val="006B786B"/>
    <w:rsid w:val="006B7DCC"/>
    <w:rsid w:val="006B7E78"/>
    <w:rsid w:val="006C08AF"/>
    <w:rsid w:val="006C0C72"/>
    <w:rsid w:val="006C1267"/>
    <w:rsid w:val="006C1DA9"/>
    <w:rsid w:val="006C20F9"/>
    <w:rsid w:val="006C22D8"/>
    <w:rsid w:val="006C24C9"/>
    <w:rsid w:val="006C2641"/>
    <w:rsid w:val="006C272F"/>
    <w:rsid w:val="006C29B4"/>
    <w:rsid w:val="006C29D7"/>
    <w:rsid w:val="006C30ED"/>
    <w:rsid w:val="006C338B"/>
    <w:rsid w:val="006C3A29"/>
    <w:rsid w:val="006C3B87"/>
    <w:rsid w:val="006C4034"/>
    <w:rsid w:val="006C4748"/>
    <w:rsid w:val="006C4896"/>
    <w:rsid w:val="006C4C7E"/>
    <w:rsid w:val="006C4E7A"/>
    <w:rsid w:val="006C4EE4"/>
    <w:rsid w:val="006C4F09"/>
    <w:rsid w:val="006C5003"/>
    <w:rsid w:val="006C58A7"/>
    <w:rsid w:val="006C5BE3"/>
    <w:rsid w:val="006C5DBA"/>
    <w:rsid w:val="006C600C"/>
    <w:rsid w:val="006C6229"/>
    <w:rsid w:val="006C6691"/>
    <w:rsid w:val="006C6997"/>
    <w:rsid w:val="006C6B68"/>
    <w:rsid w:val="006C7A5E"/>
    <w:rsid w:val="006C7AEC"/>
    <w:rsid w:val="006C7D7C"/>
    <w:rsid w:val="006C7DA8"/>
    <w:rsid w:val="006CA05A"/>
    <w:rsid w:val="006D02FF"/>
    <w:rsid w:val="006D074E"/>
    <w:rsid w:val="006D0BE8"/>
    <w:rsid w:val="006D0FFF"/>
    <w:rsid w:val="006D1085"/>
    <w:rsid w:val="006D1404"/>
    <w:rsid w:val="006D1954"/>
    <w:rsid w:val="006D1CA6"/>
    <w:rsid w:val="006D1D1F"/>
    <w:rsid w:val="006D1E70"/>
    <w:rsid w:val="006D2528"/>
    <w:rsid w:val="006D26E1"/>
    <w:rsid w:val="006D2B16"/>
    <w:rsid w:val="006D2E01"/>
    <w:rsid w:val="006D2ED7"/>
    <w:rsid w:val="006D3538"/>
    <w:rsid w:val="006D3ADB"/>
    <w:rsid w:val="006D3C52"/>
    <w:rsid w:val="006D407A"/>
    <w:rsid w:val="006D4AA5"/>
    <w:rsid w:val="006D5146"/>
    <w:rsid w:val="006D5721"/>
    <w:rsid w:val="006D5799"/>
    <w:rsid w:val="006D5DDB"/>
    <w:rsid w:val="006D6646"/>
    <w:rsid w:val="006D6718"/>
    <w:rsid w:val="006D6758"/>
    <w:rsid w:val="006D6874"/>
    <w:rsid w:val="006D6A1D"/>
    <w:rsid w:val="006D6F03"/>
    <w:rsid w:val="006D76D6"/>
    <w:rsid w:val="006D7A58"/>
    <w:rsid w:val="006D7D1A"/>
    <w:rsid w:val="006E00C4"/>
    <w:rsid w:val="006E032B"/>
    <w:rsid w:val="006E038E"/>
    <w:rsid w:val="006E075B"/>
    <w:rsid w:val="006E08AB"/>
    <w:rsid w:val="006E08BD"/>
    <w:rsid w:val="006E0D1E"/>
    <w:rsid w:val="006E0DB9"/>
    <w:rsid w:val="006E0DCF"/>
    <w:rsid w:val="006E0DFD"/>
    <w:rsid w:val="006E0E16"/>
    <w:rsid w:val="006E1245"/>
    <w:rsid w:val="006E15DD"/>
    <w:rsid w:val="006E16E2"/>
    <w:rsid w:val="006E19E1"/>
    <w:rsid w:val="006E1B12"/>
    <w:rsid w:val="006E1CA7"/>
    <w:rsid w:val="006E2288"/>
    <w:rsid w:val="006E2656"/>
    <w:rsid w:val="006E2695"/>
    <w:rsid w:val="006E2725"/>
    <w:rsid w:val="006E282F"/>
    <w:rsid w:val="006E2A97"/>
    <w:rsid w:val="006E338B"/>
    <w:rsid w:val="006E3710"/>
    <w:rsid w:val="006E3A8B"/>
    <w:rsid w:val="006E3C7F"/>
    <w:rsid w:val="006E4287"/>
    <w:rsid w:val="006E452E"/>
    <w:rsid w:val="006E480C"/>
    <w:rsid w:val="006E510B"/>
    <w:rsid w:val="006E510F"/>
    <w:rsid w:val="006E57F1"/>
    <w:rsid w:val="006E5CC8"/>
    <w:rsid w:val="006E5D72"/>
    <w:rsid w:val="006E6079"/>
    <w:rsid w:val="006E63F6"/>
    <w:rsid w:val="006E6660"/>
    <w:rsid w:val="006E6788"/>
    <w:rsid w:val="006E6BE6"/>
    <w:rsid w:val="006E6D7D"/>
    <w:rsid w:val="006E6FB7"/>
    <w:rsid w:val="006E6FD7"/>
    <w:rsid w:val="006E74FD"/>
    <w:rsid w:val="006E7C45"/>
    <w:rsid w:val="006E7DD3"/>
    <w:rsid w:val="006E7FDD"/>
    <w:rsid w:val="006E9EE9"/>
    <w:rsid w:val="006F0271"/>
    <w:rsid w:val="006F14A8"/>
    <w:rsid w:val="006F15C9"/>
    <w:rsid w:val="006F1A21"/>
    <w:rsid w:val="006F1E79"/>
    <w:rsid w:val="006F20B5"/>
    <w:rsid w:val="006F253A"/>
    <w:rsid w:val="006F2932"/>
    <w:rsid w:val="006F2A5F"/>
    <w:rsid w:val="006F2BBC"/>
    <w:rsid w:val="006F2EE0"/>
    <w:rsid w:val="006F3484"/>
    <w:rsid w:val="006F39FD"/>
    <w:rsid w:val="006F3D13"/>
    <w:rsid w:val="006F43EC"/>
    <w:rsid w:val="006F4421"/>
    <w:rsid w:val="006F4898"/>
    <w:rsid w:val="006F491D"/>
    <w:rsid w:val="006F5302"/>
    <w:rsid w:val="006F5553"/>
    <w:rsid w:val="006F5658"/>
    <w:rsid w:val="006F5CBE"/>
    <w:rsid w:val="006F5DB1"/>
    <w:rsid w:val="006F6211"/>
    <w:rsid w:val="006F629F"/>
    <w:rsid w:val="006F6E76"/>
    <w:rsid w:val="006F6FEB"/>
    <w:rsid w:val="006F72A3"/>
    <w:rsid w:val="006F79BE"/>
    <w:rsid w:val="006F7A2A"/>
    <w:rsid w:val="00700283"/>
    <w:rsid w:val="00700461"/>
    <w:rsid w:val="007004B4"/>
    <w:rsid w:val="007005A0"/>
    <w:rsid w:val="0070084F"/>
    <w:rsid w:val="007009D0"/>
    <w:rsid w:val="0070114B"/>
    <w:rsid w:val="00701602"/>
    <w:rsid w:val="00701746"/>
    <w:rsid w:val="00701930"/>
    <w:rsid w:val="00701BCE"/>
    <w:rsid w:val="00702277"/>
    <w:rsid w:val="0070249B"/>
    <w:rsid w:val="0070272F"/>
    <w:rsid w:val="00702CBF"/>
    <w:rsid w:val="00702D90"/>
    <w:rsid w:val="00703714"/>
    <w:rsid w:val="007039BF"/>
    <w:rsid w:val="007049DB"/>
    <w:rsid w:val="007049FE"/>
    <w:rsid w:val="007053F4"/>
    <w:rsid w:val="0070576F"/>
    <w:rsid w:val="0070596F"/>
    <w:rsid w:val="00705C91"/>
    <w:rsid w:val="00705DD5"/>
    <w:rsid w:val="007060B4"/>
    <w:rsid w:val="00706221"/>
    <w:rsid w:val="007062BA"/>
    <w:rsid w:val="007062FB"/>
    <w:rsid w:val="00706641"/>
    <w:rsid w:val="007066CA"/>
    <w:rsid w:val="0070682B"/>
    <w:rsid w:val="00706870"/>
    <w:rsid w:val="007068CB"/>
    <w:rsid w:val="00706A6E"/>
    <w:rsid w:val="00706C2F"/>
    <w:rsid w:val="00706F4A"/>
    <w:rsid w:val="007071B9"/>
    <w:rsid w:val="0070751C"/>
    <w:rsid w:val="0070789C"/>
    <w:rsid w:val="00707A57"/>
    <w:rsid w:val="00707D11"/>
    <w:rsid w:val="007104F1"/>
    <w:rsid w:val="0071053F"/>
    <w:rsid w:val="007108D4"/>
    <w:rsid w:val="00710EAE"/>
    <w:rsid w:val="007111DB"/>
    <w:rsid w:val="00711854"/>
    <w:rsid w:val="007119B3"/>
    <w:rsid w:val="00711DCC"/>
    <w:rsid w:val="00712816"/>
    <w:rsid w:val="00712BE2"/>
    <w:rsid w:val="00712BE5"/>
    <w:rsid w:val="00713072"/>
    <w:rsid w:val="0071342F"/>
    <w:rsid w:val="007137A7"/>
    <w:rsid w:val="007137EE"/>
    <w:rsid w:val="00713E05"/>
    <w:rsid w:val="0071426A"/>
    <w:rsid w:val="0071447B"/>
    <w:rsid w:val="007146F5"/>
    <w:rsid w:val="00714FDE"/>
    <w:rsid w:val="00715110"/>
    <w:rsid w:val="007157E1"/>
    <w:rsid w:val="00715E05"/>
    <w:rsid w:val="0071638E"/>
    <w:rsid w:val="0071655E"/>
    <w:rsid w:val="00716920"/>
    <w:rsid w:val="00716B8B"/>
    <w:rsid w:val="00716FE4"/>
    <w:rsid w:val="00717454"/>
    <w:rsid w:val="007178E8"/>
    <w:rsid w:val="00717D5C"/>
    <w:rsid w:val="0072095E"/>
    <w:rsid w:val="007211E2"/>
    <w:rsid w:val="007218E5"/>
    <w:rsid w:val="00721C6F"/>
    <w:rsid w:val="00721DFB"/>
    <w:rsid w:val="00721F97"/>
    <w:rsid w:val="00722166"/>
    <w:rsid w:val="007221F7"/>
    <w:rsid w:val="00722410"/>
    <w:rsid w:val="00722861"/>
    <w:rsid w:val="007229E6"/>
    <w:rsid w:val="00722E06"/>
    <w:rsid w:val="0072303C"/>
    <w:rsid w:val="00723065"/>
    <w:rsid w:val="007235C4"/>
    <w:rsid w:val="00723655"/>
    <w:rsid w:val="0072432A"/>
    <w:rsid w:val="0072483D"/>
    <w:rsid w:val="007248DA"/>
    <w:rsid w:val="0072496B"/>
    <w:rsid w:val="00724C7E"/>
    <w:rsid w:val="00724CDC"/>
    <w:rsid w:val="00724D34"/>
    <w:rsid w:val="00724E4F"/>
    <w:rsid w:val="00725113"/>
    <w:rsid w:val="0072560E"/>
    <w:rsid w:val="007257B4"/>
    <w:rsid w:val="00725AD1"/>
    <w:rsid w:val="00725CE0"/>
    <w:rsid w:val="00725DD0"/>
    <w:rsid w:val="00725DF2"/>
    <w:rsid w:val="00725FDB"/>
    <w:rsid w:val="007260D8"/>
    <w:rsid w:val="007260DE"/>
    <w:rsid w:val="00726292"/>
    <w:rsid w:val="007265E7"/>
    <w:rsid w:val="00726635"/>
    <w:rsid w:val="007268B1"/>
    <w:rsid w:val="007269AA"/>
    <w:rsid w:val="00726D56"/>
    <w:rsid w:val="00726F42"/>
    <w:rsid w:val="00727047"/>
    <w:rsid w:val="007271D3"/>
    <w:rsid w:val="00727219"/>
    <w:rsid w:val="007273A9"/>
    <w:rsid w:val="007273CC"/>
    <w:rsid w:val="00727632"/>
    <w:rsid w:val="00727987"/>
    <w:rsid w:val="00727CBF"/>
    <w:rsid w:val="00727EE8"/>
    <w:rsid w:val="0073001C"/>
    <w:rsid w:val="0073054D"/>
    <w:rsid w:val="00731435"/>
    <w:rsid w:val="00731477"/>
    <w:rsid w:val="00731C3E"/>
    <w:rsid w:val="0073246A"/>
    <w:rsid w:val="007327BB"/>
    <w:rsid w:val="00732CB6"/>
    <w:rsid w:val="00733A2B"/>
    <w:rsid w:val="00733D14"/>
    <w:rsid w:val="00733DB3"/>
    <w:rsid w:val="0073405A"/>
    <w:rsid w:val="00734615"/>
    <w:rsid w:val="0073464B"/>
    <w:rsid w:val="00734B6B"/>
    <w:rsid w:val="00734BB2"/>
    <w:rsid w:val="00734F01"/>
    <w:rsid w:val="00735125"/>
    <w:rsid w:val="007353CE"/>
    <w:rsid w:val="00735580"/>
    <w:rsid w:val="007355D8"/>
    <w:rsid w:val="00735619"/>
    <w:rsid w:val="0073586E"/>
    <w:rsid w:val="007359FB"/>
    <w:rsid w:val="00735E9C"/>
    <w:rsid w:val="00735EAA"/>
    <w:rsid w:val="00735F57"/>
    <w:rsid w:val="0073610A"/>
    <w:rsid w:val="00736300"/>
    <w:rsid w:val="00736338"/>
    <w:rsid w:val="00736407"/>
    <w:rsid w:val="00736AFA"/>
    <w:rsid w:val="00736CD4"/>
    <w:rsid w:val="00737265"/>
    <w:rsid w:val="00737658"/>
    <w:rsid w:val="007376F0"/>
    <w:rsid w:val="007377D1"/>
    <w:rsid w:val="0073780D"/>
    <w:rsid w:val="00737D8B"/>
    <w:rsid w:val="00737F81"/>
    <w:rsid w:val="00737FE9"/>
    <w:rsid w:val="00740118"/>
    <w:rsid w:val="00740485"/>
    <w:rsid w:val="0074074A"/>
    <w:rsid w:val="00740775"/>
    <w:rsid w:val="00740987"/>
    <w:rsid w:val="00741359"/>
    <w:rsid w:val="0074177D"/>
    <w:rsid w:val="00741DBB"/>
    <w:rsid w:val="00742181"/>
    <w:rsid w:val="00742373"/>
    <w:rsid w:val="00742419"/>
    <w:rsid w:val="00742606"/>
    <w:rsid w:val="00742A28"/>
    <w:rsid w:val="00742A3D"/>
    <w:rsid w:val="00742B33"/>
    <w:rsid w:val="00742CC0"/>
    <w:rsid w:val="00742FF1"/>
    <w:rsid w:val="00743722"/>
    <w:rsid w:val="00743EBF"/>
    <w:rsid w:val="0074444C"/>
    <w:rsid w:val="007446BF"/>
    <w:rsid w:val="00744998"/>
    <w:rsid w:val="00744D92"/>
    <w:rsid w:val="00744EC0"/>
    <w:rsid w:val="00745526"/>
    <w:rsid w:val="00745A7D"/>
    <w:rsid w:val="00745ADD"/>
    <w:rsid w:val="00745CE9"/>
    <w:rsid w:val="00745D6B"/>
    <w:rsid w:val="00745DD3"/>
    <w:rsid w:val="00745E7C"/>
    <w:rsid w:val="00745FF4"/>
    <w:rsid w:val="00746093"/>
    <w:rsid w:val="00746AE5"/>
    <w:rsid w:val="00746C35"/>
    <w:rsid w:val="00746EB5"/>
    <w:rsid w:val="0074707C"/>
    <w:rsid w:val="00747351"/>
    <w:rsid w:val="007473D8"/>
    <w:rsid w:val="007475BA"/>
    <w:rsid w:val="00747AF4"/>
    <w:rsid w:val="00750A54"/>
    <w:rsid w:val="00750C92"/>
    <w:rsid w:val="00750CD5"/>
    <w:rsid w:val="00750DF6"/>
    <w:rsid w:val="00750F76"/>
    <w:rsid w:val="00750FD7"/>
    <w:rsid w:val="007510B8"/>
    <w:rsid w:val="007511E1"/>
    <w:rsid w:val="007512DD"/>
    <w:rsid w:val="00751647"/>
    <w:rsid w:val="00751741"/>
    <w:rsid w:val="00751AEC"/>
    <w:rsid w:val="00752326"/>
    <w:rsid w:val="0075245A"/>
    <w:rsid w:val="00752A0B"/>
    <w:rsid w:val="00752E9D"/>
    <w:rsid w:val="00753119"/>
    <w:rsid w:val="007531B4"/>
    <w:rsid w:val="0075333A"/>
    <w:rsid w:val="007538DE"/>
    <w:rsid w:val="00753D24"/>
    <w:rsid w:val="00753D6E"/>
    <w:rsid w:val="00753F68"/>
    <w:rsid w:val="00753FE7"/>
    <w:rsid w:val="0075405E"/>
    <w:rsid w:val="007541D0"/>
    <w:rsid w:val="00754374"/>
    <w:rsid w:val="0075483C"/>
    <w:rsid w:val="00754B9D"/>
    <w:rsid w:val="00754CA3"/>
    <w:rsid w:val="007552B5"/>
    <w:rsid w:val="007554A7"/>
    <w:rsid w:val="0075577D"/>
    <w:rsid w:val="007557FF"/>
    <w:rsid w:val="00755C7F"/>
    <w:rsid w:val="00755F64"/>
    <w:rsid w:val="00755FFA"/>
    <w:rsid w:val="00756161"/>
    <w:rsid w:val="00756186"/>
    <w:rsid w:val="007563B4"/>
    <w:rsid w:val="007566CE"/>
    <w:rsid w:val="00756743"/>
    <w:rsid w:val="00756BED"/>
    <w:rsid w:val="00757215"/>
    <w:rsid w:val="00757DEB"/>
    <w:rsid w:val="0076035C"/>
    <w:rsid w:val="0076070C"/>
    <w:rsid w:val="00760E18"/>
    <w:rsid w:val="00760FEF"/>
    <w:rsid w:val="0076111C"/>
    <w:rsid w:val="007613B9"/>
    <w:rsid w:val="007615B3"/>
    <w:rsid w:val="00761F8E"/>
    <w:rsid w:val="0076239C"/>
    <w:rsid w:val="00762881"/>
    <w:rsid w:val="00762D89"/>
    <w:rsid w:val="007633D6"/>
    <w:rsid w:val="00763508"/>
    <w:rsid w:val="00763561"/>
    <w:rsid w:val="007641E7"/>
    <w:rsid w:val="00764227"/>
    <w:rsid w:val="00764330"/>
    <w:rsid w:val="007648D8"/>
    <w:rsid w:val="00764D4D"/>
    <w:rsid w:val="00764E6C"/>
    <w:rsid w:val="0076581D"/>
    <w:rsid w:val="007658DB"/>
    <w:rsid w:val="00765B4C"/>
    <w:rsid w:val="00765E49"/>
    <w:rsid w:val="00765F4F"/>
    <w:rsid w:val="0076665E"/>
    <w:rsid w:val="007666C1"/>
    <w:rsid w:val="0076681F"/>
    <w:rsid w:val="0076687D"/>
    <w:rsid w:val="007668D6"/>
    <w:rsid w:val="0076690C"/>
    <w:rsid w:val="00766928"/>
    <w:rsid w:val="00766D77"/>
    <w:rsid w:val="00766EA3"/>
    <w:rsid w:val="00766F8D"/>
    <w:rsid w:val="00767145"/>
    <w:rsid w:val="007671C9"/>
    <w:rsid w:val="007674D5"/>
    <w:rsid w:val="0076758C"/>
    <w:rsid w:val="00770072"/>
    <w:rsid w:val="007700DF"/>
    <w:rsid w:val="0077012A"/>
    <w:rsid w:val="00770F8C"/>
    <w:rsid w:val="007710F6"/>
    <w:rsid w:val="007711BF"/>
    <w:rsid w:val="00771287"/>
    <w:rsid w:val="00771297"/>
    <w:rsid w:val="00771730"/>
    <w:rsid w:val="00771DC7"/>
    <w:rsid w:val="00771F68"/>
    <w:rsid w:val="007721EB"/>
    <w:rsid w:val="00772342"/>
    <w:rsid w:val="00772575"/>
    <w:rsid w:val="00772C7A"/>
    <w:rsid w:val="00773289"/>
    <w:rsid w:val="00773CD5"/>
    <w:rsid w:val="00773F37"/>
    <w:rsid w:val="007743BB"/>
    <w:rsid w:val="00774EDC"/>
    <w:rsid w:val="00774F99"/>
    <w:rsid w:val="00775116"/>
    <w:rsid w:val="00775657"/>
    <w:rsid w:val="007757DE"/>
    <w:rsid w:val="007757F2"/>
    <w:rsid w:val="00775A4E"/>
    <w:rsid w:val="00775ADB"/>
    <w:rsid w:val="00775C3E"/>
    <w:rsid w:val="00775E25"/>
    <w:rsid w:val="007767B4"/>
    <w:rsid w:val="00776823"/>
    <w:rsid w:val="007769FA"/>
    <w:rsid w:val="00776D63"/>
    <w:rsid w:val="00776FAA"/>
    <w:rsid w:val="0077717B"/>
    <w:rsid w:val="007771EB"/>
    <w:rsid w:val="00777571"/>
    <w:rsid w:val="00777BA6"/>
    <w:rsid w:val="00777EA4"/>
    <w:rsid w:val="0078026E"/>
    <w:rsid w:val="00780392"/>
    <w:rsid w:val="007803F7"/>
    <w:rsid w:val="0078057D"/>
    <w:rsid w:val="007805D8"/>
    <w:rsid w:val="00780804"/>
    <w:rsid w:val="00780B5B"/>
    <w:rsid w:val="00781026"/>
    <w:rsid w:val="00781556"/>
    <w:rsid w:val="007816BB"/>
    <w:rsid w:val="00781826"/>
    <w:rsid w:val="00781F55"/>
    <w:rsid w:val="007824D3"/>
    <w:rsid w:val="00782692"/>
    <w:rsid w:val="00782747"/>
    <w:rsid w:val="007827BE"/>
    <w:rsid w:val="00782993"/>
    <w:rsid w:val="0078313C"/>
    <w:rsid w:val="00783363"/>
    <w:rsid w:val="007837A1"/>
    <w:rsid w:val="007841D3"/>
    <w:rsid w:val="0078424E"/>
    <w:rsid w:val="007842A1"/>
    <w:rsid w:val="00784722"/>
    <w:rsid w:val="007847C5"/>
    <w:rsid w:val="00784FE0"/>
    <w:rsid w:val="00785715"/>
    <w:rsid w:val="00785862"/>
    <w:rsid w:val="00785896"/>
    <w:rsid w:val="00785B18"/>
    <w:rsid w:val="00785DD5"/>
    <w:rsid w:val="00786323"/>
    <w:rsid w:val="00786638"/>
    <w:rsid w:val="00786D3D"/>
    <w:rsid w:val="00786FAB"/>
    <w:rsid w:val="0078727D"/>
    <w:rsid w:val="007872D7"/>
    <w:rsid w:val="0078733B"/>
    <w:rsid w:val="00787773"/>
    <w:rsid w:val="00787866"/>
    <w:rsid w:val="00790022"/>
    <w:rsid w:val="00790836"/>
    <w:rsid w:val="00790CB1"/>
    <w:rsid w:val="00791163"/>
    <w:rsid w:val="0079149D"/>
    <w:rsid w:val="00791531"/>
    <w:rsid w:val="007919AE"/>
    <w:rsid w:val="007922B5"/>
    <w:rsid w:val="007922C5"/>
    <w:rsid w:val="007923EC"/>
    <w:rsid w:val="00792483"/>
    <w:rsid w:val="00792558"/>
    <w:rsid w:val="007926E6"/>
    <w:rsid w:val="0079289F"/>
    <w:rsid w:val="007929CD"/>
    <w:rsid w:val="00792ACE"/>
    <w:rsid w:val="00792D7F"/>
    <w:rsid w:val="00793374"/>
    <w:rsid w:val="007938B4"/>
    <w:rsid w:val="00793949"/>
    <w:rsid w:val="00794375"/>
    <w:rsid w:val="00794677"/>
    <w:rsid w:val="00794E86"/>
    <w:rsid w:val="00794F5F"/>
    <w:rsid w:val="00795201"/>
    <w:rsid w:val="00795990"/>
    <w:rsid w:val="007959A2"/>
    <w:rsid w:val="007959D4"/>
    <w:rsid w:val="007959DC"/>
    <w:rsid w:val="00795B61"/>
    <w:rsid w:val="00795FA8"/>
    <w:rsid w:val="00796293"/>
    <w:rsid w:val="00796354"/>
    <w:rsid w:val="007971BC"/>
    <w:rsid w:val="00797379"/>
    <w:rsid w:val="007974F5"/>
    <w:rsid w:val="007A01CD"/>
    <w:rsid w:val="007A0566"/>
    <w:rsid w:val="007A0CF5"/>
    <w:rsid w:val="007A1520"/>
    <w:rsid w:val="007A1DB0"/>
    <w:rsid w:val="007A1EE5"/>
    <w:rsid w:val="007A216A"/>
    <w:rsid w:val="007A22F5"/>
    <w:rsid w:val="007A2702"/>
    <w:rsid w:val="007A33AA"/>
    <w:rsid w:val="007A3515"/>
    <w:rsid w:val="007A36FD"/>
    <w:rsid w:val="007A3F6B"/>
    <w:rsid w:val="007A41A0"/>
    <w:rsid w:val="007A4306"/>
    <w:rsid w:val="007A4570"/>
    <w:rsid w:val="007A45CD"/>
    <w:rsid w:val="007A470E"/>
    <w:rsid w:val="007A474A"/>
    <w:rsid w:val="007A4A21"/>
    <w:rsid w:val="007A4B1C"/>
    <w:rsid w:val="007A5526"/>
    <w:rsid w:val="007A595D"/>
    <w:rsid w:val="007A5966"/>
    <w:rsid w:val="007A5CD8"/>
    <w:rsid w:val="007A625C"/>
    <w:rsid w:val="007A6C97"/>
    <w:rsid w:val="007A7209"/>
    <w:rsid w:val="007A7C05"/>
    <w:rsid w:val="007B01BD"/>
    <w:rsid w:val="007B06B2"/>
    <w:rsid w:val="007B0DD3"/>
    <w:rsid w:val="007B0F57"/>
    <w:rsid w:val="007B119C"/>
    <w:rsid w:val="007B162B"/>
    <w:rsid w:val="007B19DF"/>
    <w:rsid w:val="007B1A17"/>
    <w:rsid w:val="007B1F8E"/>
    <w:rsid w:val="007B23AB"/>
    <w:rsid w:val="007B278A"/>
    <w:rsid w:val="007B2ACC"/>
    <w:rsid w:val="007B2C77"/>
    <w:rsid w:val="007B2C8B"/>
    <w:rsid w:val="007B2DE5"/>
    <w:rsid w:val="007B2E90"/>
    <w:rsid w:val="007B2FBB"/>
    <w:rsid w:val="007B37B3"/>
    <w:rsid w:val="007B398C"/>
    <w:rsid w:val="007B410A"/>
    <w:rsid w:val="007B4990"/>
    <w:rsid w:val="007B4B8F"/>
    <w:rsid w:val="007B51C4"/>
    <w:rsid w:val="007B52DB"/>
    <w:rsid w:val="007B547B"/>
    <w:rsid w:val="007B573B"/>
    <w:rsid w:val="007B5793"/>
    <w:rsid w:val="007B5822"/>
    <w:rsid w:val="007B58DF"/>
    <w:rsid w:val="007B5AFB"/>
    <w:rsid w:val="007B67BF"/>
    <w:rsid w:val="007B6EFB"/>
    <w:rsid w:val="007B739A"/>
    <w:rsid w:val="007B7586"/>
    <w:rsid w:val="007B75BF"/>
    <w:rsid w:val="007B79F8"/>
    <w:rsid w:val="007B7A00"/>
    <w:rsid w:val="007C016D"/>
    <w:rsid w:val="007C0609"/>
    <w:rsid w:val="007C07E8"/>
    <w:rsid w:val="007C124A"/>
    <w:rsid w:val="007C1771"/>
    <w:rsid w:val="007C19A4"/>
    <w:rsid w:val="007C1BC5"/>
    <w:rsid w:val="007C1F26"/>
    <w:rsid w:val="007C2090"/>
    <w:rsid w:val="007C2209"/>
    <w:rsid w:val="007C2B4C"/>
    <w:rsid w:val="007C2DEF"/>
    <w:rsid w:val="007C2E56"/>
    <w:rsid w:val="007C3173"/>
    <w:rsid w:val="007C3D55"/>
    <w:rsid w:val="007C3E41"/>
    <w:rsid w:val="007C3FCE"/>
    <w:rsid w:val="007C49E3"/>
    <w:rsid w:val="007C4C5B"/>
    <w:rsid w:val="007C5570"/>
    <w:rsid w:val="007C607B"/>
    <w:rsid w:val="007C7A55"/>
    <w:rsid w:val="007C7C51"/>
    <w:rsid w:val="007C7CEA"/>
    <w:rsid w:val="007C7CEE"/>
    <w:rsid w:val="007C7E8B"/>
    <w:rsid w:val="007C7F97"/>
    <w:rsid w:val="007D021A"/>
    <w:rsid w:val="007D0382"/>
    <w:rsid w:val="007D053F"/>
    <w:rsid w:val="007D08D3"/>
    <w:rsid w:val="007D0D04"/>
    <w:rsid w:val="007D0D70"/>
    <w:rsid w:val="007D0F02"/>
    <w:rsid w:val="007D0F4E"/>
    <w:rsid w:val="007D0F6E"/>
    <w:rsid w:val="007D120A"/>
    <w:rsid w:val="007D1256"/>
    <w:rsid w:val="007D196D"/>
    <w:rsid w:val="007D21DB"/>
    <w:rsid w:val="007D2378"/>
    <w:rsid w:val="007D24AD"/>
    <w:rsid w:val="007D262D"/>
    <w:rsid w:val="007D2C68"/>
    <w:rsid w:val="007D3012"/>
    <w:rsid w:val="007D356B"/>
    <w:rsid w:val="007D3705"/>
    <w:rsid w:val="007D3844"/>
    <w:rsid w:val="007D469D"/>
    <w:rsid w:val="007D4720"/>
    <w:rsid w:val="007D475E"/>
    <w:rsid w:val="007D4AF7"/>
    <w:rsid w:val="007D4B03"/>
    <w:rsid w:val="007D4B95"/>
    <w:rsid w:val="007D514F"/>
    <w:rsid w:val="007D52D0"/>
    <w:rsid w:val="007D533D"/>
    <w:rsid w:val="007D59D3"/>
    <w:rsid w:val="007D5A61"/>
    <w:rsid w:val="007D5F7C"/>
    <w:rsid w:val="007D6100"/>
    <w:rsid w:val="007D63F8"/>
    <w:rsid w:val="007D6D7E"/>
    <w:rsid w:val="007D6E46"/>
    <w:rsid w:val="007D76EF"/>
    <w:rsid w:val="007D793B"/>
    <w:rsid w:val="007D7963"/>
    <w:rsid w:val="007D7E92"/>
    <w:rsid w:val="007D7FD4"/>
    <w:rsid w:val="007E032B"/>
    <w:rsid w:val="007E0391"/>
    <w:rsid w:val="007E03D0"/>
    <w:rsid w:val="007E0634"/>
    <w:rsid w:val="007E091A"/>
    <w:rsid w:val="007E0A11"/>
    <w:rsid w:val="007E0E03"/>
    <w:rsid w:val="007E12D9"/>
    <w:rsid w:val="007E13C6"/>
    <w:rsid w:val="007E1B15"/>
    <w:rsid w:val="007E1D53"/>
    <w:rsid w:val="007E2256"/>
    <w:rsid w:val="007E2AF9"/>
    <w:rsid w:val="007E2C66"/>
    <w:rsid w:val="007E2E4D"/>
    <w:rsid w:val="007E3427"/>
    <w:rsid w:val="007E35B7"/>
    <w:rsid w:val="007E37FB"/>
    <w:rsid w:val="007E3A37"/>
    <w:rsid w:val="007E3A99"/>
    <w:rsid w:val="007E3B5A"/>
    <w:rsid w:val="007E3D38"/>
    <w:rsid w:val="007E43A2"/>
    <w:rsid w:val="007E477D"/>
    <w:rsid w:val="007E47AE"/>
    <w:rsid w:val="007E4C9A"/>
    <w:rsid w:val="007E4D41"/>
    <w:rsid w:val="007E4F90"/>
    <w:rsid w:val="007E4FED"/>
    <w:rsid w:val="007E5071"/>
    <w:rsid w:val="007E5603"/>
    <w:rsid w:val="007E5645"/>
    <w:rsid w:val="007E5B4E"/>
    <w:rsid w:val="007E5CCD"/>
    <w:rsid w:val="007E5EFB"/>
    <w:rsid w:val="007E602B"/>
    <w:rsid w:val="007E64AB"/>
    <w:rsid w:val="007E66A9"/>
    <w:rsid w:val="007E6838"/>
    <w:rsid w:val="007E6C7F"/>
    <w:rsid w:val="007E7051"/>
    <w:rsid w:val="007E7C01"/>
    <w:rsid w:val="007F091F"/>
    <w:rsid w:val="007F0968"/>
    <w:rsid w:val="007F09AF"/>
    <w:rsid w:val="007F0B4C"/>
    <w:rsid w:val="007F1197"/>
    <w:rsid w:val="007F1330"/>
    <w:rsid w:val="007F1465"/>
    <w:rsid w:val="007F14DF"/>
    <w:rsid w:val="007F2089"/>
    <w:rsid w:val="007F26DF"/>
    <w:rsid w:val="007F2734"/>
    <w:rsid w:val="007F2AFB"/>
    <w:rsid w:val="007F2BA5"/>
    <w:rsid w:val="007F2E28"/>
    <w:rsid w:val="007F326C"/>
    <w:rsid w:val="007F348B"/>
    <w:rsid w:val="007F34DB"/>
    <w:rsid w:val="007F3572"/>
    <w:rsid w:val="007F3B04"/>
    <w:rsid w:val="007F3BCF"/>
    <w:rsid w:val="007F3DCF"/>
    <w:rsid w:val="007F4001"/>
    <w:rsid w:val="007F4032"/>
    <w:rsid w:val="007F408A"/>
    <w:rsid w:val="007F40A9"/>
    <w:rsid w:val="007F4364"/>
    <w:rsid w:val="007F44D1"/>
    <w:rsid w:val="007F48DC"/>
    <w:rsid w:val="007F4E8D"/>
    <w:rsid w:val="007F5115"/>
    <w:rsid w:val="007F53A9"/>
    <w:rsid w:val="007F5E6D"/>
    <w:rsid w:val="007F5EEE"/>
    <w:rsid w:val="007F601C"/>
    <w:rsid w:val="007F634C"/>
    <w:rsid w:val="007F639A"/>
    <w:rsid w:val="007F662D"/>
    <w:rsid w:val="007F683C"/>
    <w:rsid w:val="007F6940"/>
    <w:rsid w:val="007F6E5A"/>
    <w:rsid w:val="007F72BA"/>
    <w:rsid w:val="007F7326"/>
    <w:rsid w:val="007F7727"/>
    <w:rsid w:val="0080026D"/>
    <w:rsid w:val="00800A10"/>
    <w:rsid w:val="0080147B"/>
    <w:rsid w:val="00801550"/>
    <w:rsid w:val="0080188C"/>
    <w:rsid w:val="008018D4"/>
    <w:rsid w:val="0080197F"/>
    <w:rsid w:val="0080203D"/>
    <w:rsid w:val="0080227D"/>
    <w:rsid w:val="00802361"/>
    <w:rsid w:val="0080236C"/>
    <w:rsid w:val="00802A96"/>
    <w:rsid w:val="008030C5"/>
    <w:rsid w:val="00803285"/>
    <w:rsid w:val="008037D5"/>
    <w:rsid w:val="00803BED"/>
    <w:rsid w:val="00804EDF"/>
    <w:rsid w:val="008053AF"/>
    <w:rsid w:val="0080559B"/>
    <w:rsid w:val="008056E3"/>
    <w:rsid w:val="008059F9"/>
    <w:rsid w:val="00805BEC"/>
    <w:rsid w:val="00805CE4"/>
    <w:rsid w:val="008061B8"/>
    <w:rsid w:val="008062D0"/>
    <w:rsid w:val="008063B3"/>
    <w:rsid w:val="00806550"/>
    <w:rsid w:val="008067A2"/>
    <w:rsid w:val="00806BD5"/>
    <w:rsid w:val="00806D0C"/>
    <w:rsid w:val="00806FED"/>
    <w:rsid w:val="0080726B"/>
    <w:rsid w:val="0080752F"/>
    <w:rsid w:val="00807621"/>
    <w:rsid w:val="0080798B"/>
    <w:rsid w:val="00807D74"/>
    <w:rsid w:val="00807D79"/>
    <w:rsid w:val="0081117B"/>
    <w:rsid w:val="008116C0"/>
    <w:rsid w:val="008118CE"/>
    <w:rsid w:val="00811950"/>
    <w:rsid w:val="00811955"/>
    <w:rsid w:val="00811B06"/>
    <w:rsid w:val="00811C74"/>
    <w:rsid w:val="00811D30"/>
    <w:rsid w:val="00811D64"/>
    <w:rsid w:val="008120E1"/>
    <w:rsid w:val="0081218D"/>
    <w:rsid w:val="0081269D"/>
    <w:rsid w:val="0081303F"/>
    <w:rsid w:val="008131B4"/>
    <w:rsid w:val="008132C9"/>
    <w:rsid w:val="0081338D"/>
    <w:rsid w:val="008139A9"/>
    <w:rsid w:val="0081456D"/>
    <w:rsid w:val="008148F4"/>
    <w:rsid w:val="00814DB8"/>
    <w:rsid w:val="00814E02"/>
    <w:rsid w:val="00814E28"/>
    <w:rsid w:val="0081502E"/>
    <w:rsid w:val="00815153"/>
    <w:rsid w:val="008158BD"/>
    <w:rsid w:val="00816207"/>
    <w:rsid w:val="00816235"/>
    <w:rsid w:val="0081631D"/>
    <w:rsid w:val="00816363"/>
    <w:rsid w:val="00816982"/>
    <w:rsid w:val="00816C51"/>
    <w:rsid w:val="00817AE1"/>
    <w:rsid w:val="00817BA4"/>
    <w:rsid w:val="00817EF1"/>
    <w:rsid w:val="00820487"/>
    <w:rsid w:val="008204B5"/>
    <w:rsid w:val="008207D9"/>
    <w:rsid w:val="00820904"/>
    <w:rsid w:val="00820BAF"/>
    <w:rsid w:val="008210A5"/>
    <w:rsid w:val="0082199F"/>
    <w:rsid w:val="00821F14"/>
    <w:rsid w:val="0082249D"/>
    <w:rsid w:val="00822692"/>
    <w:rsid w:val="00822AC0"/>
    <w:rsid w:val="00822D4F"/>
    <w:rsid w:val="0082304E"/>
    <w:rsid w:val="008230B5"/>
    <w:rsid w:val="0082322B"/>
    <w:rsid w:val="00823252"/>
    <w:rsid w:val="00823285"/>
    <w:rsid w:val="008235FB"/>
    <w:rsid w:val="00823867"/>
    <w:rsid w:val="00823BCA"/>
    <w:rsid w:val="00823F5B"/>
    <w:rsid w:val="00824199"/>
    <w:rsid w:val="0082432E"/>
    <w:rsid w:val="008243F1"/>
    <w:rsid w:val="00824420"/>
    <w:rsid w:val="00824F2A"/>
    <w:rsid w:val="00824F77"/>
    <w:rsid w:val="008253A8"/>
    <w:rsid w:val="008254D6"/>
    <w:rsid w:val="008257AD"/>
    <w:rsid w:val="008257EC"/>
    <w:rsid w:val="00825C03"/>
    <w:rsid w:val="00825F8F"/>
    <w:rsid w:val="008261F9"/>
    <w:rsid w:val="008262F2"/>
    <w:rsid w:val="008263F0"/>
    <w:rsid w:val="008265EF"/>
    <w:rsid w:val="008266C1"/>
    <w:rsid w:val="00826B64"/>
    <w:rsid w:val="00826E1E"/>
    <w:rsid w:val="0082729C"/>
    <w:rsid w:val="008275A5"/>
    <w:rsid w:val="008275E1"/>
    <w:rsid w:val="0082768F"/>
    <w:rsid w:val="00827745"/>
    <w:rsid w:val="00827BD8"/>
    <w:rsid w:val="00827C54"/>
    <w:rsid w:val="00827D26"/>
    <w:rsid w:val="00827D4B"/>
    <w:rsid w:val="00827E3C"/>
    <w:rsid w:val="00827E69"/>
    <w:rsid w:val="00831115"/>
    <w:rsid w:val="008314FD"/>
    <w:rsid w:val="008318F0"/>
    <w:rsid w:val="00831F01"/>
    <w:rsid w:val="00831FA8"/>
    <w:rsid w:val="008321D9"/>
    <w:rsid w:val="008322F0"/>
    <w:rsid w:val="008327F9"/>
    <w:rsid w:val="00832E94"/>
    <w:rsid w:val="0083358E"/>
    <w:rsid w:val="00833777"/>
    <w:rsid w:val="00833DFB"/>
    <w:rsid w:val="008352A3"/>
    <w:rsid w:val="0083554E"/>
    <w:rsid w:val="00835689"/>
    <w:rsid w:val="00835C38"/>
    <w:rsid w:val="008360A8"/>
    <w:rsid w:val="0083639F"/>
    <w:rsid w:val="00836680"/>
    <w:rsid w:val="00836842"/>
    <w:rsid w:val="00836903"/>
    <w:rsid w:val="00836A86"/>
    <w:rsid w:val="00836BCC"/>
    <w:rsid w:val="00837020"/>
    <w:rsid w:val="0083786C"/>
    <w:rsid w:val="008402B2"/>
    <w:rsid w:val="0084039E"/>
    <w:rsid w:val="00841348"/>
    <w:rsid w:val="008417AD"/>
    <w:rsid w:val="00841AA8"/>
    <w:rsid w:val="00841FF4"/>
    <w:rsid w:val="00842675"/>
    <w:rsid w:val="00842753"/>
    <w:rsid w:val="00842CD6"/>
    <w:rsid w:val="00842FFC"/>
    <w:rsid w:val="008434FD"/>
    <w:rsid w:val="008436BE"/>
    <w:rsid w:val="00843ABD"/>
    <w:rsid w:val="00843C1A"/>
    <w:rsid w:val="00843DE7"/>
    <w:rsid w:val="0084414B"/>
    <w:rsid w:val="0084439E"/>
    <w:rsid w:val="00845B58"/>
    <w:rsid w:val="00845F1F"/>
    <w:rsid w:val="008464FC"/>
    <w:rsid w:val="008465F9"/>
    <w:rsid w:val="00846724"/>
    <w:rsid w:val="0084687F"/>
    <w:rsid w:val="0084697C"/>
    <w:rsid w:val="00846AF8"/>
    <w:rsid w:val="008471F2"/>
    <w:rsid w:val="00847219"/>
    <w:rsid w:val="00847478"/>
    <w:rsid w:val="00847680"/>
    <w:rsid w:val="00847C93"/>
    <w:rsid w:val="00847E33"/>
    <w:rsid w:val="00850125"/>
    <w:rsid w:val="008501A4"/>
    <w:rsid w:val="008501F4"/>
    <w:rsid w:val="008502D3"/>
    <w:rsid w:val="00850D3D"/>
    <w:rsid w:val="00850E32"/>
    <w:rsid w:val="00851326"/>
    <w:rsid w:val="00851872"/>
    <w:rsid w:val="0085192D"/>
    <w:rsid w:val="00851C92"/>
    <w:rsid w:val="00851DA5"/>
    <w:rsid w:val="0085249B"/>
    <w:rsid w:val="0085263D"/>
    <w:rsid w:val="00852C89"/>
    <w:rsid w:val="00852D55"/>
    <w:rsid w:val="00853176"/>
    <w:rsid w:val="00853323"/>
    <w:rsid w:val="008534C1"/>
    <w:rsid w:val="008534E2"/>
    <w:rsid w:val="00853E64"/>
    <w:rsid w:val="00853F5D"/>
    <w:rsid w:val="0085406D"/>
    <w:rsid w:val="0085406E"/>
    <w:rsid w:val="0085450C"/>
    <w:rsid w:val="00854585"/>
    <w:rsid w:val="008545C6"/>
    <w:rsid w:val="00854A4E"/>
    <w:rsid w:val="00854C25"/>
    <w:rsid w:val="00854D93"/>
    <w:rsid w:val="00854DD7"/>
    <w:rsid w:val="00854FF8"/>
    <w:rsid w:val="008550C6"/>
    <w:rsid w:val="00855163"/>
    <w:rsid w:val="008557F1"/>
    <w:rsid w:val="00855DA2"/>
    <w:rsid w:val="00855DF0"/>
    <w:rsid w:val="008560CE"/>
    <w:rsid w:val="008561A6"/>
    <w:rsid w:val="008564DA"/>
    <w:rsid w:val="00857044"/>
    <w:rsid w:val="008570D3"/>
    <w:rsid w:val="008579E3"/>
    <w:rsid w:val="00857B4D"/>
    <w:rsid w:val="00857C28"/>
    <w:rsid w:val="00860617"/>
    <w:rsid w:val="008606CC"/>
    <w:rsid w:val="0086076B"/>
    <w:rsid w:val="008607E1"/>
    <w:rsid w:val="00860B71"/>
    <w:rsid w:val="0086171C"/>
    <w:rsid w:val="00861883"/>
    <w:rsid w:val="008618CA"/>
    <w:rsid w:val="008619BC"/>
    <w:rsid w:val="00861DC9"/>
    <w:rsid w:val="008622E4"/>
    <w:rsid w:val="008623CA"/>
    <w:rsid w:val="008623FE"/>
    <w:rsid w:val="00862655"/>
    <w:rsid w:val="00862667"/>
    <w:rsid w:val="0086279B"/>
    <w:rsid w:val="00862FFA"/>
    <w:rsid w:val="00863AAB"/>
    <w:rsid w:val="00863BA0"/>
    <w:rsid w:val="00863DB4"/>
    <w:rsid w:val="00863E70"/>
    <w:rsid w:val="00863FE2"/>
    <w:rsid w:val="008641D0"/>
    <w:rsid w:val="00864286"/>
    <w:rsid w:val="00864461"/>
    <w:rsid w:val="00864859"/>
    <w:rsid w:val="00864879"/>
    <w:rsid w:val="00864E19"/>
    <w:rsid w:val="00864E47"/>
    <w:rsid w:val="00864F0F"/>
    <w:rsid w:val="00865100"/>
    <w:rsid w:val="00865445"/>
    <w:rsid w:val="00865483"/>
    <w:rsid w:val="008657AF"/>
    <w:rsid w:val="0086594F"/>
    <w:rsid w:val="0086599F"/>
    <w:rsid w:val="00865B87"/>
    <w:rsid w:val="00865BFD"/>
    <w:rsid w:val="00865E0A"/>
    <w:rsid w:val="00865F76"/>
    <w:rsid w:val="00866571"/>
    <w:rsid w:val="0086687A"/>
    <w:rsid w:val="00866A5C"/>
    <w:rsid w:val="00866B22"/>
    <w:rsid w:val="00866E49"/>
    <w:rsid w:val="00867217"/>
    <w:rsid w:val="00867B0F"/>
    <w:rsid w:val="00867FCB"/>
    <w:rsid w:val="00870847"/>
    <w:rsid w:val="0087089B"/>
    <w:rsid w:val="00870E07"/>
    <w:rsid w:val="00870F42"/>
    <w:rsid w:val="00870F54"/>
    <w:rsid w:val="00871092"/>
    <w:rsid w:val="00871236"/>
    <w:rsid w:val="0087143C"/>
    <w:rsid w:val="0087170F"/>
    <w:rsid w:val="00871817"/>
    <w:rsid w:val="00871D76"/>
    <w:rsid w:val="00872018"/>
    <w:rsid w:val="00872463"/>
    <w:rsid w:val="00872609"/>
    <w:rsid w:val="00872F79"/>
    <w:rsid w:val="00873031"/>
    <w:rsid w:val="008733C0"/>
    <w:rsid w:val="008734E2"/>
    <w:rsid w:val="00873950"/>
    <w:rsid w:val="00873AE6"/>
    <w:rsid w:val="00873EA9"/>
    <w:rsid w:val="00873F80"/>
    <w:rsid w:val="0087457D"/>
    <w:rsid w:val="0087491C"/>
    <w:rsid w:val="00874ABA"/>
    <w:rsid w:val="00874B03"/>
    <w:rsid w:val="00874B97"/>
    <w:rsid w:val="00874D9C"/>
    <w:rsid w:val="00874FBB"/>
    <w:rsid w:val="008756A8"/>
    <w:rsid w:val="008759F9"/>
    <w:rsid w:val="00875D2F"/>
    <w:rsid w:val="00876138"/>
    <w:rsid w:val="008765A7"/>
    <w:rsid w:val="00876EFD"/>
    <w:rsid w:val="00877050"/>
    <w:rsid w:val="00877382"/>
    <w:rsid w:val="008774A2"/>
    <w:rsid w:val="00877907"/>
    <w:rsid w:val="00877E1B"/>
    <w:rsid w:val="00877EEE"/>
    <w:rsid w:val="00877F26"/>
    <w:rsid w:val="00880030"/>
    <w:rsid w:val="00880373"/>
    <w:rsid w:val="008808E3"/>
    <w:rsid w:val="00880FF0"/>
    <w:rsid w:val="008810CD"/>
    <w:rsid w:val="008813D4"/>
    <w:rsid w:val="0088172E"/>
    <w:rsid w:val="00881A1B"/>
    <w:rsid w:val="00881D55"/>
    <w:rsid w:val="00881E11"/>
    <w:rsid w:val="0088221C"/>
    <w:rsid w:val="0088276A"/>
    <w:rsid w:val="00882F23"/>
    <w:rsid w:val="0088305E"/>
    <w:rsid w:val="00883797"/>
    <w:rsid w:val="008839E5"/>
    <w:rsid w:val="00884070"/>
    <w:rsid w:val="0088408C"/>
    <w:rsid w:val="008848D9"/>
    <w:rsid w:val="00884A1F"/>
    <w:rsid w:val="00884BDF"/>
    <w:rsid w:val="00885147"/>
    <w:rsid w:val="0088568D"/>
    <w:rsid w:val="008862A5"/>
    <w:rsid w:val="00886685"/>
    <w:rsid w:val="0088702C"/>
    <w:rsid w:val="008872BC"/>
    <w:rsid w:val="008873BF"/>
    <w:rsid w:val="0088742C"/>
    <w:rsid w:val="0088759A"/>
    <w:rsid w:val="00887B76"/>
    <w:rsid w:val="00887C39"/>
    <w:rsid w:val="0089015A"/>
    <w:rsid w:val="008905BE"/>
    <w:rsid w:val="008906F4"/>
    <w:rsid w:val="008906FE"/>
    <w:rsid w:val="00891255"/>
    <w:rsid w:val="00891488"/>
    <w:rsid w:val="0089151B"/>
    <w:rsid w:val="00891676"/>
    <w:rsid w:val="00891B28"/>
    <w:rsid w:val="00891DFD"/>
    <w:rsid w:val="00892105"/>
    <w:rsid w:val="008922A8"/>
    <w:rsid w:val="008928FF"/>
    <w:rsid w:val="00892E7C"/>
    <w:rsid w:val="00893265"/>
    <w:rsid w:val="008937D7"/>
    <w:rsid w:val="008937E9"/>
    <w:rsid w:val="00893D3B"/>
    <w:rsid w:val="0089405F"/>
    <w:rsid w:val="008944EF"/>
    <w:rsid w:val="00894508"/>
    <w:rsid w:val="00894540"/>
    <w:rsid w:val="00895196"/>
    <w:rsid w:val="008959A0"/>
    <w:rsid w:val="00896129"/>
    <w:rsid w:val="00896461"/>
    <w:rsid w:val="008968A0"/>
    <w:rsid w:val="00896ADA"/>
    <w:rsid w:val="00896F7F"/>
    <w:rsid w:val="008973DB"/>
    <w:rsid w:val="00897686"/>
    <w:rsid w:val="00897B6C"/>
    <w:rsid w:val="008A0434"/>
    <w:rsid w:val="008A0A85"/>
    <w:rsid w:val="008A0B92"/>
    <w:rsid w:val="008A128A"/>
    <w:rsid w:val="008A1665"/>
    <w:rsid w:val="008A18C5"/>
    <w:rsid w:val="008A1D86"/>
    <w:rsid w:val="008A24B7"/>
    <w:rsid w:val="008A25CD"/>
    <w:rsid w:val="008A2630"/>
    <w:rsid w:val="008A2C35"/>
    <w:rsid w:val="008A2D03"/>
    <w:rsid w:val="008A3022"/>
    <w:rsid w:val="008A3181"/>
    <w:rsid w:val="008A37D5"/>
    <w:rsid w:val="008A3AB4"/>
    <w:rsid w:val="008A3D2D"/>
    <w:rsid w:val="008A419C"/>
    <w:rsid w:val="008A4359"/>
    <w:rsid w:val="008A465F"/>
    <w:rsid w:val="008A4774"/>
    <w:rsid w:val="008A4911"/>
    <w:rsid w:val="008A4D52"/>
    <w:rsid w:val="008A531D"/>
    <w:rsid w:val="008A58AB"/>
    <w:rsid w:val="008A6970"/>
    <w:rsid w:val="008A6E84"/>
    <w:rsid w:val="008A6F9C"/>
    <w:rsid w:val="008A716B"/>
    <w:rsid w:val="008A73FA"/>
    <w:rsid w:val="008A76ED"/>
    <w:rsid w:val="008A79ED"/>
    <w:rsid w:val="008A7AE3"/>
    <w:rsid w:val="008B0150"/>
    <w:rsid w:val="008B0319"/>
    <w:rsid w:val="008B0374"/>
    <w:rsid w:val="008B03E0"/>
    <w:rsid w:val="008B0638"/>
    <w:rsid w:val="008B083D"/>
    <w:rsid w:val="008B090B"/>
    <w:rsid w:val="008B1616"/>
    <w:rsid w:val="008B1629"/>
    <w:rsid w:val="008B169D"/>
    <w:rsid w:val="008B16CA"/>
    <w:rsid w:val="008B1FB8"/>
    <w:rsid w:val="008B240D"/>
    <w:rsid w:val="008B263A"/>
    <w:rsid w:val="008B26F2"/>
    <w:rsid w:val="008B2A00"/>
    <w:rsid w:val="008B2ADA"/>
    <w:rsid w:val="008B2CC7"/>
    <w:rsid w:val="008B2E2F"/>
    <w:rsid w:val="008B3E8D"/>
    <w:rsid w:val="008B3F05"/>
    <w:rsid w:val="008B4029"/>
    <w:rsid w:val="008B42CA"/>
    <w:rsid w:val="008B4A47"/>
    <w:rsid w:val="008B4A74"/>
    <w:rsid w:val="008B51D6"/>
    <w:rsid w:val="008B524F"/>
    <w:rsid w:val="008B5E01"/>
    <w:rsid w:val="008B5E61"/>
    <w:rsid w:val="008B5E70"/>
    <w:rsid w:val="008B6077"/>
    <w:rsid w:val="008B648B"/>
    <w:rsid w:val="008B65DD"/>
    <w:rsid w:val="008B678B"/>
    <w:rsid w:val="008B6E1D"/>
    <w:rsid w:val="008B6F20"/>
    <w:rsid w:val="008B745F"/>
    <w:rsid w:val="008B74D9"/>
    <w:rsid w:val="008B7526"/>
    <w:rsid w:val="008B7F3E"/>
    <w:rsid w:val="008C00CC"/>
    <w:rsid w:val="008C01C6"/>
    <w:rsid w:val="008C027D"/>
    <w:rsid w:val="008C070D"/>
    <w:rsid w:val="008C0E21"/>
    <w:rsid w:val="008C0FA2"/>
    <w:rsid w:val="008C0FF0"/>
    <w:rsid w:val="008C1315"/>
    <w:rsid w:val="008C1469"/>
    <w:rsid w:val="008C1764"/>
    <w:rsid w:val="008C1840"/>
    <w:rsid w:val="008C1C1D"/>
    <w:rsid w:val="008C1FC7"/>
    <w:rsid w:val="008C1FF1"/>
    <w:rsid w:val="008C21A7"/>
    <w:rsid w:val="008C2B04"/>
    <w:rsid w:val="008C2C98"/>
    <w:rsid w:val="008C3080"/>
    <w:rsid w:val="008C310E"/>
    <w:rsid w:val="008C324A"/>
    <w:rsid w:val="008C3927"/>
    <w:rsid w:val="008C3AE5"/>
    <w:rsid w:val="008C3D91"/>
    <w:rsid w:val="008C3E08"/>
    <w:rsid w:val="008C43A9"/>
    <w:rsid w:val="008C4508"/>
    <w:rsid w:val="008C4565"/>
    <w:rsid w:val="008C4633"/>
    <w:rsid w:val="008C47FD"/>
    <w:rsid w:val="008C4C69"/>
    <w:rsid w:val="008C4CE4"/>
    <w:rsid w:val="008C507F"/>
    <w:rsid w:val="008C53DD"/>
    <w:rsid w:val="008C57A7"/>
    <w:rsid w:val="008C57BE"/>
    <w:rsid w:val="008C5B49"/>
    <w:rsid w:val="008C5B6F"/>
    <w:rsid w:val="008C5E17"/>
    <w:rsid w:val="008C6483"/>
    <w:rsid w:val="008C69B6"/>
    <w:rsid w:val="008C6A5E"/>
    <w:rsid w:val="008C6A79"/>
    <w:rsid w:val="008C6F83"/>
    <w:rsid w:val="008C70B6"/>
    <w:rsid w:val="008C778A"/>
    <w:rsid w:val="008C7803"/>
    <w:rsid w:val="008C78D2"/>
    <w:rsid w:val="008C7A34"/>
    <w:rsid w:val="008C7A6F"/>
    <w:rsid w:val="008C7B23"/>
    <w:rsid w:val="008CFDB2"/>
    <w:rsid w:val="008D0283"/>
    <w:rsid w:val="008D0660"/>
    <w:rsid w:val="008D0A97"/>
    <w:rsid w:val="008D11F9"/>
    <w:rsid w:val="008D13C0"/>
    <w:rsid w:val="008D1636"/>
    <w:rsid w:val="008D1BCD"/>
    <w:rsid w:val="008D24D1"/>
    <w:rsid w:val="008D29AD"/>
    <w:rsid w:val="008D29C0"/>
    <w:rsid w:val="008D2E3A"/>
    <w:rsid w:val="008D30E2"/>
    <w:rsid w:val="008D34AD"/>
    <w:rsid w:val="008D35E4"/>
    <w:rsid w:val="008D3710"/>
    <w:rsid w:val="008D397C"/>
    <w:rsid w:val="008D3A33"/>
    <w:rsid w:val="008D3A5F"/>
    <w:rsid w:val="008D3FF3"/>
    <w:rsid w:val="008D4044"/>
    <w:rsid w:val="008D48C4"/>
    <w:rsid w:val="008D4A62"/>
    <w:rsid w:val="008D4E18"/>
    <w:rsid w:val="008D4F9B"/>
    <w:rsid w:val="008D5BA8"/>
    <w:rsid w:val="008D5E12"/>
    <w:rsid w:val="008D5E56"/>
    <w:rsid w:val="008D5EF4"/>
    <w:rsid w:val="008D5F08"/>
    <w:rsid w:val="008D6096"/>
    <w:rsid w:val="008D6203"/>
    <w:rsid w:val="008D6DB9"/>
    <w:rsid w:val="008D703E"/>
    <w:rsid w:val="008D7052"/>
    <w:rsid w:val="008D74DF"/>
    <w:rsid w:val="008D75F7"/>
    <w:rsid w:val="008D77C8"/>
    <w:rsid w:val="008D7959"/>
    <w:rsid w:val="008D7C47"/>
    <w:rsid w:val="008D7D9E"/>
    <w:rsid w:val="008E017B"/>
    <w:rsid w:val="008E01AB"/>
    <w:rsid w:val="008E0385"/>
    <w:rsid w:val="008E0437"/>
    <w:rsid w:val="008E04ED"/>
    <w:rsid w:val="008E071F"/>
    <w:rsid w:val="008E09B7"/>
    <w:rsid w:val="008E0B68"/>
    <w:rsid w:val="008E0F46"/>
    <w:rsid w:val="008E0FF8"/>
    <w:rsid w:val="008E1054"/>
    <w:rsid w:val="008E1204"/>
    <w:rsid w:val="008E19DE"/>
    <w:rsid w:val="008E1A13"/>
    <w:rsid w:val="008E1CD5"/>
    <w:rsid w:val="008E267C"/>
    <w:rsid w:val="008E2AEF"/>
    <w:rsid w:val="008E2BE8"/>
    <w:rsid w:val="008E30AB"/>
    <w:rsid w:val="008E329C"/>
    <w:rsid w:val="008E3433"/>
    <w:rsid w:val="008E3721"/>
    <w:rsid w:val="008E3843"/>
    <w:rsid w:val="008E388A"/>
    <w:rsid w:val="008E38F2"/>
    <w:rsid w:val="008E3E06"/>
    <w:rsid w:val="008E3EB1"/>
    <w:rsid w:val="008E45A0"/>
    <w:rsid w:val="008E4B02"/>
    <w:rsid w:val="008E5154"/>
    <w:rsid w:val="008E5574"/>
    <w:rsid w:val="008E5939"/>
    <w:rsid w:val="008E606F"/>
    <w:rsid w:val="008E66C8"/>
    <w:rsid w:val="008E6A82"/>
    <w:rsid w:val="008E6AE8"/>
    <w:rsid w:val="008E6C03"/>
    <w:rsid w:val="008E707B"/>
    <w:rsid w:val="008E70AF"/>
    <w:rsid w:val="008E71B9"/>
    <w:rsid w:val="008E7570"/>
    <w:rsid w:val="008E76E7"/>
    <w:rsid w:val="008E7855"/>
    <w:rsid w:val="008E7C70"/>
    <w:rsid w:val="008F0248"/>
    <w:rsid w:val="008F027D"/>
    <w:rsid w:val="008F02B5"/>
    <w:rsid w:val="008F05F4"/>
    <w:rsid w:val="008F0CFB"/>
    <w:rsid w:val="008F0D2E"/>
    <w:rsid w:val="008F0DB6"/>
    <w:rsid w:val="008F0DEF"/>
    <w:rsid w:val="008F0EF3"/>
    <w:rsid w:val="008F0EF4"/>
    <w:rsid w:val="008F11FE"/>
    <w:rsid w:val="008F1BAB"/>
    <w:rsid w:val="008F21D1"/>
    <w:rsid w:val="008F23E8"/>
    <w:rsid w:val="008F241A"/>
    <w:rsid w:val="008F2456"/>
    <w:rsid w:val="008F2631"/>
    <w:rsid w:val="008F2672"/>
    <w:rsid w:val="008F2F1A"/>
    <w:rsid w:val="008F333B"/>
    <w:rsid w:val="008F3616"/>
    <w:rsid w:val="008F3A8C"/>
    <w:rsid w:val="008F3DDF"/>
    <w:rsid w:val="008F4676"/>
    <w:rsid w:val="008F4A25"/>
    <w:rsid w:val="008F4C47"/>
    <w:rsid w:val="008F4D8A"/>
    <w:rsid w:val="008F4EC6"/>
    <w:rsid w:val="008F503F"/>
    <w:rsid w:val="008F569D"/>
    <w:rsid w:val="008F57BE"/>
    <w:rsid w:val="008F5F97"/>
    <w:rsid w:val="008F6433"/>
    <w:rsid w:val="008F67A8"/>
    <w:rsid w:val="008F6810"/>
    <w:rsid w:val="008F6966"/>
    <w:rsid w:val="008F6995"/>
    <w:rsid w:val="008F6B1D"/>
    <w:rsid w:val="008F6B6E"/>
    <w:rsid w:val="008F6BDB"/>
    <w:rsid w:val="008F6D32"/>
    <w:rsid w:val="008F766D"/>
    <w:rsid w:val="008F7702"/>
    <w:rsid w:val="008F7D33"/>
    <w:rsid w:val="009000F2"/>
    <w:rsid w:val="009002BE"/>
    <w:rsid w:val="0090052B"/>
    <w:rsid w:val="0090085E"/>
    <w:rsid w:val="009008D8"/>
    <w:rsid w:val="00900B58"/>
    <w:rsid w:val="00900C46"/>
    <w:rsid w:val="0090132D"/>
    <w:rsid w:val="009018F3"/>
    <w:rsid w:val="00901DFB"/>
    <w:rsid w:val="00901F4C"/>
    <w:rsid w:val="00902543"/>
    <w:rsid w:val="0090282A"/>
    <w:rsid w:val="009028A5"/>
    <w:rsid w:val="009028D8"/>
    <w:rsid w:val="00902E4D"/>
    <w:rsid w:val="009030F0"/>
    <w:rsid w:val="00903450"/>
    <w:rsid w:val="00903A0D"/>
    <w:rsid w:val="00903B6A"/>
    <w:rsid w:val="00903CE3"/>
    <w:rsid w:val="00903E42"/>
    <w:rsid w:val="00904096"/>
    <w:rsid w:val="009044C8"/>
    <w:rsid w:val="00904937"/>
    <w:rsid w:val="00904A0A"/>
    <w:rsid w:val="00904C4C"/>
    <w:rsid w:val="00905222"/>
    <w:rsid w:val="009059A0"/>
    <w:rsid w:val="00905AA7"/>
    <w:rsid w:val="00905D4C"/>
    <w:rsid w:val="00905F78"/>
    <w:rsid w:val="009060DD"/>
    <w:rsid w:val="0090658A"/>
    <w:rsid w:val="00906700"/>
    <w:rsid w:val="00906757"/>
    <w:rsid w:val="0090697E"/>
    <w:rsid w:val="00906AC0"/>
    <w:rsid w:val="00906B5C"/>
    <w:rsid w:val="00906BF0"/>
    <w:rsid w:val="009074C6"/>
    <w:rsid w:val="00907767"/>
    <w:rsid w:val="00907843"/>
    <w:rsid w:val="009079D4"/>
    <w:rsid w:val="0091031D"/>
    <w:rsid w:val="0091056F"/>
    <w:rsid w:val="00910597"/>
    <w:rsid w:val="0091069E"/>
    <w:rsid w:val="00910CDD"/>
    <w:rsid w:val="0091101B"/>
    <w:rsid w:val="009111D6"/>
    <w:rsid w:val="0091163F"/>
    <w:rsid w:val="00911E43"/>
    <w:rsid w:val="0091231B"/>
    <w:rsid w:val="009126A3"/>
    <w:rsid w:val="0091285B"/>
    <w:rsid w:val="00912B0F"/>
    <w:rsid w:val="009130F5"/>
    <w:rsid w:val="00913124"/>
    <w:rsid w:val="009133CB"/>
    <w:rsid w:val="00913540"/>
    <w:rsid w:val="00913724"/>
    <w:rsid w:val="00913C7A"/>
    <w:rsid w:val="00913DF6"/>
    <w:rsid w:val="00913ECD"/>
    <w:rsid w:val="009145AA"/>
    <w:rsid w:val="00914B9D"/>
    <w:rsid w:val="00914CE0"/>
    <w:rsid w:val="00914DC5"/>
    <w:rsid w:val="0091506C"/>
    <w:rsid w:val="00915A5C"/>
    <w:rsid w:val="00915BB6"/>
    <w:rsid w:val="00915E1E"/>
    <w:rsid w:val="00915F0F"/>
    <w:rsid w:val="009161BE"/>
    <w:rsid w:val="009161EA"/>
    <w:rsid w:val="009164B7"/>
    <w:rsid w:val="00916C39"/>
    <w:rsid w:val="009173DC"/>
    <w:rsid w:val="00917564"/>
    <w:rsid w:val="00917C15"/>
    <w:rsid w:val="00917ED4"/>
    <w:rsid w:val="0092027B"/>
    <w:rsid w:val="00920C7B"/>
    <w:rsid w:val="00920EEA"/>
    <w:rsid w:val="00920F18"/>
    <w:rsid w:val="009214CA"/>
    <w:rsid w:val="00921907"/>
    <w:rsid w:val="00922A70"/>
    <w:rsid w:val="00922B7D"/>
    <w:rsid w:val="00922DEC"/>
    <w:rsid w:val="00922E06"/>
    <w:rsid w:val="0092356B"/>
    <w:rsid w:val="00923E08"/>
    <w:rsid w:val="009240E8"/>
    <w:rsid w:val="00924757"/>
    <w:rsid w:val="00924DE7"/>
    <w:rsid w:val="0092558C"/>
    <w:rsid w:val="0092568F"/>
    <w:rsid w:val="009257EA"/>
    <w:rsid w:val="0092597A"/>
    <w:rsid w:val="00925AD5"/>
    <w:rsid w:val="00925E2C"/>
    <w:rsid w:val="00926031"/>
    <w:rsid w:val="00926371"/>
    <w:rsid w:val="009269F6"/>
    <w:rsid w:val="00926B86"/>
    <w:rsid w:val="00926BDA"/>
    <w:rsid w:val="00926D64"/>
    <w:rsid w:val="00926ED3"/>
    <w:rsid w:val="00926F4D"/>
    <w:rsid w:val="00926FFE"/>
    <w:rsid w:val="009277F4"/>
    <w:rsid w:val="00927911"/>
    <w:rsid w:val="00927E46"/>
    <w:rsid w:val="0093036F"/>
    <w:rsid w:val="00930678"/>
    <w:rsid w:val="00930736"/>
    <w:rsid w:val="009309FA"/>
    <w:rsid w:val="009311CF"/>
    <w:rsid w:val="0093138B"/>
    <w:rsid w:val="00931466"/>
    <w:rsid w:val="0093194F"/>
    <w:rsid w:val="00931E05"/>
    <w:rsid w:val="00931F0C"/>
    <w:rsid w:val="009321FF"/>
    <w:rsid w:val="009322FB"/>
    <w:rsid w:val="0093233E"/>
    <w:rsid w:val="00932608"/>
    <w:rsid w:val="00932A10"/>
    <w:rsid w:val="00932CD7"/>
    <w:rsid w:val="009331E0"/>
    <w:rsid w:val="0093331D"/>
    <w:rsid w:val="009348EE"/>
    <w:rsid w:val="00934CD3"/>
    <w:rsid w:val="00934D96"/>
    <w:rsid w:val="00934DF7"/>
    <w:rsid w:val="00935E66"/>
    <w:rsid w:val="009360E3"/>
    <w:rsid w:val="0093622D"/>
    <w:rsid w:val="009364BC"/>
    <w:rsid w:val="00936614"/>
    <w:rsid w:val="00936726"/>
    <w:rsid w:val="00936851"/>
    <w:rsid w:val="00936D32"/>
    <w:rsid w:val="00937458"/>
    <w:rsid w:val="0093764C"/>
    <w:rsid w:val="00937751"/>
    <w:rsid w:val="00937860"/>
    <w:rsid w:val="00937C29"/>
    <w:rsid w:val="00937DEE"/>
    <w:rsid w:val="00937FC4"/>
    <w:rsid w:val="0094097E"/>
    <w:rsid w:val="00941206"/>
    <w:rsid w:val="00941746"/>
    <w:rsid w:val="0094175F"/>
    <w:rsid w:val="00941AC0"/>
    <w:rsid w:val="00941B0F"/>
    <w:rsid w:val="00941C48"/>
    <w:rsid w:val="00941E91"/>
    <w:rsid w:val="00941F10"/>
    <w:rsid w:val="00941F9C"/>
    <w:rsid w:val="00942895"/>
    <w:rsid w:val="00942EBA"/>
    <w:rsid w:val="00943068"/>
    <w:rsid w:val="009438A6"/>
    <w:rsid w:val="0094390B"/>
    <w:rsid w:val="00943F97"/>
    <w:rsid w:val="009443F0"/>
    <w:rsid w:val="00944518"/>
    <w:rsid w:val="009445AC"/>
    <w:rsid w:val="00944779"/>
    <w:rsid w:val="00944947"/>
    <w:rsid w:val="00944C12"/>
    <w:rsid w:val="00944D7D"/>
    <w:rsid w:val="00944F5D"/>
    <w:rsid w:val="009450C2"/>
    <w:rsid w:val="0094519E"/>
    <w:rsid w:val="00945223"/>
    <w:rsid w:val="009453A1"/>
    <w:rsid w:val="0094554F"/>
    <w:rsid w:val="0094564D"/>
    <w:rsid w:val="00945770"/>
    <w:rsid w:val="009459F0"/>
    <w:rsid w:val="00945F9A"/>
    <w:rsid w:val="00946289"/>
    <w:rsid w:val="009464D9"/>
    <w:rsid w:val="00946A0A"/>
    <w:rsid w:val="00946C2A"/>
    <w:rsid w:val="00946F8E"/>
    <w:rsid w:val="009475FF"/>
    <w:rsid w:val="00950167"/>
    <w:rsid w:val="009501CB"/>
    <w:rsid w:val="00950208"/>
    <w:rsid w:val="009505F8"/>
    <w:rsid w:val="00950705"/>
    <w:rsid w:val="00950C74"/>
    <w:rsid w:val="00950F82"/>
    <w:rsid w:val="00950F85"/>
    <w:rsid w:val="00951675"/>
    <w:rsid w:val="00951B4E"/>
    <w:rsid w:val="00951C35"/>
    <w:rsid w:val="00951DBA"/>
    <w:rsid w:val="00952139"/>
    <w:rsid w:val="009523D0"/>
    <w:rsid w:val="00952661"/>
    <w:rsid w:val="00952864"/>
    <w:rsid w:val="009528D6"/>
    <w:rsid w:val="00952FB8"/>
    <w:rsid w:val="00953065"/>
    <w:rsid w:val="00953228"/>
    <w:rsid w:val="00953621"/>
    <w:rsid w:val="00953C2C"/>
    <w:rsid w:val="00953D72"/>
    <w:rsid w:val="00954029"/>
    <w:rsid w:val="009547FF"/>
    <w:rsid w:val="00954F0B"/>
    <w:rsid w:val="00955402"/>
    <w:rsid w:val="009555D5"/>
    <w:rsid w:val="00955C32"/>
    <w:rsid w:val="0095620A"/>
    <w:rsid w:val="00956899"/>
    <w:rsid w:val="00956B46"/>
    <w:rsid w:val="00956C95"/>
    <w:rsid w:val="009570F1"/>
    <w:rsid w:val="0095713E"/>
    <w:rsid w:val="009574AC"/>
    <w:rsid w:val="00957540"/>
    <w:rsid w:val="00957ACF"/>
    <w:rsid w:val="00957C7B"/>
    <w:rsid w:val="009602BF"/>
    <w:rsid w:val="00960330"/>
    <w:rsid w:val="009605A1"/>
    <w:rsid w:val="009609C9"/>
    <w:rsid w:val="00960B12"/>
    <w:rsid w:val="00960CD7"/>
    <w:rsid w:val="00960D51"/>
    <w:rsid w:val="0096132A"/>
    <w:rsid w:val="00961529"/>
    <w:rsid w:val="009616FB"/>
    <w:rsid w:val="00961891"/>
    <w:rsid w:val="009618B3"/>
    <w:rsid w:val="00961A65"/>
    <w:rsid w:val="00961DC0"/>
    <w:rsid w:val="00961E04"/>
    <w:rsid w:val="0096230A"/>
    <w:rsid w:val="009624BF"/>
    <w:rsid w:val="009630C9"/>
    <w:rsid w:val="00963119"/>
    <w:rsid w:val="00963346"/>
    <w:rsid w:val="009634D1"/>
    <w:rsid w:val="00963A11"/>
    <w:rsid w:val="00963E57"/>
    <w:rsid w:val="00964239"/>
    <w:rsid w:val="009644A7"/>
    <w:rsid w:val="00964B5B"/>
    <w:rsid w:val="00964B81"/>
    <w:rsid w:val="00964BBB"/>
    <w:rsid w:val="00964EB5"/>
    <w:rsid w:val="00965216"/>
    <w:rsid w:val="00965895"/>
    <w:rsid w:val="00965F1F"/>
    <w:rsid w:val="00966204"/>
    <w:rsid w:val="009662F0"/>
    <w:rsid w:val="009668F7"/>
    <w:rsid w:val="0096756C"/>
    <w:rsid w:val="0096757D"/>
    <w:rsid w:val="009677B7"/>
    <w:rsid w:val="0096788C"/>
    <w:rsid w:val="00967FE2"/>
    <w:rsid w:val="0097031C"/>
    <w:rsid w:val="00970379"/>
    <w:rsid w:val="009705E3"/>
    <w:rsid w:val="0097073C"/>
    <w:rsid w:val="00970786"/>
    <w:rsid w:val="00970897"/>
    <w:rsid w:val="00970BC8"/>
    <w:rsid w:val="00970E45"/>
    <w:rsid w:val="0097127C"/>
    <w:rsid w:val="009717F8"/>
    <w:rsid w:val="00971AE8"/>
    <w:rsid w:val="00971D4E"/>
    <w:rsid w:val="00971D99"/>
    <w:rsid w:val="00971EBD"/>
    <w:rsid w:val="0097215C"/>
    <w:rsid w:val="00972A91"/>
    <w:rsid w:val="0097321D"/>
    <w:rsid w:val="009734E2"/>
    <w:rsid w:val="009737D4"/>
    <w:rsid w:val="00973BBD"/>
    <w:rsid w:val="00973BF2"/>
    <w:rsid w:val="00973CDA"/>
    <w:rsid w:val="00973E21"/>
    <w:rsid w:val="00973E65"/>
    <w:rsid w:val="00973EA7"/>
    <w:rsid w:val="009742EA"/>
    <w:rsid w:val="00974573"/>
    <w:rsid w:val="00974614"/>
    <w:rsid w:val="00974858"/>
    <w:rsid w:val="009759BA"/>
    <w:rsid w:val="00975D00"/>
    <w:rsid w:val="00975EE3"/>
    <w:rsid w:val="00976203"/>
    <w:rsid w:val="009762F8"/>
    <w:rsid w:val="00976434"/>
    <w:rsid w:val="009764EF"/>
    <w:rsid w:val="0097671F"/>
    <w:rsid w:val="00976AB2"/>
    <w:rsid w:val="00976FF1"/>
    <w:rsid w:val="00977079"/>
    <w:rsid w:val="0097711D"/>
    <w:rsid w:val="00977543"/>
    <w:rsid w:val="00977A1C"/>
    <w:rsid w:val="00977E8F"/>
    <w:rsid w:val="00980161"/>
    <w:rsid w:val="0098036D"/>
    <w:rsid w:val="00981223"/>
    <w:rsid w:val="009814D5"/>
    <w:rsid w:val="009816FF"/>
    <w:rsid w:val="0098205D"/>
    <w:rsid w:val="009824C4"/>
    <w:rsid w:val="00982621"/>
    <w:rsid w:val="00982743"/>
    <w:rsid w:val="0098292E"/>
    <w:rsid w:val="00982CA2"/>
    <w:rsid w:val="0098308E"/>
    <w:rsid w:val="00983215"/>
    <w:rsid w:val="009832F9"/>
    <w:rsid w:val="00983814"/>
    <w:rsid w:val="00983C6C"/>
    <w:rsid w:val="009840FB"/>
    <w:rsid w:val="00984590"/>
    <w:rsid w:val="00984D22"/>
    <w:rsid w:val="00984E78"/>
    <w:rsid w:val="00984F3B"/>
    <w:rsid w:val="00985163"/>
    <w:rsid w:val="0098552B"/>
    <w:rsid w:val="0098558D"/>
    <w:rsid w:val="0098564A"/>
    <w:rsid w:val="0098576B"/>
    <w:rsid w:val="00985780"/>
    <w:rsid w:val="00985EF6"/>
    <w:rsid w:val="00986056"/>
    <w:rsid w:val="00986381"/>
    <w:rsid w:val="00986541"/>
    <w:rsid w:val="00986684"/>
    <w:rsid w:val="00986965"/>
    <w:rsid w:val="00986AD5"/>
    <w:rsid w:val="009875B4"/>
    <w:rsid w:val="009878D7"/>
    <w:rsid w:val="00987D88"/>
    <w:rsid w:val="009907E5"/>
    <w:rsid w:val="009916E4"/>
    <w:rsid w:val="0099197A"/>
    <w:rsid w:val="00991A30"/>
    <w:rsid w:val="00991D4B"/>
    <w:rsid w:val="00991EAF"/>
    <w:rsid w:val="0099292A"/>
    <w:rsid w:val="009929B5"/>
    <w:rsid w:val="00992A12"/>
    <w:rsid w:val="00992D41"/>
    <w:rsid w:val="009931C6"/>
    <w:rsid w:val="009939E2"/>
    <w:rsid w:val="00993A93"/>
    <w:rsid w:val="00993B45"/>
    <w:rsid w:val="009942DB"/>
    <w:rsid w:val="0099432C"/>
    <w:rsid w:val="00994410"/>
    <w:rsid w:val="009947AE"/>
    <w:rsid w:val="0099510E"/>
    <w:rsid w:val="009953A2"/>
    <w:rsid w:val="00995795"/>
    <w:rsid w:val="00995E7C"/>
    <w:rsid w:val="00995ECC"/>
    <w:rsid w:val="00995F44"/>
    <w:rsid w:val="00995FC7"/>
    <w:rsid w:val="009960AB"/>
    <w:rsid w:val="00996338"/>
    <w:rsid w:val="0099662B"/>
    <w:rsid w:val="00996A04"/>
    <w:rsid w:val="00997509"/>
    <w:rsid w:val="00997806"/>
    <w:rsid w:val="00997D5E"/>
    <w:rsid w:val="009A05A4"/>
    <w:rsid w:val="009A0679"/>
    <w:rsid w:val="009A082B"/>
    <w:rsid w:val="009A0EC2"/>
    <w:rsid w:val="009A1055"/>
    <w:rsid w:val="009A18BB"/>
    <w:rsid w:val="009A1A2B"/>
    <w:rsid w:val="009A1D0F"/>
    <w:rsid w:val="009A24F5"/>
    <w:rsid w:val="009A27F8"/>
    <w:rsid w:val="009A2D99"/>
    <w:rsid w:val="009A2E32"/>
    <w:rsid w:val="009A37A1"/>
    <w:rsid w:val="009A3A0C"/>
    <w:rsid w:val="009A3D95"/>
    <w:rsid w:val="009A3DB4"/>
    <w:rsid w:val="009A40F3"/>
    <w:rsid w:val="009A41CE"/>
    <w:rsid w:val="009A44EE"/>
    <w:rsid w:val="009A465C"/>
    <w:rsid w:val="009A468A"/>
    <w:rsid w:val="009A4823"/>
    <w:rsid w:val="009A4A9C"/>
    <w:rsid w:val="009A55A8"/>
    <w:rsid w:val="009A59C9"/>
    <w:rsid w:val="009A5C42"/>
    <w:rsid w:val="009A5FEF"/>
    <w:rsid w:val="009A649C"/>
    <w:rsid w:val="009A6B6F"/>
    <w:rsid w:val="009A6BA6"/>
    <w:rsid w:val="009A701E"/>
    <w:rsid w:val="009A7149"/>
    <w:rsid w:val="009A72B5"/>
    <w:rsid w:val="009A74D7"/>
    <w:rsid w:val="009A757B"/>
    <w:rsid w:val="009A76F9"/>
    <w:rsid w:val="009A7998"/>
    <w:rsid w:val="009A7A4C"/>
    <w:rsid w:val="009A7CAA"/>
    <w:rsid w:val="009B0207"/>
    <w:rsid w:val="009B0DBC"/>
    <w:rsid w:val="009B0DCC"/>
    <w:rsid w:val="009B1650"/>
    <w:rsid w:val="009B17F7"/>
    <w:rsid w:val="009B1FEE"/>
    <w:rsid w:val="009B21CD"/>
    <w:rsid w:val="009B229C"/>
    <w:rsid w:val="009B22A3"/>
    <w:rsid w:val="009B2827"/>
    <w:rsid w:val="009B2A34"/>
    <w:rsid w:val="009B2B3E"/>
    <w:rsid w:val="009B2B70"/>
    <w:rsid w:val="009B2C8F"/>
    <w:rsid w:val="009B2DFE"/>
    <w:rsid w:val="009B2F2B"/>
    <w:rsid w:val="009B3925"/>
    <w:rsid w:val="009B3C19"/>
    <w:rsid w:val="009B3E59"/>
    <w:rsid w:val="009B3FC5"/>
    <w:rsid w:val="009B4217"/>
    <w:rsid w:val="009B436E"/>
    <w:rsid w:val="009B4559"/>
    <w:rsid w:val="009B498D"/>
    <w:rsid w:val="009B4B8A"/>
    <w:rsid w:val="009B4BE0"/>
    <w:rsid w:val="009B4F58"/>
    <w:rsid w:val="009B527C"/>
    <w:rsid w:val="009B53E9"/>
    <w:rsid w:val="009B553C"/>
    <w:rsid w:val="009B582E"/>
    <w:rsid w:val="009B600C"/>
    <w:rsid w:val="009B6194"/>
    <w:rsid w:val="009B623C"/>
    <w:rsid w:val="009B6346"/>
    <w:rsid w:val="009B6664"/>
    <w:rsid w:val="009B6AF7"/>
    <w:rsid w:val="009B70E9"/>
    <w:rsid w:val="009B728C"/>
    <w:rsid w:val="009B7993"/>
    <w:rsid w:val="009C025A"/>
    <w:rsid w:val="009C0AE8"/>
    <w:rsid w:val="009C0C6B"/>
    <w:rsid w:val="009C0D93"/>
    <w:rsid w:val="009C11B1"/>
    <w:rsid w:val="009C1329"/>
    <w:rsid w:val="009C14B1"/>
    <w:rsid w:val="009C1520"/>
    <w:rsid w:val="009C1677"/>
    <w:rsid w:val="009C1B15"/>
    <w:rsid w:val="009C1E63"/>
    <w:rsid w:val="009C1F34"/>
    <w:rsid w:val="009C241E"/>
    <w:rsid w:val="009C24DE"/>
    <w:rsid w:val="009C268D"/>
    <w:rsid w:val="009C2CD2"/>
    <w:rsid w:val="009C317C"/>
    <w:rsid w:val="009C3EB4"/>
    <w:rsid w:val="009C46B7"/>
    <w:rsid w:val="009C4B94"/>
    <w:rsid w:val="009C4EB8"/>
    <w:rsid w:val="009C4EFF"/>
    <w:rsid w:val="009C4F1C"/>
    <w:rsid w:val="009C50C5"/>
    <w:rsid w:val="009C56DE"/>
    <w:rsid w:val="009C56F3"/>
    <w:rsid w:val="009C5BE8"/>
    <w:rsid w:val="009C5F5C"/>
    <w:rsid w:val="009C6D83"/>
    <w:rsid w:val="009C6E03"/>
    <w:rsid w:val="009C704C"/>
    <w:rsid w:val="009C70A7"/>
    <w:rsid w:val="009C717F"/>
    <w:rsid w:val="009C76CF"/>
    <w:rsid w:val="009C77AA"/>
    <w:rsid w:val="009C785B"/>
    <w:rsid w:val="009C7D1E"/>
    <w:rsid w:val="009D02A7"/>
    <w:rsid w:val="009D03B1"/>
    <w:rsid w:val="009D1187"/>
    <w:rsid w:val="009D118B"/>
    <w:rsid w:val="009D1386"/>
    <w:rsid w:val="009D15A8"/>
    <w:rsid w:val="009D20B4"/>
    <w:rsid w:val="009D20B8"/>
    <w:rsid w:val="009D2138"/>
    <w:rsid w:val="009D227E"/>
    <w:rsid w:val="009D29BD"/>
    <w:rsid w:val="009D3528"/>
    <w:rsid w:val="009D3A6B"/>
    <w:rsid w:val="009D3AF6"/>
    <w:rsid w:val="009D3B0E"/>
    <w:rsid w:val="009D3B94"/>
    <w:rsid w:val="009D4121"/>
    <w:rsid w:val="009D44B7"/>
    <w:rsid w:val="009D486D"/>
    <w:rsid w:val="009D495C"/>
    <w:rsid w:val="009D4B79"/>
    <w:rsid w:val="009D4BEB"/>
    <w:rsid w:val="009D54C3"/>
    <w:rsid w:val="009D5762"/>
    <w:rsid w:val="009D5799"/>
    <w:rsid w:val="009D5809"/>
    <w:rsid w:val="009D5980"/>
    <w:rsid w:val="009D59DB"/>
    <w:rsid w:val="009D5B67"/>
    <w:rsid w:val="009D5DD7"/>
    <w:rsid w:val="009D5F7F"/>
    <w:rsid w:val="009D6517"/>
    <w:rsid w:val="009D6587"/>
    <w:rsid w:val="009D6AF3"/>
    <w:rsid w:val="009D73A2"/>
    <w:rsid w:val="009D74C2"/>
    <w:rsid w:val="009D75B3"/>
    <w:rsid w:val="009D79E3"/>
    <w:rsid w:val="009D7BDA"/>
    <w:rsid w:val="009D7C3F"/>
    <w:rsid w:val="009D7CE1"/>
    <w:rsid w:val="009D7D53"/>
    <w:rsid w:val="009D7E9F"/>
    <w:rsid w:val="009E033A"/>
    <w:rsid w:val="009E0666"/>
    <w:rsid w:val="009E0A22"/>
    <w:rsid w:val="009E0EE4"/>
    <w:rsid w:val="009E1244"/>
    <w:rsid w:val="009E13AA"/>
    <w:rsid w:val="009E1649"/>
    <w:rsid w:val="009E16EB"/>
    <w:rsid w:val="009E170B"/>
    <w:rsid w:val="009E1796"/>
    <w:rsid w:val="009E1BEB"/>
    <w:rsid w:val="009E2095"/>
    <w:rsid w:val="009E2360"/>
    <w:rsid w:val="009E2CEF"/>
    <w:rsid w:val="009E2D54"/>
    <w:rsid w:val="009E30C3"/>
    <w:rsid w:val="009E316B"/>
    <w:rsid w:val="009E397A"/>
    <w:rsid w:val="009E3BDA"/>
    <w:rsid w:val="009E3C5C"/>
    <w:rsid w:val="009E3F57"/>
    <w:rsid w:val="009E4059"/>
    <w:rsid w:val="009E42DD"/>
    <w:rsid w:val="009E4642"/>
    <w:rsid w:val="009E48CA"/>
    <w:rsid w:val="009E4D0E"/>
    <w:rsid w:val="009E4F6C"/>
    <w:rsid w:val="009E50AC"/>
    <w:rsid w:val="009E51EB"/>
    <w:rsid w:val="009E5550"/>
    <w:rsid w:val="009E56AD"/>
    <w:rsid w:val="009E5887"/>
    <w:rsid w:val="009E59AC"/>
    <w:rsid w:val="009E6084"/>
    <w:rsid w:val="009E63F3"/>
    <w:rsid w:val="009E68B7"/>
    <w:rsid w:val="009E6B5D"/>
    <w:rsid w:val="009E7D30"/>
    <w:rsid w:val="009F00D9"/>
    <w:rsid w:val="009F01E5"/>
    <w:rsid w:val="009F04CA"/>
    <w:rsid w:val="009F04E8"/>
    <w:rsid w:val="009F0716"/>
    <w:rsid w:val="009F0EFC"/>
    <w:rsid w:val="009F11C7"/>
    <w:rsid w:val="009F1394"/>
    <w:rsid w:val="009F2128"/>
    <w:rsid w:val="009F2152"/>
    <w:rsid w:val="009F24B1"/>
    <w:rsid w:val="009F2586"/>
    <w:rsid w:val="009F2B88"/>
    <w:rsid w:val="009F31B4"/>
    <w:rsid w:val="009F338D"/>
    <w:rsid w:val="009F33FB"/>
    <w:rsid w:val="009F364B"/>
    <w:rsid w:val="009F39EB"/>
    <w:rsid w:val="009F3D74"/>
    <w:rsid w:val="009F41EF"/>
    <w:rsid w:val="009F4239"/>
    <w:rsid w:val="009F49AB"/>
    <w:rsid w:val="009F4AE0"/>
    <w:rsid w:val="009F4CD6"/>
    <w:rsid w:val="009F50C2"/>
    <w:rsid w:val="009F5466"/>
    <w:rsid w:val="009F5491"/>
    <w:rsid w:val="009F5C34"/>
    <w:rsid w:val="009F5F66"/>
    <w:rsid w:val="009F63A7"/>
    <w:rsid w:val="009F6468"/>
    <w:rsid w:val="009F64F9"/>
    <w:rsid w:val="009F6A94"/>
    <w:rsid w:val="009F6B1D"/>
    <w:rsid w:val="009F6C56"/>
    <w:rsid w:val="009F6CE5"/>
    <w:rsid w:val="009F6F4D"/>
    <w:rsid w:val="009F7070"/>
    <w:rsid w:val="009F7092"/>
    <w:rsid w:val="009F7404"/>
    <w:rsid w:val="009F76CF"/>
    <w:rsid w:val="009F79E9"/>
    <w:rsid w:val="009F7A32"/>
    <w:rsid w:val="009F7C5F"/>
    <w:rsid w:val="009FCC30"/>
    <w:rsid w:val="00A0016F"/>
    <w:rsid w:val="00A00930"/>
    <w:rsid w:val="00A017F5"/>
    <w:rsid w:val="00A01CD9"/>
    <w:rsid w:val="00A01D32"/>
    <w:rsid w:val="00A02464"/>
    <w:rsid w:val="00A025CB"/>
    <w:rsid w:val="00A02945"/>
    <w:rsid w:val="00A02DAE"/>
    <w:rsid w:val="00A03222"/>
    <w:rsid w:val="00A033F6"/>
    <w:rsid w:val="00A03476"/>
    <w:rsid w:val="00A03645"/>
    <w:rsid w:val="00A03B8C"/>
    <w:rsid w:val="00A03F85"/>
    <w:rsid w:val="00A04AAC"/>
    <w:rsid w:val="00A04C08"/>
    <w:rsid w:val="00A04D91"/>
    <w:rsid w:val="00A04E05"/>
    <w:rsid w:val="00A0506E"/>
    <w:rsid w:val="00A050CA"/>
    <w:rsid w:val="00A05668"/>
    <w:rsid w:val="00A05734"/>
    <w:rsid w:val="00A05AF5"/>
    <w:rsid w:val="00A05B8D"/>
    <w:rsid w:val="00A0625C"/>
    <w:rsid w:val="00A06376"/>
    <w:rsid w:val="00A063D8"/>
    <w:rsid w:val="00A066F2"/>
    <w:rsid w:val="00A0688A"/>
    <w:rsid w:val="00A06B03"/>
    <w:rsid w:val="00A06B13"/>
    <w:rsid w:val="00A06BEF"/>
    <w:rsid w:val="00A06BF1"/>
    <w:rsid w:val="00A100A0"/>
    <w:rsid w:val="00A106CD"/>
    <w:rsid w:val="00A107F4"/>
    <w:rsid w:val="00A10D75"/>
    <w:rsid w:val="00A111C0"/>
    <w:rsid w:val="00A11311"/>
    <w:rsid w:val="00A114C4"/>
    <w:rsid w:val="00A12605"/>
    <w:rsid w:val="00A12C48"/>
    <w:rsid w:val="00A12C8A"/>
    <w:rsid w:val="00A12E2F"/>
    <w:rsid w:val="00A12E5F"/>
    <w:rsid w:val="00A13028"/>
    <w:rsid w:val="00A13137"/>
    <w:rsid w:val="00A13185"/>
    <w:rsid w:val="00A1358F"/>
    <w:rsid w:val="00A1359A"/>
    <w:rsid w:val="00A13945"/>
    <w:rsid w:val="00A13AFA"/>
    <w:rsid w:val="00A13C5C"/>
    <w:rsid w:val="00A14079"/>
    <w:rsid w:val="00A142C7"/>
    <w:rsid w:val="00A14447"/>
    <w:rsid w:val="00A14452"/>
    <w:rsid w:val="00A146C1"/>
    <w:rsid w:val="00A14B88"/>
    <w:rsid w:val="00A15265"/>
    <w:rsid w:val="00A15D67"/>
    <w:rsid w:val="00A15EA7"/>
    <w:rsid w:val="00A1625C"/>
    <w:rsid w:val="00A1657D"/>
    <w:rsid w:val="00A16708"/>
    <w:rsid w:val="00A16AF4"/>
    <w:rsid w:val="00A16BA5"/>
    <w:rsid w:val="00A172BA"/>
    <w:rsid w:val="00A173E5"/>
    <w:rsid w:val="00A1788A"/>
    <w:rsid w:val="00A17C06"/>
    <w:rsid w:val="00A17C3E"/>
    <w:rsid w:val="00A20187"/>
    <w:rsid w:val="00A206BC"/>
    <w:rsid w:val="00A20A6F"/>
    <w:rsid w:val="00A20B29"/>
    <w:rsid w:val="00A20BB3"/>
    <w:rsid w:val="00A20FE0"/>
    <w:rsid w:val="00A212D2"/>
    <w:rsid w:val="00A212FD"/>
    <w:rsid w:val="00A215A7"/>
    <w:rsid w:val="00A2161E"/>
    <w:rsid w:val="00A218BE"/>
    <w:rsid w:val="00A21987"/>
    <w:rsid w:val="00A2285B"/>
    <w:rsid w:val="00A228F6"/>
    <w:rsid w:val="00A229CF"/>
    <w:rsid w:val="00A22A72"/>
    <w:rsid w:val="00A22B0E"/>
    <w:rsid w:val="00A22C1C"/>
    <w:rsid w:val="00A22D84"/>
    <w:rsid w:val="00A22F77"/>
    <w:rsid w:val="00A23369"/>
    <w:rsid w:val="00A2343D"/>
    <w:rsid w:val="00A23454"/>
    <w:rsid w:val="00A238DC"/>
    <w:rsid w:val="00A23CC9"/>
    <w:rsid w:val="00A23ED2"/>
    <w:rsid w:val="00A247A4"/>
    <w:rsid w:val="00A247F2"/>
    <w:rsid w:val="00A24A95"/>
    <w:rsid w:val="00A24B7E"/>
    <w:rsid w:val="00A24E42"/>
    <w:rsid w:val="00A2517F"/>
    <w:rsid w:val="00A25410"/>
    <w:rsid w:val="00A25754"/>
    <w:rsid w:val="00A25A5A"/>
    <w:rsid w:val="00A25AAF"/>
    <w:rsid w:val="00A25AF5"/>
    <w:rsid w:val="00A25DA1"/>
    <w:rsid w:val="00A2601A"/>
    <w:rsid w:val="00A2602E"/>
    <w:rsid w:val="00A265A1"/>
    <w:rsid w:val="00A26A93"/>
    <w:rsid w:val="00A26B8E"/>
    <w:rsid w:val="00A27182"/>
    <w:rsid w:val="00A27296"/>
    <w:rsid w:val="00A272A0"/>
    <w:rsid w:val="00A272CE"/>
    <w:rsid w:val="00A2735B"/>
    <w:rsid w:val="00A2741E"/>
    <w:rsid w:val="00A274B0"/>
    <w:rsid w:val="00A27787"/>
    <w:rsid w:val="00A27798"/>
    <w:rsid w:val="00A2799B"/>
    <w:rsid w:val="00A27C48"/>
    <w:rsid w:val="00A27C97"/>
    <w:rsid w:val="00A27FD0"/>
    <w:rsid w:val="00A300AE"/>
    <w:rsid w:val="00A3049F"/>
    <w:rsid w:val="00A30573"/>
    <w:rsid w:val="00A305E1"/>
    <w:rsid w:val="00A309FC"/>
    <w:rsid w:val="00A30A01"/>
    <w:rsid w:val="00A30DD6"/>
    <w:rsid w:val="00A30E1D"/>
    <w:rsid w:val="00A30ECE"/>
    <w:rsid w:val="00A310B5"/>
    <w:rsid w:val="00A3147A"/>
    <w:rsid w:val="00A31820"/>
    <w:rsid w:val="00A31A57"/>
    <w:rsid w:val="00A31E4B"/>
    <w:rsid w:val="00A3245F"/>
    <w:rsid w:val="00A32924"/>
    <w:rsid w:val="00A32D1B"/>
    <w:rsid w:val="00A33162"/>
    <w:rsid w:val="00A33449"/>
    <w:rsid w:val="00A336A7"/>
    <w:rsid w:val="00A337BE"/>
    <w:rsid w:val="00A337D4"/>
    <w:rsid w:val="00A33BD3"/>
    <w:rsid w:val="00A33C8A"/>
    <w:rsid w:val="00A33DAF"/>
    <w:rsid w:val="00A344C3"/>
    <w:rsid w:val="00A348A7"/>
    <w:rsid w:val="00A35D5C"/>
    <w:rsid w:val="00A35D72"/>
    <w:rsid w:val="00A3616E"/>
    <w:rsid w:val="00A3618A"/>
    <w:rsid w:val="00A36283"/>
    <w:rsid w:val="00A36451"/>
    <w:rsid w:val="00A36A55"/>
    <w:rsid w:val="00A36FDF"/>
    <w:rsid w:val="00A37FD1"/>
    <w:rsid w:val="00A405D8"/>
    <w:rsid w:val="00A4082D"/>
    <w:rsid w:val="00A40D1E"/>
    <w:rsid w:val="00A41B4F"/>
    <w:rsid w:val="00A41E7C"/>
    <w:rsid w:val="00A42C4C"/>
    <w:rsid w:val="00A42D1A"/>
    <w:rsid w:val="00A42D66"/>
    <w:rsid w:val="00A42DF3"/>
    <w:rsid w:val="00A4326E"/>
    <w:rsid w:val="00A434B6"/>
    <w:rsid w:val="00A438E3"/>
    <w:rsid w:val="00A43E48"/>
    <w:rsid w:val="00A43E9E"/>
    <w:rsid w:val="00A43EFD"/>
    <w:rsid w:val="00A44084"/>
    <w:rsid w:val="00A441F6"/>
    <w:rsid w:val="00A44579"/>
    <w:rsid w:val="00A44F41"/>
    <w:rsid w:val="00A44F53"/>
    <w:rsid w:val="00A450AF"/>
    <w:rsid w:val="00A4510A"/>
    <w:rsid w:val="00A455AC"/>
    <w:rsid w:val="00A45737"/>
    <w:rsid w:val="00A4574E"/>
    <w:rsid w:val="00A45D2F"/>
    <w:rsid w:val="00A45D49"/>
    <w:rsid w:val="00A46322"/>
    <w:rsid w:val="00A46878"/>
    <w:rsid w:val="00A46C7B"/>
    <w:rsid w:val="00A46CEF"/>
    <w:rsid w:val="00A46D0D"/>
    <w:rsid w:val="00A46E2F"/>
    <w:rsid w:val="00A472DE"/>
    <w:rsid w:val="00A473AF"/>
    <w:rsid w:val="00A474E1"/>
    <w:rsid w:val="00A47BA9"/>
    <w:rsid w:val="00A47C35"/>
    <w:rsid w:val="00A47CF8"/>
    <w:rsid w:val="00A47F63"/>
    <w:rsid w:val="00A502EA"/>
    <w:rsid w:val="00A50352"/>
    <w:rsid w:val="00A503C9"/>
    <w:rsid w:val="00A5045C"/>
    <w:rsid w:val="00A5081B"/>
    <w:rsid w:val="00A50D3C"/>
    <w:rsid w:val="00A510F2"/>
    <w:rsid w:val="00A51464"/>
    <w:rsid w:val="00A5180F"/>
    <w:rsid w:val="00A51B76"/>
    <w:rsid w:val="00A5287A"/>
    <w:rsid w:val="00A528E8"/>
    <w:rsid w:val="00A52969"/>
    <w:rsid w:val="00A52AE0"/>
    <w:rsid w:val="00A52AEC"/>
    <w:rsid w:val="00A52C84"/>
    <w:rsid w:val="00A52EDF"/>
    <w:rsid w:val="00A541D7"/>
    <w:rsid w:val="00A54272"/>
    <w:rsid w:val="00A5467A"/>
    <w:rsid w:val="00A5477E"/>
    <w:rsid w:val="00A54FC3"/>
    <w:rsid w:val="00A55091"/>
    <w:rsid w:val="00A55EB2"/>
    <w:rsid w:val="00A55FC7"/>
    <w:rsid w:val="00A561CB"/>
    <w:rsid w:val="00A567B5"/>
    <w:rsid w:val="00A567D4"/>
    <w:rsid w:val="00A5680D"/>
    <w:rsid w:val="00A56D8F"/>
    <w:rsid w:val="00A56F50"/>
    <w:rsid w:val="00A57A2B"/>
    <w:rsid w:val="00A57B15"/>
    <w:rsid w:val="00A57BAC"/>
    <w:rsid w:val="00A57C30"/>
    <w:rsid w:val="00A57E8D"/>
    <w:rsid w:val="00A6042D"/>
    <w:rsid w:val="00A60712"/>
    <w:rsid w:val="00A60811"/>
    <w:rsid w:val="00A61056"/>
    <w:rsid w:val="00A6126C"/>
    <w:rsid w:val="00A61472"/>
    <w:rsid w:val="00A61476"/>
    <w:rsid w:val="00A6217A"/>
    <w:rsid w:val="00A62185"/>
    <w:rsid w:val="00A621C2"/>
    <w:rsid w:val="00A62363"/>
    <w:rsid w:val="00A62526"/>
    <w:rsid w:val="00A62818"/>
    <w:rsid w:val="00A62F4F"/>
    <w:rsid w:val="00A639D7"/>
    <w:rsid w:val="00A63A1F"/>
    <w:rsid w:val="00A63EBA"/>
    <w:rsid w:val="00A64553"/>
    <w:rsid w:val="00A645C2"/>
    <w:rsid w:val="00A64B5A"/>
    <w:rsid w:val="00A64F29"/>
    <w:rsid w:val="00A65113"/>
    <w:rsid w:val="00A65A65"/>
    <w:rsid w:val="00A65C20"/>
    <w:rsid w:val="00A65D9C"/>
    <w:rsid w:val="00A65E5C"/>
    <w:rsid w:val="00A666B9"/>
    <w:rsid w:val="00A666E7"/>
    <w:rsid w:val="00A66797"/>
    <w:rsid w:val="00A66911"/>
    <w:rsid w:val="00A66C41"/>
    <w:rsid w:val="00A66DB9"/>
    <w:rsid w:val="00A66E4A"/>
    <w:rsid w:val="00A671BC"/>
    <w:rsid w:val="00A6777D"/>
    <w:rsid w:val="00A679E8"/>
    <w:rsid w:val="00A70604"/>
    <w:rsid w:val="00A70E98"/>
    <w:rsid w:val="00A70FE7"/>
    <w:rsid w:val="00A711A6"/>
    <w:rsid w:val="00A716CB"/>
    <w:rsid w:val="00A71B22"/>
    <w:rsid w:val="00A725A9"/>
    <w:rsid w:val="00A727E1"/>
    <w:rsid w:val="00A72840"/>
    <w:rsid w:val="00A72ADA"/>
    <w:rsid w:val="00A72B43"/>
    <w:rsid w:val="00A72CB5"/>
    <w:rsid w:val="00A7353A"/>
    <w:rsid w:val="00A73774"/>
    <w:rsid w:val="00A7396E"/>
    <w:rsid w:val="00A73CF1"/>
    <w:rsid w:val="00A73D63"/>
    <w:rsid w:val="00A7416D"/>
    <w:rsid w:val="00A741CB"/>
    <w:rsid w:val="00A74235"/>
    <w:rsid w:val="00A74313"/>
    <w:rsid w:val="00A74C34"/>
    <w:rsid w:val="00A75162"/>
    <w:rsid w:val="00A75372"/>
    <w:rsid w:val="00A7584F"/>
    <w:rsid w:val="00A758A0"/>
    <w:rsid w:val="00A75AAD"/>
    <w:rsid w:val="00A762C8"/>
    <w:rsid w:val="00A7665A"/>
    <w:rsid w:val="00A768F1"/>
    <w:rsid w:val="00A76969"/>
    <w:rsid w:val="00A76DF7"/>
    <w:rsid w:val="00A76F48"/>
    <w:rsid w:val="00A77157"/>
    <w:rsid w:val="00A77296"/>
    <w:rsid w:val="00A772B7"/>
    <w:rsid w:val="00A77C19"/>
    <w:rsid w:val="00A77D37"/>
    <w:rsid w:val="00A77FCD"/>
    <w:rsid w:val="00A80027"/>
    <w:rsid w:val="00A81241"/>
    <w:rsid w:val="00A81522"/>
    <w:rsid w:val="00A81537"/>
    <w:rsid w:val="00A8157E"/>
    <w:rsid w:val="00A815C2"/>
    <w:rsid w:val="00A8171A"/>
    <w:rsid w:val="00A82150"/>
    <w:rsid w:val="00A82579"/>
    <w:rsid w:val="00A8279A"/>
    <w:rsid w:val="00A82D31"/>
    <w:rsid w:val="00A8324B"/>
    <w:rsid w:val="00A8346B"/>
    <w:rsid w:val="00A8352A"/>
    <w:rsid w:val="00A83770"/>
    <w:rsid w:val="00A83F31"/>
    <w:rsid w:val="00A840DA"/>
    <w:rsid w:val="00A846F9"/>
    <w:rsid w:val="00A84856"/>
    <w:rsid w:val="00A8491D"/>
    <w:rsid w:val="00A84EFC"/>
    <w:rsid w:val="00A85363"/>
    <w:rsid w:val="00A85427"/>
    <w:rsid w:val="00A855EE"/>
    <w:rsid w:val="00A856B7"/>
    <w:rsid w:val="00A85A9B"/>
    <w:rsid w:val="00A865FF"/>
    <w:rsid w:val="00A8690C"/>
    <w:rsid w:val="00A871A3"/>
    <w:rsid w:val="00A87377"/>
    <w:rsid w:val="00A87720"/>
    <w:rsid w:val="00A87B75"/>
    <w:rsid w:val="00A87ED0"/>
    <w:rsid w:val="00A900E4"/>
    <w:rsid w:val="00A90103"/>
    <w:rsid w:val="00A901BE"/>
    <w:rsid w:val="00A90868"/>
    <w:rsid w:val="00A908CF"/>
    <w:rsid w:val="00A90B06"/>
    <w:rsid w:val="00A90BB6"/>
    <w:rsid w:val="00A90DBE"/>
    <w:rsid w:val="00A90EA3"/>
    <w:rsid w:val="00A90EDC"/>
    <w:rsid w:val="00A90F54"/>
    <w:rsid w:val="00A9100D"/>
    <w:rsid w:val="00A91309"/>
    <w:rsid w:val="00A91481"/>
    <w:rsid w:val="00A91561"/>
    <w:rsid w:val="00A91FFC"/>
    <w:rsid w:val="00A923B8"/>
    <w:rsid w:val="00A92BD7"/>
    <w:rsid w:val="00A93389"/>
    <w:rsid w:val="00A936E1"/>
    <w:rsid w:val="00A93ABF"/>
    <w:rsid w:val="00A93EA6"/>
    <w:rsid w:val="00A93ED4"/>
    <w:rsid w:val="00A948F2"/>
    <w:rsid w:val="00A94F20"/>
    <w:rsid w:val="00A95357"/>
    <w:rsid w:val="00A954F5"/>
    <w:rsid w:val="00A955FD"/>
    <w:rsid w:val="00A959D0"/>
    <w:rsid w:val="00A95A6E"/>
    <w:rsid w:val="00A95ABF"/>
    <w:rsid w:val="00A95C7F"/>
    <w:rsid w:val="00A95D19"/>
    <w:rsid w:val="00A95DA2"/>
    <w:rsid w:val="00A9650E"/>
    <w:rsid w:val="00A9693C"/>
    <w:rsid w:val="00A969F0"/>
    <w:rsid w:val="00A96AEE"/>
    <w:rsid w:val="00A96EBD"/>
    <w:rsid w:val="00AA061F"/>
    <w:rsid w:val="00AA076A"/>
    <w:rsid w:val="00AA1154"/>
    <w:rsid w:val="00AA122D"/>
    <w:rsid w:val="00AA1468"/>
    <w:rsid w:val="00AA155E"/>
    <w:rsid w:val="00AA1FE3"/>
    <w:rsid w:val="00AA24A2"/>
    <w:rsid w:val="00AA2E13"/>
    <w:rsid w:val="00AA2E34"/>
    <w:rsid w:val="00AA3015"/>
    <w:rsid w:val="00AA3359"/>
    <w:rsid w:val="00AA3478"/>
    <w:rsid w:val="00AA34D8"/>
    <w:rsid w:val="00AA3501"/>
    <w:rsid w:val="00AA3512"/>
    <w:rsid w:val="00AA356C"/>
    <w:rsid w:val="00AA3D57"/>
    <w:rsid w:val="00AA3F9D"/>
    <w:rsid w:val="00AA41BA"/>
    <w:rsid w:val="00AA4389"/>
    <w:rsid w:val="00AA484A"/>
    <w:rsid w:val="00AA4C84"/>
    <w:rsid w:val="00AA515C"/>
    <w:rsid w:val="00AA534C"/>
    <w:rsid w:val="00AA54A3"/>
    <w:rsid w:val="00AA54EC"/>
    <w:rsid w:val="00AA64F8"/>
    <w:rsid w:val="00AA6734"/>
    <w:rsid w:val="00AA6CAF"/>
    <w:rsid w:val="00AA780E"/>
    <w:rsid w:val="00AA7968"/>
    <w:rsid w:val="00AA7EEF"/>
    <w:rsid w:val="00AB01E2"/>
    <w:rsid w:val="00AB08F4"/>
    <w:rsid w:val="00AB1315"/>
    <w:rsid w:val="00AB1332"/>
    <w:rsid w:val="00AB140A"/>
    <w:rsid w:val="00AB1672"/>
    <w:rsid w:val="00AB1745"/>
    <w:rsid w:val="00AB180D"/>
    <w:rsid w:val="00AB1EBA"/>
    <w:rsid w:val="00AB25D9"/>
    <w:rsid w:val="00AB2707"/>
    <w:rsid w:val="00AB2C98"/>
    <w:rsid w:val="00AB2E46"/>
    <w:rsid w:val="00AB332D"/>
    <w:rsid w:val="00AB3548"/>
    <w:rsid w:val="00AB3781"/>
    <w:rsid w:val="00AB3840"/>
    <w:rsid w:val="00AB3AED"/>
    <w:rsid w:val="00AB3D6A"/>
    <w:rsid w:val="00AB3FEC"/>
    <w:rsid w:val="00AB427D"/>
    <w:rsid w:val="00AB453D"/>
    <w:rsid w:val="00AB45A4"/>
    <w:rsid w:val="00AB4903"/>
    <w:rsid w:val="00AB4A86"/>
    <w:rsid w:val="00AB4D4B"/>
    <w:rsid w:val="00AB50D1"/>
    <w:rsid w:val="00AB535F"/>
    <w:rsid w:val="00AB5440"/>
    <w:rsid w:val="00AB5A7C"/>
    <w:rsid w:val="00AB5B48"/>
    <w:rsid w:val="00AB5C7B"/>
    <w:rsid w:val="00AB6397"/>
    <w:rsid w:val="00AB64D1"/>
    <w:rsid w:val="00AB6992"/>
    <w:rsid w:val="00AB6D36"/>
    <w:rsid w:val="00AB78F9"/>
    <w:rsid w:val="00AB7AD2"/>
    <w:rsid w:val="00AB7C7E"/>
    <w:rsid w:val="00AC01F6"/>
    <w:rsid w:val="00AC0401"/>
    <w:rsid w:val="00AC0614"/>
    <w:rsid w:val="00AC08A2"/>
    <w:rsid w:val="00AC0C31"/>
    <w:rsid w:val="00AC0CFD"/>
    <w:rsid w:val="00AC0DCE"/>
    <w:rsid w:val="00AC1027"/>
    <w:rsid w:val="00AC1237"/>
    <w:rsid w:val="00AC175D"/>
    <w:rsid w:val="00AC17CB"/>
    <w:rsid w:val="00AC1915"/>
    <w:rsid w:val="00AC19B2"/>
    <w:rsid w:val="00AC1A5B"/>
    <w:rsid w:val="00AC20DC"/>
    <w:rsid w:val="00AC262A"/>
    <w:rsid w:val="00AC273F"/>
    <w:rsid w:val="00AC2789"/>
    <w:rsid w:val="00AC318F"/>
    <w:rsid w:val="00AC31E0"/>
    <w:rsid w:val="00AC39AC"/>
    <w:rsid w:val="00AC3D2E"/>
    <w:rsid w:val="00AC3D73"/>
    <w:rsid w:val="00AC3EAE"/>
    <w:rsid w:val="00AC4239"/>
    <w:rsid w:val="00AC42AD"/>
    <w:rsid w:val="00AC42D6"/>
    <w:rsid w:val="00AC4B30"/>
    <w:rsid w:val="00AC4B99"/>
    <w:rsid w:val="00AC4D0C"/>
    <w:rsid w:val="00AC4EBA"/>
    <w:rsid w:val="00AC50D4"/>
    <w:rsid w:val="00AC5325"/>
    <w:rsid w:val="00AC5537"/>
    <w:rsid w:val="00AC567A"/>
    <w:rsid w:val="00AC5974"/>
    <w:rsid w:val="00AC5AC4"/>
    <w:rsid w:val="00AC5D60"/>
    <w:rsid w:val="00AC5D9B"/>
    <w:rsid w:val="00AC607F"/>
    <w:rsid w:val="00AC6439"/>
    <w:rsid w:val="00AC6D27"/>
    <w:rsid w:val="00AC7024"/>
    <w:rsid w:val="00AC7059"/>
    <w:rsid w:val="00AC71A9"/>
    <w:rsid w:val="00AC7484"/>
    <w:rsid w:val="00AC74C0"/>
    <w:rsid w:val="00AC7530"/>
    <w:rsid w:val="00AC76B7"/>
    <w:rsid w:val="00AC79A5"/>
    <w:rsid w:val="00AC7DC9"/>
    <w:rsid w:val="00AD084F"/>
    <w:rsid w:val="00AD0AD2"/>
    <w:rsid w:val="00AD0F10"/>
    <w:rsid w:val="00AD1170"/>
    <w:rsid w:val="00AD151F"/>
    <w:rsid w:val="00AD18C1"/>
    <w:rsid w:val="00AD1A71"/>
    <w:rsid w:val="00AD2070"/>
    <w:rsid w:val="00AD2BE2"/>
    <w:rsid w:val="00AD2DE1"/>
    <w:rsid w:val="00AD2F6D"/>
    <w:rsid w:val="00AD2F8C"/>
    <w:rsid w:val="00AD38A5"/>
    <w:rsid w:val="00AD3E11"/>
    <w:rsid w:val="00AD3E35"/>
    <w:rsid w:val="00AD403A"/>
    <w:rsid w:val="00AD43E0"/>
    <w:rsid w:val="00AD4543"/>
    <w:rsid w:val="00AD4656"/>
    <w:rsid w:val="00AD487A"/>
    <w:rsid w:val="00AD4B15"/>
    <w:rsid w:val="00AD57F6"/>
    <w:rsid w:val="00AD585B"/>
    <w:rsid w:val="00AD5B07"/>
    <w:rsid w:val="00AD5B3C"/>
    <w:rsid w:val="00AD5B59"/>
    <w:rsid w:val="00AD6148"/>
    <w:rsid w:val="00AD618B"/>
    <w:rsid w:val="00AD66F9"/>
    <w:rsid w:val="00AD6939"/>
    <w:rsid w:val="00AD6B56"/>
    <w:rsid w:val="00AD6E5C"/>
    <w:rsid w:val="00AD7173"/>
    <w:rsid w:val="00AD79F1"/>
    <w:rsid w:val="00AD7CCA"/>
    <w:rsid w:val="00AD7CF5"/>
    <w:rsid w:val="00AE02AF"/>
    <w:rsid w:val="00AE0402"/>
    <w:rsid w:val="00AE07A6"/>
    <w:rsid w:val="00AE07C8"/>
    <w:rsid w:val="00AE091F"/>
    <w:rsid w:val="00AE0EC0"/>
    <w:rsid w:val="00AE104A"/>
    <w:rsid w:val="00AE111C"/>
    <w:rsid w:val="00AE1ED4"/>
    <w:rsid w:val="00AE2473"/>
    <w:rsid w:val="00AE24C6"/>
    <w:rsid w:val="00AE2565"/>
    <w:rsid w:val="00AE2A3A"/>
    <w:rsid w:val="00AE2B68"/>
    <w:rsid w:val="00AE2C1A"/>
    <w:rsid w:val="00AE3379"/>
    <w:rsid w:val="00AE3500"/>
    <w:rsid w:val="00AE3952"/>
    <w:rsid w:val="00AE3C9B"/>
    <w:rsid w:val="00AE3EE8"/>
    <w:rsid w:val="00AE402D"/>
    <w:rsid w:val="00AE43B2"/>
    <w:rsid w:val="00AE490E"/>
    <w:rsid w:val="00AE4C0A"/>
    <w:rsid w:val="00AE4EE2"/>
    <w:rsid w:val="00AE5380"/>
    <w:rsid w:val="00AE5517"/>
    <w:rsid w:val="00AE5535"/>
    <w:rsid w:val="00AE5561"/>
    <w:rsid w:val="00AE57BE"/>
    <w:rsid w:val="00AE5E90"/>
    <w:rsid w:val="00AE6511"/>
    <w:rsid w:val="00AE6552"/>
    <w:rsid w:val="00AE65B1"/>
    <w:rsid w:val="00AE6A25"/>
    <w:rsid w:val="00AE6ACF"/>
    <w:rsid w:val="00AE6AD8"/>
    <w:rsid w:val="00AE7026"/>
    <w:rsid w:val="00AE70FF"/>
    <w:rsid w:val="00AE71E8"/>
    <w:rsid w:val="00AE72AD"/>
    <w:rsid w:val="00AE72DA"/>
    <w:rsid w:val="00AE7589"/>
    <w:rsid w:val="00AE77C5"/>
    <w:rsid w:val="00AE77F9"/>
    <w:rsid w:val="00AE7D20"/>
    <w:rsid w:val="00AE7E27"/>
    <w:rsid w:val="00AE7EC0"/>
    <w:rsid w:val="00AF05B1"/>
    <w:rsid w:val="00AF07B1"/>
    <w:rsid w:val="00AF0A68"/>
    <w:rsid w:val="00AF0B1E"/>
    <w:rsid w:val="00AF0E5E"/>
    <w:rsid w:val="00AF0EB4"/>
    <w:rsid w:val="00AF1873"/>
    <w:rsid w:val="00AF1B1E"/>
    <w:rsid w:val="00AF1FE6"/>
    <w:rsid w:val="00AF24CE"/>
    <w:rsid w:val="00AF24D0"/>
    <w:rsid w:val="00AF375D"/>
    <w:rsid w:val="00AF387D"/>
    <w:rsid w:val="00AF3F81"/>
    <w:rsid w:val="00AF40EB"/>
    <w:rsid w:val="00AF48A7"/>
    <w:rsid w:val="00AF4A18"/>
    <w:rsid w:val="00AF5045"/>
    <w:rsid w:val="00AF515F"/>
    <w:rsid w:val="00AF58C1"/>
    <w:rsid w:val="00AF5A2A"/>
    <w:rsid w:val="00AF5CC2"/>
    <w:rsid w:val="00AF63C9"/>
    <w:rsid w:val="00AF64D9"/>
    <w:rsid w:val="00AF68CC"/>
    <w:rsid w:val="00AF6D83"/>
    <w:rsid w:val="00AF7197"/>
    <w:rsid w:val="00AF732E"/>
    <w:rsid w:val="00AF7531"/>
    <w:rsid w:val="00AF7535"/>
    <w:rsid w:val="00AF759F"/>
    <w:rsid w:val="00AF7925"/>
    <w:rsid w:val="00AF7E6B"/>
    <w:rsid w:val="00B004C3"/>
    <w:rsid w:val="00B004FD"/>
    <w:rsid w:val="00B00893"/>
    <w:rsid w:val="00B00923"/>
    <w:rsid w:val="00B009D0"/>
    <w:rsid w:val="00B00A11"/>
    <w:rsid w:val="00B00B82"/>
    <w:rsid w:val="00B00C68"/>
    <w:rsid w:val="00B011C2"/>
    <w:rsid w:val="00B0121D"/>
    <w:rsid w:val="00B01545"/>
    <w:rsid w:val="00B017A7"/>
    <w:rsid w:val="00B01BC6"/>
    <w:rsid w:val="00B01C4E"/>
    <w:rsid w:val="00B01D9B"/>
    <w:rsid w:val="00B02DC1"/>
    <w:rsid w:val="00B03810"/>
    <w:rsid w:val="00B0494F"/>
    <w:rsid w:val="00B05C9A"/>
    <w:rsid w:val="00B05CE3"/>
    <w:rsid w:val="00B05E88"/>
    <w:rsid w:val="00B065D7"/>
    <w:rsid w:val="00B06663"/>
    <w:rsid w:val="00B06819"/>
    <w:rsid w:val="00B06961"/>
    <w:rsid w:val="00B06A63"/>
    <w:rsid w:val="00B06BD4"/>
    <w:rsid w:val="00B06DF2"/>
    <w:rsid w:val="00B07541"/>
    <w:rsid w:val="00B075BD"/>
    <w:rsid w:val="00B0768E"/>
    <w:rsid w:val="00B07955"/>
    <w:rsid w:val="00B10035"/>
    <w:rsid w:val="00B10E3F"/>
    <w:rsid w:val="00B10FE2"/>
    <w:rsid w:val="00B110A0"/>
    <w:rsid w:val="00B11E7E"/>
    <w:rsid w:val="00B12115"/>
    <w:rsid w:val="00B12147"/>
    <w:rsid w:val="00B125E1"/>
    <w:rsid w:val="00B1274A"/>
    <w:rsid w:val="00B127EC"/>
    <w:rsid w:val="00B12A13"/>
    <w:rsid w:val="00B12E68"/>
    <w:rsid w:val="00B1320B"/>
    <w:rsid w:val="00B134A1"/>
    <w:rsid w:val="00B1350C"/>
    <w:rsid w:val="00B13797"/>
    <w:rsid w:val="00B137A2"/>
    <w:rsid w:val="00B13A64"/>
    <w:rsid w:val="00B14839"/>
    <w:rsid w:val="00B14E2E"/>
    <w:rsid w:val="00B14EF2"/>
    <w:rsid w:val="00B1507D"/>
    <w:rsid w:val="00B15128"/>
    <w:rsid w:val="00B151BB"/>
    <w:rsid w:val="00B15224"/>
    <w:rsid w:val="00B152C9"/>
    <w:rsid w:val="00B16039"/>
    <w:rsid w:val="00B164EC"/>
    <w:rsid w:val="00B1670D"/>
    <w:rsid w:val="00B16938"/>
    <w:rsid w:val="00B1708D"/>
    <w:rsid w:val="00B177C3"/>
    <w:rsid w:val="00B1794B"/>
    <w:rsid w:val="00B17D02"/>
    <w:rsid w:val="00B17D5E"/>
    <w:rsid w:val="00B17FDA"/>
    <w:rsid w:val="00B20186"/>
    <w:rsid w:val="00B20523"/>
    <w:rsid w:val="00B207E8"/>
    <w:rsid w:val="00B20AEF"/>
    <w:rsid w:val="00B20E71"/>
    <w:rsid w:val="00B21627"/>
    <w:rsid w:val="00B2173C"/>
    <w:rsid w:val="00B2188A"/>
    <w:rsid w:val="00B21CE1"/>
    <w:rsid w:val="00B22023"/>
    <w:rsid w:val="00B22180"/>
    <w:rsid w:val="00B22462"/>
    <w:rsid w:val="00B22D31"/>
    <w:rsid w:val="00B23235"/>
    <w:rsid w:val="00B23283"/>
    <w:rsid w:val="00B233B6"/>
    <w:rsid w:val="00B233C1"/>
    <w:rsid w:val="00B24348"/>
    <w:rsid w:val="00B24474"/>
    <w:rsid w:val="00B2461A"/>
    <w:rsid w:val="00B24863"/>
    <w:rsid w:val="00B24967"/>
    <w:rsid w:val="00B24BF0"/>
    <w:rsid w:val="00B2504D"/>
    <w:rsid w:val="00B2506F"/>
    <w:rsid w:val="00B25320"/>
    <w:rsid w:val="00B25B38"/>
    <w:rsid w:val="00B260AE"/>
    <w:rsid w:val="00B262AE"/>
    <w:rsid w:val="00B264BD"/>
    <w:rsid w:val="00B265C8"/>
    <w:rsid w:val="00B26A19"/>
    <w:rsid w:val="00B26CB4"/>
    <w:rsid w:val="00B26CF6"/>
    <w:rsid w:val="00B27057"/>
    <w:rsid w:val="00B2708B"/>
    <w:rsid w:val="00B27C89"/>
    <w:rsid w:val="00B300B6"/>
    <w:rsid w:val="00B30A19"/>
    <w:rsid w:val="00B31243"/>
    <w:rsid w:val="00B3128B"/>
    <w:rsid w:val="00B31358"/>
    <w:rsid w:val="00B314A3"/>
    <w:rsid w:val="00B31720"/>
    <w:rsid w:val="00B31987"/>
    <w:rsid w:val="00B32526"/>
    <w:rsid w:val="00B32E81"/>
    <w:rsid w:val="00B332AA"/>
    <w:rsid w:val="00B332DD"/>
    <w:rsid w:val="00B3331B"/>
    <w:rsid w:val="00B33353"/>
    <w:rsid w:val="00B33415"/>
    <w:rsid w:val="00B33744"/>
    <w:rsid w:val="00B33843"/>
    <w:rsid w:val="00B3397B"/>
    <w:rsid w:val="00B33CC4"/>
    <w:rsid w:val="00B33FCE"/>
    <w:rsid w:val="00B34234"/>
    <w:rsid w:val="00B3453A"/>
    <w:rsid w:val="00B3464B"/>
    <w:rsid w:val="00B34722"/>
    <w:rsid w:val="00B34B70"/>
    <w:rsid w:val="00B34F41"/>
    <w:rsid w:val="00B35123"/>
    <w:rsid w:val="00B352E7"/>
    <w:rsid w:val="00B356EC"/>
    <w:rsid w:val="00B35BD7"/>
    <w:rsid w:val="00B35D4F"/>
    <w:rsid w:val="00B36205"/>
    <w:rsid w:val="00B36239"/>
    <w:rsid w:val="00B36563"/>
    <w:rsid w:val="00B36808"/>
    <w:rsid w:val="00B36C6B"/>
    <w:rsid w:val="00B37109"/>
    <w:rsid w:val="00B37237"/>
    <w:rsid w:val="00B3793B"/>
    <w:rsid w:val="00B4028D"/>
    <w:rsid w:val="00B402EF"/>
    <w:rsid w:val="00B4181E"/>
    <w:rsid w:val="00B41B4C"/>
    <w:rsid w:val="00B41BAB"/>
    <w:rsid w:val="00B421B9"/>
    <w:rsid w:val="00B42256"/>
    <w:rsid w:val="00B42476"/>
    <w:rsid w:val="00B428C0"/>
    <w:rsid w:val="00B4292B"/>
    <w:rsid w:val="00B42A46"/>
    <w:rsid w:val="00B43026"/>
    <w:rsid w:val="00B43294"/>
    <w:rsid w:val="00B4357B"/>
    <w:rsid w:val="00B438C6"/>
    <w:rsid w:val="00B43AF4"/>
    <w:rsid w:val="00B43FE6"/>
    <w:rsid w:val="00B4401D"/>
    <w:rsid w:val="00B442B0"/>
    <w:rsid w:val="00B44325"/>
    <w:rsid w:val="00B4439F"/>
    <w:rsid w:val="00B44708"/>
    <w:rsid w:val="00B45125"/>
    <w:rsid w:val="00B4570D"/>
    <w:rsid w:val="00B45818"/>
    <w:rsid w:val="00B4591D"/>
    <w:rsid w:val="00B45C29"/>
    <w:rsid w:val="00B45FD8"/>
    <w:rsid w:val="00B460E8"/>
    <w:rsid w:val="00B46144"/>
    <w:rsid w:val="00B4648B"/>
    <w:rsid w:val="00B46868"/>
    <w:rsid w:val="00B468FF"/>
    <w:rsid w:val="00B46972"/>
    <w:rsid w:val="00B469CD"/>
    <w:rsid w:val="00B46A26"/>
    <w:rsid w:val="00B46C7A"/>
    <w:rsid w:val="00B46C81"/>
    <w:rsid w:val="00B470A0"/>
    <w:rsid w:val="00B47284"/>
    <w:rsid w:val="00B4749D"/>
    <w:rsid w:val="00B475E4"/>
    <w:rsid w:val="00B47642"/>
    <w:rsid w:val="00B47CFB"/>
    <w:rsid w:val="00B50206"/>
    <w:rsid w:val="00B510F5"/>
    <w:rsid w:val="00B511B4"/>
    <w:rsid w:val="00B51317"/>
    <w:rsid w:val="00B51668"/>
    <w:rsid w:val="00B51A4C"/>
    <w:rsid w:val="00B51BD6"/>
    <w:rsid w:val="00B51DC4"/>
    <w:rsid w:val="00B52055"/>
    <w:rsid w:val="00B521C0"/>
    <w:rsid w:val="00B52289"/>
    <w:rsid w:val="00B52B9B"/>
    <w:rsid w:val="00B52D7B"/>
    <w:rsid w:val="00B52EE4"/>
    <w:rsid w:val="00B5399E"/>
    <w:rsid w:val="00B53B8F"/>
    <w:rsid w:val="00B53FC5"/>
    <w:rsid w:val="00B543DB"/>
    <w:rsid w:val="00B54644"/>
    <w:rsid w:val="00B54651"/>
    <w:rsid w:val="00B547D9"/>
    <w:rsid w:val="00B547E8"/>
    <w:rsid w:val="00B548EF"/>
    <w:rsid w:val="00B54BBC"/>
    <w:rsid w:val="00B54BC0"/>
    <w:rsid w:val="00B54E4C"/>
    <w:rsid w:val="00B559A1"/>
    <w:rsid w:val="00B55D64"/>
    <w:rsid w:val="00B55E6F"/>
    <w:rsid w:val="00B55EE9"/>
    <w:rsid w:val="00B5609B"/>
    <w:rsid w:val="00B56389"/>
    <w:rsid w:val="00B56888"/>
    <w:rsid w:val="00B568AF"/>
    <w:rsid w:val="00B56E57"/>
    <w:rsid w:val="00B572A6"/>
    <w:rsid w:val="00B57448"/>
    <w:rsid w:val="00B57610"/>
    <w:rsid w:val="00B579CC"/>
    <w:rsid w:val="00B57C24"/>
    <w:rsid w:val="00B57C2D"/>
    <w:rsid w:val="00B57EC6"/>
    <w:rsid w:val="00B60124"/>
    <w:rsid w:val="00B60434"/>
    <w:rsid w:val="00B605DB"/>
    <w:rsid w:val="00B60852"/>
    <w:rsid w:val="00B60AA0"/>
    <w:rsid w:val="00B60E70"/>
    <w:rsid w:val="00B60E7C"/>
    <w:rsid w:val="00B60ECA"/>
    <w:rsid w:val="00B61006"/>
    <w:rsid w:val="00B61388"/>
    <w:rsid w:val="00B617FB"/>
    <w:rsid w:val="00B61B28"/>
    <w:rsid w:val="00B61B32"/>
    <w:rsid w:val="00B61BA2"/>
    <w:rsid w:val="00B61FBA"/>
    <w:rsid w:val="00B62032"/>
    <w:rsid w:val="00B62319"/>
    <w:rsid w:val="00B6293B"/>
    <w:rsid w:val="00B62C1B"/>
    <w:rsid w:val="00B63212"/>
    <w:rsid w:val="00B63767"/>
    <w:rsid w:val="00B63CCD"/>
    <w:rsid w:val="00B63E34"/>
    <w:rsid w:val="00B63F46"/>
    <w:rsid w:val="00B64BEC"/>
    <w:rsid w:val="00B64C90"/>
    <w:rsid w:val="00B64DFF"/>
    <w:rsid w:val="00B64E6C"/>
    <w:rsid w:val="00B64E8D"/>
    <w:rsid w:val="00B64FF4"/>
    <w:rsid w:val="00B653DF"/>
    <w:rsid w:val="00B656FA"/>
    <w:rsid w:val="00B65CF9"/>
    <w:rsid w:val="00B66A92"/>
    <w:rsid w:val="00B66EB8"/>
    <w:rsid w:val="00B66F0C"/>
    <w:rsid w:val="00B66F60"/>
    <w:rsid w:val="00B67206"/>
    <w:rsid w:val="00B672B4"/>
    <w:rsid w:val="00B676EA"/>
    <w:rsid w:val="00B67876"/>
    <w:rsid w:val="00B67AA1"/>
    <w:rsid w:val="00B67E70"/>
    <w:rsid w:val="00B67F99"/>
    <w:rsid w:val="00B70046"/>
    <w:rsid w:val="00B7027A"/>
    <w:rsid w:val="00B70735"/>
    <w:rsid w:val="00B70B2E"/>
    <w:rsid w:val="00B70FD3"/>
    <w:rsid w:val="00B7137D"/>
    <w:rsid w:val="00B7140E"/>
    <w:rsid w:val="00B71852"/>
    <w:rsid w:val="00B7194E"/>
    <w:rsid w:val="00B71E29"/>
    <w:rsid w:val="00B72147"/>
    <w:rsid w:val="00B724D8"/>
    <w:rsid w:val="00B725C5"/>
    <w:rsid w:val="00B72A87"/>
    <w:rsid w:val="00B72CA4"/>
    <w:rsid w:val="00B72D7A"/>
    <w:rsid w:val="00B7366F"/>
    <w:rsid w:val="00B73F36"/>
    <w:rsid w:val="00B7416D"/>
    <w:rsid w:val="00B741FB"/>
    <w:rsid w:val="00B74332"/>
    <w:rsid w:val="00B7465B"/>
    <w:rsid w:val="00B74759"/>
    <w:rsid w:val="00B74A56"/>
    <w:rsid w:val="00B74EEE"/>
    <w:rsid w:val="00B751D9"/>
    <w:rsid w:val="00B75239"/>
    <w:rsid w:val="00B75AA0"/>
    <w:rsid w:val="00B75CF4"/>
    <w:rsid w:val="00B76248"/>
    <w:rsid w:val="00B762ED"/>
    <w:rsid w:val="00B76360"/>
    <w:rsid w:val="00B765B6"/>
    <w:rsid w:val="00B767C2"/>
    <w:rsid w:val="00B768C9"/>
    <w:rsid w:val="00B7693F"/>
    <w:rsid w:val="00B76C9C"/>
    <w:rsid w:val="00B76E74"/>
    <w:rsid w:val="00B775D3"/>
    <w:rsid w:val="00B779D5"/>
    <w:rsid w:val="00B77A3B"/>
    <w:rsid w:val="00B77B40"/>
    <w:rsid w:val="00B77E48"/>
    <w:rsid w:val="00B8004E"/>
    <w:rsid w:val="00B80B5D"/>
    <w:rsid w:val="00B80FBA"/>
    <w:rsid w:val="00B815D1"/>
    <w:rsid w:val="00B816BB"/>
    <w:rsid w:val="00B816FA"/>
    <w:rsid w:val="00B8171E"/>
    <w:rsid w:val="00B81738"/>
    <w:rsid w:val="00B819A5"/>
    <w:rsid w:val="00B81B31"/>
    <w:rsid w:val="00B82815"/>
    <w:rsid w:val="00B82840"/>
    <w:rsid w:val="00B82DFA"/>
    <w:rsid w:val="00B8321C"/>
    <w:rsid w:val="00B83346"/>
    <w:rsid w:val="00B83591"/>
    <w:rsid w:val="00B8386D"/>
    <w:rsid w:val="00B83A14"/>
    <w:rsid w:val="00B8400F"/>
    <w:rsid w:val="00B84500"/>
    <w:rsid w:val="00B847DF"/>
    <w:rsid w:val="00B84871"/>
    <w:rsid w:val="00B8488F"/>
    <w:rsid w:val="00B84BEB"/>
    <w:rsid w:val="00B84D24"/>
    <w:rsid w:val="00B85037"/>
    <w:rsid w:val="00B8510B"/>
    <w:rsid w:val="00B859A3"/>
    <w:rsid w:val="00B860FE"/>
    <w:rsid w:val="00B8656D"/>
    <w:rsid w:val="00B86607"/>
    <w:rsid w:val="00B8673F"/>
    <w:rsid w:val="00B87671"/>
    <w:rsid w:val="00B878EF"/>
    <w:rsid w:val="00B87C79"/>
    <w:rsid w:val="00B87D5D"/>
    <w:rsid w:val="00B90542"/>
    <w:rsid w:val="00B908B1"/>
    <w:rsid w:val="00B908B6"/>
    <w:rsid w:val="00B90A7B"/>
    <w:rsid w:val="00B90AEF"/>
    <w:rsid w:val="00B9127E"/>
    <w:rsid w:val="00B91471"/>
    <w:rsid w:val="00B915BE"/>
    <w:rsid w:val="00B91A70"/>
    <w:rsid w:val="00B91ACA"/>
    <w:rsid w:val="00B91B65"/>
    <w:rsid w:val="00B91D63"/>
    <w:rsid w:val="00B91DA0"/>
    <w:rsid w:val="00B923D8"/>
    <w:rsid w:val="00B929AA"/>
    <w:rsid w:val="00B92A2E"/>
    <w:rsid w:val="00B932AD"/>
    <w:rsid w:val="00B93C8C"/>
    <w:rsid w:val="00B93F19"/>
    <w:rsid w:val="00B93FF7"/>
    <w:rsid w:val="00B940CF"/>
    <w:rsid w:val="00B94B31"/>
    <w:rsid w:val="00B94E15"/>
    <w:rsid w:val="00B955AA"/>
    <w:rsid w:val="00B95CB2"/>
    <w:rsid w:val="00B95DF2"/>
    <w:rsid w:val="00B9649B"/>
    <w:rsid w:val="00B96BE9"/>
    <w:rsid w:val="00B96EA0"/>
    <w:rsid w:val="00B9739D"/>
    <w:rsid w:val="00B97930"/>
    <w:rsid w:val="00B9794B"/>
    <w:rsid w:val="00B97D8A"/>
    <w:rsid w:val="00BA00D7"/>
    <w:rsid w:val="00BA05B1"/>
    <w:rsid w:val="00BA0698"/>
    <w:rsid w:val="00BA0A0E"/>
    <w:rsid w:val="00BA1562"/>
    <w:rsid w:val="00BA1638"/>
    <w:rsid w:val="00BA22A2"/>
    <w:rsid w:val="00BA24C8"/>
    <w:rsid w:val="00BA2AE7"/>
    <w:rsid w:val="00BA2BD5"/>
    <w:rsid w:val="00BA2E1E"/>
    <w:rsid w:val="00BA3201"/>
    <w:rsid w:val="00BA32D9"/>
    <w:rsid w:val="00BA3400"/>
    <w:rsid w:val="00BA3DCC"/>
    <w:rsid w:val="00BA41AC"/>
    <w:rsid w:val="00BA44FF"/>
    <w:rsid w:val="00BA4A07"/>
    <w:rsid w:val="00BA4BCB"/>
    <w:rsid w:val="00BA4E5E"/>
    <w:rsid w:val="00BA51D4"/>
    <w:rsid w:val="00BA5528"/>
    <w:rsid w:val="00BA5625"/>
    <w:rsid w:val="00BA66BB"/>
    <w:rsid w:val="00BA6A0D"/>
    <w:rsid w:val="00BA6C37"/>
    <w:rsid w:val="00BA6E24"/>
    <w:rsid w:val="00BA6EAC"/>
    <w:rsid w:val="00BA7581"/>
    <w:rsid w:val="00BA75DA"/>
    <w:rsid w:val="00BA7760"/>
    <w:rsid w:val="00BA7794"/>
    <w:rsid w:val="00BA7884"/>
    <w:rsid w:val="00BA7A8E"/>
    <w:rsid w:val="00BB0717"/>
    <w:rsid w:val="00BB089E"/>
    <w:rsid w:val="00BB0AC5"/>
    <w:rsid w:val="00BB0D84"/>
    <w:rsid w:val="00BB0F1F"/>
    <w:rsid w:val="00BB1152"/>
    <w:rsid w:val="00BB129A"/>
    <w:rsid w:val="00BB1A48"/>
    <w:rsid w:val="00BB1D1B"/>
    <w:rsid w:val="00BB2726"/>
    <w:rsid w:val="00BB278B"/>
    <w:rsid w:val="00BB2A95"/>
    <w:rsid w:val="00BB2C3A"/>
    <w:rsid w:val="00BB314C"/>
    <w:rsid w:val="00BB33A5"/>
    <w:rsid w:val="00BB346F"/>
    <w:rsid w:val="00BB3C30"/>
    <w:rsid w:val="00BB3C36"/>
    <w:rsid w:val="00BB3F0D"/>
    <w:rsid w:val="00BB40D7"/>
    <w:rsid w:val="00BB438F"/>
    <w:rsid w:val="00BB517D"/>
    <w:rsid w:val="00BB532C"/>
    <w:rsid w:val="00BB5833"/>
    <w:rsid w:val="00BB5B5A"/>
    <w:rsid w:val="00BB5BFB"/>
    <w:rsid w:val="00BB5F7E"/>
    <w:rsid w:val="00BB6BD4"/>
    <w:rsid w:val="00BB6BFE"/>
    <w:rsid w:val="00BB7027"/>
    <w:rsid w:val="00BB75F0"/>
    <w:rsid w:val="00BB7BFC"/>
    <w:rsid w:val="00BB7C1E"/>
    <w:rsid w:val="00BC01FA"/>
    <w:rsid w:val="00BC09DE"/>
    <w:rsid w:val="00BC0A7F"/>
    <w:rsid w:val="00BC0C1A"/>
    <w:rsid w:val="00BC0C38"/>
    <w:rsid w:val="00BC0D56"/>
    <w:rsid w:val="00BC0D5A"/>
    <w:rsid w:val="00BC0D7A"/>
    <w:rsid w:val="00BC2072"/>
    <w:rsid w:val="00BC2215"/>
    <w:rsid w:val="00BC2397"/>
    <w:rsid w:val="00BC28F3"/>
    <w:rsid w:val="00BC2DE6"/>
    <w:rsid w:val="00BC3359"/>
    <w:rsid w:val="00BC375B"/>
    <w:rsid w:val="00BC3979"/>
    <w:rsid w:val="00BC3E75"/>
    <w:rsid w:val="00BC42F5"/>
    <w:rsid w:val="00BC48B4"/>
    <w:rsid w:val="00BC4E3F"/>
    <w:rsid w:val="00BC544A"/>
    <w:rsid w:val="00BC5989"/>
    <w:rsid w:val="00BC5A4C"/>
    <w:rsid w:val="00BC5B41"/>
    <w:rsid w:val="00BC6393"/>
    <w:rsid w:val="00BC6446"/>
    <w:rsid w:val="00BC64F4"/>
    <w:rsid w:val="00BC71F5"/>
    <w:rsid w:val="00BC728D"/>
    <w:rsid w:val="00BC7303"/>
    <w:rsid w:val="00BC7362"/>
    <w:rsid w:val="00BC7BEF"/>
    <w:rsid w:val="00BC7C8C"/>
    <w:rsid w:val="00BD0680"/>
    <w:rsid w:val="00BD0720"/>
    <w:rsid w:val="00BD0AE9"/>
    <w:rsid w:val="00BD0B57"/>
    <w:rsid w:val="00BD1179"/>
    <w:rsid w:val="00BD1259"/>
    <w:rsid w:val="00BD12E6"/>
    <w:rsid w:val="00BD1686"/>
    <w:rsid w:val="00BD1949"/>
    <w:rsid w:val="00BD1AC9"/>
    <w:rsid w:val="00BD1F6E"/>
    <w:rsid w:val="00BD1FE8"/>
    <w:rsid w:val="00BD205F"/>
    <w:rsid w:val="00BD20BE"/>
    <w:rsid w:val="00BD2956"/>
    <w:rsid w:val="00BD2ED4"/>
    <w:rsid w:val="00BD35E2"/>
    <w:rsid w:val="00BD3631"/>
    <w:rsid w:val="00BD370D"/>
    <w:rsid w:val="00BD3AD7"/>
    <w:rsid w:val="00BD3C85"/>
    <w:rsid w:val="00BD3CCF"/>
    <w:rsid w:val="00BD44A1"/>
    <w:rsid w:val="00BD4D55"/>
    <w:rsid w:val="00BD4D96"/>
    <w:rsid w:val="00BD4DEC"/>
    <w:rsid w:val="00BD5782"/>
    <w:rsid w:val="00BD5B2C"/>
    <w:rsid w:val="00BD614A"/>
    <w:rsid w:val="00BD63E0"/>
    <w:rsid w:val="00BD6658"/>
    <w:rsid w:val="00BD6870"/>
    <w:rsid w:val="00BD6FD9"/>
    <w:rsid w:val="00BD7327"/>
    <w:rsid w:val="00BD74B3"/>
    <w:rsid w:val="00BD75F7"/>
    <w:rsid w:val="00BD7988"/>
    <w:rsid w:val="00BD7E8A"/>
    <w:rsid w:val="00BE01F5"/>
    <w:rsid w:val="00BE0264"/>
    <w:rsid w:val="00BE0CAE"/>
    <w:rsid w:val="00BE0D32"/>
    <w:rsid w:val="00BE1689"/>
    <w:rsid w:val="00BE1824"/>
    <w:rsid w:val="00BE1892"/>
    <w:rsid w:val="00BE1C81"/>
    <w:rsid w:val="00BE203F"/>
    <w:rsid w:val="00BE2483"/>
    <w:rsid w:val="00BE2758"/>
    <w:rsid w:val="00BE28B9"/>
    <w:rsid w:val="00BE2917"/>
    <w:rsid w:val="00BE29B7"/>
    <w:rsid w:val="00BE2C12"/>
    <w:rsid w:val="00BE2C45"/>
    <w:rsid w:val="00BE2F3E"/>
    <w:rsid w:val="00BE3084"/>
    <w:rsid w:val="00BE324E"/>
    <w:rsid w:val="00BE33FF"/>
    <w:rsid w:val="00BE35E1"/>
    <w:rsid w:val="00BE373A"/>
    <w:rsid w:val="00BE38A9"/>
    <w:rsid w:val="00BE3E1C"/>
    <w:rsid w:val="00BE46DE"/>
    <w:rsid w:val="00BE4BF1"/>
    <w:rsid w:val="00BE56E5"/>
    <w:rsid w:val="00BE5AC3"/>
    <w:rsid w:val="00BE5FD0"/>
    <w:rsid w:val="00BE6160"/>
    <w:rsid w:val="00BE6326"/>
    <w:rsid w:val="00BE6500"/>
    <w:rsid w:val="00BE68F3"/>
    <w:rsid w:val="00BE6BC4"/>
    <w:rsid w:val="00BE6DA5"/>
    <w:rsid w:val="00BE7764"/>
    <w:rsid w:val="00BE7A19"/>
    <w:rsid w:val="00BE7B8E"/>
    <w:rsid w:val="00BE7CDE"/>
    <w:rsid w:val="00BF00E4"/>
    <w:rsid w:val="00BF03E7"/>
    <w:rsid w:val="00BF0CDD"/>
    <w:rsid w:val="00BF0D1A"/>
    <w:rsid w:val="00BF0E66"/>
    <w:rsid w:val="00BF15FB"/>
    <w:rsid w:val="00BF17FA"/>
    <w:rsid w:val="00BF27B9"/>
    <w:rsid w:val="00BF2CB6"/>
    <w:rsid w:val="00BF3C74"/>
    <w:rsid w:val="00BF3C89"/>
    <w:rsid w:val="00BF3D04"/>
    <w:rsid w:val="00BF43FD"/>
    <w:rsid w:val="00BF440B"/>
    <w:rsid w:val="00BF443B"/>
    <w:rsid w:val="00BF4618"/>
    <w:rsid w:val="00BF500C"/>
    <w:rsid w:val="00BF5760"/>
    <w:rsid w:val="00BF65A3"/>
    <w:rsid w:val="00BF66EE"/>
    <w:rsid w:val="00BF68D6"/>
    <w:rsid w:val="00BF6DA4"/>
    <w:rsid w:val="00BF7223"/>
    <w:rsid w:val="00BF72B0"/>
    <w:rsid w:val="00BF72B1"/>
    <w:rsid w:val="00BF793F"/>
    <w:rsid w:val="00BF7CBB"/>
    <w:rsid w:val="00C0049A"/>
    <w:rsid w:val="00C00802"/>
    <w:rsid w:val="00C0083D"/>
    <w:rsid w:val="00C00CA4"/>
    <w:rsid w:val="00C00D2D"/>
    <w:rsid w:val="00C00DAB"/>
    <w:rsid w:val="00C011D3"/>
    <w:rsid w:val="00C0278A"/>
    <w:rsid w:val="00C027AE"/>
    <w:rsid w:val="00C02E6F"/>
    <w:rsid w:val="00C03A3F"/>
    <w:rsid w:val="00C03C74"/>
    <w:rsid w:val="00C03D39"/>
    <w:rsid w:val="00C03E26"/>
    <w:rsid w:val="00C03F85"/>
    <w:rsid w:val="00C0460B"/>
    <w:rsid w:val="00C04E99"/>
    <w:rsid w:val="00C04FED"/>
    <w:rsid w:val="00C0532B"/>
    <w:rsid w:val="00C056B0"/>
    <w:rsid w:val="00C05989"/>
    <w:rsid w:val="00C05B7A"/>
    <w:rsid w:val="00C05D1A"/>
    <w:rsid w:val="00C061E8"/>
    <w:rsid w:val="00C06858"/>
    <w:rsid w:val="00C06AD4"/>
    <w:rsid w:val="00C06B6A"/>
    <w:rsid w:val="00C06C58"/>
    <w:rsid w:val="00C075D7"/>
    <w:rsid w:val="00C10034"/>
    <w:rsid w:val="00C104C4"/>
    <w:rsid w:val="00C10773"/>
    <w:rsid w:val="00C10AFB"/>
    <w:rsid w:val="00C1101F"/>
    <w:rsid w:val="00C113EE"/>
    <w:rsid w:val="00C11440"/>
    <w:rsid w:val="00C11640"/>
    <w:rsid w:val="00C11953"/>
    <w:rsid w:val="00C11A34"/>
    <w:rsid w:val="00C11E67"/>
    <w:rsid w:val="00C126C4"/>
    <w:rsid w:val="00C129B9"/>
    <w:rsid w:val="00C12E8E"/>
    <w:rsid w:val="00C13202"/>
    <w:rsid w:val="00C1352D"/>
    <w:rsid w:val="00C136FF"/>
    <w:rsid w:val="00C13BB0"/>
    <w:rsid w:val="00C13C87"/>
    <w:rsid w:val="00C13E1F"/>
    <w:rsid w:val="00C13EF7"/>
    <w:rsid w:val="00C142B9"/>
    <w:rsid w:val="00C1440B"/>
    <w:rsid w:val="00C14555"/>
    <w:rsid w:val="00C14877"/>
    <w:rsid w:val="00C148D6"/>
    <w:rsid w:val="00C14F63"/>
    <w:rsid w:val="00C15058"/>
    <w:rsid w:val="00C156DB"/>
    <w:rsid w:val="00C157DD"/>
    <w:rsid w:val="00C1595E"/>
    <w:rsid w:val="00C15DC1"/>
    <w:rsid w:val="00C16229"/>
    <w:rsid w:val="00C1648A"/>
    <w:rsid w:val="00C16B09"/>
    <w:rsid w:val="00C16C05"/>
    <w:rsid w:val="00C1707A"/>
    <w:rsid w:val="00C1733B"/>
    <w:rsid w:val="00C17887"/>
    <w:rsid w:val="00C179FF"/>
    <w:rsid w:val="00C17D21"/>
    <w:rsid w:val="00C17EDB"/>
    <w:rsid w:val="00C20883"/>
    <w:rsid w:val="00C209BB"/>
    <w:rsid w:val="00C212EA"/>
    <w:rsid w:val="00C213E5"/>
    <w:rsid w:val="00C214C5"/>
    <w:rsid w:val="00C219C8"/>
    <w:rsid w:val="00C21E15"/>
    <w:rsid w:val="00C21EE2"/>
    <w:rsid w:val="00C22091"/>
    <w:rsid w:val="00C22202"/>
    <w:rsid w:val="00C22408"/>
    <w:rsid w:val="00C2246A"/>
    <w:rsid w:val="00C2256B"/>
    <w:rsid w:val="00C229A5"/>
    <w:rsid w:val="00C231DD"/>
    <w:rsid w:val="00C23351"/>
    <w:rsid w:val="00C235F9"/>
    <w:rsid w:val="00C238F0"/>
    <w:rsid w:val="00C23B45"/>
    <w:rsid w:val="00C243BD"/>
    <w:rsid w:val="00C2474A"/>
    <w:rsid w:val="00C248A8"/>
    <w:rsid w:val="00C24F43"/>
    <w:rsid w:val="00C256BA"/>
    <w:rsid w:val="00C25A98"/>
    <w:rsid w:val="00C25DB6"/>
    <w:rsid w:val="00C262B3"/>
    <w:rsid w:val="00C26B02"/>
    <w:rsid w:val="00C26BDC"/>
    <w:rsid w:val="00C26C31"/>
    <w:rsid w:val="00C27000"/>
    <w:rsid w:val="00C27197"/>
    <w:rsid w:val="00C27407"/>
    <w:rsid w:val="00C2758B"/>
    <w:rsid w:val="00C27BAC"/>
    <w:rsid w:val="00C27E5A"/>
    <w:rsid w:val="00C30127"/>
    <w:rsid w:val="00C301E2"/>
    <w:rsid w:val="00C30502"/>
    <w:rsid w:val="00C3076F"/>
    <w:rsid w:val="00C30860"/>
    <w:rsid w:val="00C30CBA"/>
    <w:rsid w:val="00C30F16"/>
    <w:rsid w:val="00C310C5"/>
    <w:rsid w:val="00C31195"/>
    <w:rsid w:val="00C31234"/>
    <w:rsid w:val="00C31485"/>
    <w:rsid w:val="00C317A2"/>
    <w:rsid w:val="00C321AD"/>
    <w:rsid w:val="00C328D6"/>
    <w:rsid w:val="00C32B07"/>
    <w:rsid w:val="00C32D57"/>
    <w:rsid w:val="00C32E98"/>
    <w:rsid w:val="00C32FA4"/>
    <w:rsid w:val="00C3319E"/>
    <w:rsid w:val="00C33428"/>
    <w:rsid w:val="00C3342A"/>
    <w:rsid w:val="00C3342D"/>
    <w:rsid w:val="00C33AC8"/>
    <w:rsid w:val="00C33B4E"/>
    <w:rsid w:val="00C33ECD"/>
    <w:rsid w:val="00C33F17"/>
    <w:rsid w:val="00C34135"/>
    <w:rsid w:val="00C342CA"/>
    <w:rsid w:val="00C34302"/>
    <w:rsid w:val="00C3439D"/>
    <w:rsid w:val="00C34B35"/>
    <w:rsid w:val="00C353E8"/>
    <w:rsid w:val="00C358D8"/>
    <w:rsid w:val="00C35B4A"/>
    <w:rsid w:val="00C36118"/>
    <w:rsid w:val="00C3643E"/>
    <w:rsid w:val="00C3666E"/>
    <w:rsid w:val="00C36688"/>
    <w:rsid w:val="00C36779"/>
    <w:rsid w:val="00C3684F"/>
    <w:rsid w:val="00C36FC6"/>
    <w:rsid w:val="00C3706B"/>
    <w:rsid w:val="00C37509"/>
    <w:rsid w:val="00C37B09"/>
    <w:rsid w:val="00C37C99"/>
    <w:rsid w:val="00C37E69"/>
    <w:rsid w:val="00C40633"/>
    <w:rsid w:val="00C41148"/>
    <w:rsid w:val="00C411A7"/>
    <w:rsid w:val="00C413D9"/>
    <w:rsid w:val="00C414CB"/>
    <w:rsid w:val="00C4158B"/>
    <w:rsid w:val="00C42733"/>
    <w:rsid w:val="00C427F6"/>
    <w:rsid w:val="00C42C4D"/>
    <w:rsid w:val="00C42EF1"/>
    <w:rsid w:val="00C43682"/>
    <w:rsid w:val="00C4382B"/>
    <w:rsid w:val="00C43B65"/>
    <w:rsid w:val="00C43F94"/>
    <w:rsid w:val="00C44004"/>
    <w:rsid w:val="00C441DE"/>
    <w:rsid w:val="00C44408"/>
    <w:rsid w:val="00C44B34"/>
    <w:rsid w:val="00C44DD5"/>
    <w:rsid w:val="00C45486"/>
    <w:rsid w:val="00C45991"/>
    <w:rsid w:val="00C464A7"/>
    <w:rsid w:val="00C464F7"/>
    <w:rsid w:val="00C465CC"/>
    <w:rsid w:val="00C46761"/>
    <w:rsid w:val="00C46F9A"/>
    <w:rsid w:val="00C47158"/>
    <w:rsid w:val="00C47348"/>
    <w:rsid w:val="00C4758D"/>
    <w:rsid w:val="00C4779F"/>
    <w:rsid w:val="00C47A2D"/>
    <w:rsid w:val="00C47DCC"/>
    <w:rsid w:val="00C47FEC"/>
    <w:rsid w:val="00C4ED86"/>
    <w:rsid w:val="00C50500"/>
    <w:rsid w:val="00C505A5"/>
    <w:rsid w:val="00C506CC"/>
    <w:rsid w:val="00C50816"/>
    <w:rsid w:val="00C5089C"/>
    <w:rsid w:val="00C50B26"/>
    <w:rsid w:val="00C50E81"/>
    <w:rsid w:val="00C50F36"/>
    <w:rsid w:val="00C50F5B"/>
    <w:rsid w:val="00C510F5"/>
    <w:rsid w:val="00C512BF"/>
    <w:rsid w:val="00C51721"/>
    <w:rsid w:val="00C518EC"/>
    <w:rsid w:val="00C52739"/>
    <w:rsid w:val="00C52ACE"/>
    <w:rsid w:val="00C52D5E"/>
    <w:rsid w:val="00C536A4"/>
    <w:rsid w:val="00C537CE"/>
    <w:rsid w:val="00C539FA"/>
    <w:rsid w:val="00C53BAB"/>
    <w:rsid w:val="00C53D0C"/>
    <w:rsid w:val="00C53DC3"/>
    <w:rsid w:val="00C53FC6"/>
    <w:rsid w:val="00C541A4"/>
    <w:rsid w:val="00C54519"/>
    <w:rsid w:val="00C54B6D"/>
    <w:rsid w:val="00C54B75"/>
    <w:rsid w:val="00C54CBE"/>
    <w:rsid w:val="00C54D2D"/>
    <w:rsid w:val="00C54E90"/>
    <w:rsid w:val="00C5508E"/>
    <w:rsid w:val="00C554DB"/>
    <w:rsid w:val="00C554F9"/>
    <w:rsid w:val="00C55893"/>
    <w:rsid w:val="00C55D24"/>
    <w:rsid w:val="00C55EC9"/>
    <w:rsid w:val="00C55F24"/>
    <w:rsid w:val="00C56036"/>
    <w:rsid w:val="00C5618F"/>
    <w:rsid w:val="00C56317"/>
    <w:rsid w:val="00C57471"/>
    <w:rsid w:val="00C574D1"/>
    <w:rsid w:val="00C57912"/>
    <w:rsid w:val="00C57A74"/>
    <w:rsid w:val="00C57CF9"/>
    <w:rsid w:val="00C60324"/>
    <w:rsid w:val="00C60690"/>
    <w:rsid w:val="00C60DEA"/>
    <w:rsid w:val="00C616F3"/>
    <w:rsid w:val="00C616F9"/>
    <w:rsid w:val="00C61A9F"/>
    <w:rsid w:val="00C61ABF"/>
    <w:rsid w:val="00C61D60"/>
    <w:rsid w:val="00C61D69"/>
    <w:rsid w:val="00C6212D"/>
    <w:rsid w:val="00C6219C"/>
    <w:rsid w:val="00C62212"/>
    <w:rsid w:val="00C624F5"/>
    <w:rsid w:val="00C62515"/>
    <w:rsid w:val="00C6267E"/>
    <w:rsid w:val="00C628C7"/>
    <w:rsid w:val="00C628DD"/>
    <w:rsid w:val="00C629FA"/>
    <w:rsid w:val="00C62FF3"/>
    <w:rsid w:val="00C630CA"/>
    <w:rsid w:val="00C63343"/>
    <w:rsid w:val="00C635B5"/>
    <w:rsid w:val="00C637D9"/>
    <w:rsid w:val="00C63BD8"/>
    <w:rsid w:val="00C63E1B"/>
    <w:rsid w:val="00C64486"/>
    <w:rsid w:val="00C64498"/>
    <w:rsid w:val="00C64F39"/>
    <w:rsid w:val="00C654FC"/>
    <w:rsid w:val="00C65D14"/>
    <w:rsid w:val="00C66150"/>
    <w:rsid w:val="00C664DF"/>
    <w:rsid w:val="00C66542"/>
    <w:rsid w:val="00C669F8"/>
    <w:rsid w:val="00C66C9B"/>
    <w:rsid w:val="00C66FA4"/>
    <w:rsid w:val="00C66FC1"/>
    <w:rsid w:val="00C67872"/>
    <w:rsid w:val="00C67BFC"/>
    <w:rsid w:val="00C67CFF"/>
    <w:rsid w:val="00C67EC4"/>
    <w:rsid w:val="00C67F3A"/>
    <w:rsid w:val="00C70228"/>
    <w:rsid w:val="00C70674"/>
    <w:rsid w:val="00C707A1"/>
    <w:rsid w:val="00C707F6"/>
    <w:rsid w:val="00C70AE6"/>
    <w:rsid w:val="00C70D54"/>
    <w:rsid w:val="00C70E8C"/>
    <w:rsid w:val="00C70F7A"/>
    <w:rsid w:val="00C7102C"/>
    <w:rsid w:val="00C710E5"/>
    <w:rsid w:val="00C71692"/>
    <w:rsid w:val="00C71787"/>
    <w:rsid w:val="00C71CBB"/>
    <w:rsid w:val="00C7233D"/>
    <w:rsid w:val="00C723A7"/>
    <w:rsid w:val="00C723C2"/>
    <w:rsid w:val="00C72843"/>
    <w:rsid w:val="00C73492"/>
    <w:rsid w:val="00C73634"/>
    <w:rsid w:val="00C7368B"/>
    <w:rsid w:val="00C736C2"/>
    <w:rsid w:val="00C73B5F"/>
    <w:rsid w:val="00C73D55"/>
    <w:rsid w:val="00C73DB0"/>
    <w:rsid w:val="00C74139"/>
    <w:rsid w:val="00C741CD"/>
    <w:rsid w:val="00C74293"/>
    <w:rsid w:val="00C74358"/>
    <w:rsid w:val="00C74A75"/>
    <w:rsid w:val="00C74B05"/>
    <w:rsid w:val="00C7507F"/>
    <w:rsid w:val="00C75A90"/>
    <w:rsid w:val="00C75ACA"/>
    <w:rsid w:val="00C75D6E"/>
    <w:rsid w:val="00C7612C"/>
    <w:rsid w:val="00C76159"/>
    <w:rsid w:val="00C76304"/>
    <w:rsid w:val="00C76B39"/>
    <w:rsid w:val="00C76DBF"/>
    <w:rsid w:val="00C76E5B"/>
    <w:rsid w:val="00C771D1"/>
    <w:rsid w:val="00C771D5"/>
    <w:rsid w:val="00C77753"/>
    <w:rsid w:val="00C7779F"/>
    <w:rsid w:val="00C778BA"/>
    <w:rsid w:val="00C80494"/>
    <w:rsid w:val="00C8092F"/>
    <w:rsid w:val="00C80C28"/>
    <w:rsid w:val="00C80DC5"/>
    <w:rsid w:val="00C80FBD"/>
    <w:rsid w:val="00C81378"/>
    <w:rsid w:val="00C816F0"/>
    <w:rsid w:val="00C825FB"/>
    <w:rsid w:val="00C82BA7"/>
    <w:rsid w:val="00C82E53"/>
    <w:rsid w:val="00C83022"/>
    <w:rsid w:val="00C8420E"/>
    <w:rsid w:val="00C84E3B"/>
    <w:rsid w:val="00C8500C"/>
    <w:rsid w:val="00C85B13"/>
    <w:rsid w:val="00C85D98"/>
    <w:rsid w:val="00C865BE"/>
    <w:rsid w:val="00C87140"/>
    <w:rsid w:val="00C871B3"/>
    <w:rsid w:val="00C8747D"/>
    <w:rsid w:val="00C875B4"/>
    <w:rsid w:val="00C875E7"/>
    <w:rsid w:val="00C87C3A"/>
    <w:rsid w:val="00C87C4C"/>
    <w:rsid w:val="00C87C66"/>
    <w:rsid w:val="00C87D32"/>
    <w:rsid w:val="00C90344"/>
    <w:rsid w:val="00C90550"/>
    <w:rsid w:val="00C91664"/>
    <w:rsid w:val="00C91CE7"/>
    <w:rsid w:val="00C92066"/>
    <w:rsid w:val="00C9206A"/>
    <w:rsid w:val="00C921E3"/>
    <w:rsid w:val="00C92252"/>
    <w:rsid w:val="00C92786"/>
    <w:rsid w:val="00C92BB9"/>
    <w:rsid w:val="00C92D61"/>
    <w:rsid w:val="00C93348"/>
    <w:rsid w:val="00C93B4C"/>
    <w:rsid w:val="00C93D94"/>
    <w:rsid w:val="00C93ED5"/>
    <w:rsid w:val="00C93FF0"/>
    <w:rsid w:val="00C941AF"/>
    <w:rsid w:val="00C944C8"/>
    <w:rsid w:val="00C948C8"/>
    <w:rsid w:val="00C94A8F"/>
    <w:rsid w:val="00C94EB3"/>
    <w:rsid w:val="00C94F55"/>
    <w:rsid w:val="00C94FFA"/>
    <w:rsid w:val="00C954BB"/>
    <w:rsid w:val="00C95534"/>
    <w:rsid w:val="00C955BF"/>
    <w:rsid w:val="00C956C7"/>
    <w:rsid w:val="00C9578A"/>
    <w:rsid w:val="00C9578D"/>
    <w:rsid w:val="00C959C4"/>
    <w:rsid w:val="00C95A11"/>
    <w:rsid w:val="00C95D06"/>
    <w:rsid w:val="00C962B6"/>
    <w:rsid w:val="00C96502"/>
    <w:rsid w:val="00C967DB"/>
    <w:rsid w:val="00C96B4C"/>
    <w:rsid w:val="00C96B53"/>
    <w:rsid w:val="00C96D46"/>
    <w:rsid w:val="00C9714D"/>
    <w:rsid w:val="00C971FC"/>
    <w:rsid w:val="00C9763B"/>
    <w:rsid w:val="00C976FE"/>
    <w:rsid w:val="00C978DF"/>
    <w:rsid w:val="00C97B64"/>
    <w:rsid w:val="00C97CB3"/>
    <w:rsid w:val="00C97CC0"/>
    <w:rsid w:val="00CA0133"/>
    <w:rsid w:val="00CA03C3"/>
    <w:rsid w:val="00CA05CB"/>
    <w:rsid w:val="00CA0602"/>
    <w:rsid w:val="00CA061D"/>
    <w:rsid w:val="00CA06F9"/>
    <w:rsid w:val="00CA0E6E"/>
    <w:rsid w:val="00CA12F6"/>
    <w:rsid w:val="00CA142E"/>
    <w:rsid w:val="00CA1BAC"/>
    <w:rsid w:val="00CA1D2A"/>
    <w:rsid w:val="00CA1F34"/>
    <w:rsid w:val="00CA20EE"/>
    <w:rsid w:val="00CA24AB"/>
    <w:rsid w:val="00CA2C36"/>
    <w:rsid w:val="00CA2DC7"/>
    <w:rsid w:val="00CA2E25"/>
    <w:rsid w:val="00CA31E8"/>
    <w:rsid w:val="00CA32CB"/>
    <w:rsid w:val="00CA3B8D"/>
    <w:rsid w:val="00CA3BCA"/>
    <w:rsid w:val="00CA4231"/>
    <w:rsid w:val="00CA4350"/>
    <w:rsid w:val="00CA4446"/>
    <w:rsid w:val="00CA4531"/>
    <w:rsid w:val="00CA4628"/>
    <w:rsid w:val="00CA46B6"/>
    <w:rsid w:val="00CA4AA0"/>
    <w:rsid w:val="00CA527B"/>
    <w:rsid w:val="00CA57F7"/>
    <w:rsid w:val="00CA5D73"/>
    <w:rsid w:val="00CA5D9C"/>
    <w:rsid w:val="00CA5D9D"/>
    <w:rsid w:val="00CA5FFE"/>
    <w:rsid w:val="00CA62B1"/>
    <w:rsid w:val="00CA6740"/>
    <w:rsid w:val="00CA683C"/>
    <w:rsid w:val="00CA68E8"/>
    <w:rsid w:val="00CA692D"/>
    <w:rsid w:val="00CA70C1"/>
    <w:rsid w:val="00CA71C0"/>
    <w:rsid w:val="00CA7380"/>
    <w:rsid w:val="00CA73FB"/>
    <w:rsid w:val="00CA78A6"/>
    <w:rsid w:val="00CA7BC5"/>
    <w:rsid w:val="00CA7D85"/>
    <w:rsid w:val="00CB0697"/>
    <w:rsid w:val="00CB07F7"/>
    <w:rsid w:val="00CB0908"/>
    <w:rsid w:val="00CB09A9"/>
    <w:rsid w:val="00CB1142"/>
    <w:rsid w:val="00CB1906"/>
    <w:rsid w:val="00CB1911"/>
    <w:rsid w:val="00CB1A9E"/>
    <w:rsid w:val="00CB1B72"/>
    <w:rsid w:val="00CB249E"/>
    <w:rsid w:val="00CB249F"/>
    <w:rsid w:val="00CB24FD"/>
    <w:rsid w:val="00CB2675"/>
    <w:rsid w:val="00CB27A3"/>
    <w:rsid w:val="00CB29E2"/>
    <w:rsid w:val="00CB2C23"/>
    <w:rsid w:val="00CB2FA3"/>
    <w:rsid w:val="00CB391A"/>
    <w:rsid w:val="00CB3C61"/>
    <w:rsid w:val="00CB3E8C"/>
    <w:rsid w:val="00CB41FF"/>
    <w:rsid w:val="00CB45C7"/>
    <w:rsid w:val="00CB45D8"/>
    <w:rsid w:val="00CB46FD"/>
    <w:rsid w:val="00CB4DFB"/>
    <w:rsid w:val="00CB5099"/>
    <w:rsid w:val="00CB5226"/>
    <w:rsid w:val="00CB531E"/>
    <w:rsid w:val="00CB579D"/>
    <w:rsid w:val="00CB5C9B"/>
    <w:rsid w:val="00CB5CC1"/>
    <w:rsid w:val="00CB5E03"/>
    <w:rsid w:val="00CB6044"/>
    <w:rsid w:val="00CB6099"/>
    <w:rsid w:val="00CB60BC"/>
    <w:rsid w:val="00CB6201"/>
    <w:rsid w:val="00CB6439"/>
    <w:rsid w:val="00CB6687"/>
    <w:rsid w:val="00CB6821"/>
    <w:rsid w:val="00CB6B52"/>
    <w:rsid w:val="00CB6D0F"/>
    <w:rsid w:val="00CB7137"/>
    <w:rsid w:val="00CB73E5"/>
    <w:rsid w:val="00CB7427"/>
    <w:rsid w:val="00CC022D"/>
    <w:rsid w:val="00CC06D1"/>
    <w:rsid w:val="00CC085C"/>
    <w:rsid w:val="00CC0961"/>
    <w:rsid w:val="00CC0CE2"/>
    <w:rsid w:val="00CC0DA2"/>
    <w:rsid w:val="00CC179E"/>
    <w:rsid w:val="00CC18B9"/>
    <w:rsid w:val="00CC1FAF"/>
    <w:rsid w:val="00CC22BC"/>
    <w:rsid w:val="00CC232A"/>
    <w:rsid w:val="00CC372D"/>
    <w:rsid w:val="00CC3859"/>
    <w:rsid w:val="00CC4225"/>
    <w:rsid w:val="00CC4AB9"/>
    <w:rsid w:val="00CC532E"/>
    <w:rsid w:val="00CC5961"/>
    <w:rsid w:val="00CC5DE6"/>
    <w:rsid w:val="00CC6D9D"/>
    <w:rsid w:val="00CC6FE6"/>
    <w:rsid w:val="00CC7354"/>
    <w:rsid w:val="00CC7444"/>
    <w:rsid w:val="00CC7D07"/>
    <w:rsid w:val="00CC7E48"/>
    <w:rsid w:val="00CC7F57"/>
    <w:rsid w:val="00CD02B8"/>
    <w:rsid w:val="00CD02F0"/>
    <w:rsid w:val="00CD044D"/>
    <w:rsid w:val="00CD12A7"/>
    <w:rsid w:val="00CD13AE"/>
    <w:rsid w:val="00CD15A0"/>
    <w:rsid w:val="00CD1E93"/>
    <w:rsid w:val="00CD277E"/>
    <w:rsid w:val="00CD279B"/>
    <w:rsid w:val="00CD2873"/>
    <w:rsid w:val="00CD3449"/>
    <w:rsid w:val="00CD3535"/>
    <w:rsid w:val="00CD36EC"/>
    <w:rsid w:val="00CD4121"/>
    <w:rsid w:val="00CD424E"/>
    <w:rsid w:val="00CD42A9"/>
    <w:rsid w:val="00CD4334"/>
    <w:rsid w:val="00CD4936"/>
    <w:rsid w:val="00CD4F20"/>
    <w:rsid w:val="00CD4FDF"/>
    <w:rsid w:val="00CD562D"/>
    <w:rsid w:val="00CD5832"/>
    <w:rsid w:val="00CD5927"/>
    <w:rsid w:val="00CD5960"/>
    <w:rsid w:val="00CD5A7E"/>
    <w:rsid w:val="00CD5D85"/>
    <w:rsid w:val="00CD619A"/>
    <w:rsid w:val="00CD620E"/>
    <w:rsid w:val="00CD62B5"/>
    <w:rsid w:val="00CD6B5F"/>
    <w:rsid w:val="00CD76C5"/>
    <w:rsid w:val="00CD7778"/>
    <w:rsid w:val="00CD77FF"/>
    <w:rsid w:val="00CD7B5D"/>
    <w:rsid w:val="00CD7BEE"/>
    <w:rsid w:val="00CE0029"/>
    <w:rsid w:val="00CE0049"/>
    <w:rsid w:val="00CE052D"/>
    <w:rsid w:val="00CE057F"/>
    <w:rsid w:val="00CE085D"/>
    <w:rsid w:val="00CE08BD"/>
    <w:rsid w:val="00CE0BC6"/>
    <w:rsid w:val="00CE0E2D"/>
    <w:rsid w:val="00CE12CF"/>
    <w:rsid w:val="00CE15A4"/>
    <w:rsid w:val="00CE18F1"/>
    <w:rsid w:val="00CE26E1"/>
    <w:rsid w:val="00CE356D"/>
    <w:rsid w:val="00CE3769"/>
    <w:rsid w:val="00CE4010"/>
    <w:rsid w:val="00CE50AD"/>
    <w:rsid w:val="00CE562C"/>
    <w:rsid w:val="00CE57A3"/>
    <w:rsid w:val="00CE5A00"/>
    <w:rsid w:val="00CE5C84"/>
    <w:rsid w:val="00CE5D08"/>
    <w:rsid w:val="00CE5E1F"/>
    <w:rsid w:val="00CE6408"/>
    <w:rsid w:val="00CE68F2"/>
    <w:rsid w:val="00CE6D35"/>
    <w:rsid w:val="00CE72B3"/>
    <w:rsid w:val="00CE7386"/>
    <w:rsid w:val="00CE7923"/>
    <w:rsid w:val="00CE7BFB"/>
    <w:rsid w:val="00CE7C51"/>
    <w:rsid w:val="00CE7DC6"/>
    <w:rsid w:val="00CF0238"/>
    <w:rsid w:val="00CF0345"/>
    <w:rsid w:val="00CF0A63"/>
    <w:rsid w:val="00CF0CD8"/>
    <w:rsid w:val="00CF1251"/>
    <w:rsid w:val="00CF1503"/>
    <w:rsid w:val="00CF1637"/>
    <w:rsid w:val="00CF16A2"/>
    <w:rsid w:val="00CF17E9"/>
    <w:rsid w:val="00CF21AE"/>
    <w:rsid w:val="00CF240A"/>
    <w:rsid w:val="00CF2581"/>
    <w:rsid w:val="00CF28FF"/>
    <w:rsid w:val="00CF3313"/>
    <w:rsid w:val="00CF3620"/>
    <w:rsid w:val="00CF3C7A"/>
    <w:rsid w:val="00CF3DED"/>
    <w:rsid w:val="00CF3EF5"/>
    <w:rsid w:val="00CF4291"/>
    <w:rsid w:val="00CF4713"/>
    <w:rsid w:val="00CF4CCB"/>
    <w:rsid w:val="00CF5045"/>
    <w:rsid w:val="00CF5208"/>
    <w:rsid w:val="00CF526D"/>
    <w:rsid w:val="00CF5A54"/>
    <w:rsid w:val="00CF6064"/>
    <w:rsid w:val="00CF6291"/>
    <w:rsid w:val="00CF67FA"/>
    <w:rsid w:val="00CF6A9B"/>
    <w:rsid w:val="00CF6F7B"/>
    <w:rsid w:val="00CF7441"/>
    <w:rsid w:val="00CF75B1"/>
    <w:rsid w:val="00CF75F5"/>
    <w:rsid w:val="00CF76F5"/>
    <w:rsid w:val="00CF771A"/>
    <w:rsid w:val="00CF77B7"/>
    <w:rsid w:val="00D0016C"/>
    <w:rsid w:val="00D0026C"/>
    <w:rsid w:val="00D007D9"/>
    <w:rsid w:val="00D00E82"/>
    <w:rsid w:val="00D0136D"/>
    <w:rsid w:val="00D0181D"/>
    <w:rsid w:val="00D01978"/>
    <w:rsid w:val="00D019C5"/>
    <w:rsid w:val="00D01B5A"/>
    <w:rsid w:val="00D02335"/>
    <w:rsid w:val="00D0254C"/>
    <w:rsid w:val="00D029D1"/>
    <w:rsid w:val="00D02B28"/>
    <w:rsid w:val="00D02DED"/>
    <w:rsid w:val="00D02E7B"/>
    <w:rsid w:val="00D03014"/>
    <w:rsid w:val="00D0308D"/>
    <w:rsid w:val="00D030CC"/>
    <w:rsid w:val="00D031B1"/>
    <w:rsid w:val="00D039E5"/>
    <w:rsid w:val="00D03B41"/>
    <w:rsid w:val="00D03B72"/>
    <w:rsid w:val="00D03CCA"/>
    <w:rsid w:val="00D04052"/>
    <w:rsid w:val="00D0447E"/>
    <w:rsid w:val="00D049F2"/>
    <w:rsid w:val="00D04B52"/>
    <w:rsid w:val="00D04BEE"/>
    <w:rsid w:val="00D04DDC"/>
    <w:rsid w:val="00D051CF"/>
    <w:rsid w:val="00D05279"/>
    <w:rsid w:val="00D054F6"/>
    <w:rsid w:val="00D05895"/>
    <w:rsid w:val="00D05956"/>
    <w:rsid w:val="00D0606C"/>
    <w:rsid w:val="00D062D6"/>
    <w:rsid w:val="00D066F3"/>
    <w:rsid w:val="00D06800"/>
    <w:rsid w:val="00D068AA"/>
    <w:rsid w:val="00D068FF"/>
    <w:rsid w:val="00D06D16"/>
    <w:rsid w:val="00D07460"/>
    <w:rsid w:val="00D077E8"/>
    <w:rsid w:val="00D078CD"/>
    <w:rsid w:val="00D07A37"/>
    <w:rsid w:val="00D07FB8"/>
    <w:rsid w:val="00D1000F"/>
    <w:rsid w:val="00D1006B"/>
    <w:rsid w:val="00D1037B"/>
    <w:rsid w:val="00D104A2"/>
    <w:rsid w:val="00D113D9"/>
    <w:rsid w:val="00D113F1"/>
    <w:rsid w:val="00D115E1"/>
    <w:rsid w:val="00D1193B"/>
    <w:rsid w:val="00D119BD"/>
    <w:rsid w:val="00D11EAC"/>
    <w:rsid w:val="00D1200C"/>
    <w:rsid w:val="00D12375"/>
    <w:rsid w:val="00D12538"/>
    <w:rsid w:val="00D12BAF"/>
    <w:rsid w:val="00D13AA1"/>
    <w:rsid w:val="00D13CD5"/>
    <w:rsid w:val="00D1435D"/>
    <w:rsid w:val="00D146AF"/>
    <w:rsid w:val="00D1522A"/>
    <w:rsid w:val="00D153C7"/>
    <w:rsid w:val="00D1572C"/>
    <w:rsid w:val="00D15812"/>
    <w:rsid w:val="00D15C6E"/>
    <w:rsid w:val="00D1607D"/>
    <w:rsid w:val="00D16239"/>
    <w:rsid w:val="00D16389"/>
    <w:rsid w:val="00D165B6"/>
    <w:rsid w:val="00D165D0"/>
    <w:rsid w:val="00D169D7"/>
    <w:rsid w:val="00D169E1"/>
    <w:rsid w:val="00D16DF5"/>
    <w:rsid w:val="00D1710D"/>
    <w:rsid w:val="00D17AE0"/>
    <w:rsid w:val="00D17C5D"/>
    <w:rsid w:val="00D20190"/>
    <w:rsid w:val="00D20567"/>
    <w:rsid w:val="00D20674"/>
    <w:rsid w:val="00D20786"/>
    <w:rsid w:val="00D208C5"/>
    <w:rsid w:val="00D20ABD"/>
    <w:rsid w:val="00D20BC9"/>
    <w:rsid w:val="00D2146E"/>
    <w:rsid w:val="00D214EC"/>
    <w:rsid w:val="00D21D6D"/>
    <w:rsid w:val="00D22018"/>
    <w:rsid w:val="00D2204E"/>
    <w:rsid w:val="00D22431"/>
    <w:rsid w:val="00D228FE"/>
    <w:rsid w:val="00D229FF"/>
    <w:rsid w:val="00D2335D"/>
    <w:rsid w:val="00D23648"/>
    <w:rsid w:val="00D2367A"/>
    <w:rsid w:val="00D23688"/>
    <w:rsid w:val="00D23704"/>
    <w:rsid w:val="00D238EF"/>
    <w:rsid w:val="00D23AC4"/>
    <w:rsid w:val="00D23F09"/>
    <w:rsid w:val="00D23F94"/>
    <w:rsid w:val="00D24248"/>
    <w:rsid w:val="00D24297"/>
    <w:rsid w:val="00D242F8"/>
    <w:rsid w:val="00D24438"/>
    <w:rsid w:val="00D24756"/>
    <w:rsid w:val="00D247A8"/>
    <w:rsid w:val="00D250F0"/>
    <w:rsid w:val="00D25113"/>
    <w:rsid w:val="00D252FC"/>
    <w:rsid w:val="00D255AF"/>
    <w:rsid w:val="00D255EE"/>
    <w:rsid w:val="00D2586B"/>
    <w:rsid w:val="00D25BC4"/>
    <w:rsid w:val="00D2610C"/>
    <w:rsid w:val="00D26234"/>
    <w:rsid w:val="00D26B88"/>
    <w:rsid w:val="00D26BFD"/>
    <w:rsid w:val="00D26C04"/>
    <w:rsid w:val="00D270E6"/>
    <w:rsid w:val="00D27434"/>
    <w:rsid w:val="00D30541"/>
    <w:rsid w:val="00D305DB"/>
    <w:rsid w:val="00D30A94"/>
    <w:rsid w:val="00D314C1"/>
    <w:rsid w:val="00D318A9"/>
    <w:rsid w:val="00D31922"/>
    <w:rsid w:val="00D319CA"/>
    <w:rsid w:val="00D3239C"/>
    <w:rsid w:val="00D3252E"/>
    <w:rsid w:val="00D325D0"/>
    <w:rsid w:val="00D3298D"/>
    <w:rsid w:val="00D32FD7"/>
    <w:rsid w:val="00D331A7"/>
    <w:rsid w:val="00D336B2"/>
    <w:rsid w:val="00D3372F"/>
    <w:rsid w:val="00D34017"/>
    <w:rsid w:val="00D34886"/>
    <w:rsid w:val="00D35132"/>
    <w:rsid w:val="00D353CA"/>
    <w:rsid w:val="00D355ED"/>
    <w:rsid w:val="00D3563F"/>
    <w:rsid w:val="00D35BAC"/>
    <w:rsid w:val="00D35F06"/>
    <w:rsid w:val="00D36071"/>
    <w:rsid w:val="00D36247"/>
    <w:rsid w:val="00D36437"/>
    <w:rsid w:val="00D36466"/>
    <w:rsid w:val="00D36E3E"/>
    <w:rsid w:val="00D36FA6"/>
    <w:rsid w:val="00D37245"/>
    <w:rsid w:val="00D374A2"/>
    <w:rsid w:val="00D374DB"/>
    <w:rsid w:val="00D37AB1"/>
    <w:rsid w:val="00D4069C"/>
    <w:rsid w:val="00D4080F"/>
    <w:rsid w:val="00D40A8D"/>
    <w:rsid w:val="00D40FE2"/>
    <w:rsid w:val="00D41B0D"/>
    <w:rsid w:val="00D41C3B"/>
    <w:rsid w:val="00D41D0C"/>
    <w:rsid w:val="00D422AE"/>
    <w:rsid w:val="00D42A86"/>
    <w:rsid w:val="00D42D9D"/>
    <w:rsid w:val="00D431BC"/>
    <w:rsid w:val="00D434E9"/>
    <w:rsid w:val="00D43A19"/>
    <w:rsid w:val="00D43E99"/>
    <w:rsid w:val="00D44870"/>
    <w:rsid w:val="00D44D25"/>
    <w:rsid w:val="00D44D26"/>
    <w:rsid w:val="00D44FAD"/>
    <w:rsid w:val="00D45242"/>
    <w:rsid w:val="00D452C4"/>
    <w:rsid w:val="00D454EC"/>
    <w:rsid w:val="00D455C1"/>
    <w:rsid w:val="00D45A46"/>
    <w:rsid w:val="00D45B55"/>
    <w:rsid w:val="00D46038"/>
    <w:rsid w:val="00D460AF"/>
    <w:rsid w:val="00D4672A"/>
    <w:rsid w:val="00D469ED"/>
    <w:rsid w:val="00D46E7A"/>
    <w:rsid w:val="00D47356"/>
    <w:rsid w:val="00D477C7"/>
    <w:rsid w:val="00D478E6"/>
    <w:rsid w:val="00D47A4E"/>
    <w:rsid w:val="00D47B3B"/>
    <w:rsid w:val="00D47C3C"/>
    <w:rsid w:val="00D5062F"/>
    <w:rsid w:val="00D5089F"/>
    <w:rsid w:val="00D509C3"/>
    <w:rsid w:val="00D509C5"/>
    <w:rsid w:val="00D50B6F"/>
    <w:rsid w:val="00D50B7B"/>
    <w:rsid w:val="00D50FF1"/>
    <w:rsid w:val="00D511F2"/>
    <w:rsid w:val="00D51BA9"/>
    <w:rsid w:val="00D51D0A"/>
    <w:rsid w:val="00D51F72"/>
    <w:rsid w:val="00D5201E"/>
    <w:rsid w:val="00D5286F"/>
    <w:rsid w:val="00D52DE2"/>
    <w:rsid w:val="00D52E01"/>
    <w:rsid w:val="00D5306B"/>
    <w:rsid w:val="00D5309D"/>
    <w:rsid w:val="00D53699"/>
    <w:rsid w:val="00D539F7"/>
    <w:rsid w:val="00D53A8C"/>
    <w:rsid w:val="00D53FC7"/>
    <w:rsid w:val="00D54585"/>
    <w:rsid w:val="00D555B4"/>
    <w:rsid w:val="00D5592C"/>
    <w:rsid w:val="00D55D25"/>
    <w:rsid w:val="00D566AA"/>
    <w:rsid w:val="00D56A98"/>
    <w:rsid w:val="00D57470"/>
    <w:rsid w:val="00D574F7"/>
    <w:rsid w:val="00D5752B"/>
    <w:rsid w:val="00D57652"/>
    <w:rsid w:val="00D57DAC"/>
    <w:rsid w:val="00D60E26"/>
    <w:rsid w:val="00D60FDC"/>
    <w:rsid w:val="00D6169C"/>
    <w:rsid w:val="00D61C77"/>
    <w:rsid w:val="00D61CE8"/>
    <w:rsid w:val="00D61CF0"/>
    <w:rsid w:val="00D61D2C"/>
    <w:rsid w:val="00D61E38"/>
    <w:rsid w:val="00D61F4B"/>
    <w:rsid w:val="00D62585"/>
    <w:rsid w:val="00D62EE5"/>
    <w:rsid w:val="00D63568"/>
    <w:rsid w:val="00D640D5"/>
    <w:rsid w:val="00D6414F"/>
    <w:rsid w:val="00D64445"/>
    <w:rsid w:val="00D64824"/>
    <w:rsid w:val="00D64A95"/>
    <w:rsid w:val="00D64ACF"/>
    <w:rsid w:val="00D64CD9"/>
    <w:rsid w:val="00D64D97"/>
    <w:rsid w:val="00D65038"/>
    <w:rsid w:val="00D65275"/>
    <w:rsid w:val="00D657F7"/>
    <w:rsid w:val="00D65F2C"/>
    <w:rsid w:val="00D65F71"/>
    <w:rsid w:val="00D661DA"/>
    <w:rsid w:val="00D662BA"/>
    <w:rsid w:val="00D6641E"/>
    <w:rsid w:val="00D66DAC"/>
    <w:rsid w:val="00D673CA"/>
    <w:rsid w:val="00D6740D"/>
    <w:rsid w:val="00D67CE4"/>
    <w:rsid w:val="00D67D0C"/>
    <w:rsid w:val="00D67E9C"/>
    <w:rsid w:val="00D70C05"/>
    <w:rsid w:val="00D70FD2"/>
    <w:rsid w:val="00D7158D"/>
    <w:rsid w:val="00D716B7"/>
    <w:rsid w:val="00D71848"/>
    <w:rsid w:val="00D7185B"/>
    <w:rsid w:val="00D71A49"/>
    <w:rsid w:val="00D71A5F"/>
    <w:rsid w:val="00D71C78"/>
    <w:rsid w:val="00D72382"/>
    <w:rsid w:val="00D7263B"/>
    <w:rsid w:val="00D72648"/>
    <w:rsid w:val="00D7285E"/>
    <w:rsid w:val="00D72AC6"/>
    <w:rsid w:val="00D72F38"/>
    <w:rsid w:val="00D73240"/>
    <w:rsid w:val="00D734FF"/>
    <w:rsid w:val="00D74006"/>
    <w:rsid w:val="00D740C9"/>
    <w:rsid w:val="00D742E6"/>
    <w:rsid w:val="00D74544"/>
    <w:rsid w:val="00D7454A"/>
    <w:rsid w:val="00D7460A"/>
    <w:rsid w:val="00D749CD"/>
    <w:rsid w:val="00D74A9B"/>
    <w:rsid w:val="00D74BA6"/>
    <w:rsid w:val="00D74E1C"/>
    <w:rsid w:val="00D7504A"/>
    <w:rsid w:val="00D75637"/>
    <w:rsid w:val="00D75785"/>
    <w:rsid w:val="00D75B59"/>
    <w:rsid w:val="00D75C2D"/>
    <w:rsid w:val="00D75DB2"/>
    <w:rsid w:val="00D75DD3"/>
    <w:rsid w:val="00D7608A"/>
    <w:rsid w:val="00D761EF"/>
    <w:rsid w:val="00D76800"/>
    <w:rsid w:val="00D768C9"/>
    <w:rsid w:val="00D7693E"/>
    <w:rsid w:val="00D76DA6"/>
    <w:rsid w:val="00D76F97"/>
    <w:rsid w:val="00D772B8"/>
    <w:rsid w:val="00D7736E"/>
    <w:rsid w:val="00D776A8"/>
    <w:rsid w:val="00D7770F"/>
    <w:rsid w:val="00D7784E"/>
    <w:rsid w:val="00D77C7A"/>
    <w:rsid w:val="00D77D1B"/>
    <w:rsid w:val="00D77E86"/>
    <w:rsid w:val="00D77EE3"/>
    <w:rsid w:val="00D80617"/>
    <w:rsid w:val="00D8087A"/>
    <w:rsid w:val="00D80A75"/>
    <w:rsid w:val="00D80CBC"/>
    <w:rsid w:val="00D80EA7"/>
    <w:rsid w:val="00D80FFB"/>
    <w:rsid w:val="00D814C6"/>
    <w:rsid w:val="00D81568"/>
    <w:rsid w:val="00D81919"/>
    <w:rsid w:val="00D81A2F"/>
    <w:rsid w:val="00D821CA"/>
    <w:rsid w:val="00D822AB"/>
    <w:rsid w:val="00D824C2"/>
    <w:rsid w:val="00D828D3"/>
    <w:rsid w:val="00D8292C"/>
    <w:rsid w:val="00D82B23"/>
    <w:rsid w:val="00D82FFB"/>
    <w:rsid w:val="00D83564"/>
    <w:rsid w:val="00D83BF7"/>
    <w:rsid w:val="00D84212"/>
    <w:rsid w:val="00D8421D"/>
    <w:rsid w:val="00D8473B"/>
    <w:rsid w:val="00D8493C"/>
    <w:rsid w:val="00D8501D"/>
    <w:rsid w:val="00D853C9"/>
    <w:rsid w:val="00D85755"/>
    <w:rsid w:val="00D8594A"/>
    <w:rsid w:val="00D859C4"/>
    <w:rsid w:val="00D85C87"/>
    <w:rsid w:val="00D85FDB"/>
    <w:rsid w:val="00D861C2"/>
    <w:rsid w:val="00D86343"/>
    <w:rsid w:val="00D873D1"/>
    <w:rsid w:val="00D87A7A"/>
    <w:rsid w:val="00D87F68"/>
    <w:rsid w:val="00D90387"/>
    <w:rsid w:val="00D9038E"/>
    <w:rsid w:val="00D903D9"/>
    <w:rsid w:val="00D90451"/>
    <w:rsid w:val="00D906CB"/>
    <w:rsid w:val="00D907A0"/>
    <w:rsid w:val="00D907D1"/>
    <w:rsid w:val="00D90846"/>
    <w:rsid w:val="00D91334"/>
    <w:rsid w:val="00D9134A"/>
    <w:rsid w:val="00D9159A"/>
    <w:rsid w:val="00D9173E"/>
    <w:rsid w:val="00D917D3"/>
    <w:rsid w:val="00D917D4"/>
    <w:rsid w:val="00D91A49"/>
    <w:rsid w:val="00D91B3A"/>
    <w:rsid w:val="00D91F72"/>
    <w:rsid w:val="00D92EC0"/>
    <w:rsid w:val="00D92F4E"/>
    <w:rsid w:val="00D93AAF"/>
    <w:rsid w:val="00D93D43"/>
    <w:rsid w:val="00D941FD"/>
    <w:rsid w:val="00D94348"/>
    <w:rsid w:val="00D945CD"/>
    <w:rsid w:val="00D9462F"/>
    <w:rsid w:val="00D948EB"/>
    <w:rsid w:val="00D94914"/>
    <w:rsid w:val="00D95574"/>
    <w:rsid w:val="00D956EE"/>
    <w:rsid w:val="00D957E2"/>
    <w:rsid w:val="00D95A90"/>
    <w:rsid w:val="00D95B3A"/>
    <w:rsid w:val="00D95C59"/>
    <w:rsid w:val="00D96018"/>
    <w:rsid w:val="00D960AA"/>
    <w:rsid w:val="00D96748"/>
    <w:rsid w:val="00D969F7"/>
    <w:rsid w:val="00D96A5F"/>
    <w:rsid w:val="00D96ACC"/>
    <w:rsid w:val="00D96BA6"/>
    <w:rsid w:val="00D96C9E"/>
    <w:rsid w:val="00D96E25"/>
    <w:rsid w:val="00D97027"/>
    <w:rsid w:val="00D97240"/>
    <w:rsid w:val="00D97A2C"/>
    <w:rsid w:val="00D97FD0"/>
    <w:rsid w:val="00DA0023"/>
    <w:rsid w:val="00DA0063"/>
    <w:rsid w:val="00DA0202"/>
    <w:rsid w:val="00DA0354"/>
    <w:rsid w:val="00DA070C"/>
    <w:rsid w:val="00DA0927"/>
    <w:rsid w:val="00DA0E68"/>
    <w:rsid w:val="00DA0FAC"/>
    <w:rsid w:val="00DA1516"/>
    <w:rsid w:val="00DA16C4"/>
    <w:rsid w:val="00DA177B"/>
    <w:rsid w:val="00DA1ABA"/>
    <w:rsid w:val="00DA1DF4"/>
    <w:rsid w:val="00DA2331"/>
    <w:rsid w:val="00DA2638"/>
    <w:rsid w:val="00DA26FF"/>
    <w:rsid w:val="00DA2A8D"/>
    <w:rsid w:val="00DA2B68"/>
    <w:rsid w:val="00DA2DE9"/>
    <w:rsid w:val="00DA2F25"/>
    <w:rsid w:val="00DA3278"/>
    <w:rsid w:val="00DA3541"/>
    <w:rsid w:val="00DA3705"/>
    <w:rsid w:val="00DA3878"/>
    <w:rsid w:val="00DA3AC9"/>
    <w:rsid w:val="00DA3B9C"/>
    <w:rsid w:val="00DA404F"/>
    <w:rsid w:val="00DA4727"/>
    <w:rsid w:val="00DA48C1"/>
    <w:rsid w:val="00DA4B5D"/>
    <w:rsid w:val="00DA55EB"/>
    <w:rsid w:val="00DA56FB"/>
    <w:rsid w:val="00DA572E"/>
    <w:rsid w:val="00DA5774"/>
    <w:rsid w:val="00DA5B9F"/>
    <w:rsid w:val="00DA600A"/>
    <w:rsid w:val="00DA6744"/>
    <w:rsid w:val="00DA6E90"/>
    <w:rsid w:val="00DA6EB2"/>
    <w:rsid w:val="00DA6F01"/>
    <w:rsid w:val="00DA7049"/>
    <w:rsid w:val="00DA75AB"/>
    <w:rsid w:val="00DA77E6"/>
    <w:rsid w:val="00DA7821"/>
    <w:rsid w:val="00DB0117"/>
    <w:rsid w:val="00DB01B1"/>
    <w:rsid w:val="00DB0710"/>
    <w:rsid w:val="00DB0A94"/>
    <w:rsid w:val="00DB106B"/>
    <w:rsid w:val="00DB1391"/>
    <w:rsid w:val="00DB15DF"/>
    <w:rsid w:val="00DB16FB"/>
    <w:rsid w:val="00DB1C6C"/>
    <w:rsid w:val="00DB1D5F"/>
    <w:rsid w:val="00DB1DCC"/>
    <w:rsid w:val="00DB2394"/>
    <w:rsid w:val="00DB2614"/>
    <w:rsid w:val="00DB27ED"/>
    <w:rsid w:val="00DB27FD"/>
    <w:rsid w:val="00DB292E"/>
    <w:rsid w:val="00DB2E57"/>
    <w:rsid w:val="00DB2F0D"/>
    <w:rsid w:val="00DB328A"/>
    <w:rsid w:val="00DB35D7"/>
    <w:rsid w:val="00DB384D"/>
    <w:rsid w:val="00DB3915"/>
    <w:rsid w:val="00DB3DE3"/>
    <w:rsid w:val="00DB4046"/>
    <w:rsid w:val="00DB4747"/>
    <w:rsid w:val="00DB4978"/>
    <w:rsid w:val="00DB4BC0"/>
    <w:rsid w:val="00DB4C4E"/>
    <w:rsid w:val="00DB4DB1"/>
    <w:rsid w:val="00DB4EAA"/>
    <w:rsid w:val="00DB4F6C"/>
    <w:rsid w:val="00DB51A6"/>
    <w:rsid w:val="00DB5380"/>
    <w:rsid w:val="00DB5485"/>
    <w:rsid w:val="00DB5952"/>
    <w:rsid w:val="00DB5BB9"/>
    <w:rsid w:val="00DB5BC0"/>
    <w:rsid w:val="00DB5FDA"/>
    <w:rsid w:val="00DB5FDD"/>
    <w:rsid w:val="00DB611E"/>
    <w:rsid w:val="00DB6457"/>
    <w:rsid w:val="00DB6E79"/>
    <w:rsid w:val="00DB753A"/>
    <w:rsid w:val="00DB769E"/>
    <w:rsid w:val="00DB79DA"/>
    <w:rsid w:val="00DB7AB2"/>
    <w:rsid w:val="00DB7B3B"/>
    <w:rsid w:val="00DB7CC6"/>
    <w:rsid w:val="00DB7F34"/>
    <w:rsid w:val="00DB7F54"/>
    <w:rsid w:val="00DC0229"/>
    <w:rsid w:val="00DC087A"/>
    <w:rsid w:val="00DC093B"/>
    <w:rsid w:val="00DC13CC"/>
    <w:rsid w:val="00DC14D2"/>
    <w:rsid w:val="00DC186A"/>
    <w:rsid w:val="00DC1CA3"/>
    <w:rsid w:val="00DC20A5"/>
    <w:rsid w:val="00DC24AA"/>
    <w:rsid w:val="00DC2508"/>
    <w:rsid w:val="00DC2600"/>
    <w:rsid w:val="00DC27A2"/>
    <w:rsid w:val="00DC29F4"/>
    <w:rsid w:val="00DC321D"/>
    <w:rsid w:val="00DC3303"/>
    <w:rsid w:val="00DC331E"/>
    <w:rsid w:val="00DC3373"/>
    <w:rsid w:val="00DC3408"/>
    <w:rsid w:val="00DC353F"/>
    <w:rsid w:val="00DC369E"/>
    <w:rsid w:val="00DC4341"/>
    <w:rsid w:val="00DC46FF"/>
    <w:rsid w:val="00DC4779"/>
    <w:rsid w:val="00DC4855"/>
    <w:rsid w:val="00DC48E7"/>
    <w:rsid w:val="00DC4A6B"/>
    <w:rsid w:val="00DC4A9A"/>
    <w:rsid w:val="00DC4CB9"/>
    <w:rsid w:val="00DC501F"/>
    <w:rsid w:val="00DC50F3"/>
    <w:rsid w:val="00DC56D1"/>
    <w:rsid w:val="00DC5D17"/>
    <w:rsid w:val="00DC64D0"/>
    <w:rsid w:val="00DC66A5"/>
    <w:rsid w:val="00DC66AF"/>
    <w:rsid w:val="00DC6B1E"/>
    <w:rsid w:val="00DC7082"/>
    <w:rsid w:val="00DC715B"/>
    <w:rsid w:val="00DC73F8"/>
    <w:rsid w:val="00DC783F"/>
    <w:rsid w:val="00DC7B4C"/>
    <w:rsid w:val="00DC7BC0"/>
    <w:rsid w:val="00DD0058"/>
    <w:rsid w:val="00DD029E"/>
    <w:rsid w:val="00DD0461"/>
    <w:rsid w:val="00DD0837"/>
    <w:rsid w:val="00DD0B6B"/>
    <w:rsid w:val="00DD0D04"/>
    <w:rsid w:val="00DD10C5"/>
    <w:rsid w:val="00DD17C6"/>
    <w:rsid w:val="00DD1938"/>
    <w:rsid w:val="00DD194E"/>
    <w:rsid w:val="00DD19F0"/>
    <w:rsid w:val="00DD257A"/>
    <w:rsid w:val="00DD27FB"/>
    <w:rsid w:val="00DD28E7"/>
    <w:rsid w:val="00DD2CB4"/>
    <w:rsid w:val="00DD2EC0"/>
    <w:rsid w:val="00DD3276"/>
    <w:rsid w:val="00DD3466"/>
    <w:rsid w:val="00DD34F0"/>
    <w:rsid w:val="00DD3B10"/>
    <w:rsid w:val="00DD3B9B"/>
    <w:rsid w:val="00DD4221"/>
    <w:rsid w:val="00DD43FE"/>
    <w:rsid w:val="00DD4435"/>
    <w:rsid w:val="00DD46A5"/>
    <w:rsid w:val="00DD4882"/>
    <w:rsid w:val="00DD48FA"/>
    <w:rsid w:val="00DD4985"/>
    <w:rsid w:val="00DD4C0E"/>
    <w:rsid w:val="00DD4D3D"/>
    <w:rsid w:val="00DD50C8"/>
    <w:rsid w:val="00DD58D9"/>
    <w:rsid w:val="00DD5D39"/>
    <w:rsid w:val="00DD5E01"/>
    <w:rsid w:val="00DD62A2"/>
    <w:rsid w:val="00DD630D"/>
    <w:rsid w:val="00DD64C3"/>
    <w:rsid w:val="00DD68D1"/>
    <w:rsid w:val="00DD69A2"/>
    <w:rsid w:val="00DD7212"/>
    <w:rsid w:val="00DD7801"/>
    <w:rsid w:val="00DD7F18"/>
    <w:rsid w:val="00DE0115"/>
    <w:rsid w:val="00DE03BF"/>
    <w:rsid w:val="00DE05BD"/>
    <w:rsid w:val="00DE061D"/>
    <w:rsid w:val="00DE08D7"/>
    <w:rsid w:val="00DE08EB"/>
    <w:rsid w:val="00DE0B86"/>
    <w:rsid w:val="00DE0E87"/>
    <w:rsid w:val="00DE171A"/>
    <w:rsid w:val="00DE1C91"/>
    <w:rsid w:val="00DE1CA8"/>
    <w:rsid w:val="00DE1CFF"/>
    <w:rsid w:val="00DE1D2F"/>
    <w:rsid w:val="00DE29E1"/>
    <w:rsid w:val="00DE3542"/>
    <w:rsid w:val="00DE376E"/>
    <w:rsid w:val="00DE383E"/>
    <w:rsid w:val="00DE3C32"/>
    <w:rsid w:val="00DE3FC6"/>
    <w:rsid w:val="00DE46F1"/>
    <w:rsid w:val="00DE476A"/>
    <w:rsid w:val="00DE4B0C"/>
    <w:rsid w:val="00DE57BC"/>
    <w:rsid w:val="00DE57F9"/>
    <w:rsid w:val="00DE5BC2"/>
    <w:rsid w:val="00DE5C12"/>
    <w:rsid w:val="00DE6018"/>
    <w:rsid w:val="00DE62BE"/>
    <w:rsid w:val="00DE637D"/>
    <w:rsid w:val="00DE64EB"/>
    <w:rsid w:val="00DE7337"/>
    <w:rsid w:val="00DE7397"/>
    <w:rsid w:val="00DE79F5"/>
    <w:rsid w:val="00DE7A34"/>
    <w:rsid w:val="00DE7C22"/>
    <w:rsid w:val="00DE7FB5"/>
    <w:rsid w:val="00DF0029"/>
    <w:rsid w:val="00DF03DB"/>
    <w:rsid w:val="00DF0764"/>
    <w:rsid w:val="00DF127E"/>
    <w:rsid w:val="00DF1978"/>
    <w:rsid w:val="00DF1F07"/>
    <w:rsid w:val="00DF209F"/>
    <w:rsid w:val="00DF235D"/>
    <w:rsid w:val="00DF2433"/>
    <w:rsid w:val="00DF2ED1"/>
    <w:rsid w:val="00DF3248"/>
    <w:rsid w:val="00DF3477"/>
    <w:rsid w:val="00DF383C"/>
    <w:rsid w:val="00DF3B0C"/>
    <w:rsid w:val="00DF47D5"/>
    <w:rsid w:val="00DF4BA2"/>
    <w:rsid w:val="00DF5454"/>
    <w:rsid w:val="00DF58A5"/>
    <w:rsid w:val="00DF5B72"/>
    <w:rsid w:val="00DF5DC7"/>
    <w:rsid w:val="00DF6649"/>
    <w:rsid w:val="00DF69B7"/>
    <w:rsid w:val="00DF6C85"/>
    <w:rsid w:val="00DF6DFE"/>
    <w:rsid w:val="00DF6EA8"/>
    <w:rsid w:val="00DF6F24"/>
    <w:rsid w:val="00DF6F61"/>
    <w:rsid w:val="00DF74FD"/>
    <w:rsid w:val="00DF7B21"/>
    <w:rsid w:val="00DF7D3E"/>
    <w:rsid w:val="00E0017B"/>
    <w:rsid w:val="00E006FD"/>
    <w:rsid w:val="00E00BA8"/>
    <w:rsid w:val="00E00CE2"/>
    <w:rsid w:val="00E00F5D"/>
    <w:rsid w:val="00E010A4"/>
    <w:rsid w:val="00E017EF"/>
    <w:rsid w:val="00E0199F"/>
    <w:rsid w:val="00E01CDA"/>
    <w:rsid w:val="00E02084"/>
    <w:rsid w:val="00E0221B"/>
    <w:rsid w:val="00E02315"/>
    <w:rsid w:val="00E02365"/>
    <w:rsid w:val="00E024F4"/>
    <w:rsid w:val="00E0281E"/>
    <w:rsid w:val="00E028BA"/>
    <w:rsid w:val="00E02A50"/>
    <w:rsid w:val="00E02F29"/>
    <w:rsid w:val="00E031C1"/>
    <w:rsid w:val="00E03A18"/>
    <w:rsid w:val="00E03C55"/>
    <w:rsid w:val="00E0413D"/>
    <w:rsid w:val="00E04488"/>
    <w:rsid w:val="00E045EF"/>
    <w:rsid w:val="00E0469D"/>
    <w:rsid w:val="00E047B7"/>
    <w:rsid w:val="00E05821"/>
    <w:rsid w:val="00E05A61"/>
    <w:rsid w:val="00E05EDD"/>
    <w:rsid w:val="00E06106"/>
    <w:rsid w:val="00E06128"/>
    <w:rsid w:val="00E06262"/>
    <w:rsid w:val="00E06477"/>
    <w:rsid w:val="00E0669F"/>
    <w:rsid w:val="00E0670A"/>
    <w:rsid w:val="00E06CE6"/>
    <w:rsid w:val="00E06DF5"/>
    <w:rsid w:val="00E07127"/>
    <w:rsid w:val="00E074B5"/>
    <w:rsid w:val="00E0750F"/>
    <w:rsid w:val="00E07773"/>
    <w:rsid w:val="00E10292"/>
    <w:rsid w:val="00E1040D"/>
    <w:rsid w:val="00E1074D"/>
    <w:rsid w:val="00E10771"/>
    <w:rsid w:val="00E107D4"/>
    <w:rsid w:val="00E10A35"/>
    <w:rsid w:val="00E10EB6"/>
    <w:rsid w:val="00E10F8C"/>
    <w:rsid w:val="00E11063"/>
    <w:rsid w:val="00E1138A"/>
    <w:rsid w:val="00E11610"/>
    <w:rsid w:val="00E11C0E"/>
    <w:rsid w:val="00E1211D"/>
    <w:rsid w:val="00E12585"/>
    <w:rsid w:val="00E12AC1"/>
    <w:rsid w:val="00E12ACF"/>
    <w:rsid w:val="00E12B93"/>
    <w:rsid w:val="00E13661"/>
    <w:rsid w:val="00E13804"/>
    <w:rsid w:val="00E1382E"/>
    <w:rsid w:val="00E13D27"/>
    <w:rsid w:val="00E13D41"/>
    <w:rsid w:val="00E14306"/>
    <w:rsid w:val="00E149E9"/>
    <w:rsid w:val="00E14A73"/>
    <w:rsid w:val="00E14AAC"/>
    <w:rsid w:val="00E1517C"/>
    <w:rsid w:val="00E153C9"/>
    <w:rsid w:val="00E155FA"/>
    <w:rsid w:val="00E156A9"/>
    <w:rsid w:val="00E157F3"/>
    <w:rsid w:val="00E15847"/>
    <w:rsid w:val="00E16208"/>
    <w:rsid w:val="00E16504"/>
    <w:rsid w:val="00E165C2"/>
    <w:rsid w:val="00E16684"/>
    <w:rsid w:val="00E16726"/>
    <w:rsid w:val="00E1718F"/>
    <w:rsid w:val="00E173AB"/>
    <w:rsid w:val="00E1780D"/>
    <w:rsid w:val="00E20104"/>
    <w:rsid w:val="00E20427"/>
    <w:rsid w:val="00E2087E"/>
    <w:rsid w:val="00E20F1E"/>
    <w:rsid w:val="00E2112C"/>
    <w:rsid w:val="00E21171"/>
    <w:rsid w:val="00E212EB"/>
    <w:rsid w:val="00E21320"/>
    <w:rsid w:val="00E2179E"/>
    <w:rsid w:val="00E21F12"/>
    <w:rsid w:val="00E21F81"/>
    <w:rsid w:val="00E2241A"/>
    <w:rsid w:val="00E2277B"/>
    <w:rsid w:val="00E2279F"/>
    <w:rsid w:val="00E22B22"/>
    <w:rsid w:val="00E231AB"/>
    <w:rsid w:val="00E23440"/>
    <w:rsid w:val="00E23D6C"/>
    <w:rsid w:val="00E245DB"/>
    <w:rsid w:val="00E24797"/>
    <w:rsid w:val="00E24B02"/>
    <w:rsid w:val="00E24B47"/>
    <w:rsid w:val="00E256A6"/>
    <w:rsid w:val="00E261D7"/>
    <w:rsid w:val="00E2631E"/>
    <w:rsid w:val="00E26655"/>
    <w:rsid w:val="00E2666B"/>
    <w:rsid w:val="00E2676C"/>
    <w:rsid w:val="00E26A25"/>
    <w:rsid w:val="00E26D98"/>
    <w:rsid w:val="00E278D6"/>
    <w:rsid w:val="00E30615"/>
    <w:rsid w:val="00E30BD3"/>
    <w:rsid w:val="00E31B3C"/>
    <w:rsid w:val="00E31CDB"/>
    <w:rsid w:val="00E31ED7"/>
    <w:rsid w:val="00E32194"/>
    <w:rsid w:val="00E3273A"/>
    <w:rsid w:val="00E32751"/>
    <w:rsid w:val="00E329BF"/>
    <w:rsid w:val="00E32BE3"/>
    <w:rsid w:val="00E32C0B"/>
    <w:rsid w:val="00E3302A"/>
    <w:rsid w:val="00E3313E"/>
    <w:rsid w:val="00E33524"/>
    <w:rsid w:val="00E336B0"/>
    <w:rsid w:val="00E337D2"/>
    <w:rsid w:val="00E33954"/>
    <w:rsid w:val="00E339BF"/>
    <w:rsid w:val="00E339EE"/>
    <w:rsid w:val="00E33C97"/>
    <w:rsid w:val="00E3405F"/>
    <w:rsid w:val="00E3426C"/>
    <w:rsid w:val="00E34477"/>
    <w:rsid w:val="00E345B6"/>
    <w:rsid w:val="00E34699"/>
    <w:rsid w:val="00E346DD"/>
    <w:rsid w:val="00E34B6A"/>
    <w:rsid w:val="00E34C96"/>
    <w:rsid w:val="00E35840"/>
    <w:rsid w:val="00E35A17"/>
    <w:rsid w:val="00E35CE7"/>
    <w:rsid w:val="00E3613B"/>
    <w:rsid w:val="00E364FE"/>
    <w:rsid w:val="00E36616"/>
    <w:rsid w:val="00E369B6"/>
    <w:rsid w:val="00E36AFD"/>
    <w:rsid w:val="00E36D9A"/>
    <w:rsid w:val="00E36E92"/>
    <w:rsid w:val="00E371E9"/>
    <w:rsid w:val="00E37782"/>
    <w:rsid w:val="00E37BCE"/>
    <w:rsid w:val="00E4050E"/>
    <w:rsid w:val="00E405FF"/>
    <w:rsid w:val="00E40ADE"/>
    <w:rsid w:val="00E4140E"/>
    <w:rsid w:val="00E41709"/>
    <w:rsid w:val="00E41C77"/>
    <w:rsid w:val="00E42AA9"/>
    <w:rsid w:val="00E43221"/>
    <w:rsid w:val="00E43368"/>
    <w:rsid w:val="00E43576"/>
    <w:rsid w:val="00E435FD"/>
    <w:rsid w:val="00E436F7"/>
    <w:rsid w:val="00E43BB4"/>
    <w:rsid w:val="00E43CBB"/>
    <w:rsid w:val="00E44523"/>
    <w:rsid w:val="00E4480F"/>
    <w:rsid w:val="00E453DD"/>
    <w:rsid w:val="00E45EF0"/>
    <w:rsid w:val="00E4634C"/>
    <w:rsid w:val="00E46B32"/>
    <w:rsid w:val="00E46BD7"/>
    <w:rsid w:val="00E46C80"/>
    <w:rsid w:val="00E475FB"/>
    <w:rsid w:val="00E50365"/>
    <w:rsid w:val="00E5053B"/>
    <w:rsid w:val="00E50C7C"/>
    <w:rsid w:val="00E5115E"/>
    <w:rsid w:val="00E51B83"/>
    <w:rsid w:val="00E51F95"/>
    <w:rsid w:val="00E5249C"/>
    <w:rsid w:val="00E525CC"/>
    <w:rsid w:val="00E52AC2"/>
    <w:rsid w:val="00E531BB"/>
    <w:rsid w:val="00E53AE8"/>
    <w:rsid w:val="00E53BC9"/>
    <w:rsid w:val="00E53BD9"/>
    <w:rsid w:val="00E54C0C"/>
    <w:rsid w:val="00E54C37"/>
    <w:rsid w:val="00E562CA"/>
    <w:rsid w:val="00E5681D"/>
    <w:rsid w:val="00E570F4"/>
    <w:rsid w:val="00E572E8"/>
    <w:rsid w:val="00E573E8"/>
    <w:rsid w:val="00E5757A"/>
    <w:rsid w:val="00E576A6"/>
    <w:rsid w:val="00E57FB2"/>
    <w:rsid w:val="00E5E577"/>
    <w:rsid w:val="00E602E9"/>
    <w:rsid w:val="00E6092A"/>
    <w:rsid w:val="00E6115B"/>
    <w:rsid w:val="00E6192B"/>
    <w:rsid w:val="00E62170"/>
    <w:rsid w:val="00E62371"/>
    <w:rsid w:val="00E62743"/>
    <w:rsid w:val="00E6290F"/>
    <w:rsid w:val="00E62B3E"/>
    <w:rsid w:val="00E63122"/>
    <w:rsid w:val="00E63349"/>
    <w:rsid w:val="00E63573"/>
    <w:rsid w:val="00E6389C"/>
    <w:rsid w:val="00E63A41"/>
    <w:rsid w:val="00E63D09"/>
    <w:rsid w:val="00E6411C"/>
    <w:rsid w:val="00E641E7"/>
    <w:rsid w:val="00E642B3"/>
    <w:rsid w:val="00E64510"/>
    <w:rsid w:val="00E64715"/>
    <w:rsid w:val="00E64763"/>
    <w:rsid w:val="00E653FD"/>
    <w:rsid w:val="00E6550B"/>
    <w:rsid w:val="00E65766"/>
    <w:rsid w:val="00E65816"/>
    <w:rsid w:val="00E65A08"/>
    <w:rsid w:val="00E65B10"/>
    <w:rsid w:val="00E65D55"/>
    <w:rsid w:val="00E65E81"/>
    <w:rsid w:val="00E66117"/>
    <w:rsid w:val="00E661FF"/>
    <w:rsid w:val="00E666C6"/>
    <w:rsid w:val="00E66730"/>
    <w:rsid w:val="00E667BE"/>
    <w:rsid w:val="00E66DAA"/>
    <w:rsid w:val="00E670C0"/>
    <w:rsid w:val="00E671D5"/>
    <w:rsid w:val="00E6726A"/>
    <w:rsid w:val="00E675A7"/>
    <w:rsid w:val="00E677B8"/>
    <w:rsid w:val="00E67B43"/>
    <w:rsid w:val="00E67DF0"/>
    <w:rsid w:val="00E70753"/>
    <w:rsid w:val="00E70E62"/>
    <w:rsid w:val="00E70FA1"/>
    <w:rsid w:val="00E71149"/>
    <w:rsid w:val="00E71AB2"/>
    <w:rsid w:val="00E71ECA"/>
    <w:rsid w:val="00E721A4"/>
    <w:rsid w:val="00E72327"/>
    <w:rsid w:val="00E724A0"/>
    <w:rsid w:val="00E725C9"/>
    <w:rsid w:val="00E72F65"/>
    <w:rsid w:val="00E7319A"/>
    <w:rsid w:val="00E73278"/>
    <w:rsid w:val="00E73872"/>
    <w:rsid w:val="00E741B7"/>
    <w:rsid w:val="00E74227"/>
    <w:rsid w:val="00E74644"/>
    <w:rsid w:val="00E746BA"/>
    <w:rsid w:val="00E74BCA"/>
    <w:rsid w:val="00E751E2"/>
    <w:rsid w:val="00E754DA"/>
    <w:rsid w:val="00E75594"/>
    <w:rsid w:val="00E75811"/>
    <w:rsid w:val="00E76696"/>
    <w:rsid w:val="00E769A1"/>
    <w:rsid w:val="00E76C4F"/>
    <w:rsid w:val="00E76C79"/>
    <w:rsid w:val="00E77208"/>
    <w:rsid w:val="00E77216"/>
    <w:rsid w:val="00E772F6"/>
    <w:rsid w:val="00E7751C"/>
    <w:rsid w:val="00E77812"/>
    <w:rsid w:val="00E80636"/>
    <w:rsid w:val="00E80866"/>
    <w:rsid w:val="00E808E7"/>
    <w:rsid w:val="00E80BF7"/>
    <w:rsid w:val="00E80DE0"/>
    <w:rsid w:val="00E81872"/>
    <w:rsid w:val="00E81BD4"/>
    <w:rsid w:val="00E81C30"/>
    <w:rsid w:val="00E82384"/>
    <w:rsid w:val="00E82B68"/>
    <w:rsid w:val="00E82CCA"/>
    <w:rsid w:val="00E82D9B"/>
    <w:rsid w:val="00E83161"/>
    <w:rsid w:val="00E83552"/>
    <w:rsid w:val="00E83C07"/>
    <w:rsid w:val="00E83D68"/>
    <w:rsid w:val="00E8406E"/>
    <w:rsid w:val="00E841C2"/>
    <w:rsid w:val="00E84A4D"/>
    <w:rsid w:val="00E84AA3"/>
    <w:rsid w:val="00E84D48"/>
    <w:rsid w:val="00E84F77"/>
    <w:rsid w:val="00E852F7"/>
    <w:rsid w:val="00E85E68"/>
    <w:rsid w:val="00E85EEA"/>
    <w:rsid w:val="00E85F60"/>
    <w:rsid w:val="00E8602F"/>
    <w:rsid w:val="00E862DD"/>
    <w:rsid w:val="00E86428"/>
    <w:rsid w:val="00E864F8"/>
    <w:rsid w:val="00E8666C"/>
    <w:rsid w:val="00E866B4"/>
    <w:rsid w:val="00E86A0A"/>
    <w:rsid w:val="00E86DA7"/>
    <w:rsid w:val="00E86E1B"/>
    <w:rsid w:val="00E87264"/>
    <w:rsid w:val="00E90077"/>
    <w:rsid w:val="00E9045F"/>
    <w:rsid w:val="00E90550"/>
    <w:rsid w:val="00E9075C"/>
    <w:rsid w:val="00E90962"/>
    <w:rsid w:val="00E90A7C"/>
    <w:rsid w:val="00E90C01"/>
    <w:rsid w:val="00E90C97"/>
    <w:rsid w:val="00E90ED3"/>
    <w:rsid w:val="00E91128"/>
    <w:rsid w:val="00E91C11"/>
    <w:rsid w:val="00E91FD2"/>
    <w:rsid w:val="00E92183"/>
    <w:rsid w:val="00E921DD"/>
    <w:rsid w:val="00E926A0"/>
    <w:rsid w:val="00E9285D"/>
    <w:rsid w:val="00E928B7"/>
    <w:rsid w:val="00E92B23"/>
    <w:rsid w:val="00E92C34"/>
    <w:rsid w:val="00E92D2E"/>
    <w:rsid w:val="00E932AC"/>
    <w:rsid w:val="00E9362D"/>
    <w:rsid w:val="00E93B4A"/>
    <w:rsid w:val="00E93D58"/>
    <w:rsid w:val="00E93E24"/>
    <w:rsid w:val="00E94202"/>
    <w:rsid w:val="00E94618"/>
    <w:rsid w:val="00E94724"/>
    <w:rsid w:val="00E94747"/>
    <w:rsid w:val="00E94829"/>
    <w:rsid w:val="00E94C4E"/>
    <w:rsid w:val="00E94E0A"/>
    <w:rsid w:val="00E94F2B"/>
    <w:rsid w:val="00E9575D"/>
    <w:rsid w:val="00E958FD"/>
    <w:rsid w:val="00E95FD3"/>
    <w:rsid w:val="00E9610C"/>
    <w:rsid w:val="00E961F0"/>
    <w:rsid w:val="00E96337"/>
    <w:rsid w:val="00E96C3D"/>
    <w:rsid w:val="00E96CA9"/>
    <w:rsid w:val="00E97719"/>
    <w:rsid w:val="00EA0292"/>
    <w:rsid w:val="00EA0C4D"/>
    <w:rsid w:val="00EA166F"/>
    <w:rsid w:val="00EA1889"/>
    <w:rsid w:val="00EA1C2C"/>
    <w:rsid w:val="00EA1FD5"/>
    <w:rsid w:val="00EA24E5"/>
    <w:rsid w:val="00EA27F6"/>
    <w:rsid w:val="00EA2926"/>
    <w:rsid w:val="00EA2B24"/>
    <w:rsid w:val="00EA34A8"/>
    <w:rsid w:val="00EA3518"/>
    <w:rsid w:val="00EA4329"/>
    <w:rsid w:val="00EA4BB4"/>
    <w:rsid w:val="00EA510C"/>
    <w:rsid w:val="00EA555A"/>
    <w:rsid w:val="00EA570B"/>
    <w:rsid w:val="00EA5A8D"/>
    <w:rsid w:val="00EA5A9E"/>
    <w:rsid w:val="00EA642D"/>
    <w:rsid w:val="00EA672F"/>
    <w:rsid w:val="00EA6BE7"/>
    <w:rsid w:val="00EA6C9A"/>
    <w:rsid w:val="00EA6E53"/>
    <w:rsid w:val="00EA72BD"/>
    <w:rsid w:val="00EA74CE"/>
    <w:rsid w:val="00EA7960"/>
    <w:rsid w:val="00EA79DE"/>
    <w:rsid w:val="00EA7B44"/>
    <w:rsid w:val="00EA7EE3"/>
    <w:rsid w:val="00EB012E"/>
    <w:rsid w:val="00EB0B09"/>
    <w:rsid w:val="00EB1927"/>
    <w:rsid w:val="00EB1D93"/>
    <w:rsid w:val="00EB20AF"/>
    <w:rsid w:val="00EB2561"/>
    <w:rsid w:val="00EB25C7"/>
    <w:rsid w:val="00EB2769"/>
    <w:rsid w:val="00EB279A"/>
    <w:rsid w:val="00EB2E89"/>
    <w:rsid w:val="00EB2F14"/>
    <w:rsid w:val="00EB3777"/>
    <w:rsid w:val="00EB3799"/>
    <w:rsid w:val="00EB3A25"/>
    <w:rsid w:val="00EB3D8E"/>
    <w:rsid w:val="00EB436A"/>
    <w:rsid w:val="00EB46F5"/>
    <w:rsid w:val="00EB4D16"/>
    <w:rsid w:val="00EB500D"/>
    <w:rsid w:val="00EB50D1"/>
    <w:rsid w:val="00EB543E"/>
    <w:rsid w:val="00EB543F"/>
    <w:rsid w:val="00EB55F0"/>
    <w:rsid w:val="00EB5994"/>
    <w:rsid w:val="00EB5D01"/>
    <w:rsid w:val="00EB63C0"/>
    <w:rsid w:val="00EB6649"/>
    <w:rsid w:val="00EB6BFD"/>
    <w:rsid w:val="00EB6DF5"/>
    <w:rsid w:val="00EB71AD"/>
    <w:rsid w:val="00EB7E8A"/>
    <w:rsid w:val="00EC04A5"/>
    <w:rsid w:val="00EC0527"/>
    <w:rsid w:val="00EC0579"/>
    <w:rsid w:val="00EC0DEF"/>
    <w:rsid w:val="00EC1034"/>
    <w:rsid w:val="00EC1044"/>
    <w:rsid w:val="00EC152D"/>
    <w:rsid w:val="00EC176A"/>
    <w:rsid w:val="00EC19BC"/>
    <w:rsid w:val="00EC1B07"/>
    <w:rsid w:val="00EC1E8A"/>
    <w:rsid w:val="00EC2314"/>
    <w:rsid w:val="00EC272B"/>
    <w:rsid w:val="00EC27EC"/>
    <w:rsid w:val="00EC2ECF"/>
    <w:rsid w:val="00EC2FD1"/>
    <w:rsid w:val="00EC3518"/>
    <w:rsid w:val="00EC37B4"/>
    <w:rsid w:val="00EC3AA5"/>
    <w:rsid w:val="00EC3ACF"/>
    <w:rsid w:val="00EC3DE2"/>
    <w:rsid w:val="00EC3EB0"/>
    <w:rsid w:val="00EC408F"/>
    <w:rsid w:val="00EC49AC"/>
    <w:rsid w:val="00EC4A43"/>
    <w:rsid w:val="00EC4D25"/>
    <w:rsid w:val="00EC4E1B"/>
    <w:rsid w:val="00EC50E2"/>
    <w:rsid w:val="00EC50E4"/>
    <w:rsid w:val="00EC553B"/>
    <w:rsid w:val="00EC58A7"/>
    <w:rsid w:val="00EC5D26"/>
    <w:rsid w:val="00EC6323"/>
    <w:rsid w:val="00EC6382"/>
    <w:rsid w:val="00EC6477"/>
    <w:rsid w:val="00EC66C9"/>
    <w:rsid w:val="00EC674B"/>
    <w:rsid w:val="00EC6C9A"/>
    <w:rsid w:val="00EC6E08"/>
    <w:rsid w:val="00EC730F"/>
    <w:rsid w:val="00EC73A7"/>
    <w:rsid w:val="00EC7461"/>
    <w:rsid w:val="00EC785A"/>
    <w:rsid w:val="00ED024F"/>
    <w:rsid w:val="00ED03B4"/>
    <w:rsid w:val="00ED05A2"/>
    <w:rsid w:val="00ED09AF"/>
    <w:rsid w:val="00ED0FD6"/>
    <w:rsid w:val="00ED213C"/>
    <w:rsid w:val="00ED219A"/>
    <w:rsid w:val="00ED349D"/>
    <w:rsid w:val="00ED3FB1"/>
    <w:rsid w:val="00ED3FCA"/>
    <w:rsid w:val="00ED4253"/>
    <w:rsid w:val="00ED45E7"/>
    <w:rsid w:val="00ED46B6"/>
    <w:rsid w:val="00ED49E2"/>
    <w:rsid w:val="00ED4C9E"/>
    <w:rsid w:val="00ED54D7"/>
    <w:rsid w:val="00ED54F1"/>
    <w:rsid w:val="00ED56E2"/>
    <w:rsid w:val="00ED592F"/>
    <w:rsid w:val="00ED5B99"/>
    <w:rsid w:val="00ED647A"/>
    <w:rsid w:val="00ED68D1"/>
    <w:rsid w:val="00ED6912"/>
    <w:rsid w:val="00ED6E8B"/>
    <w:rsid w:val="00ED70AF"/>
    <w:rsid w:val="00ED7332"/>
    <w:rsid w:val="00ED737D"/>
    <w:rsid w:val="00ED781E"/>
    <w:rsid w:val="00ED78D4"/>
    <w:rsid w:val="00EE041B"/>
    <w:rsid w:val="00EE0AFF"/>
    <w:rsid w:val="00EE0FF3"/>
    <w:rsid w:val="00EE1557"/>
    <w:rsid w:val="00EE1791"/>
    <w:rsid w:val="00EE1C5F"/>
    <w:rsid w:val="00EE1E2E"/>
    <w:rsid w:val="00EE202D"/>
    <w:rsid w:val="00EE2065"/>
    <w:rsid w:val="00EE2BD7"/>
    <w:rsid w:val="00EE2DAA"/>
    <w:rsid w:val="00EE307F"/>
    <w:rsid w:val="00EE3331"/>
    <w:rsid w:val="00EE34CD"/>
    <w:rsid w:val="00EE3779"/>
    <w:rsid w:val="00EE38AE"/>
    <w:rsid w:val="00EE3BEB"/>
    <w:rsid w:val="00EE3D4D"/>
    <w:rsid w:val="00EE3F2A"/>
    <w:rsid w:val="00EE3FC2"/>
    <w:rsid w:val="00EE3FFE"/>
    <w:rsid w:val="00EE48D7"/>
    <w:rsid w:val="00EE511C"/>
    <w:rsid w:val="00EE526A"/>
    <w:rsid w:val="00EE54ED"/>
    <w:rsid w:val="00EE5506"/>
    <w:rsid w:val="00EE5B4E"/>
    <w:rsid w:val="00EE5DAB"/>
    <w:rsid w:val="00EE5DB5"/>
    <w:rsid w:val="00EE6043"/>
    <w:rsid w:val="00EE60BD"/>
    <w:rsid w:val="00EE63F0"/>
    <w:rsid w:val="00EE645C"/>
    <w:rsid w:val="00EE64E2"/>
    <w:rsid w:val="00EE6965"/>
    <w:rsid w:val="00EE6AC5"/>
    <w:rsid w:val="00EE760B"/>
    <w:rsid w:val="00EE7940"/>
    <w:rsid w:val="00EE7BCD"/>
    <w:rsid w:val="00EF01D6"/>
    <w:rsid w:val="00EF08CA"/>
    <w:rsid w:val="00EF0B28"/>
    <w:rsid w:val="00EF0B33"/>
    <w:rsid w:val="00EF0E1A"/>
    <w:rsid w:val="00EF130C"/>
    <w:rsid w:val="00EF1898"/>
    <w:rsid w:val="00EF1A23"/>
    <w:rsid w:val="00EF20C4"/>
    <w:rsid w:val="00EF21D5"/>
    <w:rsid w:val="00EF2221"/>
    <w:rsid w:val="00EF2394"/>
    <w:rsid w:val="00EF24BE"/>
    <w:rsid w:val="00EF2AEF"/>
    <w:rsid w:val="00EF2B00"/>
    <w:rsid w:val="00EF3154"/>
    <w:rsid w:val="00EF348C"/>
    <w:rsid w:val="00EF34A1"/>
    <w:rsid w:val="00EF3999"/>
    <w:rsid w:val="00EF3F8C"/>
    <w:rsid w:val="00EF4041"/>
    <w:rsid w:val="00EF41B3"/>
    <w:rsid w:val="00EF4211"/>
    <w:rsid w:val="00EF4396"/>
    <w:rsid w:val="00EF4718"/>
    <w:rsid w:val="00EF4BAB"/>
    <w:rsid w:val="00EF4C9C"/>
    <w:rsid w:val="00EF61A1"/>
    <w:rsid w:val="00EF6357"/>
    <w:rsid w:val="00EF6662"/>
    <w:rsid w:val="00EF6768"/>
    <w:rsid w:val="00EF6DFA"/>
    <w:rsid w:val="00EF6F14"/>
    <w:rsid w:val="00EF7373"/>
    <w:rsid w:val="00EF75A7"/>
    <w:rsid w:val="00EF76B7"/>
    <w:rsid w:val="00EF7824"/>
    <w:rsid w:val="00EF7ED7"/>
    <w:rsid w:val="00F000E4"/>
    <w:rsid w:val="00F006D0"/>
    <w:rsid w:val="00F01370"/>
    <w:rsid w:val="00F0147C"/>
    <w:rsid w:val="00F018E0"/>
    <w:rsid w:val="00F01BCB"/>
    <w:rsid w:val="00F01D32"/>
    <w:rsid w:val="00F01EBF"/>
    <w:rsid w:val="00F021D5"/>
    <w:rsid w:val="00F02210"/>
    <w:rsid w:val="00F025C9"/>
    <w:rsid w:val="00F0269D"/>
    <w:rsid w:val="00F02AAA"/>
    <w:rsid w:val="00F02E19"/>
    <w:rsid w:val="00F02EAC"/>
    <w:rsid w:val="00F030EF"/>
    <w:rsid w:val="00F03291"/>
    <w:rsid w:val="00F033BA"/>
    <w:rsid w:val="00F03438"/>
    <w:rsid w:val="00F03E36"/>
    <w:rsid w:val="00F03EC7"/>
    <w:rsid w:val="00F04139"/>
    <w:rsid w:val="00F0436C"/>
    <w:rsid w:val="00F0439C"/>
    <w:rsid w:val="00F047FC"/>
    <w:rsid w:val="00F048B0"/>
    <w:rsid w:val="00F04B84"/>
    <w:rsid w:val="00F056E4"/>
    <w:rsid w:val="00F057D3"/>
    <w:rsid w:val="00F057EB"/>
    <w:rsid w:val="00F057ED"/>
    <w:rsid w:val="00F0585F"/>
    <w:rsid w:val="00F05C87"/>
    <w:rsid w:val="00F05E40"/>
    <w:rsid w:val="00F063DF"/>
    <w:rsid w:val="00F0662F"/>
    <w:rsid w:val="00F06AAE"/>
    <w:rsid w:val="00F07505"/>
    <w:rsid w:val="00F07525"/>
    <w:rsid w:val="00F077A6"/>
    <w:rsid w:val="00F07A06"/>
    <w:rsid w:val="00F07AD5"/>
    <w:rsid w:val="00F07BDF"/>
    <w:rsid w:val="00F07D3C"/>
    <w:rsid w:val="00F102DE"/>
    <w:rsid w:val="00F1036F"/>
    <w:rsid w:val="00F104AF"/>
    <w:rsid w:val="00F10B00"/>
    <w:rsid w:val="00F11612"/>
    <w:rsid w:val="00F11F9E"/>
    <w:rsid w:val="00F120F3"/>
    <w:rsid w:val="00F120FC"/>
    <w:rsid w:val="00F12521"/>
    <w:rsid w:val="00F12920"/>
    <w:rsid w:val="00F12A9D"/>
    <w:rsid w:val="00F12F8C"/>
    <w:rsid w:val="00F12FF9"/>
    <w:rsid w:val="00F13062"/>
    <w:rsid w:val="00F137A6"/>
    <w:rsid w:val="00F137B7"/>
    <w:rsid w:val="00F13D97"/>
    <w:rsid w:val="00F13FCE"/>
    <w:rsid w:val="00F1405C"/>
    <w:rsid w:val="00F14192"/>
    <w:rsid w:val="00F14908"/>
    <w:rsid w:val="00F14B94"/>
    <w:rsid w:val="00F14BF7"/>
    <w:rsid w:val="00F14C9C"/>
    <w:rsid w:val="00F14DA2"/>
    <w:rsid w:val="00F14E7C"/>
    <w:rsid w:val="00F153B0"/>
    <w:rsid w:val="00F1563A"/>
    <w:rsid w:val="00F15A47"/>
    <w:rsid w:val="00F15A93"/>
    <w:rsid w:val="00F161FE"/>
    <w:rsid w:val="00F16229"/>
    <w:rsid w:val="00F165C0"/>
    <w:rsid w:val="00F166B4"/>
    <w:rsid w:val="00F17608"/>
    <w:rsid w:val="00F17B29"/>
    <w:rsid w:val="00F17DD4"/>
    <w:rsid w:val="00F200B6"/>
    <w:rsid w:val="00F200D9"/>
    <w:rsid w:val="00F2015B"/>
    <w:rsid w:val="00F20C85"/>
    <w:rsid w:val="00F21039"/>
    <w:rsid w:val="00F212DE"/>
    <w:rsid w:val="00F21446"/>
    <w:rsid w:val="00F228E2"/>
    <w:rsid w:val="00F22EB0"/>
    <w:rsid w:val="00F2301E"/>
    <w:rsid w:val="00F234B1"/>
    <w:rsid w:val="00F23666"/>
    <w:rsid w:val="00F238BC"/>
    <w:rsid w:val="00F238C8"/>
    <w:rsid w:val="00F2450E"/>
    <w:rsid w:val="00F24B94"/>
    <w:rsid w:val="00F25099"/>
    <w:rsid w:val="00F2533E"/>
    <w:rsid w:val="00F25540"/>
    <w:rsid w:val="00F26307"/>
    <w:rsid w:val="00F26484"/>
    <w:rsid w:val="00F26630"/>
    <w:rsid w:val="00F267D2"/>
    <w:rsid w:val="00F26A6D"/>
    <w:rsid w:val="00F2754E"/>
    <w:rsid w:val="00F278BF"/>
    <w:rsid w:val="00F27B99"/>
    <w:rsid w:val="00F27DB7"/>
    <w:rsid w:val="00F3061E"/>
    <w:rsid w:val="00F30959"/>
    <w:rsid w:val="00F31060"/>
    <w:rsid w:val="00F311AA"/>
    <w:rsid w:val="00F31510"/>
    <w:rsid w:val="00F316F6"/>
    <w:rsid w:val="00F321B7"/>
    <w:rsid w:val="00F32891"/>
    <w:rsid w:val="00F32D2B"/>
    <w:rsid w:val="00F32F96"/>
    <w:rsid w:val="00F32FF1"/>
    <w:rsid w:val="00F33594"/>
    <w:rsid w:val="00F33704"/>
    <w:rsid w:val="00F33822"/>
    <w:rsid w:val="00F33E1D"/>
    <w:rsid w:val="00F34289"/>
    <w:rsid w:val="00F34302"/>
    <w:rsid w:val="00F34C64"/>
    <w:rsid w:val="00F34D6C"/>
    <w:rsid w:val="00F34E7A"/>
    <w:rsid w:val="00F34EAD"/>
    <w:rsid w:val="00F3520B"/>
    <w:rsid w:val="00F3537B"/>
    <w:rsid w:val="00F35418"/>
    <w:rsid w:val="00F356C9"/>
    <w:rsid w:val="00F357BA"/>
    <w:rsid w:val="00F35A9A"/>
    <w:rsid w:val="00F35BF2"/>
    <w:rsid w:val="00F35F6B"/>
    <w:rsid w:val="00F362BC"/>
    <w:rsid w:val="00F364B2"/>
    <w:rsid w:val="00F36B1D"/>
    <w:rsid w:val="00F36BE4"/>
    <w:rsid w:val="00F36EDC"/>
    <w:rsid w:val="00F3756F"/>
    <w:rsid w:val="00F378A2"/>
    <w:rsid w:val="00F37DFB"/>
    <w:rsid w:val="00F40089"/>
    <w:rsid w:val="00F402D3"/>
    <w:rsid w:val="00F406BD"/>
    <w:rsid w:val="00F40954"/>
    <w:rsid w:val="00F40FFF"/>
    <w:rsid w:val="00F411C3"/>
    <w:rsid w:val="00F4150D"/>
    <w:rsid w:val="00F41A5A"/>
    <w:rsid w:val="00F41BC8"/>
    <w:rsid w:val="00F41BC9"/>
    <w:rsid w:val="00F41FEE"/>
    <w:rsid w:val="00F4205D"/>
    <w:rsid w:val="00F42185"/>
    <w:rsid w:val="00F424D5"/>
    <w:rsid w:val="00F42737"/>
    <w:rsid w:val="00F434C7"/>
    <w:rsid w:val="00F43528"/>
    <w:rsid w:val="00F4355D"/>
    <w:rsid w:val="00F43DB1"/>
    <w:rsid w:val="00F44321"/>
    <w:rsid w:val="00F44491"/>
    <w:rsid w:val="00F445C2"/>
    <w:rsid w:val="00F448D5"/>
    <w:rsid w:val="00F44D55"/>
    <w:rsid w:val="00F44FEC"/>
    <w:rsid w:val="00F450CF"/>
    <w:rsid w:val="00F458E2"/>
    <w:rsid w:val="00F45967"/>
    <w:rsid w:val="00F45972"/>
    <w:rsid w:val="00F45F9A"/>
    <w:rsid w:val="00F45FEC"/>
    <w:rsid w:val="00F460D3"/>
    <w:rsid w:val="00F46210"/>
    <w:rsid w:val="00F462B7"/>
    <w:rsid w:val="00F4650D"/>
    <w:rsid w:val="00F46903"/>
    <w:rsid w:val="00F46AE4"/>
    <w:rsid w:val="00F47426"/>
    <w:rsid w:val="00F47501"/>
    <w:rsid w:val="00F47904"/>
    <w:rsid w:val="00F47D38"/>
    <w:rsid w:val="00F47E28"/>
    <w:rsid w:val="00F47F96"/>
    <w:rsid w:val="00F5011E"/>
    <w:rsid w:val="00F50237"/>
    <w:rsid w:val="00F502D4"/>
    <w:rsid w:val="00F50461"/>
    <w:rsid w:val="00F505DC"/>
    <w:rsid w:val="00F50710"/>
    <w:rsid w:val="00F507B4"/>
    <w:rsid w:val="00F5081E"/>
    <w:rsid w:val="00F508D1"/>
    <w:rsid w:val="00F50999"/>
    <w:rsid w:val="00F50B0F"/>
    <w:rsid w:val="00F50B9A"/>
    <w:rsid w:val="00F51421"/>
    <w:rsid w:val="00F515F4"/>
    <w:rsid w:val="00F516F3"/>
    <w:rsid w:val="00F51B84"/>
    <w:rsid w:val="00F51D67"/>
    <w:rsid w:val="00F51EB8"/>
    <w:rsid w:val="00F52518"/>
    <w:rsid w:val="00F52662"/>
    <w:rsid w:val="00F52880"/>
    <w:rsid w:val="00F52969"/>
    <w:rsid w:val="00F52E04"/>
    <w:rsid w:val="00F52E72"/>
    <w:rsid w:val="00F530BE"/>
    <w:rsid w:val="00F532C6"/>
    <w:rsid w:val="00F5333A"/>
    <w:rsid w:val="00F53E43"/>
    <w:rsid w:val="00F5414B"/>
    <w:rsid w:val="00F542DD"/>
    <w:rsid w:val="00F542F7"/>
    <w:rsid w:val="00F5447A"/>
    <w:rsid w:val="00F54ACC"/>
    <w:rsid w:val="00F55315"/>
    <w:rsid w:val="00F5588C"/>
    <w:rsid w:val="00F55CB8"/>
    <w:rsid w:val="00F55DD4"/>
    <w:rsid w:val="00F56163"/>
    <w:rsid w:val="00F56181"/>
    <w:rsid w:val="00F563E2"/>
    <w:rsid w:val="00F5669A"/>
    <w:rsid w:val="00F56AAB"/>
    <w:rsid w:val="00F56AD3"/>
    <w:rsid w:val="00F56D52"/>
    <w:rsid w:val="00F57900"/>
    <w:rsid w:val="00F57EAF"/>
    <w:rsid w:val="00F600F9"/>
    <w:rsid w:val="00F609FE"/>
    <w:rsid w:val="00F60ACA"/>
    <w:rsid w:val="00F60D74"/>
    <w:rsid w:val="00F60F88"/>
    <w:rsid w:val="00F6103A"/>
    <w:rsid w:val="00F610E0"/>
    <w:rsid w:val="00F6123E"/>
    <w:rsid w:val="00F61F18"/>
    <w:rsid w:val="00F61F23"/>
    <w:rsid w:val="00F62238"/>
    <w:rsid w:val="00F6299F"/>
    <w:rsid w:val="00F62A52"/>
    <w:rsid w:val="00F633B4"/>
    <w:rsid w:val="00F638FD"/>
    <w:rsid w:val="00F63906"/>
    <w:rsid w:val="00F63B65"/>
    <w:rsid w:val="00F64372"/>
    <w:rsid w:val="00F64B92"/>
    <w:rsid w:val="00F65654"/>
    <w:rsid w:val="00F661FB"/>
    <w:rsid w:val="00F66326"/>
    <w:rsid w:val="00F66338"/>
    <w:rsid w:val="00F66A2E"/>
    <w:rsid w:val="00F66A5E"/>
    <w:rsid w:val="00F66CA8"/>
    <w:rsid w:val="00F66D9C"/>
    <w:rsid w:val="00F66FCC"/>
    <w:rsid w:val="00F672D4"/>
    <w:rsid w:val="00F67319"/>
    <w:rsid w:val="00F67BAA"/>
    <w:rsid w:val="00F67C19"/>
    <w:rsid w:val="00F67C44"/>
    <w:rsid w:val="00F6A266"/>
    <w:rsid w:val="00F70030"/>
    <w:rsid w:val="00F7006F"/>
    <w:rsid w:val="00F700D6"/>
    <w:rsid w:val="00F70360"/>
    <w:rsid w:val="00F70504"/>
    <w:rsid w:val="00F709BA"/>
    <w:rsid w:val="00F70B97"/>
    <w:rsid w:val="00F70D01"/>
    <w:rsid w:val="00F70EB8"/>
    <w:rsid w:val="00F717B2"/>
    <w:rsid w:val="00F71894"/>
    <w:rsid w:val="00F71E4B"/>
    <w:rsid w:val="00F7221D"/>
    <w:rsid w:val="00F72681"/>
    <w:rsid w:val="00F726EF"/>
    <w:rsid w:val="00F7274E"/>
    <w:rsid w:val="00F728AB"/>
    <w:rsid w:val="00F72B35"/>
    <w:rsid w:val="00F73205"/>
    <w:rsid w:val="00F736BD"/>
    <w:rsid w:val="00F73B35"/>
    <w:rsid w:val="00F740D9"/>
    <w:rsid w:val="00F74199"/>
    <w:rsid w:val="00F744C4"/>
    <w:rsid w:val="00F745A9"/>
    <w:rsid w:val="00F74842"/>
    <w:rsid w:val="00F74C52"/>
    <w:rsid w:val="00F74CC9"/>
    <w:rsid w:val="00F74DEE"/>
    <w:rsid w:val="00F75065"/>
    <w:rsid w:val="00F75107"/>
    <w:rsid w:val="00F75563"/>
    <w:rsid w:val="00F75733"/>
    <w:rsid w:val="00F75828"/>
    <w:rsid w:val="00F7595A"/>
    <w:rsid w:val="00F7595E"/>
    <w:rsid w:val="00F75BE8"/>
    <w:rsid w:val="00F75CA0"/>
    <w:rsid w:val="00F75E43"/>
    <w:rsid w:val="00F76012"/>
    <w:rsid w:val="00F76DEB"/>
    <w:rsid w:val="00F77063"/>
    <w:rsid w:val="00F770E6"/>
    <w:rsid w:val="00F771BD"/>
    <w:rsid w:val="00F773AE"/>
    <w:rsid w:val="00F7744B"/>
    <w:rsid w:val="00F775DF"/>
    <w:rsid w:val="00F779CE"/>
    <w:rsid w:val="00F77D87"/>
    <w:rsid w:val="00F77D95"/>
    <w:rsid w:val="00F800FE"/>
    <w:rsid w:val="00F80105"/>
    <w:rsid w:val="00F80475"/>
    <w:rsid w:val="00F80495"/>
    <w:rsid w:val="00F807B8"/>
    <w:rsid w:val="00F80ACA"/>
    <w:rsid w:val="00F80F7E"/>
    <w:rsid w:val="00F8126F"/>
    <w:rsid w:val="00F813E7"/>
    <w:rsid w:val="00F81616"/>
    <w:rsid w:val="00F81C4B"/>
    <w:rsid w:val="00F81EE8"/>
    <w:rsid w:val="00F81F57"/>
    <w:rsid w:val="00F82147"/>
    <w:rsid w:val="00F8235C"/>
    <w:rsid w:val="00F827E0"/>
    <w:rsid w:val="00F836C2"/>
    <w:rsid w:val="00F837ED"/>
    <w:rsid w:val="00F83A36"/>
    <w:rsid w:val="00F83D8C"/>
    <w:rsid w:val="00F83E0F"/>
    <w:rsid w:val="00F85004"/>
    <w:rsid w:val="00F85189"/>
    <w:rsid w:val="00F8535F"/>
    <w:rsid w:val="00F85867"/>
    <w:rsid w:val="00F85BA6"/>
    <w:rsid w:val="00F85D88"/>
    <w:rsid w:val="00F85E2F"/>
    <w:rsid w:val="00F86038"/>
    <w:rsid w:val="00F86299"/>
    <w:rsid w:val="00F86519"/>
    <w:rsid w:val="00F86610"/>
    <w:rsid w:val="00F87064"/>
    <w:rsid w:val="00F87100"/>
    <w:rsid w:val="00F87644"/>
    <w:rsid w:val="00F87813"/>
    <w:rsid w:val="00F87919"/>
    <w:rsid w:val="00F9018D"/>
    <w:rsid w:val="00F9037F"/>
    <w:rsid w:val="00F9072E"/>
    <w:rsid w:val="00F908D7"/>
    <w:rsid w:val="00F90AE6"/>
    <w:rsid w:val="00F912EC"/>
    <w:rsid w:val="00F91403"/>
    <w:rsid w:val="00F9153F"/>
    <w:rsid w:val="00F91E81"/>
    <w:rsid w:val="00F92874"/>
    <w:rsid w:val="00F92EE7"/>
    <w:rsid w:val="00F92FDD"/>
    <w:rsid w:val="00F933FC"/>
    <w:rsid w:val="00F939A4"/>
    <w:rsid w:val="00F939BC"/>
    <w:rsid w:val="00F94048"/>
    <w:rsid w:val="00F94139"/>
    <w:rsid w:val="00F9447D"/>
    <w:rsid w:val="00F9486B"/>
    <w:rsid w:val="00F9496F"/>
    <w:rsid w:val="00F95112"/>
    <w:rsid w:val="00F955E9"/>
    <w:rsid w:val="00F956B4"/>
    <w:rsid w:val="00F95A7F"/>
    <w:rsid w:val="00F9630C"/>
    <w:rsid w:val="00F970B9"/>
    <w:rsid w:val="00F971DD"/>
    <w:rsid w:val="00F9723D"/>
    <w:rsid w:val="00F974A9"/>
    <w:rsid w:val="00F97695"/>
    <w:rsid w:val="00F97A6D"/>
    <w:rsid w:val="00F97D5F"/>
    <w:rsid w:val="00F97DB2"/>
    <w:rsid w:val="00F97FC9"/>
    <w:rsid w:val="00FA02C5"/>
    <w:rsid w:val="00FA05D2"/>
    <w:rsid w:val="00FA0811"/>
    <w:rsid w:val="00FA0815"/>
    <w:rsid w:val="00FA0A7E"/>
    <w:rsid w:val="00FA0CCF"/>
    <w:rsid w:val="00FA1548"/>
    <w:rsid w:val="00FA166D"/>
    <w:rsid w:val="00FA1679"/>
    <w:rsid w:val="00FA1846"/>
    <w:rsid w:val="00FA1FC8"/>
    <w:rsid w:val="00FA204C"/>
    <w:rsid w:val="00FA24B0"/>
    <w:rsid w:val="00FA2787"/>
    <w:rsid w:val="00FA2856"/>
    <w:rsid w:val="00FA2928"/>
    <w:rsid w:val="00FA2FDD"/>
    <w:rsid w:val="00FA310F"/>
    <w:rsid w:val="00FA3374"/>
    <w:rsid w:val="00FA3411"/>
    <w:rsid w:val="00FA35B6"/>
    <w:rsid w:val="00FA379D"/>
    <w:rsid w:val="00FA3F32"/>
    <w:rsid w:val="00FA40CF"/>
    <w:rsid w:val="00FA40F7"/>
    <w:rsid w:val="00FA42F3"/>
    <w:rsid w:val="00FA4BF5"/>
    <w:rsid w:val="00FA4D32"/>
    <w:rsid w:val="00FA51AC"/>
    <w:rsid w:val="00FA54DB"/>
    <w:rsid w:val="00FA555D"/>
    <w:rsid w:val="00FA5C51"/>
    <w:rsid w:val="00FA5DC2"/>
    <w:rsid w:val="00FA5E98"/>
    <w:rsid w:val="00FA60F3"/>
    <w:rsid w:val="00FA6C2B"/>
    <w:rsid w:val="00FA6E52"/>
    <w:rsid w:val="00FA7328"/>
    <w:rsid w:val="00FA7CE9"/>
    <w:rsid w:val="00FA7D96"/>
    <w:rsid w:val="00FA7FF2"/>
    <w:rsid w:val="00FB08C5"/>
    <w:rsid w:val="00FB0A2E"/>
    <w:rsid w:val="00FB0CD9"/>
    <w:rsid w:val="00FB0DE4"/>
    <w:rsid w:val="00FB1622"/>
    <w:rsid w:val="00FB1A16"/>
    <w:rsid w:val="00FB1B4F"/>
    <w:rsid w:val="00FB1F63"/>
    <w:rsid w:val="00FB209C"/>
    <w:rsid w:val="00FB2183"/>
    <w:rsid w:val="00FB23FF"/>
    <w:rsid w:val="00FB2722"/>
    <w:rsid w:val="00FB283A"/>
    <w:rsid w:val="00FB367A"/>
    <w:rsid w:val="00FB3A4D"/>
    <w:rsid w:val="00FB459C"/>
    <w:rsid w:val="00FB46C1"/>
    <w:rsid w:val="00FB490D"/>
    <w:rsid w:val="00FB4BBE"/>
    <w:rsid w:val="00FB4DCB"/>
    <w:rsid w:val="00FB5179"/>
    <w:rsid w:val="00FB538F"/>
    <w:rsid w:val="00FB55BB"/>
    <w:rsid w:val="00FB5A22"/>
    <w:rsid w:val="00FB627D"/>
    <w:rsid w:val="00FB6286"/>
    <w:rsid w:val="00FB6785"/>
    <w:rsid w:val="00FB6852"/>
    <w:rsid w:val="00FB68F2"/>
    <w:rsid w:val="00FB7306"/>
    <w:rsid w:val="00FB74AD"/>
    <w:rsid w:val="00FB74AE"/>
    <w:rsid w:val="00FB7AF5"/>
    <w:rsid w:val="00FB7C33"/>
    <w:rsid w:val="00FB7C4A"/>
    <w:rsid w:val="00FB7CF6"/>
    <w:rsid w:val="00FC01E2"/>
    <w:rsid w:val="00FC05AF"/>
    <w:rsid w:val="00FC0624"/>
    <w:rsid w:val="00FC06D8"/>
    <w:rsid w:val="00FC0B84"/>
    <w:rsid w:val="00FC0FDA"/>
    <w:rsid w:val="00FC151B"/>
    <w:rsid w:val="00FC1972"/>
    <w:rsid w:val="00FC19CE"/>
    <w:rsid w:val="00FC1B84"/>
    <w:rsid w:val="00FC1DEF"/>
    <w:rsid w:val="00FC1E75"/>
    <w:rsid w:val="00FC1F8E"/>
    <w:rsid w:val="00FC2449"/>
    <w:rsid w:val="00FC24FC"/>
    <w:rsid w:val="00FC2AEF"/>
    <w:rsid w:val="00FC3041"/>
    <w:rsid w:val="00FC32B5"/>
    <w:rsid w:val="00FC34CF"/>
    <w:rsid w:val="00FC3875"/>
    <w:rsid w:val="00FC3A17"/>
    <w:rsid w:val="00FC3F1A"/>
    <w:rsid w:val="00FC4905"/>
    <w:rsid w:val="00FC49FE"/>
    <w:rsid w:val="00FC4D07"/>
    <w:rsid w:val="00FC5440"/>
    <w:rsid w:val="00FC5BFB"/>
    <w:rsid w:val="00FC5D2C"/>
    <w:rsid w:val="00FC62D2"/>
    <w:rsid w:val="00FC671F"/>
    <w:rsid w:val="00FC67B8"/>
    <w:rsid w:val="00FC68B1"/>
    <w:rsid w:val="00FC690A"/>
    <w:rsid w:val="00FC6CA2"/>
    <w:rsid w:val="00FC6D1B"/>
    <w:rsid w:val="00FC728E"/>
    <w:rsid w:val="00FC72E7"/>
    <w:rsid w:val="00FC7402"/>
    <w:rsid w:val="00FC7CFF"/>
    <w:rsid w:val="00FD0387"/>
    <w:rsid w:val="00FD0682"/>
    <w:rsid w:val="00FD0A8B"/>
    <w:rsid w:val="00FD0D27"/>
    <w:rsid w:val="00FD1042"/>
    <w:rsid w:val="00FD1226"/>
    <w:rsid w:val="00FD12EC"/>
    <w:rsid w:val="00FD12F9"/>
    <w:rsid w:val="00FD1499"/>
    <w:rsid w:val="00FD1C0F"/>
    <w:rsid w:val="00FD1CDE"/>
    <w:rsid w:val="00FD1DC1"/>
    <w:rsid w:val="00FD25A6"/>
    <w:rsid w:val="00FD29D5"/>
    <w:rsid w:val="00FD2C17"/>
    <w:rsid w:val="00FD2E1A"/>
    <w:rsid w:val="00FD32D5"/>
    <w:rsid w:val="00FD3B26"/>
    <w:rsid w:val="00FD3F1B"/>
    <w:rsid w:val="00FD435E"/>
    <w:rsid w:val="00FD4413"/>
    <w:rsid w:val="00FD442A"/>
    <w:rsid w:val="00FD4E5B"/>
    <w:rsid w:val="00FD4F7D"/>
    <w:rsid w:val="00FD5292"/>
    <w:rsid w:val="00FD5589"/>
    <w:rsid w:val="00FD571C"/>
    <w:rsid w:val="00FD5B99"/>
    <w:rsid w:val="00FD5EF4"/>
    <w:rsid w:val="00FD5F21"/>
    <w:rsid w:val="00FD6478"/>
    <w:rsid w:val="00FD676E"/>
    <w:rsid w:val="00FD68BC"/>
    <w:rsid w:val="00FD6CA2"/>
    <w:rsid w:val="00FD7075"/>
    <w:rsid w:val="00FD7113"/>
    <w:rsid w:val="00FD7544"/>
    <w:rsid w:val="00FD771E"/>
    <w:rsid w:val="00FD782D"/>
    <w:rsid w:val="00FD7D5D"/>
    <w:rsid w:val="00FE052F"/>
    <w:rsid w:val="00FE067F"/>
    <w:rsid w:val="00FE074B"/>
    <w:rsid w:val="00FE09EA"/>
    <w:rsid w:val="00FE0D0A"/>
    <w:rsid w:val="00FE12E0"/>
    <w:rsid w:val="00FE15F0"/>
    <w:rsid w:val="00FE185A"/>
    <w:rsid w:val="00FE19BB"/>
    <w:rsid w:val="00FE1F86"/>
    <w:rsid w:val="00FE2261"/>
    <w:rsid w:val="00FE2428"/>
    <w:rsid w:val="00FE2450"/>
    <w:rsid w:val="00FE27AB"/>
    <w:rsid w:val="00FE2C4B"/>
    <w:rsid w:val="00FE2D9F"/>
    <w:rsid w:val="00FE2E5B"/>
    <w:rsid w:val="00FE307E"/>
    <w:rsid w:val="00FE372C"/>
    <w:rsid w:val="00FE39D3"/>
    <w:rsid w:val="00FE3A0B"/>
    <w:rsid w:val="00FE4066"/>
    <w:rsid w:val="00FE409E"/>
    <w:rsid w:val="00FE48BB"/>
    <w:rsid w:val="00FE569F"/>
    <w:rsid w:val="00FE5A91"/>
    <w:rsid w:val="00FE5D4A"/>
    <w:rsid w:val="00FE5D9D"/>
    <w:rsid w:val="00FE6AAB"/>
    <w:rsid w:val="00FE6D30"/>
    <w:rsid w:val="00FE7344"/>
    <w:rsid w:val="00FE7BCF"/>
    <w:rsid w:val="00FE7F77"/>
    <w:rsid w:val="00FE7FFA"/>
    <w:rsid w:val="00FF073B"/>
    <w:rsid w:val="00FF07AA"/>
    <w:rsid w:val="00FF12EB"/>
    <w:rsid w:val="00FF1505"/>
    <w:rsid w:val="00FF1631"/>
    <w:rsid w:val="00FF179D"/>
    <w:rsid w:val="00FF17FC"/>
    <w:rsid w:val="00FF18BE"/>
    <w:rsid w:val="00FF23B7"/>
    <w:rsid w:val="00FF256F"/>
    <w:rsid w:val="00FF2B51"/>
    <w:rsid w:val="00FF2BAA"/>
    <w:rsid w:val="00FF2EC6"/>
    <w:rsid w:val="00FF3188"/>
    <w:rsid w:val="00FF3D2F"/>
    <w:rsid w:val="00FF40A4"/>
    <w:rsid w:val="00FF4249"/>
    <w:rsid w:val="00FF4636"/>
    <w:rsid w:val="00FF47E2"/>
    <w:rsid w:val="00FF4A67"/>
    <w:rsid w:val="00FF5288"/>
    <w:rsid w:val="00FF52C9"/>
    <w:rsid w:val="00FF5963"/>
    <w:rsid w:val="00FF5B50"/>
    <w:rsid w:val="00FF5BB3"/>
    <w:rsid w:val="00FF5C91"/>
    <w:rsid w:val="00FF6095"/>
    <w:rsid w:val="00FF6189"/>
    <w:rsid w:val="00FF688E"/>
    <w:rsid w:val="00FF68F5"/>
    <w:rsid w:val="00FF707A"/>
    <w:rsid w:val="00FF7483"/>
    <w:rsid w:val="00FF78DC"/>
    <w:rsid w:val="00FF7B5D"/>
    <w:rsid w:val="00FF7EF9"/>
    <w:rsid w:val="0103BAE4"/>
    <w:rsid w:val="01065966"/>
    <w:rsid w:val="01069527"/>
    <w:rsid w:val="010AEF44"/>
    <w:rsid w:val="010F5683"/>
    <w:rsid w:val="01125C26"/>
    <w:rsid w:val="0114FDAC"/>
    <w:rsid w:val="011D6C2B"/>
    <w:rsid w:val="0120FFC2"/>
    <w:rsid w:val="01233C87"/>
    <w:rsid w:val="0128A5E9"/>
    <w:rsid w:val="0129BB3E"/>
    <w:rsid w:val="012CE081"/>
    <w:rsid w:val="012D35ED"/>
    <w:rsid w:val="012E1FB6"/>
    <w:rsid w:val="0135E41D"/>
    <w:rsid w:val="014311ED"/>
    <w:rsid w:val="01550D11"/>
    <w:rsid w:val="016023F3"/>
    <w:rsid w:val="0169345B"/>
    <w:rsid w:val="016ED946"/>
    <w:rsid w:val="017C9EAF"/>
    <w:rsid w:val="01829B47"/>
    <w:rsid w:val="018A56B4"/>
    <w:rsid w:val="01983923"/>
    <w:rsid w:val="01A49060"/>
    <w:rsid w:val="01C39006"/>
    <w:rsid w:val="01D3C296"/>
    <w:rsid w:val="01D3C6E4"/>
    <w:rsid w:val="01DCEF6D"/>
    <w:rsid w:val="01E4DB00"/>
    <w:rsid w:val="01E67580"/>
    <w:rsid w:val="01EAC76B"/>
    <w:rsid w:val="01F15412"/>
    <w:rsid w:val="01F30D7F"/>
    <w:rsid w:val="01FF858E"/>
    <w:rsid w:val="020A6226"/>
    <w:rsid w:val="020AF144"/>
    <w:rsid w:val="020B871B"/>
    <w:rsid w:val="02101494"/>
    <w:rsid w:val="0210A56E"/>
    <w:rsid w:val="021594AD"/>
    <w:rsid w:val="02169414"/>
    <w:rsid w:val="0218B5EE"/>
    <w:rsid w:val="021A4447"/>
    <w:rsid w:val="022117F1"/>
    <w:rsid w:val="022366C3"/>
    <w:rsid w:val="02281E49"/>
    <w:rsid w:val="0229CB8C"/>
    <w:rsid w:val="022CCD35"/>
    <w:rsid w:val="0231E367"/>
    <w:rsid w:val="0232EB96"/>
    <w:rsid w:val="0237E08B"/>
    <w:rsid w:val="023D6C30"/>
    <w:rsid w:val="02419522"/>
    <w:rsid w:val="0241BC38"/>
    <w:rsid w:val="02442FB5"/>
    <w:rsid w:val="024D36CD"/>
    <w:rsid w:val="024D5443"/>
    <w:rsid w:val="02594D21"/>
    <w:rsid w:val="025A0284"/>
    <w:rsid w:val="025CBA6E"/>
    <w:rsid w:val="02621433"/>
    <w:rsid w:val="0266EBEB"/>
    <w:rsid w:val="0274835A"/>
    <w:rsid w:val="0276B5D7"/>
    <w:rsid w:val="027AACE0"/>
    <w:rsid w:val="027B2A1D"/>
    <w:rsid w:val="0281CDEB"/>
    <w:rsid w:val="0288DDAC"/>
    <w:rsid w:val="0295E56F"/>
    <w:rsid w:val="029CE39F"/>
    <w:rsid w:val="02A6C067"/>
    <w:rsid w:val="02ABD39A"/>
    <w:rsid w:val="02B9FFAC"/>
    <w:rsid w:val="02C65844"/>
    <w:rsid w:val="02CD7031"/>
    <w:rsid w:val="02D6D3DC"/>
    <w:rsid w:val="02FAD8EE"/>
    <w:rsid w:val="0310A3D7"/>
    <w:rsid w:val="0329F077"/>
    <w:rsid w:val="0331575B"/>
    <w:rsid w:val="03330EB5"/>
    <w:rsid w:val="03337344"/>
    <w:rsid w:val="03394656"/>
    <w:rsid w:val="0348E0E1"/>
    <w:rsid w:val="035B9A30"/>
    <w:rsid w:val="035C2274"/>
    <w:rsid w:val="035E56A0"/>
    <w:rsid w:val="037E7812"/>
    <w:rsid w:val="037FE6E4"/>
    <w:rsid w:val="0380803D"/>
    <w:rsid w:val="038806C6"/>
    <w:rsid w:val="038A8F92"/>
    <w:rsid w:val="038D8AA3"/>
    <w:rsid w:val="0397AB65"/>
    <w:rsid w:val="03ADFBAB"/>
    <w:rsid w:val="03B0A798"/>
    <w:rsid w:val="03B4864F"/>
    <w:rsid w:val="03B5B082"/>
    <w:rsid w:val="03B707D4"/>
    <w:rsid w:val="03CC7F41"/>
    <w:rsid w:val="03D67F43"/>
    <w:rsid w:val="03DEB5B6"/>
    <w:rsid w:val="03EA522D"/>
    <w:rsid w:val="03FC9BC6"/>
    <w:rsid w:val="04008F79"/>
    <w:rsid w:val="040B641A"/>
    <w:rsid w:val="040ECF12"/>
    <w:rsid w:val="040F54B8"/>
    <w:rsid w:val="04128638"/>
    <w:rsid w:val="0415831C"/>
    <w:rsid w:val="041FAEEE"/>
    <w:rsid w:val="0426DC63"/>
    <w:rsid w:val="0440AAF8"/>
    <w:rsid w:val="04462A74"/>
    <w:rsid w:val="045432D8"/>
    <w:rsid w:val="045BD2E1"/>
    <w:rsid w:val="045E50DA"/>
    <w:rsid w:val="04670053"/>
    <w:rsid w:val="04694092"/>
    <w:rsid w:val="046AE4E5"/>
    <w:rsid w:val="0479F5A6"/>
    <w:rsid w:val="0481F0A9"/>
    <w:rsid w:val="04922099"/>
    <w:rsid w:val="049EB6AF"/>
    <w:rsid w:val="04A2B26B"/>
    <w:rsid w:val="04A71244"/>
    <w:rsid w:val="04A8AC27"/>
    <w:rsid w:val="04AB3D75"/>
    <w:rsid w:val="04AF13F8"/>
    <w:rsid w:val="04BBC31E"/>
    <w:rsid w:val="04BC7D35"/>
    <w:rsid w:val="04C1F776"/>
    <w:rsid w:val="04C212AC"/>
    <w:rsid w:val="04C535DB"/>
    <w:rsid w:val="04C91393"/>
    <w:rsid w:val="04CC3A8B"/>
    <w:rsid w:val="04D27701"/>
    <w:rsid w:val="04D946D7"/>
    <w:rsid w:val="04DDDC82"/>
    <w:rsid w:val="04E9EE90"/>
    <w:rsid w:val="04FA8CAB"/>
    <w:rsid w:val="05162373"/>
    <w:rsid w:val="051D0B4C"/>
    <w:rsid w:val="0521E426"/>
    <w:rsid w:val="052D7DC6"/>
    <w:rsid w:val="053F7E63"/>
    <w:rsid w:val="0541780A"/>
    <w:rsid w:val="055412F8"/>
    <w:rsid w:val="055BA523"/>
    <w:rsid w:val="055F5066"/>
    <w:rsid w:val="0561CEF0"/>
    <w:rsid w:val="05670CC2"/>
    <w:rsid w:val="056AB8AB"/>
    <w:rsid w:val="05731154"/>
    <w:rsid w:val="05741D79"/>
    <w:rsid w:val="05770D8A"/>
    <w:rsid w:val="0577DCE0"/>
    <w:rsid w:val="05781C0C"/>
    <w:rsid w:val="057D2F45"/>
    <w:rsid w:val="0589E4AE"/>
    <w:rsid w:val="058FA05D"/>
    <w:rsid w:val="0592B9AD"/>
    <w:rsid w:val="0594666D"/>
    <w:rsid w:val="05A01065"/>
    <w:rsid w:val="05A12986"/>
    <w:rsid w:val="05A5CDAA"/>
    <w:rsid w:val="05A9C25E"/>
    <w:rsid w:val="05AB8668"/>
    <w:rsid w:val="05ADB7D6"/>
    <w:rsid w:val="05B1A615"/>
    <w:rsid w:val="05B2B5AE"/>
    <w:rsid w:val="05B32DAB"/>
    <w:rsid w:val="05B9F3D5"/>
    <w:rsid w:val="05BA3E6D"/>
    <w:rsid w:val="05D2546C"/>
    <w:rsid w:val="05D2DB14"/>
    <w:rsid w:val="05D311B7"/>
    <w:rsid w:val="05D8D904"/>
    <w:rsid w:val="05DD3EC2"/>
    <w:rsid w:val="05F0505A"/>
    <w:rsid w:val="05FA71B3"/>
    <w:rsid w:val="05FA7315"/>
    <w:rsid w:val="05FD54E9"/>
    <w:rsid w:val="06108720"/>
    <w:rsid w:val="06171484"/>
    <w:rsid w:val="062A6E63"/>
    <w:rsid w:val="06424795"/>
    <w:rsid w:val="065893A5"/>
    <w:rsid w:val="06611A10"/>
    <w:rsid w:val="0661DD09"/>
    <w:rsid w:val="06875300"/>
    <w:rsid w:val="0687D4AC"/>
    <w:rsid w:val="06904476"/>
    <w:rsid w:val="06920BF6"/>
    <w:rsid w:val="069323B9"/>
    <w:rsid w:val="06940629"/>
    <w:rsid w:val="06A08782"/>
    <w:rsid w:val="06A486A6"/>
    <w:rsid w:val="06B62D04"/>
    <w:rsid w:val="06C9597C"/>
    <w:rsid w:val="06CCED98"/>
    <w:rsid w:val="06CD6E44"/>
    <w:rsid w:val="06CDCDCB"/>
    <w:rsid w:val="06D3DBA1"/>
    <w:rsid w:val="06D53AF4"/>
    <w:rsid w:val="06D6C630"/>
    <w:rsid w:val="06DDDB6B"/>
    <w:rsid w:val="06F1FB70"/>
    <w:rsid w:val="06F26CE8"/>
    <w:rsid w:val="06F8145A"/>
    <w:rsid w:val="06FCE72F"/>
    <w:rsid w:val="0718D645"/>
    <w:rsid w:val="071AEF68"/>
    <w:rsid w:val="072221A6"/>
    <w:rsid w:val="0724D883"/>
    <w:rsid w:val="072FFE3A"/>
    <w:rsid w:val="073574FE"/>
    <w:rsid w:val="07393FC6"/>
    <w:rsid w:val="074265F0"/>
    <w:rsid w:val="0743B5E9"/>
    <w:rsid w:val="074407D8"/>
    <w:rsid w:val="074B0DE9"/>
    <w:rsid w:val="074F9E4B"/>
    <w:rsid w:val="07513E6C"/>
    <w:rsid w:val="0753A07D"/>
    <w:rsid w:val="07613947"/>
    <w:rsid w:val="07634CF3"/>
    <w:rsid w:val="0765D3C0"/>
    <w:rsid w:val="07688B45"/>
    <w:rsid w:val="07700B8F"/>
    <w:rsid w:val="0771D48F"/>
    <w:rsid w:val="077363B1"/>
    <w:rsid w:val="078554B0"/>
    <w:rsid w:val="078F714B"/>
    <w:rsid w:val="079481B9"/>
    <w:rsid w:val="07A71664"/>
    <w:rsid w:val="07A908C0"/>
    <w:rsid w:val="07B3EC77"/>
    <w:rsid w:val="07C9C89C"/>
    <w:rsid w:val="07CE5B81"/>
    <w:rsid w:val="07D222E2"/>
    <w:rsid w:val="07D41A9E"/>
    <w:rsid w:val="07DA0918"/>
    <w:rsid w:val="07DA90D3"/>
    <w:rsid w:val="07DD1722"/>
    <w:rsid w:val="07DDD154"/>
    <w:rsid w:val="07DE7068"/>
    <w:rsid w:val="07DF0770"/>
    <w:rsid w:val="07E00318"/>
    <w:rsid w:val="07FF16DF"/>
    <w:rsid w:val="080515C4"/>
    <w:rsid w:val="080AC3B3"/>
    <w:rsid w:val="081B992A"/>
    <w:rsid w:val="081F4380"/>
    <w:rsid w:val="0839EA2C"/>
    <w:rsid w:val="083B0AB6"/>
    <w:rsid w:val="083FDF09"/>
    <w:rsid w:val="08405331"/>
    <w:rsid w:val="08476D39"/>
    <w:rsid w:val="08540B02"/>
    <w:rsid w:val="08581676"/>
    <w:rsid w:val="085C2500"/>
    <w:rsid w:val="08620512"/>
    <w:rsid w:val="086FC278"/>
    <w:rsid w:val="0877E3E2"/>
    <w:rsid w:val="08890A42"/>
    <w:rsid w:val="088D6516"/>
    <w:rsid w:val="088F9BC8"/>
    <w:rsid w:val="089A4EB2"/>
    <w:rsid w:val="089C9AC5"/>
    <w:rsid w:val="08C3394F"/>
    <w:rsid w:val="08C4F65C"/>
    <w:rsid w:val="08CA4F49"/>
    <w:rsid w:val="08CB0F8F"/>
    <w:rsid w:val="08F7682D"/>
    <w:rsid w:val="08F8D80F"/>
    <w:rsid w:val="08FF0AAC"/>
    <w:rsid w:val="091322DD"/>
    <w:rsid w:val="0914AAB5"/>
    <w:rsid w:val="091B4FF2"/>
    <w:rsid w:val="091F8E9E"/>
    <w:rsid w:val="09200F91"/>
    <w:rsid w:val="0926E478"/>
    <w:rsid w:val="092AB2B8"/>
    <w:rsid w:val="092DE673"/>
    <w:rsid w:val="092FC2B1"/>
    <w:rsid w:val="0944956A"/>
    <w:rsid w:val="09492ABB"/>
    <w:rsid w:val="094ECDDB"/>
    <w:rsid w:val="0950ED9D"/>
    <w:rsid w:val="0951093B"/>
    <w:rsid w:val="09592262"/>
    <w:rsid w:val="096E0A98"/>
    <w:rsid w:val="096EAB15"/>
    <w:rsid w:val="09782B9F"/>
    <w:rsid w:val="0979E14E"/>
    <w:rsid w:val="097CDCD3"/>
    <w:rsid w:val="09850CC9"/>
    <w:rsid w:val="0989219E"/>
    <w:rsid w:val="0995F229"/>
    <w:rsid w:val="099D1FF2"/>
    <w:rsid w:val="09A0C0E0"/>
    <w:rsid w:val="09A4098B"/>
    <w:rsid w:val="09A8344A"/>
    <w:rsid w:val="09B3A277"/>
    <w:rsid w:val="09B45949"/>
    <w:rsid w:val="09B4DF63"/>
    <w:rsid w:val="09BC1749"/>
    <w:rsid w:val="09BC4005"/>
    <w:rsid w:val="09C0E5A3"/>
    <w:rsid w:val="09C42D67"/>
    <w:rsid w:val="09C57786"/>
    <w:rsid w:val="09D32382"/>
    <w:rsid w:val="09E1C1A2"/>
    <w:rsid w:val="09E743FD"/>
    <w:rsid w:val="09FA2E45"/>
    <w:rsid w:val="09FEE942"/>
    <w:rsid w:val="0A01629B"/>
    <w:rsid w:val="0A018481"/>
    <w:rsid w:val="0A096583"/>
    <w:rsid w:val="0A0D84C2"/>
    <w:rsid w:val="0A0F33DE"/>
    <w:rsid w:val="0A17A51C"/>
    <w:rsid w:val="0A27E5D3"/>
    <w:rsid w:val="0A2BFCF0"/>
    <w:rsid w:val="0A3A4D62"/>
    <w:rsid w:val="0A3B3711"/>
    <w:rsid w:val="0A3CDAD0"/>
    <w:rsid w:val="0A4BC6A4"/>
    <w:rsid w:val="0A51636B"/>
    <w:rsid w:val="0A575AD9"/>
    <w:rsid w:val="0A61851C"/>
    <w:rsid w:val="0A619319"/>
    <w:rsid w:val="0A643E00"/>
    <w:rsid w:val="0A69A40A"/>
    <w:rsid w:val="0A6F8DC7"/>
    <w:rsid w:val="0A706467"/>
    <w:rsid w:val="0A768ADE"/>
    <w:rsid w:val="0A7EE16F"/>
    <w:rsid w:val="0A85A308"/>
    <w:rsid w:val="0A87EE73"/>
    <w:rsid w:val="0A9156A0"/>
    <w:rsid w:val="0A995945"/>
    <w:rsid w:val="0AA165F9"/>
    <w:rsid w:val="0AADE778"/>
    <w:rsid w:val="0ABBD02E"/>
    <w:rsid w:val="0ABCE5FC"/>
    <w:rsid w:val="0ABE1AC5"/>
    <w:rsid w:val="0AC09EFD"/>
    <w:rsid w:val="0AC84CD9"/>
    <w:rsid w:val="0AD2FBB1"/>
    <w:rsid w:val="0AD82DC0"/>
    <w:rsid w:val="0AE23F45"/>
    <w:rsid w:val="0AE91ED0"/>
    <w:rsid w:val="0AEE94FE"/>
    <w:rsid w:val="0AF00BB5"/>
    <w:rsid w:val="0AF212CA"/>
    <w:rsid w:val="0AF80DB5"/>
    <w:rsid w:val="0B0A4FBC"/>
    <w:rsid w:val="0B0BB46A"/>
    <w:rsid w:val="0B152693"/>
    <w:rsid w:val="0B237C7C"/>
    <w:rsid w:val="0B31064B"/>
    <w:rsid w:val="0B3513AB"/>
    <w:rsid w:val="0B3A1C78"/>
    <w:rsid w:val="0B3B7436"/>
    <w:rsid w:val="0B40457F"/>
    <w:rsid w:val="0B52BD6A"/>
    <w:rsid w:val="0B540DBE"/>
    <w:rsid w:val="0B5813C3"/>
    <w:rsid w:val="0B65A028"/>
    <w:rsid w:val="0B76E0F5"/>
    <w:rsid w:val="0B887090"/>
    <w:rsid w:val="0B937D95"/>
    <w:rsid w:val="0BA31724"/>
    <w:rsid w:val="0BAAAAF0"/>
    <w:rsid w:val="0BB1506F"/>
    <w:rsid w:val="0BB1AD0C"/>
    <w:rsid w:val="0BB6C1D4"/>
    <w:rsid w:val="0BB85514"/>
    <w:rsid w:val="0BC40ACD"/>
    <w:rsid w:val="0BC82577"/>
    <w:rsid w:val="0BCD740F"/>
    <w:rsid w:val="0BD049B3"/>
    <w:rsid w:val="0BD4293F"/>
    <w:rsid w:val="0BD8C4A2"/>
    <w:rsid w:val="0BE23EA1"/>
    <w:rsid w:val="0BEC1C38"/>
    <w:rsid w:val="0BF89C22"/>
    <w:rsid w:val="0C09F4F6"/>
    <w:rsid w:val="0C0BF8A0"/>
    <w:rsid w:val="0C127400"/>
    <w:rsid w:val="0C1B45F2"/>
    <w:rsid w:val="0C1C52E3"/>
    <w:rsid w:val="0C1DD483"/>
    <w:rsid w:val="0C23F38B"/>
    <w:rsid w:val="0C3AC3F7"/>
    <w:rsid w:val="0C3E444F"/>
    <w:rsid w:val="0C3ECAC4"/>
    <w:rsid w:val="0C45D5DD"/>
    <w:rsid w:val="0C49C9C7"/>
    <w:rsid w:val="0C4C5EAB"/>
    <w:rsid w:val="0C5EB20A"/>
    <w:rsid w:val="0C62EB3B"/>
    <w:rsid w:val="0C636717"/>
    <w:rsid w:val="0C63F315"/>
    <w:rsid w:val="0C7ED2AF"/>
    <w:rsid w:val="0C828BC8"/>
    <w:rsid w:val="0C860317"/>
    <w:rsid w:val="0C95158D"/>
    <w:rsid w:val="0C96BA63"/>
    <w:rsid w:val="0C97AE23"/>
    <w:rsid w:val="0CAA41AE"/>
    <w:rsid w:val="0CAE6681"/>
    <w:rsid w:val="0CB64F5A"/>
    <w:rsid w:val="0CB9310C"/>
    <w:rsid w:val="0CBDEC61"/>
    <w:rsid w:val="0CC77567"/>
    <w:rsid w:val="0CCC2063"/>
    <w:rsid w:val="0CDD1A4C"/>
    <w:rsid w:val="0CDE9241"/>
    <w:rsid w:val="0CE03815"/>
    <w:rsid w:val="0CE12544"/>
    <w:rsid w:val="0CE824FE"/>
    <w:rsid w:val="0CF9F8A3"/>
    <w:rsid w:val="0CFA9BF7"/>
    <w:rsid w:val="0CFD92A6"/>
    <w:rsid w:val="0D06B147"/>
    <w:rsid w:val="0D079DF7"/>
    <w:rsid w:val="0D090F71"/>
    <w:rsid w:val="0D11DFCD"/>
    <w:rsid w:val="0D14B972"/>
    <w:rsid w:val="0D1C72A7"/>
    <w:rsid w:val="0D27A32A"/>
    <w:rsid w:val="0D2B6598"/>
    <w:rsid w:val="0D2D989E"/>
    <w:rsid w:val="0D379390"/>
    <w:rsid w:val="0D40C866"/>
    <w:rsid w:val="0D40F834"/>
    <w:rsid w:val="0D435308"/>
    <w:rsid w:val="0D43E2A2"/>
    <w:rsid w:val="0D4C3B7A"/>
    <w:rsid w:val="0D559DA0"/>
    <w:rsid w:val="0D5BFF28"/>
    <w:rsid w:val="0D613E7A"/>
    <w:rsid w:val="0D6476D4"/>
    <w:rsid w:val="0D6984A5"/>
    <w:rsid w:val="0D6A9E1F"/>
    <w:rsid w:val="0D75A6B7"/>
    <w:rsid w:val="0D75A810"/>
    <w:rsid w:val="0D779AE9"/>
    <w:rsid w:val="0D78B8A7"/>
    <w:rsid w:val="0D79F120"/>
    <w:rsid w:val="0D7D6A02"/>
    <w:rsid w:val="0D7FE8D1"/>
    <w:rsid w:val="0D805621"/>
    <w:rsid w:val="0D91678D"/>
    <w:rsid w:val="0D948BB4"/>
    <w:rsid w:val="0D98988D"/>
    <w:rsid w:val="0DA2BD8A"/>
    <w:rsid w:val="0DA3DAB3"/>
    <w:rsid w:val="0DA460F9"/>
    <w:rsid w:val="0DA5DF6C"/>
    <w:rsid w:val="0DA7260E"/>
    <w:rsid w:val="0DBE219A"/>
    <w:rsid w:val="0DC1AFBA"/>
    <w:rsid w:val="0DD6A3E7"/>
    <w:rsid w:val="0DD85716"/>
    <w:rsid w:val="0DDA121D"/>
    <w:rsid w:val="0DDC2F7E"/>
    <w:rsid w:val="0DDE0981"/>
    <w:rsid w:val="0DE0450B"/>
    <w:rsid w:val="0DE9AAAE"/>
    <w:rsid w:val="0DF19AB8"/>
    <w:rsid w:val="0DF380B4"/>
    <w:rsid w:val="0DF5BB94"/>
    <w:rsid w:val="0DF8F606"/>
    <w:rsid w:val="0E06875F"/>
    <w:rsid w:val="0E091F92"/>
    <w:rsid w:val="0E1248DF"/>
    <w:rsid w:val="0E16AE98"/>
    <w:rsid w:val="0E244D99"/>
    <w:rsid w:val="0E26D5C7"/>
    <w:rsid w:val="0E2C8AD4"/>
    <w:rsid w:val="0E2FE585"/>
    <w:rsid w:val="0E3409FE"/>
    <w:rsid w:val="0E3489AE"/>
    <w:rsid w:val="0E36A001"/>
    <w:rsid w:val="0E3859F2"/>
    <w:rsid w:val="0E3BB3D8"/>
    <w:rsid w:val="0E520076"/>
    <w:rsid w:val="0E5E34E7"/>
    <w:rsid w:val="0E5FA332"/>
    <w:rsid w:val="0E72BDA9"/>
    <w:rsid w:val="0E834F26"/>
    <w:rsid w:val="0E85F037"/>
    <w:rsid w:val="0E8C61D4"/>
    <w:rsid w:val="0E8CA1A3"/>
    <w:rsid w:val="0E913D37"/>
    <w:rsid w:val="0E9973D2"/>
    <w:rsid w:val="0E9BD2DE"/>
    <w:rsid w:val="0EA37BA8"/>
    <w:rsid w:val="0EB3E346"/>
    <w:rsid w:val="0EBDD00C"/>
    <w:rsid w:val="0EC6C0C4"/>
    <w:rsid w:val="0EC6D546"/>
    <w:rsid w:val="0EDE25CE"/>
    <w:rsid w:val="0EE1680C"/>
    <w:rsid w:val="0EEE12BF"/>
    <w:rsid w:val="0EEEC39E"/>
    <w:rsid w:val="0EF18FAB"/>
    <w:rsid w:val="0EFC4CEA"/>
    <w:rsid w:val="0F118FF1"/>
    <w:rsid w:val="0F169BFC"/>
    <w:rsid w:val="0F19015D"/>
    <w:rsid w:val="0F223622"/>
    <w:rsid w:val="0F23A442"/>
    <w:rsid w:val="0F25BE5B"/>
    <w:rsid w:val="0F25DD3E"/>
    <w:rsid w:val="0F2697EF"/>
    <w:rsid w:val="0F31BCAA"/>
    <w:rsid w:val="0F33D105"/>
    <w:rsid w:val="0F487B99"/>
    <w:rsid w:val="0F54A167"/>
    <w:rsid w:val="0F563D54"/>
    <w:rsid w:val="0F5F84FF"/>
    <w:rsid w:val="0F62448A"/>
    <w:rsid w:val="0F64BECE"/>
    <w:rsid w:val="0F655200"/>
    <w:rsid w:val="0F6AD710"/>
    <w:rsid w:val="0F6BC652"/>
    <w:rsid w:val="0F6F2F64"/>
    <w:rsid w:val="0F8236DD"/>
    <w:rsid w:val="0F8810E8"/>
    <w:rsid w:val="0F914323"/>
    <w:rsid w:val="0F9957D0"/>
    <w:rsid w:val="0FA017A7"/>
    <w:rsid w:val="0FACCBD3"/>
    <w:rsid w:val="0FB8AC2A"/>
    <w:rsid w:val="0FBFF2D1"/>
    <w:rsid w:val="0FC2A628"/>
    <w:rsid w:val="0FC64FE2"/>
    <w:rsid w:val="0FCF6F37"/>
    <w:rsid w:val="0FD2FF42"/>
    <w:rsid w:val="0FD58FD4"/>
    <w:rsid w:val="0FD92969"/>
    <w:rsid w:val="0FE1FFC0"/>
    <w:rsid w:val="0FE4AF00"/>
    <w:rsid w:val="0FE665D4"/>
    <w:rsid w:val="0FE6AF38"/>
    <w:rsid w:val="0FF147C8"/>
    <w:rsid w:val="0FF72259"/>
    <w:rsid w:val="0FFA6545"/>
    <w:rsid w:val="100D53E9"/>
    <w:rsid w:val="100F3A0A"/>
    <w:rsid w:val="1018DF89"/>
    <w:rsid w:val="1021F024"/>
    <w:rsid w:val="10256FC9"/>
    <w:rsid w:val="102AFD08"/>
    <w:rsid w:val="102CA991"/>
    <w:rsid w:val="1048ADC5"/>
    <w:rsid w:val="104F7E3C"/>
    <w:rsid w:val="1050D174"/>
    <w:rsid w:val="1052FEBD"/>
    <w:rsid w:val="1056B13D"/>
    <w:rsid w:val="1063ED56"/>
    <w:rsid w:val="1079D355"/>
    <w:rsid w:val="107AF3CA"/>
    <w:rsid w:val="107B5FF3"/>
    <w:rsid w:val="107F5621"/>
    <w:rsid w:val="1087088D"/>
    <w:rsid w:val="108EAC38"/>
    <w:rsid w:val="108FE22F"/>
    <w:rsid w:val="10903EC1"/>
    <w:rsid w:val="1095656B"/>
    <w:rsid w:val="1097C715"/>
    <w:rsid w:val="10980026"/>
    <w:rsid w:val="10983CB5"/>
    <w:rsid w:val="1098A299"/>
    <w:rsid w:val="109A97AD"/>
    <w:rsid w:val="109CC484"/>
    <w:rsid w:val="10A9D4AF"/>
    <w:rsid w:val="10AA25F6"/>
    <w:rsid w:val="10ABDAC2"/>
    <w:rsid w:val="10B40FB8"/>
    <w:rsid w:val="10B9077D"/>
    <w:rsid w:val="10BD03CA"/>
    <w:rsid w:val="10C32EEF"/>
    <w:rsid w:val="10CEAC63"/>
    <w:rsid w:val="10D20712"/>
    <w:rsid w:val="10DA8D9E"/>
    <w:rsid w:val="10DF959D"/>
    <w:rsid w:val="10E31FE1"/>
    <w:rsid w:val="10E6AEB8"/>
    <w:rsid w:val="10EA0075"/>
    <w:rsid w:val="10EB1F7F"/>
    <w:rsid w:val="10EEA69B"/>
    <w:rsid w:val="10F0F162"/>
    <w:rsid w:val="10F221F9"/>
    <w:rsid w:val="10FF6DC3"/>
    <w:rsid w:val="110038EF"/>
    <w:rsid w:val="1102BAE5"/>
    <w:rsid w:val="1106A771"/>
    <w:rsid w:val="110AB382"/>
    <w:rsid w:val="110ED67D"/>
    <w:rsid w:val="110FB0A1"/>
    <w:rsid w:val="1118667F"/>
    <w:rsid w:val="1139C118"/>
    <w:rsid w:val="1141A630"/>
    <w:rsid w:val="1144D21C"/>
    <w:rsid w:val="114A2C2E"/>
    <w:rsid w:val="114FE393"/>
    <w:rsid w:val="11547C8B"/>
    <w:rsid w:val="115756E3"/>
    <w:rsid w:val="115E7689"/>
    <w:rsid w:val="11634AC1"/>
    <w:rsid w:val="1169863F"/>
    <w:rsid w:val="116B6EB6"/>
    <w:rsid w:val="116D5657"/>
    <w:rsid w:val="11755F37"/>
    <w:rsid w:val="117B7AF1"/>
    <w:rsid w:val="117CCBB2"/>
    <w:rsid w:val="117D70A9"/>
    <w:rsid w:val="11826910"/>
    <w:rsid w:val="118314E7"/>
    <w:rsid w:val="1194A0EE"/>
    <w:rsid w:val="11A076DE"/>
    <w:rsid w:val="11A17316"/>
    <w:rsid w:val="11A9EEC5"/>
    <w:rsid w:val="11AEE1F3"/>
    <w:rsid w:val="11B70170"/>
    <w:rsid w:val="11BCC6DF"/>
    <w:rsid w:val="11C5695D"/>
    <w:rsid w:val="11C9D50D"/>
    <w:rsid w:val="11CF6746"/>
    <w:rsid w:val="11D0F102"/>
    <w:rsid w:val="11D9F91E"/>
    <w:rsid w:val="11DEE0DC"/>
    <w:rsid w:val="11EE11EB"/>
    <w:rsid w:val="11F078A6"/>
    <w:rsid w:val="11F350D2"/>
    <w:rsid w:val="11FF612A"/>
    <w:rsid w:val="1216C42B"/>
    <w:rsid w:val="1216FFE7"/>
    <w:rsid w:val="1223DF9D"/>
    <w:rsid w:val="12254042"/>
    <w:rsid w:val="122AAA16"/>
    <w:rsid w:val="12340A73"/>
    <w:rsid w:val="12358550"/>
    <w:rsid w:val="12381232"/>
    <w:rsid w:val="1239EB04"/>
    <w:rsid w:val="124589D5"/>
    <w:rsid w:val="12483B57"/>
    <w:rsid w:val="124DFD15"/>
    <w:rsid w:val="1251D5B1"/>
    <w:rsid w:val="12533F32"/>
    <w:rsid w:val="1254FB08"/>
    <w:rsid w:val="1257C33E"/>
    <w:rsid w:val="12606C8B"/>
    <w:rsid w:val="1261FE58"/>
    <w:rsid w:val="12711211"/>
    <w:rsid w:val="127AD1C0"/>
    <w:rsid w:val="127F8DC4"/>
    <w:rsid w:val="128BD357"/>
    <w:rsid w:val="128F011C"/>
    <w:rsid w:val="129B0EAF"/>
    <w:rsid w:val="129B6F48"/>
    <w:rsid w:val="12A277D2"/>
    <w:rsid w:val="12A32E43"/>
    <w:rsid w:val="12A36714"/>
    <w:rsid w:val="12AAA6DE"/>
    <w:rsid w:val="12BE8FAD"/>
    <w:rsid w:val="12CA0BD6"/>
    <w:rsid w:val="12D1F1E2"/>
    <w:rsid w:val="12E67B2C"/>
    <w:rsid w:val="12EB0E6E"/>
    <w:rsid w:val="12EDA776"/>
    <w:rsid w:val="12F08567"/>
    <w:rsid w:val="13098FDC"/>
    <w:rsid w:val="13128486"/>
    <w:rsid w:val="1312C48D"/>
    <w:rsid w:val="13287290"/>
    <w:rsid w:val="1339EAA5"/>
    <w:rsid w:val="134F6ED4"/>
    <w:rsid w:val="134FF723"/>
    <w:rsid w:val="13504CC1"/>
    <w:rsid w:val="1351B416"/>
    <w:rsid w:val="13539C67"/>
    <w:rsid w:val="135A7953"/>
    <w:rsid w:val="135E4FE6"/>
    <w:rsid w:val="13675557"/>
    <w:rsid w:val="13714C10"/>
    <w:rsid w:val="1376928E"/>
    <w:rsid w:val="13813931"/>
    <w:rsid w:val="138C59C8"/>
    <w:rsid w:val="138D1AA4"/>
    <w:rsid w:val="138EFC39"/>
    <w:rsid w:val="1391EB91"/>
    <w:rsid w:val="139B6055"/>
    <w:rsid w:val="139BA2CD"/>
    <w:rsid w:val="13A280D9"/>
    <w:rsid w:val="13A3917B"/>
    <w:rsid w:val="13A668A6"/>
    <w:rsid w:val="13B13943"/>
    <w:rsid w:val="13C22B01"/>
    <w:rsid w:val="13D07FFE"/>
    <w:rsid w:val="13DD0C5B"/>
    <w:rsid w:val="13E0E141"/>
    <w:rsid w:val="13E5BD1A"/>
    <w:rsid w:val="13ED35F9"/>
    <w:rsid w:val="13F51623"/>
    <w:rsid w:val="14060BB4"/>
    <w:rsid w:val="140760E8"/>
    <w:rsid w:val="14083E86"/>
    <w:rsid w:val="140F8787"/>
    <w:rsid w:val="141A8209"/>
    <w:rsid w:val="141D17B2"/>
    <w:rsid w:val="141E660E"/>
    <w:rsid w:val="142170FB"/>
    <w:rsid w:val="142F3F18"/>
    <w:rsid w:val="143E3841"/>
    <w:rsid w:val="14458B16"/>
    <w:rsid w:val="144C630C"/>
    <w:rsid w:val="145332F8"/>
    <w:rsid w:val="1455509F"/>
    <w:rsid w:val="1458A49B"/>
    <w:rsid w:val="146ACE46"/>
    <w:rsid w:val="146F3488"/>
    <w:rsid w:val="14797C2F"/>
    <w:rsid w:val="147E3D9F"/>
    <w:rsid w:val="1480C42F"/>
    <w:rsid w:val="1488C606"/>
    <w:rsid w:val="14951679"/>
    <w:rsid w:val="1496AB10"/>
    <w:rsid w:val="14A0A8E4"/>
    <w:rsid w:val="14A5A794"/>
    <w:rsid w:val="14B0C1A1"/>
    <w:rsid w:val="14BC1D20"/>
    <w:rsid w:val="14BFAC14"/>
    <w:rsid w:val="14C442F1"/>
    <w:rsid w:val="14C8BA62"/>
    <w:rsid w:val="14D4316E"/>
    <w:rsid w:val="14DC5714"/>
    <w:rsid w:val="14E3EDCC"/>
    <w:rsid w:val="14F834C7"/>
    <w:rsid w:val="14FA3070"/>
    <w:rsid w:val="14FAC999"/>
    <w:rsid w:val="14FC7718"/>
    <w:rsid w:val="150406C5"/>
    <w:rsid w:val="1505ADDC"/>
    <w:rsid w:val="1507B197"/>
    <w:rsid w:val="150C4A3B"/>
    <w:rsid w:val="151FF48D"/>
    <w:rsid w:val="1527DBE8"/>
    <w:rsid w:val="1534C826"/>
    <w:rsid w:val="153681B3"/>
    <w:rsid w:val="154E64F1"/>
    <w:rsid w:val="157A04FA"/>
    <w:rsid w:val="15827F47"/>
    <w:rsid w:val="158F0646"/>
    <w:rsid w:val="158F74C5"/>
    <w:rsid w:val="15A11039"/>
    <w:rsid w:val="15A47E19"/>
    <w:rsid w:val="15A70556"/>
    <w:rsid w:val="15AA5DD7"/>
    <w:rsid w:val="15AAE585"/>
    <w:rsid w:val="15AC1897"/>
    <w:rsid w:val="15B3ADB3"/>
    <w:rsid w:val="15C151F5"/>
    <w:rsid w:val="15C60AAF"/>
    <w:rsid w:val="15CA078E"/>
    <w:rsid w:val="15CC5369"/>
    <w:rsid w:val="15DA77F5"/>
    <w:rsid w:val="15DEA706"/>
    <w:rsid w:val="15E247A0"/>
    <w:rsid w:val="15E60C07"/>
    <w:rsid w:val="15F4A78D"/>
    <w:rsid w:val="16082704"/>
    <w:rsid w:val="16100FB5"/>
    <w:rsid w:val="1611551B"/>
    <w:rsid w:val="1611EBA3"/>
    <w:rsid w:val="16145F3C"/>
    <w:rsid w:val="1614F2FB"/>
    <w:rsid w:val="161DD527"/>
    <w:rsid w:val="16211B88"/>
    <w:rsid w:val="1629699E"/>
    <w:rsid w:val="162F4D91"/>
    <w:rsid w:val="1646EAF5"/>
    <w:rsid w:val="1663C55C"/>
    <w:rsid w:val="167ECB09"/>
    <w:rsid w:val="1682B2F4"/>
    <w:rsid w:val="1688A3A2"/>
    <w:rsid w:val="168F255F"/>
    <w:rsid w:val="16932888"/>
    <w:rsid w:val="1695F0A8"/>
    <w:rsid w:val="1699F188"/>
    <w:rsid w:val="169E7C55"/>
    <w:rsid w:val="16A27FA3"/>
    <w:rsid w:val="16A54303"/>
    <w:rsid w:val="16B04AC3"/>
    <w:rsid w:val="16B50D4F"/>
    <w:rsid w:val="16B5383C"/>
    <w:rsid w:val="16B5A0D2"/>
    <w:rsid w:val="16B702A2"/>
    <w:rsid w:val="16B98784"/>
    <w:rsid w:val="16C4EB47"/>
    <w:rsid w:val="16C5A193"/>
    <w:rsid w:val="16C70AB7"/>
    <w:rsid w:val="16CD8871"/>
    <w:rsid w:val="16D4DB04"/>
    <w:rsid w:val="16D7C4DF"/>
    <w:rsid w:val="16DC72A3"/>
    <w:rsid w:val="16E37C88"/>
    <w:rsid w:val="16E73650"/>
    <w:rsid w:val="16E80B5F"/>
    <w:rsid w:val="16EB9E0F"/>
    <w:rsid w:val="16ED46D1"/>
    <w:rsid w:val="16FE1D0C"/>
    <w:rsid w:val="16FFC3A2"/>
    <w:rsid w:val="17024528"/>
    <w:rsid w:val="170AB315"/>
    <w:rsid w:val="170AF23A"/>
    <w:rsid w:val="172028FB"/>
    <w:rsid w:val="17242748"/>
    <w:rsid w:val="17286C2B"/>
    <w:rsid w:val="172BBA62"/>
    <w:rsid w:val="172D9B0C"/>
    <w:rsid w:val="172ED828"/>
    <w:rsid w:val="17443B8F"/>
    <w:rsid w:val="1744E22C"/>
    <w:rsid w:val="174ABCF9"/>
    <w:rsid w:val="174E481E"/>
    <w:rsid w:val="175222CB"/>
    <w:rsid w:val="1753FF2B"/>
    <w:rsid w:val="175740A0"/>
    <w:rsid w:val="17581DAF"/>
    <w:rsid w:val="175DA9A2"/>
    <w:rsid w:val="177102DF"/>
    <w:rsid w:val="1779CE07"/>
    <w:rsid w:val="177E068B"/>
    <w:rsid w:val="178326EB"/>
    <w:rsid w:val="1789F056"/>
    <w:rsid w:val="178F8CBA"/>
    <w:rsid w:val="17952620"/>
    <w:rsid w:val="17A22563"/>
    <w:rsid w:val="17B26F55"/>
    <w:rsid w:val="17B3F262"/>
    <w:rsid w:val="17BBF1B7"/>
    <w:rsid w:val="17C2EB4A"/>
    <w:rsid w:val="17CC8F6E"/>
    <w:rsid w:val="17CE834C"/>
    <w:rsid w:val="17D35817"/>
    <w:rsid w:val="17DAFC84"/>
    <w:rsid w:val="17DBDCD7"/>
    <w:rsid w:val="17DDAA4D"/>
    <w:rsid w:val="17E139B5"/>
    <w:rsid w:val="17E37D36"/>
    <w:rsid w:val="17E428B4"/>
    <w:rsid w:val="17E86263"/>
    <w:rsid w:val="17EF2253"/>
    <w:rsid w:val="17F013C8"/>
    <w:rsid w:val="17F1BD38"/>
    <w:rsid w:val="17F4C5E1"/>
    <w:rsid w:val="17F8F2CD"/>
    <w:rsid w:val="17FA8886"/>
    <w:rsid w:val="17FD62B2"/>
    <w:rsid w:val="17FE5A3D"/>
    <w:rsid w:val="1801B685"/>
    <w:rsid w:val="180743E9"/>
    <w:rsid w:val="1810DB53"/>
    <w:rsid w:val="18166661"/>
    <w:rsid w:val="181AE7F7"/>
    <w:rsid w:val="182371D9"/>
    <w:rsid w:val="1827DDB6"/>
    <w:rsid w:val="182BBFAD"/>
    <w:rsid w:val="182CE67D"/>
    <w:rsid w:val="182E8C4E"/>
    <w:rsid w:val="182EF8E9"/>
    <w:rsid w:val="183317C4"/>
    <w:rsid w:val="18448A34"/>
    <w:rsid w:val="184B5C44"/>
    <w:rsid w:val="184FAFD2"/>
    <w:rsid w:val="1857AB89"/>
    <w:rsid w:val="18685FE5"/>
    <w:rsid w:val="1871B21C"/>
    <w:rsid w:val="18731AF4"/>
    <w:rsid w:val="18775C1C"/>
    <w:rsid w:val="187E677B"/>
    <w:rsid w:val="187FD7BE"/>
    <w:rsid w:val="188EF870"/>
    <w:rsid w:val="189261F0"/>
    <w:rsid w:val="18BA2009"/>
    <w:rsid w:val="18BAFB77"/>
    <w:rsid w:val="18C969B2"/>
    <w:rsid w:val="18EA187F"/>
    <w:rsid w:val="18EDA152"/>
    <w:rsid w:val="18EE5FAC"/>
    <w:rsid w:val="18EED96E"/>
    <w:rsid w:val="19076557"/>
    <w:rsid w:val="190BF685"/>
    <w:rsid w:val="191527B9"/>
    <w:rsid w:val="19190E92"/>
    <w:rsid w:val="19238947"/>
    <w:rsid w:val="1923D711"/>
    <w:rsid w:val="19297EF4"/>
    <w:rsid w:val="192D90C4"/>
    <w:rsid w:val="19350DEF"/>
    <w:rsid w:val="19357093"/>
    <w:rsid w:val="1950376B"/>
    <w:rsid w:val="19509A61"/>
    <w:rsid w:val="1953F2C6"/>
    <w:rsid w:val="196086DB"/>
    <w:rsid w:val="19657E12"/>
    <w:rsid w:val="19685FCF"/>
    <w:rsid w:val="196D383F"/>
    <w:rsid w:val="196EC414"/>
    <w:rsid w:val="19733BCE"/>
    <w:rsid w:val="197B88F4"/>
    <w:rsid w:val="197EDAD5"/>
    <w:rsid w:val="198A0FB3"/>
    <w:rsid w:val="1991D880"/>
    <w:rsid w:val="19935AB2"/>
    <w:rsid w:val="199693C0"/>
    <w:rsid w:val="199A6F6B"/>
    <w:rsid w:val="199B995C"/>
    <w:rsid w:val="199C6F1F"/>
    <w:rsid w:val="19B63EDF"/>
    <w:rsid w:val="19B79BC9"/>
    <w:rsid w:val="19B7A5FB"/>
    <w:rsid w:val="19B8DAC2"/>
    <w:rsid w:val="19E66C1F"/>
    <w:rsid w:val="19ED90EC"/>
    <w:rsid w:val="19EF64D7"/>
    <w:rsid w:val="19F95729"/>
    <w:rsid w:val="19FDFF95"/>
    <w:rsid w:val="19FF2F55"/>
    <w:rsid w:val="1A01D587"/>
    <w:rsid w:val="1A02888A"/>
    <w:rsid w:val="1A043046"/>
    <w:rsid w:val="1A046257"/>
    <w:rsid w:val="1A197BC6"/>
    <w:rsid w:val="1A2BC521"/>
    <w:rsid w:val="1A36BDF4"/>
    <w:rsid w:val="1A3701D8"/>
    <w:rsid w:val="1A3829F1"/>
    <w:rsid w:val="1A417439"/>
    <w:rsid w:val="1A41DF7A"/>
    <w:rsid w:val="1A47D0EF"/>
    <w:rsid w:val="1A493F90"/>
    <w:rsid w:val="1A4C80CA"/>
    <w:rsid w:val="1A56449B"/>
    <w:rsid w:val="1A574594"/>
    <w:rsid w:val="1A5D8881"/>
    <w:rsid w:val="1A62C91A"/>
    <w:rsid w:val="1A6863C6"/>
    <w:rsid w:val="1A6EB0F9"/>
    <w:rsid w:val="1A6F6CF8"/>
    <w:rsid w:val="1A74E3B6"/>
    <w:rsid w:val="1A77F2F0"/>
    <w:rsid w:val="1A7DF0F7"/>
    <w:rsid w:val="1A89C38D"/>
    <w:rsid w:val="1A8C97FB"/>
    <w:rsid w:val="1AA45178"/>
    <w:rsid w:val="1AAC90B3"/>
    <w:rsid w:val="1AB697DB"/>
    <w:rsid w:val="1ABBEE9C"/>
    <w:rsid w:val="1ABD82EF"/>
    <w:rsid w:val="1ACB76BD"/>
    <w:rsid w:val="1AD55A46"/>
    <w:rsid w:val="1AD6A627"/>
    <w:rsid w:val="1ADB32B7"/>
    <w:rsid w:val="1AED4912"/>
    <w:rsid w:val="1AF131DD"/>
    <w:rsid w:val="1AF69366"/>
    <w:rsid w:val="1AFC44DE"/>
    <w:rsid w:val="1AFD8704"/>
    <w:rsid w:val="1B02D604"/>
    <w:rsid w:val="1B094415"/>
    <w:rsid w:val="1B0D332B"/>
    <w:rsid w:val="1B0EE17A"/>
    <w:rsid w:val="1B2869E8"/>
    <w:rsid w:val="1B288CC6"/>
    <w:rsid w:val="1B2C35A7"/>
    <w:rsid w:val="1B2F3F6A"/>
    <w:rsid w:val="1B3769BD"/>
    <w:rsid w:val="1B47ABC5"/>
    <w:rsid w:val="1B48C88A"/>
    <w:rsid w:val="1B4A1B57"/>
    <w:rsid w:val="1B57F532"/>
    <w:rsid w:val="1B5C39EF"/>
    <w:rsid w:val="1B5D4932"/>
    <w:rsid w:val="1B5E784E"/>
    <w:rsid w:val="1B6256B3"/>
    <w:rsid w:val="1B62ED3A"/>
    <w:rsid w:val="1B69BACC"/>
    <w:rsid w:val="1B7A9672"/>
    <w:rsid w:val="1B7C1ED7"/>
    <w:rsid w:val="1B8B37EE"/>
    <w:rsid w:val="1B8FFED6"/>
    <w:rsid w:val="1B9A7967"/>
    <w:rsid w:val="1B9D1B43"/>
    <w:rsid w:val="1B9E4386"/>
    <w:rsid w:val="1BA06F60"/>
    <w:rsid w:val="1BAB247D"/>
    <w:rsid w:val="1BC1DAA2"/>
    <w:rsid w:val="1BC65D9C"/>
    <w:rsid w:val="1BC69932"/>
    <w:rsid w:val="1BD5F967"/>
    <w:rsid w:val="1BD9D96C"/>
    <w:rsid w:val="1BDA701F"/>
    <w:rsid w:val="1BDBB88B"/>
    <w:rsid w:val="1BDDC951"/>
    <w:rsid w:val="1BDFA042"/>
    <w:rsid w:val="1BE12AB7"/>
    <w:rsid w:val="1BE23740"/>
    <w:rsid w:val="1BE9AE51"/>
    <w:rsid w:val="1BF072DD"/>
    <w:rsid w:val="1BF1C0CB"/>
    <w:rsid w:val="1BF214FC"/>
    <w:rsid w:val="1BFABE8A"/>
    <w:rsid w:val="1BFB16F8"/>
    <w:rsid w:val="1C04A564"/>
    <w:rsid w:val="1C05EE51"/>
    <w:rsid w:val="1C0839AA"/>
    <w:rsid w:val="1C159B9E"/>
    <w:rsid w:val="1C1C8EC3"/>
    <w:rsid w:val="1C2C5B52"/>
    <w:rsid w:val="1C391FBB"/>
    <w:rsid w:val="1C3B6D0A"/>
    <w:rsid w:val="1C3FF84E"/>
    <w:rsid w:val="1C4E6294"/>
    <w:rsid w:val="1C553FAC"/>
    <w:rsid w:val="1C5BC090"/>
    <w:rsid w:val="1C690B96"/>
    <w:rsid w:val="1C69CA67"/>
    <w:rsid w:val="1C737F37"/>
    <w:rsid w:val="1C75E0AB"/>
    <w:rsid w:val="1C7A7723"/>
    <w:rsid w:val="1C83C477"/>
    <w:rsid w:val="1C872464"/>
    <w:rsid w:val="1C89CCCB"/>
    <w:rsid w:val="1C8EFF2C"/>
    <w:rsid w:val="1C9436D3"/>
    <w:rsid w:val="1C9ED118"/>
    <w:rsid w:val="1C9F9DB1"/>
    <w:rsid w:val="1CAFF965"/>
    <w:rsid w:val="1CB14FCE"/>
    <w:rsid w:val="1CB1DE76"/>
    <w:rsid w:val="1CB62C79"/>
    <w:rsid w:val="1CBD7CC0"/>
    <w:rsid w:val="1CC050FD"/>
    <w:rsid w:val="1CC1CED4"/>
    <w:rsid w:val="1CC45D27"/>
    <w:rsid w:val="1CD1CA60"/>
    <w:rsid w:val="1CD1F43E"/>
    <w:rsid w:val="1CD4078D"/>
    <w:rsid w:val="1CDBDADA"/>
    <w:rsid w:val="1CE0A2E1"/>
    <w:rsid w:val="1CE79145"/>
    <w:rsid w:val="1CEF81EE"/>
    <w:rsid w:val="1D026A0C"/>
    <w:rsid w:val="1D07DDBB"/>
    <w:rsid w:val="1D18CCE5"/>
    <w:rsid w:val="1D26A79C"/>
    <w:rsid w:val="1D2D58F4"/>
    <w:rsid w:val="1D308E25"/>
    <w:rsid w:val="1D324832"/>
    <w:rsid w:val="1D3684F9"/>
    <w:rsid w:val="1D3BD108"/>
    <w:rsid w:val="1D3EC294"/>
    <w:rsid w:val="1D4647A2"/>
    <w:rsid w:val="1D556A2D"/>
    <w:rsid w:val="1D56CC3F"/>
    <w:rsid w:val="1D5CFE5D"/>
    <w:rsid w:val="1D648B08"/>
    <w:rsid w:val="1D656B10"/>
    <w:rsid w:val="1D70B990"/>
    <w:rsid w:val="1D749345"/>
    <w:rsid w:val="1D79172F"/>
    <w:rsid w:val="1D7F81E6"/>
    <w:rsid w:val="1D84F022"/>
    <w:rsid w:val="1D95BBF9"/>
    <w:rsid w:val="1D983A99"/>
    <w:rsid w:val="1DA0DF54"/>
    <w:rsid w:val="1DA24697"/>
    <w:rsid w:val="1DB5805E"/>
    <w:rsid w:val="1DB6362D"/>
    <w:rsid w:val="1DB7A5EC"/>
    <w:rsid w:val="1DBA8AD7"/>
    <w:rsid w:val="1DBC7D7D"/>
    <w:rsid w:val="1DD224D0"/>
    <w:rsid w:val="1DD66877"/>
    <w:rsid w:val="1DDB8483"/>
    <w:rsid w:val="1DE82C4B"/>
    <w:rsid w:val="1DECFED7"/>
    <w:rsid w:val="1E02E562"/>
    <w:rsid w:val="1E0ED396"/>
    <w:rsid w:val="1E12384C"/>
    <w:rsid w:val="1E235C9A"/>
    <w:rsid w:val="1E23B256"/>
    <w:rsid w:val="1E2B98AD"/>
    <w:rsid w:val="1E2D11F9"/>
    <w:rsid w:val="1E2DDEDB"/>
    <w:rsid w:val="1E3478E2"/>
    <w:rsid w:val="1E3F91FB"/>
    <w:rsid w:val="1E422792"/>
    <w:rsid w:val="1E53F1C8"/>
    <w:rsid w:val="1E57D94C"/>
    <w:rsid w:val="1E5EC9E8"/>
    <w:rsid w:val="1E5F90AB"/>
    <w:rsid w:val="1E6FAE67"/>
    <w:rsid w:val="1E7CCD53"/>
    <w:rsid w:val="1E828A8F"/>
    <w:rsid w:val="1E8F1BDF"/>
    <w:rsid w:val="1EA79D60"/>
    <w:rsid w:val="1EC708E1"/>
    <w:rsid w:val="1ECC0AB5"/>
    <w:rsid w:val="1ECF7CB7"/>
    <w:rsid w:val="1ED4F586"/>
    <w:rsid w:val="1ED61DC5"/>
    <w:rsid w:val="1ED787EC"/>
    <w:rsid w:val="1ED83EE3"/>
    <w:rsid w:val="1EDB7022"/>
    <w:rsid w:val="1EDE5B41"/>
    <w:rsid w:val="1EE88D56"/>
    <w:rsid w:val="1EEF5558"/>
    <w:rsid w:val="1EFF9AB8"/>
    <w:rsid w:val="1F01ED39"/>
    <w:rsid w:val="1F02E0F4"/>
    <w:rsid w:val="1F054983"/>
    <w:rsid w:val="1F103930"/>
    <w:rsid w:val="1F11427C"/>
    <w:rsid w:val="1F19FEA9"/>
    <w:rsid w:val="1F231304"/>
    <w:rsid w:val="1F246137"/>
    <w:rsid w:val="1F29D582"/>
    <w:rsid w:val="1F2D10B3"/>
    <w:rsid w:val="1F4707BA"/>
    <w:rsid w:val="1F4E9A4B"/>
    <w:rsid w:val="1F587BD2"/>
    <w:rsid w:val="1F595A03"/>
    <w:rsid w:val="1F603525"/>
    <w:rsid w:val="1F60719B"/>
    <w:rsid w:val="1F648843"/>
    <w:rsid w:val="1F6F88C8"/>
    <w:rsid w:val="1F71ECAE"/>
    <w:rsid w:val="1F790398"/>
    <w:rsid w:val="1F7F429E"/>
    <w:rsid w:val="1F9A4032"/>
    <w:rsid w:val="1F9CC641"/>
    <w:rsid w:val="1F9E2A43"/>
    <w:rsid w:val="1F9EB5C3"/>
    <w:rsid w:val="1FA05315"/>
    <w:rsid w:val="1FA54816"/>
    <w:rsid w:val="1FA76D1D"/>
    <w:rsid w:val="1FA9B28A"/>
    <w:rsid w:val="1FB2F3CC"/>
    <w:rsid w:val="1FB3C988"/>
    <w:rsid w:val="1FB71977"/>
    <w:rsid w:val="1FC0604B"/>
    <w:rsid w:val="1FD1B823"/>
    <w:rsid w:val="1FD3AFDE"/>
    <w:rsid w:val="1FD68CE2"/>
    <w:rsid w:val="1FE09300"/>
    <w:rsid w:val="1FE2E296"/>
    <w:rsid w:val="1FE49DCC"/>
    <w:rsid w:val="1FE834F8"/>
    <w:rsid w:val="1FEADE25"/>
    <w:rsid w:val="1FEE2A1B"/>
    <w:rsid w:val="1FF26E60"/>
    <w:rsid w:val="200ABA6E"/>
    <w:rsid w:val="20119733"/>
    <w:rsid w:val="20225BA5"/>
    <w:rsid w:val="202299E1"/>
    <w:rsid w:val="202A9D11"/>
    <w:rsid w:val="202C223A"/>
    <w:rsid w:val="2038CA2C"/>
    <w:rsid w:val="203AF5AA"/>
    <w:rsid w:val="20416983"/>
    <w:rsid w:val="2042BD29"/>
    <w:rsid w:val="20465F29"/>
    <w:rsid w:val="204CE41B"/>
    <w:rsid w:val="204EE93A"/>
    <w:rsid w:val="205B7B85"/>
    <w:rsid w:val="207394BE"/>
    <w:rsid w:val="2077B1BD"/>
    <w:rsid w:val="20784DBF"/>
    <w:rsid w:val="208DA6EC"/>
    <w:rsid w:val="2099E5C5"/>
    <w:rsid w:val="209FE731"/>
    <w:rsid w:val="20AC05C7"/>
    <w:rsid w:val="20BCC821"/>
    <w:rsid w:val="20BF01C3"/>
    <w:rsid w:val="20BFA7FE"/>
    <w:rsid w:val="20C07F7C"/>
    <w:rsid w:val="20C1147B"/>
    <w:rsid w:val="20C172F3"/>
    <w:rsid w:val="20C61932"/>
    <w:rsid w:val="20C6909C"/>
    <w:rsid w:val="20C81D5D"/>
    <w:rsid w:val="20CD0447"/>
    <w:rsid w:val="20CE881B"/>
    <w:rsid w:val="20D03BD9"/>
    <w:rsid w:val="20D5AEC1"/>
    <w:rsid w:val="20DED43B"/>
    <w:rsid w:val="20DFD4A8"/>
    <w:rsid w:val="20E558DF"/>
    <w:rsid w:val="20E6F91D"/>
    <w:rsid w:val="20F0923A"/>
    <w:rsid w:val="20F267DC"/>
    <w:rsid w:val="20F35617"/>
    <w:rsid w:val="20F5A87C"/>
    <w:rsid w:val="20F82C9D"/>
    <w:rsid w:val="20FC8BD3"/>
    <w:rsid w:val="20FF24B8"/>
    <w:rsid w:val="210749F6"/>
    <w:rsid w:val="21173CFE"/>
    <w:rsid w:val="2125DDD8"/>
    <w:rsid w:val="212D0C1F"/>
    <w:rsid w:val="212D2552"/>
    <w:rsid w:val="2131FABC"/>
    <w:rsid w:val="21324E6D"/>
    <w:rsid w:val="21358FD1"/>
    <w:rsid w:val="213C7CB9"/>
    <w:rsid w:val="213F2726"/>
    <w:rsid w:val="2152550A"/>
    <w:rsid w:val="215B070D"/>
    <w:rsid w:val="21667E3F"/>
    <w:rsid w:val="216A6C87"/>
    <w:rsid w:val="216C09F1"/>
    <w:rsid w:val="21762C8E"/>
    <w:rsid w:val="2176FEC6"/>
    <w:rsid w:val="2179E857"/>
    <w:rsid w:val="217EC20D"/>
    <w:rsid w:val="218164CF"/>
    <w:rsid w:val="2187CBB9"/>
    <w:rsid w:val="21899D9C"/>
    <w:rsid w:val="219C30F7"/>
    <w:rsid w:val="219E0E0E"/>
    <w:rsid w:val="21AB3891"/>
    <w:rsid w:val="21AFD2B4"/>
    <w:rsid w:val="21B1040A"/>
    <w:rsid w:val="21D49A8D"/>
    <w:rsid w:val="21DE9620"/>
    <w:rsid w:val="21E581BF"/>
    <w:rsid w:val="21E5A2EC"/>
    <w:rsid w:val="21F58E99"/>
    <w:rsid w:val="220713D0"/>
    <w:rsid w:val="22174530"/>
    <w:rsid w:val="2218715D"/>
    <w:rsid w:val="221A37EC"/>
    <w:rsid w:val="2221CFC0"/>
    <w:rsid w:val="22229E6A"/>
    <w:rsid w:val="222422C3"/>
    <w:rsid w:val="2224D2F1"/>
    <w:rsid w:val="222F3935"/>
    <w:rsid w:val="2230FE09"/>
    <w:rsid w:val="223B7EF5"/>
    <w:rsid w:val="223E0F7B"/>
    <w:rsid w:val="223E2683"/>
    <w:rsid w:val="224367B2"/>
    <w:rsid w:val="2244E261"/>
    <w:rsid w:val="22453AEB"/>
    <w:rsid w:val="22496FA4"/>
    <w:rsid w:val="225212AE"/>
    <w:rsid w:val="2252E77E"/>
    <w:rsid w:val="2260FE86"/>
    <w:rsid w:val="2265B526"/>
    <w:rsid w:val="22704764"/>
    <w:rsid w:val="22727B67"/>
    <w:rsid w:val="2275D48E"/>
    <w:rsid w:val="227BCB26"/>
    <w:rsid w:val="22837129"/>
    <w:rsid w:val="229AC3AF"/>
    <w:rsid w:val="229FB61F"/>
    <w:rsid w:val="22A321FE"/>
    <w:rsid w:val="22A809ED"/>
    <w:rsid w:val="22B16462"/>
    <w:rsid w:val="22B1A4B5"/>
    <w:rsid w:val="22B536F4"/>
    <w:rsid w:val="22B63B0C"/>
    <w:rsid w:val="22C3D0DB"/>
    <w:rsid w:val="22C5E798"/>
    <w:rsid w:val="22CAF9A6"/>
    <w:rsid w:val="22DF1955"/>
    <w:rsid w:val="22E157A5"/>
    <w:rsid w:val="22E63CAF"/>
    <w:rsid w:val="22EE097E"/>
    <w:rsid w:val="22F20EB1"/>
    <w:rsid w:val="23046BA0"/>
    <w:rsid w:val="2304803E"/>
    <w:rsid w:val="2304A729"/>
    <w:rsid w:val="231D744F"/>
    <w:rsid w:val="23241975"/>
    <w:rsid w:val="2324D590"/>
    <w:rsid w:val="232C5B95"/>
    <w:rsid w:val="23324B14"/>
    <w:rsid w:val="233372F1"/>
    <w:rsid w:val="23385495"/>
    <w:rsid w:val="2340FE69"/>
    <w:rsid w:val="234224BF"/>
    <w:rsid w:val="2346353F"/>
    <w:rsid w:val="234CD46B"/>
    <w:rsid w:val="234D3D1D"/>
    <w:rsid w:val="23551973"/>
    <w:rsid w:val="23623D27"/>
    <w:rsid w:val="2366852A"/>
    <w:rsid w:val="236EA09B"/>
    <w:rsid w:val="2371A602"/>
    <w:rsid w:val="2371F0C3"/>
    <w:rsid w:val="2379F78A"/>
    <w:rsid w:val="2387E589"/>
    <w:rsid w:val="238BED69"/>
    <w:rsid w:val="2393CCF4"/>
    <w:rsid w:val="23A0CBE0"/>
    <w:rsid w:val="23A2241D"/>
    <w:rsid w:val="23A3535E"/>
    <w:rsid w:val="23A3C811"/>
    <w:rsid w:val="23AF29D6"/>
    <w:rsid w:val="23AF5718"/>
    <w:rsid w:val="23C366FB"/>
    <w:rsid w:val="23CE8245"/>
    <w:rsid w:val="23D6B994"/>
    <w:rsid w:val="23D93378"/>
    <w:rsid w:val="23D95D89"/>
    <w:rsid w:val="23DCC808"/>
    <w:rsid w:val="23DD4AE4"/>
    <w:rsid w:val="23E23E07"/>
    <w:rsid w:val="23E766F1"/>
    <w:rsid w:val="23EB054A"/>
    <w:rsid w:val="23F21B8E"/>
    <w:rsid w:val="23F2227C"/>
    <w:rsid w:val="24019F72"/>
    <w:rsid w:val="24148515"/>
    <w:rsid w:val="2415039D"/>
    <w:rsid w:val="242A7CF3"/>
    <w:rsid w:val="24423443"/>
    <w:rsid w:val="244412E8"/>
    <w:rsid w:val="244887F2"/>
    <w:rsid w:val="245B00B8"/>
    <w:rsid w:val="245F6177"/>
    <w:rsid w:val="245FF7DE"/>
    <w:rsid w:val="246085D5"/>
    <w:rsid w:val="2467CA25"/>
    <w:rsid w:val="2468B608"/>
    <w:rsid w:val="246B5C55"/>
    <w:rsid w:val="246EBE6E"/>
    <w:rsid w:val="247BE1FD"/>
    <w:rsid w:val="2489D54D"/>
    <w:rsid w:val="248A94AA"/>
    <w:rsid w:val="248BA7F7"/>
    <w:rsid w:val="248F6101"/>
    <w:rsid w:val="2492AB78"/>
    <w:rsid w:val="24989F50"/>
    <w:rsid w:val="249CF053"/>
    <w:rsid w:val="24A14281"/>
    <w:rsid w:val="24A5AC69"/>
    <w:rsid w:val="24A7CB17"/>
    <w:rsid w:val="24AF9AA3"/>
    <w:rsid w:val="24B0545D"/>
    <w:rsid w:val="24B525B2"/>
    <w:rsid w:val="24B7BF7E"/>
    <w:rsid w:val="24C188E3"/>
    <w:rsid w:val="24CD2719"/>
    <w:rsid w:val="24CDA129"/>
    <w:rsid w:val="24CF0E69"/>
    <w:rsid w:val="24D12B31"/>
    <w:rsid w:val="24E532AD"/>
    <w:rsid w:val="24F2C7F2"/>
    <w:rsid w:val="24F33351"/>
    <w:rsid w:val="25003321"/>
    <w:rsid w:val="2501DC45"/>
    <w:rsid w:val="2503DA97"/>
    <w:rsid w:val="25047130"/>
    <w:rsid w:val="2512F1EB"/>
    <w:rsid w:val="2513FEFE"/>
    <w:rsid w:val="251A6CD7"/>
    <w:rsid w:val="2527C3DD"/>
    <w:rsid w:val="252B4238"/>
    <w:rsid w:val="252CC8C3"/>
    <w:rsid w:val="252E5B50"/>
    <w:rsid w:val="2533A098"/>
    <w:rsid w:val="2537359F"/>
    <w:rsid w:val="2546B241"/>
    <w:rsid w:val="254AFA37"/>
    <w:rsid w:val="254B22E0"/>
    <w:rsid w:val="25541B9D"/>
    <w:rsid w:val="2559FEE1"/>
    <w:rsid w:val="255F22C6"/>
    <w:rsid w:val="25637F62"/>
    <w:rsid w:val="25689ECB"/>
    <w:rsid w:val="256D815C"/>
    <w:rsid w:val="256DD752"/>
    <w:rsid w:val="25708E5A"/>
    <w:rsid w:val="257E8D81"/>
    <w:rsid w:val="2589B370"/>
    <w:rsid w:val="258D4027"/>
    <w:rsid w:val="25974D79"/>
    <w:rsid w:val="259CF3ED"/>
    <w:rsid w:val="25A37B03"/>
    <w:rsid w:val="25AABBCF"/>
    <w:rsid w:val="25AD7550"/>
    <w:rsid w:val="25AEA863"/>
    <w:rsid w:val="25B3D58B"/>
    <w:rsid w:val="25B811F3"/>
    <w:rsid w:val="25C26703"/>
    <w:rsid w:val="25CCA879"/>
    <w:rsid w:val="25CD3944"/>
    <w:rsid w:val="25CE8087"/>
    <w:rsid w:val="25D2C789"/>
    <w:rsid w:val="25D3602D"/>
    <w:rsid w:val="25D3D9BE"/>
    <w:rsid w:val="25DA3CC1"/>
    <w:rsid w:val="25E39BD3"/>
    <w:rsid w:val="25E4B35B"/>
    <w:rsid w:val="25E70E45"/>
    <w:rsid w:val="25EAA4C5"/>
    <w:rsid w:val="25F1DF17"/>
    <w:rsid w:val="26015C46"/>
    <w:rsid w:val="2607F38B"/>
    <w:rsid w:val="2608111D"/>
    <w:rsid w:val="2614A8F5"/>
    <w:rsid w:val="2619D6AF"/>
    <w:rsid w:val="262B032A"/>
    <w:rsid w:val="2631542A"/>
    <w:rsid w:val="2638A396"/>
    <w:rsid w:val="26554092"/>
    <w:rsid w:val="2656032D"/>
    <w:rsid w:val="265EBE43"/>
    <w:rsid w:val="26634F8F"/>
    <w:rsid w:val="26652C19"/>
    <w:rsid w:val="2668978B"/>
    <w:rsid w:val="266C3C39"/>
    <w:rsid w:val="267A104D"/>
    <w:rsid w:val="2686685D"/>
    <w:rsid w:val="26A1DB9B"/>
    <w:rsid w:val="26B318E7"/>
    <w:rsid w:val="26B8D355"/>
    <w:rsid w:val="26C644EF"/>
    <w:rsid w:val="26CDFBE1"/>
    <w:rsid w:val="26EB2A0A"/>
    <w:rsid w:val="26F757FB"/>
    <w:rsid w:val="271F40EF"/>
    <w:rsid w:val="27218E3D"/>
    <w:rsid w:val="272357B6"/>
    <w:rsid w:val="2723C419"/>
    <w:rsid w:val="272C434F"/>
    <w:rsid w:val="2752C0A9"/>
    <w:rsid w:val="2756ED83"/>
    <w:rsid w:val="275B1BA5"/>
    <w:rsid w:val="275E3E1D"/>
    <w:rsid w:val="275FD7D4"/>
    <w:rsid w:val="276030F1"/>
    <w:rsid w:val="2761C4F7"/>
    <w:rsid w:val="2765602E"/>
    <w:rsid w:val="27711257"/>
    <w:rsid w:val="277359B4"/>
    <w:rsid w:val="2779E0E4"/>
    <w:rsid w:val="277B6568"/>
    <w:rsid w:val="27837F7B"/>
    <w:rsid w:val="278AE25E"/>
    <w:rsid w:val="27A425D6"/>
    <w:rsid w:val="27B51B78"/>
    <w:rsid w:val="27CDFCF0"/>
    <w:rsid w:val="27CF0228"/>
    <w:rsid w:val="27DD5012"/>
    <w:rsid w:val="27DEE525"/>
    <w:rsid w:val="27DFB481"/>
    <w:rsid w:val="27E865D0"/>
    <w:rsid w:val="27F4269D"/>
    <w:rsid w:val="27F90CB5"/>
    <w:rsid w:val="27FE4BCF"/>
    <w:rsid w:val="28023EC5"/>
    <w:rsid w:val="280B6700"/>
    <w:rsid w:val="280C5F7F"/>
    <w:rsid w:val="2812077D"/>
    <w:rsid w:val="2813789D"/>
    <w:rsid w:val="281E54F9"/>
    <w:rsid w:val="2824A0E9"/>
    <w:rsid w:val="28283665"/>
    <w:rsid w:val="282AB572"/>
    <w:rsid w:val="28334867"/>
    <w:rsid w:val="2833F29E"/>
    <w:rsid w:val="283D01DC"/>
    <w:rsid w:val="283F629F"/>
    <w:rsid w:val="2841D74E"/>
    <w:rsid w:val="2843B8DE"/>
    <w:rsid w:val="284924C6"/>
    <w:rsid w:val="284B9E85"/>
    <w:rsid w:val="284ECF51"/>
    <w:rsid w:val="286AB683"/>
    <w:rsid w:val="28705703"/>
    <w:rsid w:val="287AB937"/>
    <w:rsid w:val="2884B351"/>
    <w:rsid w:val="288F14BE"/>
    <w:rsid w:val="2895CF99"/>
    <w:rsid w:val="289D6588"/>
    <w:rsid w:val="28A8D5B0"/>
    <w:rsid w:val="28B55C6E"/>
    <w:rsid w:val="28BA080D"/>
    <w:rsid w:val="28CE85E1"/>
    <w:rsid w:val="28D22084"/>
    <w:rsid w:val="28D5DC88"/>
    <w:rsid w:val="28E9C061"/>
    <w:rsid w:val="2903B369"/>
    <w:rsid w:val="29199639"/>
    <w:rsid w:val="29227DA9"/>
    <w:rsid w:val="292FCAA6"/>
    <w:rsid w:val="29311478"/>
    <w:rsid w:val="29432255"/>
    <w:rsid w:val="2943BC4E"/>
    <w:rsid w:val="2944B65C"/>
    <w:rsid w:val="2946ACAD"/>
    <w:rsid w:val="2946D51E"/>
    <w:rsid w:val="2956D37F"/>
    <w:rsid w:val="2969A2A5"/>
    <w:rsid w:val="2969D0B0"/>
    <w:rsid w:val="29731ACE"/>
    <w:rsid w:val="29758CFE"/>
    <w:rsid w:val="29814A6B"/>
    <w:rsid w:val="29852806"/>
    <w:rsid w:val="29853F34"/>
    <w:rsid w:val="298B6155"/>
    <w:rsid w:val="2990F79D"/>
    <w:rsid w:val="2994A067"/>
    <w:rsid w:val="29987C7F"/>
    <w:rsid w:val="29993CEC"/>
    <w:rsid w:val="29A7BF78"/>
    <w:rsid w:val="29A81DA8"/>
    <w:rsid w:val="29B10E3B"/>
    <w:rsid w:val="29B2AFA4"/>
    <w:rsid w:val="29B852D5"/>
    <w:rsid w:val="29B8A5F0"/>
    <w:rsid w:val="29C2EE01"/>
    <w:rsid w:val="29C4A397"/>
    <w:rsid w:val="29C757EA"/>
    <w:rsid w:val="29DCADFA"/>
    <w:rsid w:val="29E59B4A"/>
    <w:rsid w:val="29E7CC27"/>
    <w:rsid w:val="29E93F57"/>
    <w:rsid w:val="29EB0378"/>
    <w:rsid w:val="29EC3705"/>
    <w:rsid w:val="29F04BFC"/>
    <w:rsid w:val="2A01236E"/>
    <w:rsid w:val="2A06DFA4"/>
    <w:rsid w:val="2A073C7C"/>
    <w:rsid w:val="2A09D55C"/>
    <w:rsid w:val="2A0BC980"/>
    <w:rsid w:val="2A0FA367"/>
    <w:rsid w:val="2A1F3005"/>
    <w:rsid w:val="2A2162DE"/>
    <w:rsid w:val="2A252E27"/>
    <w:rsid w:val="2A31068B"/>
    <w:rsid w:val="2A33347D"/>
    <w:rsid w:val="2A38E5D7"/>
    <w:rsid w:val="2A38F42E"/>
    <w:rsid w:val="2A3C14AA"/>
    <w:rsid w:val="2A3C3C92"/>
    <w:rsid w:val="2A3EC308"/>
    <w:rsid w:val="2A4381E0"/>
    <w:rsid w:val="2A50DAA2"/>
    <w:rsid w:val="2A55C1B1"/>
    <w:rsid w:val="2A569771"/>
    <w:rsid w:val="2A585C85"/>
    <w:rsid w:val="2A58DFB8"/>
    <w:rsid w:val="2A5AB54C"/>
    <w:rsid w:val="2A5AC68C"/>
    <w:rsid w:val="2A64F5E0"/>
    <w:rsid w:val="2A69409A"/>
    <w:rsid w:val="2A7FE582"/>
    <w:rsid w:val="2A861560"/>
    <w:rsid w:val="2A8BE17E"/>
    <w:rsid w:val="2A8DE913"/>
    <w:rsid w:val="2A915927"/>
    <w:rsid w:val="2A94F594"/>
    <w:rsid w:val="2A9E3C4C"/>
    <w:rsid w:val="2A9FEAF8"/>
    <w:rsid w:val="2AAB7BC3"/>
    <w:rsid w:val="2AAE7ADB"/>
    <w:rsid w:val="2AB3FC5E"/>
    <w:rsid w:val="2AB5669A"/>
    <w:rsid w:val="2AB950B8"/>
    <w:rsid w:val="2AB9B36E"/>
    <w:rsid w:val="2ABF4FC9"/>
    <w:rsid w:val="2ABFDA82"/>
    <w:rsid w:val="2AC26664"/>
    <w:rsid w:val="2AC3D5B0"/>
    <w:rsid w:val="2AC482BA"/>
    <w:rsid w:val="2AD2F53B"/>
    <w:rsid w:val="2AD73985"/>
    <w:rsid w:val="2ADE0A95"/>
    <w:rsid w:val="2AE37F18"/>
    <w:rsid w:val="2AE65312"/>
    <w:rsid w:val="2AE96870"/>
    <w:rsid w:val="2AF4EEA6"/>
    <w:rsid w:val="2AF5583B"/>
    <w:rsid w:val="2AFA1575"/>
    <w:rsid w:val="2AFE2D43"/>
    <w:rsid w:val="2B04B629"/>
    <w:rsid w:val="2B0A456E"/>
    <w:rsid w:val="2B0F927E"/>
    <w:rsid w:val="2B14ED67"/>
    <w:rsid w:val="2B2334D9"/>
    <w:rsid w:val="2B245A2A"/>
    <w:rsid w:val="2B2AE766"/>
    <w:rsid w:val="2B2C1C48"/>
    <w:rsid w:val="2B32207A"/>
    <w:rsid w:val="2B3653CB"/>
    <w:rsid w:val="2B429771"/>
    <w:rsid w:val="2B44F8D3"/>
    <w:rsid w:val="2B46AECA"/>
    <w:rsid w:val="2B54B6BE"/>
    <w:rsid w:val="2B561084"/>
    <w:rsid w:val="2B5E2730"/>
    <w:rsid w:val="2B5EBE62"/>
    <w:rsid w:val="2B5F17FF"/>
    <w:rsid w:val="2B61356C"/>
    <w:rsid w:val="2B64D6EC"/>
    <w:rsid w:val="2B6C52D9"/>
    <w:rsid w:val="2B7B2363"/>
    <w:rsid w:val="2B7BEC6B"/>
    <w:rsid w:val="2B7DFE92"/>
    <w:rsid w:val="2B83833C"/>
    <w:rsid w:val="2B8533B9"/>
    <w:rsid w:val="2B866D3F"/>
    <w:rsid w:val="2B914C6D"/>
    <w:rsid w:val="2B936285"/>
    <w:rsid w:val="2BA3BE53"/>
    <w:rsid w:val="2BD04DF6"/>
    <w:rsid w:val="2BD61576"/>
    <w:rsid w:val="2BD817F0"/>
    <w:rsid w:val="2BE14D68"/>
    <w:rsid w:val="2BE7A382"/>
    <w:rsid w:val="2C0238F6"/>
    <w:rsid w:val="2C05BF22"/>
    <w:rsid w:val="2C0BDC58"/>
    <w:rsid w:val="2C0F283C"/>
    <w:rsid w:val="2C161DC5"/>
    <w:rsid w:val="2C1CC949"/>
    <w:rsid w:val="2C219109"/>
    <w:rsid w:val="2C287466"/>
    <w:rsid w:val="2C3465DF"/>
    <w:rsid w:val="2C3B050A"/>
    <w:rsid w:val="2C40DD12"/>
    <w:rsid w:val="2C41490E"/>
    <w:rsid w:val="2C457916"/>
    <w:rsid w:val="2C4E5F1E"/>
    <w:rsid w:val="2C4ECEAC"/>
    <w:rsid w:val="2C5136FB"/>
    <w:rsid w:val="2C5C3AD6"/>
    <w:rsid w:val="2C612E38"/>
    <w:rsid w:val="2C728DE6"/>
    <w:rsid w:val="2C74D2DF"/>
    <w:rsid w:val="2C7A235C"/>
    <w:rsid w:val="2C7A3A5C"/>
    <w:rsid w:val="2C898F68"/>
    <w:rsid w:val="2C8F30C3"/>
    <w:rsid w:val="2C8F3B8D"/>
    <w:rsid w:val="2C90BF07"/>
    <w:rsid w:val="2C9BE001"/>
    <w:rsid w:val="2C9BE4E1"/>
    <w:rsid w:val="2CA52BF7"/>
    <w:rsid w:val="2CA5C1CE"/>
    <w:rsid w:val="2CA997D7"/>
    <w:rsid w:val="2CAE9BC0"/>
    <w:rsid w:val="2CB8FD27"/>
    <w:rsid w:val="2CBB576B"/>
    <w:rsid w:val="2CC68AB7"/>
    <w:rsid w:val="2CC6B7C7"/>
    <w:rsid w:val="2CCB3B69"/>
    <w:rsid w:val="2CCE67E4"/>
    <w:rsid w:val="2CD647AE"/>
    <w:rsid w:val="2CD741BB"/>
    <w:rsid w:val="2CD9C93E"/>
    <w:rsid w:val="2CE1E949"/>
    <w:rsid w:val="2CE7A558"/>
    <w:rsid w:val="2CE9DA2C"/>
    <w:rsid w:val="2CEA3915"/>
    <w:rsid w:val="2CF5027C"/>
    <w:rsid w:val="2D0817D4"/>
    <w:rsid w:val="2D179AB5"/>
    <w:rsid w:val="2D188AB0"/>
    <w:rsid w:val="2D267E44"/>
    <w:rsid w:val="2D281069"/>
    <w:rsid w:val="2D28C064"/>
    <w:rsid w:val="2D3C2B18"/>
    <w:rsid w:val="2D3D0C68"/>
    <w:rsid w:val="2D3DDE0B"/>
    <w:rsid w:val="2D489C87"/>
    <w:rsid w:val="2D4B6793"/>
    <w:rsid w:val="2D62E45B"/>
    <w:rsid w:val="2D6A3B80"/>
    <w:rsid w:val="2D7DA5FA"/>
    <w:rsid w:val="2D801308"/>
    <w:rsid w:val="2D820048"/>
    <w:rsid w:val="2D84DE08"/>
    <w:rsid w:val="2D869FCB"/>
    <w:rsid w:val="2D8889F8"/>
    <w:rsid w:val="2D8DEAD8"/>
    <w:rsid w:val="2D8E8273"/>
    <w:rsid w:val="2D900AD3"/>
    <w:rsid w:val="2D9026D3"/>
    <w:rsid w:val="2D958746"/>
    <w:rsid w:val="2D99B2EB"/>
    <w:rsid w:val="2D9E9CF9"/>
    <w:rsid w:val="2DA1E18B"/>
    <w:rsid w:val="2DAA9120"/>
    <w:rsid w:val="2DB9341F"/>
    <w:rsid w:val="2DC0D2AD"/>
    <w:rsid w:val="2DC34F08"/>
    <w:rsid w:val="2DC5E035"/>
    <w:rsid w:val="2DDD20DB"/>
    <w:rsid w:val="2DEE2F56"/>
    <w:rsid w:val="2DF1EBDC"/>
    <w:rsid w:val="2DF814EE"/>
    <w:rsid w:val="2DFBD613"/>
    <w:rsid w:val="2DFE0FE8"/>
    <w:rsid w:val="2E00813B"/>
    <w:rsid w:val="2E028653"/>
    <w:rsid w:val="2E03BF75"/>
    <w:rsid w:val="2E0466E6"/>
    <w:rsid w:val="2E12C196"/>
    <w:rsid w:val="2E168512"/>
    <w:rsid w:val="2E1A7552"/>
    <w:rsid w:val="2E219CF6"/>
    <w:rsid w:val="2E2A3F49"/>
    <w:rsid w:val="2E2B6779"/>
    <w:rsid w:val="2E2C7110"/>
    <w:rsid w:val="2E448FD6"/>
    <w:rsid w:val="2E4AB991"/>
    <w:rsid w:val="2E571578"/>
    <w:rsid w:val="2E5BD7E4"/>
    <w:rsid w:val="2E5D7401"/>
    <w:rsid w:val="2E60AFA1"/>
    <w:rsid w:val="2E62F0F7"/>
    <w:rsid w:val="2E6C6D67"/>
    <w:rsid w:val="2E9CFF60"/>
    <w:rsid w:val="2EA11FBB"/>
    <w:rsid w:val="2EABD427"/>
    <w:rsid w:val="2EB674AD"/>
    <w:rsid w:val="2EB813DF"/>
    <w:rsid w:val="2EC02B09"/>
    <w:rsid w:val="2EC4CC8A"/>
    <w:rsid w:val="2ED5E8D9"/>
    <w:rsid w:val="2ED7F123"/>
    <w:rsid w:val="2EF93C1C"/>
    <w:rsid w:val="2EFCE452"/>
    <w:rsid w:val="2EFFA430"/>
    <w:rsid w:val="2F00513A"/>
    <w:rsid w:val="2F00EC1C"/>
    <w:rsid w:val="2F097307"/>
    <w:rsid w:val="2F0A2C3C"/>
    <w:rsid w:val="2F0B0734"/>
    <w:rsid w:val="2F0C6E36"/>
    <w:rsid w:val="2F28249D"/>
    <w:rsid w:val="2F28CE83"/>
    <w:rsid w:val="2F344E4E"/>
    <w:rsid w:val="2F428E94"/>
    <w:rsid w:val="2F430F82"/>
    <w:rsid w:val="2F46EA2E"/>
    <w:rsid w:val="2F47B6AB"/>
    <w:rsid w:val="2F529492"/>
    <w:rsid w:val="2F5E42F6"/>
    <w:rsid w:val="2F605AE8"/>
    <w:rsid w:val="2F638821"/>
    <w:rsid w:val="2F6F3464"/>
    <w:rsid w:val="2F76FF60"/>
    <w:rsid w:val="2F77BC06"/>
    <w:rsid w:val="2F80E735"/>
    <w:rsid w:val="2F86C55C"/>
    <w:rsid w:val="2F978783"/>
    <w:rsid w:val="2F9A7967"/>
    <w:rsid w:val="2FA8189F"/>
    <w:rsid w:val="2FA84C16"/>
    <w:rsid w:val="2FB7A82D"/>
    <w:rsid w:val="2FB9AFFE"/>
    <w:rsid w:val="2FBBE4C6"/>
    <w:rsid w:val="2FC0A9CD"/>
    <w:rsid w:val="2FD638A6"/>
    <w:rsid w:val="2FD877CD"/>
    <w:rsid w:val="2FDA47E2"/>
    <w:rsid w:val="2FE0D63D"/>
    <w:rsid w:val="2FEB870D"/>
    <w:rsid w:val="2FED63B7"/>
    <w:rsid w:val="2FF37939"/>
    <w:rsid w:val="2FFA4645"/>
    <w:rsid w:val="2FFD09D9"/>
    <w:rsid w:val="300927BE"/>
    <w:rsid w:val="300F3763"/>
    <w:rsid w:val="3013CE0C"/>
    <w:rsid w:val="3017CA83"/>
    <w:rsid w:val="301F461A"/>
    <w:rsid w:val="30214927"/>
    <w:rsid w:val="30248EED"/>
    <w:rsid w:val="3033A729"/>
    <w:rsid w:val="3039B769"/>
    <w:rsid w:val="3039FF11"/>
    <w:rsid w:val="303C9E77"/>
    <w:rsid w:val="303E0AAE"/>
    <w:rsid w:val="304E999F"/>
    <w:rsid w:val="3051A174"/>
    <w:rsid w:val="3056DE37"/>
    <w:rsid w:val="3058017E"/>
    <w:rsid w:val="30678420"/>
    <w:rsid w:val="307256A7"/>
    <w:rsid w:val="30773152"/>
    <w:rsid w:val="308C95FC"/>
    <w:rsid w:val="308DCC4F"/>
    <w:rsid w:val="30907ECF"/>
    <w:rsid w:val="30A156D1"/>
    <w:rsid w:val="30A3858B"/>
    <w:rsid w:val="30A665CB"/>
    <w:rsid w:val="30AFCC22"/>
    <w:rsid w:val="30B04AAB"/>
    <w:rsid w:val="30B47B79"/>
    <w:rsid w:val="30B84339"/>
    <w:rsid w:val="30BCE009"/>
    <w:rsid w:val="30CCD935"/>
    <w:rsid w:val="30CF5F51"/>
    <w:rsid w:val="30D01EAF"/>
    <w:rsid w:val="30D9F245"/>
    <w:rsid w:val="30DB0EAA"/>
    <w:rsid w:val="30E1F477"/>
    <w:rsid w:val="30E2E50A"/>
    <w:rsid w:val="30F9B26E"/>
    <w:rsid w:val="30FD69C8"/>
    <w:rsid w:val="3107C9D7"/>
    <w:rsid w:val="310C67CF"/>
    <w:rsid w:val="310FB438"/>
    <w:rsid w:val="311172B8"/>
    <w:rsid w:val="31186D8A"/>
    <w:rsid w:val="311B8409"/>
    <w:rsid w:val="312049D2"/>
    <w:rsid w:val="3122CE69"/>
    <w:rsid w:val="31259FAC"/>
    <w:rsid w:val="312C72D8"/>
    <w:rsid w:val="3134B000"/>
    <w:rsid w:val="313A8AAE"/>
    <w:rsid w:val="3154E89F"/>
    <w:rsid w:val="315D7D28"/>
    <w:rsid w:val="315D8DEF"/>
    <w:rsid w:val="31613171"/>
    <w:rsid w:val="3163083B"/>
    <w:rsid w:val="316562B1"/>
    <w:rsid w:val="31681878"/>
    <w:rsid w:val="317080C1"/>
    <w:rsid w:val="31744EA0"/>
    <w:rsid w:val="31786B77"/>
    <w:rsid w:val="317BFE57"/>
    <w:rsid w:val="31843A9A"/>
    <w:rsid w:val="3186C7BD"/>
    <w:rsid w:val="3198BF8E"/>
    <w:rsid w:val="31BC7288"/>
    <w:rsid w:val="31C5338E"/>
    <w:rsid w:val="31CA2E82"/>
    <w:rsid w:val="31CB0278"/>
    <w:rsid w:val="31E57B6E"/>
    <w:rsid w:val="31E79E58"/>
    <w:rsid w:val="31E9C371"/>
    <w:rsid w:val="31EA5F6C"/>
    <w:rsid w:val="31F2E9D4"/>
    <w:rsid w:val="31F8A6F6"/>
    <w:rsid w:val="320D01EC"/>
    <w:rsid w:val="320EFA13"/>
    <w:rsid w:val="321C65B5"/>
    <w:rsid w:val="32256651"/>
    <w:rsid w:val="322676AA"/>
    <w:rsid w:val="322A597D"/>
    <w:rsid w:val="322AF490"/>
    <w:rsid w:val="3231955F"/>
    <w:rsid w:val="323CFAF9"/>
    <w:rsid w:val="32477714"/>
    <w:rsid w:val="325270EC"/>
    <w:rsid w:val="32548A90"/>
    <w:rsid w:val="3257DCE1"/>
    <w:rsid w:val="325A3574"/>
    <w:rsid w:val="325CE816"/>
    <w:rsid w:val="325DED4E"/>
    <w:rsid w:val="3264FA78"/>
    <w:rsid w:val="326B6B22"/>
    <w:rsid w:val="327CE87C"/>
    <w:rsid w:val="327F818D"/>
    <w:rsid w:val="327FF14D"/>
    <w:rsid w:val="32ABBCE0"/>
    <w:rsid w:val="32AF63AA"/>
    <w:rsid w:val="32B256BE"/>
    <w:rsid w:val="32BE9711"/>
    <w:rsid w:val="32CD19C3"/>
    <w:rsid w:val="32D2CDCB"/>
    <w:rsid w:val="32DD0374"/>
    <w:rsid w:val="32E7D6FC"/>
    <w:rsid w:val="32EF24DE"/>
    <w:rsid w:val="3300B89E"/>
    <w:rsid w:val="3302546A"/>
    <w:rsid w:val="3305D8D8"/>
    <w:rsid w:val="33092D2C"/>
    <w:rsid w:val="331800F9"/>
    <w:rsid w:val="3324A60A"/>
    <w:rsid w:val="33284FBA"/>
    <w:rsid w:val="333CAC02"/>
    <w:rsid w:val="333F5B61"/>
    <w:rsid w:val="333FFFB2"/>
    <w:rsid w:val="3346F2E4"/>
    <w:rsid w:val="334BB624"/>
    <w:rsid w:val="3353F086"/>
    <w:rsid w:val="3368ADF8"/>
    <w:rsid w:val="33758777"/>
    <w:rsid w:val="33809F90"/>
    <w:rsid w:val="33812010"/>
    <w:rsid w:val="33820BC3"/>
    <w:rsid w:val="3382F1A2"/>
    <w:rsid w:val="3387F377"/>
    <w:rsid w:val="33931CD0"/>
    <w:rsid w:val="339FD3A9"/>
    <w:rsid w:val="33A314D9"/>
    <w:rsid w:val="33A451BC"/>
    <w:rsid w:val="33AA9EC5"/>
    <w:rsid w:val="33B3A301"/>
    <w:rsid w:val="33B4BD20"/>
    <w:rsid w:val="33B7EA13"/>
    <w:rsid w:val="33E3BA8D"/>
    <w:rsid w:val="33E48105"/>
    <w:rsid w:val="33EBD813"/>
    <w:rsid w:val="33ED85F9"/>
    <w:rsid w:val="33EED66E"/>
    <w:rsid w:val="33F36A2A"/>
    <w:rsid w:val="33FA0502"/>
    <w:rsid w:val="3407BF71"/>
    <w:rsid w:val="341B708C"/>
    <w:rsid w:val="34284575"/>
    <w:rsid w:val="342CE8C9"/>
    <w:rsid w:val="3437B1DB"/>
    <w:rsid w:val="343CE45A"/>
    <w:rsid w:val="3440CB59"/>
    <w:rsid w:val="344188E6"/>
    <w:rsid w:val="3444981A"/>
    <w:rsid w:val="344F7F5E"/>
    <w:rsid w:val="34502149"/>
    <w:rsid w:val="3457E21F"/>
    <w:rsid w:val="345915EE"/>
    <w:rsid w:val="346269F0"/>
    <w:rsid w:val="3465B433"/>
    <w:rsid w:val="346CDA94"/>
    <w:rsid w:val="346FC097"/>
    <w:rsid w:val="34706740"/>
    <w:rsid w:val="347938CA"/>
    <w:rsid w:val="347EE963"/>
    <w:rsid w:val="34830A14"/>
    <w:rsid w:val="3488F3EA"/>
    <w:rsid w:val="348BA0AF"/>
    <w:rsid w:val="348FF944"/>
    <w:rsid w:val="3493FD04"/>
    <w:rsid w:val="3496B87A"/>
    <w:rsid w:val="34B09882"/>
    <w:rsid w:val="34B3D15A"/>
    <w:rsid w:val="34BB5462"/>
    <w:rsid w:val="34C5154D"/>
    <w:rsid w:val="34DB0BD0"/>
    <w:rsid w:val="34DD4E25"/>
    <w:rsid w:val="34EAF209"/>
    <w:rsid w:val="34FC3656"/>
    <w:rsid w:val="350A6BDB"/>
    <w:rsid w:val="350E1271"/>
    <w:rsid w:val="3514A1F8"/>
    <w:rsid w:val="3515BD12"/>
    <w:rsid w:val="352B60D9"/>
    <w:rsid w:val="3530F990"/>
    <w:rsid w:val="353C50C4"/>
    <w:rsid w:val="353E1840"/>
    <w:rsid w:val="353F744B"/>
    <w:rsid w:val="35438FD0"/>
    <w:rsid w:val="3549B9C8"/>
    <w:rsid w:val="3556A82E"/>
    <w:rsid w:val="3557E8D8"/>
    <w:rsid w:val="3558EE3C"/>
    <w:rsid w:val="355AC339"/>
    <w:rsid w:val="35621CA9"/>
    <w:rsid w:val="3569299E"/>
    <w:rsid w:val="356E703D"/>
    <w:rsid w:val="356F9511"/>
    <w:rsid w:val="35721BFC"/>
    <w:rsid w:val="35743CBD"/>
    <w:rsid w:val="35768D13"/>
    <w:rsid w:val="3577383D"/>
    <w:rsid w:val="35778E7A"/>
    <w:rsid w:val="357F5EDF"/>
    <w:rsid w:val="3581FB08"/>
    <w:rsid w:val="3584B2BB"/>
    <w:rsid w:val="35884A27"/>
    <w:rsid w:val="358AA6CF"/>
    <w:rsid w:val="358BA341"/>
    <w:rsid w:val="358BB239"/>
    <w:rsid w:val="358EB65C"/>
    <w:rsid w:val="35956410"/>
    <w:rsid w:val="35A00DCE"/>
    <w:rsid w:val="35ABEB47"/>
    <w:rsid w:val="35B514CB"/>
    <w:rsid w:val="35B68CD5"/>
    <w:rsid w:val="35BACDCB"/>
    <w:rsid w:val="35C4BAA2"/>
    <w:rsid w:val="35D00739"/>
    <w:rsid w:val="35D0684E"/>
    <w:rsid w:val="35D1C295"/>
    <w:rsid w:val="35D1EABD"/>
    <w:rsid w:val="35D2C9A5"/>
    <w:rsid w:val="35D854A7"/>
    <w:rsid w:val="35D88B5C"/>
    <w:rsid w:val="35DDEFB5"/>
    <w:rsid w:val="35EA28A8"/>
    <w:rsid w:val="35ED7019"/>
    <w:rsid w:val="35EFA8BD"/>
    <w:rsid w:val="35F45219"/>
    <w:rsid w:val="3600A6B1"/>
    <w:rsid w:val="36176EBA"/>
    <w:rsid w:val="362A36FF"/>
    <w:rsid w:val="362BEA28"/>
    <w:rsid w:val="3639C545"/>
    <w:rsid w:val="363CBD17"/>
    <w:rsid w:val="36400038"/>
    <w:rsid w:val="36469A2C"/>
    <w:rsid w:val="36480D20"/>
    <w:rsid w:val="364D9539"/>
    <w:rsid w:val="364FA1BB"/>
    <w:rsid w:val="3650DD65"/>
    <w:rsid w:val="365170AF"/>
    <w:rsid w:val="3653B24D"/>
    <w:rsid w:val="365711B3"/>
    <w:rsid w:val="3657EB3E"/>
    <w:rsid w:val="3665731D"/>
    <w:rsid w:val="36666BDF"/>
    <w:rsid w:val="36691E19"/>
    <w:rsid w:val="36701121"/>
    <w:rsid w:val="3671284F"/>
    <w:rsid w:val="36713D75"/>
    <w:rsid w:val="368044F6"/>
    <w:rsid w:val="36860109"/>
    <w:rsid w:val="368D574B"/>
    <w:rsid w:val="3691AFF4"/>
    <w:rsid w:val="3692067D"/>
    <w:rsid w:val="369F8961"/>
    <w:rsid w:val="36A04109"/>
    <w:rsid w:val="36A5921B"/>
    <w:rsid w:val="36A6B347"/>
    <w:rsid w:val="36AAFC09"/>
    <w:rsid w:val="36AEF683"/>
    <w:rsid w:val="36B51955"/>
    <w:rsid w:val="36B561CE"/>
    <w:rsid w:val="36BB7F2C"/>
    <w:rsid w:val="36BF59E7"/>
    <w:rsid w:val="36C73475"/>
    <w:rsid w:val="36C7D85D"/>
    <w:rsid w:val="36E297A1"/>
    <w:rsid w:val="36FAE0BC"/>
    <w:rsid w:val="37014817"/>
    <w:rsid w:val="3701E3C2"/>
    <w:rsid w:val="370F69B3"/>
    <w:rsid w:val="371B4CE5"/>
    <w:rsid w:val="3722715E"/>
    <w:rsid w:val="372A046D"/>
    <w:rsid w:val="372EE710"/>
    <w:rsid w:val="373B6DFA"/>
    <w:rsid w:val="374038D8"/>
    <w:rsid w:val="374AC680"/>
    <w:rsid w:val="374DDAF7"/>
    <w:rsid w:val="3753C3E6"/>
    <w:rsid w:val="37565EF4"/>
    <w:rsid w:val="3756A286"/>
    <w:rsid w:val="37579BAA"/>
    <w:rsid w:val="375B97C2"/>
    <w:rsid w:val="37713FA9"/>
    <w:rsid w:val="37721E96"/>
    <w:rsid w:val="37729FE5"/>
    <w:rsid w:val="3774612F"/>
    <w:rsid w:val="3778F5D7"/>
    <w:rsid w:val="377DBBC0"/>
    <w:rsid w:val="378F0356"/>
    <w:rsid w:val="3794C3B7"/>
    <w:rsid w:val="379ACED0"/>
    <w:rsid w:val="37BB7206"/>
    <w:rsid w:val="37BC5F1D"/>
    <w:rsid w:val="37C703BA"/>
    <w:rsid w:val="37CD548E"/>
    <w:rsid w:val="37D09052"/>
    <w:rsid w:val="37D5C278"/>
    <w:rsid w:val="37EB5BB0"/>
    <w:rsid w:val="37F1FB28"/>
    <w:rsid w:val="37F80158"/>
    <w:rsid w:val="37FBAE76"/>
    <w:rsid w:val="380E1E75"/>
    <w:rsid w:val="38168947"/>
    <w:rsid w:val="381FC6E8"/>
    <w:rsid w:val="38205015"/>
    <w:rsid w:val="38243E01"/>
    <w:rsid w:val="38251001"/>
    <w:rsid w:val="38269080"/>
    <w:rsid w:val="3839C90E"/>
    <w:rsid w:val="3844A04C"/>
    <w:rsid w:val="38471520"/>
    <w:rsid w:val="38493773"/>
    <w:rsid w:val="385539F5"/>
    <w:rsid w:val="385DB829"/>
    <w:rsid w:val="38649DE4"/>
    <w:rsid w:val="3866257B"/>
    <w:rsid w:val="38701EE9"/>
    <w:rsid w:val="3875F88B"/>
    <w:rsid w:val="387D0699"/>
    <w:rsid w:val="3880B75A"/>
    <w:rsid w:val="388A5700"/>
    <w:rsid w:val="388BE80C"/>
    <w:rsid w:val="389C7C9D"/>
    <w:rsid w:val="38A543B6"/>
    <w:rsid w:val="38B51895"/>
    <w:rsid w:val="38B5A4FA"/>
    <w:rsid w:val="38BA493B"/>
    <w:rsid w:val="38BF982E"/>
    <w:rsid w:val="38BFBA9C"/>
    <w:rsid w:val="38C82231"/>
    <w:rsid w:val="38C86E7B"/>
    <w:rsid w:val="38DA152E"/>
    <w:rsid w:val="38DB3094"/>
    <w:rsid w:val="38DC8FB3"/>
    <w:rsid w:val="38E39D62"/>
    <w:rsid w:val="38E74AE7"/>
    <w:rsid w:val="38F7AB50"/>
    <w:rsid w:val="39066752"/>
    <w:rsid w:val="390736BF"/>
    <w:rsid w:val="3908DDBC"/>
    <w:rsid w:val="392A32E0"/>
    <w:rsid w:val="3934A457"/>
    <w:rsid w:val="394209B1"/>
    <w:rsid w:val="394C0BEA"/>
    <w:rsid w:val="394F7BE4"/>
    <w:rsid w:val="39636013"/>
    <w:rsid w:val="396A8952"/>
    <w:rsid w:val="39705966"/>
    <w:rsid w:val="39718B6F"/>
    <w:rsid w:val="3972B6AC"/>
    <w:rsid w:val="3979BC82"/>
    <w:rsid w:val="397A1224"/>
    <w:rsid w:val="397AF630"/>
    <w:rsid w:val="397D4FB7"/>
    <w:rsid w:val="397D9525"/>
    <w:rsid w:val="3984A14D"/>
    <w:rsid w:val="398B2A2F"/>
    <w:rsid w:val="398DE813"/>
    <w:rsid w:val="39975FFF"/>
    <w:rsid w:val="39A3492B"/>
    <w:rsid w:val="39A5737E"/>
    <w:rsid w:val="39A80BA1"/>
    <w:rsid w:val="39AA4BE0"/>
    <w:rsid w:val="39AC9355"/>
    <w:rsid w:val="39B2C0D1"/>
    <w:rsid w:val="39BFFA9B"/>
    <w:rsid w:val="39C0A3A2"/>
    <w:rsid w:val="39CBA08B"/>
    <w:rsid w:val="39E5F65D"/>
    <w:rsid w:val="39EAC947"/>
    <w:rsid w:val="39EFAC96"/>
    <w:rsid w:val="39F1184E"/>
    <w:rsid w:val="39F91997"/>
    <w:rsid w:val="39FE2BB7"/>
    <w:rsid w:val="3A076907"/>
    <w:rsid w:val="3A07FDB8"/>
    <w:rsid w:val="3A0A761D"/>
    <w:rsid w:val="3A0EC621"/>
    <w:rsid w:val="3A1823A2"/>
    <w:rsid w:val="3A1A6273"/>
    <w:rsid w:val="3A2E8C51"/>
    <w:rsid w:val="3A32F35C"/>
    <w:rsid w:val="3A3A7479"/>
    <w:rsid w:val="3A3B0DCB"/>
    <w:rsid w:val="3A40BEAE"/>
    <w:rsid w:val="3A45B9B9"/>
    <w:rsid w:val="3A4DA659"/>
    <w:rsid w:val="3A50D93F"/>
    <w:rsid w:val="3A5A14BD"/>
    <w:rsid w:val="3A5BDF73"/>
    <w:rsid w:val="3A5C791D"/>
    <w:rsid w:val="3A5E17F2"/>
    <w:rsid w:val="3A5EA40F"/>
    <w:rsid w:val="3A60BA3C"/>
    <w:rsid w:val="3A6166A5"/>
    <w:rsid w:val="3A6D0444"/>
    <w:rsid w:val="3A75B0AB"/>
    <w:rsid w:val="3A777A40"/>
    <w:rsid w:val="3A809DB0"/>
    <w:rsid w:val="3A8D4191"/>
    <w:rsid w:val="3A914F0D"/>
    <w:rsid w:val="3A920FFB"/>
    <w:rsid w:val="3A953D5A"/>
    <w:rsid w:val="3AA71FEA"/>
    <w:rsid w:val="3AAC56AE"/>
    <w:rsid w:val="3AB01239"/>
    <w:rsid w:val="3AB6B7AD"/>
    <w:rsid w:val="3ABF76EA"/>
    <w:rsid w:val="3AC0D6F4"/>
    <w:rsid w:val="3AC77001"/>
    <w:rsid w:val="3ACFA230"/>
    <w:rsid w:val="3AD31111"/>
    <w:rsid w:val="3AD9BFDB"/>
    <w:rsid w:val="3ADDCD33"/>
    <w:rsid w:val="3AE47336"/>
    <w:rsid w:val="3AF01528"/>
    <w:rsid w:val="3AF95D9C"/>
    <w:rsid w:val="3AFA536E"/>
    <w:rsid w:val="3B00A821"/>
    <w:rsid w:val="3B12065A"/>
    <w:rsid w:val="3B1748CD"/>
    <w:rsid w:val="3B17D687"/>
    <w:rsid w:val="3B1B9117"/>
    <w:rsid w:val="3B2811DC"/>
    <w:rsid w:val="3B2B149E"/>
    <w:rsid w:val="3B2B8FFE"/>
    <w:rsid w:val="3B398B8C"/>
    <w:rsid w:val="3B3B8527"/>
    <w:rsid w:val="3B3BD16B"/>
    <w:rsid w:val="3B3EB21F"/>
    <w:rsid w:val="3B3F3C3E"/>
    <w:rsid w:val="3B423252"/>
    <w:rsid w:val="3B445E2E"/>
    <w:rsid w:val="3B479C3D"/>
    <w:rsid w:val="3B49F46C"/>
    <w:rsid w:val="3B6179E8"/>
    <w:rsid w:val="3B6424AA"/>
    <w:rsid w:val="3B643EC2"/>
    <w:rsid w:val="3B674C25"/>
    <w:rsid w:val="3B7D07B8"/>
    <w:rsid w:val="3B82E001"/>
    <w:rsid w:val="3B86ABFF"/>
    <w:rsid w:val="3B8A29AD"/>
    <w:rsid w:val="3B8E9C90"/>
    <w:rsid w:val="3B902A65"/>
    <w:rsid w:val="3B9449B3"/>
    <w:rsid w:val="3B97FC01"/>
    <w:rsid w:val="3BA7BFAB"/>
    <w:rsid w:val="3BA8984A"/>
    <w:rsid w:val="3BAA9682"/>
    <w:rsid w:val="3BADF6CB"/>
    <w:rsid w:val="3BBD034C"/>
    <w:rsid w:val="3BBE13B1"/>
    <w:rsid w:val="3BBEE3C5"/>
    <w:rsid w:val="3BC452F7"/>
    <w:rsid w:val="3BC9EAFA"/>
    <w:rsid w:val="3BD2D9DB"/>
    <w:rsid w:val="3BD911B6"/>
    <w:rsid w:val="3BD9A638"/>
    <w:rsid w:val="3BDB652B"/>
    <w:rsid w:val="3BE72B55"/>
    <w:rsid w:val="3BEA948E"/>
    <w:rsid w:val="3BEF239F"/>
    <w:rsid w:val="3BEF7475"/>
    <w:rsid w:val="3BF3B1DE"/>
    <w:rsid w:val="3BF4F923"/>
    <w:rsid w:val="3BF4F968"/>
    <w:rsid w:val="3C044032"/>
    <w:rsid w:val="3C164693"/>
    <w:rsid w:val="3C2FDC77"/>
    <w:rsid w:val="3C34CE23"/>
    <w:rsid w:val="3C3610D2"/>
    <w:rsid w:val="3C3D6827"/>
    <w:rsid w:val="3C4A781B"/>
    <w:rsid w:val="3C528926"/>
    <w:rsid w:val="3C588325"/>
    <w:rsid w:val="3C599F0D"/>
    <w:rsid w:val="3C5D6FEE"/>
    <w:rsid w:val="3C60A048"/>
    <w:rsid w:val="3C6526C6"/>
    <w:rsid w:val="3C66B2AD"/>
    <w:rsid w:val="3C674842"/>
    <w:rsid w:val="3C6AA62E"/>
    <w:rsid w:val="3C6FD52D"/>
    <w:rsid w:val="3C79D030"/>
    <w:rsid w:val="3C7D185E"/>
    <w:rsid w:val="3C809CCD"/>
    <w:rsid w:val="3C8AD918"/>
    <w:rsid w:val="3C8F790E"/>
    <w:rsid w:val="3C98D467"/>
    <w:rsid w:val="3C9C0A0A"/>
    <w:rsid w:val="3CA0701B"/>
    <w:rsid w:val="3CA84B08"/>
    <w:rsid w:val="3CAD474C"/>
    <w:rsid w:val="3CB630D2"/>
    <w:rsid w:val="3CBE7A60"/>
    <w:rsid w:val="3CC5A3C9"/>
    <w:rsid w:val="3CC6F4F8"/>
    <w:rsid w:val="3CC89EAF"/>
    <w:rsid w:val="3CCD5CE9"/>
    <w:rsid w:val="3CD3A826"/>
    <w:rsid w:val="3CD609B8"/>
    <w:rsid w:val="3CD652B2"/>
    <w:rsid w:val="3CE51138"/>
    <w:rsid w:val="3CE7B930"/>
    <w:rsid w:val="3CEB6E70"/>
    <w:rsid w:val="3CEE46DB"/>
    <w:rsid w:val="3CF075B6"/>
    <w:rsid w:val="3CF70B9D"/>
    <w:rsid w:val="3CFC4066"/>
    <w:rsid w:val="3D1101DC"/>
    <w:rsid w:val="3D112451"/>
    <w:rsid w:val="3D115384"/>
    <w:rsid w:val="3D16BC04"/>
    <w:rsid w:val="3D188D79"/>
    <w:rsid w:val="3D2CFDCC"/>
    <w:rsid w:val="3D30C1A9"/>
    <w:rsid w:val="3D3BCB70"/>
    <w:rsid w:val="3D40F0F1"/>
    <w:rsid w:val="3D48E2C2"/>
    <w:rsid w:val="3D4E56AF"/>
    <w:rsid w:val="3D50F031"/>
    <w:rsid w:val="3D5706DA"/>
    <w:rsid w:val="3D5D8A5E"/>
    <w:rsid w:val="3D5F0C5C"/>
    <w:rsid w:val="3D5FE03E"/>
    <w:rsid w:val="3D637E1A"/>
    <w:rsid w:val="3D64CBF6"/>
    <w:rsid w:val="3D67E8EA"/>
    <w:rsid w:val="3D70C5CB"/>
    <w:rsid w:val="3D74E217"/>
    <w:rsid w:val="3D7732F3"/>
    <w:rsid w:val="3D798677"/>
    <w:rsid w:val="3D7B5E45"/>
    <w:rsid w:val="3D7CF278"/>
    <w:rsid w:val="3D985AFE"/>
    <w:rsid w:val="3D9B5F52"/>
    <w:rsid w:val="3DA42171"/>
    <w:rsid w:val="3DA917D9"/>
    <w:rsid w:val="3DAEE111"/>
    <w:rsid w:val="3DB00BF7"/>
    <w:rsid w:val="3DB2461C"/>
    <w:rsid w:val="3DB435D6"/>
    <w:rsid w:val="3DC2F512"/>
    <w:rsid w:val="3DCC0777"/>
    <w:rsid w:val="3DD09E84"/>
    <w:rsid w:val="3DD1FBAF"/>
    <w:rsid w:val="3DD95DA4"/>
    <w:rsid w:val="3DD996F8"/>
    <w:rsid w:val="3DE017F2"/>
    <w:rsid w:val="3DE73B06"/>
    <w:rsid w:val="3DF2D69C"/>
    <w:rsid w:val="3DF421BD"/>
    <w:rsid w:val="3DF8CA6F"/>
    <w:rsid w:val="3E07E90C"/>
    <w:rsid w:val="3E1CF3C8"/>
    <w:rsid w:val="3E1F8F71"/>
    <w:rsid w:val="3E213E38"/>
    <w:rsid w:val="3E2651C2"/>
    <w:rsid w:val="3E2B8C9F"/>
    <w:rsid w:val="3E2EAD4A"/>
    <w:rsid w:val="3E3EBBB9"/>
    <w:rsid w:val="3E46077F"/>
    <w:rsid w:val="3E4CBF3B"/>
    <w:rsid w:val="3E4D5BA0"/>
    <w:rsid w:val="3E6510B7"/>
    <w:rsid w:val="3E6733B2"/>
    <w:rsid w:val="3E7292C9"/>
    <w:rsid w:val="3E751434"/>
    <w:rsid w:val="3E775C98"/>
    <w:rsid w:val="3E782232"/>
    <w:rsid w:val="3E7D11A8"/>
    <w:rsid w:val="3E7F40D3"/>
    <w:rsid w:val="3E846A49"/>
    <w:rsid w:val="3E858875"/>
    <w:rsid w:val="3E85A706"/>
    <w:rsid w:val="3E8B631E"/>
    <w:rsid w:val="3E957F48"/>
    <w:rsid w:val="3E9DDFF1"/>
    <w:rsid w:val="3EA02F41"/>
    <w:rsid w:val="3EA54645"/>
    <w:rsid w:val="3EA61A7E"/>
    <w:rsid w:val="3EA7FCBB"/>
    <w:rsid w:val="3EB3EA4D"/>
    <w:rsid w:val="3EB9472A"/>
    <w:rsid w:val="3EC2294D"/>
    <w:rsid w:val="3EC464B3"/>
    <w:rsid w:val="3EC5E150"/>
    <w:rsid w:val="3EC8CE2D"/>
    <w:rsid w:val="3ECA2F0C"/>
    <w:rsid w:val="3ECAECC3"/>
    <w:rsid w:val="3ECE602D"/>
    <w:rsid w:val="3EDD0E32"/>
    <w:rsid w:val="3EE4C3EE"/>
    <w:rsid w:val="3EE6E6C5"/>
    <w:rsid w:val="3EEFDEE7"/>
    <w:rsid w:val="3F0224DB"/>
    <w:rsid w:val="3F03498D"/>
    <w:rsid w:val="3F17753C"/>
    <w:rsid w:val="3F196AC5"/>
    <w:rsid w:val="3F2A6238"/>
    <w:rsid w:val="3F2A73C4"/>
    <w:rsid w:val="3F318915"/>
    <w:rsid w:val="3F40B695"/>
    <w:rsid w:val="3F463DD0"/>
    <w:rsid w:val="3F493DA4"/>
    <w:rsid w:val="3F557513"/>
    <w:rsid w:val="3F576F58"/>
    <w:rsid w:val="3F60C94D"/>
    <w:rsid w:val="3F6952D5"/>
    <w:rsid w:val="3F70DB9B"/>
    <w:rsid w:val="3F85107F"/>
    <w:rsid w:val="3F8A5A81"/>
    <w:rsid w:val="3F8B38A8"/>
    <w:rsid w:val="3F8B7521"/>
    <w:rsid w:val="3F8BA7B2"/>
    <w:rsid w:val="3F8F03C7"/>
    <w:rsid w:val="3F93A744"/>
    <w:rsid w:val="3F93BB4E"/>
    <w:rsid w:val="3FA935DB"/>
    <w:rsid w:val="3FAC4A5C"/>
    <w:rsid w:val="3FB07370"/>
    <w:rsid w:val="3FB0C5C0"/>
    <w:rsid w:val="3FBA1778"/>
    <w:rsid w:val="3FBC83D8"/>
    <w:rsid w:val="3FC37FEF"/>
    <w:rsid w:val="3FC7186B"/>
    <w:rsid w:val="3FCCA015"/>
    <w:rsid w:val="3FCCE64B"/>
    <w:rsid w:val="3FCED09C"/>
    <w:rsid w:val="3FDCD989"/>
    <w:rsid w:val="3FE0163A"/>
    <w:rsid w:val="3FEAF7B2"/>
    <w:rsid w:val="3FF251CF"/>
    <w:rsid w:val="4002DDE4"/>
    <w:rsid w:val="4006C05B"/>
    <w:rsid w:val="4013B71A"/>
    <w:rsid w:val="4017CF51"/>
    <w:rsid w:val="40189F14"/>
    <w:rsid w:val="401A320A"/>
    <w:rsid w:val="40220230"/>
    <w:rsid w:val="4024F95F"/>
    <w:rsid w:val="402770B5"/>
    <w:rsid w:val="402B740E"/>
    <w:rsid w:val="40341207"/>
    <w:rsid w:val="403A4331"/>
    <w:rsid w:val="403DF4D7"/>
    <w:rsid w:val="403F513A"/>
    <w:rsid w:val="403F87F3"/>
    <w:rsid w:val="40409986"/>
    <w:rsid w:val="40460509"/>
    <w:rsid w:val="405A1998"/>
    <w:rsid w:val="40628FBB"/>
    <w:rsid w:val="407322F0"/>
    <w:rsid w:val="407662BF"/>
    <w:rsid w:val="407CF227"/>
    <w:rsid w:val="408318D6"/>
    <w:rsid w:val="40855416"/>
    <w:rsid w:val="408866E0"/>
    <w:rsid w:val="409A0BA2"/>
    <w:rsid w:val="40A3FACC"/>
    <w:rsid w:val="40BE05B1"/>
    <w:rsid w:val="40C45566"/>
    <w:rsid w:val="40C9ABF1"/>
    <w:rsid w:val="40CAFC0B"/>
    <w:rsid w:val="40D22F65"/>
    <w:rsid w:val="40D42CD2"/>
    <w:rsid w:val="40D607EF"/>
    <w:rsid w:val="40D61F45"/>
    <w:rsid w:val="40D9F51A"/>
    <w:rsid w:val="40DF1F81"/>
    <w:rsid w:val="40F4DE19"/>
    <w:rsid w:val="40FC0AF6"/>
    <w:rsid w:val="41003FFB"/>
    <w:rsid w:val="41052336"/>
    <w:rsid w:val="41063B86"/>
    <w:rsid w:val="41108338"/>
    <w:rsid w:val="41163027"/>
    <w:rsid w:val="4117B8B4"/>
    <w:rsid w:val="41205593"/>
    <w:rsid w:val="41298FD5"/>
    <w:rsid w:val="412A922F"/>
    <w:rsid w:val="4138ADEF"/>
    <w:rsid w:val="413C2B3C"/>
    <w:rsid w:val="413FA69A"/>
    <w:rsid w:val="414686E6"/>
    <w:rsid w:val="414695AC"/>
    <w:rsid w:val="4146E6D4"/>
    <w:rsid w:val="41513EB4"/>
    <w:rsid w:val="4155A2FB"/>
    <w:rsid w:val="416AC1E9"/>
    <w:rsid w:val="416B8CCE"/>
    <w:rsid w:val="416E6658"/>
    <w:rsid w:val="41728D5A"/>
    <w:rsid w:val="417B129F"/>
    <w:rsid w:val="417C4758"/>
    <w:rsid w:val="417D95A5"/>
    <w:rsid w:val="4181198B"/>
    <w:rsid w:val="4184B21B"/>
    <w:rsid w:val="418A2BEC"/>
    <w:rsid w:val="418CF905"/>
    <w:rsid w:val="418E1FDD"/>
    <w:rsid w:val="418F00F7"/>
    <w:rsid w:val="4191B4AE"/>
    <w:rsid w:val="41933309"/>
    <w:rsid w:val="41933461"/>
    <w:rsid w:val="4198E471"/>
    <w:rsid w:val="41AA707F"/>
    <w:rsid w:val="41AD9849"/>
    <w:rsid w:val="41B96809"/>
    <w:rsid w:val="41BDD258"/>
    <w:rsid w:val="41C2868A"/>
    <w:rsid w:val="41C36B93"/>
    <w:rsid w:val="41C86B5F"/>
    <w:rsid w:val="41C9407E"/>
    <w:rsid w:val="41D09868"/>
    <w:rsid w:val="41DF0EDC"/>
    <w:rsid w:val="41DFFE7D"/>
    <w:rsid w:val="41E1BB3D"/>
    <w:rsid w:val="41EAD047"/>
    <w:rsid w:val="41F17A12"/>
    <w:rsid w:val="41F745E5"/>
    <w:rsid w:val="41FE287F"/>
    <w:rsid w:val="4200C30E"/>
    <w:rsid w:val="42123320"/>
    <w:rsid w:val="42247871"/>
    <w:rsid w:val="422C64DC"/>
    <w:rsid w:val="4236D6B6"/>
    <w:rsid w:val="42420F49"/>
    <w:rsid w:val="42435EE3"/>
    <w:rsid w:val="4248533A"/>
    <w:rsid w:val="4250D9AE"/>
    <w:rsid w:val="4251CC4B"/>
    <w:rsid w:val="4256BEE1"/>
    <w:rsid w:val="4262F59C"/>
    <w:rsid w:val="426F7FEF"/>
    <w:rsid w:val="4270FD99"/>
    <w:rsid w:val="427E0712"/>
    <w:rsid w:val="4288FA85"/>
    <w:rsid w:val="428CE6F3"/>
    <w:rsid w:val="42914A02"/>
    <w:rsid w:val="42A8274A"/>
    <w:rsid w:val="42B38915"/>
    <w:rsid w:val="42B9BA73"/>
    <w:rsid w:val="42BBCF6D"/>
    <w:rsid w:val="42BC9EB6"/>
    <w:rsid w:val="42C948BF"/>
    <w:rsid w:val="42D95399"/>
    <w:rsid w:val="42E0A7B6"/>
    <w:rsid w:val="42E80639"/>
    <w:rsid w:val="42E9B185"/>
    <w:rsid w:val="42E9CCCB"/>
    <w:rsid w:val="42F1294E"/>
    <w:rsid w:val="42F98450"/>
    <w:rsid w:val="42FD5AD3"/>
    <w:rsid w:val="43000D52"/>
    <w:rsid w:val="430406F7"/>
    <w:rsid w:val="430B4C84"/>
    <w:rsid w:val="430E98A1"/>
    <w:rsid w:val="4314FC66"/>
    <w:rsid w:val="43152A13"/>
    <w:rsid w:val="431AD96F"/>
    <w:rsid w:val="431B8DF2"/>
    <w:rsid w:val="43256D4B"/>
    <w:rsid w:val="4337A942"/>
    <w:rsid w:val="4338AD57"/>
    <w:rsid w:val="433976C1"/>
    <w:rsid w:val="4339F512"/>
    <w:rsid w:val="433B95F4"/>
    <w:rsid w:val="433CA5EC"/>
    <w:rsid w:val="433EF73A"/>
    <w:rsid w:val="4345BF83"/>
    <w:rsid w:val="43491900"/>
    <w:rsid w:val="436F070B"/>
    <w:rsid w:val="436FF725"/>
    <w:rsid w:val="4370AD03"/>
    <w:rsid w:val="43767A29"/>
    <w:rsid w:val="43861601"/>
    <w:rsid w:val="438AA8BF"/>
    <w:rsid w:val="439C3F50"/>
    <w:rsid w:val="439C641D"/>
    <w:rsid w:val="43A3A522"/>
    <w:rsid w:val="43AD8AAF"/>
    <w:rsid w:val="43B2BA5C"/>
    <w:rsid w:val="43C4CC04"/>
    <w:rsid w:val="43C8B51E"/>
    <w:rsid w:val="43CF0CFC"/>
    <w:rsid w:val="43D262F7"/>
    <w:rsid w:val="43DD5A6F"/>
    <w:rsid w:val="43E6EC88"/>
    <w:rsid w:val="43EA7297"/>
    <w:rsid w:val="43EE1014"/>
    <w:rsid w:val="43F55A70"/>
    <w:rsid w:val="4404FA38"/>
    <w:rsid w:val="4415D108"/>
    <w:rsid w:val="4430715E"/>
    <w:rsid w:val="44332BA9"/>
    <w:rsid w:val="4434FF8D"/>
    <w:rsid w:val="4437EEC8"/>
    <w:rsid w:val="443F1AB5"/>
    <w:rsid w:val="44420687"/>
    <w:rsid w:val="444B6667"/>
    <w:rsid w:val="4450E64C"/>
    <w:rsid w:val="4466374F"/>
    <w:rsid w:val="44675AE6"/>
    <w:rsid w:val="44852915"/>
    <w:rsid w:val="4497E661"/>
    <w:rsid w:val="449C20A6"/>
    <w:rsid w:val="449F37B0"/>
    <w:rsid w:val="44A0AA10"/>
    <w:rsid w:val="44B0CCC7"/>
    <w:rsid w:val="44B7F91C"/>
    <w:rsid w:val="44B8BA4D"/>
    <w:rsid w:val="44BE3647"/>
    <w:rsid w:val="44C5B36F"/>
    <w:rsid w:val="44CAD523"/>
    <w:rsid w:val="44CEAD45"/>
    <w:rsid w:val="44CFA334"/>
    <w:rsid w:val="44D3B550"/>
    <w:rsid w:val="44D6A485"/>
    <w:rsid w:val="44D91DAD"/>
    <w:rsid w:val="44DBB0E5"/>
    <w:rsid w:val="44E6AFE7"/>
    <w:rsid w:val="44E7FCC7"/>
    <w:rsid w:val="44E9DA6B"/>
    <w:rsid w:val="44EC26F3"/>
    <w:rsid w:val="44F1538B"/>
    <w:rsid w:val="44FC12E5"/>
    <w:rsid w:val="44FC9686"/>
    <w:rsid w:val="44FE3084"/>
    <w:rsid w:val="4509FC95"/>
    <w:rsid w:val="450BF691"/>
    <w:rsid w:val="4510CB50"/>
    <w:rsid w:val="4517AF81"/>
    <w:rsid w:val="451F0D88"/>
    <w:rsid w:val="4521FAED"/>
    <w:rsid w:val="45258E89"/>
    <w:rsid w:val="45267920"/>
    <w:rsid w:val="453A1E50"/>
    <w:rsid w:val="4556B76B"/>
    <w:rsid w:val="455F97D6"/>
    <w:rsid w:val="45696C41"/>
    <w:rsid w:val="456DED19"/>
    <w:rsid w:val="457691D4"/>
    <w:rsid w:val="45770B9F"/>
    <w:rsid w:val="457CCFB9"/>
    <w:rsid w:val="4586FD04"/>
    <w:rsid w:val="459D2277"/>
    <w:rsid w:val="45A842D0"/>
    <w:rsid w:val="45AFAD55"/>
    <w:rsid w:val="45B8123C"/>
    <w:rsid w:val="45BD8AEC"/>
    <w:rsid w:val="45C0B086"/>
    <w:rsid w:val="45C3CC8A"/>
    <w:rsid w:val="45C77BE6"/>
    <w:rsid w:val="45CAA1CB"/>
    <w:rsid w:val="45DBB338"/>
    <w:rsid w:val="45E8CD5B"/>
    <w:rsid w:val="45EB29D7"/>
    <w:rsid w:val="45EBB0EB"/>
    <w:rsid w:val="45EEE442"/>
    <w:rsid w:val="45FC8CB0"/>
    <w:rsid w:val="45FCCDA3"/>
    <w:rsid w:val="4600A094"/>
    <w:rsid w:val="4600BD7C"/>
    <w:rsid w:val="46045234"/>
    <w:rsid w:val="460C1DA0"/>
    <w:rsid w:val="4618BCEE"/>
    <w:rsid w:val="461FFF06"/>
    <w:rsid w:val="46271F9A"/>
    <w:rsid w:val="46374781"/>
    <w:rsid w:val="4637F107"/>
    <w:rsid w:val="463C41DA"/>
    <w:rsid w:val="465060FA"/>
    <w:rsid w:val="465098E2"/>
    <w:rsid w:val="46570B29"/>
    <w:rsid w:val="465DFE1D"/>
    <w:rsid w:val="466FF5CA"/>
    <w:rsid w:val="467AF0EC"/>
    <w:rsid w:val="468216DA"/>
    <w:rsid w:val="46837EAC"/>
    <w:rsid w:val="468D03F0"/>
    <w:rsid w:val="46914300"/>
    <w:rsid w:val="4693959F"/>
    <w:rsid w:val="4693B7B4"/>
    <w:rsid w:val="469E4FD0"/>
    <w:rsid w:val="469ED3D5"/>
    <w:rsid w:val="46A024A4"/>
    <w:rsid w:val="46A268C4"/>
    <w:rsid w:val="46A9D88C"/>
    <w:rsid w:val="46B50C64"/>
    <w:rsid w:val="46BCCB07"/>
    <w:rsid w:val="46BDBEF5"/>
    <w:rsid w:val="46BEDBF3"/>
    <w:rsid w:val="46C05812"/>
    <w:rsid w:val="46D3DF2D"/>
    <w:rsid w:val="46D9B954"/>
    <w:rsid w:val="46E4CE92"/>
    <w:rsid w:val="46E509A2"/>
    <w:rsid w:val="46ED98F7"/>
    <w:rsid w:val="46EE8FDB"/>
    <w:rsid w:val="46F36F8E"/>
    <w:rsid w:val="46F3FA55"/>
    <w:rsid w:val="46F9A559"/>
    <w:rsid w:val="47000E1F"/>
    <w:rsid w:val="47078CFF"/>
    <w:rsid w:val="470992F6"/>
    <w:rsid w:val="47110C68"/>
    <w:rsid w:val="4711E744"/>
    <w:rsid w:val="4712FB92"/>
    <w:rsid w:val="47244BAF"/>
    <w:rsid w:val="47278907"/>
    <w:rsid w:val="472A42DE"/>
    <w:rsid w:val="473258AB"/>
    <w:rsid w:val="473879A5"/>
    <w:rsid w:val="4739F80B"/>
    <w:rsid w:val="4742601D"/>
    <w:rsid w:val="4745679E"/>
    <w:rsid w:val="474DC765"/>
    <w:rsid w:val="475D4B3B"/>
    <w:rsid w:val="476314B7"/>
    <w:rsid w:val="4766088A"/>
    <w:rsid w:val="4766FA0C"/>
    <w:rsid w:val="47682095"/>
    <w:rsid w:val="476A451E"/>
    <w:rsid w:val="47702836"/>
    <w:rsid w:val="477508B8"/>
    <w:rsid w:val="4776B718"/>
    <w:rsid w:val="478F8D44"/>
    <w:rsid w:val="4794BE7A"/>
    <w:rsid w:val="47975C40"/>
    <w:rsid w:val="479DD538"/>
    <w:rsid w:val="47B4AF8E"/>
    <w:rsid w:val="47BBE112"/>
    <w:rsid w:val="47C671B7"/>
    <w:rsid w:val="47C7F037"/>
    <w:rsid w:val="47CDFF90"/>
    <w:rsid w:val="47CEB153"/>
    <w:rsid w:val="47DA8E1B"/>
    <w:rsid w:val="47DC1DEF"/>
    <w:rsid w:val="47E17732"/>
    <w:rsid w:val="47EEA04D"/>
    <w:rsid w:val="47EF160D"/>
    <w:rsid w:val="4807AD4E"/>
    <w:rsid w:val="4809A506"/>
    <w:rsid w:val="480B2ED4"/>
    <w:rsid w:val="481264DA"/>
    <w:rsid w:val="4812C7B4"/>
    <w:rsid w:val="48277B35"/>
    <w:rsid w:val="482995F1"/>
    <w:rsid w:val="482B554B"/>
    <w:rsid w:val="48305554"/>
    <w:rsid w:val="48343748"/>
    <w:rsid w:val="4836B65B"/>
    <w:rsid w:val="4838C4C4"/>
    <w:rsid w:val="483A4707"/>
    <w:rsid w:val="483CF9F5"/>
    <w:rsid w:val="484168C2"/>
    <w:rsid w:val="4844EC85"/>
    <w:rsid w:val="4846A502"/>
    <w:rsid w:val="4853A985"/>
    <w:rsid w:val="485664EB"/>
    <w:rsid w:val="48574F9A"/>
    <w:rsid w:val="48575460"/>
    <w:rsid w:val="4857E8F5"/>
    <w:rsid w:val="48580742"/>
    <w:rsid w:val="48628F8A"/>
    <w:rsid w:val="4863A527"/>
    <w:rsid w:val="4868C87C"/>
    <w:rsid w:val="486EC6CD"/>
    <w:rsid w:val="487393FD"/>
    <w:rsid w:val="48745D1D"/>
    <w:rsid w:val="48822700"/>
    <w:rsid w:val="488424CB"/>
    <w:rsid w:val="4887E9A4"/>
    <w:rsid w:val="488AA9A0"/>
    <w:rsid w:val="488D2086"/>
    <w:rsid w:val="48958343"/>
    <w:rsid w:val="48A2CEE7"/>
    <w:rsid w:val="48B02F78"/>
    <w:rsid w:val="48B0DFF6"/>
    <w:rsid w:val="48B136AF"/>
    <w:rsid w:val="48B862AF"/>
    <w:rsid w:val="48BCDD20"/>
    <w:rsid w:val="48D1903E"/>
    <w:rsid w:val="48D1A1E7"/>
    <w:rsid w:val="48D4515E"/>
    <w:rsid w:val="48D5AA55"/>
    <w:rsid w:val="48E15A33"/>
    <w:rsid w:val="48F14645"/>
    <w:rsid w:val="48F31C56"/>
    <w:rsid w:val="48FD2643"/>
    <w:rsid w:val="490717E6"/>
    <w:rsid w:val="4907AED0"/>
    <w:rsid w:val="490DFD95"/>
    <w:rsid w:val="49115C84"/>
    <w:rsid w:val="4911AD50"/>
    <w:rsid w:val="4917986E"/>
    <w:rsid w:val="49247A4D"/>
    <w:rsid w:val="49257C38"/>
    <w:rsid w:val="4929FD4E"/>
    <w:rsid w:val="49389D14"/>
    <w:rsid w:val="493C8771"/>
    <w:rsid w:val="49501867"/>
    <w:rsid w:val="4953F217"/>
    <w:rsid w:val="4958AAFF"/>
    <w:rsid w:val="4962DE57"/>
    <w:rsid w:val="496A5CE9"/>
    <w:rsid w:val="496E15FC"/>
    <w:rsid w:val="49720361"/>
    <w:rsid w:val="4975BBAE"/>
    <w:rsid w:val="4980F6CA"/>
    <w:rsid w:val="498DBAC8"/>
    <w:rsid w:val="49936545"/>
    <w:rsid w:val="4994CE55"/>
    <w:rsid w:val="499CB6A2"/>
    <w:rsid w:val="49A44FA7"/>
    <w:rsid w:val="49A450F5"/>
    <w:rsid w:val="49A6635A"/>
    <w:rsid w:val="49A7319B"/>
    <w:rsid w:val="49AFEE8E"/>
    <w:rsid w:val="49B1E46E"/>
    <w:rsid w:val="49BE85C7"/>
    <w:rsid w:val="49C142C6"/>
    <w:rsid w:val="49C40560"/>
    <w:rsid w:val="49C46006"/>
    <w:rsid w:val="49C52C72"/>
    <w:rsid w:val="49CCC0FC"/>
    <w:rsid w:val="49D962BD"/>
    <w:rsid w:val="49E27563"/>
    <w:rsid w:val="49EFB4C2"/>
    <w:rsid w:val="49F0BCEB"/>
    <w:rsid w:val="49F635A9"/>
    <w:rsid w:val="49FDCC63"/>
    <w:rsid w:val="49FED802"/>
    <w:rsid w:val="49FFFC1B"/>
    <w:rsid w:val="4A009A7A"/>
    <w:rsid w:val="4A02F5A1"/>
    <w:rsid w:val="4A04013A"/>
    <w:rsid w:val="4A05CE52"/>
    <w:rsid w:val="4A0A1C4B"/>
    <w:rsid w:val="4A0FD3C8"/>
    <w:rsid w:val="4A102D7E"/>
    <w:rsid w:val="4A12625C"/>
    <w:rsid w:val="4A14E300"/>
    <w:rsid w:val="4A151497"/>
    <w:rsid w:val="4A18360F"/>
    <w:rsid w:val="4A318E23"/>
    <w:rsid w:val="4A32F9EF"/>
    <w:rsid w:val="4A379EF4"/>
    <w:rsid w:val="4A41D862"/>
    <w:rsid w:val="4A4E70C8"/>
    <w:rsid w:val="4A5054D8"/>
    <w:rsid w:val="4A545DA3"/>
    <w:rsid w:val="4A574991"/>
    <w:rsid w:val="4A5928D3"/>
    <w:rsid w:val="4A59564E"/>
    <w:rsid w:val="4A603EDB"/>
    <w:rsid w:val="4A612C3E"/>
    <w:rsid w:val="4A625094"/>
    <w:rsid w:val="4A66DD6A"/>
    <w:rsid w:val="4A7B655D"/>
    <w:rsid w:val="4A902322"/>
    <w:rsid w:val="4A95F92F"/>
    <w:rsid w:val="4A98EF41"/>
    <w:rsid w:val="4A9B8DAF"/>
    <w:rsid w:val="4A9FC157"/>
    <w:rsid w:val="4AA9D623"/>
    <w:rsid w:val="4AB77066"/>
    <w:rsid w:val="4AB86283"/>
    <w:rsid w:val="4ABE9AFA"/>
    <w:rsid w:val="4AC3C7CE"/>
    <w:rsid w:val="4AC43594"/>
    <w:rsid w:val="4AC573FA"/>
    <w:rsid w:val="4AC9619A"/>
    <w:rsid w:val="4ACC8B92"/>
    <w:rsid w:val="4ACE5277"/>
    <w:rsid w:val="4AD6C97B"/>
    <w:rsid w:val="4AE3034B"/>
    <w:rsid w:val="4AE6CA25"/>
    <w:rsid w:val="4AEAA656"/>
    <w:rsid w:val="4AFAAC5D"/>
    <w:rsid w:val="4AFD7529"/>
    <w:rsid w:val="4AFE8809"/>
    <w:rsid w:val="4AFECB0B"/>
    <w:rsid w:val="4AFF4B24"/>
    <w:rsid w:val="4B008047"/>
    <w:rsid w:val="4B0AFD27"/>
    <w:rsid w:val="4B0B1C67"/>
    <w:rsid w:val="4B0EF07E"/>
    <w:rsid w:val="4B13BC4F"/>
    <w:rsid w:val="4B1ACC85"/>
    <w:rsid w:val="4B1C142F"/>
    <w:rsid w:val="4B2262C2"/>
    <w:rsid w:val="4B27FBD1"/>
    <w:rsid w:val="4B2F35A6"/>
    <w:rsid w:val="4B313041"/>
    <w:rsid w:val="4B383229"/>
    <w:rsid w:val="4B4094F0"/>
    <w:rsid w:val="4B6A7813"/>
    <w:rsid w:val="4B837E3F"/>
    <w:rsid w:val="4B845CEF"/>
    <w:rsid w:val="4B9A8339"/>
    <w:rsid w:val="4B9B0076"/>
    <w:rsid w:val="4B9B1819"/>
    <w:rsid w:val="4BA1A8FF"/>
    <w:rsid w:val="4BA5FED0"/>
    <w:rsid w:val="4BA75135"/>
    <w:rsid w:val="4BB905D8"/>
    <w:rsid w:val="4BC02A83"/>
    <w:rsid w:val="4BC1BC52"/>
    <w:rsid w:val="4BCAA895"/>
    <w:rsid w:val="4BCC32F2"/>
    <w:rsid w:val="4BCFC52F"/>
    <w:rsid w:val="4BDA836B"/>
    <w:rsid w:val="4BE34402"/>
    <w:rsid w:val="4BFCE6C6"/>
    <w:rsid w:val="4C008003"/>
    <w:rsid w:val="4C1F2B64"/>
    <w:rsid w:val="4C1F713E"/>
    <w:rsid w:val="4C1FD7EE"/>
    <w:rsid w:val="4C227E8A"/>
    <w:rsid w:val="4C240D98"/>
    <w:rsid w:val="4C2666BD"/>
    <w:rsid w:val="4C2C6E9C"/>
    <w:rsid w:val="4C2CC298"/>
    <w:rsid w:val="4C30E2A6"/>
    <w:rsid w:val="4C31B01E"/>
    <w:rsid w:val="4C364705"/>
    <w:rsid w:val="4C37F21C"/>
    <w:rsid w:val="4C397EEF"/>
    <w:rsid w:val="4C3C1888"/>
    <w:rsid w:val="4C408BDB"/>
    <w:rsid w:val="4C4FEE4D"/>
    <w:rsid w:val="4C5359FE"/>
    <w:rsid w:val="4C545FE6"/>
    <w:rsid w:val="4C5A6B5B"/>
    <w:rsid w:val="4C5A8A5C"/>
    <w:rsid w:val="4C694F25"/>
    <w:rsid w:val="4C79FE59"/>
    <w:rsid w:val="4C7F96DE"/>
    <w:rsid w:val="4C860817"/>
    <w:rsid w:val="4C8D86E6"/>
    <w:rsid w:val="4C964C11"/>
    <w:rsid w:val="4CA4D0FD"/>
    <w:rsid w:val="4CAD594D"/>
    <w:rsid w:val="4CC65DC7"/>
    <w:rsid w:val="4CC96CD4"/>
    <w:rsid w:val="4CCFFA00"/>
    <w:rsid w:val="4CD191CC"/>
    <w:rsid w:val="4CDB2AA5"/>
    <w:rsid w:val="4CDF9CEF"/>
    <w:rsid w:val="4CE0FECD"/>
    <w:rsid w:val="4CE63BBB"/>
    <w:rsid w:val="4CEF0007"/>
    <w:rsid w:val="4CFAECE1"/>
    <w:rsid w:val="4CFB973B"/>
    <w:rsid w:val="4CFD3763"/>
    <w:rsid w:val="4D0118E2"/>
    <w:rsid w:val="4D017774"/>
    <w:rsid w:val="4D0A8015"/>
    <w:rsid w:val="4D0CF64B"/>
    <w:rsid w:val="4D14765B"/>
    <w:rsid w:val="4D17322F"/>
    <w:rsid w:val="4D1A4BAF"/>
    <w:rsid w:val="4D1B76CA"/>
    <w:rsid w:val="4D1DF896"/>
    <w:rsid w:val="4D226046"/>
    <w:rsid w:val="4D2869FD"/>
    <w:rsid w:val="4D3D533B"/>
    <w:rsid w:val="4D3FC861"/>
    <w:rsid w:val="4D4110C2"/>
    <w:rsid w:val="4D471781"/>
    <w:rsid w:val="4D4C0BFD"/>
    <w:rsid w:val="4D52FAAC"/>
    <w:rsid w:val="4D67A095"/>
    <w:rsid w:val="4D7019BE"/>
    <w:rsid w:val="4D70D3C6"/>
    <w:rsid w:val="4D77305E"/>
    <w:rsid w:val="4D7F5485"/>
    <w:rsid w:val="4D85E926"/>
    <w:rsid w:val="4D861022"/>
    <w:rsid w:val="4D8AA5D1"/>
    <w:rsid w:val="4D8C430C"/>
    <w:rsid w:val="4D8E9AEB"/>
    <w:rsid w:val="4D972934"/>
    <w:rsid w:val="4D978A10"/>
    <w:rsid w:val="4D99B73B"/>
    <w:rsid w:val="4DABDC7E"/>
    <w:rsid w:val="4DAE430F"/>
    <w:rsid w:val="4DAF3126"/>
    <w:rsid w:val="4DB3AE57"/>
    <w:rsid w:val="4DB3CA04"/>
    <w:rsid w:val="4DB4DF17"/>
    <w:rsid w:val="4DB8126A"/>
    <w:rsid w:val="4DB977C9"/>
    <w:rsid w:val="4DB9F4D9"/>
    <w:rsid w:val="4DBB2007"/>
    <w:rsid w:val="4DBFDDF9"/>
    <w:rsid w:val="4DC1BDDD"/>
    <w:rsid w:val="4DC5BAFB"/>
    <w:rsid w:val="4DC7678A"/>
    <w:rsid w:val="4DD3326D"/>
    <w:rsid w:val="4DE443C4"/>
    <w:rsid w:val="4DE4FC0F"/>
    <w:rsid w:val="4DE7F045"/>
    <w:rsid w:val="4DE8E46C"/>
    <w:rsid w:val="4DEAA04A"/>
    <w:rsid w:val="4DEDC6D2"/>
    <w:rsid w:val="4DEF7C15"/>
    <w:rsid w:val="4DFAEDD2"/>
    <w:rsid w:val="4E041D38"/>
    <w:rsid w:val="4E06758D"/>
    <w:rsid w:val="4E0E3863"/>
    <w:rsid w:val="4E1694CF"/>
    <w:rsid w:val="4E1C0640"/>
    <w:rsid w:val="4E2019B3"/>
    <w:rsid w:val="4E21E18F"/>
    <w:rsid w:val="4E33034C"/>
    <w:rsid w:val="4E3512B6"/>
    <w:rsid w:val="4E438B85"/>
    <w:rsid w:val="4E5548CB"/>
    <w:rsid w:val="4E61A63D"/>
    <w:rsid w:val="4E658F0C"/>
    <w:rsid w:val="4E67826B"/>
    <w:rsid w:val="4E6C9734"/>
    <w:rsid w:val="4E77EA5E"/>
    <w:rsid w:val="4E8032A9"/>
    <w:rsid w:val="4E805605"/>
    <w:rsid w:val="4E9777CD"/>
    <w:rsid w:val="4E97DD7B"/>
    <w:rsid w:val="4EA0A317"/>
    <w:rsid w:val="4EA73256"/>
    <w:rsid w:val="4EA98611"/>
    <w:rsid w:val="4EAE8185"/>
    <w:rsid w:val="4EBA65A1"/>
    <w:rsid w:val="4EBF3B85"/>
    <w:rsid w:val="4EC3875D"/>
    <w:rsid w:val="4EC3FAA3"/>
    <w:rsid w:val="4EC6D10F"/>
    <w:rsid w:val="4ED3D167"/>
    <w:rsid w:val="4ED68DE2"/>
    <w:rsid w:val="4EDEF1F7"/>
    <w:rsid w:val="4EDF8323"/>
    <w:rsid w:val="4EE53A2F"/>
    <w:rsid w:val="4EEF8A65"/>
    <w:rsid w:val="4EF2814B"/>
    <w:rsid w:val="4EF7F254"/>
    <w:rsid w:val="4F08CA82"/>
    <w:rsid w:val="4F0D2041"/>
    <w:rsid w:val="4F101287"/>
    <w:rsid w:val="4F18B6AC"/>
    <w:rsid w:val="4F1A29B7"/>
    <w:rsid w:val="4F223611"/>
    <w:rsid w:val="4F2919C3"/>
    <w:rsid w:val="4F2966C0"/>
    <w:rsid w:val="4F2C2E6A"/>
    <w:rsid w:val="4F2FDE24"/>
    <w:rsid w:val="4F36B294"/>
    <w:rsid w:val="4F37D9B3"/>
    <w:rsid w:val="4F44D998"/>
    <w:rsid w:val="4F462946"/>
    <w:rsid w:val="4F479C0F"/>
    <w:rsid w:val="4F48CD6C"/>
    <w:rsid w:val="4F5A0A1D"/>
    <w:rsid w:val="4F62AD26"/>
    <w:rsid w:val="4F6777B0"/>
    <w:rsid w:val="4F7A3F8D"/>
    <w:rsid w:val="4F8531B6"/>
    <w:rsid w:val="4F8B88E8"/>
    <w:rsid w:val="4F8FC634"/>
    <w:rsid w:val="4F92E748"/>
    <w:rsid w:val="4F983EA2"/>
    <w:rsid w:val="4F9BBA4A"/>
    <w:rsid w:val="4FA7B040"/>
    <w:rsid w:val="4FB19918"/>
    <w:rsid w:val="4FBEF2EF"/>
    <w:rsid w:val="4FBFDA75"/>
    <w:rsid w:val="4FC3C606"/>
    <w:rsid w:val="4FC4904D"/>
    <w:rsid w:val="4FD30B1A"/>
    <w:rsid w:val="4FD4D3C7"/>
    <w:rsid w:val="4FE8E380"/>
    <w:rsid w:val="4FE92E13"/>
    <w:rsid w:val="4FEB31DC"/>
    <w:rsid w:val="4FF3AB38"/>
    <w:rsid w:val="4FF8A5EB"/>
    <w:rsid w:val="4FF8A6B6"/>
    <w:rsid w:val="500170D8"/>
    <w:rsid w:val="50049EFB"/>
    <w:rsid w:val="5004D60A"/>
    <w:rsid w:val="50061B78"/>
    <w:rsid w:val="50095C74"/>
    <w:rsid w:val="500B3069"/>
    <w:rsid w:val="500F7148"/>
    <w:rsid w:val="50131D7E"/>
    <w:rsid w:val="5014D54F"/>
    <w:rsid w:val="50168EC9"/>
    <w:rsid w:val="501FB3F7"/>
    <w:rsid w:val="502C1C0D"/>
    <w:rsid w:val="50384009"/>
    <w:rsid w:val="50406C73"/>
    <w:rsid w:val="5050935F"/>
    <w:rsid w:val="5057A258"/>
    <w:rsid w:val="505A96A9"/>
    <w:rsid w:val="506052B1"/>
    <w:rsid w:val="506A6A4B"/>
    <w:rsid w:val="5076A62D"/>
    <w:rsid w:val="507968EE"/>
    <w:rsid w:val="507B5976"/>
    <w:rsid w:val="508B0686"/>
    <w:rsid w:val="508DF00D"/>
    <w:rsid w:val="50946BD0"/>
    <w:rsid w:val="5095EA64"/>
    <w:rsid w:val="5095FD0F"/>
    <w:rsid w:val="50B4D739"/>
    <w:rsid w:val="50BECB11"/>
    <w:rsid w:val="50C78C7D"/>
    <w:rsid w:val="50C79A83"/>
    <w:rsid w:val="50CA3521"/>
    <w:rsid w:val="50D257F2"/>
    <w:rsid w:val="50D289E4"/>
    <w:rsid w:val="50D344BA"/>
    <w:rsid w:val="50D85F78"/>
    <w:rsid w:val="50DA4540"/>
    <w:rsid w:val="50EFFCDA"/>
    <w:rsid w:val="50F34F14"/>
    <w:rsid w:val="50F88654"/>
    <w:rsid w:val="510E10A7"/>
    <w:rsid w:val="510E9AE4"/>
    <w:rsid w:val="5111DA0D"/>
    <w:rsid w:val="5112C0B5"/>
    <w:rsid w:val="511F5220"/>
    <w:rsid w:val="51321250"/>
    <w:rsid w:val="5135CA04"/>
    <w:rsid w:val="513657B0"/>
    <w:rsid w:val="51365DA9"/>
    <w:rsid w:val="5137C7E5"/>
    <w:rsid w:val="5142E9C8"/>
    <w:rsid w:val="51489E0B"/>
    <w:rsid w:val="514A22B7"/>
    <w:rsid w:val="514EAE4A"/>
    <w:rsid w:val="514FB373"/>
    <w:rsid w:val="51531606"/>
    <w:rsid w:val="51555CEE"/>
    <w:rsid w:val="51572070"/>
    <w:rsid w:val="515DBE80"/>
    <w:rsid w:val="51629AF4"/>
    <w:rsid w:val="51680A3F"/>
    <w:rsid w:val="5168885B"/>
    <w:rsid w:val="5169DD2E"/>
    <w:rsid w:val="5178AE2C"/>
    <w:rsid w:val="517BC077"/>
    <w:rsid w:val="5181C588"/>
    <w:rsid w:val="5182ED46"/>
    <w:rsid w:val="518C6060"/>
    <w:rsid w:val="518F6AA0"/>
    <w:rsid w:val="5199DCEB"/>
    <w:rsid w:val="519AF5E4"/>
    <w:rsid w:val="519C71CB"/>
    <w:rsid w:val="51A231BA"/>
    <w:rsid w:val="51A34EA7"/>
    <w:rsid w:val="51A52DE8"/>
    <w:rsid w:val="51B88383"/>
    <w:rsid w:val="51C0E078"/>
    <w:rsid w:val="51C35F36"/>
    <w:rsid w:val="51C5F6EC"/>
    <w:rsid w:val="51C60F85"/>
    <w:rsid w:val="51C6F596"/>
    <w:rsid w:val="51C7B62E"/>
    <w:rsid w:val="51CD6ECE"/>
    <w:rsid w:val="51DB86D8"/>
    <w:rsid w:val="51DBF6DF"/>
    <w:rsid w:val="51DE807B"/>
    <w:rsid w:val="51E0BF22"/>
    <w:rsid w:val="51E1C0BB"/>
    <w:rsid w:val="51E4524E"/>
    <w:rsid w:val="51E5FF34"/>
    <w:rsid w:val="51E93885"/>
    <w:rsid w:val="51F45E15"/>
    <w:rsid w:val="51F5D919"/>
    <w:rsid w:val="51FF88CD"/>
    <w:rsid w:val="5200D25D"/>
    <w:rsid w:val="52012852"/>
    <w:rsid w:val="52042078"/>
    <w:rsid w:val="520DDA25"/>
    <w:rsid w:val="521E5886"/>
    <w:rsid w:val="5223D4C4"/>
    <w:rsid w:val="5225C301"/>
    <w:rsid w:val="522BB94A"/>
    <w:rsid w:val="523E2FDD"/>
    <w:rsid w:val="5240229E"/>
    <w:rsid w:val="524087FE"/>
    <w:rsid w:val="52480460"/>
    <w:rsid w:val="5249EA27"/>
    <w:rsid w:val="524F089B"/>
    <w:rsid w:val="5251B2C8"/>
    <w:rsid w:val="5255E00C"/>
    <w:rsid w:val="52576E37"/>
    <w:rsid w:val="5258689B"/>
    <w:rsid w:val="5259D017"/>
    <w:rsid w:val="525DA8B7"/>
    <w:rsid w:val="5269A29D"/>
    <w:rsid w:val="526B8DE5"/>
    <w:rsid w:val="5272D468"/>
    <w:rsid w:val="52802A04"/>
    <w:rsid w:val="528374A2"/>
    <w:rsid w:val="528556DD"/>
    <w:rsid w:val="5285D035"/>
    <w:rsid w:val="52873B27"/>
    <w:rsid w:val="528916A6"/>
    <w:rsid w:val="528AD4DC"/>
    <w:rsid w:val="52932FB3"/>
    <w:rsid w:val="52934F1C"/>
    <w:rsid w:val="529BD8F7"/>
    <w:rsid w:val="529CAE8C"/>
    <w:rsid w:val="52A9CE01"/>
    <w:rsid w:val="52B0B8E8"/>
    <w:rsid w:val="52B0BA69"/>
    <w:rsid w:val="52C29C2D"/>
    <w:rsid w:val="52C3CA73"/>
    <w:rsid w:val="52E08580"/>
    <w:rsid w:val="52E22B97"/>
    <w:rsid w:val="52EA7069"/>
    <w:rsid w:val="52EB6040"/>
    <w:rsid w:val="53072304"/>
    <w:rsid w:val="531149BA"/>
    <w:rsid w:val="53226138"/>
    <w:rsid w:val="53256EBE"/>
    <w:rsid w:val="53265957"/>
    <w:rsid w:val="5327D048"/>
    <w:rsid w:val="5333D7A3"/>
    <w:rsid w:val="5335700A"/>
    <w:rsid w:val="53475FEE"/>
    <w:rsid w:val="53494887"/>
    <w:rsid w:val="534A0D06"/>
    <w:rsid w:val="534E4166"/>
    <w:rsid w:val="5353093C"/>
    <w:rsid w:val="5362F626"/>
    <w:rsid w:val="53678A24"/>
    <w:rsid w:val="536CA629"/>
    <w:rsid w:val="5370FC8E"/>
    <w:rsid w:val="53843D00"/>
    <w:rsid w:val="538F431A"/>
    <w:rsid w:val="53A44775"/>
    <w:rsid w:val="53A5BF1B"/>
    <w:rsid w:val="53A77139"/>
    <w:rsid w:val="53ABFFA6"/>
    <w:rsid w:val="53ACB9CA"/>
    <w:rsid w:val="53AFE38D"/>
    <w:rsid w:val="53B44374"/>
    <w:rsid w:val="53BD6053"/>
    <w:rsid w:val="53BD9487"/>
    <w:rsid w:val="53CB9AB2"/>
    <w:rsid w:val="53CD14B8"/>
    <w:rsid w:val="53D1E02D"/>
    <w:rsid w:val="53D48C11"/>
    <w:rsid w:val="53D7BF63"/>
    <w:rsid w:val="53D915FD"/>
    <w:rsid w:val="53E65CEF"/>
    <w:rsid w:val="53E78BB7"/>
    <w:rsid w:val="53EC5F30"/>
    <w:rsid w:val="53EECA2D"/>
    <w:rsid w:val="53EEFAE5"/>
    <w:rsid w:val="53F21A24"/>
    <w:rsid w:val="53F7EF4A"/>
    <w:rsid w:val="53F8D44B"/>
    <w:rsid w:val="5400CCE9"/>
    <w:rsid w:val="5414E3B6"/>
    <w:rsid w:val="5417B15A"/>
    <w:rsid w:val="541F9EAB"/>
    <w:rsid w:val="543096AE"/>
    <w:rsid w:val="54320CB0"/>
    <w:rsid w:val="543703C7"/>
    <w:rsid w:val="54458596"/>
    <w:rsid w:val="544A1694"/>
    <w:rsid w:val="5455A4F5"/>
    <w:rsid w:val="5456F2E2"/>
    <w:rsid w:val="545FD295"/>
    <w:rsid w:val="546BA58E"/>
    <w:rsid w:val="546D6AC6"/>
    <w:rsid w:val="546FA5C3"/>
    <w:rsid w:val="5471B364"/>
    <w:rsid w:val="54755825"/>
    <w:rsid w:val="547A0CED"/>
    <w:rsid w:val="5480D075"/>
    <w:rsid w:val="5481AFCA"/>
    <w:rsid w:val="548239D5"/>
    <w:rsid w:val="548C4FB9"/>
    <w:rsid w:val="548E083D"/>
    <w:rsid w:val="5491D9B5"/>
    <w:rsid w:val="5493D986"/>
    <w:rsid w:val="54994515"/>
    <w:rsid w:val="549D2BA9"/>
    <w:rsid w:val="54AD2A28"/>
    <w:rsid w:val="54AF932E"/>
    <w:rsid w:val="54B40286"/>
    <w:rsid w:val="54B9F7D5"/>
    <w:rsid w:val="54BA5D7B"/>
    <w:rsid w:val="54CD218F"/>
    <w:rsid w:val="54D05494"/>
    <w:rsid w:val="54D5A9FE"/>
    <w:rsid w:val="54D9FA30"/>
    <w:rsid w:val="54DB5E29"/>
    <w:rsid w:val="54DD38D7"/>
    <w:rsid w:val="54E08D0C"/>
    <w:rsid w:val="54E0BD69"/>
    <w:rsid w:val="54E2D856"/>
    <w:rsid w:val="54E99B84"/>
    <w:rsid w:val="54EA11C7"/>
    <w:rsid w:val="54EF45C2"/>
    <w:rsid w:val="54F5B898"/>
    <w:rsid w:val="550B61B6"/>
    <w:rsid w:val="5513F2F6"/>
    <w:rsid w:val="5517FBE6"/>
    <w:rsid w:val="551F6DE6"/>
    <w:rsid w:val="552F08E9"/>
    <w:rsid w:val="552FFE45"/>
    <w:rsid w:val="55359C60"/>
    <w:rsid w:val="5536D5DE"/>
    <w:rsid w:val="554304DA"/>
    <w:rsid w:val="55464566"/>
    <w:rsid w:val="5566A48C"/>
    <w:rsid w:val="5566DF10"/>
    <w:rsid w:val="556C45FD"/>
    <w:rsid w:val="556DDCCC"/>
    <w:rsid w:val="5578C1C3"/>
    <w:rsid w:val="557B9481"/>
    <w:rsid w:val="557BD8D2"/>
    <w:rsid w:val="558013A2"/>
    <w:rsid w:val="558C88FF"/>
    <w:rsid w:val="558CF6DA"/>
    <w:rsid w:val="5597C5C0"/>
    <w:rsid w:val="55A780F5"/>
    <w:rsid w:val="55BB735E"/>
    <w:rsid w:val="55C2A10A"/>
    <w:rsid w:val="55C6AA7B"/>
    <w:rsid w:val="55C9DF3C"/>
    <w:rsid w:val="55CF1EBE"/>
    <w:rsid w:val="55DAC644"/>
    <w:rsid w:val="55F33360"/>
    <w:rsid w:val="55F45D43"/>
    <w:rsid w:val="55F902ED"/>
    <w:rsid w:val="55FAE259"/>
    <w:rsid w:val="55FB0B44"/>
    <w:rsid w:val="55FC1730"/>
    <w:rsid w:val="56059B23"/>
    <w:rsid w:val="5610541E"/>
    <w:rsid w:val="56230102"/>
    <w:rsid w:val="565A5142"/>
    <w:rsid w:val="565EF9F1"/>
    <w:rsid w:val="565F710A"/>
    <w:rsid w:val="566A9BB4"/>
    <w:rsid w:val="566C308C"/>
    <w:rsid w:val="5684E662"/>
    <w:rsid w:val="5696CF76"/>
    <w:rsid w:val="569F4FE1"/>
    <w:rsid w:val="56A0EE1E"/>
    <w:rsid w:val="56A77D13"/>
    <w:rsid w:val="56B72B89"/>
    <w:rsid w:val="56BA43A1"/>
    <w:rsid w:val="56BB7118"/>
    <w:rsid w:val="56C2EDE9"/>
    <w:rsid w:val="56C4CF6C"/>
    <w:rsid w:val="56C72D48"/>
    <w:rsid w:val="56CAC345"/>
    <w:rsid w:val="56CFF0C3"/>
    <w:rsid w:val="56DEFE8D"/>
    <w:rsid w:val="56E939E8"/>
    <w:rsid w:val="56EE8612"/>
    <w:rsid w:val="56F0DC86"/>
    <w:rsid w:val="56F92AF3"/>
    <w:rsid w:val="56FB22A0"/>
    <w:rsid w:val="56FCA15E"/>
    <w:rsid w:val="56FE8A29"/>
    <w:rsid w:val="570ECFDF"/>
    <w:rsid w:val="5711346C"/>
    <w:rsid w:val="571ABE22"/>
    <w:rsid w:val="573935D1"/>
    <w:rsid w:val="573BB145"/>
    <w:rsid w:val="573E87CE"/>
    <w:rsid w:val="5745DEAF"/>
    <w:rsid w:val="5746290D"/>
    <w:rsid w:val="57592F49"/>
    <w:rsid w:val="576304FA"/>
    <w:rsid w:val="57634E8E"/>
    <w:rsid w:val="576A680E"/>
    <w:rsid w:val="57708D1B"/>
    <w:rsid w:val="5773A972"/>
    <w:rsid w:val="5777F249"/>
    <w:rsid w:val="577DF7D8"/>
    <w:rsid w:val="577FAC22"/>
    <w:rsid w:val="578B224C"/>
    <w:rsid w:val="578FE0CF"/>
    <w:rsid w:val="579C7763"/>
    <w:rsid w:val="579DF4BB"/>
    <w:rsid w:val="57A2EDC6"/>
    <w:rsid w:val="57B03B7B"/>
    <w:rsid w:val="57B938A9"/>
    <w:rsid w:val="57BA3A86"/>
    <w:rsid w:val="57C16BCA"/>
    <w:rsid w:val="57C44E28"/>
    <w:rsid w:val="57C5127D"/>
    <w:rsid w:val="57D5E7EA"/>
    <w:rsid w:val="57D81202"/>
    <w:rsid w:val="57EC58E1"/>
    <w:rsid w:val="57F9C8A5"/>
    <w:rsid w:val="57FECD40"/>
    <w:rsid w:val="5805F4C4"/>
    <w:rsid w:val="58197C0E"/>
    <w:rsid w:val="58206E25"/>
    <w:rsid w:val="5832FFA1"/>
    <w:rsid w:val="583C7B5E"/>
    <w:rsid w:val="583F843D"/>
    <w:rsid w:val="58442CF6"/>
    <w:rsid w:val="585397D4"/>
    <w:rsid w:val="5860A441"/>
    <w:rsid w:val="587086D7"/>
    <w:rsid w:val="5875132E"/>
    <w:rsid w:val="587E3AC0"/>
    <w:rsid w:val="5884D8AC"/>
    <w:rsid w:val="5886DA3E"/>
    <w:rsid w:val="588717D5"/>
    <w:rsid w:val="588F50BE"/>
    <w:rsid w:val="589D8F65"/>
    <w:rsid w:val="58A8AEAB"/>
    <w:rsid w:val="58AA08A1"/>
    <w:rsid w:val="58ACA1BF"/>
    <w:rsid w:val="58B17D4C"/>
    <w:rsid w:val="58CE0089"/>
    <w:rsid w:val="58D04881"/>
    <w:rsid w:val="58D08A25"/>
    <w:rsid w:val="58DDA825"/>
    <w:rsid w:val="58E06E4E"/>
    <w:rsid w:val="58E54747"/>
    <w:rsid w:val="58EFD3E1"/>
    <w:rsid w:val="58F82BBD"/>
    <w:rsid w:val="58F86A2B"/>
    <w:rsid w:val="5901654C"/>
    <w:rsid w:val="59019A05"/>
    <w:rsid w:val="59058E4E"/>
    <w:rsid w:val="590DEDF1"/>
    <w:rsid w:val="59220F0C"/>
    <w:rsid w:val="592C44D6"/>
    <w:rsid w:val="593D0D34"/>
    <w:rsid w:val="5940DBE9"/>
    <w:rsid w:val="59436693"/>
    <w:rsid w:val="59474676"/>
    <w:rsid w:val="59488171"/>
    <w:rsid w:val="594D1E6A"/>
    <w:rsid w:val="594D6B36"/>
    <w:rsid w:val="59501D2B"/>
    <w:rsid w:val="595AA1C4"/>
    <w:rsid w:val="59606ED3"/>
    <w:rsid w:val="59616941"/>
    <w:rsid w:val="5961C298"/>
    <w:rsid w:val="59674AA9"/>
    <w:rsid w:val="596FA15E"/>
    <w:rsid w:val="597493DA"/>
    <w:rsid w:val="5977C66A"/>
    <w:rsid w:val="59830451"/>
    <w:rsid w:val="598A0BAF"/>
    <w:rsid w:val="59936ABA"/>
    <w:rsid w:val="5993D327"/>
    <w:rsid w:val="59AA0C26"/>
    <w:rsid w:val="59B7FD2B"/>
    <w:rsid w:val="59B8117D"/>
    <w:rsid w:val="59BBCB98"/>
    <w:rsid w:val="59BC7E4E"/>
    <w:rsid w:val="59C0139B"/>
    <w:rsid w:val="59C7E621"/>
    <w:rsid w:val="59CF917D"/>
    <w:rsid w:val="59D42547"/>
    <w:rsid w:val="59E004CA"/>
    <w:rsid w:val="59F09A17"/>
    <w:rsid w:val="59F81355"/>
    <w:rsid w:val="59FA38BE"/>
    <w:rsid w:val="5A0825E2"/>
    <w:rsid w:val="5A0B7459"/>
    <w:rsid w:val="5A1497C5"/>
    <w:rsid w:val="5A271887"/>
    <w:rsid w:val="5A30DA09"/>
    <w:rsid w:val="5A33B384"/>
    <w:rsid w:val="5A3642A9"/>
    <w:rsid w:val="5A378BFC"/>
    <w:rsid w:val="5A379C29"/>
    <w:rsid w:val="5A40B6F8"/>
    <w:rsid w:val="5A446197"/>
    <w:rsid w:val="5A447F0C"/>
    <w:rsid w:val="5A48E96A"/>
    <w:rsid w:val="5A4D601C"/>
    <w:rsid w:val="5A5061C3"/>
    <w:rsid w:val="5A600FC8"/>
    <w:rsid w:val="5A63898F"/>
    <w:rsid w:val="5A6C8218"/>
    <w:rsid w:val="5A774C9C"/>
    <w:rsid w:val="5A876DED"/>
    <w:rsid w:val="5A896701"/>
    <w:rsid w:val="5A924D0C"/>
    <w:rsid w:val="5A96122D"/>
    <w:rsid w:val="5A9E258E"/>
    <w:rsid w:val="5A9E6101"/>
    <w:rsid w:val="5A9F769D"/>
    <w:rsid w:val="5AA1A8C1"/>
    <w:rsid w:val="5AA5375B"/>
    <w:rsid w:val="5AA7B6DC"/>
    <w:rsid w:val="5AA94CF6"/>
    <w:rsid w:val="5AAE7E46"/>
    <w:rsid w:val="5AB54B7A"/>
    <w:rsid w:val="5AC8530D"/>
    <w:rsid w:val="5ACD4B5F"/>
    <w:rsid w:val="5AD02614"/>
    <w:rsid w:val="5AD64D3B"/>
    <w:rsid w:val="5AD6A3C2"/>
    <w:rsid w:val="5ADA6C01"/>
    <w:rsid w:val="5AE127E8"/>
    <w:rsid w:val="5AEA3B3B"/>
    <w:rsid w:val="5AEA4D13"/>
    <w:rsid w:val="5AEA89C6"/>
    <w:rsid w:val="5AEFC6A3"/>
    <w:rsid w:val="5B0C1873"/>
    <w:rsid w:val="5B106AF4"/>
    <w:rsid w:val="5B14B2BB"/>
    <w:rsid w:val="5B159E3C"/>
    <w:rsid w:val="5B1BF291"/>
    <w:rsid w:val="5B20020D"/>
    <w:rsid w:val="5B29525F"/>
    <w:rsid w:val="5B2F9A3C"/>
    <w:rsid w:val="5B4522F4"/>
    <w:rsid w:val="5B49396A"/>
    <w:rsid w:val="5B4D9510"/>
    <w:rsid w:val="5B4FA79B"/>
    <w:rsid w:val="5B51C88F"/>
    <w:rsid w:val="5B5FFBB6"/>
    <w:rsid w:val="5B6459DA"/>
    <w:rsid w:val="5B67D48A"/>
    <w:rsid w:val="5B7013EF"/>
    <w:rsid w:val="5B76AF91"/>
    <w:rsid w:val="5B85D0A5"/>
    <w:rsid w:val="5B89E95A"/>
    <w:rsid w:val="5B8F168B"/>
    <w:rsid w:val="5B94FF71"/>
    <w:rsid w:val="5BA2EBF5"/>
    <w:rsid w:val="5BA579A2"/>
    <w:rsid w:val="5BA861D7"/>
    <w:rsid w:val="5BB0E630"/>
    <w:rsid w:val="5BB4588D"/>
    <w:rsid w:val="5BB4784E"/>
    <w:rsid w:val="5BB9F759"/>
    <w:rsid w:val="5BC03258"/>
    <w:rsid w:val="5BC8D86E"/>
    <w:rsid w:val="5BC9CBB8"/>
    <w:rsid w:val="5BDADA17"/>
    <w:rsid w:val="5BE9DD48"/>
    <w:rsid w:val="5C020801"/>
    <w:rsid w:val="5C18A005"/>
    <w:rsid w:val="5C1F09A2"/>
    <w:rsid w:val="5C22808F"/>
    <w:rsid w:val="5C3787EA"/>
    <w:rsid w:val="5C3B7B7C"/>
    <w:rsid w:val="5C41039F"/>
    <w:rsid w:val="5C4BE3CB"/>
    <w:rsid w:val="5C4C1A78"/>
    <w:rsid w:val="5C4FFDC5"/>
    <w:rsid w:val="5C579369"/>
    <w:rsid w:val="5C5810D4"/>
    <w:rsid w:val="5C65B051"/>
    <w:rsid w:val="5C68E93D"/>
    <w:rsid w:val="5C6C9EF8"/>
    <w:rsid w:val="5C7EDD2B"/>
    <w:rsid w:val="5C8747F0"/>
    <w:rsid w:val="5C8E4F26"/>
    <w:rsid w:val="5C93230B"/>
    <w:rsid w:val="5C942DF8"/>
    <w:rsid w:val="5C9520E0"/>
    <w:rsid w:val="5C9B2D64"/>
    <w:rsid w:val="5C9DACE5"/>
    <w:rsid w:val="5CAA3ADA"/>
    <w:rsid w:val="5CBF77BB"/>
    <w:rsid w:val="5CC0699B"/>
    <w:rsid w:val="5CC080F2"/>
    <w:rsid w:val="5CCAC17A"/>
    <w:rsid w:val="5CCFA572"/>
    <w:rsid w:val="5CD10F2D"/>
    <w:rsid w:val="5CD27A8D"/>
    <w:rsid w:val="5CDAA0BB"/>
    <w:rsid w:val="5CDB871F"/>
    <w:rsid w:val="5CDFF051"/>
    <w:rsid w:val="5CE392A0"/>
    <w:rsid w:val="5CE9ADD4"/>
    <w:rsid w:val="5CEF6D57"/>
    <w:rsid w:val="5CF0CE52"/>
    <w:rsid w:val="5CF1B00B"/>
    <w:rsid w:val="5CF36C5A"/>
    <w:rsid w:val="5CF4DC7F"/>
    <w:rsid w:val="5CF7A503"/>
    <w:rsid w:val="5D03D456"/>
    <w:rsid w:val="5D0CFB79"/>
    <w:rsid w:val="5D17A58C"/>
    <w:rsid w:val="5D17FB45"/>
    <w:rsid w:val="5D1A80BC"/>
    <w:rsid w:val="5D2613AB"/>
    <w:rsid w:val="5D2D2C40"/>
    <w:rsid w:val="5D2E0062"/>
    <w:rsid w:val="5D4303E4"/>
    <w:rsid w:val="5D4F3E66"/>
    <w:rsid w:val="5D4FFF31"/>
    <w:rsid w:val="5D52AEAA"/>
    <w:rsid w:val="5D5A59AC"/>
    <w:rsid w:val="5D66B868"/>
    <w:rsid w:val="5D77903A"/>
    <w:rsid w:val="5D8D8552"/>
    <w:rsid w:val="5D919AC8"/>
    <w:rsid w:val="5DA40F0F"/>
    <w:rsid w:val="5DA50142"/>
    <w:rsid w:val="5DAADF05"/>
    <w:rsid w:val="5DAD1646"/>
    <w:rsid w:val="5DB7CA91"/>
    <w:rsid w:val="5DBE0B88"/>
    <w:rsid w:val="5DC067B3"/>
    <w:rsid w:val="5DC41FC7"/>
    <w:rsid w:val="5DC56F1E"/>
    <w:rsid w:val="5DC7FCFC"/>
    <w:rsid w:val="5DCF5B67"/>
    <w:rsid w:val="5DD3494B"/>
    <w:rsid w:val="5DD601C3"/>
    <w:rsid w:val="5DD652F6"/>
    <w:rsid w:val="5DD69139"/>
    <w:rsid w:val="5DDEADFF"/>
    <w:rsid w:val="5DDEB8DA"/>
    <w:rsid w:val="5DE005A9"/>
    <w:rsid w:val="5DF143BD"/>
    <w:rsid w:val="5DFAC11B"/>
    <w:rsid w:val="5E00951F"/>
    <w:rsid w:val="5E0EDD8A"/>
    <w:rsid w:val="5E100AFC"/>
    <w:rsid w:val="5E1A481F"/>
    <w:rsid w:val="5E1A5E2F"/>
    <w:rsid w:val="5E1E1366"/>
    <w:rsid w:val="5E1E7A98"/>
    <w:rsid w:val="5E276265"/>
    <w:rsid w:val="5E287CA5"/>
    <w:rsid w:val="5E2C5DAA"/>
    <w:rsid w:val="5E3260B7"/>
    <w:rsid w:val="5E332533"/>
    <w:rsid w:val="5E34EEE3"/>
    <w:rsid w:val="5E36CD52"/>
    <w:rsid w:val="5E4E4A64"/>
    <w:rsid w:val="5E51D528"/>
    <w:rsid w:val="5E563259"/>
    <w:rsid w:val="5E58275A"/>
    <w:rsid w:val="5E5F6179"/>
    <w:rsid w:val="5E673AFE"/>
    <w:rsid w:val="5E709BC0"/>
    <w:rsid w:val="5E71FD32"/>
    <w:rsid w:val="5E738E88"/>
    <w:rsid w:val="5E7D36CA"/>
    <w:rsid w:val="5E9B4C55"/>
    <w:rsid w:val="5E9C50A3"/>
    <w:rsid w:val="5E9CC786"/>
    <w:rsid w:val="5EA21416"/>
    <w:rsid w:val="5EA2D8B0"/>
    <w:rsid w:val="5EA30729"/>
    <w:rsid w:val="5EA5620B"/>
    <w:rsid w:val="5EA7D148"/>
    <w:rsid w:val="5EA96CDB"/>
    <w:rsid w:val="5EB4F859"/>
    <w:rsid w:val="5EBAA1A1"/>
    <w:rsid w:val="5EDE54D6"/>
    <w:rsid w:val="5EE42E7B"/>
    <w:rsid w:val="5EE463EB"/>
    <w:rsid w:val="5EEC4920"/>
    <w:rsid w:val="5EED3CC4"/>
    <w:rsid w:val="5EF18131"/>
    <w:rsid w:val="5EF78B0C"/>
    <w:rsid w:val="5EF79BEA"/>
    <w:rsid w:val="5EF836F9"/>
    <w:rsid w:val="5EFAEAA5"/>
    <w:rsid w:val="5F10137B"/>
    <w:rsid w:val="5F10245F"/>
    <w:rsid w:val="5F138524"/>
    <w:rsid w:val="5F17AFEA"/>
    <w:rsid w:val="5F19EC0B"/>
    <w:rsid w:val="5F1EB4CA"/>
    <w:rsid w:val="5F214198"/>
    <w:rsid w:val="5F3D3B5E"/>
    <w:rsid w:val="5F43E2CA"/>
    <w:rsid w:val="5F486924"/>
    <w:rsid w:val="5F516BC1"/>
    <w:rsid w:val="5F5952A8"/>
    <w:rsid w:val="5F62725C"/>
    <w:rsid w:val="5F6B55F6"/>
    <w:rsid w:val="5F707F0C"/>
    <w:rsid w:val="5F71D224"/>
    <w:rsid w:val="5F7313D9"/>
    <w:rsid w:val="5F737D65"/>
    <w:rsid w:val="5F7E2F50"/>
    <w:rsid w:val="5F7EBF64"/>
    <w:rsid w:val="5F81BBCC"/>
    <w:rsid w:val="5F82B388"/>
    <w:rsid w:val="5F8551A2"/>
    <w:rsid w:val="5F87CBD2"/>
    <w:rsid w:val="5F8DF949"/>
    <w:rsid w:val="5F96CA45"/>
    <w:rsid w:val="5F98F843"/>
    <w:rsid w:val="5FA12962"/>
    <w:rsid w:val="5FA2BD13"/>
    <w:rsid w:val="5FA8570C"/>
    <w:rsid w:val="5FAAD61B"/>
    <w:rsid w:val="5FB20BEF"/>
    <w:rsid w:val="5FB55096"/>
    <w:rsid w:val="5FB61201"/>
    <w:rsid w:val="5FB74955"/>
    <w:rsid w:val="5FC2B137"/>
    <w:rsid w:val="5FC717B2"/>
    <w:rsid w:val="5FCFC73E"/>
    <w:rsid w:val="5FDC165E"/>
    <w:rsid w:val="5FDF4097"/>
    <w:rsid w:val="5FE2A338"/>
    <w:rsid w:val="5FF64603"/>
    <w:rsid w:val="5FF8C164"/>
    <w:rsid w:val="5FF9FE7E"/>
    <w:rsid w:val="5FFCEEDE"/>
    <w:rsid w:val="600CD98A"/>
    <w:rsid w:val="600F0FE5"/>
    <w:rsid w:val="600F41C4"/>
    <w:rsid w:val="6011D029"/>
    <w:rsid w:val="6011E4BF"/>
    <w:rsid w:val="6014EBA1"/>
    <w:rsid w:val="6017AAE2"/>
    <w:rsid w:val="6018DEE6"/>
    <w:rsid w:val="601D1710"/>
    <w:rsid w:val="601EE802"/>
    <w:rsid w:val="60219C7B"/>
    <w:rsid w:val="60223CF0"/>
    <w:rsid w:val="60243E6C"/>
    <w:rsid w:val="6024BC30"/>
    <w:rsid w:val="602DBC29"/>
    <w:rsid w:val="6031020C"/>
    <w:rsid w:val="60349F32"/>
    <w:rsid w:val="60391BA4"/>
    <w:rsid w:val="60401B7E"/>
    <w:rsid w:val="6040A040"/>
    <w:rsid w:val="60469F3B"/>
    <w:rsid w:val="6047B612"/>
    <w:rsid w:val="604C322E"/>
    <w:rsid w:val="6056C910"/>
    <w:rsid w:val="605871E1"/>
    <w:rsid w:val="605941C8"/>
    <w:rsid w:val="605FA16F"/>
    <w:rsid w:val="60614F8A"/>
    <w:rsid w:val="606B19C6"/>
    <w:rsid w:val="606B1C7A"/>
    <w:rsid w:val="606E3C79"/>
    <w:rsid w:val="606E46B1"/>
    <w:rsid w:val="6071279C"/>
    <w:rsid w:val="6080344C"/>
    <w:rsid w:val="608A66F0"/>
    <w:rsid w:val="608F502D"/>
    <w:rsid w:val="60904CB9"/>
    <w:rsid w:val="6094B826"/>
    <w:rsid w:val="60C22749"/>
    <w:rsid w:val="60DA8646"/>
    <w:rsid w:val="60DECB81"/>
    <w:rsid w:val="60E4E832"/>
    <w:rsid w:val="60E74EA4"/>
    <w:rsid w:val="60EFC045"/>
    <w:rsid w:val="60F65115"/>
    <w:rsid w:val="60F87719"/>
    <w:rsid w:val="61018E90"/>
    <w:rsid w:val="61029A14"/>
    <w:rsid w:val="610C990A"/>
    <w:rsid w:val="61116CF3"/>
    <w:rsid w:val="61138372"/>
    <w:rsid w:val="6117A66B"/>
    <w:rsid w:val="6119275A"/>
    <w:rsid w:val="611E85AB"/>
    <w:rsid w:val="613475E1"/>
    <w:rsid w:val="61375A38"/>
    <w:rsid w:val="61392BF7"/>
    <w:rsid w:val="615F5B96"/>
    <w:rsid w:val="61611AAA"/>
    <w:rsid w:val="6173946F"/>
    <w:rsid w:val="6182B7F2"/>
    <w:rsid w:val="61918400"/>
    <w:rsid w:val="61984FFB"/>
    <w:rsid w:val="619D5CB4"/>
    <w:rsid w:val="61A292F0"/>
    <w:rsid w:val="61A8733F"/>
    <w:rsid w:val="61AB14D9"/>
    <w:rsid w:val="61B08D89"/>
    <w:rsid w:val="61BBCDF1"/>
    <w:rsid w:val="61C12A18"/>
    <w:rsid w:val="61C9BAC1"/>
    <w:rsid w:val="61D545E6"/>
    <w:rsid w:val="61DF371C"/>
    <w:rsid w:val="61E60C88"/>
    <w:rsid w:val="61F48FB7"/>
    <w:rsid w:val="61F880B3"/>
    <w:rsid w:val="61FFC13B"/>
    <w:rsid w:val="6204FCE0"/>
    <w:rsid w:val="62165619"/>
    <w:rsid w:val="621C04AD"/>
    <w:rsid w:val="622B4536"/>
    <w:rsid w:val="623809F8"/>
    <w:rsid w:val="624BEE4E"/>
    <w:rsid w:val="624DEAE1"/>
    <w:rsid w:val="6250D599"/>
    <w:rsid w:val="6256542D"/>
    <w:rsid w:val="6263B08B"/>
    <w:rsid w:val="626736FC"/>
    <w:rsid w:val="626C6864"/>
    <w:rsid w:val="626E6F51"/>
    <w:rsid w:val="626EBDAC"/>
    <w:rsid w:val="62818497"/>
    <w:rsid w:val="628321E4"/>
    <w:rsid w:val="628623E8"/>
    <w:rsid w:val="6287FBB5"/>
    <w:rsid w:val="628AED7B"/>
    <w:rsid w:val="629AB4B6"/>
    <w:rsid w:val="62A046C0"/>
    <w:rsid w:val="62ABBB37"/>
    <w:rsid w:val="62AE1BF9"/>
    <w:rsid w:val="62B9FCF0"/>
    <w:rsid w:val="62C0FBF3"/>
    <w:rsid w:val="62C4A69B"/>
    <w:rsid w:val="62C66318"/>
    <w:rsid w:val="62CF1015"/>
    <w:rsid w:val="62D2F2D5"/>
    <w:rsid w:val="62D8D53F"/>
    <w:rsid w:val="62EA015D"/>
    <w:rsid w:val="62FCE9FD"/>
    <w:rsid w:val="630ADC3E"/>
    <w:rsid w:val="630BAFA5"/>
    <w:rsid w:val="6312EAC6"/>
    <w:rsid w:val="6315C43D"/>
    <w:rsid w:val="63182E70"/>
    <w:rsid w:val="631D34BC"/>
    <w:rsid w:val="631ED381"/>
    <w:rsid w:val="6320EB43"/>
    <w:rsid w:val="63271A9C"/>
    <w:rsid w:val="633313D7"/>
    <w:rsid w:val="633AAC21"/>
    <w:rsid w:val="633C0699"/>
    <w:rsid w:val="633EC8AB"/>
    <w:rsid w:val="6346B11B"/>
    <w:rsid w:val="63495BF2"/>
    <w:rsid w:val="635069E1"/>
    <w:rsid w:val="63548639"/>
    <w:rsid w:val="636327E2"/>
    <w:rsid w:val="63681270"/>
    <w:rsid w:val="6370E664"/>
    <w:rsid w:val="6374A548"/>
    <w:rsid w:val="63854D83"/>
    <w:rsid w:val="6390E28A"/>
    <w:rsid w:val="63921647"/>
    <w:rsid w:val="6394FB3F"/>
    <w:rsid w:val="63981882"/>
    <w:rsid w:val="63985010"/>
    <w:rsid w:val="63990107"/>
    <w:rsid w:val="639B5113"/>
    <w:rsid w:val="639BAAFD"/>
    <w:rsid w:val="639C6DC4"/>
    <w:rsid w:val="63AB87CD"/>
    <w:rsid w:val="63B3A6A0"/>
    <w:rsid w:val="63C0E040"/>
    <w:rsid w:val="63C7CD59"/>
    <w:rsid w:val="63CAB597"/>
    <w:rsid w:val="63D1D779"/>
    <w:rsid w:val="63D22E68"/>
    <w:rsid w:val="63D70B66"/>
    <w:rsid w:val="63D9E23C"/>
    <w:rsid w:val="63E2B3B2"/>
    <w:rsid w:val="63F059CF"/>
    <w:rsid w:val="640769F2"/>
    <w:rsid w:val="640C215E"/>
    <w:rsid w:val="6411F6E3"/>
    <w:rsid w:val="641EBA4F"/>
    <w:rsid w:val="6434050A"/>
    <w:rsid w:val="6436F117"/>
    <w:rsid w:val="64392F52"/>
    <w:rsid w:val="643ED5F1"/>
    <w:rsid w:val="6440A18C"/>
    <w:rsid w:val="6443235B"/>
    <w:rsid w:val="644841B2"/>
    <w:rsid w:val="644CFF43"/>
    <w:rsid w:val="64589FE7"/>
    <w:rsid w:val="64622E6F"/>
    <w:rsid w:val="6466A28E"/>
    <w:rsid w:val="646E4A35"/>
    <w:rsid w:val="647091E8"/>
    <w:rsid w:val="6470E5F8"/>
    <w:rsid w:val="64713BD4"/>
    <w:rsid w:val="647DF052"/>
    <w:rsid w:val="64800A56"/>
    <w:rsid w:val="648A4A01"/>
    <w:rsid w:val="648B59FC"/>
    <w:rsid w:val="648B8810"/>
    <w:rsid w:val="64984CD9"/>
    <w:rsid w:val="649AD0C9"/>
    <w:rsid w:val="64A7746E"/>
    <w:rsid w:val="64AB9984"/>
    <w:rsid w:val="64AC49E0"/>
    <w:rsid w:val="64AE787D"/>
    <w:rsid w:val="64AEC60E"/>
    <w:rsid w:val="64B12344"/>
    <w:rsid w:val="64BBB047"/>
    <w:rsid w:val="64BE7B21"/>
    <w:rsid w:val="64BEB3D1"/>
    <w:rsid w:val="64C0B9AC"/>
    <w:rsid w:val="64D07F2B"/>
    <w:rsid w:val="64D1111E"/>
    <w:rsid w:val="64D67C82"/>
    <w:rsid w:val="64D7E71B"/>
    <w:rsid w:val="64EA67D3"/>
    <w:rsid w:val="64EDFEF4"/>
    <w:rsid w:val="64F881D3"/>
    <w:rsid w:val="65047623"/>
    <w:rsid w:val="65092381"/>
    <w:rsid w:val="65103E48"/>
    <w:rsid w:val="651C30BF"/>
    <w:rsid w:val="651CC40E"/>
    <w:rsid w:val="651DD2D5"/>
    <w:rsid w:val="65383E25"/>
    <w:rsid w:val="653A0DEC"/>
    <w:rsid w:val="653FBFA4"/>
    <w:rsid w:val="654C9030"/>
    <w:rsid w:val="6568F8B5"/>
    <w:rsid w:val="65699D3B"/>
    <w:rsid w:val="656E1A60"/>
    <w:rsid w:val="6572B8BA"/>
    <w:rsid w:val="657F8FF4"/>
    <w:rsid w:val="6581B086"/>
    <w:rsid w:val="6584CC43"/>
    <w:rsid w:val="65882E23"/>
    <w:rsid w:val="65889848"/>
    <w:rsid w:val="658CD393"/>
    <w:rsid w:val="65957AF6"/>
    <w:rsid w:val="659D0A5F"/>
    <w:rsid w:val="659FB4BD"/>
    <w:rsid w:val="65A84D91"/>
    <w:rsid w:val="65AB5D23"/>
    <w:rsid w:val="65AE9628"/>
    <w:rsid w:val="65B4D102"/>
    <w:rsid w:val="65BB8A09"/>
    <w:rsid w:val="65C95EB9"/>
    <w:rsid w:val="65CD458E"/>
    <w:rsid w:val="65CD5C2B"/>
    <w:rsid w:val="65D4FFB3"/>
    <w:rsid w:val="65D83596"/>
    <w:rsid w:val="65D8FA41"/>
    <w:rsid w:val="65DE00F3"/>
    <w:rsid w:val="65E275D1"/>
    <w:rsid w:val="65E29654"/>
    <w:rsid w:val="65E66548"/>
    <w:rsid w:val="65F22BA1"/>
    <w:rsid w:val="65F2C665"/>
    <w:rsid w:val="65FF9496"/>
    <w:rsid w:val="660D3A13"/>
    <w:rsid w:val="660EE23F"/>
    <w:rsid w:val="661B2996"/>
    <w:rsid w:val="662E99CE"/>
    <w:rsid w:val="663550B6"/>
    <w:rsid w:val="6641EFC9"/>
    <w:rsid w:val="665B1F2E"/>
    <w:rsid w:val="665F55D9"/>
    <w:rsid w:val="66628EE7"/>
    <w:rsid w:val="66643F6D"/>
    <w:rsid w:val="66687937"/>
    <w:rsid w:val="666E2A16"/>
    <w:rsid w:val="667E6236"/>
    <w:rsid w:val="66819C89"/>
    <w:rsid w:val="66895F1B"/>
    <w:rsid w:val="6689EBC0"/>
    <w:rsid w:val="66A3F378"/>
    <w:rsid w:val="66A71490"/>
    <w:rsid w:val="66AD096D"/>
    <w:rsid w:val="66B1068A"/>
    <w:rsid w:val="66B1F3D9"/>
    <w:rsid w:val="66CF9331"/>
    <w:rsid w:val="66D68CEA"/>
    <w:rsid w:val="66D942A8"/>
    <w:rsid w:val="66DD5640"/>
    <w:rsid w:val="66E2D164"/>
    <w:rsid w:val="66E7D19F"/>
    <w:rsid w:val="66E9715E"/>
    <w:rsid w:val="66EF4F9C"/>
    <w:rsid w:val="66F36248"/>
    <w:rsid w:val="66F9F987"/>
    <w:rsid w:val="66FD3ED5"/>
    <w:rsid w:val="66FE632F"/>
    <w:rsid w:val="67047210"/>
    <w:rsid w:val="6707194B"/>
    <w:rsid w:val="670B683E"/>
    <w:rsid w:val="670D144A"/>
    <w:rsid w:val="67179DA0"/>
    <w:rsid w:val="671CF15D"/>
    <w:rsid w:val="671D0742"/>
    <w:rsid w:val="671D35FD"/>
    <w:rsid w:val="672082D3"/>
    <w:rsid w:val="672F9024"/>
    <w:rsid w:val="67378679"/>
    <w:rsid w:val="673AB4CA"/>
    <w:rsid w:val="673EC3E8"/>
    <w:rsid w:val="67425E2D"/>
    <w:rsid w:val="6749488B"/>
    <w:rsid w:val="675FA0C6"/>
    <w:rsid w:val="67717D68"/>
    <w:rsid w:val="677C78CA"/>
    <w:rsid w:val="677F2C5A"/>
    <w:rsid w:val="6783ED9F"/>
    <w:rsid w:val="6785227C"/>
    <w:rsid w:val="678BFF2D"/>
    <w:rsid w:val="6793E588"/>
    <w:rsid w:val="67989997"/>
    <w:rsid w:val="679A52BB"/>
    <w:rsid w:val="67A23137"/>
    <w:rsid w:val="67A5BC95"/>
    <w:rsid w:val="67A5F53C"/>
    <w:rsid w:val="67A70FAC"/>
    <w:rsid w:val="67A8F139"/>
    <w:rsid w:val="67ACA4F4"/>
    <w:rsid w:val="67B00113"/>
    <w:rsid w:val="67B247B5"/>
    <w:rsid w:val="67B717D0"/>
    <w:rsid w:val="67BC463F"/>
    <w:rsid w:val="67C7D179"/>
    <w:rsid w:val="67C922D0"/>
    <w:rsid w:val="67D429EE"/>
    <w:rsid w:val="67D48688"/>
    <w:rsid w:val="67E31F0C"/>
    <w:rsid w:val="67E98B98"/>
    <w:rsid w:val="67F31D4A"/>
    <w:rsid w:val="67F439DC"/>
    <w:rsid w:val="67F88341"/>
    <w:rsid w:val="680AF649"/>
    <w:rsid w:val="680D67F4"/>
    <w:rsid w:val="68148773"/>
    <w:rsid w:val="681ECAF5"/>
    <w:rsid w:val="68209758"/>
    <w:rsid w:val="6821D639"/>
    <w:rsid w:val="6827C9BF"/>
    <w:rsid w:val="682A14DF"/>
    <w:rsid w:val="682D1C4D"/>
    <w:rsid w:val="682D8275"/>
    <w:rsid w:val="682DD63A"/>
    <w:rsid w:val="683E0675"/>
    <w:rsid w:val="6840171C"/>
    <w:rsid w:val="68496042"/>
    <w:rsid w:val="684A6BEF"/>
    <w:rsid w:val="684DAF43"/>
    <w:rsid w:val="68562BD0"/>
    <w:rsid w:val="685A7719"/>
    <w:rsid w:val="685AF383"/>
    <w:rsid w:val="685F3F49"/>
    <w:rsid w:val="6862F0EF"/>
    <w:rsid w:val="68633847"/>
    <w:rsid w:val="686D715C"/>
    <w:rsid w:val="6873E062"/>
    <w:rsid w:val="6879155F"/>
    <w:rsid w:val="6886DCF5"/>
    <w:rsid w:val="688B71D1"/>
    <w:rsid w:val="688EF42B"/>
    <w:rsid w:val="6899B144"/>
    <w:rsid w:val="68C1D9D3"/>
    <w:rsid w:val="68CF48F4"/>
    <w:rsid w:val="68D28285"/>
    <w:rsid w:val="68D91967"/>
    <w:rsid w:val="68E5305F"/>
    <w:rsid w:val="68E8FB0D"/>
    <w:rsid w:val="68EDA0A5"/>
    <w:rsid w:val="68F11AAD"/>
    <w:rsid w:val="68F2DB94"/>
    <w:rsid w:val="6906C0D2"/>
    <w:rsid w:val="69075108"/>
    <w:rsid w:val="69097680"/>
    <w:rsid w:val="690B63B4"/>
    <w:rsid w:val="6911E55D"/>
    <w:rsid w:val="69156BF3"/>
    <w:rsid w:val="691962A9"/>
    <w:rsid w:val="691E6B12"/>
    <w:rsid w:val="691E6D64"/>
    <w:rsid w:val="6920A1F0"/>
    <w:rsid w:val="692D287A"/>
    <w:rsid w:val="692FF6C7"/>
    <w:rsid w:val="69330CFB"/>
    <w:rsid w:val="693E53DB"/>
    <w:rsid w:val="693F08F1"/>
    <w:rsid w:val="69410578"/>
    <w:rsid w:val="694A797D"/>
    <w:rsid w:val="6952B67A"/>
    <w:rsid w:val="6963A1DA"/>
    <w:rsid w:val="69694E69"/>
    <w:rsid w:val="69701F30"/>
    <w:rsid w:val="6973D94B"/>
    <w:rsid w:val="697413CA"/>
    <w:rsid w:val="69774850"/>
    <w:rsid w:val="697969C1"/>
    <w:rsid w:val="697CFBB6"/>
    <w:rsid w:val="6985FA8F"/>
    <w:rsid w:val="698F5F27"/>
    <w:rsid w:val="6993AE8F"/>
    <w:rsid w:val="69A19E49"/>
    <w:rsid w:val="69AFBBF2"/>
    <w:rsid w:val="69B4FDC7"/>
    <w:rsid w:val="69B8CBF6"/>
    <w:rsid w:val="69C661C6"/>
    <w:rsid w:val="69CD0292"/>
    <w:rsid w:val="69D43D6C"/>
    <w:rsid w:val="69D604D1"/>
    <w:rsid w:val="69D7DFFA"/>
    <w:rsid w:val="69DAA43F"/>
    <w:rsid w:val="69DB56FD"/>
    <w:rsid w:val="69DD352F"/>
    <w:rsid w:val="69DF66BB"/>
    <w:rsid w:val="69E8ED36"/>
    <w:rsid w:val="69F0EA67"/>
    <w:rsid w:val="69F3AE5C"/>
    <w:rsid w:val="69F89F91"/>
    <w:rsid w:val="6A0A370F"/>
    <w:rsid w:val="6A0B113B"/>
    <w:rsid w:val="6A16A12F"/>
    <w:rsid w:val="6A1A7226"/>
    <w:rsid w:val="6A22DA98"/>
    <w:rsid w:val="6A2A3F09"/>
    <w:rsid w:val="6A2E9E84"/>
    <w:rsid w:val="6A3404B3"/>
    <w:rsid w:val="6A3712FE"/>
    <w:rsid w:val="6A45B9FF"/>
    <w:rsid w:val="6A4A8C6A"/>
    <w:rsid w:val="6A558C9E"/>
    <w:rsid w:val="6A59A68F"/>
    <w:rsid w:val="6A5B9276"/>
    <w:rsid w:val="6A5C3170"/>
    <w:rsid w:val="6A5D11F7"/>
    <w:rsid w:val="6A622917"/>
    <w:rsid w:val="6A6B2BC7"/>
    <w:rsid w:val="6A6FA364"/>
    <w:rsid w:val="6A78AC1E"/>
    <w:rsid w:val="6A7A7534"/>
    <w:rsid w:val="6A8FD48A"/>
    <w:rsid w:val="6A94AB54"/>
    <w:rsid w:val="6A9DE847"/>
    <w:rsid w:val="6AAC6E81"/>
    <w:rsid w:val="6AB202EF"/>
    <w:rsid w:val="6AB52FBC"/>
    <w:rsid w:val="6AB69E68"/>
    <w:rsid w:val="6AB8A9D7"/>
    <w:rsid w:val="6ABC7251"/>
    <w:rsid w:val="6AC98005"/>
    <w:rsid w:val="6AD9A81F"/>
    <w:rsid w:val="6ADD5794"/>
    <w:rsid w:val="6AE445B6"/>
    <w:rsid w:val="6AE5FB06"/>
    <w:rsid w:val="6AEA01FA"/>
    <w:rsid w:val="6AEC02F8"/>
    <w:rsid w:val="6AEDDFA9"/>
    <w:rsid w:val="6AF29F55"/>
    <w:rsid w:val="6AF2A148"/>
    <w:rsid w:val="6AF61BD3"/>
    <w:rsid w:val="6AF74E66"/>
    <w:rsid w:val="6B096D1E"/>
    <w:rsid w:val="6B2404EA"/>
    <w:rsid w:val="6B2C95A9"/>
    <w:rsid w:val="6B32D5DA"/>
    <w:rsid w:val="6B344FA7"/>
    <w:rsid w:val="6B387017"/>
    <w:rsid w:val="6B44CA9D"/>
    <w:rsid w:val="6B4BAEA4"/>
    <w:rsid w:val="6B50CE28"/>
    <w:rsid w:val="6B5A18ED"/>
    <w:rsid w:val="6B5D4078"/>
    <w:rsid w:val="6B6846DE"/>
    <w:rsid w:val="6B698070"/>
    <w:rsid w:val="6B701BFE"/>
    <w:rsid w:val="6B7284E9"/>
    <w:rsid w:val="6B7321C4"/>
    <w:rsid w:val="6B8AB1D3"/>
    <w:rsid w:val="6B93A7A2"/>
    <w:rsid w:val="6B9AD909"/>
    <w:rsid w:val="6BA8B872"/>
    <w:rsid w:val="6BAB5A6B"/>
    <w:rsid w:val="6BBD4AEB"/>
    <w:rsid w:val="6BE65641"/>
    <w:rsid w:val="6BF56BDB"/>
    <w:rsid w:val="6C0C9A10"/>
    <w:rsid w:val="6C107255"/>
    <w:rsid w:val="6C13FC31"/>
    <w:rsid w:val="6C182990"/>
    <w:rsid w:val="6C1F971D"/>
    <w:rsid w:val="6C2049FD"/>
    <w:rsid w:val="6C25184F"/>
    <w:rsid w:val="6C25887A"/>
    <w:rsid w:val="6C279702"/>
    <w:rsid w:val="6C32C659"/>
    <w:rsid w:val="6C3CB3A5"/>
    <w:rsid w:val="6C3EDCF2"/>
    <w:rsid w:val="6C49C03F"/>
    <w:rsid w:val="6C4CD64D"/>
    <w:rsid w:val="6C4E6368"/>
    <w:rsid w:val="6C58C6D2"/>
    <w:rsid w:val="6C600EC6"/>
    <w:rsid w:val="6C702899"/>
    <w:rsid w:val="6C8FF482"/>
    <w:rsid w:val="6C91E6DC"/>
    <w:rsid w:val="6C960F2C"/>
    <w:rsid w:val="6CA079F8"/>
    <w:rsid w:val="6CB62C20"/>
    <w:rsid w:val="6CB8E17C"/>
    <w:rsid w:val="6CBF6D98"/>
    <w:rsid w:val="6CC8F0F9"/>
    <w:rsid w:val="6CCF1318"/>
    <w:rsid w:val="6CD46B04"/>
    <w:rsid w:val="6CE296B3"/>
    <w:rsid w:val="6CE871DD"/>
    <w:rsid w:val="6CE99770"/>
    <w:rsid w:val="6CFAFA33"/>
    <w:rsid w:val="6CFD9C4D"/>
    <w:rsid w:val="6CFE399B"/>
    <w:rsid w:val="6CFE8A76"/>
    <w:rsid w:val="6D05FFDF"/>
    <w:rsid w:val="6D0F8808"/>
    <w:rsid w:val="6D0FCD7E"/>
    <w:rsid w:val="6D135CD9"/>
    <w:rsid w:val="6D136843"/>
    <w:rsid w:val="6D1848A7"/>
    <w:rsid w:val="6D2692A8"/>
    <w:rsid w:val="6D2AA2AE"/>
    <w:rsid w:val="6D2DA987"/>
    <w:rsid w:val="6D3FFC9B"/>
    <w:rsid w:val="6D4289BE"/>
    <w:rsid w:val="6D517027"/>
    <w:rsid w:val="6D60162B"/>
    <w:rsid w:val="6D61F791"/>
    <w:rsid w:val="6D63AD54"/>
    <w:rsid w:val="6D644985"/>
    <w:rsid w:val="6D6AD35B"/>
    <w:rsid w:val="6D6E4C8D"/>
    <w:rsid w:val="6D77E417"/>
    <w:rsid w:val="6D812AE1"/>
    <w:rsid w:val="6D82687B"/>
    <w:rsid w:val="6D8634CC"/>
    <w:rsid w:val="6D870A4A"/>
    <w:rsid w:val="6D8A5E0D"/>
    <w:rsid w:val="6D994E62"/>
    <w:rsid w:val="6D9CA5F9"/>
    <w:rsid w:val="6D9D71AF"/>
    <w:rsid w:val="6D9EFB2A"/>
    <w:rsid w:val="6DA5AEFC"/>
    <w:rsid w:val="6DA75516"/>
    <w:rsid w:val="6DAA3C23"/>
    <w:rsid w:val="6DAAEE1C"/>
    <w:rsid w:val="6DB45C7E"/>
    <w:rsid w:val="6DC2CAB8"/>
    <w:rsid w:val="6DC546DC"/>
    <w:rsid w:val="6DCDC84E"/>
    <w:rsid w:val="6DD85A68"/>
    <w:rsid w:val="6DD922DF"/>
    <w:rsid w:val="6DE1EBE4"/>
    <w:rsid w:val="6DE4B6B8"/>
    <w:rsid w:val="6DE5B349"/>
    <w:rsid w:val="6DE7B22F"/>
    <w:rsid w:val="6DEC4F3B"/>
    <w:rsid w:val="6DF55FB2"/>
    <w:rsid w:val="6E00BEB7"/>
    <w:rsid w:val="6E018FE0"/>
    <w:rsid w:val="6E01DE5C"/>
    <w:rsid w:val="6E02BD8B"/>
    <w:rsid w:val="6E047C4D"/>
    <w:rsid w:val="6E0524CF"/>
    <w:rsid w:val="6E07F4E2"/>
    <w:rsid w:val="6E25F2A5"/>
    <w:rsid w:val="6E3392F9"/>
    <w:rsid w:val="6E3638D4"/>
    <w:rsid w:val="6E384135"/>
    <w:rsid w:val="6E3AB68F"/>
    <w:rsid w:val="6E40440B"/>
    <w:rsid w:val="6E464C9E"/>
    <w:rsid w:val="6E4ED801"/>
    <w:rsid w:val="6E50AD65"/>
    <w:rsid w:val="6E5EF13D"/>
    <w:rsid w:val="6E646863"/>
    <w:rsid w:val="6E6914D7"/>
    <w:rsid w:val="6E72C419"/>
    <w:rsid w:val="6E74DE45"/>
    <w:rsid w:val="6E84EACE"/>
    <w:rsid w:val="6E87C122"/>
    <w:rsid w:val="6E8E05DB"/>
    <w:rsid w:val="6E94DD96"/>
    <w:rsid w:val="6E95D8F9"/>
    <w:rsid w:val="6E976B8B"/>
    <w:rsid w:val="6E9B913A"/>
    <w:rsid w:val="6EA5110E"/>
    <w:rsid w:val="6EAAE602"/>
    <w:rsid w:val="6EAED4F2"/>
    <w:rsid w:val="6EB49C86"/>
    <w:rsid w:val="6EBAAC2E"/>
    <w:rsid w:val="6EBFA968"/>
    <w:rsid w:val="6EC39AD8"/>
    <w:rsid w:val="6ED7CF19"/>
    <w:rsid w:val="6EDA5ED6"/>
    <w:rsid w:val="6EDCB50D"/>
    <w:rsid w:val="6EE7C056"/>
    <w:rsid w:val="6EF396BC"/>
    <w:rsid w:val="6EF52920"/>
    <w:rsid w:val="6EFA25DB"/>
    <w:rsid w:val="6EFAEB7B"/>
    <w:rsid w:val="6F069842"/>
    <w:rsid w:val="6F177D29"/>
    <w:rsid w:val="6F1D7D13"/>
    <w:rsid w:val="6F20CCFF"/>
    <w:rsid w:val="6F31C6A7"/>
    <w:rsid w:val="6F31EB6D"/>
    <w:rsid w:val="6F3318C9"/>
    <w:rsid w:val="6F3DC6B3"/>
    <w:rsid w:val="6F471CB0"/>
    <w:rsid w:val="6F4733D4"/>
    <w:rsid w:val="6F52BE42"/>
    <w:rsid w:val="6F54AF11"/>
    <w:rsid w:val="6F5BCF09"/>
    <w:rsid w:val="6F644918"/>
    <w:rsid w:val="6F7A3519"/>
    <w:rsid w:val="6F84770F"/>
    <w:rsid w:val="6F88A42D"/>
    <w:rsid w:val="6F8A0A64"/>
    <w:rsid w:val="6F8CD27C"/>
    <w:rsid w:val="6F8E22E0"/>
    <w:rsid w:val="6F9B5CB6"/>
    <w:rsid w:val="6FB030E9"/>
    <w:rsid w:val="6FB829E2"/>
    <w:rsid w:val="6FB92AA0"/>
    <w:rsid w:val="6FBA4271"/>
    <w:rsid w:val="6FBB0018"/>
    <w:rsid w:val="6FBF0D23"/>
    <w:rsid w:val="6FCA1734"/>
    <w:rsid w:val="6FCC45ED"/>
    <w:rsid w:val="6FD036E9"/>
    <w:rsid w:val="6FD43E14"/>
    <w:rsid w:val="6FD60136"/>
    <w:rsid w:val="6FDB73F7"/>
    <w:rsid w:val="6FDFA9E1"/>
    <w:rsid w:val="6FF0306F"/>
    <w:rsid w:val="6FF650E1"/>
    <w:rsid w:val="6FF6BDE5"/>
    <w:rsid w:val="6FFA8D44"/>
    <w:rsid w:val="7002F2F1"/>
    <w:rsid w:val="7004E538"/>
    <w:rsid w:val="70052815"/>
    <w:rsid w:val="7017C316"/>
    <w:rsid w:val="701BBFDF"/>
    <w:rsid w:val="701E0EA1"/>
    <w:rsid w:val="70278D34"/>
    <w:rsid w:val="7028DBE8"/>
    <w:rsid w:val="702E1EC4"/>
    <w:rsid w:val="7033273D"/>
    <w:rsid w:val="703555DC"/>
    <w:rsid w:val="70359279"/>
    <w:rsid w:val="703D5432"/>
    <w:rsid w:val="70461F50"/>
    <w:rsid w:val="7051B6CB"/>
    <w:rsid w:val="70567C8F"/>
    <w:rsid w:val="705B5462"/>
    <w:rsid w:val="705EB190"/>
    <w:rsid w:val="7060FA67"/>
    <w:rsid w:val="7064AA9F"/>
    <w:rsid w:val="7069C8B7"/>
    <w:rsid w:val="706A551C"/>
    <w:rsid w:val="706A87AD"/>
    <w:rsid w:val="7070E278"/>
    <w:rsid w:val="707AEFC7"/>
    <w:rsid w:val="70831A26"/>
    <w:rsid w:val="7087B370"/>
    <w:rsid w:val="708E464F"/>
    <w:rsid w:val="708F0558"/>
    <w:rsid w:val="7094F961"/>
    <w:rsid w:val="70B494A8"/>
    <w:rsid w:val="70D0E765"/>
    <w:rsid w:val="70D99714"/>
    <w:rsid w:val="70E30435"/>
    <w:rsid w:val="70E7BB63"/>
    <w:rsid w:val="70EA5819"/>
    <w:rsid w:val="70EA726D"/>
    <w:rsid w:val="70FE2654"/>
    <w:rsid w:val="71022153"/>
    <w:rsid w:val="7102C434"/>
    <w:rsid w:val="7106B516"/>
    <w:rsid w:val="710CF59D"/>
    <w:rsid w:val="710DD195"/>
    <w:rsid w:val="710FC479"/>
    <w:rsid w:val="71114E40"/>
    <w:rsid w:val="7116B7C5"/>
    <w:rsid w:val="711A899D"/>
    <w:rsid w:val="711EA924"/>
    <w:rsid w:val="7120789E"/>
    <w:rsid w:val="712AB919"/>
    <w:rsid w:val="712DA605"/>
    <w:rsid w:val="712E522D"/>
    <w:rsid w:val="71316DE6"/>
    <w:rsid w:val="71319B1F"/>
    <w:rsid w:val="713AF60F"/>
    <w:rsid w:val="713E4143"/>
    <w:rsid w:val="714004AE"/>
    <w:rsid w:val="71407309"/>
    <w:rsid w:val="71507DCB"/>
    <w:rsid w:val="7152FA14"/>
    <w:rsid w:val="715311BE"/>
    <w:rsid w:val="71558B62"/>
    <w:rsid w:val="71566565"/>
    <w:rsid w:val="71575B10"/>
    <w:rsid w:val="715E4669"/>
    <w:rsid w:val="71661AB5"/>
    <w:rsid w:val="7168771D"/>
    <w:rsid w:val="717A976A"/>
    <w:rsid w:val="717D0A6B"/>
    <w:rsid w:val="717FD090"/>
    <w:rsid w:val="7187FBBC"/>
    <w:rsid w:val="718BD1C7"/>
    <w:rsid w:val="718EB31D"/>
    <w:rsid w:val="7191497D"/>
    <w:rsid w:val="71981F3F"/>
    <w:rsid w:val="719A80C0"/>
    <w:rsid w:val="719B5639"/>
    <w:rsid w:val="719B95A7"/>
    <w:rsid w:val="71A277FD"/>
    <w:rsid w:val="71AC0439"/>
    <w:rsid w:val="71ADF306"/>
    <w:rsid w:val="71B44E78"/>
    <w:rsid w:val="71C00FAC"/>
    <w:rsid w:val="71C0BAED"/>
    <w:rsid w:val="71C5659D"/>
    <w:rsid w:val="71CBF3B4"/>
    <w:rsid w:val="71CEE1B2"/>
    <w:rsid w:val="71D078CC"/>
    <w:rsid w:val="71D47158"/>
    <w:rsid w:val="71DC43E3"/>
    <w:rsid w:val="71E1FE85"/>
    <w:rsid w:val="71E2F92B"/>
    <w:rsid w:val="71E5035C"/>
    <w:rsid w:val="71E547C1"/>
    <w:rsid w:val="71EDCB01"/>
    <w:rsid w:val="71F68A65"/>
    <w:rsid w:val="71FEC055"/>
    <w:rsid w:val="7204C821"/>
    <w:rsid w:val="7208CC50"/>
    <w:rsid w:val="720939C9"/>
    <w:rsid w:val="720CB2D9"/>
    <w:rsid w:val="7212578C"/>
    <w:rsid w:val="72169F58"/>
    <w:rsid w:val="7217ECEF"/>
    <w:rsid w:val="7219A2DF"/>
    <w:rsid w:val="722F7BEE"/>
    <w:rsid w:val="723D65E5"/>
    <w:rsid w:val="724BF78F"/>
    <w:rsid w:val="72503ED1"/>
    <w:rsid w:val="725EEF35"/>
    <w:rsid w:val="726B6757"/>
    <w:rsid w:val="726C93F4"/>
    <w:rsid w:val="72747743"/>
    <w:rsid w:val="72784F28"/>
    <w:rsid w:val="727AB2DF"/>
    <w:rsid w:val="72833DB5"/>
    <w:rsid w:val="72886335"/>
    <w:rsid w:val="72898446"/>
    <w:rsid w:val="72912982"/>
    <w:rsid w:val="7293449B"/>
    <w:rsid w:val="729612A7"/>
    <w:rsid w:val="72A4D0EC"/>
    <w:rsid w:val="72A54C6D"/>
    <w:rsid w:val="72AD1EA1"/>
    <w:rsid w:val="72AD2196"/>
    <w:rsid w:val="72B8C382"/>
    <w:rsid w:val="72BA24E2"/>
    <w:rsid w:val="72BC17D1"/>
    <w:rsid w:val="72C8CE8C"/>
    <w:rsid w:val="72C92D50"/>
    <w:rsid w:val="72D34081"/>
    <w:rsid w:val="72D8A687"/>
    <w:rsid w:val="72DB6CBB"/>
    <w:rsid w:val="72DC0568"/>
    <w:rsid w:val="72E1B64C"/>
    <w:rsid w:val="72E23738"/>
    <w:rsid w:val="72E8E36C"/>
    <w:rsid w:val="72E914E6"/>
    <w:rsid w:val="72EECA75"/>
    <w:rsid w:val="72F3A3CD"/>
    <w:rsid w:val="7300E31B"/>
    <w:rsid w:val="73089F7A"/>
    <w:rsid w:val="731AFF2A"/>
    <w:rsid w:val="731FC950"/>
    <w:rsid w:val="73202003"/>
    <w:rsid w:val="73224924"/>
    <w:rsid w:val="7326F44A"/>
    <w:rsid w:val="73329C46"/>
    <w:rsid w:val="733DBD3D"/>
    <w:rsid w:val="73412641"/>
    <w:rsid w:val="73478334"/>
    <w:rsid w:val="7351977D"/>
    <w:rsid w:val="735239E9"/>
    <w:rsid w:val="735E6201"/>
    <w:rsid w:val="735F9756"/>
    <w:rsid w:val="735FEC9A"/>
    <w:rsid w:val="73634EC9"/>
    <w:rsid w:val="736C41F9"/>
    <w:rsid w:val="7373C760"/>
    <w:rsid w:val="73753869"/>
    <w:rsid w:val="737E0D70"/>
    <w:rsid w:val="737E437C"/>
    <w:rsid w:val="73915334"/>
    <w:rsid w:val="73952897"/>
    <w:rsid w:val="739A2C10"/>
    <w:rsid w:val="739C6522"/>
    <w:rsid w:val="739D5498"/>
    <w:rsid w:val="73ACBEB4"/>
    <w:rsid w:val="73AF2CA6"/>
    <w:rsid w:val="73B00BD6"/>
    <w:rsid w:val="73BA9EF4"/>
    <w:rsid w:val="73ECFC3A"/>
    <w:rsid w:val="73EFBDDA"/>
    <w:rsid w:val="73F4DCD1"/>
    <w:rsid w:val="73F884ED"/>
    <w:rsid w:val="73FFFFD6"/>
    <w:rsid w:val="74005DFA"/>
    <w:rsid w:val="74022947"/>
    <w:rsid w:val="7402D89E"/>
    <w:rsid w:val="74075B2F"/>
    <w:rsid w:val="740AE4B8"/>
    <w:rsid w:val="740B47FE"/>
    <w:rsid w:val="741081CA"/>
    <w:rsid w:val="74158ACA"/>
    <w:rsid w:val="743686C0"/>
    <w:rsid w:val="743E2D85"/>
    <w:rsid w:val="743F8808"/>
    <w:rsid w:val="74444BE1"/>
    <w:rsid w:val="74457257"/>
    <w:rsid w:val="744A67C9"/>
    <w:rsid w:val="744CC506"/>
    <w:rsid w:val="744D59AA"/>
    <w:rsid w:val="745D52E2"/>
    <w:rsid w:val="74727A71"/>
    <w:rsid w:val="7473CE49"/>
    <w:rsid w:val="7479CFCD"/>
    <w:rsid w:val="747CC3D4"/>
    <w:rsid w:val="7488C261"/>
    <w:rsid w:val="7488D6C3"/>
    <w:rsid w:val="748A471B"/>
    <w:rsid w:val="748EF748"/>
    <w:rsid w:val="748F8DC5"/>
    <w:rsid w:val="749656B3"/>
    <w:rsid w:val="749C305E"/>
    <w:rsid w:val="74A99EAC"/>
    <w:rsid w:val="74AA77C3"/>
    <w:rsid w:val="74BD00C0"/>
    <w:rsid w:val="74BE2404"/>
    <w:rsid w:val="74C23F0E"/>
    <w:rsid w:val="74C563B0"/>
    <w:rsid w:val="74D33669"/>
    <w:rsid w:val="74DAF931"/>
    <w:rsid w:val="74E0CFC6"/>
    <w:rsid w:val="74EB963C"/>
    <w:rsid w:val="74F7DDFA"/>
    <w:rsid w:val="750422BE"/>
    <w:rsid w:val="752221A4"/>
    <w:rsid w:val="752D602E"/>
    <w:rsid w:val="75350378"/>
    <w:rsid w:val="753964D0"/>
    <w:rsid w:val="75543A32"/>
    <w:rsid w:val="755A3062"/>
    <w:rsid w:val="755CE8B6"/>
    <w:rsid w:val="755E882C"/>
    <w:rsid w:val="75698FF0"/>
    <w:rsid w:val="756BA8C1"/>
    <w:rsid w:val="756E0E3E"/>
    <w:rsid w:val="7570388D"/>
    <w:rsid w:val="7573010F"/>
    <w:rsid w:val="75771E01"/>
    <w:rsid w:val="7578D2F4"/>
    <w:rsid w:val="757BC931"/>
    <w:rsid w:val="757CC58B"/>
    <w:rsid w:val="757CE8B6"/>
    <w:rsid w:val="758822B0"/>
    <w:rsid w:val="7589E0AF"/>
    <w:rsid w:val="758D0B32"/>
    <w:rsid w:val="759008E2"/>
    <w:rsid w:val="75951CDA"/>
    <w:rsid w:val="759540B9"/>
    <w:rsid w:val="75976AFF"/>
    <w:rsid w:val="7599B342"/>
    <w:rsid w:val="759A9C12"/>
    <w:rsid w:val="759C7FFC"/>
    <w:rsid w:val="759E63C8"/>
    <w:rsid w:val="75A2357E"/>
    <w:rsid w:val="75A27157"/>
    <w:rsid w:val="75AA9D2B"/>
    <w:rsid w:val="75B1968F"/>
    <w:rsid w:val="75B6323D"/>
    <w:rsid w:val="75BBE995"/>
    <w:rsid w:val="75C24449"/>
    <w:rsid w:val="75C2D684"/>
    <w:rsid w:val="75CC8DE3"/>
    <w:rsid w:val="75CE50B0"/>
    <w:rsid w:val="75E35323"/>
    <w:rsid w:val="75E78AE1"/>
    <w:rsid w:val="75F23D06"/>
    <w:rsid w:val="75F74709"/>
    <w:rsid w:val="75F79511"/>
    <w:rsid w:val="75FA4891"/>
    <w:rsid w:val="76013E95"/>
    <w:rsid w:val="7602ED48"/>
    <w:rsid w:val="760F4015"/>
    <w:rsid w:val="7610065C"/>
    <w:rsid w:val="7612F56B"/>
    <w:rsid w:val="7614FE31"/>
    <w:rsid w:val="7615FF8A"/>
    <w:rsid w:val="76201EBA"/>
    <w:rsid w:val="7621C868"/>
    <w:rsid w:val="76245236"/>
    <w:rsid w:val="76258AC2"/>
    <w:rsid w:val="7627F1CE"/>
    <w:rsid w:val="763B2A82"/>
    <w:rsid w:val="763CA2FB"/>
    <w:rsid w:val="7659BB6A"/>
    <w:rsid w:val="765CEB07"/>
    <w:rsid w:val="766F2EED"/>
    <w:rsid w:val="7671C161"/>
    <w:rsid w:val="7674F032"/>
    <w:rsid w:val="76759503"/>
    <w:rsid w:val="767D0A86"/>
    <w:rsid w:val="76838DDD"/>
    <w:rsid w:val="76943F5F"/>
    <w:rsid w:val="76958B0E"/>
    <w:rsid w:val="76969702"/>
    <w:rsid w:val="76978753"/>
    <w:rsid w:val="769FE1E9"/>
    <w:rsid w:val="76A08C59"/>
    <w:rsid w:val="76A0B38E"/>
    <w:rsid w:val="76B182C6"/>
    <w:rsid w:val="76C48B0F"/>
    <w:rsid w:val="76CB6CAE"/>
    <w:rsid w:val="76D3BD1D"/>
    <w:rsid w:val="76D8D6CE"/>
    <w:rsid w:val="76D90C81"/>
    <w:rsid w:val="76DA7393"/>
    <w:rsid w:val="76DC233B"/>
    <w:rsid w:val="76E1F07B"/>
    <w:rsid w:val="76E22D47"/>
    <w:rsid w:val="76E2B2AC"/>
    <w:rsid w:val="76E45F76"/>
    <w:rsid w:val="76E63734"/>
    <w:rsid w:val="76E8D4D5"/>
    <w:rsid w:val="76ED7A42"/>
    <w:rsid w:val="76FF3ABE"/>
    <w:rsid w:val="77010D66"/>
    <w:rsid w:val="7709BD79"/>
    <w:rsid w:val="770CAEFA"/>
    <w:rsid w:val="770F0EC2"/>
    <w:rsid w:val="77101D51"/>
    <w:rsid w:val="771A08DC"/>
    <w:rsid w:val="771DC9F5"/>
    <w:rsid w:val="7728DB93"/>
    <w:rsid w:val="77304A12"/>
    <w:rsid w:val="7732CE0A"/>
    <w:rsid w:val="773F8814"/>
    <w:rsid w:val="774050FB"/>
    <w:rsid w:val="7742A31C"/>
    <w:rsid w:val="7743E1A3"/>
    <w:rsid w:val="774635F7"/>
    <w:rsid w:val="774A8AB6"/>
    <w:rsid w:val="77576F8A"/>
    <w:rsid w:val="775E14AA"/>
    <w:rsid w:val="776B7EB4"/>
    <w:rsid w:val="777D1319"/>
    <w:rsid w:val="778043C9"/>
    <w:rsid w:val="7780B6AE"/>
    <w:rsid w:val="77844E1E"/>
    <w:rsid w:val="7787900F"/>
    <w:rsid w:val="778CF84F"/>
    <w:rsid w:val="7791A0EF"/>
    <w:rsid w:val="779982F2"/>
    <w:rsid w:val="779D0EF6"/>
    <w:rsid w:val="77A3AC70"/>
    <w:rsid w:val="77A3C378"/>
    <w:rsid w:val="77B0CE92"/>
    <w:rsid w:val="77BECFC9"/>
    <w:rsid w:val="77BFFAE9"/>
    <w:rsid w:val="77C6980A"/>
    <w:rsid w:val="77CA5DB1"/>
    <w:rsid w:val="77D09061"/>
    <w:rsid w:val="77D20688"/>
    <w:rsid w:val="77D8BE73"/>
    <w:rsid w:val="77EFB00B"/>
    <w:rsid w:val="77F16F60"/>
    <w:rsid w:val="77FFF94E"/>
    <w:rsid w:val="78013D6A"/>
    <w:rsid w:val="780B8809"/>
    <w:rsid w:val="78216A1C"/>
    <w:rsid w:val="782B1AE2"/>
    <w:rsid w:val="782DA78C"/>
    <w:rsid w:val="78352759"/>
    <w:rsid w:val="7836DB05"/>
    <w:rsid w:val="783B19A9"/>
    <w:rsid w:val="7844B7E6"/>
    <w:rsid w:val="78497890"/>
    <w:rsid w:val="7856213E"/>
    <w:rsid w:val="7858BB96"/>
    <w:rsid w:val="78598CC0"/>
    <w:rsid w:val="7860842C"/>
    <w:rsid w:val="78655395"/>
    <w:rsid w:val="786A4B79"/>
    <w:rsid w:val="786EFBB7"/>
    <w:rsid w:val="78758FEF"/>
    <w:rsid w:val="78765980"/>
    <w:rsid w:val="787ED855"/>
    <w:rsid w:val="78806AD4"/>
    <w:rsid w:val="78825CB2"/>
    <w:rsid w:val="788CDD33"/>
    <w:rsid w:val="7891E709"/>
    <w:rsid w:val="789566B6"/>
    <w:rsid w:val="7897D007"/>
    <w:rsid w:val="7899CDEB"/>
    <w:rsid w:val="789D6354"/>
    <w:rsid w:val="78A43978"/>
    <w:rsid w:val="78AB812C"/>
    <w:rsid w:val="78B5E364"/>
    <w:rsid w:val="78BC2CAD"/>
    <w:rsid w:val="78CCE17B"/>
    <w:rsid w:val="78CE2C58"/>
    <w:rsid w:val="78D55CB6"/>
    <w:rsid w:val="78DCDD6B"/>
    <w:rsid w:val="78E4EE4F"/>
    <w:rsid w:val="78E6E727"/>
    <w:rsid w:val="78E78447"/>
    <w:rsid w:val="78E8AD42"/>
    <w:rsid w:val="78EBAF67"/>
    <w:rsid w:val="78F45A34"/>
    <w:rsid w:val="78FDB88C"/>
    <w:rsid w:val="7918E37A"/>
    <w:rsid w:val="7919F64A"/>
    <w:rsid w:val="791BC123"/>
    <w:rsid w:val="79212C57"/>
    <w:rsid w:val="7923DDCD"/>
    <w:rsid w:val="792AE269"/>
    <w:rsid w:val="792EE110"/>
    <w:rsid w:val="79370CDD"/>
    <w:rsid w:val="7937D4BA"/>
    <w:rsid w:val="793BD0A7"/>
    <w:rsid w:val="793C01A4"/>
    <w:rsid w:val="79470413"/>
    <w:rsid w:val="794996FE"/>
    <w:rsid w:val="79547906"/>
    <w:rsid w:val="795A7C27"/>
    <w:rsid w:val="796035A3"/>
    <w:rsid w:val="79688ACD"/>
    <w:rsid w:val="796FA181"/>
    <w:rsid w:val="7979BD0A"/>
    <w:rsid w:val="7982E162"/>
    <w:rsid w:val="7983BCD7"/>
    <w:rsid w:val="798A67B2"/>
    <w:rsid w:val="799AC5F2"/>
    <w:rsid w:val="799FAAFB"/>
    <w:rsid w:val="79A373BB"/>
    <w:rsid w:val="79A7586A"/>
    <w:rsid w:val="79AA18BA"/>
    <w:rsid w:val="79ABB4B9"/>
    <w:rsid w:val="79AD8A20"/>
    <w:rsid w:val="79AFE938"/>
    <w:rsid w:val="79B33C12"/>
    <w:rsid w:val="79B7BDF9"/>
    <w:rsid w:val="79C18288"/>
    <w:rsid w:val="79C2E497"/>
    <w:rsid w:val="79C61EB6"/>
    <w:rsid w:val="79C7C266"/>
    <w:rsid w:val="79CABE63"/>
    <w:rsid w:val="79CE4A01"/>
    <w:rsid w:val="79D605EC"/>
    <w:rsid w:val="79E9D259"/>
    <w:rsid w:val="79ED05C3"/>
    <w:rsid w:val="79F04624"/>
    <w:rsid w:val="79F40489"/>
    <w:rsid w:val="79F756FE"/>
    <w:rsid w:val="79FADB28"/>
    <w:rsid w:val="79FB51B1"/>
    <w:rsid w:val="7A04E1BA"/>
    <w:rsid w:val="7A0658CD"/>
    <w:rsid w:val="7A0CC2F2"/>
    <w:rsid w:val="7A0FBC13"/>
    <w:rsid w:val="7A1267E9"/>
    <w:rsid w:val="7A1716EE"/>
    <w:rsid w:val="7A1920FA"/>
    <w:rsid w:val="7A1C9A54"/>
    <w:rsid w:val="7A1D3AAF"/>
    <w:rsid w:val="7A1F9F91"/>
    <w:rsid w:val="7A22C411"/>
    <w:rsid w:val="7A2CE8D8"/>
    <w:rsid w:val="7A341793"/>
    <w:rsid w:val="7A351013"/>
    <w:rsid w:val="7A37F578"/>
    <w:rsid w:val="7A3A5EBC"/>
    <w:rsid w:val="7A409253"/>
    <w:rsid w:val="7A44AB76"/>
    <w:rsid w:val="7A522C03"/>
    <w:rsid w:val="7A54A353"/>
    <w:rsid w:val="7A5CC6FA"/>
    <w:rsid w:val="7A6480E1"/>
    <w:rsid w:val="7A75924B"/>
    <w:rsid w:val="7A766F4F"/>
    <w:rsid w:val="7A789730"/>
    <w:rsid w:val="7A7ECB15"/>
    <w:rsid w:val="7A7FC711"/>
    <w:rsid w:val="7A8183A8"/>
    <w:rsid w:val="7A8CF917"/>
    <w:rsid w:val="7A937D4B"/>
    <w:rsid w:val="7A95EDEA"/>
    <w:rsid w:val="7A99000F"/>
    <w:rsid w:val="7A993910"/>
    <w:rsid w:val="7A9D247F"/>
    <w:rsid w:val="7AA726B8"/>
    <w:rsid w:val="7AB2C73B"/>
    <w:rsid w:val="7AB9E5C5"/>
    <w:rsid w:val="7AC4FB2E"/>
    <w:rsid w:val="7AD455A0"/>
    <w:rsid w:val="7ADBEF19"/>
    <w:rsid w:val="7AE16DF3"/>
    <w:rsid w:val="7AE7C836"/>
    <w:rsid w:val="7AEF573B"/>
    <w:rsid w:val="7AF75824"/>
    <w:rsid w:val="7AFBC456"/>
    <w:rsid w:val="7AFD4D9B"/>
    <w:rsid w:val="7AFE38CC"/>
    <w:rsid w:val="7B0666D1"/>
    <w:rsid w:val="7B08A71B"/>
    <w:rsid w:val="7B0925F7"/>
    <w:rsid w:val="7B167421"/>
    <w:rsid w:val="7B1AD716"/>
    <w:rsid w:val="7B294F90"/>
    <w:rsid w:val="7B51F9A8"/>
    <w:rsid w:val="7B531C34"/>
    <w:rsid w:val="7B645217"/>
    <w:rsid w:val="7B654BB2"/>
    <w:rsid w:val="7B895B83"/>
    <w:rsid w:val="7B8A4642"/>
    <w:rsid w:val="7B8B697D"/>
    <w:rsid w:val="7B98172D"/>
    <w:rsid w:val="7B99815B"/>
    <w:rsid w:val="7B9A1BCE"/>
    <w:rsid w:val="7B9D2EEA"/>
    <w:rsid w:val="7BA6BC41"/>
    <w:rsid w:val="7BA83880"/>
    <w:rsid w:val="7BC3B622"/>
    <w:rsid w:val="7BC40338"/>
    <w:rsid w:val="7BD3C9EF"/>
    <w:rsid w:val="7BDFF839"/>
    <w:rsid w:val="7BE07155"/>
    <w:rsid w:val="7BE16808"/>
    <w:rsid w:val="7BE6A96B"/>
    <w:rsid w:val="7BEC9BA4"/>
    <w:rsid w:val="7BF68201"/>
    <w:rsid w:val="7BFA2760"/>
    <w:rsid w:val="7BFD4B4C"/>
    <w:rsid w:val="7BFF9601"/>
    <w:rsid w:val="7C039961"/>
    <w:rsid w:val="7C060B1D"/>
    <w:rsid w:val="7C06B1CD"/>
    <w:rsid w:val="7C0C2893"/>
    <w:rsid w:val="7C16143F"/>
    <w:rsid w:val="7C18BE1E"/>
    <w:rsid w:val="7C1C494F"/>
    <w:rsid w:val="7C22AB54"/>
    <w:rsid w:val="7C3965FE"/>
    <w:rsid w:val="7C3D3B50"/>
    <w:rsid w:val="7C41BDEF"/>
    <w:rsid w:val="7C4555C6"/>
    <w:rsid w:val="7C49C851"/>
    <w:rsid w:val="7C4CAE14"/>
    <w:rsid w:val="7C4E080A"/>
    <w:rsid w:val="7C50A7D9"/>
    <w:rsid w:val="7C51662D"/>
    <w:rsid w:val="7C52B43E"/>
    <w:rsid w:val="7C6469C2"/>
    <w:rsid w:val="7C68F282"/>
    <w:rsid w:val="7C708019"/>
    <w:rsid w:val="7C76DD6A"/>
    <w:rsid w:val="7C8CD97E"/>
    <w:rsid w:val="7C8DA381"/>
    <w:rsid w:val="7C924257"/>
    <w:rsid w:val="7C9DCED4"/>
    <w:rsid w:val="7C9E4463"/>
    <w:rsid w:val="7CA02B8F"/>
    <w:rsid w:val="7CA6E588"/>
    <w:rsid w:val="7CAB14D8"/>
    <w:rsid w:val="7CAD4074"/>
    <w:rsid w:val="7CADE3DA"/>
    <w:rsid w:val="7CB0710B"/>
    <w:rsid w:val="7CE6A408"/>
    <w:rsid w:val="7CED0A38"/>
    <w:rsid w:val="7CF4A64D"/>
    <w:rsid w:val="7D055127"/>
    <w:rsid w:val="7D0CFE10"/>
    <w:rsid w:val="7D1632EA"/>
    <w:rsid w:val="7D2ADAD0"/>
    <w:rsid w:val="7D36430F"/>
    <w:rsid w:val="7D3BFF94"/>
    <w:rsid w:val="7D3ECB99"/>
    <w:rsid w:val="7D435BDD"/>
    <w:rsid w:val="7D45A672"/>
    <w:rsid w:val="7D5B4D89"/>
    <w:rsid w:val="7D63BAE0"/>
    <w:rsid w:val="7D6B46B3"/>
    <w:rsid w:val="7D75316E"/>
    <w:rsid w:val="7D7A4E1A"/>
    <w:rsid w:val="7D895487"/>
    <w:rsid w:val="7D8B071C"/>
    <w:rsid w:val="7D8BC83E"/>
    <w:rsid w:val="7D903042"/>
    <w:rsid w:val="7D9467BC"/>
    <w:rsid w:val="7D946C1F"/>
    <w:rsid w:val="7D948C0D"/>
    <w:rsid w:val="7DA2FF15"/>
    <w:rsid w:val="7DA44453"/>
    <w:rsid w:val="7DAB8B4D"/>
    <w:rsid w:val="7DBADFF4"/>
    <w:rsid w:val="7DC6DA1E"/>
    <w:rsid w:val="7DCA82D7"/>
    <w:rsid w:val="7DD7923F"/>
    <w:rsid w:val="7DD81CB4"/>
    <w:rsid w:val="7DD9C77E"/>
    <w:rsid w:val="7DD9E3CD"/>
    <w:rsid w:val="7DE41A9D"/>
    <w:rsid w:val="7DE45ADF"/>
    <w:rsid w:val="7DE677DA"/>
    <w:rsid w:val="7DEBC9E9"/>
    <w:rsid w:val="7DF04722"/>
    <w:rsid w:val="7DFC8795"/>
    <w:rsid w:val="7DFECA78"/>
    <w:rsid w:val="7E0DD24F"/>
    <w:rsid w:val="7E0DFBD8"/>
    <w:rsid w:val="7E102F43"/>
    <w:rsid w:val="7E14E61E"/>
    <w:rsid w:val="7E15EBC0"/>
    <w:rsid w:val="7E174317"/>
    <w:rsid w:val="7E2B4A04"/>
    <w:rsid w:val="7E2DA606"/>
    <w:rsid w:val="7E35D0B8"/>
    <w:rsid w:val="7E3DB859"/>
    <w:rsid w:val="7E41C7F0"/>
    <w:rsid w:val="7E4B927C"/>
    <w:rsid w:val="7E4ED160"/>
    <w:rsid w:val="7E5B70C7"/>
    <w:rsid w:val="7E667E02"/>
    <w:rsid w:val="7E6ACDDD"/>
    <w:rsid w:val="7E709F1F"/>
    <w:rsid w:val="7E812B6F"/>
    <w:rsid w:val="7E8759F3"/>
    <w:rsid w:val="7E8AF7A8"/>
    <w:rsid w:val="7E90F3DA"/>
    <w:rsid w:val="7E96788D"/>
    <w:rsid w:val="7E982195"/>
    <w:rsid w:val="7E987540"/>
    <w:rsid w:val="7EA08AF2"/>
    <w:rsid w:val="7EAB0504"/>
    <w:rsid w:val="7EACB587"/>
    <w:rsid w:val="7EC217D6"/>
    <w:rsid w:val="7EC61269"/>
    <w:rsid w:val="7ED1E031"/>
    <w:rsid w:val="7ED8C8FE"/>
    <w:rsid w:val="7EE823AF"/>
    <w:rsid w:val="7EEB96FF"/>
    <w:rsid w:val="7EEFE8F5"/>
    <w:rsid w:val="7EF1383E"/>
    <w:rsid w:val="7EFB0A5D"/>
    <w:rsid w:val="7F0A180D"/>
    <w:rsid w:val="7F0C9676"/>
    <w:rsid w:val="7F0EA900"/>
    <w:rsid w:val="7F1165DD"/>
    <w:rsid w:val="7F268B3E"/>
    <w:rsid w:val="7F29B9A1"/>
    <w:rsid w:val="7F37E5A9"/>
    <w:rsid w:val="7F3B010A"/>
    <w:rsid w:val="7F3D0FEC"/>
    <w:rsid w:val="7F480A9A"/>
    <w:rsid w:val="7F49D5EF"/>
    <w:rsid w:val="7F4B8FC9"/>
    <w:rsid w:val="7F4C71F0"/>
    <w:rsid w:val="7F58EA53"/>
    <w:rsid w:val="7F5921EE"/>
    <w:rsid w:val="7F6B5899"/>
    <w:rsid w:val="7F700F71"/>
    <w:rsid w:val="7F720EC5"/>
    <w:rsid w:val="7F72FB94"/>
    <w:rsid w:val="7F7736C2"/>
    <w:rsid w:val="7F77E3A4"/>
    <w:rsid w:val="7F791A14"/>
    <w:rsid w:val="7F79F526"/>
    <w:rsid w:val="7F7AF7FB"/>
    <w:rsid w:val="7F7CF688"/>
    <w:rsid w:val="7FA19F83"/>
    <w:rsid w:val="7FAE8265"/>
    <w:rsid w:val="7FAEDFAB"/>
    <w:rsid w:val="7FB3C8D3"/>
    <w:rsid w:val="7FC1DCF3"/>
    <w:rsid w:val="7FCA40A7"/>
    <w:rsid w:val="7FCD6BB4"/>
    <w:rsid w:val="7FD26802"/>
    <w:rsid w:val="7FD6B55E"/>
    <w:rsid w:val="7FD7CC51"/>
    <w:rsid w:val="7FD946F7"/>
    <w:rsid w:val="7FDD9C2B"/>
    <w:rsid w:val="7FDF9C9C"/>
    <w:rsid w:val="7FE340F9"/>
    <w:rsid w:val="7FEE51B2"/>
    <w:rsid w:val="7FF1B893"/>
    <w:rsid w:val="7FF68E34"/>
    <w:rsid w:val="7FFB90E6"/>
    <w:rsid w:val="7FFCAC0E"/>
    <w:rsid w:val="7FFFC42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6075625"/>
  <w15:docId w15:val="{9C352306-3425-4808-8ACB-0A255AA1E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1C77"/>
  </w:style>
  <w:style w:type="paragraph" w:styleId="Heading1">
    <w:name w:val="heading 1"/>
    <w:basedOn w:val="Normal"/>
    <w:next w:val="Normal"/>
    <w:link w:val="Heading1Char"/>
    <w:uiPriority w:val="9"/>
    <w:qFormat/>
    <w:rsid w:val="00745FF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464A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6599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1099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5FF4"/>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745FF4"/>
    <w:pPr>
      <w:outlineLvl w:val="9"/>
    </w:pPr>
  </w:style>
  <w:style w:type="paragraph" w:styleId="ListParagraph">
    <w:name w:val="List Paragraph"/>
    <w:aliases w:val="Conclusion de partie,Dot pt,No Spacing1,List Paragraph Char Char Char,Indicator Text,Numbered Para 1,List Paragraph1,Bullet Points,MAIN CONTENT,List Paragraph12,List Paragraph11,OBC Bullet,F5 List Paragraph,Colorful List - Accent 11,LISTA"/>
    <w:basedOn w:val="Normal"/>
    <w:link w:val="ListParagraphChar"/>
    <w:uiPriority w:val="34"/>
    <w:qFormat/>
    <w:rsid w:val="00926D64"/>
    <w:pPr>
      <w:ind w:left="720"/>
      <w:contextualSpacing/>
    </w:pPr>
  </w:style>
  <w:style w:type="paragraph" w:styleId="Title">
    <w:name w:val="Title"/>
    <w:basedOn w:val="Normal"/>
    <w:next w:val="Normal"/>
    <w:link w:val="TitleChar"/>
    <w:uiPriority w:val="10"/>
    <w:qFormat/>
    <w:rsid w:val="002C038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038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C464A7"/>
    <w:rPr>
      <w:rFonts w:asciiTheme="majorHAnsi" w:eastAsiaTheme="majorEastAsia" w:hAnsiTheme="majorHAnsi" w:cstheme="majorBidi"/>
      <w:color w:val="2E74B5" w:themeColor="accent1" w:themeShade="BF"/>
      <w:sz w:val="26"/>
      <w:szCs w:val="26"/>
    </w:rPr>
  </w:style>
  <w:style w:type="paragraph" w:styleId="TOC1">
    <w:name w:val="toc 1"/>
    <w:basedOn w:val="Normal"/>
    <w:next w:val="Normal"/>
    <w:autoRedefine/>
    <w:uiPriority w:val="39"/>
    <w:unhideWhenUsed/>
    <w:rsid w:val="008D4044"/>
    <w:pPr>
      <w:tabs>
        <w:tab w:val="left" w:pos="851"/>
        <w:tab w:val="right" w:leader="dot" w:pos="9016"/>
      </w:tabs>
      <w:spacing w:before="240" w:after="240" w:line="288" w:lineRule="auto"/>
      <w:ind w:left="426" w:hanging="426"/>
      <w:jc w:val="both"/>
    </w:pPr>
    <w:rPr>
      <w:rFonts w:ascii="Times New Roman" w:hAnsi="Times New Roman" w:cs="Times New Roman"/>
      <w:noProof/>
      <w:sz w:val="24"/>
      <w:szCs w:val="24"/>
    </w:rPr>
  </w:style>
  <w:style w:type="paragraph" w:styleId="TOC2">
    <w:name w:val="toc 2"/>
    <w:basedOn w:val="Normal"/>
    <w:next w:val="Normal"/>
    <w:autoRedefine/>
    <w:uiPriority w:val="39"/>
    <w:unhideWhenUsed/>
    <w:rsid w:val="00FE39D3"/>
    <w:pPr>
      <w:tabs>
        <w:tab w:val="left" w:pos="1100"/>
        <w:tab w:val="right" w:leader="dot" w:pos="9016"/>
      </w:tabs>
      <w:spacing w:after="100"/>
      <w:ind w:left="220"/>
    </w:pPr>
  </w:style>
  <w:style w:type="character" w:styleId="Hyperlink">
    <w:name w:val="Hyperlink"/>
    <w:basedOn w:val="DefaultParagraphFont"/>
    <w:uiPriority w:val="99"/>
    <w:unhideWhenUsed/>
    <w:rsid w:val="003716B0"/>
    <w:rPr>
      <w:color w:val="0563C1" w:themeColor="hyperlink"/>
      <w:u w:val="single"/>
    </w:rPr>
  </w:style>
  <w:style w:type="paragraph" w:styleId="FootnoteText">
    <w:name w:val="footnote text"/>
    <w:aliases w:val="Footnote Text Char Char,Footnote text,Footnote Text Char1,Footnote Text Char2 Char,Footnote Text Char1 Char1 Char,Footnote Text Char2 Char Char Char,Footnote Text Char1 Char1 Char Char Char,Plonk,fn,fn Char Char,Fußnote,o, Char1,o Car Car"/>
    <w:basedOn w:val="Normal"/>
    <w:link w:val="FootnoteTextChar"/>
    <w:uiPriority w:val="99"/>
    <w:unhideWhenUsed/>
    <w:qFormat/>
    <w:rsid w:val="003E5080"/>
    <w:pPr>
      <w:spacing w:after="0" w:line="240" w:lineRule="auto"/>
    </w:pPr>
    <w:rPr>
      <w:sz w:val="20"/>
      <w:szCs w:val="20"/>
    </w:rPr>
  </w:style>
  <w:style w:type="character" w:customStyle="1" w:styleId="FootnoteTextChar">
    <w:name w:val="Footnote Text Char"/>
    <w:aliases w:val="Footnote Text Char Char Char,Footnote text Char,Footnote Text Char1 Char,Footnote Text Char2 Char Char,Footnote Text Char1 Char1 Char Char,Footnote Text Char2 Char Char Char Char,Footnote Text Char1 Char1 Char Char Char Char,fn Char"/>
    <w:basedOn w:val="DefaultParagraphFont"/>
    <w:link w:val="FootnoteText"/>
    <w:uiPriority w:val="99"/>
    <w:rsid w:val="003E5080"/>
    <w:rPr>
      <w:sz w:val="20"/>
      <w:szCs w:val="20"/>
    </w:rPr>
  </w:style>
  <w:style w:type="character" w:styleId="FootnoteReference">
    <w:name w:val="footnote reference"/>
    <w:aliases w:val="Footnote Reference Number,Footnote Reference_LVL6,Footnote Reference_LVL61,Footnote Reference_LVL62,Footnote Reference_LVL63,Footnote Reference_LVL64,Footnote symbol,Footnote reference number,Fußnotenzeichen3,Char1,16 Point,note TESI"/>
    <w:basedOn w:val="DefaultParagraphFont"/>
    <w:link w:val="SUPERSCharCharCharCharCharCharCharChar"/>
    <w:uiPriority w:val="99"/>
    <w:unhideWhenUsed/>
    <w:qFormat/>
    <w:rsid w:val="003E5080"/>
    <w:rPr>
      <w:vertAlign w:val="superscript"/>
    </w:rPr>
  </w:style>
  <w:style w:type="character" w:styleId="CommentReference">
    <w:name w:val="annotation reference"/>
    <w:basedOn w:val="DefaultParagraphFont"/>
    <w:uiPriority w:val="99"/>
    <w:semiHidden/>
    <w:unhideWhenUsed/>
    <w:rsid w:val="00B51BD6"/>
    <w:rPr>
      <w:sz w:val="16"/>
      <w:szCs w:val="16"/>
    </w:rPr>
  </w:style>
  <w:style w:type="paragraph" w:styleId="CommentText">
    <w:name w:val="annotation text"/>
    <w:basedOn w:val="Normal"/>
    <w:link w:val="CommentTextChar"/>
    <w:uiPriority w:val="99"/>
    <w:unhideWhenUsed/>
    <w:rsid w:val="00B51BD6"/>
    <w:pPr>
      <w:spacing w:line="240" w:lineRule="auto"/>
    </w:pPr>
    <w:rPr>
      <w:sz w:val="20"/>
      <w:szCs w:val="20"/>
    </w:rPr>
  </w:style>
  <w:style w:type="character" w:customStyle="1" w:styleId="CommentTextChar">
    <w:name w:val="Comment Text Char"/>
    <w:basedOn w:val="DefaultParagraphFont"/>
    <w:link w:val="CommentText"/>
    <w:uiPriority w:val="99"/>
    <w:rsid w:val="00B51BD6"/>
    <w:rPr>
      <w:sz w:val="20"/>
      <w:szCs w:val="20"/>
    </w:rPr>
  </w:style>
  <w:style w:type="paragraph" w:styleId="CommentSubject">
    <w:name w:val="annotation subject"/>
    <w:basedOn w:val="CommentText"/>
    <w:next w:val="CommentText"/>
    <w:link w:val="CommentSubjectChar"/>
    <w:uiPriority w:val="99"/>
    <w:semiHidden/>
    <w:unhideWhenUsed/>
    <w:rsid w:val="00B51BD6"/>
    <w:rPr>
      <w:b/>
      <w:bCs/>
    </w:rPr>
  </w:style>
  <w:style w:type="character" w:customStyle="1" w:styleId="CommentSubjectChar">
    <w:name w:val="Comment Subject Char"/>
    <w:basedOn w:val="CommentTextChar"/>
    <w:link w:val="CommentSubject"/>
    <w:uiPriority w:val="99"/>
    <w:semiHidden/>
    <w:rsid w:val="00B51BD6"/>
    <w:rPr>
      <w:b/>
      <w:bCs/>
      <w:sz w:val="20"/>
      <w:szCs w:val="20"/>
    </w:rPr>
  </w:style>
  <w:style w:type="paragraph" w:styleId="BalloonText">
    <w:name w:val="Balloon Text"/>
    <w:basedOn w:val="Normal"/>
    <w:link w:val="BalloonTextChar"/>
    <w:uiPriority w:val="99"/>
    <w:semiHidden/>
    <w:unhideWhenUsed/>
    <w:rsid w:val="00B51B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1BD6"/>
    <w:rPr>
      <w:rFonts w:ascii="Segoe UI" w:hAnsi="Segoe UI" w:cs="Segoe UI"/>
      <w:sz w:val="18"/>
      <w:szCs w:val="18"/>
    </w:rPr>
  </w:style>
  <w:style w:type="character" w:customStyle="1" w:styleId="Heading3Char">
    <w:name w:val="Heading 3 Char"/>
    <w:basedOn w:val="DefaultParagraphFont"/>
    <w:link w:val="Heading3"/>
    <w:uiPriority w:val="9"/>
    <w:rsid w:val="0086599F"/>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6255C1"/>
    <w:pPr>
      <w:spacing w:after="100"/>
      <w:ind w:left="440"/>
    </w:pPr>
  </w:style>
  <w:style w:type="paragraph" w:styleId="Header">
    <w:name w:val="header"/>
    <w:basedOn w:val="Normal"/>
    <w:link w:val="HeaderChar"/>
    <w:uiPriority w:val="99"/>
    <w:unhideWhenUsed/>
    <w:rsid w:val="00287A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7AB5"/>
  </w:style>
  <w:style w:type="paragraph" w:styleId="Footer">
    <w:name w:val="footer"/>
    <w:basedOn w:val="Normal"/>
    <w:link w:val="FooterChar"/>
    <w:uiPriority w:val="99"/>
    <w:unhideWhenUsed/>
    <w:rsid w:val="00287A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7AB5"/>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link w:val="FootnoteReference"/>
    <w:uiPriority w:val="99"/>
    <w:rsid w:val="00246E4F"/>
    <w:pPr>
      <w:spacing w:line="240" w:lineRule="exact"/>
      <w:jc w:val="both"/>
    </w:pPr>
    <w:rPr>
      <w:vertAlign w:val="superscript"/>
    </w:rPr>
  </w:style>
  <w:style w:type="paragraph" w:styleId="Revision">
    <w:name w:val="Revision"/>
    <w:hidden/>
    <w:uiPriority w:val="99"/>
    <w:semiHidden/>
    <w:rsid w:val="00E71149"/>
    <w:pPr>
      <w:spacing w:after="0" w:line="240" w:lineRule="auto"/>
    </w:pPr>
  </w:style>
  <w:style w:type="paragraph" w:customStyle="1" w:styleId="Default">
    <w:name w:val="Default"/>
    <w:rsid w:val="00971AE8"/>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0A52FA"/>
    <w:rPr>
      <w:color w:val="954F72" w:themeColor="followedHyperlink"/>
      <w:u w:val="single"/>
    </w:rPr>
  </w:style>
  <w:style w:type="character" w:customStyle="1" w:styleId="Marker">
    <w:name w:val="Marker"/>
    <w:basedOn w:val="DefaultParagraphFont"/>
    <w:rsid w:val="00261C77"/>
    <w:rPr>
      <w:color w:val="0000FF"/>
      <w:shd w:val="clear" w:color="auto" w:fill="auto"/>
    </w:rPr>
  </w:style>
  <w:style w:type="paragraph" w:customStyle="1" w:styleId="Pagedecouverture">
    <w:name w:val="Page de couverture"/>
    <w:basedOn w:val="Normal"/>
    <w:next w:val="Normal"/>
    <w:rsid w:val="00261C77"/>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rsid w:val="00261C77"/>
    <w:pPr>
      <w:tabs>
        <w:tab w:val="center" w:pos="4535"/>
        <w:tab w:val="right" w:pos="9071"/>
        <w:tab w:val="right" w:pos="9921"/>
      </w:tabs>
      <w:spacing w:before="360" w:beforeAutospacing="1" w:after="0" w:afterAutospacing="1" w:line="240" w:lineRule="auto"/>
      <w:ind w:left="-850" w:right="-850"/>
    </w:pPr>
    <w:rPr>
      <w:rFonts w:ascii="Times New Roman" w:hAnsi="Times New Roman" w:cs="Times New Roman"/>
      <w:sz w:val="24"/>
    </w:rPr>
  </w:style>
  <w:style w:type="character" w:customStyle="1" w:styleId="FooterCoverPageChar">
    <w:name w:val="Footer Cover Page Char"/>
    <w:basedOn w:val="TitleChar"/>
    <w:link w:val="FooterCoverPage"/>
    <w:rsid w:val="00261C77"/>
    <w:rPr>
      <w:rFonts w:ascii="Times New Roman" w:eastAsiaTheme="majorEastAsia" w:hAnsi="Times New Roman" w:cs="Times New Roman"/>
      <w:spacing w:val="-10"/>
      <w:kern w:val="28"/>
      <w:sz w:val="24"/>
      <w:szCs w:val="56"/>
    </w:rPr>
  </w:style>
  <w:style w:type="paragraph" w:customStyle="1" w:styleId="FooterSensitivity">
    <w:name w:val="Footer Sensitivity"/>
    <w:basedOn w:val="Normal"/>
    <w:link w:val="FooterSensitivityChar"/>
    <w:rsid w:val="00261C77"/>
    <w:pPr>
      <w:pBdr>
        <w:top w:val="single" w:sz="4" w:space="1" w:color="auto"/>
        <w:left w:val="single" w:sz="4" w:space="4" w:color="auto"/>
        <w:bottom w:val="single" w:sz="4" w:space="1" w:color="auto"/>
        <w:right w:val="single" w:sz="4" w:space="4" w:color="auto"/>
      </w:pBdr>
      <w:spacing w:before="360" w:beforeAutospacing="1" w:after="0" w:afterAutospacing="1"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TitleChar"/>
    <w:link w:val="FooterSensitivity"/>
    <w:rsid w:val="00261C77"/>
    <w:rPr>
      <w:rFonts w:ascii="Times New Roman" w:eastAsiaTheme="majorEastAsia" w:hAnsi="Times New Roman" w:cs="Times New Roman"/>
      <w:b/>
      <w:spacing w:val="-10"/>
      <w:kern w:val="28"/>
      <w:sz w:val="32"/>
      <w:szCs w:val="56"/>
    </w:rPr>
  </w:style>
  <w:style w:type="paragraph" w:customStyle="1" w:styleId="HeaderCoverPage">
    <w:name w:val="Header Cover Page"/>
    <w:basedOn w:val="Normal"/>
    <w:link w:val="HeaderCoverPageChar"/>
    <w:rsid w:val="00261C77"/>
    <w:pPr>
      <w:tabs>
        <w:tab w:val="center" w:pos="4535"/>
        <w:tab w:val="right" w:pos="9071"/>
      </w:tabs>
      <w:spacing w:beforeAutospacing="1" w:after="120" w:afterAutospacing="1" w:line="240" w:lineRule="auto"/>
      <w:jc w:val="both"/>
    </w:pPr>
    <w:rPr>
      <w:rFonts w:ascii="Times New Roman" w:hAnsi="Times New Roman" w:cs="Times New Roman"/>
      <w:sz w:val="24"/>
    </w:rPr>
  </w:style>
  <w:style w:type="character" w:customStyle="1" w:styleId="HeaderCoverPageChar">
    <w:name w:val="Header Cover Page Char"/>
    <w:basedOn w:val="TitleChar"/>
    <w:link w:val="HeaderCoverPage"/>
    <w:rsid w:val="00261C77"/>
    <w:rPr>
      <w:rFonts w:ascii="Times New Roman" w:eastAsiaTheme="majorEastAsia" w:hAnsi="Times New Roman" w:cs="Times New Roman"/>
      <w:spacing w:val="-10"/>
      <w:kern w:val="28"/>
      <w:sz w:val="24"/>
      <w:szCs w:val="56"/>
    </w:rPr>
  </w:style>
  <w:style w:type="paragraph" w:customStyle="1" w:styleId="HeaderSensitivity">
    <w:name w:val="Header Sensitivity"/>
    <w:basedOn w:val="Normal"/>
    <w:link w:val="HeaderSensitivityChar"/>
    <w:rsid w:val="00261C77"/>
    <w:pPr>
      <w:pBdr>
        <w:top w:val="single" w:sz="4" w:space="1" w:color="auto"/>
        <w:left w:val="single" w:sz="4" w:space="4" w:color="auto"/>
        <w:bottom w:val="single" w:sz="4" w:space="1" w:color="auto"/>
        <w:right w:val="single" w:sz="4" w:space="4" w:color="auto"/>
      </w:pBdr>
      <w:spacing w:beforeAutospacing="1" w:after="120" w:afterAutospacing="1"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TitleChar"/>
    <w:link w:val="HeaderSensitivity"/>
    <w:rsid w:val="00261C77"/>
    <w:rPr>
      <w:rFonts w:ascii="Times New Roman" w:eastAsiaTheme="majorEastAsia" w:hAnsi="Times New Roman" w:cs="Times New Roman"/>
      <w:b/>
      <w:spacing w:val="-10"/>
      <w:kern w:val="28"/>
      <w:sz w:val="32"/>
      <w:szCs w:val="56"/>
    </w:rPr>
  </w:style>
  <w:style w:type="paragraph" w:customStyle="1" w:styleId="HeaderSensitivityRight">
    <w:name w:val="Header Sensitivity Right"/>
    <w:basedOn w:val="Normal"/>
    <w:link w:val="HeaderSensitivityRightChar"/>
    <w:rsid w:val="00921907"/>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TitleChar"/>
    <w:link w:val="HeaderSensitivityRight"/>
    <w:rsid w:val="00261C77"/>
    <w:rPr>
      <w:rFonts w:ascii="Times New Roman" w:eastAsiaTheme="majorEastAsia" w:hAnsi="Times New Roman" w:cs="Times New Roman"/>
      <w:spacing w:val="-10"/>
      <w:kern w:val="28"/>
      <w:sz w:val="28"/>
      <w:szCs w:val="56"/>
    </w:rPr>
  </w:style>
  <w:style w:type="table" w:styleId="TableGrid">
    <w:name w:val="Table Grid"/>
    <w:basedOn w:val="TableNormal"/>
    <w:uiPriority w:val="39"/>
    <w:rsid w:val="00D17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EB2E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E"/>
    </w:rPr>
  </w:style>
  <w:style w:type="character" w:customStyle="1" w:styleId="HTMLPreformattedChar">
    <w:name w:val="HTML Preformatted Char"/>
    <w:basedOn w:val="DefaultParagraphFont"/>
    <w:link w:val="HTMLPreformatted"/>
    <w:uiPriority w:val="99"/>
    <w:semiHidden/>
    <w:rsid w:val="00EB2E89"/>
    <w:rPr>
      <w:rFonts w:ascii="Courier New" w:eastAsia="Times New Roman" w:hAnsi="Courier New" w:cs="Courier New"/>
      <w:sz w:val="20"/>
      <w:szCs w:val="20"/>
      <w:lang w:eastAsia="en-IE"/>
    </w:rPr>
  </w:style>
  <w:style w:type="paragraph" w:customStyle="1" w:styleId="Text1">
    <w:name w:val="Text 1"/>
    <w:basedOn w:val="Normal"/>
    <w:link w:val="Text1Char"/>
    <w:rsid w:val="00BB75F0"/>
    <w:pPr>
      <w:spacing w:after="240" w:line="240" w:lineRule="auto"/>
      <w:ind w:left="482"/>
      <w:jc w:val="both"/>
    </w:pPr>
    <w:rPr>
      <w:rFonts w:ascii="Times New Roman" w:eastAsia="Times New Roman" w:hAnsi="Times New Roman" w:cs="Times New Roman"/>
      <w:noProof/>
      <w:sz w:val="24"/>
      <w:szCs w:val="20"/>
    </w:rPr>
  </w:style>
  <w:style w:type="character" w:customStyle="1" w:styleId="Text1Char">
    <w:name w:val="Text 1 Char"/>
    <w:link w:val="Text1"/>
    <w:locked/>
    <w:rsid w:val="00BB75F0"/>
    <w:rPr>
      <w:rFonts w:ascii="Times New Roman" w:eastAsia="Times New Roman" w:hAnsi="Times New Roman" w:cs="Times New Roman"/>
      <w:noProof/>
      <w:sz w:val="24"/>
      <w:szCs w:val="20"/>
      <w:lang w:val="nl-NL"/>
    </w:rPr>
  </w:style>
  <w:style w:type="paragraph" w:customStyle="1" w:styleId="paragraph">
    <w:name w:val="paragraph"/>
    <w:basedOn w:val="Normal"/>
    <w:rsid w:val="00CE7923"/>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CE7923"/>
  </w:style>
  <w:style w:type="character" w:customStyle="1" w:styleId="eop">
    <w:name w:val="eop"/>
    <w:basedOn w:val="DefaultParagraphFont"/>
    <w:rsid w:val="00CE7923"/>
  </w:style>
  <w:style w:type="character" w:customStyle="1" w:styleId="consultation-date">
    <w:name w:val="consultation-date"/>
    <w:basedOn w:val="DefaultParagraphFont"/>
    <w:rsid w:val="00525DB0"/>
  </w:style>
  <w:style w:type="character" w:customStyle="1" w:styleId="findhit">
    <w:name w:val="findhit"/>
    <w:basedOn w:val="DefaultParagraphFont"/>
    <w:rsid w:val="00642B37"/>
  </w:style>
  <w:style w:type="character" w:customStyle="1" w:styleId="Heading4Char">
    <w:name w:val="Heading 4 Char"/>
    <w:basedOn w:val="DefaultParagraphFont"/>
    <w:link w:val="Heading4"/>
    <w:uiPriority w:val="9"/>
    <w:rsid w:val="0041099E"/>
    <w:rPr>
      <w:rFonts w:asciiTheme="majorHAnsi" w:eastAsiaTheme="majorEastAsia" w:hAnsiTheme="majorHAnsi" w:cstheme="majorBidi"/>
      <w:i/>
      <w:iCs/>
      <w:color w:val="2E74B5" w:themeColor="accent1" w:themeShade="BF"/>
    </w:rPr>
  </w:style>
  <w:style w:type="character" w:customStyle="1" w:styleId="UnresolvedMention1">
    <w:name w:val="Unresolved Mention1"/>
    <w:basedOn w:val="DefaultParagraphFont"/>
    <w:uiPriority w:val="99"/>
    <w:semiHidden/>
    <w:unhideWhenUsed/>
    <w:rsid w:val="00E5249C"/>
    <w:rPr>
      <w:color w:val="605E5C"/>
      <w:shd w:val="clear" w:color="auto" w:fill="E1DFDD"/>
    </w:rPr>
  </w:style>
  <w:style w:type="character" w:customStyle="1" w:styleId="UnresolvedMention2">
    <w:name w:val="Unresolved Mention2"/>
    <w:basedOn w:val="DefaultParagraphFont"/>
    <w:uiPriority w:val="99"/>
    <w:semiHidden/>
    <w:unhideWhenUsed/>
    <w:rsid w:val="000115DE"/>
    <w:rPr>
      <w:color w:val="605E5C"/>
      <w:shd w:val="clear" w:color="auto" w:fill="E1DFDD"/>
    </w:rPr>
  </w:style>
  <w:style w:type="character" w:customStyle="1" w:styleId="UnresolvedMention3">
    <w:name w:val="Unresolved Mention3"/>
    <w:basedOn w:val="DefaultParagraphFont"/>
    <w:uiPriority w:val="99"/>
    <w:semiHidden/>
    <w:unhideWhenUsed/>
    <w:rsid w:val="006D1404"/>
    <w:rPr>
      <w:color w:val="605E5C"/>
      <w:shd w:val="clear" w:color="auto" w:fill="E1DFDD"/>
    </w:rPr>
  </w:style>
  <w:style w:type="paragraph" w:customStyle="1" w:styleId="footnotejt">
    <w:name w:val="footnote jt"/>
    <w:basedOn w:val="FootnoteText"/>
    <w:rsid w:val="006D1404"/>
    <w:pPr>
      <w:tabs>
        <w:tab w:val="left" w:pos="720"/>
      </w:tabs>
      <w:ind w:left="432" w:hanging="432"/>
      <w:jc w:val="both"/>
    </w:pPr>
    <w:rPr>
      <w:rFonts w:ascii="Times New Roman" w:hAnsi="Times New Roman" w:cs="Times New Roman"/>
    </w:rPr>
  </w:style>
  <w:style w:type="character" w:customStyle="1" w:styleId="UnresolvedMention4">
    <w:name w:val="Unresolved Mention4"/>
    <w:basedOn w:val="DefaultParagraphFont"/>
    <w:uiPriority w:val="99"/>
    <w:semiHidden/>
    <w:unhideWhenUsed/>
    <w:rsid w:val="006D1404"/>
    <w:rPr>
      <w:color w:val="605E5C"/>
      <w:shd w:val="clear" w:color="auto" w:fill="E1DFDD"/>
    </w:rPr>
  </w:style>
  <w:style w:type="character" w:customStyle="1" w:styleId="UnresolvedMention5">
    <w:name w:val="Unresolved Mention5"/>
    <w:basedOn w:val="DefaultParagraphFont"/>
    <w:uiPriority w:val="99"/>
    <w:semiHidden/>
    <w:unhideWhenUsed/>
    <w:rsid w:val="006D1404"/>
    <w:rPr>
      <w:color w:val="605E5C"/>
      <w:shd w:val="clear" w:color="auto" w:fill="E1DFDD"/>
    </w:rPr>
  </w:style>
  <w:style w:type="character" w:customStyle="1" w:styleId="UnresolvedMention6">
    <w:name w:val="Unresolved Mention6"/>
    <w:basedOn w:val="DefaultParagraphFont"/>
    <w:uiPriority w:val="99"/>
    <w:semiHidden/>
    <w:unhideWhenUsed/>
    <w:rsid w:val="006D1404"/>
    <w:rPr>
      <w:color w:val="605E5C"/>
      <w:shd w:val="clear" w:color="auto" w:fill="E1DFDD"/>
    </w:rPr>
  </w:style>
  <w:style w:type="character" w:customStyle="1" w:styleId="UnresolvedMention7">
    <w:name w:val="Unresolved Mention7"/>
    <w:basedOn w:val="DefaultParagraphFont"/>
    <w:uiPriority w:val="99"/>
    <w:semiHidden/>
    <w:unhideWhenUsed/>
    <w:rsid w:val="006D1404"/>
    <w:rPr>
      <w:color w:val="605E5C"/>
      <w:shd w:val="clear" w:color="auto" w:fill="E1DFDD"/>
    </w:rPr>
  </w:style>
  <w:style w:type="character" w:customStyle="1" w:styleId="UnresolvedMention8">
    <w:name w:val="Unresolved Mention8"/>
    <w:basedOn w:val="DefaultParagraphFont"/>
    <w:uiPriority w:val="99"/>
    <w:semiHidden/>
    <w:unhideWhenUsed/>
    <w:rsid w:val="00E36D9A"/>
    <w:rPr>
      <w:color w:val="605E5C"/>
      <w:shd w:val="clear" w:color="auto" w:fill="E1DFDD"/>
    </w:rPr>
  </w:style>
  <w:style w:type="character" w:customStyle="1" w:styleId="UnresolvedMention">
    <w:name w:val="Unresolved Mention"/>
    <w:basedOn w:val="DefaultParagraphFont"/>
    <w:uiPriority w:val="99"/>
    <w:semiHidden/>
    <w:unhideWhenUsed/>
    <w:rsid w:val="00062E29"/>
    <w:rPr>
      <w:color w:val="605E5C"/>
      <w:shd w:val="clear" w:color="auto" w:fill="E1DFDD"/>
    </w:rPr>
  </w:style>
  <w:style w:type="paragraph" w:customStyle="1" w:styleId="o1">
    <w:name w:val="o1"/>
    <w:basedOn w:val="Normal"/>
    <w:next w:val="FootnoteText"/>
    <w:uiPriority w:val="99"/>
    <w:unhideWhenUsed/>
    <w:qFormat/>
    <w:rsid w:val="00D054F6"/>
    <w:pPr>
      <w:spacing w:after="0" w:line="240" w:lineRule="auto"/>
    </w:pPr>
    <w:rPr>
      <w:sz w:val="20"/>
      <w:szCs w:val="20"/>
    </w:rPr>
  </w:style>
  <w:style w:type="character" w:styleId="EndnoteReference">
    <w:name w:val="endnote reference"/>
    <w:basedOn w:val="DefaultParagraphFont"/>
    <w:uiPriority w:val="99"/>
    <w:semiHidden/>
    <w:unhideWhenUsed/>
    <w:rsid w:val="00643462"/>
    <w:rPr>
      <w:vertAlign w:val="superscript"/>
    </w:rPr>
  </w:style>
  <w:style w:type="character" w:customStyle="1" w:styleId="EndnoteTextChar">
    <w:name w:val="Endnote Text Char"/>
    <w:basedOn w:val="DefaultParagraphFont"/>
    <w:link w:val="EndnoteText"/>
    <w:uiPriority w:val="99"/>
    <w:semiHidden/>
    <w:rsid w:val="00643462"/>
    <w:rPr>
      <w:sz w:val="20"/>
      <w:szCs w:val="20"/>
    </w:rPr>
  </w:style>
  <w:style w:type="paragraph" w:styleId="EndnoteText">
    <w:name w:val="endnote text"/>
    <w:basedOn w:val="Normal"/>
    <w:link w:val="EndnoteTextChar"/>
    <w:uiPriority w:val="99"/>
    <w:semiHidden/>
    <w:unhideWhenUsed/>
    <w:rsid w:val="00643462"/>
    <w:pPr>
      <w:spacing w:after="0" w:line="240" w:lineRule="auto"/>
    </w:pPr>
    <w:rPr>
      <w:sz w:val="20"/>
      <w:szCs w:val="20"/>
    </w:rPr>
  </w:style>
  <w:style w:type="character" w:customStyle="1" w:styleId="EndnoteTextChar1">
    <w:name w:val="Endnote Text Char1"/>
    <w:basedOn w:val="DefaultParagraphFont"/>
    <w:uiPriority w:val="99"/>
    <w:semiHidden/>
    <w:rsid w:val="00643462"/>
    <w:rPr>
      <w:sz w:val="20"/>
      <w:szCs w:val="20"/>
    </w:rPr>
  </w:style>
  <w:style w:type="paragraph" w:customStyle="1" w:styleId="pf0">
    <w:name w:val="pf0"/>
    <w:basedOn w:val="Normal"/>
    <w:rsid w:val="008C2B04"/>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cf01">
    <w:name w:val="cf01"/>
    <w:basedOn w:val="DefaultParagraphFont"/>
    <w:rsid w:val="008C2B04"/>
    <w:rPr>
      <w:rFonts w:ascii="Segoe UI" w:hAnsi="Segoe UI" w:cs="Segoe UI" w:hint="default"/>
      <w:i/>
      <w:iCs/>
      <w:color w:val="2E74B5"/>
      <w:sz w:val="18"/>
      <w:szCs w:val="18"/>
    </w:rPr>
  </w:style>
  <w:style w:type="character" w:customStyle="1" w:styleId="ListParagraphChar">
    <w:name w:val="List Paragraph Char"/>
    <w:aliases w:val="Conclusion de partie Char,Dot pt Char,No Spacing1 Char,List Paragraph Char Char Char Char,Indicator Text Char,Numbered Para 1 Char,List Paragraph1 Char,Bullet Points Char,MAIN CONTENT Char,List Paragraph12 Char,List Paragraph11 Char"/>
    <w:link w:val="ListParagraph"/>
    <w:uiPriority w:val="34"/>
    <w:qFormat/>
    <w:locked/>
    <w:rsid w:val="000B67DF"/>
  </w:style>
  <w:style w:type="character" w:customStyle="1" w:styleId="Hyperlink1">
    <w:name w:val="Hyperlink1"/>
    <w:basedOn w:val="DefaultParagraphFont"/>
    <w:uiPriority w:val="99"/>
    <w:unhideWhenUsed/>
    <w:rsid w:val="006C1DA9"/>
    <w:rPr>
      <w:color w:val="0563C1"/>
      <w:u w:val="single"/>
    </w:rPr>
  </w:style>
  <w:style w:type="paragraph" w:customStyle="1" w:styleId="oCarCar1">
    <w:name w:val="o Car Car1"/>
    <w:basedOn w:val="Normal"/>
    <w:next w:val="FootnoteText"/>
    <w:uiPriority w:val="99"/>
    <w:unhideWhenUsed/>
    <w:qFormat/>
    <w:rsid w:val="00410D38"/>
    <w:pPr>
      <w:spacing w:after="0" w:line="240" w:lineRule="auto"/>
    </w:pPr>
    <w:rPr>
      <w:kern w:val="2"/>
      <w:sz w:val="20"/>
      <w:szCs w:val="20"/>
    </w:rPr>
  </w:style>
  <w:style w:type="paragraph" w:customStyle="1" w:styleId="Languesfaisantfoi">
    <w:name w:val="Langues faisant foi"/>
    <w:basedOn w:val="Normal"/>
    <w:next w:val="Normal"/>
    <w:rsid w:val="00093869"/>
    <w:pPr>
      <w:spacing w:before="360" w:after="240" w:line="240" w:lineRule="auto"/>
      <w:jc w:val="center"/>
    </w:pPr>
    <w:rPr>
      <w:rFonts w:ascii="Times New Roman" w:hAnsi="Times New Roman" w:cs="Times New Roman"/>
      <w:sz w:val="24"/>
    </w:rPr>
  </w:style>
  <w:style w:type="paragraph" w:customStyle="1" w:styleId="LanguesfaisantfoiPagedecouverture">
    <w:name w:val="Langues faisant foi (Page de couverture)"/>
    <w:basedOn w:val="Normal"/>
    <w:next w:val="Normal"/>
    <w:rsid w:val="00093869"/>
    <w:pPr>
      <w:spacing w:before="360" w:after="240" w:line="240" w:lineRule="auto"/>
      <w:jc w:val="center"/>
    </w:pPr>
    <w:rPr>
      <w:rFonts w:ascii="Times New Roman" w:hAnsi="Times New Roman" w:cs="Times New Roman"/>
      <w:sz w:val="24"/>
    </w:rPr>
  </w:style>
  <w:style w:type="paragraph" w:customStyle="1" w:styleId="IntrtEEE">
    <w:name w:val="Intérêt EEE"/>
    <w:basedOn w:val="Languesfaisantfoi"/>
    <w:next w:val="Normal"/>
    <w:rsid w:val="00093869"/>
    <w:pPr>
      <w:spacing w:after="0"/>
    </w:pPr>
  </w:style>
  <w:style w:type="paragraph" w:customStyle="1" w:styleId="IntrtEEEPagedecouverture">
    <w:name w:val="Intérêt EEE (Page de couverture)"/>
    <w:basedOn w:val="IntrtEEE"/>
    <w:next w:val="Normal"/>
    <w:rsid w:val="00093869"/>
  </w:style>
  <w:style w:type="paragraph" w:customStyle="1" w:styleId="Disclaimer">
    <w:name w:val="Disclaimer"/>
    <w:basedOn w:val="Normal"/>
    <w:rsid w:val="00921907"/>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SecurityMarking">
    <w:name w:val="SecurityMarking"/>
    <w:basedOn w:val="Normal"/>
    <w:rsid w:val="00921907"/>
    <w:pPr>
      <w:spacing w:after="0" w:line="276" w:lineRule="auto"/>
      <w:ind w:left="5103"/>
    </w:pPr>
    <w:rPr>
      <w:rFonts w:ascii="Times New Roman" w:hAnsi="Times New Roman" w:cs="Times New Roman"/>
      <w:sz w:val="28"/>
    </w:rPr>
  </w:style>
  <w:style w:type="paragraph" w:customStyle="1" w:styleId="DateMarking">
    <w:name w:val="DateMarking"/>
    <w:basedOn w:val="Normal"/>
    <w:rsid w:val="00921907"/>
    <w:pPr>
      <w:spacing w:after="0" w:line="276" w:lineRule="auto"/>
      <w:ind w:left="5103"/>
    </w:pPr>
    <w:rPr>
      <w:rFonts w:ascii="Times New Roman" w:hAnsi="Times New Roman" w:cs="Times New Roman"/>
      <w:i/>
      <w:sz w:val="28"/>
    </w:rPr>
  </w:style>
  <w:style w:type="paragraph" w:customStyle="1" w:styleId="ReleasableTo">
    <w:name w:val="ReleasableTo"/>
    <w:basedOn w:val="Normal"/>
    <w:rsid w:val="00921907"/>
    <w:pPr>
      <w:spacing w:after="0" w:line="276" w:lineRule="auto"/>
      <w:ind w:left="5103"/>
    </w:pPr>
    <w:rPr>
      <w:rFonts w:ascii="Times New Roman" w:hAnsi="Times New Roman" w:cs="Times New Roman"/>
      <w:i/>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09442">
      <w:bodyDiv w:val="1"/>
      <w:marLeft w:val="0"/>
      <w:marRight w:val="0"/>
      <w:marTop w:val="0"/>
      <w:marBottom w:val="0"/>
      <w:divBdr>
        <w:top w:val="none" w:sz="0" w:space="0" w:color="auto"/>
        <w:left w:val="none" w:sz="0" w:space="0" w:color="auto"/>
        <w:bottom w:val="none" w:sz="0" w:space="0" w:color="auto"/>
        <w:right w:val="none" w:sz="0" w:space="0" w:color="auto"/>
      </w:divBdr>
    </w:div>
    <w:div w:id="52781419">
      <w:bodyDiv w:val="1"/>
      <w:marLeft w:val="0"/>
      <w:marRight w:val="0"/>
      <w:marTop w:val="0"/>
      <w:marBottom w:val="0"/>
      <w:divBdr>
        <w:top w:val="none" w:sz="0" w:space="0" w:color="auto"/>
        <w:left w:val="none" w:sz="0" w:space="0" w:color="auto"/>
        <w:bottom w:val="none" w:sz="0" w:space="0" w:color="auto"/>
        <w:right w:val="none" w:sz="0" w:space="0" w:color="auto"/>
      </w:divBdr>
    </w:div>
    <w:div w:id="73210176">
      <w:bodyDiv w:val="1"/>
      <w:marLeft w:val="0"/>
      <w:marRight w:val="0"/>
      <w:marTop w:val="0"/>
      <w:marBottom w:val="0"/>
      <w:divBdr>
        <w:top w:val="none" w:sz="0" w:space="0" w:color="auto"/>
        <w:left w:val="none" w:sz="0" w:space="0" w:color="auto"/>
        <w:bottom w:val="none" w:sz="0" w:space="0" w:color="auto"/>
        <w:right w:val="none" w:sz="0" w:space="0" w:color="auto"/>
      </w:divBdr>
    </w:div>
    <w:div w:id="118644662">
      <w:bodyDiv w:val="1"/>
      <w:marLeft w:val="0"/>
      <w:marRight w:val="0"/>
      <w:marTop w:val="0"/>
      <w:marBottom w:val="0"/>
      <w:divBdr>
        <w:top w:val="none" w:sz="0" w:space="0" w:color="auto"/>
        <w:left w:val="none" w:sz="0" w:space="0" w:color="auto"/>
        <w:bottom w:val="none" w:sz="0" w:space="0" w:color="auto"/>
        <w:right w:val="none" w:sz="0" w:space="0" w:color="auto"/>
      </w:divBdr>
    </w:div>
    <w:div w:id="129054301">
      <w:bodyDiv w:val="1"/>
      <w:marLeft w:val="0"/>
      <w:marRight w:val="0"/>
      <w:marTop w:val="0"/>
      <w:marBottom w:val="0"/>
      <w:divBdr>
        <w:top w:val="none" w:sz="0" w:space="0" w:color="auto"/>
        <w:left w:val="none" w:sz="0" w:space="0" w:color="auto"/>
        <w:bottom w:val="none" w:sz="0" w:space="0" w:color="auto"/>
        <w:right w:val="none" w:sz="0" w:space="0" w:color="auto"/>
      </w:divBdr>
    </w:div>
    <w:div w:id="165943682">
      <w:bodyDiv w:val="1"/>
      <w:marLeft w:val="0"/>
      <w:marRight w:val="0"/>
      <w:marTop w:val="0"/>
      <w:marBottom w:val="0"/>
      <w:divBdr>
        <w:top w:val="none" w:sz="0" w:space="0" w:color="auto"/>
        <w:left w:val="none" w:sz="0" w:space="0" w:color="auto"/>
        <w:bottom w:val="none" w:sz="0" w:space="0" w:color="auto"/>
        <w:right w:val="none" w:sz="0" w:space="0" w:color="auto"/>
      </w:divBdr>
    </w:div>
    <w:div w:id="215968247">
      <w:bodyDiv w:val="1"/>
      <w:marLeft w:val="0"/>
      <w:marRight w:val="0"/>
      <w:marTop w:val="0"/>
      <w:marBottom w:val="0"/>
      <w:divBdr>
        <w:top w:val="none" w:sz="0" w:space="0" w:color="auto"/>
        <w:left w:val="none" w:sz="0" w:space="0" w:color="auto"/>
        <w:bottom w:val="none" w:sz="0" w:space="0" w:color="auto"/>
        <w:right w:val="none" w:sz="0" w:space="0" w:color="auto"/>
      </w:divBdr>
    </w:div>
    <w:div w:id="247663641">
      <w:bodyDiv w:val="1"/>
      <w:marLeft w:val="0"/>
      <w:marRight w:val="0"/>
      <w:marTop w:val="0"/>
      <w:marBottom w:val="0"/>
      <w:divBdr>
        <w:top w:val="none" w:sz="0" w:space="0" w:color="auto"/>
        <w:left w:val="none" w:sz="0" w:space="0" w:color="auto"/>
        <w:bottom w:val="none" w:sz="0" w:space="0" w:color="auto"/>
        <w:right w:val="none" w:sz="0" w:space="0" w:color="auto"/>
      </w:divBdr>
    </w:div>
    <w:div w:id="263851884">
      <w:bodyDiv w:val="1"/>
      <w:marLeft w:val="0"/>
      <w:marRight w:val="0"/>
      <w:marTop w:val="0"/>
      <w:marBottom w:val="0"/>
      <w:divBdr>
        <w:top w:val="none" w:sz="0" w:space="0" w:color="auto"/>
        <w:left w:val="none" w:sz="0" w:space="0" w:color="auto"/>
        <w:bottom w:val="none" w:sz="0" w:space="0" w:color="auto"/>
        <w:right w:val="none" w:sz="0" w:space="0" w:color="auto"/>
      </w:divBdr>
    </w:div>
    <w:div w:id="279382816">
      <w:bodyDiv w:val="1"/>
      <w:marLeft w:val="0"/>
      <w:marRight w:val="0"/>
      <w:marTop w:val="0"/>
      <w:marBottom w:val="0"/>
      <w:divBdr>
        <w:top w:val="none" w:sz="0" w:space="0" w:color="auto"/>
        <w:left w:val="none" w:sz="0" w:space="0" w:color="auto"/>
        <w:bottom w:val="none" w:sz="0" w:space="0" w:color="auto"/>
        <w:right w:val="none" w:sz="0" w:space="0" w:color="auto"/>
      </w:divBdr>
    </w:div>
    <w:div w:id="303243685">
      <w:bodyDiv w:val="1"/>
      <w:marLeft w:val="0"/>
      <w:marRight w:val="0"/>
      <w:marTop w:val="0"/>
      <w:marBottom w:val="0"/>
      <w:divBdr>
        <w:top w:val="none" w:sz="0" w:space="0" w:color="auto"/>
        <w:left w:val="none" w:sz="0" w:space="0" w:color="auto"/>
        <w:bottom w:val="none" w:sz="0" w:space="0" w:color="auto"/>
        <w:right w:val="none" w:sz="0" w:space="0" w:color="auto"/>
      </w:divBdr>
      <w:divsChild>
        <w:div w:id="784156179">
          <w:marLeft w:val="0"/>
          <w:marRight w:val="0"/>
          <w:marTop w:val="0"/>
          <w:marBottom w:val="0"/>
          <w:divBdr>
            <w:top w:val="none" w:sz="0" w:space="0" w:color="auto"/>
            <w:left w:val="none" w:sz="0" w:space="0" w:color="auto"/>
            <w:bottom w:val="none" w:sz="0" w:space="0" w:color="auto"/>
            <w:right w:val="none" w:sz="0" w:space="0" w:color="auto"/>
          </w:divBdr>
        </w:div>
        <w:div w:id="1329165070">
          <w:marLeft w:val="0"/>
          <w:marRight w:val="0"/>
          <w:marTop w:val="0"/>
          <w:marBottom w:val="0"/>
          <w:divBdr>
            <w:top w:val="none" w:sz="0" w:space="0" w:color="auto"/>
            <w:left w:val="none" w:sz="0" w:space="0" w:color="auto"/>
            <w:bottom w:val="none" w:sz="0" w:space="0" w:color="auto"/>
            <w:right w:val="none" w:sz="0" w:space="0" w:color="auto"/>
          </w:divBdr>
        </w:div>
        <w:div w:id="1771311574">
          <w:marLeft w:val="0"/>
          <w:marRight w:val="0"/>
          <w:marTop w:val="0"/>
          <w:marBottom w:val="0"/>
          <w:divBdr>
            <w:top w:val="none" w:sz="0" w:space="0" w:color="auto"/>
            <w:left w:val="none" w:sz="0" w:space="0" w:color="auto"/>
            <w:bottom w:val="none" w:sz="0" w:space="0" w:color="auto"/>
            <w:right w:val="none" w:sz="0" w:space="0" w:color="auto"/>
          </w:divBdr>
        </w:div>
      </w:divsChild>
    </w:div>
    <w:div w:id="315182369">
      <w:bodyDiv w:val="1"/>
      <w:marLeft w:val="0"/>
      <w:marRight w:val="0"/>
      <w:marTop w:val="0"/>
      <w:marBottom w:val="0"/>
      <w:divBdr>
        <w:top w:val="none" w:sz="0" w:space="0" w:color="auto"/>
        <w:left w:val="none" w:sz="0" w:space="0" w:color="auto"/>
        <w:bottom w:val="none" w:sz="0" w:space="0" w:color="auto"/>
        <w:right w:val="none" w:sz="0" w:space="0" w:color="auto"/>
      </w:divBdr>
    </w:div>
    <w:div w:id="340931885">
      <w:bodyDiv w:val="1"/>
      <w:marLeft w:val="0"/>
      <w:marRight w:val="0"/>
      <w:marTop w:val="0"/>
      <w:marBottom w:val="0"/>
      <w:divBdr>
        <w:top w:val="none" w:sz="0" w:space="0" w:color="auto"/>
        <w:left w:val="none" w:sz="0" w:space="0" w:color="auto"/>
        <w:bottom w:val="none" w:sz="0" w:space="0" w:color="auto"/>
        <w:right w:val="none" w:sz="0" w:space="0" w:color="auto"/>
      </w:divBdr>
    </w:div>
    <w:div w:id="388651570">
      <w:bodyDiv w:val="1"/>
      <w:marLeft w:val="0"/>
      <w:marRight w:val="0"/>
      <w:marTop w:val="0"/>
      <w:marBottom w:val="0"/>
      <w:divBdr>
        <w:top w:val="none" w:sz="0" w:space="0" w:color="auto"/>
        <w:left w:val="none" w:sz="0" w:space="0" w:color="auto"/>
        <w:bottom w:val="none" w:sz="0" w:space="0" w:color="auto"/>
        <w:right w:val="none" w:sz="0" w:space="0" w:color="auto"/>
      </w:divBdr>
    </w:div>
    <w:div w:id="409934502">
      <w:bodyDiv w:val="1"/>
      <w:marLeft w:val="0"/>
      <w:marRight w:val="0"/>
      <w:marTop w:val="0"/>
      <w:marBottom w:val="0"/>
      <w:divBdr>
        <w:top w:val="none" w:sz="0" w:space="0" w:color="auto"/>
        <w:left w:val="none" w:sz="0" w:space="0" w:color="auto"/>
        <w:bottom w:val="none" w:sz="0" w:space="0" w:color="auto"/>
        <w:right w:val="none" w:sz="0" w:space="0" w:color="auto"/>
      </w:divBdr>
    </w:div>
    <w:div w:id="414011657">
      <w:bodyDiv w:val="1"/>
      <w:marLeft w:val="0"/>
      <w:marRight w:val="0"/>
      <w:marTop w:val="0"/>
      <w:marBottom w:val="0"/>
      <w:divBdr>
        <w:top w:val="none" w:sz="0" w:space="0" w:color="auto"/>
        <w:left w:val="none" w:sz="0" w:space="0" w:color="auto"/>
        <w:bottom w:val="none" w:sz="0" w:space="0" w:color="auto"/>
        <w:right w:val="none" w:sz="0" w:space="0" w:color="auto"/>
      </w:divBdr>
    </w:div>
    <w:div w:id="424230242">
      <w:bodyDiv w:val="1"/>
      <w:marLeft w:val="0"/>
      <w:marRight w:val="0"/>
      <w:marTop w:val="0"/>
      <w:marBottom w:val="0"/>
      <w:divBdr>
        <w:top w:val="none" w:sz="0" w:space="0" w:color="auto"/>
        <w:left w:val="none" w:sz="0" w:space="0" w:color="auto"/>
        <w:bottom w:val="none" w:sz="0" w:space="0" w:color="auto"/>
        <w:right w:val="none" w:sz="0" w:space="0" w:color="auto"/>
      </w:divBdr>
      <w:divsChild>
        <w:div w:id="1014846624">
          <w:marLeft w:val="0"/>
          <w:marRight w:val="0"/>
          <w:marTop w:val="0"/>
          <w:marBottom w:val="0"/>
          <w:divBdr>
            <w:top w:val="none" w:sz="0" w:space="0" w:color="auto"/>
            <w:left w:val="none" w:sz="0" w:space="0" w:color="auto"/>
            <w:bottom w:val="none" w:sz="0" w:space="0" w:color="auto"/>
            <w:right w:val="none" w:sz="0" w:space="0" w:color="auto"/>
          </w:divBdr>
        </w:div>
      </w:divsChild>
    </w:div>
    <w:div w:id="425350062">
      <w:bodyDiv w:val="1"/>
      <w:marLeft w:val="0"/>
      <w:marRight w:val="0"/>
      <w:marTop w:val="0"/>
      <w:marBottom w:val="0"/>
      <w:divBdr>
        <w:top w:val="none" w:sz="0" w:space="0" w:color="auto"/>
        <w:left w:val="none" w:sz="0" w:space="0" w:color="auto"/>
        <w:bottom w:val="none" w:sz="0" w:space="0" w:color="auto"/>
        <w:right w:val="none" w:sz="0" w:space="0" w:color="auto"/>
      </w:divBdr>
    </w:div>
    <w:div w:id="433325795">
      <w:bodyDiv w:val="1"/>
      <w:marLeft w:val="0"/>
      <w:marRight w:val="0"/>
      <w:marTop w:val="0"/>
      <w:marBottom w:val="0"/>
      <w:divBdr>
        <w:top w:val="none" w:sz="0" w:space="0" w:color="auto"/>
        <w:left w:val="none" w:sz="0" w:space="0" w:color="auto"/>
        <w:bottom w:val="none" w:sz="0" w:space="0" w:color="auto"/>
        <w:right w:val="none" w:sz="0" w:space="0" w:color="auto"/>
      </w:divBdr>
    </w:div>
    <w:div w:id="452024208">
      <w:bodyDiv w:val="1"/>
      <w:marLeft w:val="0"/>
      <w:marRight w:val="0"/>
      <w:marTop w:val="0"/>
      <w:marBottom w:val="0"/>
      <w:divBdr>
        <w:top w:val="none" w:sz="0" w:space="0" w:color="auto"/>
        <w:left w:val="none" w:sz="0" w:space="0" w:color="auto"/>
        <w:bottom w:val="none" w:sz="0" w:space="0" w:color="auto"/>
        <w:right w:val="none" w:sz="0" w:space="0" w:color="auto"/>
      </w:divBdr>
    </w:div>
    <w:div w:id="507913050">
      <w:bodyDiv w:val="1"/>
      <w:marLeft w:val="0"/>
      <w:marRight w:val="0"/>
      <w:marTop w:val="0"/>
      <w:marBottom w:val="0"/>
      <w:divBdr>
        <w:top w:val="none" w:sz="0" w:space="0" w:color="auto"/>
        <w:left w:val="none" w:sz="0" w:space="0" w:color="auto"/>
        <w:bottom w:val="none" w:sz="0" w:space="0" w:color="auto"/>
        <w:right w:val="none" w:sz="0" w:space="0" w:color="auto"/>
      </w:divBdr>
    </w:div>
    <w:div w:id="563951859">
      <w:bodyDiv w:val="1"/>
      <w:marLeft w:val="0"/>
      <w:marRight w:val="0"/>
      <w:marTop w:val="0"/>
      <w:marBottom w:val="0"/>
      <w:divBdr>
        <w:top w:val="none" w:sz="0" w:space="0" w:color="auto"/>
        <w:left w:val="none" w:sz="0" w:space="0" w:color="auto"/>
        <w:bottom w:val="none" w:sz="0" w:space="0" w:color="auto"/>
        <w:right w:val="none" w:sz="0" w:space="0" w:color="auto"/>
      </w:divBdr>
    </w:div>
    <w:div w:id="569734362">
      <w:bodyDiv w:val="1"/>
      <w:marLeft w:val="0"/>
      <w:marRight w:val="0"/>
      <w:marTop w:val="0"/>
      <w:marBottom w:val="0"/>
      <w:divBdr>
        <w:top w:val="none" w:sz="0" w:space="0" w:color="auto"/>
        <w:left w:val="none" w:sz="0" w:space="0" w:color="auto"/>
        <w:bottom w:val="none" w:sz="0" w:space="0" w:color="auto"/>
        <w:right w:val="none" w:sz="0" w:space="0" w:color="auto"/>
      </w:divBdr>
    </w:div>
    <w:div w:id="590433984">
      <w:bodyDiv w:val="1"/>
      <w:marLeft w:val="0"/>
      <w:marRight w:val="0"/>
      <w:marTop w:val="0"/>
      <w:marBottom w:val="0"/>
      <w:divBdr>
        <w:top w:val="none" w:sz="0" w:space="0" w:color="auto"/>
        <w:left w:val="none" w:sz="0" w:space="0" w:color="auto"/>
        <w:bottom w:val="none" w:sz="0" w:space="0" w:color="auto"/>
        <w:right w:val="none" w:sz="0" w:space="0" w:color="auto"/>
      </w:divBdr>
    </w:div>
    <w:div w:id="621227722">
      <w:bodyDiv w:val="1"/>
      <w:marLeft w:val="0"/>
      <w:marRight w:val="0"/>
      <w:marTop w:val="0"/>
      <w:marBottom w:val="0"/>
      <w:divBdr>
        <w:top w:val="none" w:sz="0" w:space="0" w:color="auto"/>
        <w:left w:val="none" w:sz="0" w:space="0" w:color="auto"/>
        <w:bottom w:val="none" w:sz="0" w:space="0" w:color="auto"/>
        <w:right w:val="none" w:sz="0" w:space="0" w:color="auto"/>
      </w:divBdr>
    </w:div>
    <w:div w:id="646202462">
      <w:bodyDiv w:val="1"/>
      <w:marLeft w:val="0"/>
      <w:marRight w:val="0"/>
      <w:marTop w:val="0"/>
      <w:marBottom w:val="0"/>
      <w:divBdr>
        <w:top w:val="none" w:sz="0" w:space="0" w:color="auto"/>
        <w:left w:val="none" w:sz="0" w:space="0" w:color="auto"/>
        <w:bottom w:val="none" w:sz="0" w:space="0" w:color="auto"/>
        <w:right w:val="none" w:sz="0" w:space="0" w:color="auto"/>
      </w:divBdr>
    </w:div>
    <w:div w:id="672728460">
      <w:bodyDiv w:val="1"/>
      <w:marLeft w:val="0"/>
      <w:marRight w:val="0"/>
      <w:marTop w:val="0"/>
      <w:marBottom w:val="0"/>
      <w:divBdr>
        <w:top w:val="none" w:sz="0" w:space="0" w:color="auto"/>
        <w:left w:val="none" w:sz="0" w:space="0" w:color="auto"/>
        <w:bottom w:val="none" w:sz="0" w:space="0" w:color="auto"/>
        <w:right w:val="none" w:sz="0" w:space="0" w:color="auto"/>
      </w:divBdr>
    </w:div>
    <w:div w:id="680089373">
      <w:bodyDiv w:val="1"/>
      <w:marLeft w:val="0"/>
      <w:marRight w:val="0"/>
      <w:marTop w:val="0"/>
      <w:marBottom w:val="0"/>
      <w:divBdr>
        <w:top w:val="none" w:sz="0" w:space="0" w:color="auto"/>
        <w:left w:val="none" w:sz="0" w:space="0" w:color="auto"/>
        <w:bottom w:val="none" w:sz="0" w:space="0" w:color="auto"/>
        <w:right w:val="none" w:sz="0" w:space="0" w:color="auto"/>
      </w:divBdr>
      <w:divsChild>
        <w:div w:id="1466390298">
          <w:marLeft w:val="0"/>
          <w:marRight w:val="0"/>
          <w:marTop w:val="0"/>
          <w:marBottom w:val="0"/>
          <w:divBdr>
            <w:top w:val="none" w:sz="0" w:space="0" w:color="auto"/>
            <w:left w:val="none" w:sz="0" w:space="0" w:color="auto"/>
            <w:bottom w:val="none" w:sz="0" w:space="0" w:color="auto"/>
            <w:right w:val="none" w:sz="0" w:space="0" w:color="auto"/>
          </w:divBdr>
          <w:divsChild>
            <w:div w:id="125511713">
              <w:marLeft w:val="0"/>
              <w:marRight w:val="0"/>
              <w:marTop w:val="0"/>
              <w:marBottom w:val="0"/>
              <w:divBdr>
                <w:top w:val="none" w:sz="0" w:space="0" w:color="auto"/>
                <w:left w:val="none" w:sz="0" w:space="0" w:color="auto"/>
                <w:bottom w:val="none" w:sz="0" w:space="0" w:color="auto"/>
                <w:right w:val="none" w:sz="0" w:space="0" w:color="auto"/>
              </w:divBdr>
            </w:div>
            <w:div w:id="464585990">
              <w:marLeft w:val="0"/>
              <w:marRight w:val="0"/>
              <w:marTop w:val="0"/>
              <w:marBottom w:val="0"/>
              <w:divBdr>
                <w:top w:val="none" w:sz="0" w:space="0" w:color="auto"/>
                <w:left w:val="none" w:sz="0" w:space="0" w:color="auto"/>
                <w:bottom w:val="none" w:sz="0" w:space="0" w:color="auto"/>
                <w:right w:val="none" w:sz="0" w:space="0" w:color="auto"/>
              </w:divBdr>
            </w:div>
            <w:div w:id="543981252">
              <w:marLeft w:val="0"/>
              <w:marRight w:val="0"/>
              <w:marTop w:val="0"/>
              <w:marBottom w:val="0"/>
              <w:divBdr>
                <w:top w:val="none" w:sz="0" w:space="0" w:color="auto"/>
                <w:left w:val="none" w:sz="0" w:space="0" w:color="auto"/>
                <w:bottom w:val="none" w:sz="0" w:space="0" w:color="auto"/>
                <w:right w:val="none" w:sz="0" w:space="0" w:color="auto"/>
              </w:divBdr>
            </w:div>
            <w:div w:id="1246107492">
              <w:marLeft w:val="0"/>
              <w:marRight w:val="0"/>
              <w:marTop w:val="0"/>
              <w:marBottom w:val="0"/>
              <w:divBdr>
                <w:top w:val="none" w:sz="0" w:space="0" w:color="auto"/>
                <w:left w:val="none" w:sz="0" w:space="0" w:color="auto"/>
                <w:bottom w:val="none" w:sz="0" w:space="0" w:color="auto"/>
                <w:right w:val="none" w:sz="0" w:space="0" w:color="auto"/>
              </w:divBdr>
            </w:div>
            <w:div w:id="1355577847">
              <w:marLeft w:val="0"/>
              <w:marRight w:val="0"/>
              <w:marTop w:val="0"/>
              <w:marBottom w:val="0"/>
              <w:divBdr>
                <w:top w:val="none" w:sz="0" w:space="0" w:color="auto"/>
                <w:left w:val="none" w:sz="0" w:space="0" w:color="auto"/>
                <w:bottom w:val="none" w:sz="0" w:space="0" w:color="auto"/>
                <w:right w:val="none" w:sz="0" w:space="0" w:color="auto"/>
              </w:divBdr>
            </w:div>
            <w:div w:id="1622682931">
              <w:marLeft w:val="0"/>
              <w:marRight w:val="0"/>
              <w:marTop w:val="0"/>
              <w:marBottom w:val="0"/>
              <w:divBdr>
                <w:top w:val="none" w:sz="0" w:space="0" w:color="auto"/>
                <w:left w:val="none" w:sz="0" w:space="0" w:color="auto"/>
                <w:bottom w:val="none" w:sz="0" w:space="0" w:color="auto"/>
                <w:right w:val="none" w:sz="0" w:space="0" w:color="auto"/>
              </w:divBdr>
            </w:div>
            <w:div w:id="1972591645">
              <w:marLeft w:val="0"/>
              <w:marRight w:val="0"/>
              <w:marTop w:val="0"/>
              <w:marBottom w:val="0"/>
              <w:divBdr>
                <w:top w:val="none" w:sz="0" w:space="0" w:color="auto"/>
                <w:left w:val="none" w:sz="0" w:space="0" w:color="auto"/>
                <w:bottom w:val="none" w:sz="0" w:space="0" w:color="auto"/>
                <w:right w:val="none" w:sz="0" w:space="0" w:color="auto"/>
              </w:divBdr>
              <w:divsChild>
                <w:div w:id="94637000">
                  <w:marLeft w:val="0"/>
                  <w:marRight w:val="0"/>
                  <w:marTop w:val="0"/>
                  <w:marBottom w:val="0"/>
                  <w:divBdr>
                    <w:top w:val="none" w:sz="0" w:space="0" w:color="auto"/>
                    <w:left w:val="none" w:sz="0" w:space="0" w:color="auto"/>
                    <w:bottom w:val="none" w:sz="0" w:space="0" w:color="auto"/>
                    <w:right w:val="none" w:sz="0" w:space="0" w:color="auto"/>
                  </w:divBdr>
                </w:div>
                <w:div w:id="433601093">
                  <w:marLeft w:val="0"/>
                  <w:marRight w:val="0"/>
                  <w:marTop w:val="0"/>
                  <w:marBottom w:val="0"/>
                  <w:divBdr>
                    <w:top w:val="none" w:sz="0" w:space="0" w:color="auto"/>
                    <w:left w:val="none" w:sz="0" w:space="0" w:color="auto"/>
                    <w:bottom w:val="none" w:sz="0" w:space="0" w:color="auto"/>
                    <w:right w:val="none" w:sz="0" w:space="0" w:color="auto"/>
                  </w:divBdr>
                </w:div>
                <w:div w:id="594093054">
                  <w:marLeft w:val="0"/>
                  <w:marRight w:val="0"/>
                  <w:marTop w:val="0"/>
                  <w:marBottom w:val="0"/>
                  <w:divBdr>
                    <w:top w:val="none" w:sz="0" w:space="0" w:color="auto"/>
                    <w:left w:val="none" w:sz="0" w:space="0" w:color="auto"/>
                    <w:bottom w:val="none" w:sz="0" w:space="0" w:color="auto"/>
                    <w:right w:val="none" w:sz="0" w:space="0" w:color="auto"/>
                  </w:divBdr>
                </w:div>
                <w:div w:id="175833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640645">
      <w:bodyDiv w:val="1"/>
      <w:marLeft w:val="0"/>
      <w:marRight w:val="0"/>
      <w:marTop w:val="0"/>
      <w:marBottom w:val="0"/>
      <w:divBdr>
        <w:top w:val="none" w:sz="0" w:space="0" w:color="auto"/>
        <w:left w:val="none" w:sz="0" w:space="0" w:color="auto"/>
        <w:bottom w:val="none" w:sz="0" w:space="0" w:color="auto"/>
        <w:right w:val="none" w:sz="0" w:space="0" w:color="auto"/>
      </w:divBdr>
    </w:div>
    <w:div w:id="733629609">
      <w:bodyDiv w:val="1"/>
      <w:marLeft w:val="0"/>
      <w:marRight w:val="0"/>
      <w:marTop w:val="0"/>
      <w:marBottom w:val="0"/>
      <w:divBdr>
        <w:top w:val="none" w:sz="0" w:space="0" w:color="auto"/>
        <w:left w:val="none" w:sz="0" w:space="0" w:color="auto"/>
        <w:bottom w:val="none" w:sz="0" w:space="0" w:color="auto"/>
        <w:right w:val="none" w:sz="0" w:space="0" w:color="auto"/>
      </w:divBdr>
    </w:div>
    <w:div w:id="756826818">
      <w:bodyDiv w:val="1"/>
      <w:marLeft w:val="0"/>
      <w:marRight w:val="0"/>
      <w:marTop w:val="0"/>
      <w:marBottom w:val="0"/>
      <w:divBdr>
        <w:top w:val="none" w:sz="0" w:space="0" w:color="auto"/>
        <w:left w:val="none" w:sz="0" w:space="0" w:color="auto"/>
        <w:bottom w:val="none" w:sz="0" w:space="0" w:color="auto"/>
        <w:right w:val="none" w:sz="0" w:space="0" w:color="auto"/>
      </w:divBdr>
    </w:div>
    <w:div w:id="770319682">
      <w:bodyDiv w:val="1"/>
      <w:marLeft w:val="0"/>
      <w:marRight w:val="0"/>
      <w:marTop w:val="0"/>
      <w:marBottom w:val="0"/>
      <w:divBdr>
        <w:top w:val="none" w:sz="0" w:space="0" w:color="auto"/>
        <w:left w:val="none" w:sz="0" w:space="0" w:color="auto"/>
        <w:bottom w:val="none" w:sz="0" w:space="0" w:color="auto"/>
        <w:right w:val="none" w:sz="0" w:space="0" w:color="auto"/>
      </w:divBdr>
    </w:div>
    <w:div w:id="832141606">
      <w:bodyDiv w:val="1"/>
      <w:marLeft w:val="0"/>
      <w:marRight w:val="0"/>
      <w:marTop w:val="0"/>
      <w:marBottom w:val="0"/>
      <w:divBdr>
        <w:top w:val="none" w:sz="0" w:space="0" w:color="auto"/>
        <w:left w:val="none" w:sz="0" w:space="0" w:color="auto"/>
        <w:bottom w:val="none" w:sz="0" w:space="0" w:color="auto"/>
        <w:right w:val="none" w:sz="0" w:space="0" w:color="auto"/>
      </w:divBdr>
    </w:div>
    <w:div w:id="859127704">
      <w:bodyDiv w:val="1"/>
      <w:marLeft w:val="0"/>
      <w:marRight w:val="0"/>
      <w:marTop w:val="0"/>
      <w:marBottom w:val="0"/>
      <w:divBdr>
        <w:top w:val="none" w:sz="0" w:space="0" w:color="auto"/>
        <w:left w:val="none" w:sz="0" w:space="0" w:color="auto"/>
        <w:bottom w:val="none" w:sz="0" w:space="0" w:color="auto"/>
        <w:right w:val="none" w:sz="0" w:space="0" w:color="auto"/>
      </w:divBdr>
    </w:div>
    <w:div w:id="882979739">
      <w:bodyDiv w:val="1"/>
      <w:marLeft w:val="0"/>
      <w:marRight w:val="0"/>
      <w:marTop w:val="0"/>
      <w:marBottom w:val="0"/>
      <w:divBdr>
        <w:top w:val="none" w:sz="0" w:space="0" w:color="auto"/>
        <w:left w:val="none" w:sz="0" w:space="0" w:color="auto"/>
        <w:bottom w:val="none" w:sz="0" w:space="0" w:color="auto"/>
        <w:right w:val="none" w:sz="0" w:space="0" w:color="auto"/>
      </w:divBdr>
    </w:div>
    <w:div w:id="885683434">
      <w:bodyDiv w:val="1"/>
      <w:marLeft w:val="0"/>
      <w:marRight w:val="0"/>
      <w:marTop w:val="0"/>
      <w:marBottom w:val="0"/>
      <w:divBdr>
        <w:top w:val="none" w:sz="0" w:space="0" w:color="auto"/>
        <w:left w:val="none" w:sz="0" w:space="0" w:color="auto"/>
        <w:bottom w:val="none" w:sz="0" w:space="0" w:color="auto"/>
        <w:right w:val="none" w:sz="0" w:space="0" w:color="auto"/>
      </w:divBdr>
    </w:div>
    <w:div w:id="925385419">
      <w:bodyDiv w:val="1"/>
      <w:marLeft w:val="0"/>
      <w:marRight w:val="0"/>
      <w:marTop w:val="0"/>
      <w:marBottom w:val="0"/>
      <w:divBdr>
        <w:top w:val="none" w:sz="0" w:space="0" w:color="auto"/>
        <w:left w:val="none" w:sz="0" w:space="0" w:color="auto"/>
        <w:bottom w:val="none" w:sz="0" w:space="0" w:color="auto"/>
        <w:right w:val="none" w:sz="0" w:space="0" w:color="auto"/>
      </w:divBdr>
    </w:div>
    <w:div w:id="927234626">
      <w:bodyDiv w:val="1"/>
      <w:marLeft w:val="0"/>
      <w:marRight w:val="0"/>
      <w:marTop w:val="0"/>
      <w:marBottom w:val="0"/>
      <w:divBdr>
        <w:top w:val="none" w:sz="0" w:space="0" w:color="auto"/>
        <w:left w:val="none" w:sz="0" w:space="0" w:color="auto"/>
        <w:bottom w:val="none" w:sz="0" w:space="0" w:color="auto"/>
        <w:right w:val="none" w:sz="0" w:space="0" w:color="auto"/>
      </w:divBdr>
    </w:div>
    <w:div w:id="928545938">
      <w:bodyDiv w:val="1"/>
      <w:marLeft w:val="0"/>
      <w:marRight w:val="0"/>
      <w:marTop w:val="0"/>
      <w:marBottom w:val="0"/>
      <w:divBdr>
        <w:top w:val="none" w:sz="0" w:space="0" w:color="auto"/>
        <w:left w:val="none" w:sz="0" w:space="0" w:color="auto"/>
        <w:bottom w:val="none" w:sz="0" w:space="0" w:color="auto"/>
        <w:right w:val="none" w:sz="0" w:space="0" w:color="auto"/>
      </w:divBdr>
    </w:div>
    <w:div w:id="962810955">
      <w:bodyDiv w:val="1"/>
      <w:marLeft w:val="0"/>
      <w:marRight w:val="0"/>
      <w:marTop w:val="0"/>
      <w:marBottom w:val="0"/>
      <w:divBdr>
        <w:top w:val="none" w:sz="0" w:space="0" w:color="auto"/>
        <w:left w:val="none" w:sz="0" w:space="0" w:color="auto"/>
        <w:bottom w:val="none" w:sz="0" w:space="0" w:color="auto"/>
        <w:right w:val="none" w:sz="0" w:space="0" w:color="auto"/>
      </w:divBdr>
    </w:div>
    <w:div w:id="990206935">
      <w:bodyDiv w:val="1"/>
      <w:marLeft w:val="0"/>
      <w:marRight w:val="0"/>
      <w:marTop w:val="0"/>
      <w:marBottom w:val="0"/>
      <w:divBdr>
        <w:top w:val="none" w:sz="0" w:space="0" w:color="auto"/>
        <w:left w:val="none" w:sz="0" w:space="0" w:color="auto"/>
        <w:bottom w:val="none" w:sz="0" w:space="0" w:color="auto"/>
        <w:right w:val="none" w:sz="0" w:space="0" w:color="auto"/>
      </w:divBdr>
    </w:div>
    <w:div w:id="996112067">
      <w:bodyDiv w:val="1"/>
      <w:marLeft w:val="0"/>
      <w:marRight w:val="0"/>
      <w:marTop w:val="0"/>
      <w:marBottom w:val="0"/>
      <w:divBdr>
        <w:top w:val="none" w:sz="0" w:space="0" w:color="auto"/>
        <w:left w:val="none" w:sz="0" w:space="0" w:color="auto"/>
        <w:bottom w:val="none" w:sz="0" w:space="0" w:color="auto"/>
        <w:right w:val="none" w:sz="0" w:space="0" w:color="auto"/>
      </w:divBdr>
    </w:div>
    <w:div w:id="1028724216">
      <w:bodyDiv w:val="1"/>
      <w:marLeft w:val="0"/>
      <w:marRight w:val="0"/>
      <w:marTop w:val="0"/>
      <w:marBottom w:val="0"/>
      <w:divBdr>
        <w:top w:val="none" w:sz="0" w:space="0" w:color="auto"/>
        <w:left w:val="none" w:sz="0" w:space="0" w:color="auto"/>
        <w:bottom w:val="none" w:sz="0" w:space="0" w:color="auto"/>
        <w:right w:val="none" w:sz="0" w:space="0" w:color="auto"/>
      </w:divBdr>
    </w:div>
    <w:div w:id="1066077028">
      <w:bodyDiv w:val="1"/>
      <w:marLeft w:val="0"/>
      <w:marRight w:val="0"/>
      <w:marTop w:val="0"/>
      <w:marBottom w:val="0"/>
      <w:divBdr>
        <w:top w:val="none" w:sz="0" w:space="0" w:color="auto"/>
        <w:left w:val="none" w:sz="0" w:space="0" w:color="auto"/>
        <w:bottom w:val="none" w:sz="0" w:space="0" w:color="auto"/>
        <w:right w:val="none" w:sz="0" w:space="0" w:color="auto"/>
      </w:divBdr>
    </w:div>
    <w:div w:id="1080372023">
      <w:bodyDiv w:val="1"/>
      <w:marLeft w:val="0"/>
      <w:marRight w:val="0"/>
      <w:marTop w:val="0"/>
      <w:marBottom w:val="0"/>
      <w:divBdr>
        <w:top w:val="none" w:sz="0" w:space="0" w:color="auto"/>
        <w:left w:val="none" w:sz="0" w:space="0" w:color="auto"/>
        <w:bottom w:val="none" w:sz="0" w:space="0" w:color="auto"/>
        <w:right w:val="none" w:sz="0" w:space="0" w:color="auto"/>
      </w:divBdr>
    </w:div>
    <w:div w:id="1086196516">
      <w:bodyDiv w:val="1"/>
      <w:marLeft w:val="0"/>
      <w:marRight w:val="0"/>
      <w:marTop w:val="0"/>
      <w:marBottom w:val="0"/>
      <w:divBdr>
        <w:top w:val="none" w:sz="0" w:space="0" w:color="auto"/>
        <w:left w:val="none" w:sz="0" w:space="0" w:color="auto"/>
        <w:bottom w:val="none" w:sz="0" w:space="0" w:color="auto"/>
        <w:right w:val="none" w:sz="0" w:space="0" w:color="auto"/>
      </w:divBdr>
    </w:div>
    <w:div w:id="1128889679">
      <w:bodyDiv w:val="1"/>
      <w:marLeft w:val="0"/>
      <w:marRight w:val="0"/>
      <w:marTop w:val="0"/>
      <w:marBottom w:val="0"/>
      <w:divBdr>
        <w:top w:val="none" w:sz="0" w:space="0" w:color="auto"/>
        <w:left w:val="none" w:sz="0" w:space="0" w:color="auto"/>
        <w:bottom w:val="none" w:sz="0" w:space="0" w:color="auto"/>
        <w:right w:val="none" w:sz="0" w:space="0" w:color="auto"/>
      </w:divBdr>
    </w:div>
    <w:div w:id="1226181570">
      <w:bodyDiv w:val="1"/>
      <w:marLeft w:val="0"/>
      <w:marRight w:val="0"/>
      <w:marTop w:val="0"/>
      <w:marBottom w:val="0"/>
      <w:divBdr>
        <w:top w:val="none" w:sz="0" w:space="0" w:color="auto"/>
        <w:left w:val="none" w:sz="0" w:space="0" w:color="auto"/>
        <w:bottom w:val="none" w:sz="0" w:space="0" w:color="auto"/>
        <w:right w:val="none" w:sz="0" w:space="0" w:color="auto"/>
      </w:divBdr>
    </w:div>
    <w:div w:id="1229926985">
      <w:bodyDiv w:val="1"/>
      <w:marLeft w:val="0"/>
      <w:marRight w:val="0"/>
      <w:marTop w:val="0"/>
      <w:marBottom w:val="0"/>
      <w:divBdr>
        <w:top w:val="none" w:sz="0" w:space="0" w:color="auto"/>
        <w:left w:val="none" w:sz="0" w:space="0" w:color="auto"/>
        <w:bottom w:val="none" w:sz="0" w:space="0" w:color="auto"/>
        <w:right w:val="none" w:sz="0" w:space="0" w:color="auto"/>
      </w:divBdr>
    </w:div>
    <w:div w:id="1430153774">
      <w:bodyDiv w:val="1"/>
      <w:marLeft w:val="0"/>
      <w:marRight w:val="0"/>
      <w:marTop w:val="0"/>
      <w:marBottom w:val="0"/>
      <w:divBdr>
        <w:top w:val="none" w:sz="0" w:space="0" w:color="auto"/>
        <w:left w:val="none" w:sz="0" w:space="0" w:color="auto"/>
        <w:bottom w:val="none" w:sz="0" w:space="0" w:color="auto"/>
        <w:right w:val="none" w:sz="0" w:space="0" w:color="auto"/>
      </w:divBdr>
    </w:div>
    <w:div w:id="1459687184">
      <w:bodyDiv w:val="1"/>
      <w:marLeft w:val="0"/>
      <w:marRight w:val="0"/>
      <w:marTop w:val="0"/>
      <w:marBottom w:val="0"/>
      <w:divBdr>
        <w:top w:val="none" w:sz="0" w:space="0" w:color="auto"/>
        <w:left w:val="none" w:sz="0" w:space="0" w:color="auto"/>
        <w:bottom w:val="none" w:sz="0" w:space="0" w:color="auto"/>
        <w:right w:val="none" w:sz="0" w:space="0" w:color="auto"/>
      </w:divBdr>
    </w:div>
    <w:div w:id="1476531092">
      <w:bodyDiv w:val="1"/>
      <w:marLeft w:val="0"/>
      <w:marRight w:val="0"/>
      <w:marTop w:val="0"/>
      <w:marBottom w:val="0"/>
      <w:divBdr>
        <w:top w:val="none" w:sz="0" w:space="0" w:color="auto"/>
        <w:left w:val="none" w:sz="0" w:space="0" w:color="auto"/>
        <w:bottom w:val="none" w:sz="0" w:space="0" w:color="auto"/>
        <w:right w:val="none" w:sz="0" w:space="0" w:color="auto"/>
      </w:divBdr>
    </w:div>
    <w:div w:id="1552766136">
      <w:bodyDiv w:val="1"/>
      <w:marLeft w:val="0"/>
      <w:marRight w:val="0"/>
      <w:marTop w:val="0"/>
      <w:marBottom w:val="0"/>
      <w:divBdr>
        <w:top w:val="none" w:sz="0" w:space="0" w:color="auto"/>
        <w:left w:val="none" w:sz="0" w:space="0" w:color="auto"/>
        <w:bottom w:val="none" w:sz="0" w:space="0" w:color="auto"/>
        <w:right w:val="none" w:sz="0" w:space="0" w:color="auto"/>
      </w:divBdr>
    </w:div>
    <w:div w:id="1599291684">
      <w:bodyDiv w:val="1"/>
      <w:marLeft w:val="0"/>
      <w:marRight w:val="0"/>
      <w:marTop w:val="0"/>
      <w:marBottom w:val="0"/>
      <w:divBdr>
        <w:top w:val="none" w:sz="0" w:space="0" w:color="auto"/>
        <w:left w:val="none" w:sz="0" w:space="0" w:color="auto"/>
        <w:bottom w:val="none" w:sz="0" w:space="0" w:color="auto"/>
        <w:right w:val="none" w:sz="0" w:space="0" w:color="auto"/>
      </w:divBdr>
    </w:div>
    <w:div w:id="1619409010">
      <w:bodyDiv w:val="1"/>
      <w:marLeft w:val="0"/>
      <w:marRight w:val="0"/>
      <w:marTop w:val="0"/>
      <w:marBottom w:val="0"/>
      <w:divBdr>
        <w:top w:val="none" w:sz="0" w:space="0" w:color="auto"/>
        <w:left w:val="none" w:sz="0" w:space="0" w:color="auto"/>
        <w:bottom w:val="none" w:sz="0" w:space="0" w:color="auto"/>
        <w:right w:val="none" w:sz="0" w:space="0" w:color="auto"/>
      </w:divBdr>
      <w:divsChild>
        <w:div w:id="1661274021">
          <w:marLeft w:val="0"/>
          <w:marRight w:val="0"/>
          <w:marTop w:val="0"/>
          <w:marBottom w:val="0"/>
          <w:divBdr>
            <w:top w:val="none" w:sz="0" w:space="0" w:color="auto"/>
            <w:left w:val="none" w:sz="0" w:space="0" w:color="auto"/>
            <w:bottom w:val="none" w:sz="0" w:space="0" w:color="auto"/>
            <w:right w:val="none" w:sz="0" w:space="0" w:color="auto"/>
          </w:divBdr>
        </w:div>
      </w:divsChild>
    </w:div>
    <w:div w:id="1713384145">
      <w:bodyDiv w:val="1"/>
      <w:marLeft w:val="0"/>
      <w:marRight w:val="0"/>
      <w:marTop w:val="0"/>
      <w:marBottom w:val="0"/>
      <w:divBdr>
        <w:top w:val="none" w:sz="0" w:space="0" w:color="auto"/>
        <w:left w:val="none" w:sz="0" w:space="0" w:color="auto"/>
        <w:bottom w:val="none" w:sz="0" w:space="0" w:color="auto"/>
        <w:right w:val="none" w:sz="0" w:space="0" w:color="auto"/>
      </w:divBdr>
    </w:div>
    <w:div w:id="1758016547">
      <w:bodyDiv w:val="1"/>
      <w:marLeft w:val="0"/>
      <w:marRight w:val="0"/>
      <w:marTop w:val="0"/>
      <w:marBottom w:val="0"/>
      <w:divBdr>
        <w:top w:val="none" w:sz="0" w:space="0" w:color="auto"/>
        <w:left w:val="none" w:sz="0" w:space="0" w:color="auto"/>
        <w:bottom w:val="none" w:sz="0" w:space="0" w:color="auto"/>
        <w:right w:val="none" w:sz="0" w:space="0" w:color="auto"/>
      </w:divBdr>
    </w:div>
    <w:div w:id="1792627231">
      <w:bodyDiv w:val="1"/>
      <w:marLeft w:val="0"/>
      <w:marRight w:val="0"/>
      <w:marTop w:val="0"/>
      <w:marBottom w:val="0"/>
      <w:divBdr>
        <w:top w:val="none" w:sz="0" w:space="0" w:color="auto"/>
        <w:left w:val="none" w:sz="0" w:space="0" w:color="auto"/>
        <w:bottom w:val="none" w:sz="0" w:space="0" w:color="auto"/>
        <w:right w:val="none" w:sz="0" w:space="0" w:color="auto"/>
      </w:divBdr>
    </w:div>
    <w:div w:id="1807383819">
      <w:bodyDiv w:val="1"/>
      <w:marLeft w:val="0"/>
      <w:marRight w:val="0"/>
      <w:marTop w:val="0"/>
      <w:marBottom w:val="0"/>
      <w:divBdr>
        <w:top w:val="none" w:sz="0" w:space="0" w:color="auto"/>
        <w:left w:val="none" w:sz="0" w:space="0" w:color="auto"/>
        <w:bottom w:val="none" w:sz="0" w:space="0" w:color="auto"/>
        <w:right w:val="none" w:sz="0" w:space="0" w:color="auto"/>
      </w:divBdr>
    </w:div>
    <w:div w:id="1811289851">
      <w:bodyDiv w:val="1"/>
      <w:marLeft w:val="0"/>
      <w:marRight w:val="0"/>
      <w:marTop w:val="0"/>
      <w:marBottom w:val="0"/>
      <w:divBdr>
        <w:top w:val="none" w:sz="0" w:space="0" w:color="auto"/>
        <w:left w:val="none" w:sz="0" w:space="0" w:color="auto"/>
        <w:bottom w:val="none" w:sz="0" w:space="0" w:color="auto"/>
        <w:right w:val="none" w:sz="0" w:space="0" w:color="auto"/>
      </w:divBdr>
    </w:div>
    <w:div w:id="1857423502">
      <w:bodyDiv w:val="1"/>
      <w:marLeft w:val="0"/>
      <w:marRight w:val="0"/>
      <w:marTop w:val="0"/>
      <w:marBottom w:val="0"/>
      <w:divBdr>
        <w:top w:val="none" w:sz="0" w:space="0" w:color="auto"/>
        <w:left w:val="none" w:sz="0" w:space="0" w:color="auto"/>
        <w:bottom w:val="none" w:sz="0" w:space="0" w:color="auto"/>
        <w:right w:val="none" w:sz="0" w:space="0" w:color="auto"/>
      </w:divBdr>
    </w:div>
    <w:div w:id="1866208489">
      <w:bodyDiv w:val="1"/>
      <w:marLeft w:val="0"/>
      <w:marRight w:val="0"/>
      <w:marTop w:val="0"/>
      <w:marBottom w:val="0"/>
      <w:divBdr>
        <w:top w:val="none" w:sz="0" w:space="0" w:color="auto"/>
        <w:left w:val="none" w:sz="0" w:space="0" w:color="auto"/>
        <w:bottom w:val="none" w:sz="0" w:space="0" w:color="auto"/>
        <w:right w:val="none" w:sz="0" w:space="0" w:color="auto"/>
      </w:divBdr>
    </w:div>
    <w:div w:id="1878614310">
      <w:bodyDiv w:val="1"/>
      <w:marLeft w:val="0"/>
      <w:marRight w:val="0"/>
      <w:marTop w:val="0"/>
      <w:marBottom w:val="0"/>
      <w:divBdr>
        <w:top w:val="none" w:sz="0" w:space="0" w:color="auto"/>
        <w:left w:val="none" w:sz="0" w:space="0" w:color="auto"/>
        <w:bottom w:val="none" w:sz="0" w:space="0" w:color="auto"/>
        <w:right w:val="none" w:sz="0" w:space="0" w:color="auto"/>
      </w:divBdr>
    </w:div>
    <w:div w:id="1881891797">
      <w:bodyDiv w:val="1"/>
      <w:marLeft w:val="0"/>
      <w:marRight w:val="0"/>
      <w:marTop w:val="0"/>
      <w:marBottom w:val="0"/>
      <w:divBdr>
        <w:top w:val="none" w:sz="0" w:space="0" w:color="auto"/>
        <w:left w:val="none" w:sz="0" w:space="0" w:color="auto"/>
        <w:bottom w:val="none" w:sz="0" w:space="0" w:color="auto"/>
        <w:right w:val="none" w:sz="0" w:space="0" w:color="auto"/>
      </w:divBdr>
    </w:div>
    <w:div w:id="1925602337">
      <w:bodyDiv w:val="1"/>
      <w:marLeft w:val="0"/>
      <w:marRight w:val="0"/>
      <w:marTop w:val="0"/>
      <w:marBottom w:val="0"/>
      <w:divBdr>
        <w:top w:val="none" w:sz="0" w:space="0" w:color="auto"/>
        <w:left w:val="none" w:sz="0" w:space="0" w:color="auto"/>
        <w:bottom w:val="none" w:sz="0" w:space="0" w:color="auto"/>
        <w:right w:val="none" w:sz="0" w:space="0" w:color="auto"/>
      </w:divBdr>
    </w:div>
    <w:div w:id="1973561676">
      <w:bodyDiv w:val="1"/>
      <w:marLeft w:val="0"/>
      <w:marRight w:val="0"/>
      <w:marTop w:val="0"/>
      <w:marBottom w:val="0"/>
      <w:divBdr>
        <w:top w:val="none" w:sz="0" w:space="0" w:color="auto"/>
        <w:left w:val="none" w:sz="0" w:space="0" w:color="auto"/>
        <w:bottom w:val="none" w:sz="0" w:space="0" w:color="auto"/>
        <w:right w:val="none" w:sz="0" w:space="0" w:color="auto"/>
      </w:divBdr>
    </w:div>
    <w:div w:id="1974168241">
      <w:bodyDiv w:val="1"/>
      <w:marLeft w:val="0"/>
      <w:marRight w:val="0"/>
      <w:marTop w:val="0"/>
      <w:marBottom w:val="0"/>
      <w:divBdr>
        <w:top w:val="none" w:sz="0" w:space="0" w:color="auto"/>
        <w:left w:val="none" w:sz="0" w:space="0" w:color="auto"/>
        <w:bottom w:val="none" w:sz="0" w:space="0" w:color="auto"/>
        <w:right w:val="none" w:sz="0" w:space="0" w:color="auto"/>
      </w:divBdr>
    </w:div>
    <w:div w:id="1997302119">
      <w:bodyDiv w:val="1"/>
      <w:marLeft w:val="0"/>
      <w:marRight w:val="0"/>
      <w:marTop w:val="0"/>
      <w:marBottom w:val="0"/>
      <w:divBdr>
        <w:top w:val="none" w:sz="0" w:space="0" w:color="auto"/>
        <w:left w:val="none" w:sz="0" w:space="0" w:color="auto"/>
        <w:bottom w:val="none" w:sz="0" w:space="0" w:color="auto"/>
        <w:right w:val="none" w:sz="0" w:space="0" w:color="auto"/>
      </w:divBdr>
    </w:div>
    <w:div w:id="20166880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image" Target="media/image3.png"/><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ec.europa.eu/eurostat/databrowser/bookmark/926b4a08-f177-4101-bd78-799b4cced662?lang=en&amp;createdAt=2026-02-17T09:44:25Z" TargetMode="Externa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3.svg"/><Relationship Id="rId20" Type="http://schemas.openxmlformats.org/officeDocument/2006/relationships/hyperlink" Target="https://ec.europa.eu/eurostat/databrowser/bookmark/86272a28-7721-4a8d-8775-bfdcdf0fc1c2?lang=en&amp;createdAt=2026-02-25T15:07:09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5.sv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5.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s://www.eesc.europa.eu/sites/default/files/2025-06/eu-uk_dags_joint_statement_2025.pdf" TargetMode="External"/><Relationship Id="rId18" Type="http://schemas.openxmlformats.org/officeDocument/2006/relationships/hyperlink" Target="https://pcacases.com/web/sendAttach/70467" TargetMode="External"/><Relationship Id="rId26" Type="http://schemas.openxmlformats.org/officeDocument/2006/relationships/hyperlink" Target="https://ec.europa.eu/eurostat/web/international-trade-in-services/overview" TargetMode="External"/><Relationship Id="rId39" Type="http://schemas.openxmlformats.org/officeDocument/2006/relationships/hyperlink" Target="https://dashboard.tech.ec.europa.eu/qs_digit_dashboard_mt/public/sense/app/1213b8cd-3ebe-4730-b0f5-fa4e326df2e2/sheet/d1435e56-cdee-4f5f-8b0d-f49d41ffbd6c/state/analysis" TargetMode="External"/><Relationship Id="rId21" Type="http://schemas.openxmlformats.org/officeDocument/2006/relationships/hyperlink" Target="https://ec.europa.eu/eurostat/web/international-trade-in-goods/overview" TargetMode="External"/><Relationship Id="rId34" Type="http://schemas.openxmlformats.org/officeDocument/2006/relationships/hyperlink" Target="https://eur-lex.europa.eu/legal-content/NL/TXT/?uri=OJ:L_202502331" TargetMode="External"/><Relationship Id="rId42" Type="http://schemas.openxmlformats.org/officeDocument/2006/relationships/hyperlink" Target="https://www.legislation.gov.uk/ukpga/2022/23" TargetMode="External"/><Relationship Id="rId47" Type="http://schemas.openxmlformats.org/officeDocument/2006/relationships/hyperlink" Target="https://www.legislation.gov.uk/ukpga/2025/34/enacted" TargetMode="External"/><Relationship Id="rId50" Type="http://schemas.openxmlformats.org/officeDocument/2006/relationships/hyperlink" Target="https://eur-lex.europa.eu/legal-content/NL/TXT/PDF/?uri=OJ:L_202501226" TargetMode="External"/><Relationship Id="rId55" Type="http://schemas.openxmlformats.org/officeDocument/2006/relationships/hyperlink" Target="https://eur-lex.europa.eu/legal-content/NL/TXT/?uri=OJ%3AL_202501230" TargetMode="External"/><Relationship Id="rId63" Type="http://schemas.openxmlformats.org/officeDocument/2006/relationships/hyperlink" Target="https://eur-lex.europa.eu/legal-content/NL/TXT/?uri=OJ%3AL_202501230" TargetMode="External"/><Relationship Id="rId7" Type="http://schemas.openxmlformats.org/officeDocument/2006/relationships/hyperlink" Target="http://data.europa.eu/eli/dec/2021/689/oj" TargetMode="External"/><Relationship Id="rId2" Type="http://schemas.openxmlformats.org/officeDocument/2006/relationships/hyperlink" Target="https://eur-lex.europa.eu/legal-content/NL/TXT/?uri=CELEX%3A12019W/TXT%2802%29" TargetMode="External"/><Relationship Id="rId16" Type="http://schemas.openxmlformats.org/officeDocument/2006/relationships/hyperlink" Target="https://ec.europa.eu/assets/sg/complaint_eu_uk_tca/complaints_nl/" TargetMode="External"/><Relationship Id="rId20" Type="http://schemas.openxmlformats.org/officeDocument/2006/relationships/hyperlink" Target="https://policy.trade.ec.europa.eu/enforcement-and-protection/implementing-and-enforcing-eu-trade-agreements_nl" TargetMode="External"/><Relationship Id="rId29" Type="http://schemas.openxmlformats.org/officeDocument/2006/relationships/hyperlink" Target="https://eur-lex.europa.eu/legal-content/NL/TXT/?uri=OJ%3AL_202501230" TargetMode="External"/><Relationship Id="rId41" Type="http://schemas.openxmlformats.org/officeDocument/2006/relationships/hyperlink" Target="https://eur-lex.europa.eu/eli/dec/2025/1286/oj/nld" TargetMode="External"/><Relationship Id="rId54" Type="http://schemas.openxmlformats.org/officeDocument/2006/relationships/hyperlink" Target="https://eur-lex.europa.eu/legal-content/NL/TXT/?uri=OJ%3AL_202501229" TargetMode="External"/><Relationship Id="rId62" Type="http://schemas.openxmlformats.org/officeDocument/2006/relationships/hyperlink" Target="https://eur-lex.europa.eu/legal-content/NL/TXT/?uri=OJ%3AL_202501232" TargetMode="External"/><Relationship Id="rId1" Type="http://schemas.openxmlformats.org/officeDocument/2006/relationships/hyperlink" Target="https://www.consilium.europa.eu/media/1edla1hi/eu-uk_joint-statement.pdf" TargetMode="External"/><Relationship Id="rId6" Type="http://schemas.openxmlformats.org/officeDocument/2006/relationships/hyperlink" Target="https://ec.europa.eu/commission/presscorner/detail/nl/statement_25_3103" TargetMode="External"/><Relationship Id="rId11" Type="http://schemas.openxmlformats.org/officeDocument/2006/relationships/hyperlink" Target="https://www.europarl.europa.eu/cmsdata/300310/6th%20PPA%20-%20Recommendation%20on%20trade,%20security%20and%20global%20challenges.pdf" TargetMode="External"/><Relationship Id="rId24" Type="http://schemas.openxmlformats.org/officeDocument/2006/relationships/hyperlink" Target="https://finance.ec.europa.eu/eu-and-world/bilateral-relations/regulatory-dialogues-united-kingdom_en?prefLang=nl" TargetMode="External"/><Relationship Id="rId32" Type="http://schemas.openxmlformats.org/officeDocument/2006/relationships/hyperlink" Target="https://eur-lex.europa.eu/legal-content/NL/TXT/?uri=CELEX%3A22025D0705&amp;qid=1756375999645" TargetMode="External"/><Relationship Id="rId37" Type="http://schemas.openxmlformats.org/officeDocument/2006/relationships/hyperlink" Target="https://eur-lex.europa.eu/legal-content/NL/TXT/?uri=OJ:C_202506451" TargetMode="External"/><Relationship Id="rId40" Type="http://schemas.openxmlformats.org/officeDocument/2006/relationships/hyperlink" Target="https://ec.europa.eu/commission/presscorner/detail/nl/statement_25_3103" TargetMode="External"/><Relationship Id="rId45" Type="http://schemas.openxmlformats.org/officeDocument/2006/relationships/hyperlink" Target="https://eur-lex.europa.eu/legal-content/NL/TXT/?uri=celex:52024DC0127" TargetMode="External"/><Relationship Id="rId53" Type="http://schemas.openxmlformats.org/officeDocument/2006/relationships/hyperlink" Target="https://ec.europa.eu/info/strategy/relations-non-eu-countries/relations-united-kingdom/eu-uk-trade-and-cooperation-agreement/meetings-eu-uk-partnership-council-and-specialised-committees-under-trade-and-cooperation-agreement_nl" TargetMode="External"/><Relationship Id="rId58" Type="http://schemas.openxmlformats.org/officeDocument/2006/relationships/hyperlink" Target="https://eur-lex.europa.eu/legal-content/NL/TXT/?uri=OJ:L_202501755" TargetMode="External"/><Relationship Id="rId5" Type="http://schemas.openxmlformats.org/officeDocument/2006/relationships/hyperlink" Target="https://ec.europa.eu/commission/presscorner/detail/nl/statement_25_1267" TargetMode="External"/><Relationship Id="rId15" Type="http://schemas.openxmlformats.org/officeDocument/2006/relationships/hyperlink" Target="https://commission.europa.eu/strategy-and-policy/relations-united-kingdom/eu-uk-trade-and-cooperation-agreement/meetings-eu-uk-partnership-council-and-specialised-committees-under-trade-and-cooperation-agreement/fourth-meeting-partnership-council_en?prefLang=nl" TargetMode="External"/><Relationship Id="rId23" Type="http://schemas.openxmlformats.org/officeDocument/2006/relationships/hyperlink" Target="https://finance.ec.europa.eu/system/files/2023-09/230627-memorandum-understanding-financial-services-eu-uk_en.pdf" TargetMode="External"/><Relationship Id="rId28" Type="http://schemas.openxmlformats.org/officeDocument/2006/relationships/hyperlink" Target="https://eur-lex.europa.eu/legal-content/NL/TXT/?uri=OJ%3AL_202501232" TargetMode="External"/><Relationship Id="rId36" Type="http://schemas.openxmlformats.org/officeDocument/2006/relationships/hyperlink" Target="https://eur-lex.europa.eu/legal-content/NL/TXT/?uri=OJ:L_202501231" TargetMode="External"/><Relationship Id="rId49" Type="http://schemas.openxmlformats.org/officeDocument/2006/relationships/hyperlink" Target="https://www.legislation.gov.uk/ukpga/2025/18/contents" TargetMode="External"/><Relationship Id="rId57" Type="http://schemas.openxmlformats.org/officeDocument/2006/relationships/hyperlink" Target="https://eur-lex.europa.eu/legal-content/NL/TXT/?uri=OJ:L_202501231" TargetMode="External"/><Relationship Id="rId61" Type="http://schemas.openxmlformats.org/officeDocument/2006/relationships/hyperlink" Target="https://eur-lex.europa.eu/legal-content/NL/TXT/?uri=OJ:L_202501231" TargetMode="External"/><Relationship Id="rId10" Type="http://schemas.openxmlformats.org/officeDocument/2006/relationships/hyperlink" Target="https://www.europarl.europa.eu/cmsdata/293904/5th%20PPA%20Recommendation%2017.03.25.pdf" TargetMode="External"/><Relationship Id="rId19" Type="http://schemas.openxmlformats.org/officeDocument/2006/relationships/hyperlink" Target="https://eur-lex.europa.eu/legal-content/NL/TXT/HTML/?uri=CELEX:52026PC0089" TargetMode="External"/><Relationship Id="rId31" Type="http://schemas.openxmlformats.org/officeDocument/2006/relationships/hyperlink" Target="https://eur-lex.europa.eu/legal-content/NL/TXT/HTML/?uri=COM:2025:804:FIN" TargetMode="External"/><Relationship Id="rId44" Type="http://schemas.openxmlformats.org/officeDocument/2006/relationships/hyperlink" Target="https://www.legislation.gov.uk/ukpga/2023/39" TargetMode="External"/><Relationship Id="rId52" Type="http://schemas.openxmlformats.org/officeDocument/2006/relationships/hyperlink" Target="https://ec.europa.eu/commission/presscorner/detail/en/ip_25_3059" TargetMode="External"/><Relationship Id="rId60" Type="http://schemas.openxmlformats.org/officeDocument/2006/relationships/hyperlink" Target="https://eur-lex.europa.eu/legal-content/NL/TXT/?uri=OJ%3AL_202501229" TargetMode="External"/><Relationship Id="rId4" Type="http://schemas.openxmlformats.org/officeDocument/2006/relationships/hyperlink" Target="https://eur-lex.europa.eu/eli/agree_internation/2021/689(1)/oj/nld" TargetMode="External"/><Relationship Id="rId9" Type="http://schemas.openxmlformats.org/officeDocument/2006/relationships/hyperlink" Target="https://www.europarl.europa.eu/delegations/nl/d-uk/activities/inter-parliamentary" TargetMode="External"/><Relationship Id="rId14" Type="http://schemas.openxmlformats.org/officeDocument/2006/relationships/hyperlink" Target="https://policy.trade.ec.europa.eu/events/fourth-eu-uk-trade-and-cooperation-agreement-civil-society-forum-2025-06-24_nl" TargetMode="External"/><Relationship Id="rId22" Type="http://schemas.openxmlformats.org/officeDocument/2006/relationships/hyperlink" Target="https://www.gov.uk/service-supplier-visa/eligibility" TargetMode="External"/><Relationship Id="rId27" Type="http://schemas.openxmlformats.org/officeDocument/2006/relationships/hyperlink" Target="https://ec.europa.eu/commission/presscorner/detail/nl/ip_26_454" TargetMode="External"/><Relationship Id="rId30" Type="http://schemas.openxmlformats.org/officeDocument/2006/relationships/hyperlink" Target="https://eur-lex.europa.eu/legal-content/NL/TXT/?uri=CELEX%3A22025D0706&amp;qid=1756374227559" TargetMode="External"/><Relationship Id="rId35" Type="http://schemas.openxmlformats.org/officeDocument/2006/relationships/hyperlink" Target="https://eur-lex.europa.eu/legal-content/NL/TXT/?uri=OJ%3AL_202501229" TargetMode="External"/><Relationship Id="rId43" Type="http://schemas.openxmlformats.org/officeDocument/2006/relationships/hyperlink" Target="https://www.legislation.gov.uk/uksi/2025/845/made" TargetMode="External"/><Relationship Id="rId48" Type="http://schemas.openxmlformats.org/officeDocument/2006/relationships/hyperlink" Target="https://www.legislation.gov.uk/ukpga/2025/20" TargetMode="External"/><Relationship Id="rId56" Type="http://schemas.openxmlformats.org/officeDocument/2006/relationships/hyperlink" Target="https://eur-lex.europa.eu/legal-content/NL/TXT/?uri=OJ%3AL_202501232" TargetMode="External"/><Relationship Id="rId8" Type="http://schemas.openxmlformats.org/officeDocument/2006/relationships/hyperlink" Target="https://www.europarl.europa.eu/delegations/nl/5th-eu-uk-parliamentary-partnership-asse/product-details/20250224DPU39839" TargetMode="External"/><Relationship Id="rId51" Type="http://schemas.openxmlformats.org/officeDocument/2006/relationships/hyperlink" Target="https://commission.europa.eu/document/download/6f636fa0-30d4-4c05-a713-64484ad913fa_en?filename=Draft%20Renewal%20of%20EU%20adequacy%20decision%20for%20the%20UK%20under%20the%20GDPR.pdf" TargetMode="External"/><Relationship Id="rId3" Type="http://schemas.openxmlformats.org/officeDocument/2006/relationships/hyperlink" Target="https://commission.europa.eu/publications/windsor-political-declaration-european-commission-and-government-united-kingdom_nl" TargetMode="External"/><Relationship Id="rId12" Type="http://schemas.openxmlformats.org/officeDocument/2006/relationships/hyperlink" Target="https://www.eesc.europa.eu/nl/sections-other-bodies/other/de-interne-adviesgroep-van-de-eu-het-kader-van-de-handels-en-samenwerkingsovereenkomst-tussen-de-eu-en-het-vk" TargetMode="External"/><Relationship Id="rId17" Type="http://schemas.openxmlformats.org/officeDocument/2006/relationships/hyperlink" Target="https://trade.ec.europa.eu/access-to-markets/en/content/single-entry-point-0" TargetMode="External"/><Relationship Id="rId25" Type="http://schemas.openxmlformats.org/officeDocument/2006/relationships/hyperlink" Target="https://ec.europa.eu/eurostat/web/balance-of-payments/overview" TargetMode="External"/><Relationship Id="rId33" Type="http://schemas.openxmlformats.org/officeDocument/2006/relationships/hyperlink" Target="https://eur-lex.europa.eu/legal-content/NL/TXT/?uri=CELEX:22025D2330" TargetMode="External"/><Relationship Id="rId38" Type="http://schemas.openxmlformats.org/officeDocument/2006/relationships/hyperlink" Target="https://dashboard.tech.ec.europa.eu/qs_digit_dashboard_mt/public/sense/app/1213b8cd-3ebe-4730-b0f5-fa4e326df2e2/sheet/d1435e56-cdee-4f5f-8b0d-f49d41ffbd6c/state/analysis" TargetMode="External"/><Relationship Id="rId46" Type="http://schemas.openxmlformats.org/officeDocument/2006/relationships/hyperlink" Target="https://www.legislation.gov.uk/ukpga/2025/16" TargetMode="External"/><Relationship Id="rId59" Type="http://schemas.openxmlformats.org/officeDocument/2006/relationships/hyperlink" Target="https://eur-lex.europa.eu/legal-content/NL/TXT/?uri=OJ:L_2025023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98D51-AC83-45E8-97AB-916D3A630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24</Pages>
  <Words>7722</Words>
  <Characters>44019</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28</cp:revision>
  <dcterms:created xsi:type="dcterms:W3CDTF">2026-02-27T16:54:00Z</dcterms:created>
  <dcterms:modified xsi:type="dcterms:W3CDTF">2026-04-14T07:22:00Z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2026-02-24T14:23:38Z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b404b842-8c11-4793-bab3-dfd3af284c6f</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Level of sensitivity">
    <vt:lpwstr>Standard treatment</vt:lpwstr>
  </property>
  <property fmtid="{D5CDD505-2E9C-101B-9397-08002B2CF9AE}" pid="11" name="Last edited using">
    <vt:lpwstr>LW 9.2, Build 20250828</vt:lpwstr>
  </property>
  <property fmtid="{D5CDD505-2E9C-101B-9397-08002B2CF9AE}" pid="12" name="DocStatus">
    <vt:lpwstr>Green</vt:lpwstr>
  </property>
  <property fmtid="{D5CDD505-2E9C-101B-9397-08002B2CF9AE}" pid="13" name="Part">
    <vt:lpwstr>1</vt:lpwstr>
  </property>
  <property fmtid="{D5CDD505-2E9C-101B-9397-08002B2CF9AE}" pid="14" name="Total parts">
    <vt:lpwstr>1</vt:lpwstr>
  </property>
  <property fmtid="{D5CDD505-2E9C-101B-9397-08002B2CF9AE}" pid="15" name="CPTemplateID">
    <vt:lpwstr>CP-006</vt:lpwstr>
  </property>
  <property name="OP_sanitized" fmtid="{D5CDD505-2E9C-101B-9397-08002B2CF9AE}" pid="16">
    <vt:lpwstr>True</vt:lpwstr>
  </property>
</Properties>
</file>