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08453" w14:textId="0E6A7843" w:rsidR="002528D9" w:rsidRDefault="004301BC" w:rsidP="004301BC">
      <w:pPr>
        <w:pStyle w:val="Pagedecouverture"/>
        <w:rPr>
          <w:noProof/>
        </w:rPr>
      </w:pPr>
      <w:bookmarkStart w:id="0" w:name="LW_BM_COVERPAGE"/>
      <w:r>
        <w:rPr>
          <w:noProof/>
        </w:rPr>
        <w:pict w14:anchorId="7320A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5A32826-C3BB-47CE-AB9B-171E81523328" style="width:455.25pt;height:426.75pt">
            <v:imagedata r:id="rId12" o:title=""/>
          </v:shape>
        </w:pict>
      </w:r>
    </w:p>
    <w:bookmarkEnd w:id="0"/>
    <w:p w14:paraId="7B515032" w14:textId="77777777" w:rsidR="002528D9" w:rsidRDefault="002528D9">
      <w:pPr>
        <w:rPr>
          <w:noProof/>
        </w:rPr>
        <w:sectPr w:rsidR="002528D9" w:rsidSect="004301BC">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528D9" w14:paraId="06BB42D0" w14:textId="77777777" w:rsidTr="006A0D27">
        <w:trPr>
          <w:trHeight w:hRule="exact" w:val="397"/>
        </w:trPr>
        <w:tc>
          <w:tcPr>
            <w:tcW w:w="10490" w:type="dxa"/>
            <w:tcBorders>
              <w:bottom w:val="single" w:sz="4" w:space="0" w:color="auto"/>
            </w:tcBorders>
            <w:shd w:val="clear" w:color="auto" w:fill="CCCCCC"/>
          </w:tcPr>
          <w:p w14:paraId="797E8B84" w14:textId="77777777" w:rsidR="002528D9" w:rsidRDefault="007A6509">
            <w:pPr>
              <w:spacing w:after="240" w:line="240" w:lineRule="auto"/>
              <w:jc w:val="both"/>
              <w:rPr>
                <w:rFonts w:ascii="Times New Roman" w:eastAsia="Times New Roman" w:hAnsi="Times New Roman" w:cs="Times New Roman"/>
                <w:b/>
                <w:noProof/>
                <w:sz w:val="24"/>
                <w:szCs w:val="20"/>
              </w:rPr>
            </w:pPr>
            <w:bookmarkStart w:id="1" w:name="_GoBack"/>
            <w:bookmarkEnd w:id="1"/>
            <w:r>
              <w:rPr>
                <w:rFonts w:ascii="Times New Roman" w:hAnsi="Times New Roman"/>
                <w:b/>
                <w:noProof/>
                <w:sz w:val="24"/>
              </w:rPr>
              <w:lastRenderedPageBreak/>
              <w:t>Samenvatting (maximaal twee pagina’s)</w:t>
            </w:r>
          </w:p>
        </w:tc>
      </w:tr>
      <w:tr w:rsidR="002528D9" w14:paraId="454ED57E" w14:textId="77777777" w:rsidTr="006A0D27">
        <w:trPr>
          <w:trHeight w:hRule="exact" w:val="397"/>
        </w:trPr>
        <w:tc>
          <w:tcPr>
            <w:tcW w:w="10490" w:type="dxa"/>
            <w:tcBorders>
              <w:top w:val="single" w:sz="4" w:space="0" w:color="auto"/>
              <w:left w:val="single" w:sz="4" w:space="0" w:color="auto"/>
              <w:bottom w:val="single" w:sz="4" w:space="0" w:color="auto"/>
              <w:right w:val="single" w:sz="4" w:space="0" w:color="auto"/>
            </w:tcBorders>
            <w:shd w:val="clear" w:color="auto" w:fill="4F81BD"/>
          </w:tcPr>
          <w:p w14:paraId="58FEE2C7" w14:textId="77777777" w:rsidR="002528D9" w:rsidRDefault="00253269" w:rsidP="00253269">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Effectbeoordeling inzake de Europese visserijstatistieken</w:t>
            </w:r>
          </w:p>
        </w:tc>
      </w:tr>
      <w:tr w:rsidR="002528D9" w14:paraId="34B60328" w14:textId="77777777" w:rsidTr="006A0D27">
        <w:trPr>
          <w:trHeight w:hRule="exact" w:val="397"/>
        </w:trPr>
        <w:tc>
          <w:tcPr>
            <w:tcW w:w="10490" w:type="dxa"/>
            <w:tcBorders>
              <w:bottom w:val="single" w:sz="4" w:space="0" w:color="auto"/>
            </w:tcBorders>
            <w:shd w:val="clear" w:color="auto" w:fill="CCCCCC"/>
          </w:tcPr>
          <w:p w14:paraId="7C611D82" w14:textId="086EE44B" w:rsidR="002528D9" w:rsidRDefault="007A6509">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rPr>
              <w:t>A.</w:t>
            </w:r>
            <w:r w:rsidR="001559F4">
              <w:rPr>
                <w:rFonts w:ascii="Times New Roman" w:hAnsi="Times New Roman"/>
                <w:b/>
                <w:noProof/>
                <w:sz w:val="24"/>
              </w:rPr>
              <w:t> </w:t>
            </w:r>
            <w:r>
              <w:rPr>
                <w:rFonts w:ascii="Times New Roman" w:hAnsi="Times New Roman"/>
                <w:b/>
                <w:noProof/>
                <w:sz w:val="24"/>
              </w:rPr>
              <w:t>Behoefte aan actie</w:t>
            </w:r>
          </w:p>
        </w:tc>
      </w:tr>
      <w:tr w:rsidR="002528D9" w14:paraId="3B6DF4D7" w14:textId="77777777" w:rsidTr="006A0D27">
        <w:trPr>
          <w:trHeight w:hRule="exact" w:val="397"/>
        </w:trPr>
        <w:tc>
          <w:tcPr>
            <w:tcW w:w="10490" w:type="dxa"/>
            <w:tcBorders>
              <w:bottom w:val="single" w:sz="4" w:space="0" w:color="auto"/>
            </w:tcBorders>
            <w:shd w:val="clear" w:color="auto" w:fill="E0E0E0"/>
          </w:tcPr>
          <w:p w14:paraId="45A3E3FB" w14:textId="7762DF52" w:rsidR="002528D9" w:rsidRDefault="007A650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Wat is het probleem en waarom is het een probleem op EU-niveau?</w:t>
            </w:r>
          </w:p>
        </w:tc>
      </w:tr>
      <w:tr w:rsidR="002528D9" w14:paraId="0F6081A3" w14:textId="77777777">
        <w:tc>
          <w:tcPr>
            <w:tcW w:w="10490" w:type="dxa"/>
            <w:tcBorders>
              <w:bottom w:val="single" w:sz="4" w:space="0" w:color="auto"/>
            </w:tcBorders>
            <w:shd w:val="clear" w:color="auto" w:fill="auto"/>
          </w:tcPr>
          <w:p w14:paraId="0456C216" w14:textId="77777777" w:rsidR="0045394A" w:rsidRDefault="0045394A" w:rsidP="00BF43C8">
            <w:pPr>
              <w:pStyle w:val="CommentText"/>
              <w:jc w:val="both"/>
              <w:rPr>
                <w:rFonts w:ascii="Times New Roman" w:eastAsia="Times New Roman" w:hAnsi="Times New Roman" w:cs="Times New Roman"/>
                <w:noProof/>
                <w:sz w:val="24"/>
              </w:rPr>
            </w:pPr>
            <w:r>
              <w:rPr>
                <w:rFonts w:ascii="Times New Roman" w:hAnsi="Times New Roman"/>
                <w:noProof/>
                <w:sz w:val="24"/>
              </w:rPr>
              <w:t xml:space="preserve">Sinds de jaren </w:t>
            </w:r>
            <w:r w:rsidRPr="001559F4">
              <w:rPr>
                <w:rFonts w:ascii="Times New Roman" w:hAnsi="Times New Roman"/>
                <w:noProof/>
                <w:sz w:val="24"/>
                <w:highlight w:val="yellow"/>
              </w:rPr>
              <w:t>1950</w:t>
            </w:r>
            <w:r>
              <w:rPr>
                <w:rFonts w:ascii="Times New Roman" w:hAnsi="Times New Roman"/>
                <w:noProof/>
                <w:sz w:val="24"/>
              </w:rPr>
              <w:t xml:space="preserve"> worden er Europese visserijstatistieken over visvangsten, aangelande vangsten, de vissersvloot van de Unie en de aquacultuur in de EU en de EVA-landen geproduceerd. Deze statistieken worden momenteel geregeld bij vijf rechtshandelingen die dateren uit de jaren </w:t>
            </w:r>
            <w:r w:rsidRPr="001559F4">
              <w:rPr>
                <w:rFonts w:ascii="Times New Roman" w:hAnsi="Times New Roman"/>
                <w:noProof/>
                <w:sz w:val="24"/>
                <w:highlight w:val="yellow"/>
              </w:rPr>
              <w:t>2000</w:t>
            </w:r>
            <w:r>
              <w:rPr>
                <w:rFonts w:ascii="Times New Roman" w:hAnsi="Times New Roman"/>
                <w:noProof/>
                <w:sz w:val="24"/>
              </w:rPr>
              <w:t>. Het gemeenschappelijk visserijbeleid heeft zich verder ontwikkeld, en er zijn diverse andere gegevensbronnen beschikbaar gekomen. Hierdoor is de toegevoegde waarde van de Europese visserijstatistieken voor de ondersteuning van de beleidsvorming en de monitoring van het gemeenschappelijk visserijbeleid afgenomen. Bovendien is de Europese wetgeving inzake visserijstatistieken inflexibel, worden gegevensbehoeften niet vervuld en hebben de aquacultuurstatistieken als gevolg van een complexe gegevensstructuur te lijden onder het feit dat veel gegevens vertrouwelijk zijn en daardoor niet kunnen worden gebruikt voor openbare doeleinden. Ook zijn er overlappingen en discrepanties in de gegevensstromen van de EU-lidstaten naar de Europese Commissie en die naar internationale organisaties. Dit alles heeft geleid tot een situatie waarin de plaats van de Europese visserijstatistieken in het EU- en het mondiale landschap van visserijgegevens onduidelijk is.</w:t>
            </w:r>
          </w:p>
        </w:tc>
      </w:tr>
      <w:tr w:rsidR="002528D9" w14:paraId="0EC49A2E" w14:textId="77777777" w:rsidTr="006A0D27">
        <w:trPr>
          <w:trHeight w:hRule="exact" w:val="397"/>
        </w:trPr>
        <w:tc>
          <w:tcPr>
            <w:tcW w:w="10490" w:type="dxa"/>
            <w:tcBorders>
              <w:bottom w:val="single" w:sz="4" w:space="0" w:color="auto"/>
            </w:tcBorders>
            <w:shd w:val="clear" w:color="auto" w:fill="E6E6E6"/>
          </w:tcPr>
          <w:p w14:paraId="045A142C" w14:textId="77777777" w:rsidR="002528D9" w:rsidRDefault="007A650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Wat is het doel?</w:t>
            </w:r>
          </w:p>
        </w:tc>
      </w:tr>
      <w:tr w:rsidR="002528D9" w14:paraId="5D3FC218" w14:textId="77777777">
        <w:tc>
          <w:tcPr>
            <w:tcW w:w="10490" w:type="dxa"/>
            <w:tcBorders>
              <w:bottom w:val="single" w:sz="4" w:space="0" w:color="auto"/>
            </w:tcBorders>
            <w:shd w:val="clear" w:color="auto" w:fill="auto"/>
          </w:tcPr>
          <w:p w14:paraId="275B810C" w14:textId="77777777" w:rsidR="009F4700" w:rsidRDefault="009F4700" w:rsidP="00253269">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Met het initiatief wordt beoogd vernieuwde wetgeving vast te stellen om de toegevoegde waarde van de Europese visserijstatistieken te waarborgen, door: </w:t>
            </w:r>
          </w:p>
          <w:p w14:paraId="7C7274E2" w14:textId="77777777" w:rsidR="002528D9" w:rsidRPr="009F4700" w:rsidRDefault="009F4700" w:rsidP="00253269">
            <w:pPr>
              <w:pStyle w:val="ListParagraph"/>
              <w:numPr>
                <w:ilvl w:val="0"/>
                <w:numId w:val="4"/>
              </w:num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de relevantie ervan te vergroten; </w:t>
            </w:r>
          </w:p>
          <w:p w14:paraId="4DFB05E6" w14:textId="77777777" w:rsidR="00F90E40" w:rsidRPr="00F90E40" w:rsidRDefault="009F4700" w:rsidP="00253269">
            <w:pPr>
              <w:pStyle w:val="ListParagraph"/>
              <w:numPr>
                <w:ilvl w:val="0"/>
                <w:numId w:val="1"/>
              </w:num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beter en flexibeler tegemoet te komen aan de behoeften van gebruikers;</w:t>
            </w:r>
          </w:p>
          <w:p w14:paraId="321E35E0" w14:textId="77777777" w:rsidR="00F90E40" w:rsidRPr="009F4700" w:rsidRDefault="009F4700" w:rsidP="00253269">
            <w:pPr>
              <w:pStyle w:val="ListParagraph"/>
              <w:numPr>
                <w:ilvl w:val="0"/>
                <w:numId w:val="1"/>
              </w:num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problemen met de vertrouwelijkheid van gegevens op te lossen;</w:t>
            </w:r>
          </w:p>
          <w:p w14:paraId="4C05ACBD" w14:textId="77777777" w:rsidR="009F4700" w:rsidRPr="00F90E40" w:rsidRDefault="009F4700" w:rsidP="00253269">
            <w:pPr>
              <w:pStyle w:val="ListParagraph"/>
              <w:numPr>
                <w:ilvl w:val="0"/>
                <w:numId w:val="1"/>
              </w:num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problemen met de kwaliteit van de brongegevens aan te pakken;</w:t>
            </w:r>
          </w:p>
          <w:p w14:paraId="10C0AAC0" w14:textId="77777777" w:rsidR="009873E7" w:rsidRDefault="009F4700" w:rsidP="00253269">
            <w:pPr>
              <w:pStyle w:val="ListParagraph"/>
              <w:numPr>
                <w:ilvl w:val="0"/>
                <w:numId w:val="1"/>
              </w:num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lacunes, overlappingen en discrepanties in het EU- en het mondiale systeem van visserijgegevens te adresseren, en</w:t>
            </w:r>
          </w:p>
          <w:p w14:paraId="4A63444B" w14:textId="77777777" w:rsidR="009F4700" w:rsidRPr="009F4700" w:rsidRDefault="009873E7" w:rsidP="00253269">
            <w:pPr>
              <w:pStyle w:val="ListParagraph"/>
              <w:numPr>
                <w:ilvl w:val="0"/>
                <w:numId w:val="1"/>
              </w:num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de plaats van Europese visserijstatistieken in het mondiale landschap van visserijgegevens te verduidelijken.</w:t>
            </w:r>
          </w:p>
        </w:tc>
      </w:tr>
      <w:tr w:rsidR="002528D9" w14:paraId="68429C44" w14:textId="77777777" w:rsidTr="006A0D27">
        <w:trPr>
          <w:trHeight w:hRule="exact" w:val="397"/>
        </w:trPr>
        <w:tc>
          <w:tcPr>
            <w:tcW w:w="10490" w:type="dxa"/>
            <w:tcBorders>
              <w:bottom w:val="single" w:sz="4" w:space="0" w:color="auto"/>
            </w:tcBorders>
            <w:shd w:val="clear" w:color="auto" w:fill="E6E6E6"/>
          </w:tcPr>
          <w:p w14:paraId="7205EC2E" w14:textId="2141E109" w:rsidR="002528D9" w:rsidRDefault="007A650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Wat is de toegevoegde waarde van maatregelen op EU-niveau (subsidiariteit)?</w:t>
            </w:r>
          </w:p>
        </w:tc>
      </w:tr>
      <w:tr w:rsidR="002528D9" w14:paraId="4E7CE140" w14:textId="77777777">
        <w:tc>
          <w:tcPr>
            <w:tcW w:w="10490" w:type="dxa"/>
            <w:tcBorders>
              <w:bottom w:val="single" w:sz="4" w:space="0" w:color="auto"/>
            </w:tcBorders>
            <w:shd w:val="clear" w:color="auto" w:fill="auto"/>
          </w:tcPr>
          <w:p w14:paraId="5E71CAC5" w14:textId="77777777" w:rsidR="002528D9" w:rsidRPr="00083CCB" w:rsidRDefault="00D327B6" w:rsidP="00850FAC">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Het optreden van de EU op het gebied van visserijstatistieken, d.w.z. het verzamelen, harmoniseren en publiceren van visserijgegevens op basis van gemeenschappelijke regelgeving, vergemakkelijkt het verzamelen van gegevens met eenzelfde detailniveau in alle lidstaten.</w:t>
            </w:r>
            <w:r>
              <w:rPr>
                <w:rFonts w:ascii="Times New Roman" w:hAnsi="Times New Roman"/>
                <w:noProof/>
                <w:color w:val="000000"/>
                <w:sz w:val="24"/>
              </w:rPr>
              <w:t xml:space="preserve"> </w:t>
            </w:r>
            <w:r>
              <w:rPr>
                <w:rFonts w:ascii="Times New Roman" w:hAnsi="Times New Roman"/>
                <w:noProof/>
                <w:sz w:val="24"/>
              </w:rPr>
              <w:t>Het EU-optreden zal ervoor zorgen dat er gemeenschappelijke normen, definities en methodologieën worden toegepast, die niet alleen vergelijkbare resultaten zullen opleveren ten dienste van de analysebehoeften van het gemeenschappelijk visserijbeleid en andere beleidsgebieden van de EU, maar ook de efficiëntie, tijdigheid en betrouwbaarheid van de visserijstatistieken zullen verbeteren, of kort gezegd: de kwaliteit van de gegevens zullen verhogen.</w:t>
            </w:r>
            <w:r>
              <w:rPr>
                <w:rFonts w:ascii="Times New Roman" w:hAnsi="Times New Roman"/>
                <w:noProof/>
                <w:color w:val="000000"/>
                <w:sz w:val="24"/>
              </w:rPr>
              <w:t xml:space="preserve"> Een gemeenschappelijk visserijbeleid moet vergezeld gaan van vergelijkbare, geharmoniseerde statistieken van hoge kwaliteit, wat alleen kan worden gewaarborgd door maatregelen op EU-niveau.</w:t>
            </w:r>
          </w:p>
        </w:tc>
      </w:tr>
      <w:tr w:rsidR="002528D9" w14:paraId="780FFB0F" w14:textId="77777777" w:rsidTr="006A0D27">
        <w:trPr>
          <w:trHeight w:hRule="exact" w:val="397"/>
        </w:trPr>
        <w:tc>
          <w:tcPr>
            <w:tcW w:w="10490" w:type="dxa"/>
            <w:tcBorders>
              <w:bottom w:val="single" w:sz="4" w:space="0" w:color="auto"/>
            </w:tcBorders>
            <w:shd w:val="clear" w:color="auto" w:fill="CCCCCC"/>
          </w:tcPr>
          <w:p w14:paraId="27DA2D7E" w14:textId="1A3BBABE" w:rsidR="002528D9" w:rsidRDefault="007A6509">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rPr>
              <w:t>B.</w:t>
            </w:r>
            <w:r w:rsidR="001559F4">
              <w:rPr>
                <w:rFonts w:ascii="Times New Roman" w:hAnsi="Times New Roman"/>
                <w:b/>
                <w:noProof/>
                <w:sz w:val="24"/>
              </w:rPr>
              <w:t> </w:t>
            </w:r>
            <w:r>
              <w:rPr>
                <w:rFonts w:ascii="Times New Roman" w:hAnsi="Times New Roman"/>
                <w:b/>
                <w:noProof/>
                <w:sz w:val="24"/>
              </w:rPr>
              <w:t>Oplossingen</w:t>
            </w:r>
          </w:p>
        </w:tc>
      </w:tr>
      <w:tr w:rsidR="002528D9" w14:paraId="08049882" w14:textId="77777777" w:rsidTr="006A0D27">
        <w:trPr>
          <w:trHeight w:hRule="exact" w:val="397"/>
        </w:trPr>
        <w:tc>
          <w:tcPr>
            <w:tcW w:w="10490" w:type="dxa"/>
            <w:tcBorders>
              <w:bottom w:val="single" w:sz="4" w:space="0" w:color="auto"/>
            </w:tcBorders>
            <w:shd w:val="clear" w:color="auto" w:fill="E6E6E6"/>
          </w:tcPr>
          <w:p w14:paraId="181F68CF" w14:textId="77777777" w:rsidR="002528D9" w:rsidRDefault="007A650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Welke opties dienen zich aan?</w:t>
            </w:r>
            <w:r>
              <w:rPr>
                <w:rFonts w:ascii="Times New Roman" w:hAnsi="Times New Roman"/>
                <w:noProof/>
                <w:sz w:val="24"/>
              </w:rPr>
              <w:t xml:space="preserve"> </w:t>
            </w:r>
            <w:r>
              <w:rPr>
                <w:rFonts w:ascii="Times New Roman" w:hAnsi="Times New Roman"/>
                <w:b/>
                <w:noProof/>
                <w:sz w:val="24"/>
              </w:rPr>
              <w:t>Is er een voorkeursoptie? Zo nee, waarom niet?</w:t>
            </w:r>
          </w:p>
        </w:tc>
      </w:tr>
      <w:tr w:rsidR="002528D9" w14:paraId="2EFCEC25" w14:textId="77777777">
        <w:tc>
          <w:tcPr>
            <w:tcW w:w="10490" w:type="dxa"/>
            <w:tcBorders>
              <w:bottom w:val="single" w:sz="4" w:space="0" w:color="auto"/>
            </w:tcBorders>
            <w:shd w:val="clear" w:color="auto" w:fill="auto"/>
          </w:tcPr>
          <w:p w14:paraId="335B5565" w14:textId="77777777" w:rsidR="002528D9" w:rsidRDefault="00CE74B5" w:rsidP="00253269">
            <w:pPr>
              <w:spacing w:after="12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Om deze doelstellingen te verwezenlijken, zijn de volgende vier opties overwogen: </w:t>
            </w:r>
          </w:p>
          <w:p w14:paraId="51E7D6F0" w14:textId="77777777" w:rsidR="00CE74B5" w:rsidRPr="00CE74B5" w:rsidRDefault="00CE74B5" w:rsidP="00253269">
            <w:pPr>
              <w:pStyle w:val="ListParagraph"/>
              <w:numPr>
                <w:ilvl w:val="0"/>
                <w:numId w:val="2"/>
              </w:numPr>
              <w:spacing w:after="240" w:line="240" w:lineRule="auto"/>
              <w:rPr>
                <w:rFonts w:ascii="Times New Roman" w:eastAsia="Times New Roman" w:hAnsi="Times New Roman" w:cs="Times New Roman"/>
                <w:noProof/>
                <w:sz w:val="24"/>
                <w:szCs w:val="20"/>
              </w:rPr>
            </w:pPr>
            <w:r>
              <w:rPr>
                <w:rFonts w:ascii="Times New Roman" w:hAnsi="Times New Roman"/>
                <w:noProof/>
                <w:sz w:val="24"/>
              </w:rPr>
              <w:t>Basisscenario – voortzetting van de huidige Europese visserijstatistieken;</w:t>
            </w:r>
          </w:p>
          <w:p w14:paraId="462D8775" w14:textId="77777777" w:rsidR="00CE74B5" w:rsidRPr="00CE74B5" w:rsidRDefault="00CE74B5" w:rsidP="00253269">
            <w:pPr>
              <w:pStyle w:val="ListParagraph"/>
              <w:numPr>
                <w:ilvl w:val="0"/>
                <w:numId w:val="2"/>
              </w:numPr>
              <w:spacing w:after="240" w:line="240" w:lineRule="auto"/>
              <w:rPr>
                <w:rFonts w:ascii="Times New Roman" w:eastAsia="Times New Roman" w:hAnsi="Times New Roman" w:cs="Times New Roman"/>
                <w:noProof/>
                <w:sz w:val="24"/>
                <w:szCs w:val="20"/>
              </w:rPr>
            </w:pPr>
            <w:r>
              <w:rPr>
                <w:rFonts w:ascii="Times New Roman" w:hAnsi="Times New Roman"/>
                <w:noProof/>
                <w:sz w:val="24"/>
              </w:rPr>
              <w:t>Stopzetting van de Europese visserijstatistieken;</w:t>
            </w:r>
          </w:p>
          <w:p w14:paraId="5BB27E46" w14:textId="77777777" w:rsidR="002528D9" w:rsidRDefault="00CE74B5" w:rsidP="00253269">
            <w:pPr>
              <w:pStyle w:val="ListParagraph"/>
              <w:numPr>
                <w:ilvl w:val="0"/>
                <w:numId w:val="2"/>
              </w:num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Een nieuw gestroomlijnd rechtskader voor de Europese visserijstatistieken;</w:t>
            </w:r>
          </w:p>
          <w:p w14:paraId="69A33D69" w14:textId="77777777" w:rsidR="00FB7C8F" w:rsidRPr="00CE74B5" w:rsidRDefault="00CE74B5" w:rsidP="00253269">
            <w:pPr>
              <w:pStyle w:val="ListParagraph"/>
              <w:numPr>
                <w:ilvl w:val="0"/>
                <w:numId w:val="2"/>
              </w:numPr>
              <w:spacing w:after="240" w:line="240" w:lineRule="auto"/>
              <w:rPr>
                <w:rFonts w:ascii="Times New Roman" w:eastAsia="Times New Roman" w:hAnsi="Times New Roman" w:cs="Times New Roman"/>
                <w:noProof/>
                <w:sz w:val="24"/>
                <w:szCs w:val="20"/>
              </w:rPr>
            </w:pPr>
            <w:r>
              <w:rPr>
                <w:rFonts w:ascii="Times New Roman" w:hAnsi="Times New Roman"/>
                <w:noProof/>
                <w:sz w:val="24"/>
              </w:rPr>
              <w:t>Een nieuwe rechtsgrondslag voor de aquacultuur en de opstelling van andere visserijstatistieken uit administratieve bronnen op EU-niveau.</w:t>
            </w:r>
          </w:p>
          <w:p w14:paraId="3677DA42" w14:textId="77777777" w:rsidR="002528D9" w:rsidRPr="00FF7032" w:rsidRDefault="00D327B6" w:rsidP="00782470">
            <w:pPr>
              <w:spacing w:after="240" w:line="240" w:lineRule="auto"/>
              <w:rPr>
                <w:noProof/>
                <w:szCs w:val="24"/>
              </w:rPr>
            </w:pPr>
            <w:r>
              <w:rPr>
                <w:rFonts w:ascii="Times New Roman" w:hAnsi="Times New Roman"/>
                <w:noProof/>
                <w:sz w:val="24"/>
              </w:rPr>
              <w:t>In het licht van de effectbeoordeling, de resultaten van de raadplegingsactiviteiten en de discussies met belanghebbenden is de voorkeursoptie duidelijk optie </w:t>
            </w:r>
            <w:r w:rsidRPr="001559F4">
              <w:rPr>
                <w:rFonts w:ascii="Times New Roman" w:hAnsi="Times New Roman"/>
                <w:noProof/>
                <w:sz w:val="24"/>
                <w:highlight w:val="yellow"/>
              </w:rPr>
              <w:t>3</w:t>
            </w:r>
            <w:r>
              <w:rPr>
                <w:rFonts w:ascii="Times New Roman" w:hAnsi="Times New Roman"/>
                <w:noProof/>
                <w:sz w:val="24"/>
              </w:rPr>
              <w:t xml:space="preserve">: </w:t>
            </w:r>
            <w:r>
              <w:rPr>
                <w:rFonts w:ascii="Times New Roman" w:hAnsi="Times New Roman"/>
                <w:b/>
                <w:noProof/>
                <w:sz w:val="24"/>
              </w:rPr>
              <w:t>een nieuw gestroomlijnd rechtskader voor de Europese visserijstatistieken</w:t>
            </w:r>
            <w:r>
              <w:rPr>
                <w:rFonts w:ascii="Times New Roman" w:hAnsi="Times New Roman"/>
                <w:noProof/>
                <w:sz w:val="24"/>
              </w:rPr>
              <w:t xml:space="preserve">. </w:t>
            </w:r>
          </w:p>
        </w:tc>
      </w:tr>
      <w:tr w:rsidR="002528D9" w14:paraId="5DEEE054" w14:textId="77777777" w:rsidTr="006A0D27">
        <w:trPr>
          <w:trHeight w:hRule="exact" w:val="397"/>
        </w:trPr>
        <w:tc>
          <w:tcPr>
            <w:tcW w:w="10490" w:type="dxa"/>
            <w:shd w:val="clear" w:color="auto" w:fill="CCCCCC"/>
          </w:tcPr>
          <w:p w14:paraId="37FC1CEF" w14:textId="3FB3579A" w:rsidR="002528D9" w:rsidRDefault="007A650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Wat zijn de standpunten van de verschillende belanghebbenden? Wie steunt welke optie?</w:t>
            </w:r>
          </w:p>
        </w:tc>
      </w:tr>
      <w:tr w:rsidR="002528D9" w14:paraId="7727F63E" w14:textId="77777777">
        <w:tc>
          <w:tcPr>
            <w:tcW w:w="10490" w:type="dxa"/>
            <w:shd w:val="clear" w:color="auto" w:fill="auto"/>
          </w:tcPr>
          <w:p w14:paraId="3020D8BF" w14:textId="77777777" w:rsidR="002528D9" w:rsidRDefault="007752BB">
            <w:pPr>
              <w:pStyle w:val="Text1"/>
              <w:spacing w:after="120"/>
              <w:ind w:left="0"/>
              <w:rPr>
                <w:noProof/>
              </w:rPr>
            </w:pPr>
            <w:r>
              <w:rPr>
                <w:noProof/>
              </w:rPr>
              <w:t>De voorkeursoptie wordt gesteund door de belangrijkste gegevensgebruikers: de diensten van de Europese Commissie, de OESO, de FAO, de Internationale Raad voor het onderzoek van de zee, verschillende regionale organisaties voor visserijbeheer, een grote meerderheid van de nationale statistische diensten die verantwoordelijk zijn voor de visserijstatistieken in het Europees statistisch systeem (ESS), en een meerderheid van de respondenten op de raadplegingen.</w:t>
            </w:r>
          </w:p>
        </w:tc>
      </w:tr>
      <w:tr w:rsidR="002528D9" w14:paraId="59FC7C29" w14:textId="77777777" w:rsidTr="006A0D27">
        <w:trPr>
          <w:trHeight w:hRule="exact" w:val="397"/>
        </w:trPr>
        <w:tc>
          <w:tcPr>
            <w:tcW w:w="10490" w:type="dxa"/>
            <w:tcBorders>
              <w:bottom w:val="single" w:sz="4" w:space="0" w:color="auto"/>
            </w:tcBorders>
            <w:shd w:val="clear" w:color="auto" w:fill="CCCCCC"/>
          </w:tcPr>
          <w:p w14:paraId="531EA714" w14:textId="0FFEA1B5" w:rsidR="002528D9" w:rsidRDefault="007A6509">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rPr>
              <w:t>C.</w:t>
            </w:r>
            <w:r w:rsidR="001559F4">
              <w:rPr>
                <w:rFonts w:ascii="Times New Roman" w:hAnsi="Times New Roman"/>
                <w:b/>
                <w:noProof/>
                <w:sz w:val="24"/>
              </w:rPr>
              <w:t> </w:t>
            </w:r>
            <w:r>
              <w:rPr>
                <w:rFonts w:ascii="Times New Roman" w:hAnsi="Times New Roman"/>
                <w:b/>
                <w:noProof/>
                <w:sz w:val="24"/>
              </w:rPr>
              <w:t>Effecten van de voorkeursoptie</w:t>
            </w:r>
          </w:p>
        </w:tc>
      </w:tr>
      <w:tr w:rsidR="002528D9" w14:paraId="589D5CA9" w14:textId="77777777" w:rsidTr="00891F51">
        <w:trPr>
          <w:trHeight w:hRule="exact" w:val="681"/>
        </w:trPr>
        <w:tc>
          <w:tcPr>
            <w:tcW w:w="10490" w:type="dxa"/>
            <w:tcBorders>
              <w:bottom w:val="single" w:sz="4" w:space="0" w:color="auto"/>
            </w:tcBorders>
            <w:shd w:val="clear" w:color="auto" w:fill="E6E6E6"/>
          </w:tcPr>
          <w:p w14:paraId="46341F30" w14:textId="5E3477C6" w:rsidR="002528D9" w:rsidRDefault="007A650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Wat zijn de voordelen van de voorkeursoptie (indien van toepassing, anders belangrijkste gevolgen)?</w:t>
            </w:r>
          </w:p>
        </w:tc>
      </w:tr>
      <w:tr w:rsidR="002528D9" w14:paraId="0AE9D8A1" w14:textId="77777777" w:rsidTr="00083CCB">
        <w:trPr>
          <w:trHeight w:hRule="exact" w:val="1962"/>
        </w:trPr>
        <w:tc>
          <w:tcPr>
            <w:tcW w:w="10490" w:type="dxa"/>
            <w:tcBorders>
              <w:bottom w:val="single" w:sz="4" w:space="0" w:color="auto"/>
            </w:tcBorders>
            <w:shd w:val="clear" w:color="auto" w:fill="auto"/>
          </w:tcPr>
          <w:p w14:paraId="27F8B2A3" w14:textId="77777777" w:rsidR="002528D9" w:rsidRPr="00303776" w:rsidRDefault="00533CBC">
            <w:pPr>
              <w:spacing w:after="240" w:line="240" w:lineRule="auto"/>
              <w:jc w:val="both"/>
              <w:rPr>
                <w:rFonts w:ascii="Times New Roman" w:eastAsia="Times New Roman" w:hAnsi="Times New Roman" w:cs="Times New Roman"/>
                <w:noProof/>
                <w:sz w:val="24"/>
                <w:szCs w:val="20"/>
                <w:highlight w:val="yellow"/>
              </w:rPr>
            </w:pPr>
            <w:r>
              <w:rPr>
                <w:rFonts w:ascii="Times New Roman" w:hAnsi="Times New Roman"/>
                <w:noProof/>
                <w:sz w:val="24"/>
              </w:rPr>
              <w:t>De Europese visserijstatistieken zullen relevanter worden omdat het nieuwe rechtskader zal worden geactualiseerd om huidige en toekomstige behoeften van de gebruikers te weerspiegelen. De Europese visserijstatistieken zullen doeltreffender worden, aangezien zij nog steeds de bestaande voordelen zullen bieden, zoals één centraal contactpunt voor vergelijkbare visserij- en aquacultuurstatistieken van hoge kwaliteit met lange tijdreeksen die voor iedereen toegankelijk zijn, maar nu ook een eenvoudiger en meer gestroomlijnd rechtskader dat beter kan inspelen en kan worden afgestemd op nieuwe gebruikersbehoeften. Het terugdringen van dubbele rapportage door het onderling afstemmen van definities en het reorganiseren van gegevensstromen, zal ook de discrepanties tussen de verschillende gegevensbronnen verminderen en daarmee de betrouwbaarheid, nauwkeurigheid en internationale vergelijkbaarheid van de Europese visserijstatistieken vergroten.</w:t>
            </w:r>
          </w:p>
        </w:tc>
      </w:tr>
      <w:tr w:rsidR="002528D9" w14:paraId="50414E82" w14:textId="77777777" w:rsidTr="00891F51">
        <w:trPr>
          <w:trHeight w:hRule="exact" w:val="592"/>
        </w:trPr>
        <w:tc>
          <w:tcPr>
            <w:tcW w:w="10490" w:type="dxa"/>
            <w:tcBorders>
              <w:bottom w:val="single" w:sz="4" w:space="0" w:color="auto"/>
            </w:tcBorders>
            <w:shd w:val="clear" w:color="auto" w:fill="E6E6E6"/>
          </w:tcPr>
          <w:p w14:paraId="482861EB" w14:textId="1DE3D60D" w:rsidR="002528D9" w:rsidRPr="00533CBC" w:rsidRDefault="007A6509">
            <w:pPr>
              <w:spacing w:after="240" w:line="240" w:lineRule="auto"/>
              <w:jc w:val="both"/>
              <w:rPr>
                <w:rFonts w:ascii="Times New Roman" w:eastAsia="Times New Roman" w:hAnsi="Times New Roman" w:cs="Times New Roman"/>
                <w:b/>
                <w:noProof/>
                <w:sz w:val="24"/>
                <w:szCs w:val="20"/>
                <w:highlight w:val="yellow"/>
              </w:rPr>
            </w:pPr>
            <w:r>
              <w:rPr>
                <w:rFonts w:ascii="Times New Roman" w:hAnsi="Times New Roman"/>
                <w:b/>
                <w:noProof/>
                <w:sz w:val="24"/>
              </w:rPr>
              <w:t>Wat zijn de kosten van de voorkeursoptie (als er een voorkeursoptie is; anders van de belangrijkste opties)?</w:t>
            </w:r>
          </w:p>
        </w:tc>
      </w:tr>
      <w:tr w:rsidR="002528D9" w14:paraId="313C7AD6" w14:textId="77777777" w:rsidTr="00083CCB">
        <w:trPr>
          <w:trHeight w:hRule="exact" w:val="1134"/>
        </w:trPr>
        <w:tc>
          <w:tcPr>
            <w:tcW w:w="10490" w:type="dxa"/>
            <w:tcBorders>
              <w:bottom w:val="single" w:sz="4" w:space="0" w:color="auto"/>
            </w:tcBorders>
            <w:shd w:val="clear" w:color="auto" w:fill="auto"/>
          </w:tcPr>
          <w:p w14:paraId="746DBEC5" w14:textId="77777777" w:rsidR="002528D9" w:rsidRPr="00533CBC" w:rsidRDefault="00533CBC">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De belangrijkste directe kosten voor de belanghebbenden houden verband met aanpassingen van statistische en technische systemen in het Europees statistisch systeem. De aanpassingskosten zullen naar verwachting marginaal zijn. Op middellange tot lange termijn zal de nieuwe rechtsgrondslag voor de Europese visserijstatistieken naar verwachting leiden tot iets lagere lasten en tot een kostenbesparing van ongeveer </w:t>
            </w:r>
            <w:r w:rsidRPr="001559F4">
              <w:rPr>
                <w:rFonts w:ascii="Times New Roman" w:hAnsi="Times New Roman"/>
                <w:noProof/>
                <w:sz w:val="24"/>
                <w:highlight w:val="yellow"/>
              </w:rPr>
              <w:t>1</w:t>
            </w:r>
            <w:r>
              <w:rPr>
                <w:rFonts w:ascii="Times New Roman" w:hAnsi="Times New Roman"/>
                <w:noProof/>
                <w:sz w:val="24"/>
              </w:rPr>
              <w:t>,</w:t>
            </w:r>
            <w:r w:rsidRPr="001559F4">
              <w:rPr>
                <w:rFonts w:ascii="Times New Roman" w:hAnsi="Times New Roman"/>
                <w:noProof/>
                <w:sz w:val="24"/>
                <w:highlight w:val="yellow"/>
              </w:rPr>
              <w:t>2</w:t>
            </w:r>
            <w:r>
              <w:rPr>
                <w:rFonts w:ascii="Times New Roman" w:hAnsi="Times New Roman"/>
                <w:noProof/>
                <w:sz w:val="24"/>
              </w:rPr>
              <w:t xml:space="preserve"> miljoen EUR per jaar als gevolg van een efficiënter gegevensgebruik en vereenvoudigde gegevensstromen. </w:t>
            </w:r>
          </w:p>
        </w:tc>
      </w:tr>
      <w:tr w:rsidR="002528D9" w14:paraId="78632021" w14:textId="77777777" w:rsidTr="00891F51">
        <w:trPr>
          <w:trHeight w:hRule="exact" w:val="701"/>
        </w:trPr>
        <w:tc>
          <w:tcPr>
            <w:tcW w:w="10490" w:type="dxa"/>
            <w:tcBorders>
              <w:bottom w:val="single" w:sz="4" w:space="0" w:color="auto"/>
            </w:tcBorders>
            <w:shd w:val="clear" w:color="auto" w:fill="E6E6E6"/>
          </w:tcPr>
          <w:p w14:paraId="7841338A" w14:textId="48977282" w:rsidR="002528D9" w:rsidRPr="00303776" w:rsidRDefault="007A6509">
            <w:pPr>
              <w:spacing w:after="240" w:line="240" w:lineRule="auto"/>
              <w:jc w:val="both"/>
              <w:rPr>
                <w:rFonts w:ascii="Times New Roman" w:eastAsia="Times New Roman" w:hAnsi="Times New Roman" w:cs="Times New Roman"/>
                <w:noProof/>
                <w:sz w:val="24"/>
                <w:szCs w:val="20"/>
                <w:highlight w:val="yellow"/>
              </w:rPr>
            </w:pPr>
            <w:r>
              <w:rPr>
                <w:rFonts w:ascii="Times New Roman" w:hAnsi="Times New Roman"/>
                <w:b/>
                <w:noProof/>
                <w:sz w:val="24"/>
              </w:rPr>
              <w:t>Wat zijn de gevolgen voor kleine en middelgrote ondernemingen (kmo’s) en het concurrentievermogen?</w:t>
            </w:r>
          </w:p>
        </w:tc>
      </w:tr>
      <w:tr w:rsidR="002528D9" w14:paraId="2B6CDC6B" w14:textId="77777777">
        <w:tc>
          <w:tcPr>
            <w:tcW w:w="10490" w:type="dxa"/>
            <w:tcBorders>
              <w:bottom w:val="single" w:sz="4" w:space="0" w:color="auto"/>
            </w:tcBorders>
            <w:shd w:val="clear" w:color="auto" w:fill="auto"/>
          </w:tcPr>
          <w:p w14:paraId="0DD47A84" w14:textId="77777777" w:rsidR="002528D9" w:rsidRPr="00303776" w:rsidRDefault="00533CBC" w:rsidP="00782470">
            <w:pPr>
              <w:spacing w:after="240" w:line="240" w:lineRule="auto"/>
              <w:jc w:val="both"/>
              <w:rPr>
                <w:rFonts w:ascii="Times New Roman" w:eastAsia="Times New Roman" w:hAnsi="Times New Roman" w:cs="Times New Roman"/>
                <w:i/>
                <w:noProof/>
                <w:sz w:val="24"/>
                <w:szCs w:val="20"/>
                <w:highlight w:val="yellow"/>
              </w:rPr>
            </w:pPr>
            <w:r>
              <w:rPr>
                <w:rFonts w:ascii="Times New Roman" w:hAnsi="Times New Roman"/>
                <w:noProof/>
                <w:sz w:val="24"/>
              </w:rPr>
              <w:t>De visserijsector bestaat voor een groot deel uit kleine en middelgrote ondernemingen. De impact van dit initiatief is echter marginaal, aangezien deze ondernemingen de gegevens reeds moeten verstrekken voor beheerdoeleinden en het doel is om de meeste statistieken op deze bestaande gegevensreeksen te baseren.</w:t>
            </w:r>
            <w:r>
              <w:rPr>
                <w:rFonts w:ascii="Times New Roman" w:hAnsi="Times New Roman"/>
                <w:i/>
                <w:noProof/>
                <w:sz w:val="24"/>
                <w:highlight w:val="yellow"/>
              </w:rPr>
              <w:t xml:space="preserve"> </w:t>
            </w:r>
          </w:p>
        </w:tc>
      </w:tr>
      <w:tr w:rsidR="002528D9" w14:paraId="5400C85F" w14:textId="77777777" w:rsidTr="006A0D27">
        <w:trPr>
          <w:trHeight w:hRule="exact" w:val="397"/>
        </w:trPr>
        <w:tc>
          <w:tcPr>
            <w:tcW w:w="10490" w:type="dxa"/>
            <w:tcBorders>
              <w:bottom w:val="single" w:sz="4" w:space="0" w:color="auto"/>
            </w:tcBorders>
            <w:shd w:val="clear" w:color="auto" w:fill="E6E6E6"/>
          </w:tcPr>
          <w:p w14:paraId="0A50ACC5" w14:textId="7510D17F" w:rsidR="002528D9" w:rsidRPr="004962A7" w:rsidRDefault="007A6509">
            <w:pPr>
              <w:spacing w:after="240" w:line="240" w:lineRule="auto"/>
              <w:jc w:val="both"/>
              <w:rPr>
                <w:rFonts w:ascii="Times New Roman" w:eastAsia="Times New Roman" w:hAnsi="Times New Roman" w:cs="Times New Roman"/>
                <w:b/>
                <w:i/>
                <w:noProof/>
                <w:sz w:val="24"/>
                <w:szCs w:val="20"/>
              </w:rPr>
            </w:pPr>
            <w:r>
              <w:rPr>
                <w:rFonts w:ascii="Times New Roman" w:hAnsi="Times New Roman"/>
                <w:b/>
                <w:noProof/>
                <w:sz w:val="24"/>
              </w:rPr>
              <w:t>Zijn er significante gevolgen voor de nationale begrotingen en overheden?</w:t>
            </w:r>
          </w:p>
        </w:tc>
      </w:tr>
      <w:tr w:rsidR="002528D9" w14:paraId="3D37894D" w14:textId="77777777">
        <w:tc>
          <w:tcPr>
            <w:tcW w:w="10490" w:type="dxa"/>
            <w:shd w:val="clear" w:color="auto" w:fill="auto"/>
          </w:tcPr>
          <w:p w14:paraId="3D13D74D" w14:textId="77777777" w:rsidR="002528D9" w:rsidRPr="00303776" w:rsidRDefault="004962A7" w:rsidP="00782470">
            <w:pPr>
              <w:spacing w:after="240" w:line="240" w:lineRule="auto"/>
              <w:jc w:val="both"/>
              <w:rPr>
                <w:rFonts w:ascii="Times New Roman" w:eastAsia="Times New Roman" w:hAnsi="Times New Roman" w:cs="Times New Roman"/>
                <w:noProof/>
                <w:sz w:val="24"/>
                <w:szCs w:val="20"/>
                <w:highlight w:val="yellow"/>
              </w:rPr>
            </w:pPr>
            <w:r>
              <w:rPr>
                <w:rFonts w:ascii="Times New Roman" w:hAnsi="Times New Roman"/>
                <w:noProof/>
                <w:sz w:val="24"/>
              </w:rPr>
              <w:t xml:space="preserve">De hierboven bedoelde kostenbesparingen zullen zich voordoen bij de nationale statistische diensten, aangezien het doel is dat een deel van de Europese visserijstatistieken rechtstreeks wordt opgesteld op basis van administratieve gegevens op EU-niveau voor het gemeenschappelijk visserijbeleid en dat meerdere gegevensstromen worden vereenvoudigd tot één enkele gegevensstroom die tegemoetkomt aan de behoeften op zowel EU- als internationaal niveau. </w:t>
            </w:r>
          </w:p>
        </w:tc>
      </w:tr>
      <w:tr w:rsidR="002528D9" w14:paraId="5AB896E1" w14:textId="77777777" w:rsidTr="006A0D27">
        <w:trPr>
          <w:trHeight w:hRule="exact" w:val="397"/>
        </w:trPr>
        <w:tc>
          <w:tcPr>
            <w:tcW w:w="10490" w:type="dxa"/>
            <w:tcBorders>
              <w:bottom w:val="single" w:sz="4" w:space="0" w:color="auto"/>
            </w:tcBorders>
            <w:shd w:val="clear" w:color="auto" w:fill="E6E6E6"/>
          </w:tcPr>
          <w:p w14:paraId="169B3122" w14:textId="271E50D1" w:rsidR="002528D9" w:rsidRPr="00303776" w:rsidRDefault="007A6509">
            <w:pPr>
              <w:spacing w:after="240" w:line="240" w:lineRule="auto"/>
              <w:jc w:val="both"/>
              <w:rPr>
                <w:rFonts w:ascii="Times New Roman" w:eastAsia="Times New Roman" w:hAnsi="Times New Roman" w:cs="Times New Roman"/>
                <w:noProof/>
                <w:sz w:val="24"/>
                <w:szCs w:val="20"/>
                <w:highlight w:val="yellow"/>
              </w:rPr>
            </w:pPr>
            <w:r>
              <w:rPr>
                <w:rFonts w:ascii="Times New Roman" w:hAnsi="Times New Roman"/>
                <w:b/>
                <w:noProof/>
                <w:sz w:val="24"/>
              </w:rPr>
              <w:t>Zijn er nog andere significante gevolgen?</w:t>
            </w:r>
          </w:p>
        </w:tc>
      </w:tr>
      <w:tr w:rsidR="002528D9" w14:paraId="509E4E2B" w14:textId="77777777">
        <w:tc>
          <w:tcPr>
            <w:tcW w:w="10490" w:type="dxa"/>
            <w:tcBorders>
              <w:bottom w:val="single" w:sz="4" w:space="0" w:color="auto"/>
            </w:tcBorders>
            <w:shd w:val="clear" w:color="auto" w:fill="auto"/>
          </w:tcPr>
          <w:p w14:paraId="7681120C" w14:textId="77777777" w:rsidR="002528D9" w:rsidRPr="00303776" w:rsidRDefault="00F34669">
            <w:pPr>
              <w:spacing w:after="240" w:line="240" w:lineRule="auto"/>
              <w:jc w:val="both"/>
              <w:rPr>
                <w:rFonts w:ascii="Times New Roman" w:eastAsia="Times New Roman" w:hAnsi="Times New Roman" w:cs="Times New Roman"/>
                <w:noProof/>
                <w:sz w:val="24"/>
                <w:szCs w:val="20"/>
                <w:highlight w:val="yellow"/>
              </w:rPr>
            </w:pPr>
            <w:r>
              <w:rPr>
                <w:rFonts w:ascii="Times New Roman" w:hAnsi="Times New Roman"/>
                <w:noProof/>
                <w:sz w:val="24"/>
              </w:rPr>
              <w:t>Visserijstatistieken kunnen belangrijke indirecte effecten hebben op gebieden als beleidsbeheer en de instandhouding van de mariene hulpbronnen, aangezien zij een empirisch onderbouwde beleidsvorming, -uitvoering en -monitoring vergemakkelijken door te voorzien in gegevens van hoge kwaliteit die vergelijkbaar zijn tussen de landen. Deze effecten zijn echter moeilijk te voorspellen en te meten. De directe effecten van statistiekwetgeving zijn gering.</w:t>
            </w:r>
          </w:p>
        </w:tc>
      </w:tr>
      <w:tr w:rsidR="002528D9" w14:paraId="2EB3600E" w14:textId="77777777" w:rsidTr="006A0D27">
        <w:trPr>
          <w:trHeight w:hRule="exact" w:val="397"/>
        </w:trPr>
        <w:tc>
          <w:tcPr>
            <w:tcW w:w="10490" w:type="dxa"/>
            <w:tcBorders>
              <w:bottom w:val="single" w:sz="4" w:space="0" w:color="auto"/>
            </w:tcBorders>
            <w:shd w:val="clear" w:color="auto" w:fill="D9D9D9"/>
          </w:tcPr>
          <w:p w14:paraId="6429B28B" w14:textId="510F1780" w:rsidR="002528D9" w:rsidRPr="00F34669" w:rsidRDefault="007A6509">
            <w:pPr>
              <w:spacing w:after="240" w:line="240" w:lineRule="auto"/>
              <w:jc w:val="both"/>
              <w:rPr>
                <w:rFonts w:ascii="Times New Roman" w:eastAsia="Times New Roman" w:hAnsi="Times New Roman" w:cs="Times New Roman"/>
                <w:i/>
                <w:noProof/>
                <w:sz w:val="24"/>
                <w:szCs w:val="20"/>
              </w:rPr>
            </w:pPr>
            <w:r>
              <w:rPr>
                <w:rFonts w:ascii="Times New Roman" w:hAnsi="Times New Roman"/>
                <w:b/>
                <w:noProof/>
                <w:sz w:val="24"/>
              </w:rPr>
              <w:t>Evenredigheid</w:t>
            </w:r>
          </w:p>
        </w:tc>
      </w:tr>
      <w:tr w:rsidR="002528D9" w14:paraId="5D5B0122" w14:textId="77777777">
        <w:tc>
          <w:tcPr>
            <w:tcW w:w="10490" w:type="dxa"/>
            <w:tcBorders>
              <w:bottom w:val="single" w:sz="4" w:space="0" w:color="auto"/>
            </w:tcBorders>
            <w:shd w:val="clear" w:color="auto" w:fill="auto"/>
          </w:tcPr>
          <w:p w14:paraId="3278BF98" w14:textId="77777777" w:rsidR="002528D9" w:rsidRPr="00303776" w:rsidRDefault="007A6509">
            <w:pPr>
              <w:spacing w:after="240" w:line="240" w:lineRule="auto"/>
              <w:jc w:val="both"/>
              <w:rPr>
                <w:rFonts w:ascii="Times New Roman" w:eastAsia="Times New Roman" w:hAnsi="Times New Roman" w:cs="Times New Roman"/>
                <w:noProof/>
                <w:sz w:val="24"/>
                <w:szCs w:val="20"/>
                <w:highlight w:val="yellow"/>
              </w:rPr>
            </w:pPr>
            <w:r>
              <w:rPr>
                <w:rFonts w:ascii="Times New Roman" w:hAnsi="Times New Roman"/>
                <w:noProof/>
                <w:sz w:val="24"/>
              </w:rPr>
              <w:t>De voorkeursoptie voorziet in alle elementen waarmee de doelstellingen kunnen worden verwezenlijkt en gaat niet verder dan nodig is om het probleem op te lossen.</w:t>
            </w:r>
          </w:p>
        </w:tc>
      </w:tr>
      <w:tr w:rsidR="002528D9" w14:paraId="59C0ADEA" w14:textId="77777777" w:rsidTr="006A0D27">
        <w:trPr>
          <w:trHeight w:hRule="exact" w:val="397"/>
        </w:trPr>
        <w:tc>
          <w:tcPr>
            <w:tcW w:w="10490" w:type="dxa"/>
            <w:tcBorders>
              <w:bottom w:val="single" w:sz="4" w:space="0" w:color="auto"/>
            </w:tcBorders>
            <w:shd w:val="clear" w:color="auto" w:fill="C0C0C0"/>
          </w:tcPr>
          <w:p w14:paraId="07476A2B" w14:textId="0AE858C9" w:rsidR="002528D9" w:rsidRPr="007E14B2" w:rsidRDefault="007A6509">
            <w:pPr>
              <w:spacing w:after="240" w:line="240" w:lineRule="auto"/>
              <w:jc w:val="both"/>
              <w:rPr>
                <w:rFonts w:ascii="Times New Roman" w:eastAsia="Times New Roman" w:hAnsi="Times New Roman" w:cs="Times New Roman"/>
                <w:b/>
                <w:noProof/>
                <w:sz w:val="24"/>
                <w:szCs w:val="20"/>
              </w:rPr>
            </w:pPr>
            <w:r>
              <w:rPr>
                <w:rFonts w:ascii="Times New Roman" w:hAnsi="Times New Roman"/>
                <w:b/>
                <w:noProof/>
                <w:sz w:val="24"/>
              </w:rPr>
              <w:t>D.</w:t>
            </w:r>
            <w:r w:rsidR="001559F4">
              <w:rPr>
                <w:rFonts w:ascii="Times New Roman" w:hAnsi="Times New Roman"/>
                <w:b/>
                <w:noProof/>
                <w:sz w:val="24"/>
              </w:rPr>
              <w:t> </w:t>
            </w:r>
            <w:r>
              <w:rPr>
                <w:rFonts w:ascii="Times New Roman" w:hAnsi="Times New Roman"/>
                <w:b/>
                <w:noProof/>
                <w:sz w:val="24"/>
              </w:rPr>
              <w:t>Evaluatie</w:t>
            </w:r>
          </w:p>
        </w:tc>
      </w:tr>
      <w:tr w:rsidR="002528D9" w14:paraId="6523D88D" w14:textId="77777777" w:rsidTr="006A0D27">
        <w:trPr>
          <w:trHeight w:hRule="exact" w:val="397"/>
        </w:trPr>
        <w:tc>
          <w:tcPr>
            <w:tcW w:w="10490" w:type="dxa"/>
            <w:tcBorders>
              <w:bottom w:val="single" w:sz="4" w:space="0" w:color="auto"/>
            </w:tcBorders>
            <w:shd w:val="clear" w:color="auto" w:fill="E6E6E6"/>
          </w:tcPr>
          <w:p w14:paraId="4FDCCFFC" w14:textId="4B055E78" w:rsidR="002528D9" w:rsidRPr="007E14B2" w:rsidRDefault="007A6509">
            <w:pPr>
              <w:spacing w:after="240" w:line="240" w:lineRule="auto"/>
              <w:jc w:val="both"/>
              <w:rPr>
                <w:rFonts w:ascii="Times New Roman" w:eastAsia="Times New Roman" w:hAnsi="Times New Roman" w:cs="Times New Roman"/>
                <w:noProof/>
                <w:sz w:val="24"/>
                <w:szCs w:val="20"/>
              </w:rPr>
            </w:pPr>
            <w:r>
              <w:rPr>
                <w:rFonts w:ascii="Times New Roman" w:hAnsi="Times New Roman"/>
                <w:b/>
                <w:noProof/>
                <w:sz w:val="24"/>
              </w:rPr>
              <w:t>Wanneer wordt het beleid geëvalueerd?</w:t>
            </w:r>
          </w:p>
        </w:tc>
      </w:tr>
      <w:tr w:rsidR="002528D9" w14:paraId="0CA457B1" w14:textId="77777777" w:rsidTr="006A0D27">
        <w:trPr>
          <w:trHeight w:hRule="exact" w:val="737"/>
        </w:trPr>
        <w:tc>
          <w:tcPr>
            <w:tcW w:w="10490" w:type="dxa"/>
            <w:tcBorders>
              <w:bottom w:val="single" w:sz="4" w:space="0" w:color="auto"/>
            </w:tcBorders>
            <w:shd w:val="clear" w:color="auto" w:fill="auto"/>
          </w:tcPr>
          <w:p w14:paraId="2B37898B" w14:textId="77777777" w:rsidR="002528D9" w:rsidRPr="007E14B2" w:rsidRDefault="007E14B2" w:rsidP="00D327B6">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Het beleid zal worden geëvalueerd door middel van jaarlijkse nalevingsbeoordelingen, voortdurende uitwisselingen met belanghebbenden en monitoring van belangrijke prestatie-indicatoren. </w:t>
            </w:r>
          </w:p>
        </w:tc>
      </w:tr>
    </w:tbl>
    <w:p w14:paraId="17C4CBA3" w14:textId="77777777" w:rsidR="002528D9" w:rsidRDefault="002528D9">
      <w:pPr>
        <w:rPr>
          <w:noProof/>
        </w:rPr>
      </w:pPr>
    </w:p>
    <w:sectPr w:rsidR="002528D9">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C3D26" w14:textId="77777777" w:rsidR="002528D9" w:rsidRDefault="007A6509">
      <w:pPr>
        <w:spacing w:after="0" w:line="240" w:lineRule="auto"/>
      </w:pPr>
      <w:r>
        <w:separator/>
      </w:r>
    </w:p>
  </w:endnote>
  <w:endnote w:type="continuationSeparator" w:id="0">
    <w:p w14:paraId="2616B7A2" w14:textId="77777777" w:rsidR="002528D9" w:rsidRDefault="007A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FB35" w14:textId="221B3B7D" w:rsidR="004301BC" w:rsidRPr="004301BC" w:rsidRDefault="004301BC" w:rsidP="004301BC">
    <w:pPr>
      <w:pStyle w:val="FooterCoverPage"/>
      <w:rPr>
        <w:rFonts w:ascii="Arial" w:hAnsi="Arial" w:cs="Arial"/>
        <w:b/>
        <w:sz w:val="48"/>
      </w:rPr>
    </w:pPr>
    <w:r w:rsidRPr="004301BC">
      <w:rPr>
        <w:rFonts w:ascii="Arial" w:hAnsi="Arial" w:cs="Arial"/>
        <w:b/>
        <w:sz w:val="48"/>
      </w:rPr>
      <w:t>NL</w:t>
    </w:r>
    <w:r w:rsidRPr="004301BC">
      <w:rPr>
        <w:rFonts w:ascii="Arial" w:hAnsi="Arial" w:cs="Arial"/>
        <w:b/>
        <w:sz w:val="48"/>
      </w:rPr>
      <w:tab/>
    </w:r>
    <w:r w:rsidRPr="004301BC">
      <w:rPr>
        <w:rFonts w:ascii="Arial" w:hAnsi="Arial" w:cs="Arial"/>
        <w:b/>
        <w:sz w:val="48"/>
      </w:rPr>
      <w:tab/>
    </w:r>
    <w:r w:rsidRPr="004301BC">
      <w:tab/>
    </w:r>
    <w:r w:rsidRPr="004301BC">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3B8B" w14:textId="466C6AE1" w:rsidR="004301BC" w:rsidRPr="004301BC" w:rsidRDefault="004301BC" w:rsidP="004301BC">
    <w:pPr>
      <w:pStyle w:val="FooterCoverPage"/>
      <w:rPr>
        <w:rFonts w:ascii="Arial" w:hAnsi="Arial" w:cs="Arial"/>
        <w:b/>
        <w:sz w:val="48"/>
      </w:rPr>
    </w:pPr>
    <w:r w:rsidRPr="004301BC">
      <w:rPr>
        <w:rFonts w:ascii="Arial" w:hAnsi="Arial" w:cs="Arial"/>
        <w:b/>
        <w:sz w:val="48"/>
      </w:rPr>
      <w:t>NL</w:t>
    </w:r>
    <w:r w:rsidRPr="004301BC">
      <w:rPr>
        <w:rFonts w:ascii="Arial" w:hAnsi="Arial" w:cs="Arial"/>
        <w:b/>
        <w:sz w:val="48"/>
      </w:rPr>
      <w:tab/>
    </w:r>
    <w:r w:rsidRPr="004301BC">
      <w:rPr>
        <w:rFonts w:ascii="Arial" w:hAnsi="Arial" w:cs="Arial"/>
        <w:b/>
        <w:sz w:val="48"/>
      </w:rPr>
      <w:tab/>
    </w:r>
    <w:r w:rsidRPr="004301BC">
      <w:tab/>
    </w:r>
    <w:r w:rsidRPr="004301BC">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827A0" w14:textId="77777777" w:rsidR="004301BC" w:rsidRPr="004301BC" w:rsidRDefault="004301BC" w:rsidP="004301B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06E3" w14:textId="77777777" w:rsidR="002528D9" w:rsidRDefault="002528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339967"/>
      <w:docPartObj>
        <w:docPartGallery w:val="Page Numbers (Bottom of Page)"/>
        <w:docPartUnique/>
      </w:docPartObj>
    </w:sdtPr>
    <w:sdtEndPr>
      <w:rPr>
        <w:noProof/>
      </w:rPr>
    </w:sdtEndPr>
    <w:sdtContent>
      <w:p w14:paraId="04100459" w14:textId="14EEF0EE" w:rsidR="002528D9" w:rsidRDefault="007A6509">
        <w:pPr>
          <w:pStyle w:val="Footer"/>
        </w:pPr>
        <w:r>
          <w:fldChar w:fldCharType="begin"/>
        </w:r>
        <w:r>
          <w:instrText xml:space="preserve"> PAGE   \* MERGEFORMAT </w:instrText>
        </w:r>
        <w:r>
          <w:fldChar w:fldCharType="separate"/>
        </w:r>
        <w:r w:rsidR="004301BC">
          <w:rPr>
            <w:noProof/>
          </w:rPr>
          <w:t>1</w:t>
        </w:r>
        <w:r>
          <w:fldChar w:fldCharType="end"/>
        </w:r>
      </w:p>
    </w:sdtContent>
  </w:sdt>
  <w:p w14:paraId="75838778" w14:textId="77777777" w:rsidR="002528D9" w:rsidRDefault="002528D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3E2F" w14:textId="77777777" w:rsidR="002528D9" w:rsidRDefault="0025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E5304" w14:textId="77777777" w:rsidR="002528D9" w:rsidRDefault="007A6509">
      <w:pPr>
        <w:spacing w:after="0" w:line="240" w:lineRule="auto"/>
      </w:pPr>
      <w:r>
        <w:separator/>
      </w:r>
    </w:p>
  </w:footnote>
  <w:footnote w:type="continuationSeparator" w:id="0">
    <w:p w14:paraId="65B93D09" w14:textId="77777777" w:rsidR="002528D9" w:rsidRDefault="007A6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A1A53" w14:textId="77777777" w:rsidR="004301BC" w:rsidRPr="004301BC" w:rsidRDefault="004301BC" w:rsidP="004301BC">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C8E9E" w14:textId="77777777" w:rsidR="004301BC" w:rsidRPr="004301BC" w:rsidRDefault="004301BC" w:rsidP="004301B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38DC0" w14:textId="77777777" w:rsidR="004301BC" w:rsidRPr="004301BC" w:rsidRDefault="004301BC" w:rsidP="004301B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3733B" w14:textId="77777777" w:rsidR="002528D9" w:rsidRDefault="002528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0260" w14:textId="77777777" w:rsidR="002528D9" w:rsidRDefault="002528D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08360" w14:textId="77777777" w:rsidR="002528D9" w:rsidRDefault="0025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3074C"/>
    <w:multiLevelType w:val="hybridMultilevel"/>
    <w:tmpl w:val="F8EAE2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497CBC"/>
    <w:multiLevelType w:val="hybridMultilevel"/>
    <w:tmpl w:val="3084A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01FAC"/>
    <w:multiLevelType w:val="hybridMultilevel"/>
    <w:tmpl w:val="6010C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5F4BAF"/>
    <w:multiLevelType w:val="hybridMultilevel"/>
    <w:tmpl w:val="6BE0E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oNotTrackMoves/>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ACCOMPAGNANT.CP" w:val="bij"/>
    <w:docVar w:name="LW_CORRIGENDUM" w:val="&lt;UNUSED&gt;"/>
    <w:docVar w:name="LW_COVERPAGE_EXISTS" w:val="True"/>
    <w:docVar w:name="LW_COVERPAGE_GUID" w:val="D5A32826-C3BB-47CE-AB9B-171E81523328"/>
    <w:docVar w:name="LW_COVERPAGE_TYPE" w:val="1"/>
    <w:docVar w:name="LW_CROSSREFERENCE" w:val="{COM(2025) 435 final} - {SEC(2025) 224 final} - {SWD(2025) 232 final}"/>
    <w:docVar w:name="LW_DocType" w:val="NORMAL"/>
    <w:docVar w:name="LW_EMISSION" w:val="30.7.2025"/>
    <w:docVar w:name="LW_EMISSION_ISODATE" w:val="2025-07-30"/>
    <w:docVar w:name="LW_EMISSION_LOCATION" w:val="BRX"/>
    <w:docVar w:name="LW_EMISSION_PREFIX" w:val="Brussel, "/>
    <w:docVar w:name="LW_EMISSION_SUFFIX" w:val=" "/>
    <w:docVar w:name="LW_ID_DOCTYPE_NONLW" w:val="CP-027"/>
    <w:docVar w:name="LW_LANGUE" w:val="NL"/>
    <w:docVar w:name="LW_LEVEL_OF_SENSITIVITY" w:val="Standard treatment"/>
    <w:docVar w:name="LW_NOM.INST" w:val="EUROPESE COMMISSIE"/>
    <w:docVar w:name="LW_NOM.INST_JOINTDOC" w:val="&lt;EMPTY&gt;"/>
    <w:docVar w:name="LW_OBJETACTEPRINCIPAL.CP" w:val="betreffende de Europese visserij- en aquacultuurstatistieken en tot intrekking van de Verordeningen (EG) nr. 1921/2006, (EG) nr. 762/2008, (EG) nr. 216/2009, (EG) nr. 217/2009 en (EG) nr. 218/2009  "/>
    <w:docVar w:name="LW_PART_NBR" w:val="1"/>
    <w:docVar w:name="LW_PART_NBR_TOTAL" w:val="1"/>
    <w:docVar w:name="LW_REF.INST.NEW" w:val="SWD"/>
    <w:docVar w:name="LW_REF.INST.NEW_ADOPTED" w:val="final"/>
    <w:docVar w:name="LW_REF.INST.NEW_TEXT" w:val="(2025) 233"/>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WERKDOCUMENT VAN DE DIENSTEN VAN DE COMMISSIE_x000b__x000b_SAMENVATTING VAN HET EFFECTBEOORDELINGSVERSLAG_x000b_"/>
    <w:docVar w:name="LW_TYPEACTEPRINCIPAL.CP" w:val="Voorstel voor een_x000b_VERORDENIG VAN HET EUROPEES PARLEMENT EN DE RAAD"/>
    <w:docVar w:name="LwApiVersions" w:val="LW4CoDe 1.24.5.0; LW 9.0, Build 20240221"/>
  </w:docVars>
  <w:rsids>
    <w:rsidRoot w:val="002528D9"/>
    <w:rsid w:val="0008073C"/>
    <w:rsid w:val="00083CCB"/>
    <w:rsid w:val="000E227B"/>
    <w:rsid w:val="00112C06"/>
    <w:rsid w:val="001559F4"/>
    <w:rsid w:val="00167EBC"/>
    <w:rsid w:val="001D6125"/>
    <w:rsid w:val="001F217D"/>
    <w:rsid w:val="002528D9"/>
    <w:rsid w:val="00253269"/>
    <w:rsid w:val="00267B92"/>
    <w:rsid w:val="00295951"/>
    <w:rsid w:val="002B3532"/>
    <w:rsid w:val="002C5E20"/>
    <w:rsid w:val="00303776"/>
    <w:rsid w:val="00322BEC"/>
    <w:rsid w:val="00355E5A"/>
    <w:rsid w:val="0042006C"/>
    <w:rsid w:val="004301BC"/>
    <w:rsid w:val="0045394A"/>
    <w:rsid w:val="00482A96"/>
    <w:rsid w:val="004962A7"/>
    <w:rsid w:val="00533CBC"/>
    <w:rsid w:val="005419CB"/>
    <w:rsid w:val="00586354"/>
    <w:rsid w:val="005C237E"/>
    <w:rsid w:val="005D0BD8"/>
    <w:rsid w:val="005D2DA5"/>
    <w:rsid w:val="006A0D27"/>
    <w:rsid w:val="007752BB"/>
    <w:rsid w:val="00782470"/>
    <w:rsid w:val="007A6509"/>
    <w:rsid w:val="007E14B2"/>
    <w:rsid w:val="00850FAC"/>
    <w:rsid w:val="00890483"/>
    <w:rsid w:val="00891F51"/>
    <w:rsid w:val="008B66F7"/>
    <w:rsid w:val="008C3D95"/>
    <w:rsid w:val="00986A13"/>
    <w:rsid w:val="009873E7"/>
    <w:rsid w:val="009F4700"/>
    <w:rsid w:val="00A976D3"/>
    <w:rsid w:val="00B377F5"/>
    <w:rsid w:val="00B53D87"/>
    <w:rsid w:val="00B60FCC"/>
    <w:rsid w:val="00BF43C8"/>
    <w:rsid w:val="00CE74B5"/>
    <w:rsid w:val="00CF58F6"/>
    <w:rsid w:val="00D327B6"/>
    <w:rsid w:val="00DB7B2A"/>
    <w:rsid w:val="00E418D1"/>
    <w:rsid w:val="00EB517B"/>
    <w:rsid w:val="00F1421C"/>
    <w:rsid w:val="00F178ED"/>
    <w:rsid w:val="00F34669"/>
    <w:rsid w:val="00F8382B"/>
    <w:rsid w:val="00F90E40"/>
    <w:rsid w:val="00FB7C8F"/>
    <w:rsid w:val="00FF70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F9D385E"/>
  <w15:docId w15:val="{0D3C71C6-AD76-4D9E-A5F4-6E407AF2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Hyperlink">
    <w:name w:val="Hyperlink"/>
    <w:uiPriority w:val="99"/>
    <w:rPr>
      <w:color w:val="0563C1"/>
      <w:u w:val="single"/>
    </w:rPr>
  </w:style>
  <w:style w:type="character" w:styleId="FootnoteReference">
    <w:name w:val="footnote reference"/>
    <w:aliases w:val="Footnote symbol,Footnote reference number,Times 10 Point,Exposant 3 Point,Ref,de nota al pie,note TESI,SUPERS,EN Footnote text,EN Footnote Refe,Footnote anchor,Voetnootverwijzing,Footnote number,fr,Footnotemark,FR,Footnotemark1,FR1,F"/>
    <w:uiPriority w:val="99"/>
    <w:qFormat/>
    <w:rPr>
      <w:vertAlign w:val="superscript"/>
    </w:rPr>
  </w:style>
  <w:style w:type="paragraph" w:styleId="FootnoteText">
    <w:name w:val="footnote text"/>
    <w:basedOn w:val="Normal"/>
    <w:link w:val="FootnoteTextChar1"/>
    <w:semiHidden/>
    <w:pPr>
      <w:spacing w:after="12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semiHidden/>
    <w:rPr>
      <w:sz w:val="20"/>
      <w:szCs w:val="20"/>
    </w:rPr>
  </w:style>
  <w:style w:type="character" w:customStyle="1" w:styleId="FootnoteTextChar1">
    <w:name w:val="Footnote Text Char1"/>
    <w:basedOn w:val="DefaultParagraphFont"/>
    <w:link w:val="FootnoteText"/>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rPr>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sz w:val="20"/>
      <w:szCs w:val="20"/>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 w:type="paragraph" w:styleId="ListParagraph">
    <w:name w:val="List Paragraph"/>
    <w:basedOn w:val="Normal"/>
    <w:pPr>
      <w:ind w:left="720"/>
      <w:contextualSpacing/>
    </w:pPr>
  </w:style>
  <w:style w:type="paragraph" w:customStyle="1" w:styleId="Text1">
    <w:name w:val="Text 1"/>
    <w:basedOn w:val="Normal"/>
    <w:rsid w:val="00F178ED"/>
    <w:pPr>
      <w:spacing w:after="240" w:line="240" w:lineRule="auto"/>
      <w:ind w:left="482"/>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D758F45BF4F41C4F9977FA6973AB32EB" ma:contentTypeVersion="2" ma:contentTypeDescription="Create a new document in this library." ma:contentTypeScope="" ma:versionID="330b4e21398754d12578fa9ddb2d7819">
  <xsd:schema xmlns:xsd="http://www.w3.org/2001/XMLSchema" xmlns:xs="http://www.w3.org/2001/XMLSchema" xmlns:p="http://schemas.microsoft.com/office/2006/metadata/properties" xmlns:ns2="http://schemas.microsoft.com/sharepoint/v3/fields" xmlns:ns3="aa4db51b-e8a9-4026-8a86-c53de6a39483" targetNamespace="http://schemas.microsoft.com/office/2006/metadata/properties" ma:root="true" ma:fieldsID="bcd3031ea884fd1e8b17a7d606cba757" ns2:_="" ns3:_="">
    <xsd:import namespace="http://schemas.microsoft.com/sharepoint/v3/fields"/>
    <xsd:import namespace="aa4db51b-e8a9-4026-8a86-c53de6a39483"/>
    <xsd:element name="properties">
      <xsd:complexType>
        <xsd:sequence>
          <xsd:element name="documentManagement">
            <xsd:complexType>
              <xsd:all>
                <xsd:element ref="ns2:_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8"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4db51b-e8a9-4026-8a86-c53de6a3948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_dlc_DocId xmlns="aa4db51b-e8a9-4026-8a86-c53de6a39483" xsi:nil="true"/>
    <_dlc_DocIdUrl xmlns="aa4db51b-e8a9-4026-8a86-c53de6a39483">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22400-3D14-42EF-83E6-C7470904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4db51b-e8a9-4026-8a86-c53de6a39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210DB2-9355-4462-842D-FEA89BFB967D}">
  <ds:schemaRefs>
    <ds:schemaRef ds:uri="aa4db51b-e8a9-4026-8a86-c53de6a3948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56DB0548-AAB6-4E97-914B-58824AB7E13C}">
  <ds:schemaRefs>
    <ds:schemaRef ds:uri="http://schemas.microsoft.com/sharepoint/v3/contenttype/forms"/>
  </ds:schemaRefs>
</ds:datastoreItem>
</file>

<file path=customXml/itemProps4.xml><?xml version="1.0" encoding="utf-8"?>
<ds:datastoreItem xmlns:ds="http://schemas.openxmlformats.org/officeDocument/2006/customXml" ds:itemID="{389EBF90-8002-4299-8672-120BB7E6ECB7}">
  <ds:schemaRefs>
    <ds:schemaRef ds:uri="http://schemas.microsoft.com/sharepoint/events"/>
  </ds:schemaRefs>
</ds:datastoreItem>
</file>

<file path=customXml/itemProps5.xml><?xml version="1.0" encoding="utf-8"?>
<ds:datastoreItem xmlns:ds="http://schemas.openxmlformats.org/officeDocument/2006/customXml" ds:itemID="{46A39F14-28C9-43F6-927B-A081856B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RTD-2020-00154-00-01-EN-EDT-00</vt:lpstr>
    </vt:vector>
  </TitlesOfParts>
  <Manager/>
  <Company/>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RTD-2020-00154-00-01-EN-EDT-00</dc:title>
  <dc:subject/>
  <dc:creator/>
  <cp:keywords/>
  <dc:description/>
  <cp:lastModifiedBy/>
  <cp:revision>8</cp:revision>
  <cp:lastPrinted>2020-03-06T10:23:00Z</cp:lastPrinted>
  <dcterms:created xsi:type="dcterms:W3CDTF">2025-07-17T14:57:00Z</dcterms:created>
  <dcterms:modified xsi:type="dcterms:W3CDTF">2025-09-04T08:27:00Z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ast edited using">
    <vt:lpwstr>LW 9.1, Build 20240808</vt:lpwstr>
  </property>
  <property fmtid="{D5CDD505-2E9C-101B-9397-08002B2CF9AE}" pid="7" name="CPTemplateID">
    <vt:lpwstr>CP-027</vt:lpwstr>
  </property>
  <property fmtid="{D5CDD505-2E9C-101B-9397-08002B2CF9AE}" pid="8" name="Created using">
    <vt:lpwstr>LW 6.0.1, Build 20180503</vt:lpwstr>
  </property>
  <property fmtid="{D5CDD505-2E9C-101B-9397-08002B2CF9AE}" pid="9" name="_dlc_DocIdItemGuid">
    <vt:lpwstr>f048e220-e540-4e11-9dba-13733a09e42d</vt:lpwstr>
  </property>
  <property fmtid="{D5CDD505-2E9C-101B-9397-08002B2CF9AE}" pid="10" name="_LW_INVALIDATED__LW_INVALIDATED__LW_INVALIDATED__LW_INVALIDATED__LW_INVALIDATED__LW_INVALIDATED__LW_INVALIDATED__LW_INVALIDATED__LW_INVALIDATED_ContentTypeId">
    <vt:lpwstr>0x010100258AA79CEB83498886A3A0868112325000D758F45BF4F41C4F9977FA6973AB32EB</vt:lpwstr>
  </property>
  <property fmtid="{D5CDD505-2E9C-101B-9397-08002B2CF9AE}" pid="11" name="MSIP_Label_6bd9ddd1-4d20-43f6-abfa-fc3c07406f94_Enabled">
    <vt:lpwstr>true</vt:lpwstr>
  </property>
  <property fmtid="{D5CDD505-2E9C-101B-9397-08002B2CF9AE}" pid="12" name="MSIP_Label_6bd9ddd1-4d20-43f6-abfa-fc3c07406f94_SetDate">
    <vt:lpwstr>2025-07-01T17:13:34Z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0793c04e-8257-4685-a6ab-fbac8a9113a0</vt:lpwstr>
  </property>
  <property fmtid="{D5CDD505-2E9C-101B-9397-08002B2CF9AE}" pid="17" name="MSIP_Label_6bd9ddd1-4d20-43f6-abfa-fc3c07406f94_ContentBits">
    <vt:lpwstr>0</vt:lpwstr>
  </property>
</Properties>
</file>