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6EA2694" w14:textId="11682B62" w:rsidR="00570BB3" w:rsidRPr="00557C2A" w:rsidRDefault="009832A3" w:rsidP="009832A3">
      <w:pPr>
        <w:pStyle w:val="Pagedecouverture"/>
        <w:rPr>
          <w:noProof/>
        </w:rPr>
      </w:pPr>
      <w:r>
        <w:rPr>
          <w:noProof/>
        </w:rPr>
        <w:pict w14:anchorId="06268CB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7D8AC724-9C95-47BE-A907-64CDC98CF839" style="width:455.25pt;height:389.25pt">
            <v:imagedata r:id="rId8" o:title=""/>
          </v:shape>
        </w:pict>
      </w:r>
    </w:p>
    <w:p w14:paraId="2F8029F5" w14:textId="668546A7" w:rsidR="00D9778C" w:rsidRPr="00557C2A" w:rsidRDefault="00D9778C" w:rsidP="00D9778C">
      <w:pPr>
        <w:pStyle w:val="Pagedecouverture"/>
        <w:rPr>
          <w:noProof/>
        </w:rPr>
        <w:sectPr w:rsidR="00D9778C" w:rsidRPr="00557C2A" w:rsidSect="009832A3">
          <w:footerReference w:type="even" r:id="rId9"/>
          <w:footerReference w:type="default" r:id="rId10"/>
          <w:pgSz w:w="11907" w:h="16839"/>
          <w:pgMar w:top="1134" w:right="1417" w:bottom="1134" w:left="1417" w:header="709" w:footer="709" w:gutter="0"/>
          <w:pgNumType w:start="0"/>
          <w:cols w:space="720"/>
          <w:docGrid w:linePitch="360"/>
        </w:sectPr>
      </w:pPr>
    </w:p>
    <w:p w14:paraId="62D66090" w14:textId="77777777" w:rsidR="00542FCB" w:rsidRPr="00557C2A" w:rsidRDefault="00542FCB">
      <w:pPr>
        <w:pStyle w:val="Exposdesmotifstitre"/>
        <w:rPr>
          <w:noProof/>
        </w:rPr>
      </w:pPr>
      <w:bookmarkStart w:id="0" w:name="_GoBack"/>
      <w:bookmarkEnd w:id="0"/>
      <w:r w:rsidRPr="00557C2A">
        <w:rPr>
          <w:noProof/>
        </w:rPr>
        <w:lastRenderedPageBreak/>
        <w:t>TOELICHTING</w:t>
      </w:r>
    </w:p>
    <w:p w14:paraId="554355DE" w14:textId="77777777" w:rsidR="00542FCB" w:rsidRPr="00557C2A" w:rsidRDefault="00542FCB">
      <w:pPr>
        <w:pStyle w:val="ManualHeading1"/>
        <w:rPr>
          <w:noProof/>
        </w:rPr>
      </w:pPr>
      <w:r w:rsidRPr="00557C2A">
        <w:rPr>
          <w:noProof/>
        </w:rPr>
        <w:t>1.</w:t>
      </w:r>
      <w:r w:rsidRPr="00557C2A">
        <w:rPr>
          <w:noProof/>
        </w:rPr>
        <w:tab/>
        <w:t>ACHTERGROND VAN HET VOORSTEL</w:t>
      </w:r>
    </w:p>
    <w:p w14:paraId="13421286" w14:textId="77777777" w:rsidR="00542FCB" w:rsidRPr="00557C2A" w:rsidRDefault="00542FCB">
      <w:pPr>
        <w:pStyle w:val="ManualHeading2"/>
        <w:rPr>
          <w:rFonts w:eastAsia="Arial Unicode MS"/>
          <w:noProof/>
        </w:rPr>
      </w:pPr>
      <w:r w:rsidRPr="00557C2A">
        <w:rPr>
          <w:noProof/>
          <w:color w:val="000000"/>
          <w:u w:color="000000"/>
          <w:bdr w:val="nil"/>
        </w:rPr>
        <w:t>•</w:t>
      </w:r>
      <w:r w:rsidRPr="00557C2A">
        <w:rPr>
          <w:noProof/>
        </w:rPr>
        <w:tab/>
        <w:t>Motivering en doel van het voorstel</w:t>
      </w:r>
    </w:p>
    <w:p w14:paraId="68CD4F3B" w14:textId="77777777" w:rsidR="005026F1" w:rsidRPr="00557C2A" w:rsidRDefault="00F22115" w:rsidP="003B0CC2">
      <w:pPr>
        <w:pBdr>
          <w:top w:val="nil"/>
          <w:left w:val="nil"/>
          <w:bottom w:val="nil"/>
          <w:right w:val="nil"/>
          <w:between w:val="nil"/>
          <w:bar w:val="nil"/>
        </w:pBdr>
        <w:spacing w:before="0" w:after="240"/>
        <w:rPr>
          <w:rFonts w:eastAsia="Arial Unicode MS"/>
          <w:noProof/>
        </w:rPr>
      </w:pPr>
      <w:r w:rsidRPr="00557C2A">
        <w:rPr>
          <w:noProof/>
        </w:rPr>
        <w:t>Het voorstel heeft tot doel de vergunningverlening voor energie-infrastructuurprojecten, zoals transmissie- en distributienetten, opslagvoorzieningen en laadstations, en hernieuwbare-energieprojecten te versnellen om de snelle uitrol ervan te vergemakkelijken. Een snelle uitrol hiervan is van fundamenteel belang voor de Unie om vooruitgang te boeken bij haar energietransitie naar een duurzamer en koolstofvrij energiesysteem. Het voorstel maakt deel uit van het pakket Europese netten, dat begin 2025 is aangekondigd als onderdeel van het kompas voor concurrentievermogen voor de Unie</w:t>
      </w:r>
      <w:r w:rsidRPr="00557C2A">
        <w:rPr>
          <w:rStyle w:val="FootnoteReference"/>
          <w:rFonts w:eastAsia="Arial Unicode MS"/>
          <w:noProof/>
        </w:rPr>
        <w:footnoteReference w:id="2"/>
      </w:r>
      <w:r w:rsidRPr="00557C2A">
        <w:rPr>
          <w:noProof/>
        </w:rPr>
        <w:t xml:space="preserve"> en de Clean Industrial Deal</w:t>
      </w:r>
      <w:r w:rsidRPr="00557C2A">
        <w:rPr>
          <w:rStyle w:val="FootnoteReference"/>
          <w:rFonts w:eastAsia="Arial Unicode MS"/>
          <w:noProof/>
        </w:rPr>
        <w:footnoteReference w:id="3"/>
      </w:r>
      <w:r w:rsidRPr="00557C2A">
        <w:rPr>
          <w:noProof/>
        </w:rPr>
        <w:t>.</w:t>
      </w:r>
      <w:r w:rsidRPr="00557C2A">
        <w:rPr>
          <w:rFonts w:ascii="Arial" w:hAnsi="Arial"/>
          <w:noProof/>
          <w:color w:val="00002E"/>
          <w:sz w:val="27"/>
        </w:rPr>
        <w:t xml:space="preserve"> </w:t>
      </w:r>
      <w:r w:rsidRPr="00557C2A">
        <w:rPr>
          <w:noProof/>
        </w:rPr>
        <w:t xml:space="preserve">In het </w:t>
      </w:r>
      <w:hyperlink r:id="rId11" w:history="1">
        <w:r w:rsidRPr="00557C2A">
          <w:rPr>
            <w:rStyle w:val="Hyperlink"/>
            <w:noProof/>
          </w:rPr>
          <w:t>actieplan voor betaalbare energie</w:t>
        </w:r>
      </w:hyperlink>
      <w:r w:rsidRPr="00557C2A">
        <w:rPr>
          <w:noProof/>
        </w:rPr>
        <w:t> van februari 2025</w:t>
      </w:r>
      <w:r w:rsidRPr="00557C2A">
        <w:rPr>
          <w:rStyle w:val="FootnoteReference"/>
          <w:rFonts w:eastAsia="Arial Unicode MS"/>
          <w:noProof/>
        </w:rPr>
        <w:footnoteReference w:id="4"/>
      </w:r>
      <w:r w:rsidRPr="00557C2A">
        <w:rPr>
          <w:noProof/>
        </w:rPr>
        <w:t xml:space="preserve"> werd ook vermeld dat het pakket Europese netten wetgevingsvoorstellen zou omvatten om de vergunningverlening voor netten, opslag en hernieuwbare energie te versnellen. Het voorstel geeft eveneens gevolg aan het verzoek van de Europese Raad van 23 oktober 2025 om nieuwe voorstellen te onderzoeken teneinde de planning en de vergunningsprocedures in de lidstaten te stroomlijnen en te versnellen</w:t>
      </w:r>
      <w:r w:rsidRPr="00557C2A">
        <w:rPr>
          <w:rStyle w:val="FootnoteReference"/>
          <w:rFonts w:eastAsia="Arial Unicode MS"/>
          <w:noProof/>
        </w:rPr>
        <w:footnoteReference w:id="5"/>
      </w:r>
      <w:r w:rsidRPr="00557C2A">
        <w:rPr>
          <w:noProof/>
        </w:rPr>
        <w:t>.</w:t>
      </w:r>
    </w:p>
    <w:p w14:paraId="27657F40" w14:textId="77777777" w:rsidR="003B0CC2" w:rsidRPr="00557C2A" w:rsidRDefault="005026F1" w:rsidP="003B0CC2">
      <w:pPr>
        <w:pBdr>
          <w:top w:val="nil"/>
          <w:left w:val="nil"/>
          <w:bottom w:val="nil"/>
          <w:right w:val="nil"/>
          <w:between w:val="nil"/>
          <w:bar w:val="nil"/>
        </w:pBdr>
        <w:spacing w:before="0" w:after="240"/>
        <w:rPr>
          <w:rFonts w:eastAsia="Arial Unicode MS"/>
          <w:noProof/>
        </w:rPr>
      </w:pPr>
      <w:r w:rsidRPr="00557C2A">
        <w:rPr>
          <w:noProof/>
        </w:rPr>
        <w:t xml:space="preserve">Trage en ingewikkelde vergunningverlening, ook voor netaansluitingen, wordt door de belanghebbenden genoemd als een van de belangrijkste factoren die tot vertragingen bij de ontwikkeling van energieprojecten leiden. De aanleg van elektriciteitstransmissienetten duurt ongeveer tien jaar, waarbij vergunningverlening goed is voor meer dan de helft van de benodigde tijd. Vergunningverlening werd door 78 % van de respondenten van de openbare raadpleging als het belangrijkste obstakel beschouwd voor de ontwikkeling van de netinfrastructuur van de Unie die nodig is voor de energietransitie. Evenzo kan de duur van het verlenen van vergunningen voor hernieuwbare-energieprojecten nog steeds tot negen jaar oplopen, afhankelijk van de lidstaat en de betrokken technologie. De aanleg van opslaginstallaties kan, afhankelijk van de technologie, één tot zeven jaar in beslag nemen. De vergunningsprocedures voor de bouw of transformatie van laadstations langs snelwegen en in depots kunnen in sommige lidstaten tot twee jaar in beslag nemen. De trage vergunningverlening is onder meer te wijten aan versnipperde administratieve systemen bij meerdere autoriteiten, onvoldoende personeel bij de autoriteiten, de duur van milieubeoordelingen, een gebrek aan publieke aanvaarding, beperkte digitalisering en beschikbaarheid van gegevens, en administratieve en gerechtelijke procedures. Trage vergunningsprocedures kunnen ook negatieve gevolgen hebben voor innovatie in de sector en een knelpunt zijn voor de verwezenlijking van het in de richtlijn hernieuwbare energie vastgestelde indicatieve streefcijfer om ten minste 5 % van de nieuw geïnstalleerde hernieuwbare-energiecapaciteit te verkrijgen uit innovatieve hernieuwbare-energietechnologieën. De versnelling van vergunningsprocedures, onder meer voor de hybridisatie van hernieuwbare-energieprojecten en de renovatie en modernisering van energie-infrastructuur, moet bijdragen tot de bevordering van innovatieve oplossingen. </w:t>
      </w:r>
    </w:p>
    <w:p w14:paraId="60B6DE79" w14:textId="492926D9" w:rsidR="00432AEA" w:rsidRPr="00557C2A" w:rsidRDefault="00B00DB9" w:rsidP="003B0CC2">
      <w:pPr>
        <w:pBdr>
          <w:top w:val="nil"/>
          <w:left w:val="nil"/>
          <w:bottom w:val="nil"/>
          <w:right w:val="nil"/>
          <w:between w:val="nil"/>
          <w:bar w:val="nil"/>
        </w:pBdr>
        <w:spacing w:before="0" w:after="240"/>
        <w:rPr>
          <w:rFonts w:eastAsia="Arial Unicode MS"/>
          <w:noProof/>
        </w:rPr>
      </w:pPr>
      <w:r w:rsidRPr="00557C2A">
        <w:rPr>
          <w:noProof/>
        </w:rPr>
        <w:t>De afgelopen jaren zijn op het niveau van de Unie enkele nieuwe maatregelen ingevoerd om de vergunningverlening voor hernieuwbare-energieprojecten en, tot op zekere hoogte, infrastructuurprojecten te versnellen. In 2022 is een verordening van de Raad vastgesteld als noodmaatregel om de procedures voor de verlening van vergunningen voor projecten op het gebied van hernieuwbare energie en gerelateerde infrastructuurprojecten te versnellen</w:t>
      </w:r>
      <w:r w:rsidRPr="00557C2A">
        <w:rPr>
          <w:rStyle w:val="FootnoteReference"/>
          <w:rFonts w:eastAsia="Arial Unicode MS"/>
          <w:noProof/>
        </w:rPr>
        <w:footnoteReference w:id="6"/>
      </w:r>
      <w:r w:rsidRPr="00557C2A">
        <w:rPr>
          <w:noProof/>
        </w:rPr>
        <w:t>, die in december 2023 gedeeltelijk is verlengd</w:t>
      </w:r>
      <w:r w:rsidRPr="00557C2A">
        <w:rPr>
          <w:rStyle w:val="FootnoteReference"/>
          <w:rFonts w:eastAsia="Arial Unicode MS"/>
          <w:noProof/>
        </w:rPr>
        <w:footnoteReference w:id="7"/>
      </w:r>
      <w:r w:rsidRPr="00557C2A">
        <w:rPr>
          <w:noProof/>
        </w:rPr>
        <w:t xml:space="preserve"> tot en met 30 juni 2025. Bij deze verordening is het vermoeden ingevoerd dat de ontwikkeling van hernieuwbare energie van hoger openbaar belang is, zijn termijnen geïntroduceerd voor de vergunningsprocedure voor bepaalde hernieuwbare-energietechnologieën, en is het de lidstaten toegestaan om hernieuwbare-energieprojecten, evenals projecten op het gebied van energieopslag en het elektriciteitsnet die nodig zijn om hernieuwbare energie in het elektriciteitssysteem te integreren, onder bepaalde voorwaarden vrij te stellen van enkele milieueisen. Bovendien is in 2023 met de herziene richtlijn hernieuwbare energie</w:t>
      </w:r>
      <w:r w:rsidRPr="00557C2A">
        <w:rPr>
          <w:rStyle w:val="FootnoteReference"/>
          <w:rFonts w:eastAsia="Arial Unicode MS"/>
          <w:noProof/>
        </w:rPr>
        <w:footnoteReference w:id="8"/>
      </w:r>
      <w:r w:rsidRPr="00557C2A">
        <w:rPr>
          <w:noProof/>
        </w:rPr>
        <w:t xml:space="preserve"> een uitgebreid nieuw vergunningskader voor hernieuwbare-energieprojecten ingevoerd, met kortere termijnen en eenvoudigere regels. Voorts omvatte deze richtlijn verplichtingen om gebieden in kaart te brengen en gebieden aan te wijzen voor de versnelde uitrol van hernieuwbare energie waar de milieueffecten van projecten naar verwachting gering zullen zijn, waardoor een vereenvoudigde vergunningsprocedure voor projecten in dergelijke gebieden mogelijk is. De herziene richtlijn hernieuwbare energie bevatte ook facultatieve maatregelen om gebieden voor de versnelde uitrol van infrastructuurprojecten vast te stellen, waarbij deze projecten onder bepaalde voorwaarden van een milieueffectbeoordeling zijn vrijgesteld. h </w:t>
      </w:r>
    </w:p>
    <w:p w14:paraId="6281AA09" w14:textId="77777777" w:rsidR="00FB07C6" w:rsidRPr="00557C2A" w:rsidRDefault="00AA3909" w:rsidP="003B022C">
      <w:pPr>
        <w:pBdr>
          <w:top w:val="nil"/>
          <w:left w:val="nil"/>
          <w:bottom w:val="nil"/>
          <w:right w:val="nil"/>
          <w:between w:val="nil"/>
          <w:bar w:val="nil"/>
        </w:pBdr>
        <w:spacing w:before="0" w:after="240"/>
        <w:rPr>
          <w:noProof/>
        </w:rPr>
      </w:pPr>
      <w:r w:rsidRPr="00557C2A">
        <w:rPr>
          <w:noProof/>
        </w:rPr>
        <w:t>De invoering van deze maatregelen heeft in de praktijk enkele positieve resultaten opgeleverd. Duitsland heeft bijvoorbeeld de maatregelen in de verordening van de Raad op grote schaal toegepast, met name de vrijwillige maatregelen, waardoor de vergunningverlening aanzienlijk is versneld. In 2024 heeft Duitsland ongeveer 14 GW-15 GW aan extra capaciteit van onshorewindenergie goedgekeurd</w:t>
      </w:r>
      <w:r w:rsidRPr="00557C2A">
        <w:rPr>
          <w:noProof/>
          <w:vertAlign w:val="superscript"/>
        </w:rPr>
        <w:t>77</w:t>
      </w:r>
      <w:r w:rsidRPr="00557C2A">
        <w:rPr>
          <w:noProof/>
        </w:rPr>
        <w:t>, wat neerkomt op een stijging van 85 % ten opzichte van het voorgaande jaar en bijna gelijk is aan de totale nieuwe geïnstalleerde windcapaciteit in Europa in hetzelfde jaar. Ook de uitvoering van de maatregelen in de herziene richtlijn hernieuwbare energie heeft positieve effecten gehad. Uit een onderzoek naar de uitvoering van de aanbeveling en richtsnoeren van de Commissie over het versnellen van de procedures voor de verlening van vergunningen voor projecten op het gebied van hernieuwbare energie en gerelateerde infrastructuurprojecten</w:t>
      </w:r>
      <w:r w:rsidRPr="00557C2A">
        <w:rPr>
          <w:rStyle w:val="FootnoteReference"/>
          <w:noProof/>
        </w:rPr>
        <w:footnoteReference w:id="9"/>
      </w:r>
      <w:r w:rsidRPr="00557C2A">
        <w:rPr>
          <w:noProof/>
        </w:rPr>
        <w:t xml:space="preserve"> blijkt dat de lidstaten in totaal 1 198 maatregelen hebben genomen om de aanbeveling uit te voeren, waarvan 901 maatregelen in matige of sterke mate overeenkomen met de aanbeveling, wat neerkomt op 75 % van het totale aantal maatregelen. </w:t>
      </w:r>
    </w:p>
    <w:p w14:paraId="2365128F" w14:textId="77777777" w:rsidR="00BD5A5F" w:rsidRPr="00557C2A" w:rsidRDefault="00A7236B" w:rsidP="00BD5A5F">
      <w:pPr>
        <w:pBdr>
          <w:top w:val="nil"/>
          <w:left w:val="nil"/>
          <w:bottom w:val="nil"/>
          <w:right w:val="nil"/>
          <w:between w:val="nil"/>
          <w:bar w:val="nil"/>
        </w:pBdr>
        <w:spacing w:before="0" w:after="240"/>
        <w:rPr>
          <w:rFonts w:eastAsia="Arial Unicode MS"/>
          <w:noProof/>
        </w:rPr>
      </w:pPr>
      <w:r w:rsidRPr="00557C2A">
        <w:rPr>
          <w:noProof/>
        </w:rPr>
        <w:t>Ondanks de maatregelen die zijn ingevoerd bij de verordening van de Raad en de herziene richtlijn hernieuwbare energie, blijven er in de lidstaten knelpunten bestaan op het gebied van vergunningverlening en is er in de praktijk niet altijd vooruitgang te merken wat betreft de versnelde uitvoering van projecten, zoals ook werd bevestigd tijdens de uitvoeringsdialoog over vergunningverlening die op 11 juni 2025 door de commissaris voor Energie en Huisvesting is gehouden</w:t>
      </w:r>
      <w:r w:rsidRPr="00557C2A">
        <w:rPr>
          <w:rStyle w:val="FootnoteReference"/>
          <w:noProof/>
        </w:rPr>
        <w:footnoteReference w:id="10"/>
      </w:r>
      <w:r w:rsidRPr="00557C2A">
        <w:rPr>
          <w:noProof/>
        </w:rPr>
        <w:t xml:space="preserve">. </w:t>
      </w:r>
    </w:p>
    <w:p w14:paraId="7785B204" w14:textId="77777777" w:rsidR="0A474C5C" w:rsidRPr="00557C2A" w:rsidRDefault="0A474C5C" w:rsidP="15B6DBC8">
      <w:pPr>
        <w:pBdr>
          <w:top w:val="nil"/>
          <w:left w:val="nil"/>
          <w:bottom w:val="nil"/>
          <w:right w:val="nil"/>
          <w:between w:val="nil"/>
          <w:bar w:val="nil"/>
        </w:pBdr>
        <w:spacing w:before="0" w:after="240"/>
        <w:rPr>
          <w:rFonts w:eastAsia="Arial Unicode MS"/>
          <w:noProof/>
        </w:rPr>
      </w:pPr>
      <w:r w:rsidRPr="00557C2A">
        <w:rPr>
          <w:noProof/>
        </w:rPr>
        <w:t xml:space="preserve">Verscheidene factoren dragen daartoe bij. Ten eerste werden in de herziene richtlijn hernieuwbare energie niet alle problemen aangepakt die de vergunningverlening en integratie van hernieuwbare-energiebronnen vertragen, zoals trage vergunningverlening voor netten, opslag of laadstations, beperkte digitalisering van procedures of publieke aanvaarding. Ten tweede bevatte de herziene richtlijn hernieuwbare energie slechts enkele van de maatregelen van de verordening van de Raad, maar ontbreken verschillende belangrijke daarin opgenomen maatregelen die niet langer van toepassing zijn, zoals die om de prioriteit van hernieuwbare-energieprojecten uit te breiden tot meer dan alleen milieuaspecten en die om de naleving van bepaalde milieuvoorschriften te stroomlijnen. Ten derde waren de omzettingsdata voor de relevante vergunningsbepalingen van de richtlijn hernieuwbare energie juli 2024 en mei 2025, maar uit de beschikbare informatie blijkt dat de resultaten van de lidstaten wat betreft uitvoering en tekortkomingen bij de toepassing van de regels uiteenlopen. De volledige uitvoering van het bestaande kader is nog lopende, maar uit de feedback van belanghebbenden blijkt dat er zelfs in lidstaten waar het bestaande kader is omgezet en wordt uitgevoerd, knelpunten zijn die een snelle vergunningverlening en uitrol van hernieuwbare-energieprojecten belemmeren. De lange vergunningsprocedures die tot een trage uitvoering van projecten leiden, kunnen dus niet alleen worden toegeschreven aan een onvolledige en onjuiste uitvoering van het bestaande kader in de lidstaten, maar ook aan kwesties die in het huidige rechtskader van de Unie niet volledig worden aangepakt: te lange milieubeoordelingen, gebrekkige publieke aanvaarding, beperkte digitalisering van de procedures, onvoldoende middelen bij de nationale vergunningverlenende instanties, een gebrek aan coördinatiemechanismen tussen de verschillende instanties die bij de vergunningsprocedure betrokken zijn, en een gebrek aan regels voor alle soorten opslag en voor laadstations. </w:t>
      </w:r>
    </w:p>
    <w:p w14:paraId="5F0B3AE3" w14:textId="77777777" w:rsidR="52838C76" w:rsidRPr="00557C2A" w:rsidRDefault="406C948E" w:rsidP="00A80692">
      <w:pPr>
        <w:rPr>
          <w:noProof/>
        </w:rPr>
      </w:pPr>
      <w:r w:rsidRPr="00557C2A">
        <w:rPr>
          <w:noProof/>
        </w:rPr>
        <w:t>Wat energie-infrastructuur betreft, bestaat er momenteel geen overkoepelende regeling inzake vergunningverlening op het niveau van de Unie. De TEN-E-verordening introduceert regels voor de vergunningverlening voor infrastructuurprojecten in de Unielijst van projecten van gemeenschappelijk belang en projecten van wederzijds belang, maar heeft geen betrekking op andere infrastructuuractiva. Met het pakket waterstof en koolstofarme gassen</w:t>
      </w:r>
      <w:r w:rsidRPr="00557C2A">
        <w:rPr>
          <w:rStyle w:val="FootnoteReference"/>
          <w:noProof/>
        </w:rPr>
        <w:footnoteReference w:id="11"/>
      </w:r>
      <w:r w:rsidRPr="00557C2A">
        <w:rPr>
          <w:noProof/>
        </w:rPr>
        <w:t xml:space="preserve"> zijn in de gasmarktrichtlijn</w:t>
      </w:r>
      <w:r w:rsidRPr="00557C2A">
        <w:rPr>
          <w:rStyle w:val="FootnoteReference"/>
          <w:noProof/>
        </w:rPr>
        <w:footnoteReference w:id="12"/>
      </w:r>
      <w:r w:rsidRPr="00557C2A">
        <w:rPr>
          <w:noProof/>
        </w:rPr>
        <w:t xml:space="preserve"> algemene vereisten ingevoerd voor de vergunningverlening voor waterstof- en gasactiva, met inbegrip van vergunningsprocedures. Voor elektriciteitsnetten bestaat er echter geen Europees kader. In het actieplan voor betaalbare energie en het rapport-Draghi werd de noodzaak erkend om de uitrol van energie-infrastructuur op te schroeven teneinde het gebruik van hernieuwbare energie te versnellen, de veiligheid en veerkracht van het net van de Unie te vergroten en de energiekosten te verlagen. Het ontbreken van een uniform Europees kader vormt een lacune bij het voorzien in deze behoefte. Als zodanig actualiseert dit voorstel de vergunningsregeling van de elektriciteitsmarktrichtlijn om vereisten voor transmissie- en distributie-infrastructuur vast te stellen die momenteel niet aan bod komen. Met de wijzigingen van de elektriciteitsmarktrichtlijn zijn aanvullende vereisten ingevoerd die in de gasmarktrichtlijn tot uiting moeten komen, namelijk inzake de capaciteit van vergunningverlenende instanties, de afsluitingsdata voor verzoeken om aanvullende informatie, stilzwijgende goedkeuring in administratieve besluiten en vereisten op het gebied van digitalisering.</w:t>
      </w:r>
    </w:p>
    <w:p w14:paraId="4CDF04FC" w14:textId="77777777" w:rsidR="003B0CC2" w:rsidRPr="00557C2A" w:rsidRDefault="1B43A442" w:rsidP="003B0CC2">
      <w:pPr>
        <w:pBdr>
          <w:top w:val="nil"/>
          <w:left w:val="nil"/>
          <w:bottom w:val="nil"/>
          <w:right w:val="nil"/>
          <w:between w:val="nil"/>
          <w:bar w:val="nil"/>
        </w:pBdr>
        <w:spacing w:before="0" w:after="240"/>
        <w:rPr>
          <w:rFonts w:eastAsia="Arial Unicode MS"/>
          <w:noProof/>
        </w:rPr>
      </w:pPr>
      <w:r w:rsidRPr="00557C2A">
        <w:rPr>
          <w:noProof/>
        </w:rPr>
        <w:t>Een van de oorzaken van de nog steeds langdurige vergunningsprocedures zijn milieubeoordelingen, die herhaaldelijk zijn aangemerkt als de stap die het meest onderhevig is aan vertragingen. De gemiddelde duur van de milieueffectbeoordeling (MEB) voor projecten in het algemeen (niet specifiek voor hernieuwbare energie) wordt geschat op ongeveer 20,6 maanden</w:t>
      </w:r>
      <w:r w:rsidRPr="00557C2A">
        <w:rPr>
          <w:rStyle w:val="FootnoteReference"/>
          <w:rFonts w:eastAsia="Arial Unicode MS"/>
          <w:noProof/>
        </w:rPr>
        <w:footnoteReference w:id="13"/>
      </w:r>
      <w:r w:rsidRPr="00557C2A">
        <w:rPr>
          <w:noProof/>
        </w:rPr>
        <w:t>, wat van invloed is op het vermogen om de termijnen van de vergunningsprocedures in de herziene richtlijn hernieuwbare energie na te leven.  In de openbare raadpleging over het pakket Europese netten</w:t>
      </w:r>
      <w:r w:rsidRPr="00557C2A">
        <w:rPr>
          <w:rStyle w:val="FootnoteReference"/>
          <w:rFonts w:eastAsia="Arial Unicode MS"/>
          <w:noProof/>
        </w:rPr>
        <w:footnoteReference w:id="14"/>
      </w:r>
      <w:r w:rsidRPr="00557C2A">
        <w:rPr>
          <w:noProof/>
        </w:rPr>
        <w:t xml:space="preserve"> was een meerderheid van de respondenten voorstander van vereenvoudiging en stroomlijning van milieubeoordelingen. Bij de herziene richtlijn hernieuwbare energie zijn gerichte maatregelen ingevoerd om bepaalde milieuverplichtingen te versoepelen, maar gezien de huidige stand van zaken met betrekking tot de uitvoering van hernieuwbare-energieprojecten en de gemiddelde duur van milieubeoordelingen zijn er aanvullende maatregelen in dit verband nodig. </w:t>
      </w:r>
    </w:p>
    <w:p w14:paraId="22CF0E51" w14:textId="77777777" w:rsidR="006F354A" w:rsidRPr="00557C2A" w:rsidRDefault="00B1231D" w:rsidP="003B0CC2">
      <w:pPr>
        <w:pBdr>
          <w:top w:val="nil"/>
          <w:left w:val="nil"/>
          <w:bottom w:val="nil"/>
          <w:right w:val="nil"/>
          <w:between w:val="nil"/>
          <w:bar w:val="nil"/>
        </w:pBdr>
        <w:spacing w:before="0" w:after="240"/>
        <w:rPr>
          <w:rFonts w:eastAsia="Arial Unicode MS"/>
          <w:noProof/>
        </w:rPr>
      </w:pPr>
      <w:r w:rsidRPr="00557C2A">
        <w:rPr>
          <w:noProof/>
        </w:rPr>
        <w:t xml:space="preserve">Een zwakke handhaving van de termijnen voor vergunningverlening in de lidstaten door de nationale autoriteiten ondermijnt de doelstelling van de herziene richtlijn hernieuwbare energie om de duur van vergunningsprocedures te beperken. Onzekerheden en een gebrek aan duidelijke regels in geval van conflicten tussen hernieuwbare-energieprojecten en andere belangen leiden tot lange vergunningsprocedures en gerechtelijke procedures. Vergunningsprocedures voor zeer kleine projecten houden onnodige bureaucratie in stand, waardoor de uitrol ervan wordt vertraagd, terwijl de aansluiting op het net nog steeds met ongerechtvaardigde vertragingen te maken heeft. Inefficiënte en ondoeltreffende processen voor inspraak van het publiek, die leiden tot verzet in de vorm van administratieve en gerechtelijke procedures, blijven de uitvoering vertragen. Beperkte middelen bij nationale vergunningverlenende instanties worden regelmatig genoemd als een van de belangrijkste factoren die bijdragen aan vertragingen in vergunningsprocedures. Bovendien vereisen vergunningsprocedures voor hernieuwbare-energieprojecten vaak meerdere vergunningen die door verschillende autoriteiten worden verleend (hetzij gelijktijdig, hetzij achtereenvolgend), en het gebrek aan coördinatiemechanismen is een belangrijk knelpunt dat de procedures vertraagt. Digitale middelen voor de verwerking van aanvragen zijn onderontwikkeld en worden door de autoriteiten onvoldoende benut, en het gebrek aan integratie tussen de verschillende digitale instrumenten voor vergunningverlening die door meerdere vergunningverlenende instanties worden gebruikt, leidt tot verwarring en inefficiëntie, waardoor de handhaving van de wettelijke termijnen wordt belemmerd. Onvoldoende toegang tot relevante milieu- en geologische gegevens kan een obstakel vormen voor projectontwikkelaars bij het opstellen van aanvragen voor milieuvergunningen voor hernieuwbare-energieprojecten en voor net- en opslaginfrastructuurprojecten. Bovendien hebben de vergunningsregels voor elektriciteitsopslag in het kader van de herziene richtlijn hernieuwbare energie een beperkt toepassingsgebied en hebben zij alleen betrekking op opslag op één locatie, en niet op opslag in het algemeen of op de hybridisatie van projecten, ondanks de steeds belangrijkere rol ervan voor de flexibiliteit van het systeem. Evenzo leidt onduidelijkheid over vergunningverlening voor laadstations voor elektromobiliteit tot onnodige complexiteit en vertragingen. Het voorstel beoogt de vastgestelde knelpunten in de vergunningsprocedures voor hernieuwbare-energieprojecten en energie-infrastructuur, zoals elektriciteits- en gasnetten, opslagfaciliteiten en laadstations, die van cruciaal belang zijn voor de integratie van hernieuwbare energie in het energiesysteem, aan te pakken door: </w:t>
      </w:r>
    </w:p>
    <w:p w14:paraId="7C64F9F0" w14:textId="77777777" w:rsidR="00B0380B" w:rsidRPr="00557C2A" w:rsidRDefault="00C0453A" w:rsidP="00C0453A">
      <w:pPr>
        <w:pStyle w:val="Point0"/>
        <w:rPr>
          <w:noProof/>
        </w:rPr>
      </w:pPr>
      <w:r w:rsidRPr="00557C2A">
        <w:rPr>
          <w:noProof/>
        </w:rPr>
        <w:t>1.</w:t>
      </w:r>
      <w:r w:rsidRPr="00557C2A">
        <w:rPr>
          <w:noProof/>
        </w:rPr>
        <w:tab/>
        <w:t>de termijnen te verkorten en onnodige vertragingen in de vergunningsprocedure te voorkomen;</w:t>
      </w:r>
    </w:p>
    <w:p w14:paraId="48D55516" w14:textId="77777777" w:rsidR="006F354A" w:rsidRPr="00557C2A" w:rsidRDefault="00C0453A" w:rsidP="00C0453A">
      <w:pPr>
        <w:pStyle w:val="Point0"/>
        <w:rPr>
          <w:noProof/>
        </w:rPr>
      </w:pPr>
      <w:r w:rsidRPr="00557C2A">
        <w:rPr>
          <w:noProof/>
        </w:rPr>
        <w:t>2.</w:t>
      </w:r>
      <w:r w:rsidRPr="00557C2A">
        <w:rPr>
          <w:noProof/>
        </w:rPr>
        <w:tab/>
        <w:t>bepalingen op te nemen uit Verordening (EU) 2022/2577 van de Raad met gerichte wijzigingen;</w:t>
      </w:r>
    </w:p>
    <w:p w14:paraId="3B2E1239" w14:textId="77777777" w:rsidR="00331E7E" w:rsidRPr="00557C2A" w:rsidRDefault="00C0453A" w:rsidP="00C0453A">
      <w:pPr>
        <w:pStyle w:val="Point0"/>
        <w:rPr>
          <w:noProof/>
        </w:rPr>
      </w:pPr>
      <w:r w:rsidRPr="00557C2A">
        <w:rPr>
          <w:noProof/>
        </w:rPr>
        <w:t>3.</w:t>
      </w:r>
      <w:r w:rsidRPr="00557C2A">
        <w:rPr>
          <w:noProof/>
        </w:rPr>
        <w:tab/>
        <w:t xml:space="preserve">aanvullende gerichte flexibiliteit in te voeren bij de toepassing van milieuvoorschriften; </w:t>
      </w:r>
    </w:p>
    <w:p w14:paraId="717DD764" w14:textId="77777777" w:rsidR="00434E89" w:rsidRPr="00557C2A" w:rsidRDefault="00C0453A" w:rsidP="00C0453A">
      <w:pPr>
        <w:pStyle w:val="Point0"/>
        <w:rPr>
          <w:noProof/>
        </w:rPr>
      </w:pPr>
      <w:r w:rsidRPr="00557C2A">
        <w:rPr>
          <w:noProof/>
        </w:rPr>
        <w:t>4.</w:t>
      </w:r>
      <w:r w:rsidRPr="00557C2A">
        <w:rPr>
          <w:noProof/>
        </w:rPr>
        <w:tab/>
        <w:t>een vergunningsregeling voor elektriciteitsnetten op Unieniveau in te voeren die voortbouwt op de aanpak voor de vergunningverlening voor gas- en waterstofactiva in de gasmarktrichtlijn en aansluit bij het kader van de richtlijn hernieuwbare energie en de TEN-E-verordening;</w:t>
      </w:r>
    </w:p>
    <w:p w14:paraId="03BD0A7F" w14:textId="77777777" w:rsidR="00D45979" w:rsidRPr="00557C2A" w:rsidRDefault="00C0453A" w:rsidP="00C0453A">
      <w:pPr>
        <w:pStyle w:val="Point0"/>
        <w:rPr>
          <w:noProof/>
        </w:rPr>
      </w:pPr>
      <w:r w:rsidRPr="00557C2A">
        <w:rPr>
          <w:noProof/>
        </w:rPr>
        <w:t>5.</w:t>
      </w:r>
      <w:r w:rsidRPr="00557C2A">
        <w:rPr>
          <w:noProof/>
        </w:rPr>
        <w:tab/>
        <w:t>te zorgen voor consistentie van de algemene vergunningsregeling op EU-niveau door de vergunningsregeling voor waterstofactiva aan te passen aan die voor elektriciteitsinfrastructuur.</w:t>
      </w:r>
    </w:p>
    <w:p w14:paraId="064864A9" w14:textId="77777777" w:rsidR="003C3C8B" w:rsidRPr="00557C2A" w:rsidRDefault="003C3C8B" w:rsidP="002D54E2">
      <w:pPr>
        <w:rPr>
          <w:noProof/>
        </w:rPr>
      </w:pPr>
    </w:p>
    <w:p w14:paraId="224A558D" w14:textId="77777777" w:rsidR="003C3C8B" w:rsidRPr="00557C2A" w:rsidRDefault="003C3C8B" w:rsidP="002D54E2">
      <w:pPr>
        <w:rPr>
          <w:noProof/>
        </w:rPr>
      </w:pPr>
      <w:r w:rsidRPr="00557C2A">
        <w:rPr>
          <w:noProof/>
        </w:rPr>
        <w:t>Dit voorstel omvat beperkte en gerichte wijzigingen van Richtlijn (EU) 2018/2001 van het Europees Parlement en de Raad van 11 december 2018 ter bevordering van het gebruik van energie uit hernieuwbare bronnen, die strikt noodzakelijk zijn om de doelstellingen van het voorstel te verwezenlijken. Verdere mogelijke wijzigingen van Richtlijn (EU) 2018/2001 vallen volledig buiten het toepassingsgebied en de doelstellingen van dit voorstel. De noodzaak van dergelijke wijzigingen kan in voorkomend geval worden beoordeeld in het kader van de voorbereiding van het initiatief inzake het kader voor hernieuwbare energie, dat deel uitmaakt van het energie-uniepakket voor het komende decennium, zoals bedoeld in bijlage I bij het werkprogramma van de Commissie voor 2026. De Commissie zal constructief samenwerken met de medewetgevers om ervoor te zorgen dat het wetgevingsproces met betrekking tot dit voorstel het wezenlijke doel ervan volledig in stand houdt en niet verstoort.</w:t>
      </w:r>
    </w:p>
    <w:p w14:paraId="18C0D7DE" w14:textId="77777777" w:rsidR="00542FCB" w:rsidRPr="00557C2A" w:rsidRDefault="00542FCB">
      <w:pPr>
        <w:pStyle w:val="ManualHeading2"/>
        <w:rPr>
          <w:rFonts w:eastAsia="Arial Unicode MS"/>
          <w:noProof/>
          <w:color w:val="000000"/>
          <w:u w:color="000000"/>
          <w:bdr w:val="nil"/>
        </w:rPr>
      </w:pPr>
      <w:r w:rsidRPr="00557C2A">
        <w:rPr>
          <w:noProof/>
          <w:color w:val="000000"/>
          <w:u w:color="000000"/>
          <w:bdr w:val="nil"/>
        </w:rPr>
        <w:t>•</w:t>
      </w:r>
      <w:r w:rsidRPr="00557C2A">
        <w:rPr>
          <w:noProof/>
        </w:rPr>
        <w:tab/>
        <w:t>Verenigbaarheid met bestaande bepalingen op het beleidsterrein</w:t>
      </w:r>
    </w:p>
    <w:p w14:paraId="39262ABA" w14:textId="77777777" w:rsidR="00273EC9" w:rsidRPr="00557C2A" w:rsidRDefault="00273EC9" w:rsidP="00273EC9">
      <w:pPr>
        <w:pBdr>
          <w:top w:val="nil"/>
          <w:left w:val="nil"/>
          <w:bottom w:val="nil"/>
          <w:right w:val="nil"/>
          <w:between w:val="nil"/>
          <w:bar w:val="nil"/>
        </w:pBdr>
        <w:spacing w:before="0" w:after="240"/>
        <w:rPr>
          <w:rFonts w:eastAsia="Arial Unicode MS"/>
          <w:noProof/>
        </w:rPr>
      </w:pPr>
      <w:r w:rsidRPr="00557C2A">
        <w:rPr>
          <w:noProof/>
        </w:rPr>
        <w:t>Dit voorstel vloeit voort uit de toezegging van de Commissie in het actieplan voor betaalbare energie</w:t>
      </w:r>
      <w:r w:rsidRPr="00557C2A">
        <w:rPr>
          <w:rStyle w:val="FootnoteReference"/>
          <w:noProof/>
        </w:rPr>
        <w:footnoteReference w:id="15"/>
      </w:r>
      <w:r w:rsidRPr="00557C2A">
        <w:rPr>
          <w:noProof/>
        </w:rPr>
        <w:t xml:space="preserve"> om een pakket Europese netten voor te stellen dat bestaat uit wetgevings- en niet-wetgevingsmaatregelen om onder meer de vergunningverlening voor de opwekking van hernieuwbare energie, netten, opslaginfrastructuur en laadstations voor auto’s en vrachtwagens te stroomlijnen. </w:t>
      </w:r>
    </w:p>
    <w:p w14:paraId="0841FB90" w14:textId="77777777" w:rsidR="000B2A68" w:rsidRPr="00557C2A" w:rsidRDefault="00B66E5C" w:rsidP="006D4A69">
      <w:pPr>
        <w:pBdr>
          <w:top w:val="nil"/>
          <w:left w:val="nil"/>
          <w:bottom w:val="nil"/>
          <w:right w:val="nil"/>
          <w:between w:val="nil"/>
          <w:bar w:val="nil"/>
        </w:pBdr>
        <w:tabs>
          <w:tab w:val="num" w:pos="720"/>
        </w:tabs>
        <w:spacing w:before="0" w:after="240"/>
        <w:rPr>
          <w:rFonts w:eastAsia="Arial Unicode MS"/>
          <w:noProof/>
        </w:rPr>
      </w:pPr>
      <w:r w:rsidRPr="00557C2A">
        <w:rPr>
          <w:noProof/>
        </w:rPr>
        <w:t xml:space="preserve">Het voorstel is ook in overeenstemming met de uitvoering van bestaande vergunningsmaatregelen in het kader van de herziene richtlijn hernieuwbare energie, met inbegrip van zowel de controle op de omzetting als de ondersteuning van de lidstaten bij de effectieve uitvoering ervan. Om te zorgen voor een passende uitvoering van goede vergunningverleningspraktijken en een tijdige omzetting van de gewijzigde richtlijn hernieuwbare energie, is een uitgebreide reeks maatregelen (het Accele-RES-uitvoeringsplan) vastgesteld en verder versterkt als onderdeel van het actieplan voor windenergie. Dit omvatte de uitwisseling van goede praktijken in verschillende fora, bilaterale steun aan de lidstaten, de ontwikkeling en verbetering van een online-instrument met vragen en antwoorden over de uitvoering van de richtlijn hernieuwbare energie, lopende omzettingswerkzaamheden, de goedkeuring van aanbevelingen en richtsnoeren met betrekking tot planning, vergunningverlening en milieuwetgeving, steun aan de lidstaten voor hervormingen op het gebied van vergunningverlening in het kader van het instrument voor technische ondersteuning (TSI), steun voor investeringen en hervormingen op het gebied van vergunningverlening in het kader van het herstel- en veerkrachtfonds en in het kader van de Life-oproep van 2024 en 2025 tot het indienen van voorstellen voor de transitie naar schone energie. Zoals aangekondigd in het actieplan voor betaalbare energie breidt de Commissie het Accele-RES-uitvoeringsplan uit, waarbij zij het potentieel van de deskundigengroep inzake vergunningverlening en van de gecoördineerde actie (CA-RES) ten volle benut, de uitwisseling van beste praktijken en de identificatie van belemmeringen versterkt, de onlinerichtsnoeren over vergunningverlening verbetert en TSI-ondersteuning verleent. </w:t>
      </w:r>
    </w:p>
    <w:p w14:paraId="665C7C8E" w14:textId="34D1CA6E" w:rsidR="6CB33CEE" w:rsidRPr="00557C2A" w:rsidRDefault="6CB33CEE" w:rsidP="28384ADB">
      <w:pPr>
        <w:pBdr>
          <w:top w:val="nil"/>
          <w:left w:val="nil"/>
          <w:bottom w:val="nil"/>
          <w:right w:val="nil"/>
          <w:between w:val="nil"/>
          <w:bar w:val="nil"/>
        </w:pBdr>
        <w:tabs>
          <w:tab w:val="num" w:pos="720"/>
        </w:tabs>
        <w:spacing w:before="0" w:after="240"/>
        <w:rPr>
          <w:rFonts w:eastAsia="Times New Roman"/>
          <w:noProof/>
          <w:szCs w:val="24"/>
        </w:rPr>
      </w:pPr>
      <w:r w:rsidRPr="00557C2A">
        <w:rPr>
          <w:noProof/>
        </w:rPr>
        <w:t>Het voorstel is in overeenstemming met de elektriciteitsma</w:t>
      </w:r>
      <w:r w:rsidR="007346B5">
        <w:rPr>
          <w:noProof/>
        </w:rPr>
        <w:t>r</w:t>
      </w:r>
      <w:r w:rsidRPr="00557C2A">
        <w:rPr>
          <w:noProof/>
        </w:rPr>
        <w:t>ktrichtlijn en bouwt voort op de aanpak van vergunningsprocedures voor projecten inzake nieuwe capaciteit door de aanpak van vergunningsprocedures in het pakket waterstof en koolstofarme gassen te weerspiegelen</w:t>
      </w:r>
      <w:r w:rsidRPr="00557C2A">
        <w:rPr>
          <w:rStyle w:val="FootnoteReference"/>
          <w:rFonts w:eastAsia="Arial Unicode MS"/>
          <w:noProof/>
        </w:rPr>
        <w:footnoteReference w:id="16"/>
      </w:r>
      <w:r w:rsidRPr="00557C2A">
        <w:rPr>
          <w:noProof/>
        </w:rPr>
        <w:t>, terwijl tegelijkertijd de kans wordt aangegrepen om de vergunningverlening voor projecten voor de renovatie, modernisering of repowering van transmissie- en distributienetten verder te versnellen.</w:t>
      </w:r>
    </w:p>
    <w:p w14:paraId="05234B1A" w14:textId="77777777" w:rsidR="00440460" w:rsidRPr="00557C2A" w:rsidRDefault="00440460" w:rsidP="006D4A69">
      <w:pPr>
        <w:pBdr>
          <w:top w:val="nil"/>
          <w:left w:val="nil"/>
          <w:bottom w:val="nil"/>
          <w:right w:val="nil"/>
          <w:between w:val="nil"/>
          <w:bar w:val="nil"/>
        </w:pBdr>
        <w:tabs>
          <w:tab w:val="num" w:pos="720"/>
        </w:tabs>
        <w:spacing w:before="0" w:after="240"/>
        <w:rPr>
          <w:rFonts w:eastAsia="Arial Unicode MS"/>
          <w:noProof/>
        </w:rPr>
      </w:pPr>
      <w:r w:rsidRPr="00557C2A">
        <w:rPr>
          <w:noProof/>
        </w:rPr>
        <w:t>Het voorstel is ook consistent wat betreft de wijzigingen in de vergunningsprocedures die zijn opgenomen in het pakket van de gasmarktrichtlijn, aangezien het alleen incrementele wijzigingen bevat die geen invloed zouden moeten hebben op de omzetting van de maatregelen die oorspronkelijk in het pakket waren opgenomen.</w:t>
      </w:r>
    </w:p>
    <w:p w14:paraId="3604CD0F" w14:textId="77777777" w:rsidR="005970BE" w:rsidRPr="00557C2A" w:rsidRDefault="005970BE" w:rsidP="006D4A69">
      <w:pPr>
        <w:pBdr>
          <w:top w:val="nil"/>
          <w:left w:val="nil"/>
          <w:bottom w:val="nil"/>
          <w:right w:val="nil"/>
          <w:between w:val="nil"/>
          <w:bar w:val="nil"/>
        </w:pBdr>
        <w:tabs>
          <w:tab w:val="num" w:pos="720"/>
        </w:tabs>
        <w:spacing w:before="0" w:after="240"/>
        <w:rPr>
          <w:rFonts w:eastAsia="Arial Unicode MS"/>
          <w:noProof/>
        </w:rPr>
      </w:pPr>
      <w:r w:rsidRPr="00557C2A">
        <w:rPr>
          <w:noProof/>
        </w:rPr>
        <w:t>Ook is het voorstel in overeenstemming met de vergunningsregeling voor infrastructuurprojecten van gemeenschappelijk en wederzijds belang die zijn geselecteerd in het kader van de TEN-E-verordening. Door een algemene regeling te bieden voor activa die niet in het kader van de verordening zijn geselecteerd, creëert dit voorstel het onderliggende kader voor versnelde vergunningverlening dat ten grondslag ligt aan het strengere kader dat van toepassing is op belangrijke infrastructuurprojecten die in het kader van de TEN-E-verordening zijn aangewezen.</w:t>
      </w:r>
    </w:p>
    <w:p w14:paraId="713B7D28" w14:textId="77777777" w:rsidR="00542FCB" w:rsidRPr="00557C2A" w:rsidRDefault="00542FCB">
      <w:pPr>
        <w:pStyle w:val="ManualHeading2"/>
        <w:rPr>
          <w:rFonts w:eastAsia="Arial Unicode MS"/>
          <w:noProof/>
        </w:rPr>
      </w:pPr>
      <w:r w:rsidRPr="00557C2A">
        <w:rPr>
          <w:noProof/>
          <w:color w:val="000000"/>
          <w:u w:color="000000"/>
          <w:bdr w:val="nil"/>
        </w:rPr>
        <w:t>•</w:t>
      </w:r>
      <w:r w:rsidRPr="00557C2A">
        <w:rPr>
          <w:noProof/>
        </w:rPr>
        <w:tab/>
        <w:t>Verenigbaarheid met andere beleidsterreinen van de Unie</w:t>
      </w:r>
    </w:p>
    <w:p w14:paraId="123D5707" w14:textId="77777777" w:rsidR="008C45E5" w:rsidRPr="00557C2A" w:rsidRDefault="0007678C" w:rsidP="005F3457">
      <w:pPr>
        <w:pBdr>
          <w:top w:val="nil"/>
          <w:left w:val="nil"/>
          <w:bottom w:val="nil"/>
          <w:right w:val="nil"/>
          <w:between w:val="nil"/>
          <w:bar w:val="nil"/>
        </w:pBdr>
        <w:spacing w:before="0" w:after="240"/>
        <w:rPr>
          <w:noProof/>
        </w:rPr>
      </w:pPr>
      <w:r w:rsidRPr="00557C2A">
        <w:rPr>
          <w:noProof/>
        </w:rPr>
        <w:t>Dit voorstel is in overeenstemming met de doelstelling van de Green Deal om de broeikasgasemissies tegen 2030 met 55 % te verminderen en de verplichting uit hoofde van de Europese klimaatwet om in 2050 klimaatneutraliteit te bereiken, en met de doelstellingen van de Clean Industrial Deal om de toegang tot betaalbare energie voor de Europese industrie veilig te stellen, de energierekeningen te verlagen en de uitrol van schone energie en productie te versnellen, met inbegrip van een KPI om tot 2030 jaarlijks 100 GW aan hernieuwbare-elektriciteitscapaciteit te installeren.</w:t>
      </w:r>
    </w:p>
    <w:p w14:paraId="564065CF" w14:textId="77777777" w:rsidR="005F3457" w:rsidRPr="00557C2A" w:rsidRDefault="005F3457" w:rsidP="005F3457">
      <w:pPr>
        <w:pBdr>
          <w:top w:val="nil"/>
          <w:left w:val="nil"/>
          <w:bottom w:val="nil"/>
          <w:right w:val="nil"/>
          <w:between w:val="nil"/>
          <w:bar w:val="nil"/>
        </w:pBdr>
        <w:spacing w:before="0" w:after="240"/>
        <w:rPr>
          <w:noProof/>
        </w:rPr>
      </w:pPr>
      <w:r w:rsidRPr="00557C2A">
        <w:rPr>
          <w:noProof/>
        </w:rPr>
        <w:t>In het rapport-Draghi</w:t>
      </w:r>
      <w:r w:rsidRPr="00557C2A">
        <w:rPr>
          <w:rStyle w:val="FootnoteReference"/>
          <w:noProof/>
        </w:rPr>
        <w:footnoteReference w:id="17"/>
      </w:r>
      <w:r w:rsidRPr="00557C2A">
        <w:rPr>
          <w:noProof/>
        </w:rPr>
        <w:t xml:space="preserve"> werd opgeroepen tot vereenvoudiging en stroomlijning van vergunnings- en administratieve procedures, en tot een gecoördineerde strategische aanpak van grensoverschrijdende infrastructuurontwikkeling tussen de Unie en de lidstaten. De Raad verzocht de Commissie een versterkt kader voor netplanning en -uitrol voor te stellen dat in overeenstemming is met de doelstellingen van de Unie. In zijn conclusies van 16 juni 2025</w:t>
      </w:r>
      <w:r w:rsidRPr="00557C2A">
        <w:rPr>
          <w:rStyle w:val="FootnoteReference"/>
          <w:noProof/>
        </w:rPr>
        <w:footnoteReference w:id="18"/>
      </w:r>
      <w:r w:rsidRPr="00557C2A">
        <w:rPr>
          <w:noProof/>
        </w:rPr>
        <w:t xml:space="preserve"> heeft de Raad de Commissie verzocht een pakket Europese netten voor te stellen dat onder meer bestaat uit maatregelen om de Unieregels inzake netten te vereenvoudigen, de behoeften op Unie-, regionaal en nationaal niveau te integreren, de uitvoering van projecten te waarborgen, doeltreffende mechanismen voor kostendeling voor grensoverschrijdende projecten van gemeenschappelijk belang te ontwikkelen en na te gaan of er verdere wetgevingsvoorstellen nodig zijn om de vergunningverlening voor energie-infrastructuur te versnellen. </w:t>
      </w:r>
    </w:p>
    <w:p w14:paraId="7F8E8DDD" w14:textId="26EC6DB8" w:rsidR="186A4315" w:rsidRPr="00557C2A" w:rsidRDefault="00662FFE" w:rsidP="00A86660">
      <w:pPr>
        <w:pBdr>
          <w:top w:val="nil"/>
          <w:left w:val="nil"/>
          <w:bottom w:val="nil"/>
          <w:right w:val="nil"/>
          <w:between w:val="nil"/>
          <w:bar w:val="nil"/>
        </w:pBdr>
        <w:spacing w:before="0" w:after="240"/>
        <w:rPr>
          <w:noProof/>
        </w:rPr>
      </w:pPr>
      <w:r w:rsidRPr="00557C2A">
        <w:rPr>
          <w:noProof/>
        </w:rPr>
        <w:t>Op [</w:t>
      </w:r>
      <w:r w:rsidRPr="00557C2A">
        <w:rPr>
          <w:i/>
          <w:iCs/>
          <w:noProof/>
        </w:rPr>
        <w:t>xxxx</w:t>
      </w:r>
      <w:r w:rsidRPr="00557C2A">
        <w:rPr>
          <w:noProof/>
        </w:rPr>
        <w:t>] is een voorstel voor een verordening betreffende het versnellen en stroomlijnen van milieubeoordelingen aangenomen</w:t>
      </w:r>
      <w:r w:rsidRPr="00557C2A">
        <w:rPr>
          <w:rStyle w:val="FootnoteReference"/>
          <w:noProof/>
        </w:rPr>
        <w:footnoteReference w:id="19"/>
      </w:r>
      <w:r w:rsidRPr="00557C2A">
        <w:rPr>
          <w:noProof/>
        </w:rPr>
        <w:t xml:space="preserve">. Het voorstel bevat maatregelen ter vereenvoudiging van de milieuwetgeving met betrekking tot milieubeoordelingen van plannen, programma’s en projecten op het gebied van digitalisering, toegang tot gegevens en stroomlijning van openbare raadplegingen en gerechtelijke geschillen. De voorgestelde maatregelen met betrekking tot milieuwetgeving in het kader van het pakket Europese netten zijn gericht op hernieuwbare-energie- en infrastructuurprojecten en zijn verenigbaar met de algemene vereenvoudigingsmaatregelen van het voorstel voor een verordening betreffende de versnelling en stroomlijning van milieueffectbeoordelingen.  </w:t>
      </w:r>
    </w:p>
    <w:p w14:paraId="1AE5450F" w14:textId="77777777" w:rsidR="00542FCB" w:rsidRPr="00557C2A" w:rsidRDefault="00542FCB">
      <w:pPr>
        <w:pStyle w:val="ManualHeading1"/>
        <w:rPr>
          <w:noProof/>
        </w:rPr>
      </w:pPr>
      <w:r w:rsidRPr="00557C2A">
        <w:rPr>
          <w:noProof/>
        </w:rPr>
        <w:t>2.</w:t>
      </w:r>
      <w:r w:rsidRPr="00557C2A">
        <w:rPr>
          <w:noProof/>
        </w:rPr>
        <w:tab/>
        <w:t>RECHTSGRONDSLAG, SUBSIDIARITEIT EN EVENREDIGHEID</w:t>
      </w:r>
    </w:p>
    <w:p w14:paraId="689707F8" w14:textId="77777777" w:rsidR="00542FCB" w:rsidRPr="00557C2A" w:rsidRDefault="00542FCB">
      <w:pPr>
        <w:pStyle w:val="ManualHeading2"/>
        <w:rPr>
          <w:rFonts w:eastAsia="Arial Unicode MS"/>
          <w:noProof/>
          <w:u w:color="000000"/>
          <w:bdr w:val="nil"/>
        </w:rPr>
      </w:pPr>
      <w:r w:rsidRPr="00557C2A">
        <w:rPr>
          <w:noProof/>
          <w:u w:color="000000"/>
          <w:bdr w:val="nil"/>
        </w:rPr>
        <w:t>•</w:t>
      </w:r>
      <w:r w:rsidRPr="00557C2A">
        <w:rPr>
          <w:noProof/>
        </w:rPr>
        <w:tab/>
      </w:r>
      <w:r w:rsidRPr="00557C2A">
        <w:rPr>
          <w:noProof/>
          <w:u w:color="000000"/>
          <w:bdr w:val="nil"/>
        </w:rPr>
        <w:t>Rechtsgrondslag</w:t>
      </w:r>
    </w:p>
    <w:p w14:paraId="0519A5CA" w14:textId="77777777" w:rsidR="00D504B8" w:rsidRPr="00557C2A" w:rsidRDefault="26C777E8" w:rsidP="00D504B8">
      <w:pPr>
        <w:pBdr>
          <w:top w:val="nil"/>
          <w:left w:val="nil"/>
          <w:bottom w:val="nil"/>
          <w:right w:val="nil"/>
          <w:between w:val="nil"/>
          <w:bar w:val="nil"/>
        </w:pBdr>
        <w:spacing w:before="0" w:after="240"/>
        <w:rPr>
          <w:noProof/>
        </w:rPr>
      </w:pPr>
      <w:r w:rsidRPr="00557C2A">
        <w:rPr>
          <w:noProof/>
        </w:rPr>
        <w:t xml:space="preserve"> Het voorstel is gebaseerd op twee rechtsgrondslagen:</w:t>
      </w:r>
    </w:p>
    <w:p w14:paraId="43F9F10D" w14:textId="77777777" w:rsidR="00D504B8" w:rsidRPr="00557C2A" w:rsidRDefault="00D504B8" w:rsidP="00D504B8">
      <w:pPr>
        <w:pBdr>
          <w:top w:val="nil"/>
          <w:left w:val="nil"/>
          <w:bottom w:val="nil"/>
          <w:right w:val="nil"/>
          <w:between w:val="nil"/>
          <w:bar w:val="nil"/>
        </w:pBdr>
        <w:spacing w:before="0" w:after="240"/>
        <w:rPr>
          <w:noProof/>
        </w:rPr>
      </w:pPr>
      <w:r w:rsidRPr="00557C2A">
        <w:rPr>
          <w:noProof/>
        </w:rPr>
        <w:t>— Artikel 194, lid 2, van het Verdrag betreffende de werking van de Europese Unie (VWEU), dat de rechtsgrondslag biedt om maatregelen voor te stellen om nieuwe en hernieuwbare vormen van energie te ontwikkelen en de werking van de energiemarkt te waarborgen, wat doelstellingen zijn van het energiebeleid van de Unie, zoals uiteengezet in artikel 194, lid 1, punten a) en c), VWEU.</w:t>
      </w:r>
    </w:p>
    <w:p w14:paraId="66A1622D" w14:textId="77777777" w:rsidR="009870BC" w:rsidRPr="00557C2A" w:rsidRDefault="009870BC" w:rsidP="00D504B8">
      <w:pPr>
        <w:pBdr>
          <w:top w:val="nil"/>
          <w:left w:val="nil"/>
          <w:bottom w:val="nil"/>
          <w:right w:val="nil"/>
          <w:between w:val="nil"/>
          <w:bar w:val="nil"/>
        </w:pBdr>
        <w:spacing w:before="0" w:after="240"/>
        <w:rPr>
          <w:noProof/>
        </w:rPr>
      </w:pPr>
      <w:r w:rsidRPr="00557C2A">
        <w:rPr>
          <w:noProof/>
        </w:rPr>
        <w:t>Deze rechtsgrondslag is nodig om de richtlijn hernieuwbare energie, de elektriciteitsmarktrichtlijn en de gasmarktrichtlijn te wijzigen.</w:t>
      </w:r>
    </w:p>
    <w:p w14:paraId="58404C1C" w14:textId="77777777" w:rsidR="00D504B8" w:rsidRPr="00557C2A" w:rsidRDefault="00D504B8" w:rsidP="00D504B8">
      <w:pPr>
        <w:pBdr>
          <w:top w:val="nil"/>
          <w:left w:val="nil"/>
          <w:bottom w:val="nil"/>
          <w:right w:val="nil"/>
          <w:between w:val="nil"/>
          <w:bar w:val="nil"/>
        </w:pBdr>
        <w:spacing w:before="0" w:after="240"/>
        <w:rPr>
          <w:noProof/>
        </w:rPr>
      </w:pPr>
      <w:r w:rsidRPr="00557C2A">
        <w:rPr>
          <w:noProof/>
        </w:rPr>
        <w:t>— Artikel 192, lid 1, VWEU, dat de rechtsgrondslag vormt voor het milieubeleid van de Unie. Deze rechtsgrondslag is nodig om gerichte aanpassingen aan specifieke milieuregels van de Unie door te voeren teneinde de vergunningsprocedures voor projecten op het gebied van hernieuwbare energie en energie-infrastructuur te versnellen.</w:t>
      </w:r>
    </w:p>
    <w:p w14:paraId="35B4C05D" w14:textId="77777777" w:rsidR="003E024C" w:rsidRPr="00557C2A" w:rsidRDefault="003E024C" w:rsidP="003E024C">
      <w:pPr>
        <w:pBdr>
          <w:top w:val="nil"/>
          <w:left w:val="nil"/>
          <w:bottom w:val="nil"/>
          <w:right w:val="nil"/>
          <w:between w:val="nil"/>
          <w:bar w:val="nil"/>
        </w:pBdr>
        <w:spacing w:before="0" w:after="240"/>
        <w:rPr>
          <w:noProof/>
        </w:rPr>
      </w:pPr>
      <w:r w:rsidRPr="00557C2A">
        <w:rPr>
          <w:noProof/>
        </w:rPr>
        <w:t xml:space="preserve">De in dit voorstel voorgestelde maatregelen hebben betrekking op de bovengenoemde gebieden. Zij zijn bedoeld om de snellere invoering en integratie van hernieuwbare energie te bevorderen door de vergunningsprocedures voor projecten op het gebied van hernieuwbare-energieproductie, transmissie- en distributienetten, opslag en laadstations te versnellen. De maatregelen hebben ook betrekking op de regels voor milieubeoordelingen als onderdeel van de elementen die gericht zijn op vereenvoudiging en versnelling van die procedures. </w:t>
      </w:r>
    </w:p>
    <w:p w14:paraId="724482BA" w14:textId="77777777" w:rsidR="00542FCB" w:rsidRPr="00557C2A" w:rsidRDefault="00542FCB">
      <w:pPr>
        <w:pStyle w:val="ManualHeading2"/>
        <w:rPr>
          <w:rFonts w:eastAsia="Arial Unicode MS"/>
          <w:noProof/>
          <w:bdr w:val="nil"/>
        </w:rPr>
      </w:pPr>
      <w:r w:rsidRPr="00557C2A">
        <w:rPr>
          <w:noProof/>
          <w:bdr w:val="nil"/>
        </w:rPr>
        <w:t>•</w:t>
      </w:r>
      <w:r w:rsidRPr="00557C2A">
        <w:rPr>
          <w:noProof/>
        </w:rPr>
        <w:tab/>
      </w:r>
      <w:r w:rsidRPr="00557C2A">
        <w:rPr>
          <w:noProof/>
          <w:bdr w:val="nil"/>
        </w:rPr>
        <w:t xml:space="preserve">Subsidiariteit (bij niet-exclusieve bevoegdheid) </w:t>
      </w:r>
    </w:p>
    <w:p w14:paraId="49581CB2" w14:textId="77777777" w:rsidR="00547389" w:rsidRPr="00557C2A" w:rsidRDefault="19885958" w:rsidP="38BB7434">
      <w:pPr>
        <w:pBdr>
          <w:bar w:val="nil"/>
        </w:pBdr>
        <w:spacing w:before="0" w:after="240"/>
        <w:rPr>
          <w:rFonts w:eastAsia="Times New Roman"/>
          <w:noProof/>
        </w:rPr>
      </w:pPr>
      <w:r w:rsidRPr="00557C2A">
        <w:rPr>
          <w:noProof/>
          <w:color w:val="0000FF"/>
        </w:rPr>
        <w:t xml:space="preserve"> </w:t>
      </w:r>
      <w:r w:rsidRPr="00557C2A">
        <w:rPr>
          <w:noProof/>
        </w:rPr>
        <w:t xml:space="preserve">Het doel van de voorgestelde wijzigingen is de integratie van hernieuwbare energie in het energiesysteem te vergemakkelijken door de vergunningsprocedures voor projecten op het gebied van hernieuwbare-energieproductie, transmissie- en distributienetten, opslag en laadstations te vereenvoudigen en te verkorten. De voorgestelde wijzigingen voldoen aan het </w:t>
      </w:r>
      <w:r w:rsidRPr="00557C2A">
        <w:rPr>
          <w:b/>
          <w:bCs/>
          <w:noProof/>
        </w:rPr>
        <w:t>subsidiariteitsbeginsel</w:t>
      </w:r>
      <w:r w:rsidRPr="00557C2A">
        <w:rPr>
          <w:noProof/>
        </w:rPr>
        <w:t>, aangezien optreden op het niveau van de Unie doeltreffender aan dat doel zal bijdragen dan optreden op nationaal niveau.</w:t>
      </w:r>
    </w:p>
    <w:p w14:paraId="5451ADB5" w14:textId="77777777" w:rsidR="00D90005" w:rsidRPr="00557C2A" w:rsidRDefault="00D90005" w:rsidP="38BB7434">
      <w:pPr>
        <w:pBdr>
          <w:bar w:val="nil"/>
        </w:pBdr>
        <w:spacing w:before="0" w:after="240"/>
        <w:rPr>
          <w:rFonts w:eastAsia="Times New Roman"/>
          <w:noProof/>
          <w:szCs w:val="24"/>
        </w:rPr>
      </w:pPr>
      <w:r w:rsidRPr="00557C2A">
        <w:rPr>
          <w:i/>
          <w:noProof/>
        </w:rPr>
        <w:t>De behoefte aan EU-optreden</w:t>
      </w:r>
    </w:p>
    <w:p w14:paraId="5C81D8D0" w14:textId="77777777" w:rsidR="00542FCB" w:rsidRPr="00557C2A" w:rsidRDefault="00DF31C6" w:rsidP="38BB7434">
      <w:pPr>
        <w:pBdr>
          <w:bar w:val="nil"/>
        </w:pBdr>
        <w:spacing w:before="0" w:after="240"/>
        <w:rPr>
          <w:rFonts w:eastAsia="Times New Roman"/>
          <w:noProof/>
        </w:rPr>
      </w:pPr>
      <w:r w:rsidRPr="00557C2A">
        <w:rPr>
          <w:noProof/>
        </w:rPr>
        <w:t>Het zou niet kostenefficiënt zijn om de energiedoelstellingen van de EU te verwezenlijken zonder aanvullende maatregelen voor de uitrol van hernieuwbare energie op EU-niveau. Er is een EU-aanpak nodig om de lidstaten de juiste stimulansen te bieden om op gecoördineerde wijze de energietransitie naar een energie-efficiënter energiesysteem dat grotendeels gebaseerd is op hernieuwbare-energiebronnen, te versnellen. De herziene richtlijn hernieuwbare energie bevat reeds bepalingen inzake vergunningen voor hernieuwbare energie, opslag op één locatie, en bijbehorende netten. Voorts bevat de gasmarktrichtlijn reeds een bepaling met betrekking tot vergunningsprocedures die de vereisten vaststelt voor de vergunningverlening voor gas- en waterstofactiva. Tot slot bevat de elektriciteitsmarktrichtlijn een bepaling inzake vergunningsprocedures, maar deze heeft alleen betrekking op procedures voor nieuwe capaciteit. Er is EU-optreden nodig om dat regelgevingskader op gecoördineerde wijze verder te verbeteren, waarmee snellere vergunningsprocedures voor hernieuwbare energie, netten, opslag en laadstations tot stand komen en de afstemming tussen de lidstaten en de goede werking van de energie-unie worden gewaarborgd. Rekening houdend met de verschillen in energiebeleid tussen de lidstaten is de kans groter dat de klimaatdoelstelling van de EU en de benodigde grotere inzet van hernieuwbare-energiebronnen worden gerealiseerd met maatregelen op EU-niveau, ondersteund door het robuuste governancekader, dan met louter nationale of lokale maatregelen.</w:t>
      </w:r>
    </w:p>
    <w:p w14:paraId="7C677827" w14:textId="77777777" w:rsidR="00B01EA8" w:rsidRPr="00557C2A" w:rsidRDefault="00DC243D">
      <w:pPr>
        <w:pBdr>
          <w:top w:val="nil"/>
          <w:left w:val="nil"/>
          <w:bottom w:val="nil"/>
          <w:right w:val="nil"/>
          <w:between w:val="nil"/>
          <w:bar w:val="nil"/>
        </w:pBdr>
        <w:spacing w:before="0" w:after="240"/>
        <w:rPr>
          <w:rFonts w:eastAsia="Times New Roman"/>
          <w:noProof/>
        </w:rPr>
      </w:pPr>
      <w:r w:rsidRPr="00557C2A">
        <w:rPr>
          <w:i/>
          <w:noProof/>
        </w:rPr>
        <w:t>EU-meerwaarde</w:t>
      </w:r>
    </w:p>
    <w:p w14:paraId="28797325" w14:textId="77777777" w:rsidR="00C16D8E" w:rsidRPr="00557C2A" w:rsidRDefault="00D0175B" w:rsidP="00D0175B">
      <w:pPr>
        <w:pBdr>
          <w:top w:val="nil"/>
          <w:left w:val="nil"/>
          <w:bottom w:val="nil"/>
          <w:right w:val="nil"/>
          <w:between w:val="nil"/>
          <w:bar w:val="nil"/>
        </w:pBdr>
        <w:spacing w:before="0" w:after="240"/>
        <w:rPr>
          <w:rFonts w:eastAsia="Times New Roman"/>
          <w:noProof/>
        </w:rPr>
      </w:pPr>
      <w:r w:rsidRPr="00557C2A">
        <w:rPr>
          <w:noProof/>
        </w:rPr>
        <w:t>EU-maatregelen op het gebied van hernieuwbare energie uit hoofde van de herziene richtlijn hernieuwbare energie en met betrekking tot netten uit hoofde van de elektriciteitsmarktrichtlijn en de gasmarktrichtlijn leveren meerwaarde op omdat ze doelmatiger en doeltreffender zijn dan maatregelen van afzonderlijke lidstaten; doordat de transitie van het Europese energiesysteem op gecoördineerde wijze wordt aangepakt, wordt een versnipperde benadering voorkomen. Met die maatregelen worden een nettoreductie van broeikasgasemissies en vervuiling gewaarborgd, de biodiversiteit beschermd, de vruchten van de interne markt geplukt, de schaalvoordelen en de pluspunten van technologische samenwerking in Europa ten volle benut, en wordt beleggers zekerheid geboden in de vorm van een regelgevingskader voor de gehele EU. Door op EU-niveau op te treden, in combinatie met maatregelen op het niveau van de lidstaten, kunnen verschillende belemmeringen voor publieke en particuliere investeringen worden aangepakt, waardoor nationale en lokale maatregelen worden aangevuld en versterkt.</w:t>
      </w:r>
    </w:p>
    <w:p w14:paraId="56431966" w14:textId="77777777" w:rsidR="00B16763" w:rsidRPr="00557C2A" w:rsidRDefault="00B16763">
      <w:pPr>
        <w:pBdr>
          <w:top w:val="nil"/>
          <w:left w:val="nil"/>
          <w:bottom w:val="nil"/>
          <w:right w:val="nil"/>
          <w:between w:val="nil"/>
          <w:bar w:val="nil"/>
        </w:pBdr>
        <w:spacing w:before="0" w:after="240"/>
        <w:rPr>
          <w:rFonts w:eastAsia="Times New Roman"/>
          <w:noProof/>
          <w:szCs w:val="24"/>
        </w:rPr>
      </w:pPr>
      <w:r w:rsidRPr="00557C2A">
        <w:rPr>
          <w:noProof/>
        </w:rPr>
        <w:t>Het doel van het voorstel zou met nationale maatregelen niet in dezelfde mate kunnen worden bereikt. Tegelijkertijd geeft het de lidstaten ruime discretionaire bevoegdheid om de details van hun vergunningskaders te regelen. Het voorstel kent een top-downbenadering, maar handhaaft en versterkt ook de bevoegdheden op nationaal niveau en wordt daarom geacht in overeenstemming te zijn met het subsidiariteitsbeginsel.</w:t>
      </w:r>
    </w:p>
    <w:p w14:paraId="6732386B" w14:textId="77777777" w:rsidR="00542FCB" w:rsidRPr="00557C2A" w:rsidRDefault="00542FCB">
      <w:pPr>
        <w:pStyle w:val="ManualHeading2"/>
        <w:rPr>
          <w:rFonts w:eastAsia="Arial Unicode MS"/>
          <w:noProof/>
          <w:u w:color="000000"/>
          <w:bdr w:val="nil"/>
        </w:rPr>
      </w:pPr>
      <w:r w:rsidRPr="00557C2A">
        <w:rPr>
          <w:noProof/>
          <w:u w:color="000000"/>
          <w:bdr w:val="nil"/>
        </w:rPr>
        <w:t>•</w:t>
      </w:r>
      <w:r w:rsidRPr="00557C2A">
        <w:rPr>
          <w:noProof/>
        </w:rPr>
        <w:tab/>
      </w:r>
      <w:r w:rsidRPr="00557C2A">
        <w:rPr>
          <w:noProof/>
          <w:u w:color="000000"/>
          <w:bdr w:val="nil"/>
        </w:rPr>
        <w:t>Evenredigheid</w:t>
      </w:r>
    </w:p>
    <w:p w14:paraId="0CAB3CF6" w14:textId="77777777" w:rsidR="00FE4ED8" w:rsidRPr="00557C2A" w:rsidRDefault="0005740D">
      <w:pPr>
        <w:pBdr>
          <w:top w:val="nil"/>
          <w:left w:val="nil"/>
          <w:bottom w:val="nil"/>
          <w:right w:val="nil"/>
          <w:between w:val="nil"/>
          <w:bar w:val="nil"/>
        </w:pBdr>
        <w:spacing w:before="0" w:after="240"/>
        <w:rPr>
          <w:noProof/>
        </w:rPr>
      </w:pPr>
      <w:r w:rsidRPr="00557C2A">
        <w:rPr>
          <w:noProof/>
        </w:rPr>
        <w:t>Het initiatief is in overeenstemming met het evenredigheidsbeginsel. Gezien de aanhoudende geopolitieke onrust als gevolg van de Russische invasie in Oekraïne en de noodzaak om de energiezekerheid en het concurrentievermogen van de EU te vergroten, is er duidelijk behoefte aan verdere maatregelen om de inzet van hernieuwbare-energiebronnen en bijgevolg ook van elektriciteitsnetten en waterstofproductiefaciliteiten en waterstofsysteeminfrastructuur te versnellen. De voorgestelde maatregelen dragen bij tot een snellere en gerichtere ontwikkeling van energie-infrastructuur, hernieuwbare energie, opslag en laadstations, zonder dat dit aanzienlijke kosten met zich meebrengt voor systeembeheerders/projectontwikkelaars, lidstaten, nationale regulerende instanties en het Agentschap voor de samenwerking tussen energieregulators. Het evenwicht dat in het voorstel wordt gevonden tussen verplichtingen en flexibiliteit, die aan de lidstaten wordt gelaten wat betreft de wijze waarop de doelstellingen worden verwezenlijkt, wordt passend geacht gezien de noodzaak om de klimaat- en energiedoelstellingen voor 2030 en de in de Europese klimaatwet vastgestelde doelstelling van klimaatneutraliteit te halen, alsook gezien de dringende noodzaak om zowel de energieafhankelijkheid van de Unie als de energieprijzen te verminderen.</w:t>
      </w:r>
    </w:p>
    <w:p w14:paraId="204E65E9" w14:textId="5739E7DC" w:rsidR="00814D1A" w:rsidRPr="00557C2A" w:rsidRDefault="00814D1A">
      <w:pPr>
        <w:pBdr>
          <w:top w:val="nil"/>
          <w:left w:val="nil"/>
          <w:bottom w:val="nil"/>
          <w:right w:val="nil"/>
          <w:between w:val="nil"/>
          <w:bar w:val="nil"/>
        </w:pBdr>
        <w:spacing w:before="0" w:after="240"/>
        <w:rPr>
          <w:noProof/>
        </w:rPr>
      </w:pPr>
      <w:r w:rsidRPr="00557C2A">
        <w:rPr>
          <w:noProof/>
        </w:rPr>
        <w:t xml:space="preserve">Deze wijziging van Richtlijn (EU) 2018/2001 blijft beperkt tot wat noodzakelijk wordt geacht om de vergunningsprocedures met betrekking tot projecten op het gebied van hernieuwbare-energieproductie, transmissie- en distributienetten, opslag en laadstations verder te vereenvoudigen en te stroomlijnen en om de inzet van hernieuwbare energie en de integratie daarvan te versnellen. Wat de infrastructuurplanning betreft, zijn de wijzigingen in Richtlijn (EU) 2019/944 beperkt tot één enkel artikel, dat nauw verband houdt met het Uniebrede tienjarige netontwikkelingsplan en dus met de daarmee samenhangende wijzigingen in de TEN-E-verordening. De wijzigingen zijn bedoeld om de verbanden tussen de richtlijn en de TEN-E-verordening te verduidelijken en de bewoordingen in overeenstemming te brengen met de wijzigingen die zijn aangebracht in het gaspakket (Richtlijn (EU) 2024/1788). </w:t>
      </w:r>
    </w:p>
    <w:p w14:paraId="7AA86C7D" w14:textId="77777777" w:rsidR="00D92830" w:rsidRPr="00557C2A" w:rsidRDefault="00D92830">
      <w:pPr>
        <w:pBdr>
          <w:top w:val="nil"/>
          <w:left w:val="nil"/>
          <w:bottom w:val="nil"/>
          <w:right w:val="nil"/>
          <w:between w:val="nil"/>
          <w:bar w:val="nil"/>
        </w:pBdr>
        <w:spacing w:before="0" w:after="240"/>
        <w:rPr>
          <w:noProof/>
        </w:rPr>
      </w:pPr>
      <w:r w:rsidRPr="00557C2A">
        <w:rPr>
          <w:noProof/>
        </w:rPr>
        <w:t>In de effectbeoordeling is ook een specifieke punt over evenredigheid opgenomen (punt 7.4) voor alle opties die in overweging zijn genomen. Het voorstel is gebaseerd op beleidsoptie 2, die als evenredig met de aard van het probleem wordt beschouwd omdat zij gericht is op het stroomlijnen van de huidige procedures en het aanbieden van inhoudelijk nieuwe instrumenten die als doeltreffend worden beschouwd om de doelstellingen van dit initiatief te verwezenlijken.</w:t>
      </w:r>
    </w:p>
    <w:p w14:paraId="2A56F73D" w14:textId="77777777" w:rsidR="00542FCB" w:rsidRPr="00557C2A" w:rsidRDefault="00542FCB" w:rsidP="00557C2A">
      <w:pPr>
        <w:pStyle w:val="ManualHeading2"/>
        <w:rPr>
          <w:rFonts w:eastAsia="Arial Unicode MS"/>
          <w:noProof/>
          <w:u w:color="000000"/>
          <w:bdr w:val="nil"/>
        </w:rPr>
      </w:pPr>
      <w:r w:rsidRPr="00557C2A">
        <w:rPr>
          <w:noProof/>
          <w:u w:color="000000"/>
          <w:bdr w:val="nil"/>
        </w:rPr>
        <w:t>•</w:t>
      </w:r>
      <w:r w:rsidRPr="00557C2A">
        <w:rPr>
          <w:noProof/>
        </w:rPr>
        <w:tab/>
      </w:r>
      <w:r w:rsidRPr="00557C2A">
        <w:rPr>
          <w:noProof/>
          <w:u w:color="000000"/>
          <w:bdr w:val="nil"/>
        </w:rPr>
        <w:t>Keuze van het instrument</w:t>
      </w:r>
    </w:p>
    <w:p w14:paraId="6557B480" w14:textId="77777777" w:rsidR="00AB3F54" w:rsidRPr="00557C2A" w:rsidRDefault="0686B81C" w:rsidP="00557C2A">
      <w:pPr>
        <w:keepNext/>
        <w:pBdr>
          <w:top w:val="nil"/>
          <w:left w:val="nil"/>
          <w:bottom w:val="nil"/>
          <w:right w:val="nil"/>
          <w:between w:val="nil"/>
          <w:bar w:val="nil"/>
        </w:pBdr>
        <w:spacing w:before="0" w:after="240"/>
        <w:rPr>
          <w:noProof/>
        </w:rPr>
      </w:pPr>
      <w:r w:rsidRPr="00557C2A">
        <w:rPr>
          <w:noProof/>
        </w:rPr>
        <w:t>Dit voorstel betreft een richtlijn tot wijziging van de volgende richtlijnen:</w:t>
      </w:r>
    </w:p>
    <w:p w14:paraId="70B48E6E" w14:textId="5FAD95CA" w:rsidR="00542FCB" w:rsidRPr="00557C2A" w:rsidRDefault="0686B81C" w:rsidP="00CB0269">
      <w:pPr>
        <w:pStyle w:val="Tiret1"/>
        <w:numPr>
          <w:ilvl w:val="0"/>
          <w:numId w:val="29"/>
        </w:numPr>
        <w:rPr>
          <w:noProof/>
        </w:rPr>
      </w:pPr>
      <w:r w:rsidRPr="00557C2A">
        <w:rPr>
          <w:noProof/>
        </w:rPr>
        <w:t xml:space="preserve">Richtlijn (EU) 2018/2001 ter bevordering van het gebruik van energie uit hernieuwbare bronnen, waarbij de bepalingen van die richtlijn met betrekking tot vergunningen worden versterkt (artikel 2, artikelen 15 quater en 15 quinquies, artikelen 16 en 17). </w:t>
      </w:r>
    </w:p>
    <w:p w14:paraId="59C8FC6F" w14:textId="77777777" w:rsidR="0686B81C" w:rsidRPr="00557C2A" w:rsidRDefault="0686B81C" w:rsidP="00C0453A">
      <w:pPr>
        <w:pStyle w:val="Tiret1"/>
        <w:rPr>
          <w:noProof/>
        </w:rPr>
      </w:pPr>
      <w:r w:rsidRPr="00557C2A">
        <w:rPr>
          <w:noProof/>
        </w:rPr>
        <w:t>Richtlijn 2019/944/EU betreffende gemeenschappelijke regels voor de interne markt voor elektriciteit, waarbij de bepaling inzake vergunningsprocedures (artikel 8) wordt versterkt met specifieke maatregelen om de vergunningverlening te versnellen, en maatregelen worden ingevoerd voor de identificatie van alternatieve oplossingen en de invoering van compenserende maatregelen bij de toepassing van de afwijking overeenkomstig de Richtlijnen 92/43/EEG, 2000/60/EG en 2009/147/EG (artikel 8 bis).</w:t>
      </w:r>
    </w:p>
    <w:p w14:paraId="0E890C83" w14:textId="77777777" w:rsidR="005D3CBC" w:rsidRPr="00557C2A" w:rsidRDefault="00B87BFB" w:rsidP="00C0453A">
      <w:pPr>
        <w:pStyle w:val="Tiret1"/>
        <w:rPr>
          <w:noProof/>
        </w:rPr>
      </w:pPr>
      <w:r w:rsidRPr="00557C2A">
        <w:rPr>
          <w:noProof/>
        </w:rPr>
        <w:t xml:space="preserve">Richtlijn 2024/1788/EU betreffende gemeenschappelijke regels voor de interne markten voor hernieuwbaar gas, aardgas en waterstof, waarbij wordt gezorgd voor consistentie tussen de bepalingen inzake vergunningsprocedures (artikel 8) en die van Richtlijn 2019/944/EU. </w:t>
      </w:r>
    </w:p>
    <w:p w14:paraId="3AB1BD6E" w14:textId="77777777" w:rsidR="00DE70CC" w:rsidRPr="00557C2A" w:rsidRDefault="00DE70CC">
      <w:pPr>
        <w:pBdr>
          <w:top w:val="nil"/>
          <w:left w:val="nil"/>
          <w:bottom w:val="nil"/>
          <w:right w:val="nil"/>
          <w:between w:val="nil"/>
          <w:bar w:val="nil"/>
        </w:pBdr>
        <w:spacing w:before="0" w:after="240"/>
        <w:rPr>
          <w:rFonts w:eastAsia="Arial Unicode MS"/>
          <w:noProof/>
        </w:rPr>
      </w:pPr>
    </w:p>
    <w:p w14:paraId="4FBCF582" w14:textId="77777777" w:rsidR="00542FCB" w:rsidRPr="00557C2A" w:rsidRDefault="00542FCB">
      <w:pPr>
        <w:pStyle w:val="ManualHeading1"/>
        <w:rPr>
          <w:noProof/>
        </w:rPr>
      </w:pPr>
      <w:r w:rsidRPr="00557C2A">
        <w:rPr>
          <w:noProof/>
        </w:rPr>
        <w:t>3.</w:t>
      </w:r>
      <w:r w:rsidRPr="00557C2A">
        <w:rPr>
          <w:noProof/>
        </w:rPr>
        <w:tab/>
        <w:t>EVALUATIE, RAADPLEGING VAN BELANGHEBBENDEN EN EFFECTBEOORDELING</w:t>
      </w:r>
    </w:p>
    <w:p w14:paraId="1F23602F" w14:textId="77777777" w:rsidR="00542FCB" w:rsidRPr="00557C2A" w:rsidRDefault="00542FCB">
      <w:pPr>
        <w:pStyle w:val="ManualHeading2"/>
        <w:rPr>
          <w:rFonts w:eastAsia="Arial Unicode MS"/>
          <w:noProof/>
          <w:u w:color="000000"/>
          <w:bdr w:val="nil"/>
        </w:rPr>
      </w:pPr>
      <w:r w:rsidRPr="00557C2A">
        <w:rPr>
          <w:noProof/>
          <w:u w:color="000000"/>
          <w:bdr w:val="nil"/>
        </w:rPr>
        <w:t>•</w:t>
      </w:r>
      <w:r w:rsidRPr="00557C2A">
        <w:rPr>
          <w:noProof/>
        </w:rPr>
        <w:tab/>
      </w:r>
      <w:r w:rsidRPr="00557C2A">
        <w:rPr>
          <w:noProof/>
          <w:u w:color="000000"/>
          <w:bdr w:val="nil"/>
        </w:rPr>
        <w:t>Evaluatie van bestaande wetgeving en controle van de resultaatgerichtheid ervan</w:t>
      </w:r>
    </w:p>
    <w:p w14:paraId="2B2DAA64" w14:textId="77777777" w:rsidR="00542FCB" w:rsidRPr="00557C2A" w:rsidRDefault="00994173">
      <w:pPr>
        <w:pBdr>
          <w:top w:val="nil"/>
          <w:left w:val="nil"/>
          <w:bottom w:val="nil"/>
          <w:right w:val="nil"/>
          <w:between w:val="nil"/>
          <w:bar w:val="nil"/>
        </w:pBdr>
        <w:spacing w:before="0" w:after="240"/>
        <w:rPr>
          <w:rFonts w:eastAsia="Arial Unicode MS"/>
          <w:noProof/>
        </w:rPr>
      </w:pPr>
      <w:r w:rsidRPr="00557C2A">
        <w:rPr>
          <w:noProof/>
        </w:rPr>
        <w:t xml:space="preserve">Vanwege het gerichte karakter van de voorgestelde wijzigingen en de recente wijziging van Richtlijn (EU) 2018/2001 in 2023, was het niet haalbaar om een evaluatie achteraf uit te voeren. In de effectbeoordeling is een uitvoeringsverslag opgenomen, dat is gericht op de belangrijkste bepalingen inzake vergunningen die ook deel uitmaken van dit voorstel. De termijn voor de lidstaten om de bepalingen van deze richtlijn met betrekking tot planning en vergunningverlening om te zetten, is grotendeels vastgesteld voor juli 2024, maar ook voor mei 2025 (de artikelen 15 ter, 15 quater en 16 bis), waarbij de uitvoeringsdatum voor de aanwijzing van gebieden voor de versnelde uitrol van hernieuwbare energie is vastgesteld op 21 februari 2026. Het verslag bevatte daarom voorlopige resultaten die via lopende contracten over de omzetting en uitvoering van het vergunningskader waren verzameld. Uit de feedback van belanghebbenden blijkt dat zelfs in lidstaten waar het bestaande kader is omgezet en wordt uitgevoerd, er nog steeds knelpunten zijn die een snelle vergunningverlening en uitvoering belemmeren. Daarom hebben de voorgestelde maatregelen voornamelijk betrekking op kwesties die niet of slechts gedeeltelijk aan de orde komen in de wijziging van 2023, en vormen zij dus een aanvulling op de bestaande maatregelen, met in de meeste gevallen beperkte wijzigingen in het bestaande kader. </w:t>
      </w:r>
    </w:p>
    <w:p w14:paraId="11EE8477" w14:textId="77777777" w:rsidR="00542FCB" w:rsidRPr="00557C2A" w:rsidRDefault="00542FCB">
      <w:pPr>
        <w:pStyle w:val="ManualHeading2"/>
        <w:rPr>
          <w:rFonts w:eastAsia="Arial Unicode MS"/>
          <w:noProof/>
          <w:u w:color="000000"/>
          <w:bdr w:val="nil"/>
        </w:rPr>
      </w:pPr>
      <w:r w:rsidRPr="00557C2A">
        <w:rPr>
          <w:noProof/>
          <w:u w:color="000000"/>
          <w:bdr w:val="nil"/>
        </w:rPr>
        <w:t>•</w:t>
      </w:r>
      <w:r w:rsidRPr="00557C2A">
        <w:rPr>
          <w:noProof/>
        </w:rPr>
        <w:tab/>
      </w:r>
      <w:r w:rsidRPr="00557C2A">
        <w:rPr>
          <w:noProof/>
          <w:u w:color="000000"/>
          <w:bdr w:val="nil"/>
        </w:rPr>
        <w:t>Raadpleging van belanghebbenden</w:t>
      </w:r>
    </w:p>
    <w:p w14:paraId="065C7D4F" w14:textId="77777777" w:rsidR="00E66A9A" w:rsidRPr="00557C2A" w:rsidRDefault="00B36073" w:rsidP="00833623">
      <w:pPr>
        <w:rPr>
          <w:noProof/>
        </w:rPr>
      </w:pPr>
      <w:r w:rsidRPr="00557C2A">
        <w:rPr>
          <w:noProof/>
        </w:rPr>
        <w:t xml:space="preserve">In overeenstemming met de richtsnoeren voor betere regelgeving heeft de Commissie tussen 13 mei en 5 augustus 2025 online een uitgebreide openbare raadpleging gehouden op de website “Geef uw mening”. De raadpleging had betrekking op de volgende onderwerpen: i) de algemene werking van de TEN-E-verordening; ii) EU-infrastructuurplanning; iii) elektriciteitsnetplanning op nationaal niveau; iv) hostingcapaciteit van het elektriciteitsnet; v) vergunningverlening; vi) investeringen in netinfrastructuur; vii) toeleveringsketens; viii) digitalisering en veerkracht; en ix) vereenvoudiging. </w:t>
      </w:r>
    </w:p>
    <w:p w14:paraId="253FFC65" w14:textId="77777777" w:rsidR="00B36073" w:rsidRPr="00557C2A" w:rsidRDefault="00E66A9A" w:rsidP="00833623">
      <w:pPr>
        <w:rPr>
          <w:noProof/>
        </w:rPr>
      </w:pPr>
      <w:r w:rsidRPr="00557C2A">
        <w:rPr>
          <w:noProof/>
        </w:rPr>
        <w:t xml:space="preserve">De raadpleging leverde in totaal 197 reacties op. Daarnaast kwamen er twee e-mails binnen via een functionele mailbox voor de raadpleging. Er waren 197 reacties op elke meerkeuzevraag in de openbare raadpleging, wat betekent dat elke respondent elke vraag heeft beantwoord. Voor sommige vragen werd de respondenten gevraagd op een vijfpuntsschaal aan te geven in hoeverre zij het eens of oneens waren met de stellingen. De schaal was i) zeer oneens; ii) enigszins oneens; iii) neutraal; iv) eens; v) zeer eens. Er was ook een optie “Weet ik niet”.  </w:t>
      </w:r>
    </w:p>
    <w:p w14:paraId="22C2671D" w14:textId="77777777" w:rsidR="00F36E7A" w:rsidRPr="00557C2A" w:rsidRDefault="00F36E7A" w:rsidP="00833623">
      <w:pPr>
        <w:rPr>
          <w:noProof/>
        </w:rPr>
      </w:pPr>
      <w:r w:rsidRPr="00557C2A">
        <w:rPr>
          <w:noProof/>
        </w:rPr>
        <w:t xml:space="preserve">Ongeveer een derde van de respondenten (34 %; bedrijven 36 %, brancheorganisaties 37 %, ngo’s 14 %, overheidsinstanties 10 %) gaf aan dat de vergunningsbepalingen van de TEN-E-verordening niet duidelijk en niet gemakkelijk uitvoerbaar zijn, terwijl 16 % neutraal was en 34 % twijfelde. Een grote meerderheid van 83 % (bedrijven 92 %, brancheorganisaties 83 %, ngo’s 29 %, overheidsinstanties 70 %) was voorstander van vereenvoudiging en stroomlijning van milieubeoordelingen (slechts 5 % was neutraal en 5 % twijfelde). Evenzo was 82 % van de respondenten (bedrijven 83 %, brancheorganisaties 81 %, ngo’s 79 %, overheidsinstanties 80 %) het ermee eens dat vergunningsprocedures volledig moeten worden gedigitaliseerd (slechts 7 % was neutraal en 9 % twijfelde). Daarnaast was 77 % van de respondenten (bedrijven 78 %, brancheorganisaties 85 %, ngo’s 50 %, overheidsinstanties 70 %) het ermee eens dat de termijnen voor het verlenen van netvergunningen moeten worden verkort of moeten worden vastgesteld waar zij ontbreken, terwijl slechts 7 % neutraal was en 9 % twijfelde. </w:t>
      </w:r>
    </w:p>
    <w:p w14:paraId="16FA94C3" w14:textId="77777777" w:rsidR="00F36E7A" w:rsidRPr="00557C2A" w:rsidRDefault="00F36E7A" w:rsidP="00833623">
      <w:pPr>
        <w:rPr>
          <w:noProof/>
        </w:rPr>
      </w:pPr>
      <w:r w:rsidRPr="00557C2A">
        <w:rPr>
          <w:noProof/>
        </w:rPr>
        <w:t>Bovendien was 64 % van de respondenten het ermee eens dat vergunningsprocedures voor opslagactiva moeten worden vereenvoudigd (bedrijven 59 %, brancheorganisaties 81 %, ngo’s 50 %, overheidsinstanties 70 %), terwijl 13 % neutraal bleef en 18 % twijfelde. Een iets hoger percentage (69 %) was voorstander van het vereenvoudigen van vergunningsprocedures voor distributienetprojecten, kleinschalige hernieuwbare-energieprojecten en activiteiten zoals herbestemming, renovatie en repowering (bedrijven 67 %, brancheorganisaties 80 %, ngo’s 50 %, overheidsinstanties 60 %), terwijl 8 % neutraal was en 19 % twijfelde. Ook was 71 % het ermee eens dat vergunningsprocedures voor hybride projecten (projecten waarbij verschillende technologieën, waaronder opslag, worden gecombineerd) en andere innovatieve oplossingen moeten worden vereenvoudigd (bedrijven 72 %, brancheorganisaties 85 %, ngo’s 43 %, overheidsinstanties 60 %), terwijl 11 % neutraal was en 14 % twijfelde.</w:t>
      </w:r>
    </w:p>
    <w:p w14:paraId="2629AC6C" w14:textId="77777777" w:rsidR="004A4123" w:rsidRPr="00557C2A" w:rsidRDefault="00D5201E" w:rsidP="00833623">
      <w:pPr>
        <w:rPr>
          <w:noProof/>
        </w:rPr>
      </w:pPr>
      <w:r w:rsidRPr="00557C2A">
        <w:rPr>
          <w:noProof/>
        </w:rPr>
        <w:t>Tegelijkertijd zijn twee openbare uitvoeringsdialogen gehouden, één over milieubeoordelingen en vergunningverlening door commissaris Jessika Roswall</w:t>
      </w:r>
      <w:r w:rsidRPr="00557C2A">
        <w:rPr>
          <w:rStyle w:val="FootnoteReference"/>
          <w:noProof/>
          <w:szCs w:val="24"/>
        </w:rPr>
        <w:footnoteReference w:id="20"/>
      </w:r>
      <w:r w:rsidRPr="00557C2A">
        <w:rPr>
          <w:noProof/>
        </w:rPr>
        <w:t>, en één over vergunningverlening voor hernieuwbare-energieprojecten en aanverwante infrastructuur door commissaris Jørgensen</w:t>
      </w:r>
      <w:r w:rsidRPr="00557C2A">
        <w:rPr>
          <w:rStyle w:val="FootnoteReference"/>
          <w:noProof/>
          <w:szCs w:val="24"/>
        </w:rPr>
        <w:footnoteReference w:id="21"/>
      </w:r>
      <w:r w:rsidRPr="00557C2A">
        <w:rPr>
          <w:noProof/>
        </w:rPr>
        <w:t xml:space="preserve">. In beide dialogen wezen de belanghebbenden op de noodzaak om de vergunningverlening te vereenvoudigen, met name in verband met milieubeoordelingen, en om de inspanningen voor de uitvoering van de huidige EU-wetgeving en de verspreiding van goede praktijken op te voeren. In de uitvoeringsdialoog van commissaris Jørgensen werd ook gewezen op de noodzaak om de </w:t>
      </w:r>
      <w:r w:rsidRPr="00557C2A">
        <w:rPr>
          <w:b/>
          <w:bCs/>
          <w:noProof/>
        </w:rPr>
        <w:t>procedures verder te vereenvoudigen</w:t>
      </w:r>
      <w:r w:rsidRPr="00557C2A">
        <w:rPr>
          <w:noProof/>
        </w:rPr>
        <w:t xml:space="preserve"> (met name voor kleinschalige projecten, opslag en repowering), het beginsel van het </w:t>
      </w:r>
      <w:r w:rsidRPr="00557C2A">
        <w:rPr>
          <w:b/>
          <w:bCs/>
          <w:noProof/>
        </w:rPr>
        <w:t>hoger openbaar belang</w:t>
      </w:r>
      <w:r w:rsidRPr="00557C2A">
        <w:rPr>
          <w:noProof/>
        </w:rPr>
        <w:t xml:space="preserve"> uit te breiden, </w:t>
      </w:r>
      <w:r w:rsidRPr="00557C2A">
        <w:rPr>
          <w:b/>
          <w:bCs/>
          <w:noProof/>
        </w:rPr>
        <w:t>gerichte vrijstellingen</w:t>
      </w:r>
      <w:r w:rsidRPr="00557C2A">
        <w:rPr>
          <w:noProof/>
        </w:rPr>
        <w:t xml:space="preserve"> van specifieke EU-wetgeving in te voeren, de </w:t>
      </w:r>
      <w:r w:rsidRPr="00557C2A">
        <w:rPr>
          <w:b/>
          <w:bCs/>
          <w:noProof/>
        </w:rPr>
        <w:t>digitalisering</w:t>
      </w:r>
      <w:r w:rsidRPr="00557C2A">
        <w:rPr>
          <w:noProof/>
        </w:rPr>
        <w:t xml:space="preserve"> van vergunningsprocedures te versnellen en de </w:t>
      </w:r>
      <w:r w:rsidRPr="00557C2A">
        <w:rPr>
          <w:b/>
          <w:bCs/>
          <w:noProof/>
        </w:rPr>
        <w:t>beschikbaarheid van gegevens</w:t>
      </w:r>
      <w:r w:rsidRPr="00557C2A">
        <w:rPr>
          <w:noProof/>
        </w:rPr>
        <w:t xml:space="preserve"> te verbeteren.</w:t>
      </w:r>
    </w:p>
    <w:p w14:paraId="27C86BD3" w14:textId="77777777" w:rsidR="001B0B58" w:rsidRPr="00557C2A" w:rsidRDefault="001B0B58" w:rsidP="00833623">
      <w:pPr>
        <w:rPr>
          <w:noProof/>
        </w:rPr>
      </w:pPr>
      <w:r w:rsidRPr="00557C2A">
        <w:rPr>
          <w:noProof/>
        </w:rPr>
        <w:t>Bovendien bevatte een recent verslag over de staat van de regio’s en steden</w:t>
      </w:r>
      <w:r w:rsidRPr="00557C2A">
        <w:rPr>
          <w:rStyle w:val="FootnoteReference"/>
          <w:noProof/>
          <w:szCs w:val="24"/>
        </w:rPr>
        <w:footnoteReference w:id="22"/>
      </w:r>
      <w:r w:rsidRPr="00557C2A">
        <w:rPr>
          <w:noProof/>
        </w:rPr>
        <w:t xml:space="preserve"> een verzoek van de regio’s en steden aan Europa om de vergunningverlening voor hernieuwbare energie te versnellen, waarbij zij administratieve vertragingen aanvoerden als een van de belangrijkste resterende belemmeringen voor een tijdige uitrol.</w:t>
      </w:r>
      <w:r w:rsidRPr="00557C2A">
        <w:rPr>
          <w:i/>
          <w:noProof/>
        </w:rPr>
        <w:t xml:space="preserve"> </w:t>
      </w:r>
      <w:r w:rsidRPr="00557C2A">
        <w:rPr>
          <w:noProof/>
        </w:rPr>
        <w:t>Tegelijkertijd vroegen zij om de ontwikkeling van een geharmoniseerd EU-breed digitaal vergunningstelsel, dat volgens hen de bureaucratie vermindert en snellere lokale goedkeuring ondersteunt, wat aansluit bij ons voorstel voor verdere digitalisering en centralisatie van de vergunningsprocedures.</w:t>
      </w:r>
    </w:p>
    <w:p w14:paraId="4EDD4728" w14:textId="77777777" w:rsidR="00923DE2" w:rsidRPr="00557C2A" w:rsidRDefault="00923DE2" w:rsidP="00833623">
      <w:pPr>
        <w:rPr>
          <w:noProof/>
        </w:rPr>
      </w:pPr>
      <w:r w:rsidRPr="00557C2A">
        <w:rPr>
          <w:noProof/>
        </w:rPr>
        <w:t>Deze antwoorden bevestigden de noodzaak om maatregelen te nemen teneinde de vergunningsprocedures te vereenvoudigen en te versnellen. De ontvangen feedback komt goed tot uiting in het voorstel, dat ingaat op de bovengenoemde kwesties, waarvoor een groot deel van de respondenten wees op de noodzaak tot vereenvoudiging, versnelling en digitalisering van  de vergunningsprocedure.</w:t>
      </w:r>
    </w:p>
    <w:p w14:paraId="19FFAAA4" w14:textId="77777777" w:rsidR="00542FCB" w:rsidRPr="00557C2A" w:rsidRDefault="00542FCB">
      <w:pPr>
        <w:pStyle w:val="ManualHeading2"/>
        <w:rPr>
          <w:rFonts w:eastAsia="Arial Unicode MS"/>
          <w:noProof/>
          <w:u w:color="000000"/>
          <w:bdr w:val="nil"/>
        </w:rPr>
      </w:pPr>
      <w:r w:rsidRPr="00557C2A">
        <w:rPr>
          <w:noProof/>
          <w:u w:color="000000"/>
          <w:bdr w:val="nil"/>
        </w:rPr>
        <w:t>•</w:t>
      </w:r>
      <w:r w:rsidRPr="00557C2A">
        <w:rPr>
          <w:noProof/>
        </w:rPr>
        <w:tab/>
      </w:r>
      <w:r w:rsidRPr="00557C2A">
        <w:rPr>
          <w:noProof/>
          <w:u w:color="000000"/>
          <w:bdr w:val="nil"/>
        </w:rPr>
        <w:t>Bijeenbrengen en gebruik van expertise</w:t>
      </w:r>
    </w:p>
    <w:p w14:paraId="004218A5" w14:textId="77777777" w:rsidR="004A389E" w:rsidRPr="00557C2A" w:rsidRDefault="004A389E" w:rsidP="00833623">
      <w:pPr>
        <w:rPr>
          <w:noProof/>
        </w:rPr>
      </w:pPr>
      <w:r w:rsidRPr="00557C2A">
        <w:rPr>
          <w:noProof/>
        </w:rPr>
        <w:t>De Commissie heeft deze analyse met behulp van verschillende informatiekanalen uitgevoerd. Ter voorbereiding van het uitvoeringsverslag dat als bijlage bij de effectbeoordeling is gevoegd, is een theoretische juridische en beleidsanalyse uitgevoerd. Ten eerste heeft de Commissie ook de ervaringen in aanmerking genomen die de lidstaten hebben met de uitvoering van de bepalingen inzake vergunningverlening in het kader van de richtlijn hernieuwbare energie. Deze zijn verzameld door middel van een specifieke studie over “Technische ondersteuning voor de ontwikkeling en uitvoering van het beleid inzake hernieuwbare-energiebronnen — Vereenvoudiging van de vergunnings- en administratieve procedures voor installaties voor hernieuwbare-energiebronnen (“RES Simplify)”</w:t>
      </w:r>
      <w:r w:rsidRPr="00557C2A">
        <w:rPr>
          <w:rStyle w:val="FootnoteReference"/>
          <w:noProof/>
        </w:rPr>
        <w:footnoteReference w:id="23"/>
      </w:r>
      <w:r w:rsidRPr="00557C2A">
        <w:rPr>
          <w:noProof/>
        </w:rPr>
        <w:t>, die in april 2023 is gepubliceerd. Naast de relevante wetgevingsdocumenten was de belangrijkste bron het eigen werk van de Commissie met betrekking tot de uitvoering van het vergunningsgedeelte van de herziene richtlijn hernieuwbare energie, onder meer door middel van omzettingscontroles. De voortgang van de omzettingscontroles werd in juni 2025 samengevat in het eerste voortgangsverslag dat bij de Commissie is ingediend in het kader van het specifieke lopende contract “Legal assistance to check Member States' transposition of the amending Directive (EU) 2023/2413 of the European Parliament and of the Council of 18 October 2023” (Juridische bijstand voor de controle van de omzetting door de lidstaten van Richtlijn (EU) 2023/2413 van het Europees Parlement en de Raad van 18 oktober 2023”. Voorts is in de analyse rekening gehouden met de bevindingen van de lopende studie “Monitoring progress of measures to streamline permit-granting procedures under revised RED and Emergency Regulation and development of permitting-related KPIs” (Monitoring van de voortgang van maatregelen voor de stroomlijning van vergunningsprocedures in het kader van de herziene richtlijn hernieuwbare energie en de noodverordening en ontwikkeling van vergunningsgerelateerde KPI’s), en het eerste tussentijdse verslag daarvan dat de Commissie in juli 2025 heeft ontvangen, alsmede de studie over het toezicht op de uitvoering van de aanbeveling van de Commissie voor de versnelling van vergunningsprocedures</w:t>
      </w:r>
      <w:r w:rsidRPr="00557C2A">
        <w:rPr>
          <w:rStyle w:val="FootnoteReference"/>
          <w:noProof/>
        </w:rPr>
        <w:footnoteReference w:id="24"/>
      </w:r>
      <w:r w:rsidRPr="00557C2A">
        <w:rPr>
          <w:noProof/>
        </w:rPr>
        <w:t>. Daarnaast werd dit verslag aangevuld met de resultaten van de besprekingen die vanaf april 2023 tijdens zes vergaderingen van de deskundigengroep voor vergunningverlening voor hernieuwbare energie en één bijeenkomst met belanghebbenden zijn gevoerd, de resultaten van de besprekingen over de uitvoering van de bepalingen inzake vergunningverlening in het kader van de gecoördineerde actie inzake de richtlijn hernieuwbare energie (CA-RES</w:t>
      </w:r>
      <w:r w:rsidRPr="00557C2A">
        <w:rPr>
          <w:rStyle w:val="FootnoteReference"/>
          <w:noProof/>
        </w:rPr>
        <w:footnoteReference w:id="25"/>
      </w:r>
      <w:r w:rsidRPr="00557C2A">
        <w:rPr>
          <w:noProof/>
        </w:rPr>
        <w:t>), en de conclusies van de uitvoeringsdialoog met commissaris Jørgensen over vergunningen voor hernieuwbare-energieprojecten en aanverwante infrastructuur van juni 2025</w:t>
      </w:r>
      <w:r w:rsidRPr="00557C2A">
        <w:rPr>
          <w:rStyle w:val="FootnoteReference"/>
          <w:noProof/>
        </w:rPr>
        <w:footnoteReference w:id="26"/>
      </w:r>
      <w:r w:rsidRPr="00557C2A">
        <w:rPr>
          <w:noProof/>
        </w:rPr>
        <w:t xml:space="preserve">. Wat de vergunningsprocedures voor energie-infrastructuur betreft, zijn deze beoordeeld in het kader van de </w:t>
      </w:r>
      <w:r w:rsidRPr="00557C2A">
        <w:rPr>
          <w:i/>
          <w:iCs/>
          <w:noProof/>
        </w:rPr>
        <w:t>Study on national permit granting process applicable to energy transmission infrastructure projects with a focus on projects of common interest and projects of mutual interest under Chapter III of Regulation (EU) 2022/869</w:t>
      </w:r>
      <w:r w:rsidRPr="00557C2A">
        <w:rPr>
          <w:noProof/>
        </w:rPr>
        <w:t xml:space="preserve"> (Studie over het nationale vergunningsverleningsproces voor energie-infrastructuurprojecten, met bijzondere aandacht voor projecten van gemeenschappelijk belang en projecten van wederzijds belang in de zin van hoofdstuk III van Verordening (EU) 2022/869), die in opdracht van de Commissie werd uitgevoerd en begin 2025 is gepubliceerd</w:t>
      </w:r>
      <w:r w:rsidRPr="00557C2A">
        <w:rPr>
          <w:rStyle w:val="FootnoteReference"/>
          <w:noProof/>
          <w:szCs w:val="24"/>
        </w:rPr>
        <w:footnoteReference w:id="27"/>
      </w:r>
      <w:r w:rsidRPr="00557C2A">
        <w:rPr>
          <w:noProof/>
        </w:rPr>
        <w:t>. In deze studie zijn lacunes vastgesteld die moeten worden aangepakt om een uniform en efficiënt vergunningskader te faciliteren dat de tijdige uitvoering van essentiële infrastructuurprojecten ondersteunt, evenals andere tekortkomingen met betrekking tot milieubeoordelingen, de duidelijkheid van procedures en de aanvaarding door het publiek.</w:t>
      </w:r>
    </w:p>
    <w:p w14:paraId="02B814DD" w14:textId="77777777" w:rsidR="00542FCB" w:rsidRPr="00557C2A" w:rsidRDefault="00542FCB">
      <w:pPr>
        <w:pStyle w:val="ManualHeading2"/>
        <w:rPr>
          <w:rFonts w:eastAsia="Arial Unicode MS"/>
          <w:noProof/>
          <w:u w:color="000000"/>
          <w:bdr w:val="nil"/>
        </w:rPr>
      </w:pPr>
      <w:r w:rsidRPr="00557C2A">
        <w:rPr>
          <w:noProof/>
          <w:u w:color="000000"/>
          <w:bdr w:val="nil"/>
        </w:rPr>
        <w:t>•</w:t>
      </w:r>
      <w:r w:rsidRPr="00557C2A">
        <w:rPr>
          <w:noProof/>
        </w:rPr>
        <w:tab/>
      </w:r>
      <w:r w:rsidRPr="00557C2A">
        <w:rPr>
          <w:noProof/>
          <w:u w:color="000000"/>
          <w:bdr w:val="nil"/>
        </w:rPr>
        <w:t>Effectbeoordeling</w:t>
      </w:r>
    </w:p>
    <w:p w14:paraId="6B050820" w14:textId="77777777" w:rsidR="00542FCB" w:rsidRPr="00557C2A" w:rsidRDefault="00DD6F04">
      <w:pPr>
        <w:pBdr>
          <w:top w:val="nil"/>
          <w:left w:val="nil"/>
          <w:bottom w:val="nil"/>
          <w:right w:val="nil"/>
          <w:between w:val="nil"/>
          <w:bar w:val="nil"/>
        </w:pBdr>
        <w:spacing w:before="0" w:after="240"/>
        <w:rPr>
          <w:noProof/>
        </w:rPr>
      </w:pPr>
      <w:r w:rsidRPr="00557C2A">
        <w:rPr>
          <w:noProof/>
        </w:rPr>
        <w:t xml:space="preserve">Voor dit voorstel is een effectbeoordeling opgesteld en is een positief advies met opmerkingen ontvangen van de Raad voor regelgevingstoetsing (RSB/RM/cdd — rsb(2025)9584707). </w:t>
      </w:r>
    </w:p>
    <w:p w14:paraId="3B15916D" w14:textId="77777777" w:rsidR="0089155B" w:rsidRPr="00557C2A" w:rsidRDefault="00E75997" w:rsidP="0089155B">
      <w:pPr>
        <w:pBdr>
          <w:top w:val="nil"/>
          <w:left w:val="nil"/>
          <w:bottom w:val="nil"/>
          <w:right w:val="nil"/>
          <w:between w:val="nil"/>
          <w:bar w:val="nil"/>
        </w:pBdr>
        <w:spacing w:before="0" w:after="240"/>
        <w:rPr>
          <w:noProof/>
          <w:szCs w:val="24"/>
        </w:rPr>
      </w:pPr>
      <w:r w:rsidRPr="00557C2A">
        <w:rPr>
          <w:noProof/>
        </w:rPr>
        <w:t>Er zijn drie opties beoordeeld (zie onderstaande tabel):</w:t>
      </w:r>
    </w:p>
    <w:tbl>
      <w:tblPr>
        <w:tblW w:w="8550" w:type="dxa"/>
        <w:tblInd w:w="10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880"/>
        <w:gridCol w:w="645"/>
        <w:gridCol w:w="5025"/>
      </w:tblGrid>
      <w:tr w:rsidR="00B838C9" w:rsidRPr="00557C2A" w14:paraId="373BAD5D" w14:textId="77777777" w:rsidTr="00B838C9">
        <w:trPr>
          <w:trHeight w:val="285"/>
        </w:trPr>
        <w:tc>
          <w:tcPr>
            <w:tcW w:w="2880" w:type="dxa"/>
            <w:vMerge w:val="restart"/>
            <w:tcBorders>
              <w:top w:val="single" w:sz="6" w:space="0" w:color="auto"/>
              <w:left w:val="single" w:sz="6" w:space="0" w:color="auto"/>
              <w:bottom w:val="single" w:sz="6" w:space="0" w:color="auto"/>
              <w:right w:val="single" w:sz="6" w:space="0" w:color="auto"/>
            </w:tcBorders>
            <w:hideMark/>
          </w:tcPr>
          <w:p w14:paraId="4578C61C" w14:textId="77777777" w:rsidR="00B838C9" w:rsidRPr="00557C2A" w:rsidRDefault="00B838C9" w:rsidP="00B838C9">
            <w:pPr>
              <w:pBdr>
                <w:top w:val="nil"/>
                <w:left w:val="nil"/>
                <w:bottom w:val="nil"/>
                <w:right w:val="nil"/>
                <w:between w:val="nil"/>
                <w:bar w:val="nil"/>
              </w:pBdr>
              <w:spacing w:before="0" w:after="240"/>
              <w:rPr>
                <w:noProof/>
                <w:szCs w:val="24"/>
              </w:rPr>
            </w:pPr>
            <w:r w:rsidRPr="00557C2A">
              <w:rPr>
                <w:noProof/>
              </w:rPr>
              <w:t>Verkorting en vereenvoudiging van vergunningsprocedures voor energie-infrastructuur, projecten op het gebied van hernieuwbare energie en opslag, en laadstations. </w:t>
            </w:r>
          </w:p>
        </w:tc>
        <w:tc>
          <w:tcPr>
            <w:tcW w:w="645" w:type="dxa"/>
            <w:tcBorders>
              <w:top w:val="single" w:sz="6" w:space="0" w:color="auto"/>
              <w:left w:val="single" w:sz="6" w:space="0" w:color="auto"/>
              <w:bottom w:val="single" w:sz="6" w:space="0" w:color="auto"/>
              <w:right w:val="single" w:sz="6" w:space="0" w:color="auto"/>
            </w:tcBorders>
            <w:hideMark/>
          </w:tcPr>
          <w:p w14:paraId="4554ECE6" w14:textId="77777777" w:rsidR="00B838C9" w:rsidRPr="00557C2A" w:rsidRDefault="00B838C9" w:rsidP="00B838C9">
            <w:pPr>
              <w:pBdr>
                <w:top w:val="nil"/>
                <w:left w:val="nil"/>
                <w:bottom w:val="nil"/>
                <w:right w:val="nil"/>
                <w:between w:val="nil"/>
                <w:bar w:val="nil"/>
              </w:pBdr>
              <w:spacing w:before="0" w:after="240"/>
              <w:rPr>
                <w:noProof/>
                <w:szCs w:val="24"/>
              </w:rPr>
            </w:pPr>
            <w:r w:rsidRPr="00557C2A">
              <w:rPr>
                <w:noProof/>
              </w:rPr>
              <w:t>C.1 </w:t>
            </w:r>
          </w:p>
        </w:tc>
        <w:tc>
          <w:tcPr>
            <w:tcW w:w="5025" w:type="dxa"/>
            <w:tcBorders>
              <w:top w:val="single" w:sz="6" w:space="0" w:color="auto"/>
              <w:left w:val="single" w:sz="6" w:space="0" w:color="auto"/>
              <w:bottom w:val="single" w:sz="6" w:space="0" w:color="auto"/>
              <w:right w:val="single" w:sz="6" w:space="0" w:color="auto"/>
            </w:tcBorders>
            <w:hideMark/>
          </w:tcPr>
          <w:p w14:paraId="66110D64" w14:textId="77777777" w:rsidR="00B838C9" w:rsidRPr="00557C2A" w:rsidRDefault="00B838C9" w:rsidP="00B838C9">
            <w:pPr>
              <w:pBdr>
                <w:top w:val="nil"/>
                <w:left w:val="nil"/>
                <w:bottom w:val="nil"/>
                <w:right w:val="nil"/>
                <w:between w:val="nil"/>
                <w:bar w:val="nil"/>
              </w:pBdr>
              <w:spacing w:before="0" w:after="240"/>
              <w:rPr>
                <w:noProof/>
                <w:szCs w:val="24"/>
              </w:rPr>
            </w:pPr>
            <w:r w:rsidRPr="00557C2A">
              <w:rPr>
                <w:noProof/>
              </w:rPr>
              <w:t>Ondersteuning van de uitvoering van bestaande wetgeving en het uitbrengen van richtsnoeren. </w:t>
            </w:r>
          </w:p>
        </w:tc>
      </w:tr>
      <w:tr w:rsidR="00B838C9" w:rsidRPr="00557C2A" w14:paraId="20A18796" w14:textId="77777777" w:rsidTr="00B838C9">
        <w:trPr>
          <w:trHeight w:val="285"/>
        </w:trPr>
        <w:tc>
          <w:tcPr>
            <w:tcW w:w="2880" w:type="dxa"/>
            <w:vMerge/>
            <w:tcBorders>
              <w:top w:val="single" w:sz="6" w:space="0" w:color="auto"/>
              <w:left w:val="single" w:sz="6" w:space="0" w:color="auto"/>
              <w:bottom w:val="single" w:sz="6" w:space="0" w:color="auto"/>
              <w:right w:val="single" w:sz="6" w:space="0" w:color="auto"/>
            </w:tcBorders>
            <w:vAlign w:val="center"/>
            <w:hideMark/>
          </w:tcPr>
          <w:p w14:paraId="0776A22E" w14:textId="77777777" w:rsidR="00B838C9" w:rsidRPr="00557C2A" w:rsidRDefault="00B838C9" w:rsidP="00B838C9">
            <w:pPr>
              <w:pBdr>
                <w:top w:val="nil"/>
                <w:left w:val="nil"/>
                <w:bottom w:val="nil"/>
                <w:right w:val="nil"/>
                <w:between w:val="nil"/>
                <w:bar w:val="nil"/>
              </w:pBdr>
              <w:spacing w:before="0" w:after="240"/>
              <w:rPr>
                <w:noProof/>
                <w:szCs w:val="24"/>
              </w:rPr>
            </w:pPr>
          </w:p>
        </w:tc>
        <w:tc>
          <w:tcPr>
            <w:tcW w:w="645" w:type="dxa"/>
            <w:tcBorders>
              <w:top w:val="single" w:sz="6" w:space="0" w:color="auto"/>
              <w:left w:val="single" w:sz="6" w:space="0" w:color="auto"/>
              <w:bottom w:val="single" w:sz="6" w:space="0" w:color="auto"/>
              <w:right w:val="single" w:sz="6" w:space="0" w:color="auto"/>
            </w:tcBorders>
            <w:hideMark/>
          </w:tcPr>
          <w:p w14:paraId="6D386692" w14:textId="77777777" w:rsidR="00B838C9" w:rsidRPr="00557C2A" w:rsidRDefault="00B838C9" w:rsidP="00B838C9">
            <w:pPr>
              <w:pBdr>
                <w:top w:val="nil"/>
                <w:left w:val="nil"/>
                <w:bottom w:val="nil"/>
                <w:right w:val="nil"/>
                <w:between w:val="nil"/>
                <w:bar w:val="nil"/>
              </w:pBdr>
              <w:spacing w:before="0" w:after="240"/>
              <w:rPr>
                <w:noProof/>
                <w:szCs w:val="24"/>
              </w:rPr>
            </w:pPr>
            <w:r w:rsidRPr="00557C2A">
              <w:rPr>
                <w:noProof/>
              </w:rPr>
              <w:t>C.2 </w:t>
            </w:r>
          </w:p>
        </w:tc>
        <w:tc>
          <w:tcPr>
            <w:tcW w:w="5025" w:type="dxa"/>
            <w:tcBorders>
              <w:top w:val="single" w:sz="6" w:space="0" w:color="auto"/>
              <w:left w:val="single" w:sz="6" w:space="0" w:color="auto"/>
              <w:bottom w:val="single" w:sz="6" w:space="0" w:color="auto"/>
              <w:right w:val="single" w:sz="6" w:space="0" w:color="auto"/>
            </w:tcBorders>
            <w:hideMark/>
          </w:tcPr>
          <w:p w14:paraId="27C3E128" w14:textId="77777777" w:rsidR="00B838C9" w:rsidRPr="00557C2A" w:rsidRDefault="00B838C9" w:rsidP="00B838C9">
            <w:pPr>
              <w:pBdr>
                <w:top w:val="nil"/>
                <w:left w:val="nil"/>
                <w:bottom w:val="nil"/>
                <w:right w:val="nil"/>
                <w:between w:val="nil"/>
                <w:bar w:val="nil"/>
              </w:pBdr>
              <w:spacing w:before="0" w:after="240"/>
              <w:rPr>
                <w:noProof/>
                <w:szCs w:val="24"/>
              </w:rPr>
            </w:pPr>
            <w:r w:rsidRPr="00557C2A">
              <w:rPr>
                <w:noProof/>
              </w:rPr>
              <w:t>Gerichte wetswijzigingen om de vergunningverlening te versnellen. </w:t>
            </w:r>
          </w:p>
        </w:tc>
      </w:tr>
      <w:tr w:rsidR="00B838C9" w:rsidRPr="00557C2A" w14:paraId="47208E3B" w14:textId="77777777" w:rsidTr="00B838C9">
        <w:trPr>
          <w:trHeight w:val="285"/>
        </w:trPr>
        <w:tc>
          <w:tcPr>
            <w:tcW w:w="2880" w:type="dxa"/>
            <w:vMerge/>
            <w:tcBorders>
              <w:top w:val="single" w:sz="6" w:space="0" w:color="auto"/>
              <w:left w:val="single" w:sz="6" w:space="0" w:color="auto"/>
              <w:bottom w:val="single" w:sz="6" w:space="0" w:color="auto"/>
              <w:right w:val="single" w:sz="6" w:space="0" w:color="auto"/>
            </w:tcBorders>
            <w:vAlign w:val="center"/>
            <w:hideMark/>
          </w:tcPr>
          <w:p w14:paraId="6FDB46FA" w14:textId="77777777" w:rsidR="00B838C9" w:rsidRPr="00557C2A" w:rsidRDefault="00B838C9" w:rsidP="00B838C9">
            <w:pPr>
              <w:pBdr>
                <w:top w:val="nil"/>
                <w:left w:val="nil"/>
                <w:bottom w:val="nil"/>
                <w:right w:val="nil"/>
                <w:between w:val="nil"/>
                <w:bar w:val="nil"/>
              </w:pBdr>
              <w:spacing w:before="0" w:after="240"/>
              <w:rPr>
                <w:noProof/>
                <w:szCs w:val="24"/>
              </w:rPr>
            </w:pPr>
          </w:p>
        </w:tc>
        <w:tc>
          <w:tcPr>
            <w:tcW w:w="645" w:type="dxa"/>
            <w:tcBorders>
              <w:top w:val="single" w:sz="6" w:space="0" w:color="auto"/>
              <w:left w:val="single" w:sz="6" w:space="0" w:color="auto"/>
              <w:bottom w:val="single" w:sz="6" w:space="0" w:color="auto"/>
              <w:right w:val="single" w:sz="6" w:space="0" w:color="auto"/>
            </w:tcBorders>
            <w:hideMark/>
          </w:tcPr>
          <w:p w14:paraId="4A3EDB95" w14:textId="77777777" w:rsidR="00B838C9" w:rsidRPr="00557C2A" w:rsidRDefault="00B838C9" w:rsidP="00B838C9">
            <w:pPr>
              <w:pBdr>
                <w:top w:val="nil"/>
                <w:left w:val="nil"/>
                <w:bottom w:val="nil"/>
                <w:right w:val="nil"/>
                <w:between w:val="nil"/>
                <w:bar w:val="nil"/>
              </w:pBdr>
              <w:spacing w:before="0" w:after="240"/>
              <w:rPr>
                <w:noProof/>
                <w:szCs w:val="24"/>
              </w:rPr>
            </w:pPr>
            <w:r w:rsidRPr="00557C2A">
              <w:rPr>
                <w:noProof/>
              </w:rPr>
              <w:t>C.3 </w:t>
            </w:r>
          </w:p>
        </w:tc>
        <w:tc>
          <w:tcPr>
            <w:tcW w:w="5025" w:type="dxa"/>
            <w:tcBorders>
              <w:top w:val="single" w:sz="6" w:space="0" w:color="auto"/>
              <w:left w:val="single" w:sz="6" w:space="0" w:color="auto"/>
              <w:bottom w:val="single" w:sz="6" w:space="0" w:color="auto"/>
              <w:right w:val="single" w:sz="6" w:space="0" w:color="auto"/>
            </w:tcBorders>
            <w:hideMark/>
          </w:tcPr>
          <w:p w14:paraId="687AB938" w14:textId="77777777" w:rsidR="00B838C9" w:rsidRPr="00557C2A" w:rsidRDefault="00B838C9" w:rsidP="00B838C9">
            <w:pPr>
              <w:pBdr>
                <w:top w:val="nil"/>
                <w:left w:val="nil"/>
                <w:bottom w:val="nil"/>
                <w:right w:val="nil"/>
                <w:between w:val="nil"/>
                <w:bar w:val="nil"/>
              </w:pBdr>
              <w:spacing w:before="0" w:after="240"/>
              <w:rPr>
                <w:noProof/>
                <w:szCs w:val="24"/>
              </w:rPr>
            </w:pPr>
            <w:r w:rsidRPr="00557C2A">
              <w:rPr>
                <w:noProof/>
              </w:rPr>
              <w:t>Gecentraliseerde EU-brede coördinatieregeling voor vergunningen voor bepaalde grootschalige energie-infrastructuurprojecten (“28e regeling”). </w:t>
            </w:r>
          </w:p>
        </w:tc>
      </w:tr>
    </w:tbl>
    <w:p w14:paraId="46FD550F" w14:textId="77777777" w:rsidR="00B838C9" w:rsidRPr="00557C2A" w:rsidRDefault="00B838C9" w:rsidP="0089155B">
      <w:pPr>
        <w:pBdr>
          <w:top w:val="nil"/>
          <w:left w:val="nil"/>
          <w:bottom w:val="nil"/>
          <w:right w:val="nil"/>
          <w:between w:val="nil"/>
          <w:bar w:val="nil"/>
        </w:pBdr>
        <w:spacing w:before="0" w:after="240"/>
        <w:rPr>
          <w:noProof/>
          <w:szCs w:val="24"/>
        </w:rPr>
      </w:pPr>
    </w:p>
    <w:p w14:paraId="7FB5024D" w14:textId="77777777" w:rsidR="006404FC" w:rsidRPr="00557C2A" w:rsidRDefault="00482A0C" w:rsidP="0089155B">
      <w:pPr>
        <w:pBdr>
          <w:top w:val="nil"/>
          <w:left w:val="nil"/>
          <w:bottom w:val="nil"/>
          <w:right w:val="nil"/>
          <w:between w:val="nil"/>
          <w:bar w:val="nil"/>
        </w:pBdr>
        <w:spacing w:before="0" w:after="240"/>
        <w:rPr>
          <w:noProof/>
          <w:szCs w:val="24"/>
        </w:rPr>
      </w:pPr>
      <w:r w:rsidRPr="00557C2A">
        <w:rPr>
          <w:noProof/>
        </w:rPr>
        <w:t>Maatregel C.2, die de voorkeursoptie en de basis voor dit voorstel vormt, omvat wetswijzigingen om de vergunningsprocedures voor grensoverschrijdende netten, nationale transmissie- en lokale distributienetten, voor projecten op het gebied van hernieuwbare energie en opslag, en voor laadstations verder te versnellen en te vereenvoudigen. Deze wijzigingen kunnen het volgende omvatten: 1) het opzetten van een EU-kader voor de versnelde vergunningverlening voor projecten op het gebied van elektriciteitsdistributie, -transmissie en -opslag en voor laadstations, met inbegrip van afstemming op en verdere versterking van de EU-bepalingen inzake vergunningverlening die van toepassing zijn op waterstofinfrastructuur; 2) het aanbrengen van wijzigingen in de herziene richtlijn hernieuwbare energie; en 3) het vereenvoudigen en stroomlijnen van milieubeoordelingen die van toepassing zijn op energieactiva; het vrijstellen van bepaalde projecten van bepaalde beoordelingen of elementen daarvan op grond van hun kenmerken.</w:t>
      </w:r>
    </w:p>
    <w:p w14:paraId="5E264CB7" w14:textId="77777777" w:rsidR="0025038C" w:rsidRPr="00557C2A" w:rsidRDefault="0025038C" w:rsidP="0089155B">
      <w:pPr>
        <w:pBdr>
          <w:top w:val="nil"/>
          <w:left w:val="nil"/>
          <w:bottom w:val="nil"/>
          <w:right w:val="nil"/>
          <w:between w:val="nil"/>
          <w:bar w:val="nil"/>
        </w:pBdr>
        <w:spacing w:before="0" w:after="240"/>
        <w:rPr>
          <w:noProof/>
          <w:szCs w:val="24"/>
        </w:rPr>
      </w:pPr>
      <w:r w:rsidRPr="00557C2A">
        <w:rPr>
          <w:noProof/>
        </w:rPr>
        <w:t>De beleidsoptie met ongewijzigd beleid werd in een vroeg stadium verworpen omdat de vastgestelde problemen zouden blijven bestaan of zelfs zouden toenemen, waardoor de verwezenlijking van de vastgestelde doelstellingen zou worden belemmerd. In vergelijking met optie 1 en 3 werd optie 2 beter geacht wat gevolgen, efficiëntie, samenhang, subsidiariteit en evenredigheid betreft. De volgende gevolgen kwamen naar voren:</w:t>
      </w:r>
    </w:p>
    <w:p w14:paraId="7E59F559" w14:textId="77777777" w:rsidR="0068458C" w:rsidRPr="00557C2A" w:rsidRDefault="0068458C" w:rsidP="0068458C">
      <w:pPr>
        <w:pBdr>
          <w:top w:val="nil"/>
          <w:left w:val="nil"/>
          <w:bottom w:val="nil"/>
          <w:right w:val="nil"/>
          <w:between w:val="nil"/>
          <w:bar w:val="nil"/>
        </w:pBdr>
        <w:spacing w:before="0" w:after="240"/>
        <w:rPr>
          <w:noProof/>
          <w:szCs w:val="24"/>
        </w:rPr>
      </w:pPr>
      <w:r w:rsidRPr="00557C2A">
        <w:rPr>
          <w:noProof/>
        </w:rPr>
        <w:t>Economische gevolgen</w:t>
      </w:r>
    </w:p>
    <w:p w14:paraId="5C26549C" w14:textId="77777777" w:rsidR="0068458C" w:rsidRPr="00557C2A" w:rsidRDefault="0068458C" w:rsidP="0068458C">
      <w:pPr>
        <w:pBdr>
          <w:top w:val="nil"/>
          <w:left w:val="nil"/>
          <w:bottom w:val="nil"/>
          <w:right w:val="nil"/>
          <w:between w:val="nil"/>
          <w:bar w:val="nil"/>
        </w:pBdr>
        <w:spacing w:before="0" w:after="240"/>
        <w:rPr>
          <w:noProof/>
          <w:szCs w:val="24"/>
        </w:rPr>
      </w:pPr>
      <w:r w:rsidRPr="00557C2A">
        <w:rPr>
          <w:noProof/>
        </w:rPr>
        <w:t xml:space="preserve">Door een duidelijk kader te creëren met concrete, kortere termijnen en eenvoudigere procedures voor de ontwikkeling van hernieuwbare-energieprojecten, netten, opslag en laadstations, zou het voorstel leiden tot kortere doorlooptijden voor projecten en dus positieve economische voordelen opleveren. Dit wordt ondersteund door de ervaring met de uitvoering van bindende en optionele maatregelen om de vergunningverlening te versnellen, zoals ingevoerd bij de noodverordening. Duitsland heeft uitgebreid gebruik gemaakt van de maatregelen in deze verordening, wat tot een aanzienlijke versnelling van de vergunningverlening heeft geleid. Het aanpakken van vertragingen bij de uitvoering van projecten zal naar verwachting voordelen opleveren in de vorm van een algehele daling van de groothandelsprijzen voor elektriciteit en een toename van de totale welvaart. </w:t>
      </w:r>
    </w:p>
    <w:p w14:paraId="4588D97C" w14:textId="77777777" w:rsidR="0068458C" w:rsidRPr="00557C2A" w:rsidRDefault="0068458C" w:rsidP="0068458C">
      <w:pPr>
        <w:pBdr>
          <w:top w:val="nil"/>
          <w:left w:val="nil"/>
          <w:bottom w:val="nil"/>
          <w:right w:val="nil"/>
          <w:between w:val="nil"/>
          <w:bar w:val="nil"/>
        </w:pBdr>
        <w:spacing w:before="0" w:after="240"/>
        <w:rPr>
          <w:noProof/>
          <w:szCs w:val="24"/>
        </w:rPr>
      </w:pPr>
      <w:r w:rsidRPr="00557C2A">
        <w:rPr>
          <w:noProof/>
        </w:rPr>
        <w:t>Concurrentievermogen</w:t>
      </w:r>
    </w:p>
    <w:p w14:paraId="2E0C4AB5" w14:textId="77777777" w:rsidR="0068458C" w:rsidRPr="00557C2A" w:rsidRDefault="0068458C" w:rsidP="0068458C">
      <w:pPr>
        <w:pBdr>
          <w:top w:val="nil"/>
          <w:left w:val="nil"/>
          <w:bottom w:val="nil"/>
          <w:right w:val="nil"/>
          <w:between w:val="nil"/>
          <w:bar w:val="nil"/>
        </w:pBdr>
        <w:spacing w:before="0" w:after="240"/>
        <w:rPr>
          <w:noProof/>
          <w:szCs w:val="24"/>
        </w:rPr>
      </w:pPr>
      <w:r w:rsidRPr="00557C2A">
        <w:rPr>
          <w:noProof/>
        </w:rPr>
        <w:t xml:space="preserve">In het algemeen geldt dat als Europa de plannings- en vergunningsprocedures aanzienlijk kan verkorten, dit niet alleen directe economische voordelen zou opleveren, maar ook de concurrentiepositie ten opzichte van directe concurrenten zou kunnen verbeteren, bijvoorbeeld door kostenefficiënte elektrificatie van de industrie. </w:t>
      </w:r>
    </w:p>
    <w:p w14:paraId="289AC15F" w14:textId="77777777" w:rsidR="0068458C" w:rsidRPr="00557C2A" w:rsidRDefault="0068458C" w:rsidP="0068458C">
      <w:pPr>
        <w:pBdr>
          <w:top w:val="nil"/>
          <w:left w:val="nil"/>
          <w:bottom w:val="nil"/>
          <w:right w:val="nil"/>
          <w:between w:val="nil"/>
          <w:bar w:val="nil"/>
        </w:pBdr>
        <w:spacing w:before="0" w:after="240"/>
        <w:rPr>
          <w:noProof/>
          <w:szCs w:val="24"/>
        </w:rPr>
      </w:pPr>
      <w:r w:rsidRPr="00557C2A">
        <w:rPr>
          <w:noProof/>
        </w:rPr>
        <w:t>Digitalisering</w:t>
      </w:r>
    </w:p>
    <w:p w14:paraId="53F91527" w14:textId="77777777" w:rsidR="0068458C" w:rsidRPr="00557C2A" w:rsidRDefault="0068458C" w:rsidP="0068458C">
      <w:pPr>
        <w:pBdr>
          <w:top w:val="nil"/>
          <w:left w:val="nil"/>
          <w:bottom w:val="nil"/>
          <w:right w:val="nil"/>
          <w:between w:val="nil"/>
          <w:bar w:val="nil"/>
        </w:pBdr>
        <w:spacing w:before="0" w:after="240"/>
        <w:rPr>
          <w:noProof/>
          <w:szCs w:val="24"/>
        </w:rPr>
      </w:pPr>
      <w:r w:rsidRPr="00557C2A">
        <w:rPr>
          <w:noProof/>
        </w:rPr>
        <w:t>Het voorstel zou de lidstaten verplichten hun vergunningsprocedures verder te digitaliseren door middel van de integratie van digitale instrumenten, platforms met relevante gegevens te creëren en voortdurend te actualiseren, en hun personeel bij te scholen om de nieuwe digitale elementen te kunnen gebruiken.</w:t>
      </w:r>
    </w:p>
    <w:p w14:paraId="15AD697D" w14:textId="77777777" w:rsidR="0068458C" w:rsidRPr="00557C2A" w:rsidRDefault="0068458C" w:rsidP="0068458C">
      <w:pPr>
        <w:pBdr>
          <w:top w:val="nil"/>
          <w:left w:val="nil"/>
          <w:bottom w:val="nil"/>
          <w:right w:val="nil"/>
          <w:between w:val="nil"/>
          <w:bar w:val="nil"/>
        </w:pBdr>
        <w:spacing w:before="0" w:after="240"/>
        <w:rPr>
          <w:noProof/>
          <w:szCs w:val="24"/>
        </w:rPr>
      </w:pPr>
      <w:r w:rsidRPr="00557C2A">
        <w:rPr>
          <w:noProof/>
        </w:rPr>
        <w:t>Administratieve lasten</w:t>
      </w:r>
    </w:p>
    <w:p w14:paraId="38B49E9A" w14:textId="77777777" w:rsidR="0068458C" w:rsidRPr="00557C2A" w:rsidRDefault="0068458C" w:rsidP="0068458C">
      <w:pPr>
        <w:pBdr>
          <w:top w:val="nil"/>
          <w:left w:val="nil"/>
          <w:bottom w:val="nil"/>
          <w:right w:val="nil"/>
          <w:between w:val="nil"/>
          <w:bar w:val="nil"/>
        </w:pBdr>
        <w:spacing w:before="0" w:after="240"/>
        <w:rPr>
          <w:noProof/>
          <w:szCs w:val="24"/>
        </w:rPr>
      </w:pPr>
      <w:r w:rsidRPr="00557C2A">
        <w:rPr>
          <w:noProof/>
        </w:rPr>
        <w:t>De maatregelen in het voorstel moeten door nationale en lokale autoriteiten worden uitgevoerd, met name wat betreft: het uitrusten van vergunningverlenende instanties met alle nodige personele middelen, vaardigheden en instrumenten om het hoofd te bieden aan het groeiende aantal vergunningaanvragen, de versnelde vergunningstermijnen en de vereenvoudiging van vergunningsprocedures voor bepaalde projecten en repowering, het creëren van digitale platforms en instrumenten voor de vergunningsprocedure en voor het opzetten van regelingen voor batenverdeling voor publieke participatie in hernieuwbare-energieprojecten, en nieuwe procedures zoals centrale contactpunten voor elektriciteitstransmissie- en -distributie-infrastructuur in het algemeen, en voor opslag en laadstations, die niet onder de herziene richtlijn hernieuwbare energie vallen. Dit kosteneffect op korte termijn zou zich echter op middellange en lange termijn vertalen in besparingen als gevolg van gestroomlijnde, eenvoudigere en snellere procedures.</w:t>
      </w:r>
    </w:p>
    <w:p w14:paraId="04354AA6" w14:textId="77777777" w:rsidR="0068458C" w:rsidRPr="00557C2A" w:rsidRDefault="0068458C" w:rsidP="0068458C">
      <w:pPr>
        <w:pBdr>
          <w:top w:val="nil"/>
          <w:left w:val="nil"/>
          <w:bottom w:val="nil"/>
          <w:right w:val="nil"/>
          <w:between w:val="nil"/>
          <w:bar w:val="nil"/>
        </w:pBdr>
        <w:spacing w:before="0" w:after="240"/>
        <w:rPr>
          <w:noProof/>
          <w:szCs w:val="24"/>
        </w:rPr>
      </w:pPr>
      <w:r w:rsidRPr="00557C2A">
        <w:rPr>
          <w:noProof/>
        </w:rPr>
        <w:t>Sociale impact</w:t>
      </w:r>
    </w:p>
    <w:p w14:paraId="0B7D6779" w14:textId="77777777" w:rsidR="0068458C" w:rsidRPr="00557C2A" w:rsidRDefault="0068458C" w:rsidP="0068458C">
      <w:pPr>
        <w:pBdr>
          <w:top w:val="nil"/>
          <w:left w:val="nil"/>
          <w:bottom w:val="nil"/>
          <w:right w:val="nil"/>
          <w:between w:val="nil"/>
          <w:bar w:val="nil"/>
        </w:pBdr>
        <w:spacing w:before="0" w:after="240"/>
        <w:rPr>
          <w:noProof/>
        </w:rPr>
      </w:pPr>
      <w:r w:rsidRPr="00557C2A">
        <w:rPr>
          <w:noProof/>
        </w:rPr>
        <w:t>Het voorstel voor aanvullende maatregelen ter versterking van vroegtijdige en doeltreffende publieke betrokkenheid en ter bevordering van publieke steun voor hernieuwbare-energieprojecten. De maatregelen omvatten uitdrukkelijke bepalingen die gericht zijn op het vergroten van de inspraak van het publiek en daarmee van de maatschappelijke aanvaarding van hernieuwbare-energieprojecten. Door de huidige maatregelen voor de publieke aanvaarding van hernieuwbare-energieprojecten te herzien, zal de Commissie kunnen beoordelen of het mogelijk is maatregelen in te voeren die direct of indirect ten goede komen aan de consument, bijvoorbeeld regelingen voor batenverdeling en de bevordering van werkgelegenheid.</w:t>
      </w:r>
    </w:p>
    <w:p w14:paraId="64F74407" w14:textId="77777777" w:rsidR="0068458C" w:rsidRPr="00557C2A" w:rsidRDefault="0068458C" w:rsidP="0068458C">
      <w:pPr>
        <w:pBdr>
          <w:top w:val="nil"/>
          <w:left w:val="nil"/>
          <w:bottom w:val="nil"/>
          <w:right w:val="nil"/>
          <w:between w:val="nil"/>
          <w:bar w:val="nil"/>
        </w:pBdr>
        <w:spacing w:before="0" w:after="240"/>
        <w:rPr>
          <w:noProof/>
          <w:szCs w:val="24"/>
        </w:rPr>
      </w:pPr>
      <w:r w:rsidRPr="00557C2A">
        <w:rPr>
          <w:noProof/>
        </w:rPr>
        <w:t>Milieueffecten</w:t>
      </w:r>
    </w:p>
    <w:p w14:paraId="7CF9ADC9" w14:textId="77777777" w:rsidR="0068458C" w:rsidRPr="00557C2A" w:rsidRDefault="0068458C" w:rsidP="0068458C">
      <w:pPr>
        <w:pBdr>
          <w:top w:val="nil"/>
          <w:left w:val="nil"/>
          <w:bottom w:val="nil"/>
          <w:right w:val="nil"/>
          <w:between w:val="nil"/>
          <w:bar w:val="nil"/>
        </w:pBdr>
        <w:spacing w:before="0" w:after="240"/>
        <w:rPr>
          <w:noProof/>
          <w:szCs w:val="24"/>
        </w:rPr>
      </w:pPr>
      <w:r w:rsidRPr="00557C2A">
        <w:rPr>
          <w:noProof/>
        </w:rPr>
        <w:t xml:space="preserve">Het waarborgen van de ontwikkeling van energie-infrastructuur, met name elektriciteitsnetten, is van essentieel belang om het aandeel van hernieuwbare energie in de energiemix te vergroten en milieuschade als gevolg van curtailment te voorkomen. Door de integratie van hernieuwbare-energiebronnen kan het gebruik van fossiele brandstoffen worden teruggedrongen, waardoor de uitstoot van broeikasgassen wordt verminderd en daarmee twee belangrijke oorzaken van biodiversiteitsverlies worden aangepakt: klimaatverandering en luchtverontreiniging. Het voorstel omvat maatregelen die zijn gericht op snellere vergunningen en dus een snellere en wijdverbreide uitrol, wat gepaard gaat met gebruik van meer ruimte en dus gevolgen heeft voor het milieu, maar deze maatregelen zijn zo ontworpen dat ze het niveau van milieubescherming niet verlagen. </w:t>
      </w:r>
    </w:p>
    <w:p w14:paraId="118CF1C8" w14:textId="77777777" w:rsidR="00E313BD" w:rsidRPr="00557C2A" w:rsidRDefault="0068458C" w:rsidP="0089155B">
      <w:pPr>
        <w:pBdr>
          <w:top w:val="nil"/>
          <w:left w:val="nil"/>
          <w:bottom w:val="nil"/>
          <w:right w:val="nil"/>
          <w:between w:val="nil"/>
          <w:bar w:val="nil"/>
        </w:pBdr>
        <w:spacing w:before="0" w:after="240"/>
        <w:rPr>
          <w:noProof/>
          <w:szCs w:val="24"/>
        </w:rPr>
      </w:pPr>
      <w:r w:rsidRPr="00557C2A">
        <w:rPr>
          <w:noProof/>
        </w:rPr>
        <w:t>De relevante effecten op het natuurlijke en door de mens gecreëerde milieu gaan verder dan broeikasgasemissies en niet-CO</w:t>
      </w:r>
      <w:r w:rsidRPr="00557C2A">
        <w:rPr>
          <w:noProof/>
          <w:vertAlign w:val="subscript"/>
        </w:rPr>
        <w:t>2</w:t>
      </w:r>
      <w:r w:rsidRPr="00557C2A">
        <w:rPr>
          <w:noProof/>
        </w:rPr>
        <w:t>-emissies. Deze effecten zijn sterk afhankelijk van de gebruikte technologie, de locatie van de activa en de milieutoestand van de omringende flora en fauna. Deze effecten worden echter in het ontwerp van de voorgestelde maatregelen aangepakt door de invoering van waarborgen.</w:t>
      </w:r>
    </w:p>
    <w:p w14:paraId="67243F93" w14:textId="77777777" w:rsidR="00542FCB" w:rsidRPr="00557C2A" w:rsidRDefault="00542FCB">
      <w:pPr>
        <w:pStyle w:val="ManualHeading2"/>
        <w:rPr>
          <w:rFonts w:eastAsia="Arial Unicode MS"/>
          <w:noProof/>
          <w:bdr w:val="nil"/>
        </w:rPr>
      </w:pPr>
      <w:r w:rsidRPr="00557C2A">
        <w:rPr>
          <w:noProof/>
          <w:bdr w:val="nil"/>
        </w:rPr>
        <w:t>•</w:t>
      </w:r>
      <w:r w:rsidRPr="00557C2A">
        <w:rPr>
          <w:noProof/>
        </w:rPr>
        <w:tab/>
      </w:r>
      <w:r w:rsidRPr="00557C2A">
        <w:rPr>
          <w:noProof/>
          <w:bdr w:val="nil"/>
        </w:rPr>
        <w:t>Resultaatgerichtheid en vereenvoudiging</w:t>
      </w:r>
    </w:p>
    <w:p w14:paraId="74A7D3E6" w14:textId="77777777" w:rsidR="00542FCB" w:rsidRPr="00557C2A" w:rsidRDefault="004B31B8">
      <w:pPr>
        <w:pBdr>
          <w:top w:val="nil"/>
          <w:left w:val="nil"/>
          <w:bottom w:val="nil"/>
          <w:right w:val="nil"/>
          <w:between w:val="nil"/>
          <w:bar w:val="nil"/>
        </w:pBdr>
        <w:spacing w:before="0" w:after="240"/>
        <w:rPr>
          <w:rFonts w:eastAsia="Arial Unicode MS"/>
          <w:noProof/>
        </w:rPr>
      </w:pPr>
      <w:r w:rsidRPr="00557C2A">
        <w:rPr>
          <w:noProof/>
        </w:rPr>
        <w:t>Het voorstel houdt geen verband met Refit, maar omvat wel maatregelen die positieve effecten hebben wat betreft vereenvoudiging en verbeterde efficiëntie, zoals het verkorten van de termijnen voor vergunningverlening, wat de vergunningsprocedure vereenvoudigt en het bestaande kader verduidelijkt, waardoor de administratieve lasten voor projectontwikkelaars worden verminderd. Het voorstel is klaar voor het internet en is geschikt voor zowel de fysieke als de digitale omgeving. Het omvat maatregelen ter bevordering van de digitalisering van vergunningsprocedures en van het verzamelen en verspreiden van informatie en gegevens met betrekking tot het milieu, die nodig zijn voor de voltooiing van relevante beoordelingen en het verlenen van vergunningen. Deze digitale instrumenten zullen ook de procedures centraliseren, zodat de toegang voor burgers en bedrijven wordt vergemakkelijkt. Bij al deze digitale oplossingen zal rekening worden gehouden met gegevensbescherming en cyberbeveiliging, in overeenstemming met het algemene EU-beleid.</w:t>
      </w:r>
    </w:p>
    <w:p w14:paraId="6579152A" w14:textId="77777777" w:rsidR="00542FCB" w:rsidRPr="00557C2A" w:rsidRDefault="00542FCB">
      <w:pPr>
        <w:pStyle w:val="ManualHeading2"/>
        <w:rPr>
          <w:rFonts w:eastAsia="Arial Unicode MS"/>
          <w:noProof/>
          <w:bdr w:val="nil"/>
        </w:rPr>
      </w:pPr>
      <w:r w:rsidRPr="00557C2A">
        <w:rPr>
          <w:noProof/>
          <w:bdr w:val="nil"/>
        </w:rPr>
        <w:t>•</w:t>
      </w:r>
      <w:r w:rsidRPr="00557C2A">
        <w:rPr>
          <w:noProof/>
        </w:rPr>
        <w:tab/>
      </w:r>
      <w:r w:rsidRPr="00557C2A">
        <w:rPr>
          <w:noProof/>
          <w:bdr w:val="nil"/>
        </w:rPr>
        <w:t>Grondrechten</w:t>
      </w:r>
    </w:p>
    <w:p w14:paraId="712DDAC6" w14:textId="77777777" w:rsidR="009D7D4F" w:rsidRPr="00557C2A" w:rsidRDefault="0023160E">
      <w:pPr>
        <w:pBdr>
          <w:top w:val="nil"/>
          <w:left w:val="nil"/>
          <w:bottom w:val="nil"/>
          <w:right w:val="nil"/>
          <w:between w:val="nil"/>
          <w:bar w:val="nil"/>
        </w:pBdr>
        <w:spacing w:before="0" w:after="240"/>
        <w:rPr>
          <w:noProof/>
        </w:rPr>
      </w:pPr>
      <w:r w:rsidRPr="00557C2A">
        <w:rPr>
          <w:noProof/>
        </w:rPr>
        <w:t xml:space="preserve">Wat de samenhang met het Handvest van de grondrechten betreft, is het overkoepelende doel van deze herziening het vereenvoudigen en stroomlijnen van de vergunningsprocedures voor energie-infrastructuur, zoals netten, opslag en laadstations, en voor hernieuwbare energie, om de integratie van hernieuwbare energie te vergroten en de uitstoot van broeikasgassen te verminderen. Dit is volledig overeenkomstig artikel 37 van het Handvest, op grond waarvan een hoog niveau van milieubescherming en verbetering van de kwaliteit van het milieu moeten worden geïntegreerd in het beleid van de Unie en moeten worden gewaarborgd overeenkomstig het beginsel van duurzame ontwikkeling. </w:t>
      </w:r>
    </w:p>
    <w:p w14:paraId="072EDB10" w14:textId="77777777" w:rsidR="00542FCB" w:rsidRPr="00557C2A" w:rsidRDefault="00542FCB">
      <w:pPr>
        <w:pStyle w:val="ManualHeading1"/>
        <w:rPr>
          <w:noProof/>
        </w:rPr>
      </w:pPr>
      <w:r w:rsidRPr="00557C2A">
        <w:rPr>
          <w:noProof/>
        </w:rPr>
        <w:t>4.</w:t>
      </w:r>
      <w:r w:rsidRPr="00557C2A">
        <w:rPr>
          <w:noProof/>
        </w:rPr>
        <w:tab/>
        <w:t>GEVOLGEN VOOR DE BEGROTING</w:t>
      </w:r>
    </w:p>
    <w:p w14:paraId="2B96B57A" w14:textId="77777777" w:rsidR="00CD1FD4" w:rsidRPr="00557C2A" w:rsidRDefault="00CD1FD4">
      <w:pPr>
        <w:pBdr>
          <w:top w:val="nil"/>
          <w:left w:val="nil"/>
          <w:bottom w:val="nil"/>
          <w:right w:val="nil"/>
          <w:between w:val="nil"/>
          <w:bar w:val="nil"/>
        </w:pBdr>
        <w:spacing w:before="0" w:after="240"/>
        <w:rPr>
          <w:rFonts w:eastAsia="Arial Unicode MS"/>
          <w:noProof/>
        </w:rPr>
      </w:pPr>
      <w:r w:rsidRPr="00557C2A">
        <w:rPr>
          <w:noProof/>
        </w:rPr>
        <w:t xml:space="preserve">Het voorstel houdt geen extra kosten voor de EU-begroting in. Er zijn slechts begrotingsmiddelen nodig voor studies ter ondersteuning van de omzettingscontroles. </w:t>
      </w:r>
    </w:p>
    <w:p w14:paraId="4FBCD9CB" w14:textId="77777777" w:rsidR="00542FCB" w:rsidRPr="00557C2A" w:rsidRDefault="0031422E">
      <w:pPr>
        <w:pBdr>
          <w:top w:val="nil"/>
          <w:left w:val="nil"/>
          <w:bottom w:val="nil"/>
          <w:right w:val="nil"/>
          <w:between w:val="nil"/>
          <w:bar w:val="nil"/>
        </w:pBdr>
        <w:spacing w:before="0" w:after="240"/>
        <w:rPr>
          <w:rFonts w:eastAsia="Arial Unicode MS"/>
          <w:noProof/>
        </w:rPr>
      </w:pPr>
      <w:r w:rsidRPr="00557C2A">
        <w:rPr>
          <w:noProof/>
        </w:rPr>
        <w:t xml:space="preserve">Dit voorstel dient tot wijziging van een bestaande richtlijn ter bevordering van hernieuwbare energie, en daarom zijn de administratieve gevolgen en kosten voor de lidstaten naar verwachting matig, aangezien de meeste noodzakelijke structuren en regels al voorhanden zijn. De lidstaten zullen kosten moeten maken voor de uitvoering van de nieuwe verplichting om een digitaal, gecentraliseerd platform voor alle benodigde vergunningen op te zetten en een facilitator aan te stellen, maar mettertijd zullen deze investeringen de administratieve kosten en werklast verminderen. Bovendien zal de algehele stroomlijning van de procedures naar verwachting aanzienlijke kostenbesparingen voor de lidstaten opleveren. In dit verband moet er ook rekening mee worden gehouden dat alle kosten die voortvloeien uit de verdere toename van de uitrol en integratie van hernieuwbare energie zullen worden gecompenseerd door andere economische, ecologische en sociale voordelen, zoals een grotere leveringszekerheid door de vervanging van geïmporteerde fossiele brandstoffen uit derde landen, en een grotere weerbaarheid tegen externe effecten, terwijl tegelijkertijd wordt bijgedragen aan de koolstofput en de vermindering van luchtverontreiniging. </w:t>
      </w:r>
    </w:p>
    <w:p w14:paraId="1AFC1DBC" w14:textId="77777777" w:rsidR="00596301" w:rsidRPr="00557C2A" w:rsidRDefault="00596301">
      <w:pPr>
        <w:pBdr>
          <w:top w:val="nil"/>
          <w:left w:val="nil"/>
          <w:bottom w:val="nil"/>
          <w:right w:val="nil"/>
          <w:between w:val="nil"/>
          <w:bar w:val="nil"/>
        </w:pBdr>
        <w:spacing w:before="0" w:after="240"/>
        <w:rPr>
          <w:rFonts w:eastAsia="Arial Unicode MS"/>
          <w:noProof/>
        </w:rPr>
      </w:pPr>
      <w:r w:rsidRPr="00557C2A">
        <w:rPr>
          <w:noProof/>
        </w:rPr>
        <w:t>Dit voorstel wijzigt eveneens de bestaande richtlijnen inzake milieueffectbeoordeling, het behoud van wilde vogels en natuurlijke habitats, en het behoud van wilde fauna en flora. De wijzigingen in de richtlijnen inzake het behoud van wilde vogels en natuurlijke habitats en van wilde fauna en flora brengen geen kosten met zich mee. Van de wijzigingen die in de milieueffectbeoordeling worden aangebracht, zal de maatregel die een databank met alle relevante milieugegevens en -informatie vereist, enige kosten met zich meebrengen, ook al beschikken sommige lidstaten al over dergelijke databanken. Voor de overige wijzigingen worden de administratieve gevolgen en kosten dan ook als matig ingeschat, aangezien de meeste noodzakelijke structuren en regels al voorhanden zijn.</w:t>
      </w:r>
    </w:p>
    <w:p w14:paraId="550D78BB" w14:textId="77777777" w:rsidR="00542FCB" w:rsidRPr="00557C2A" w:rsidRDefault="00542FCB">
      <w:pPr>
        <w:pStyle w:val="ManualHeading1"/>
        <w:rPr>
          <w:noProof/>
        </w:rPr>
      </w:pPr>
      <w:r w:rsidRPr="00557C2A">
        <w:rPr>
          <w:noProof/>
        </w:rPr>
        <w:t>5.</w:t>
      </w:r>
      <w:r w:rsidRPr="00557C2A">
        <w:rPr>
          <w:noProof/>
        </w:rPr>
        <w:tab/>
        <w:t>OVERIGE ELEMENTEN</w:t>
      </w:r>
    </w:p>
    <w:p w14:paraId="00DD8A0F" w14:textId="77777777" w:rsidR="00542FCB" w:rsidRPr="00557C2A" w:rsidRDefault="00542FCB">
      <w:pPr>
        <w:pStyle w:val="ManualHeading2"/>
        <w:rPr>
          <w:rFonts w:eastAsia="Arial Unicode MS"/>
          <w:noProof/>
          <w:u w:color="000000"/>
          <w:bdr w:val="nil"/>
        </w:rPr>
      </w:pPr>
      <w:r w:rsidRPr="00557C2A">
        <w:rPr>
          <w:noProof/>
          <w:u w:color="000000"/>
          <w:bdr w:val="nil"/>
        </w:rPr>
        <w:t>•</w:t>
      </w:r>
      <w:r w:rsidRPr="00557C2A">
        <w:rPr>
          <w:noProof/>
        </w:rPr>
        <w:tab/>
      </w:r>
      <w:r w:rsidRPr="00557C2A">
        <w:rPr>
          <w:noProof/>
          <w:u w:color="000000"/>
          <w:bdr w:val="nil"/>
        </w:rPr>
        <w:t>Uitvoeringsplanning en regelingen betreffende controle, evaluatie en rapportage</w:t>
      </w:r>
    </w:p>
    <w:p w14:paraId="4E06190C" w14:textId="77777777" w:rsidR="005D6187" w:rsidRPr="00557C2A" w:rsidRDefault="005D6187" w:rsidP="005D6187">
      <w:pPr>
        <w:pBdr>
          <w:top w:val="nil"/>
          <w:left w:val="nil"/>
          <w:bottom w:val="nil"/>
          <w:right w:val="nil"/>
          <w:between w:val="nil"/>
          <w:bar w:val="nil"/>
        </w:pBdr>
        <w:spacing w:before="0" w:after="240"/>
        <w:rPr>
          <w:rFonts w:eastAsia="Arial Unicode MS"/>
          <w:noProof/>
        </w:rPr>
      </w:pPr>
      <w:r w:rsidRPr="00557C2A">
        <w:rPr>
          <w:noProof/>
        </w:rPr>
        <w:t xml:space="preserve">Na vaststelling van deze wijzigingsrichtlijn door de medewetgevers zal de Commissie tijdens de omzettingstermijn de volgende maatregelen nemen om die omzetting te vergemakkelijken: </w:t>
      </w:r>
    </w:p>
    <w:p w14:paraId="5AFBB2A8" w14:textId="77777777" w:rsidR="005D6187" w:rsidRPr="00557C2A" w:rsidRDefault="005D6187" w:rsidP="00C0453A">
      <w:pPr>
        <w:pStyle w:val="Tiret1"/>
        <w:rPr>
          <w:noProof/>
        </w:rPr>
      </w:pPr>
      <w:r w:rsidRPr="00557C2A">
        <w:rPr>
          <w:noProof/>
        </w:rPr>
        <w:t xml:space="preserve">Zich beschikbaar houden voor bilaterale bijeenkomsten en telefoongesprekken met lidstaten bij specifieke vragen over de omzetting van de richtlijn. </w:t>
      </w:r>
    </w:p>
    <w:p w14:paraId="0501BF69" w14:textId="77777777" w:rsidR="00747995" w:rsidRPr="00557C2A" w:rsidRDefault="00747995" w:rsidP="00C0453A">
      <w:pPr>
        <w:pStyle w:val="Tiret1"/>
        <w:rPr>
          <w:noProof/>
        </w:rPr>
      </w:pPr>
      <w:r w:rsidRPr="00557C2A">
        <w:rPr>
          <w:noProof/>
        </w:rPr>
        <w:t>Uitleg en technische ondersteuning verstrekken aan lidstaten via de onlinetool die vertegenwoordigers van lidstaten kunnen gebruiken voor vragen.</w:t>
      </w:r>
    </w:p>
    <w:p w14:paraId="2F18D398" w14:textId="77777777" w:rsidR="1CA4C081" w:rsidRPr="00557C2A" w:rsidRDefault="1CA4C081" w:rsidP="00C0453A">
      <w:pPr>
        <w:pStyle w:val="Tiret1"/>
        <w:rPr>
          <w:noProof/>
        </w:rPr>
      </w:pPr>
      <w:r w:rsidRPr="00557C2A">
        <w:rPr>
          <w:noProof/>
        </w:rPr>
        <w:t>In voorkomend geval aanbevelingen en richtsnoeren inzake vergunningverlening actualiseren.</w:t>
      </w:r>
    </w:p>
    <w:p w14:paraId="667A4DC0" w14:textId="77777777" w:rsidR="001A26C5" w:rsidRPr="00557C2A" w:rsidRDefault="005D6187">
      <w:pPr>
        <w:pBdr>
          <w:top w:val="nil"/>
          <w:left w:val="nil"/>
          <w:bottom w:val="nil"/>
          <w:right w:val="nil"/>
          <w:between w:val="nil"/>
          <w:bar w:val="nil"/>
        </w:pBdr>
        <w:spacing w:before="0" w:after="240"/>
        <w:rPr>
          <w:rFonts w:eastAsia="Arial Unicode MS"/>
          <w:noProof/>
        </w:rPr>
      </w:pPr>
      <w:r w:rsidRPr="00557C2A">
        <w:rPr>
          <w:noProof/>
        </w:rPr>
        <w:t>Na het verstrijken van de omzettingstermijnen zal de Commissie uitvoerig beoordelen of de lidstaten deze richtlijn volledig en juist hebben omgezet.</w:t>
      </w:r>
    </w:p>
    <w:p w14:paraId="7D05AF4A" w14:textId="77777777" w:rsidR="00542FCB" w:rsidRPr="00557C2A" w:rsidRDefault="00542FCB">
      <w:pPr>
        <w:pStyle w:val="ManualHeading2"/>
        <w:rPr>
          <w:rFonts w:eastAsia="Arial Unicode MS"/>
          <w:noProof/>
          <w:u w:color="000000"/>
          <w:bdr w:val="nil"/>
        </w:rPr>
      </w:pPr>
      <w:r w:rsidRPr="00557C2A">
        <w:rPr>
          <w:noProof/>
          <w:u w:color="000000"/>
          <w:bdr w:val="nil"/>
        </w:rPr>
        <w:t>•</w:t>
      </w:r>
      <w:r w:rsidRPr="00557C2A">
        <w:rPr>
          <w:noProof/>
        </w:rPr>
        <w:tab/>
      </w:r>
      <w:r w:rsidRPr="00557C2A">
        <w:rPr>
          <w:noProof/>
          <w:u w:color="000000"/>
          <w:bdr w:val="nil"/>
        </w:rPr>
        <w:t>Toelichtende stukken (bij richtlijnen)</w:t>
      </w:r>
    </w:p>
    <w:p w14:paraId="5E22A357" w14:textId="77777777" w:rsidR="00AF0929" w:rsidRPr="00557C2A" w:rsidRDefault="00AF0929">
      <w:pPr>
        <w:pBdr>
          <w:top w:val="nil"/>
          <w:left w:val="nil"/>
          <w:bottom w:val="nil"/>
          <w:right w:val="nil"/>
          <w:between w:val="nil"/>
          <w:bar w:val="nil"/>
        </w:pBdr>
        <w:spacing w:before="0" w:after="240"/>
        <w:rPr>
          <w:rFonts w:eastAsia="Arial Unicode MS"/>
          <w:noProof/>
        </w:rPr>
      </w:pPr>
      <w:r w:rsidRPr="00557C2A">
        <w:rPr>
          <w:noProof/>
        </w:rPr>
        <w:t xml:space="preserve">Naar aanleiding van het arrest van het Hof van Justitie van de Europese Unie in de zaak Commissie/België (zaak C-543/17) moeten de lidstaten hun kennisgeving van de nationale omzettingsmaatregelen vergezeld doen gaan van voldoende duidelijke en nauwkeurige informatie waarin wordt aangegeven bij welke bepalingen in het nationale recht welke bepalingen van een richtlijn worden omgezet. Dit geldt voor elke verplichting en niet slechts artikelsgewijs. Wanneer de lidstaten aan deze verplichting voldoen, hoeven zij de Commissie in beginsel geen verdere toelichtende stukken over de omzetting te sturen. </w:t>
      </w:r>
    </w:p>
    <w:p w14:paraId="71E12B60" w14:textId="77777777" w:rsidR="00542FCB" w:rsidRPr="00557C2A" w:rsidRDefault="00542FCB" w:rsidP="00CB3E67">
      <w:pPr>
        <w:pStyle w:val="ManualHeading2"/>
        <w:rPr>
          <w:rFonts w:eastAsia="Arial Unicode MS"/>
          <w:noProof/>
          <w:u w:color="000000"/>
          <w:bdr w:val="nil"/>
        </w:rPr>
      </w:pPr>
      <w:r w:rsidRPr="00557C2A">
        <w:rPr>
          <w:noProof/>
          <w:u w:color="000000"/>
          <w:bdr w:val="nil"/>
        </w:rPr>
        <w:t>•</w:t>
      </w:r>
      <w:r w:rsidRPr="00557C2A">
        <w:rPr>
          <w:noProof/>
        </w:rPr>
        <w:tab/>
      </w:r>
      <w:r w:rsidRPr="00557C2A">
        <w:rPr>
          <w:noProof/>
          <w:u w:color="000000"/>
          <w:bdr w:val="nil"/>
        </w:rPr>
        <w:t>Artikelsgewijze toelichting</w:t>
      </w:r>
    </w:p>
    <w:p w14:paraId="6649FBDB" w14:textId="77777777" w:rsidR="00542FCB" w:rsidRPr="00557C2A" w:rsidRDefault="000866C4">
      <w:pPr>
        <w:spacing w:before="0" w:after="0"/>
        <w:jc w:val="left"/>
        <w:rPr>
          <w:noProof/>
          <w:u w:val="single"/>
        </w:rPr>
      </w:pPr>
      <w:r w:rsidRPr="00557C2A">
        <w:rPr>
          <w:noProof/>
          <w:u w:val="single"/>
        </w:rPr>
        <w:t>Wijzigingen van Richtlijn (EU) 2018/2001 (artikel 1 van dit voorstel)</w:t>
      </w:r>
    </w:p>
    <w:p w14:paraId="3F4FF5AC" w14:textId="77777777" w:rsidR="00A05448" w:rsidRPr="00557C2A" w:rsidRDefault="00A05448">
      <w:pPr>
        <w:spacing w:before="0" w:after="0"/>
        <w:jc w:val="left"/>
        <w:rPr>
          <w:noProof/>
          <w:u w:val="single"/>
        </w:rPr>
      </w:pPr>
    </w:p>
    <w:p w14:paraId="79909DA6" w14:textId="77777777" w:rsidR="0079189D" w:rsidRPr="00557C2A" w:rsidRDefault="0079189D" w:rsidP="00C0453A">
      <w:pPr>
        <w:pStyle w:val="Tiret1"/>
        <w:rPr>
          <w:noProof/>
        </w:rPr>
      </w:pPr>
      <w:r w:rsidRPr="00557C2A">
        <w:rPr>
          <w:noProof/>
        </w:rPr>
        <w:t>Artikel 2 van Richtlijn (EU) 2018/2001 wordt gewijzigd om enkele definities in te voeren.</w:t>
      </w:r>
    </w:p>
    <w:p w14:paraId="3BFCE529" w14:textId="77777777" w:rsidR="00CA49D8" w:rsidRPr="00557C2A" w:rsidRDefault="00CA49D8" w:rsidP="00C0453A">
      <w:pPr>
        <w:pStyle w:val="Tiret1"/>
        <w:rPr>
          <w:noProof/>
        </w:rPr>
      </w:pPr>
      <w:r w:rsidRPr="00557C2A">
        <w:rPr>
          <w:noProof/>
        </w:rPr>
        <w:t>Artikel 15 quater van Richtlijn (EU) 2018/2001 wordt gewijzigd om lidstaten te verplichten geen grote gebieden aan te wijzen waar de installatie van hernieuwbare-energieprojecten a priori niet mogelijk is om milieuredenen, waaronder landschapsbescherming.</w:t>
      </w:r>
    </w:p>
    <w:p w14:paraId="6FF03979" w14:textId="77777777" w:rsidR="0079189D" w:rsidRPr="00557C2A" w:rsidRDefault="0079189D" w:rsidP="00C0453A">
      <w:pPr>
        <w:pStyle w:val="Tiret1"/>
        <w:rPr>
          <w:noProof/>
        </w:rPr>
      </w:pPr>
      <w:r w:rsidRPr="00557C2A">
        <w:rPr>
          <w:noProof/>
        </w:rPr>
        <w:t>Artikel 15 quinquies van Richtlijn (EU) 2018/2001 wordt gewijzigd om maatregelen in te voeren waarmee de lidstaten ervoor moeten zorgen dat een deel van de voordelen van hernieuwbare-energieprojecten ten goede komt aan lokale burgers en gemeenschappen, en om de lidstaten te verplichten een onafhankelijke facilitator aan te wijzen en te financieren om de dialoog tussen de projectontwikkelaar en het publiek te bevorderen.</w:t>
      </w:r>
    </w:p>
    <w:p w14:paraId="6DD9C027" w14:textId="602687CD" w:rsidR="0079189D" w:rsidRPr="00557C2A" w:rsidRDefault="0079189D" w:rsidP="00C0453A">
      <w:pPr>
        <w:pStyle w:val="Tiret1"/>
        <w:rPr>
          <w:noProof/>
        </w:rPr>
      </w:pPr>
      <w:r w:rsidRPr="00557C2A">
        <w:rPr>
          <w:noProof/>
        </w:rPr>
        <w:t>Artikel 16 van Richtlijn (EU) 2018/2001 wordt gewijzigd om de lidstaten te verplichten op nationaal niveau een centraal digitaal portaal op te zetten voor alle stappen van de vergunningsprocedures voor projecten op het gebied van hernieuwbare energie, opslag en netten. Dit portaal zal ook toegang hebben tot alle gegevens over waarnemingen van soorten en andere milieu- en geologische gegevens die door de bevoegde milieuautoriteiten ter beschikking worden gesteld overeenkomstig artikel 10, lid 3, van Verordening [</w:t>
      </w:r>
      <w:r w:rsidRPr="00557C2A">
        <w:rPr>
          <w:i/>
          <w:iCs/>
          <w:noProof/>
        </w:rPr>
        <w:t>xxxxx</w:t>
      </w:r>
      <w:r w:rsidRPr="00557C2A">
        <w:rPr>
          <w:noProof/>
        </w:rPr>
        <w:t xml:space="preserve">] van het Europees Parlement en de Raad. </w:t>
      </w:r>
    </w:p>
    <w:p w14:paraId="55AD9945" w14:textId="77777777" w:rsidR="0079189D" w:rsidRPr="00557C2A" w:rsidRDefault="0079189D" w:rsidP="00C0453A">
      <w:pPr>
        <w:pStyle w:val="Tiret1"/>
        <w:rPr>
          <w:noProof/>
        </w:rPr>
      </w:pPr>
      <w:r w:rsidRPr="00557C2A">
        <w:rPr>
          <w:noProof/>
        </w:rPr>
        <w:t>Artikel 16 ter van Richtlijn (EU) 2018/2001 wordt gewijzigd om de verwijzing naar het opzettelijk doden of verstoren van de soort te schrappen wanneer de nodige mitigerende maatregelen zijn genomen om stilzwijgende goedkeuring voor de vergunningsprocedure in te voeren buiten gebieden voor de versnelde uitrol van hernieuwbare energie.</w:t>
      </w:r>
    </w:p>
    <w:p w14:paraId="7FDDC4B4" w14:textId="77777777" w:rsidR="001D38B0" w:rsidRPr="00557C2A" w:rsidRDefault="006714B4" w:rsidP="00C0453A">
      <w:pPr>
        <w:pStyle w:val="Tiret1"/>
        <w:rPr>
          <w:noProof/>
        </w:rPr>
      </w:pPr>
      <w:r w:rsidRPr="00557C2A">
        <w:rPr>
          <w:noProof/>
        </w:rPr>
        <w:t>Artikel 16 quater van Richtlijn (EU) 2018/2001 wordt gewijzigd om specifieke regels op te nemen om repowering te vergemakkelijken ondanks veranderingen in landgebruik, en om de milieueisen voor repowering van windenergieprojecten te stroomlijnen indien geen extra landoppervlak wordt gebruikt.</w:t>
      </w:r>
    </w:p>
    <w:p w14:paraId="79D02905" w14:textId="77777777" w:rsidR="00333CBA" w:rsidRPr="00557C2A" w:rsidRDefault="00333CBA" w:rsidP="00C0453A">
      <w:pPr>
        <w:pStyle w:val="Tiret1"/>
        <w:rPr>
          <w:noProof/>
        </w:rPr>
      </w:pPr>
      <w:r w:rsidRPr="00557C2A">
        <w:rPr>
          <w:noProof/>
        </w:rPr>
        <w:t>Artikel 16 quinquies van Richtlijn (EU) 2018/2001 wordt gewijzigd om de vergunningsregels te stroomlijnen met betrekking tot de vergunningsprocedure voor kleinschalige zonne-energie-installaties en zonne-energie-installaties op kunstmatige constructies.</w:t>
      </w:r>
    </w:p>
    <w:p w14:paraId="41C299EE" w14:textId="644144B5" w:rsidR="00E15C41" w:rsidRPr="00557C2A" w:rsidRDefault="00FC55BE" w:rsidP="00C0453A">
      <w:pPr>
        <w:pStyle w:val="Tiret1"/>
        <w:rPr>
          <w:noProof/>
        </w:rPr>
      </w:pPr>
      <w:r w:rsidRPr="00557C2A">
        <w:rPr>
          <w:noProof/>
        </w:rPr>
        <w:t>Artikel 16 septies van Richtlijn (EU) 2018/2001 wordt gewijzigd teneinde de mogelijkheid voor lidstaten om de toepassing van hoger openbaar belang te beperken, te schrappen en om de toepassing van het vermoeden van hoger openbaar belang uit te breiden tot conflicten waarbij de desbetreffende belangen verder gaan dan milieubelangen.</w:t>
      </w:r>
    </w:p>
    <w:p w14:paraId="619815B4" w14:textId="77777777" w:rsidR="0079189D" w:rsidRPr="00557C2A" w:rsidRDefault="0079189D" w:rsidP="32400C65">
      <w:pPr>
        <w:pStyle w:val="Tiret1"/>
        <w:rPr>
          <w:noProof/>
        </w:rPr>
      </w:pPr>
      <w:r w:rsidRPr="00557C2A">
        <w:rPr>
          <w:noProof/>
        </w:rPr>
        <w:t xml:space="preserve">Artikel 16 octies wordt ingevoegd in Richtlijn (EU) 2018/2001 om het toepassingsgebied te specificeren van de beoordeling van bevredigende alternatieve oplossingen en van de eis om compenserende maatregelen toe te passen in het kader van de relevante milieuwetgeving van de Unie. </w:t>
      </w:r>
    </w:p>
    <w:p w14:paraId="228576DB" w14:textId="77777777" w:rsidR="00DE4975" w:rsidRPr="00557C2A" w:rsidRDefault="00DE4975" w:rsidP="00C0453A">
      <w:pPr>
        <w:pStyle w:val="Tiret1"/>
        <w:rPr>
          <w:noProof/>
        </w:rPr>
      </w:pPr>
      <w:r w:rsidRPr="00557C2A">
        <w:rPr>
          <w:noProof/>
        </w:rPr>
        <w:t>Artikel 16 nonies wordt ingevoegd in Richtlijn (EU) 2018/2001 om de vergunningsprocedure voor standalone-energieopslag anders dan waterstofopslag, te regelen.</w:t>
      </w:r>
    </w:p>
    <w:p w14:paraId="752D6893" w14:textId="77777777" w:rsidR="00DE4975" w:rsidRPr="00557C2A" w:rsidRDefault="00DE4975" w:rsidP="00C0453A">
      <w:pPr>
        <w:pStyle w:val="Tiret1"/>
        <w:rPr>
          <w:noProof/>
        </w:rPr>
      </w:pPr>
      <w:r w:rsidRPr="00557C2A">
        <w:rPr>
          <w:noProof/>
        </w:rPr>
        <w:t>Artikel 16 decies wordt ingevoegd in Richtlijn (EU) 2018/2001 om de procedure voor vergunningverlening voor laadstations te regelen.</w:t>
      </w:r>
    </w:p>
    <w:p w14:paraId="6A11D85E" w14:textId="77777777" w:rsidR="0097326B" w:rsidRPr="00557C2A" w:rsidRDefault="00DE4975" w:rsidP="00C0453A">
      <w:pPr>
        <w:pStyle w:val="Tiret1"/>
        <w:rPr>
          <w:noProof/>
        </w:rPr>
      </w:pPr>
      <w:r w:rsidRPr="00557C2A">
        <w:rPr>
          <w:noProof/>
        </w:rPr>
        <w:t>Artikel 16 undecies wordt ingevoegd in Richtlijn (EU) 2018/2001 om de vergunningsprocedure voor de hybridisatie van hernieuwbare-energie-installaties te regelen.</w:t>
      </w:r>
    </w:p>
    <w:p w14:paraId="49A68FD9" w14:textId="77777777" w:rsidR="00FC784A" w:rsidRPr="00557C2A" w:rsidRDefault="00152B43" w:rsidP="00C0453A">
      <w:pPr>
        <w:pStyle w:val="Tiret1"/>
        <w:rPr>
          <w:noProof/>
        </w:rPr>
      </w:pPr>
      <w:r w:rsidRPr="00557C2A">
        <w:rPr>
          <w:noProof/>
        </w:rPr>
        <w:t xml:space="preserve">Artikel 17 van Richtlijn (EU) 2018/2001 wordt gewijzigd om alle bepalingen inzake netaansluiting te consolideren, het toepassingsgebied ervan uit te breiden en duidelijke regels in te voeren met betrekking tot de vergunningsprocedures voor netaansluitingen, met inbegrip van gerichte termijnen voor de aansluiting van bepaalde projecten.  </w:t>
      </w:r>
    </w:p>
    <w:p w14:paraId="15E961C9" w14:textId="77777777" w:rsidR="00936EA7" w:rsidRPr="00557C2A" w:rsidRDefault="00936EA7" w:rsidP="000A337C">
      <w:pPr>
        <w:spacing w:before="0"/>
        <w:ind w:left="360"/>
        <w:rPr>
          <w:noProof/>
          <w:u w:val="single"/>
        </w:rPr>
      </w:pPr>
      <w:r w:rsidRPr="00557C2A">
        <w:rPr>
          <w:noProof/>
          <w:u w:val="single"/>
        </w:rPr>
        <w:t>Wijzigingen van Richtlijn (EU) 2019/944 (artikel 2 van dit voorstel)</w:t>
      </w:r>
    </w:p>
    <w:p w14:paraId="3559095A" w14:textId="7342E042" w:rsidR="008900F2" w:rsidRPr="00557C2A" w:rsidRDefault="00BA2D75" w:rsidP="00C0453A">
      <w:pPr>
        <w:pStyle w:val="Tiret1"/>
        <w:rPr>
          <w:noProof/>
        </w:rPr>
      </w:pPr>
      <w:r w:rsidRPr="00557C2A">
        <w:rPr>
          <w:noProof/>
        </w:rPr>
        <w:t>Artikel 8 van Richtlijn (EU) 2019/944 wordt gewijzigd voor de regulering van de vergunningsprocedure voor transmissie- en distributiesysteeminfrastructuur, met de invoering van het vereiste van voldoende middelen voor nationale instanties, termijnen voor vergunningsprocedures, stilzwijgende goedkeuring voor administratieve besluiten, een termijn voor verzoeken om gegevens van instanties aan projectontwikkelaars, een tijdelijk vermoeden van een hoger openbaar belang voor elektriciteitsnetten, een tijdelijke vrijstelling voor de renovatie, modernisering of repowering van bestaande transmissie- en distributienetten van milieueffectbeoordelingen en passende beoordelingen, aspecten in verband met de beoordeling van projecten in het kader van Richtlijn 2000/60/EG en de beoordeling van stikstofemissies die kan worden uitgevoerd om te voldoen aan Richtlijn 92/43/EEG en om milieubeoordelingen tot nieuwe activa te beperken. Tot slot wordt het artikel gewijzigd om de lidstaten te verplichten digitale platforms op te zetten voor het afhandelen van vergunningsaanvragen. Deze platforms zullen ook toegang hebben tot alle gegevens over waarnemingen van soorten en andere ecologische en geologische gegevens die door de bevoegde milieuautoriteiten ter beschikking worden gesteld, overeenkomstig artikel 10, lid 3, van Verordening [</w:t>
      </w:r>
      <w:r w:rsidRPr="00557C2A">
        <w:rPr>
          <w:i/>
          <w:iCs/>
          <w:noProof/>
        </w:rPr>
        <w:t>xxxxx</w:t>
      </w:r>
      <w:r w:rsidRPr="00557C2A">
        <w:rPr>
          <w:noProof/>
        </w:rPr>
        <w:t xml:space="preserve">] van het Europees Parlement en de Raad. </w:t>
      </w:r>
    </w:p>
    <w:p w14:paraId="33C8976A" w14:textId="571B8AA9" w:rsidR="006F6C4D" w:rsidRPr="00557C2A" w:rsidRDefault="008900F2" w:rsidP="00C0453A">
      <w:pPr>
        <w:pStyle w:val="Tiret1"/>
        <w:rPr>
          <w:noProof/>
        </w:rPr>
      </w:pPr>
      <w:r w:rsidRPr="00557C2A">
        <w:rPr>
          <w:noProof/>
        </w:rPr>
        <w:t>Artikel 8 bis wordt ingevoegd in Richtlijn (EU) 2019/944 om het toepassingsgebied te specificeren van de beoordeling van bevredigende alternatieve oplossingen en van de eis om compenserende maatregelen toe te passen in het kader van de relevante milieuwetgeving van de Unie.</w:t>
      </w:r>
    </w:p>
    <w:p w14:paraId="31658F8E" w14:textId="77777777" w:rsidR="008900F2" w:rsidRPr="00557C2A" w:rsidRDefault="008900F2" w:rsidP="00C0453A">
      <w:pPr>
        <w:pStyle w:val="Tiret1"/>
        <w:rPr>
          <w:noProof/>
        </w:rPr>
      </w:pPr>
      <w:r w:rsidRPr="00557C2A">
        <w:rPr>
          <w:noProof/>
        </w:rPr>
        <w:t>Artikel 40 bis wordt in Richtlijn (EU) 2019/944 ingevoegd met het oog op de regulering van netontwikkelingen en bevoegdheden om investeringsbeslissingen te nemen op nationaal niveau. Dit artikel vervangt het bestaande artikel 51 met het oog op de verduidelijking van de juridische toepassing van de relevante bepalingen en beoogt een volledige samenhang met de recente wijzigingen in Richtlijn (EU) 2024/1788 en de TEN-E-verordening te waarborgen.</w:t>
      </w:r>
    </w:p>
    <w:p w14:paraId="20411075" w14:textId="77777777" w:rsidR="008900F2" w:rsidRPr="00557C2A" w:rsidRDefault="008900F2" w:rsidP="00C0453A">
      <w:pPr>
        <w:pStyle w:val="Tiret1"/>
        <w:rPr>
          <w:noProof/>
        </w:rPr>
      </w:pPr>
      <w:r w:rsidRPr="00557C2A">
        <w:rPr>
          <w:noProof/>
        </w:rPr>
        <w:t>Artikel 51 van Richtlijn (EU) 2019/944, betreffende netontwikkeling en bevoegdheden om investeringsbeslissingen te nemen, wordt geschrapt, aangezien dit zal worden geregeld door het nieuwe artikel 40 bis.</w:t>
      </w:r>
    </w:p>
    <w:p w14:paraId="7B21121F" w14:textId="77777777" w:rsidR="00936EA7" w:rsidRPr="00557C2A" w:rsidRDefault="00936EA7" w:rsidP="000A337C">
      <w:pPr>
        <w:spacing w:before="0"/>
        <w:ind w:left="360"/>
        <w:rPr>
          <w:noProof/>
          <w:u w:val="single"/>
        </w:rPr>
      </w:pPr>
      <w:r w:rsidRPr="00557C2A">
        <w:rPr>
          <w:noProof/>
          <w:u w:val="single"/>
        </w:rPr>
        <w:t>Wijzigingen van Richtlijn (EU) 2024/1788 (artikel 3 van dit voorstel)</w:t>
      </w:r>
    </w:p>
    <w:p w14:paraId="3EC12340" w14:textId="77777777" w:rsidR="008900F2" w:rsidRPr="00557C2A" w:rsidRDefault="001D3AB8" w:rsidP="00C0453A">
      <w:pPr>
        <w:pStyle w:val="Tiret1"/>
        <w:rPr>
          <w:noProof/>
        </w:rPr>
      </w:pPr>
      <w:r w:rsidRPr="00557C2A">
        <w:rPr>
          <w:noProof/>
        </w:rPr>
        <w:t>Artikel 8 van Richtlijn (EU) 2024/1788 wordt gewijzigd om het vereiste in te voeren van voldoende middelen voor nationale autoriteiten, stilzwijgende goedkeuring voor administratieve besluiten, een termijn voor verzoeken om gegevens van autoriteiten aan projectontwikkelaars, en een vereiste voor digitale platforms om vergunningsprocedures af te handelen.</w:t>
      </w:r>
    </w:p>
    <w:p w14:paraId="12722EFC" w14:textId="54C70414" w:rsidR="1C2959D0" w:rsidRPr="00557C2A" w:rsidRDefault="00EC5DFA" w:rsidP="00337F44">
      <w:pPr>
        <w:pStyle w:val="Text1"/>
        <w:rPr>
          <w:noProof/>
        </w:rPr>
        <w:sectPr w:rsidR="1C2959D0" w:rsidRPr="00557C2A" w:rsidSect="009832A3">
          <w:headerReference w:type="even" r:id="rId12"/>
          <w:footerReference w:type="even" r:id="rId13"/>
          <w:footerReference w:type="default" r:id="rId14"/>
          <w:headerReference w:type="first" r:id="rId15"/>
          <w:footerReference w:type="first" r:id="rId16"/>
          <w:pgSz w:w="11907" w:h="16839"/>
          <w:pgMar w:top="1134" w:right="1417" w:bottom="1134" w:left="1417" w:header="709" w:footer="709" w:gutter="0"/>
          <w:cols w:space="708"/>
          <w:docGrid w:linePitch="360"/>
        </w:sectPr>
      </w:pPr>
      <w:r w:rsidRPr="00557C2A">
        <w:rPr>
          <w:noProof/>
        </w:rPr>
        <w:t xml:space="preserve"> </w:t>
      </w:r>
    </w:p>
    <w:p w14:paraId="61C7D980" w14:textId="15302D85" w:rsidR="00D9778C" w:rsidRPr="00557C2A" w:rsidRDefault="00557C2A" w:rsidP="00557C2A">
      <w:pPr>
        <w:pStyle w:val="Rfrenceinterinstitutionnelle"/>
        <w:rPr>
          <w:noProof/>
        </w:rPr>
      </w:pPr>
      <w:r>
        <w:rPr>
          <w:noProof/>
        </w:rPr>
        <w:t>2025/0400 (COD)</w:t>
      </w:r>
    </w:p>
    <w:p w14:paraId="16860FE0" w14:textId="17FA6CC3" w:rsidR="00542FCB" w:rsidRPr="00557C2A" w:rsidRDefault="00557C2A" w:rsidP="00557C2A">
      <w:pPr>
        <w:pStyle w:val="Statut"/>
        <w:rPr>
          <w:noProof/>
        </w:rPr>
      </w:pPr>
      <w:r w:rsidRPr="00557C2A">
        <w:rPr>
          <w:noProof/>
        </w:rPr>
        <w:t>Voorstel voor een</w:t>
      </w:r>
    </w:p>
    <w:p w14:paraId="301BCEB5" w14:textId="7CE16FA5" w:rsidR="00542FCB" w:rsidRPr="00557C2A" w:rsidRDefault="00557C2A" w:rsidP="00557C2A">
      <w:pPr>
        <w:pStyle w:val="Typedudocument"/>
        <w:rPr>
          <w:noProof/>
        </w:rPr>
      </w:pPr>
      <w:r w:rsidRPr="00557C2A">
        <w:rPr>
          <w:noProof/>
        </w:rPr>
        <w:t>RICHTLIJN VAN HET EUROPEES PARLEMENT EN DE RAAD</w:t>
      </w:r>
    </w:p>
    <w:p w14:paraId="35D5B06C" w14:textId="5D4DA216" w:rsidR="00542FCB" w:rsidRPr="00557C2A" w:rsidRDefault="00557C2A" w:rsidP="00557C2A">
      <w:pPr>
        <w:pStyle w:val="Titreobjet"/>
        <w:rPr>
          <w:noProof/>
        </w:rPr>
      </w:pPr>
      <w:r w:rsidRPr="00557C2A">
        <w:rPr>
          <w:noProof/>
        </w:rPr>
        <w:t>tot wijziging van de Richtlijnen (EU) 2018/2001, (EU) 2019/944 en (EU) 2024/1788 wat betreft het versnellen van vergunningsprocedures</w:t>
      </w:r>
    </w:p>
    <w:p w14:paraId="61DE01B0" w14:textId="4666DC6E" w:rsidR="00542FCB" w:rsidRPr="00557C2A" w:rsidRDefault="00557C2A" w:rsidP="00557C2A">
      <w:pPr>
        <w:pStyle w:val="IntrtEEE"/>
        <w:rPr>
          <w:noProof/>
        </w:rPr>
      </w:pPr>
      <w:r w:rsidRPr="00557C2A">
        <w:rPr>
          <w:noProof/>
        </w:rPr>
        <w:t>(Voor de EER relevante tekst)</w:t>
      </w:r>
    </w:p>
    <w:p w14:paraId="1CF3B0B4" w14:textId="77777777" w:rsidR="00542FCB" w:rsidRPr="00557C2A" w:rsidRDefault="00542FCB">
      <w:pPr>
        <w:pStyle w:val="Institutionquiagit"/>
        <w:rPr>
          <w:noProof/>
        </w:rPr>
      </w:pPr>
      <w:r w:rsidRPr="00557C2A">
        <w:rPr>
          <w:noProof/>
        </w:rPr>
        <w:t>HET EUROPEES PARLEMENT EN DE RAAD VAN DE EUROPESE UNIE,</w:t>
      </w:r>
    </w:p>
    <w:p w14:paraId="4BCEB538" w14:textId="77777777" w:rsidR="00542FCB" w:rsidRPr="00557C2A" w:rsidRDefault="00542FCB">
      <w:pPr>
        <w:rPr>
          <w:noProof/>
        </w:rPr>
      </w:pPr>
      <w:r w:rsidRPr="00557C2A">
        <w:rPr>
          <w:noProof/>
        </w:rPr>
        <w:t>Gezien het Verdrag betreffende de werking van de Europese Unie, en met name artikel 192, lid 1, en artikel 194, lid 2,</w:t>
      </w:r>
    </w:p>
    <w:p w14:paraId="540AF84A" w14:textId="77777777" w:rsidR="00542FCB" w:rsidRPr="00557C2A" w:rsidRDefault="00542FCB">
      <w:pPr>
        <w:rPr>
          <w:noProof/>
        </w:rPr>
      </w:pPr>
      <w:r w:rsidRPr="00557C2A">
        <w:rPr>
          <w:noProof/>
        </w:rPr>
        <w:t>Gezien het voorstel van de Europese Commissie,</w:t>
      </w:r>
    </w:p>
    <w:p w14:paraId="43E40BA5" w14:textId="77777777" w:rsidR="00542FCB" w:rsidRPr="00557C2A" w:rsidRDefault="00542FCB">
      <w:pPr>
        <w:rPr>
          <w:noProof/>
        </w:rPr>
      </w:pPr>
      <w:r w:rsidRPr="00557C2A">
        <w:rPr>
          <w:noProof/>
        </w:rPr>
        <w:t>Na toezending van het ontwerp van wetgevingshandeling aan de nationale parlementen,</w:t>
      </w:r>
    </w:p>
    <w:p w14:paraId="1E9F8DD6" w14:textId="7F793E75" w:rsidR="00542FCB" w:rsidRPr="00557C2A" w:rsidRDefault="00542FCB">
      <w:pPr>
        <w:rPr>
          <w:noProof/>
        </w:rPr>
      </w:pPr>
      <w:r w:rsidRPr="00557C2A">
        <w:rPr>
          <w:noProof/>
        </w:rPr>
        <w:t>Gezien het advies van het Europees Economisch en Sociaal Comité</w:t>
      </w:r>
      <w:r w:rsidRPr="00557C2A">
        <w:rPr>
          <w:rStyle w:val="FootnoteReference"/>
          <w:noProof/>
        </w:rPr>
        <w:footnoteReference w:id="28"/>
      </w:r>
      <w:r w:rsidRPr="00557C2A">
        <w:rPr>
          <w:noProof/>
        </w:rPr>
        <w:t>,</w:t>
      </w:r>
    </w:p>
    <w:p w14:paraId="6A111CDD" w14:textId="77777777" w:rsidR="00542FCB" w:rsidRPr="00557C2A" w:rsidRDefault="00542FCB" w:rsidP="00337F44">
      <w:pPr>
        <w:jc w:val="left"/>
        <w:rPr>
          <w:noProof/>
        </w:rPr>
      </w:pPr>
      <w:r w:rsidRPr="00557C2A">
        <w:rPr>
          <w:noProof/>
        </w:rPr>
        <w:t>Gezien het advies van het Comité van de Regio’s</w:t>
      </w:r>
      <w:r w:rsidRPr="00557C2A">
        <w:rPr>
          <w:rStyle w:val="FootnoteReference"/>
          <w:noProof/>
        </w:rPr>
        <w:footnoteReference w:id="29"/>
      </w:r>
      <w:r w:rsidRPr="00557C2A">
        <w:rPr>
          <w:noProof/>
        </w:rPr>
        <w:t xml:space="preserve">, </w:t>
      </w:r>
    </w:p>
    <w:p w14:paraId="2D8D271F" w14:textId="77777777" w:rsidR="00542FCB" w:rsidRPr="00557C2A" w:rsidRDefault="00542FCB">
      <w:pPr>
        <w:rPr>
          <w:noProof/>
        </w:rPr>
      </w:pPr>
      <w:r w:rsidRPr="00557C2A">
        <w:rPr>
          <w:noProof/>
        </w:rPr>
        <w:t>Handelend volgens de gewone wetgevingsprocedure,</w:t>
      </w:r>
    </w:p>
    <w:p w14:paraId="1B22AC20" w14:textId="77777777" w:rsidR="00542FCB" w:rsidRPr="00557C2A" w:rsidRDefault="00542FCB">
      <w:pPr>
        <w:rPr>
          <w:noProof/>
        </w:rPr>
      </w:pPr>
      <w:r w:rsidRPr="00557C2A">
        <w:rPr>
          <w:noProof/>
        </w:rPr>
        <w:t>Overwegende hetgeen volgt:</w:t>
      </w:r>
    </w:p>
    <w:p w14:paraId="1C3215A1" w14:textId="50AF12EA" w:rsidR="008D3FAE" w:rsidRPr="00557C2A" w:rsidRDefault="00851F2E" w:rsidP="00B226B5">
      <w:pPr>
        <w:pStyle w:val="ManualConsidrant"/>
        <w:rPr>
          <w:noProof/>
        </w:rPr>
      </w:pPr>
      <w:r>
        <w:rPr>
          <w:noProof/>
        </w:rPr>
        <w:t>(1)</w:t>
      </w:r>
      <w:r>
        <w:rPr>
          <w:noProof/>
        </w:rPr>
        <w:tab/>
      </w:r>
      <w:r w:rsidRPr="00557C2A">
        <w:rPr>
          <w:noProof/>
        </w:rPr>
        <w:t xml:space="preserve">Trage en ingewikkelde vergunningsprocedures, ook voor netaansluitingen, behoren tot de belangrijkste factoren die tot vertragingen bij de ontwikkeling van energieprojecten leiden. De aanleg van elektriciteitstransmissienetten duurt ongeveer tien jaar, waarbij vergunningverlening goed is voor meer dan de helft van de benodigde tijd. Evenzo kan de duur van het verlenen van vergunningen voor hernieuwbare-energieprojecten nog steeds tot negen jaar oplopen, afhankelijk van de lidstaat en de betrokken technologie. De aanleg van opslaginstallaties kan, afhankelijk van de technologie, één tot zeven jaar in beslag nemen. De vergunningsprocedures voor de bouw of transformatie van laadstations langs snelwegen en in depots kunnen in sommige lidstaten tot twee jaar in beslag nemen. De trage vergunningverlening is onder meer te wijten aan versnipperde administratieve systemen bij meerdere autoriteiten, onvoldoende personeel bij de autoriteiten, de duur van milieubeoordelingen, een gebrek aan publieke aanvaarding, beperkte digitalisering en beschikbaarheid van gegevens, en administratieve en gerechtelijke procedures. </w:t>
      </w:r>
    </w:p>
    <w:p w14:paraId="48747856" w14:textId="77777777" w:rsidR="005E3AAC" w:rsidRPr="00557C2A" w:rsidRDefault="0018409C" w:rsidP="00670EF4">
      <w:pPr>
        <w:pStyle w:val="ManualConsidrant"/>
        <w:rPr>
          <w:rFonts w:eastAsia="Arial Unicode MS"/>
          <w:noProof/>
        </w:rPr>
      </w:pPr>
      <w:r>
        <w:rPr>
          <w:noProof/>
        </w:rPr>
        <w:t>(2)</w:t>
      </w:r>
      <w:r>
        <w:rPr>
          <w:noProof/>
        </w:rPr>
        <w:tab/>
      </w:r>
      <w:r w:rsidRPr="00557C2A">
        <w:rPr>
          <w:noProof/>
        </w:rPr>
        <w:t>De afgelopen jaren zijn op het niveau van de Unie nieuwe maatregelen ingevoerd om de vergunningverlening voor hernieuwbare-energieprojecten en, tot op zekere hoogte, infrastructuurprojecten te versnellen. In 2022 is Verordening (EU) 2022/2577 van de Raad</w:t>
      </w:r>
      <w:r w:rsidRPr="00557C2A">
        <w:rPr>
          <w:rStyle w:val="FootnoteReference"/>
          <w:rFonts w:eastAsia="Arial Unicode MS"/>
          <w:noProof/>
        </w:rPr>
        <w:footnoteReference w:id="30"/>
      </w:r>
      <w:r w:rsidRPr="00557C2A">
        <w:rPr>
          <w:noProof/>
        </w:rPr>
        <w:t xml:space="preserve"> vastgesteld om de vergunningsprocedures voor hernieuwbare-energieprojecten en bijbehorende infrastructuurprojecten te versnellen. De gedeeltelijke toepassing ervan is bij Verordening (EU) 2024/223 van de Raad</w:t>
      </w:r>
      <w:r w:rsidRPr="00557C2A">
        <w:rPr>
          <w:rStyle w:val="FootnoteReference"/>
          <w:rFonts w:eastAsia="Arial Unicode MS"/>
          <w:noProof/>
        </w:rPr>
        <w:footnoteReference w:id="31"/>
      </w:r>
      <w:r w:rsidRPr="00557C2A">
        <w:rPr>
          <w:noProof/>
        </w:rPr>
        <w:t xml:space="preserve"> verlengd tot 30 juni 2025. Bovendien is Richtlijn (EU) 2018/2001 van het Europees Parlement en de Raad</w:t>
      </w:r>
      <w:r w:rsidRPr="00557C2A">
        <w:rPr>
          <w:rStyle w:val="FootnoteReference"/>
          <w:noProof/>
        </w:rPr>
        <w:footnoteReference w:id="32"/>
      </w:r>
      <w:r w:rsidRPr="00557C2A">
        <w:rPr>
          <w:noProof/>
        </w:rPr>
        <w:t xml:space="preserve"> gewijzigd bij Richtlijn (EU) 2023/2413 van het Europees Parlement en de Raad</w:t>
      </w:r>
      <w:r w:rsidRPr="00557C2A">
        <w:rPr>
          <w:rStyle w:val="FootnoteReference"/>
          <w:noProof/>
        </w:rPr>
        <w:footnoteReference w:id="33"/>
      </w:r>
      <w:r w:rsidRPr="00557C2A">
        <w:rPr>
          <w:noProof/>
        </w:rPr>
        <w:t xml:space="preserve"> om de administratieve procedures voor de vergunningverlening voor hernieuwbare-energie-installaties te stroomlijnen door de invoering van een alomvattend vergunningskader, met kortere termijnen en eenvoudigere regels. De gewijzigde richtlijn omvatte verplichtingen om gebieden in kaart te brengen, gebieden aan te wijzen voor de versnelde uitrol van hernieuwbare energie waar de milieueffecten van projecten naar verwachting gering zullen zijn en waarvoor dus snellere en eenvoudigere regels kunnen gelden, en facultatieve maatregelen om gebieden voor de versnelde uitrol van infrastructuurprojecten vast te stellen, waarbij deze projecten onder bepaalde voorwaarden zijn vrijgesteld van een milieueffectbeoordeling, zoals het uitvoeren van een strategische milieubeoordeling van het gebied. </w:t>
      </w:r>
    </w:p>
    <w:p w14:paraId="37395395" w14:textId="77777777" w:rsidR="0044115C" w:rsidRPr="00557C2A" w:rsidRDefault="00CA753B" w:rsidP="00670EF4">
      <w:pPr>
        <w:pStyle w:val="ManualConsidrant"/>
        <w:rPr>
          <w:noProof/>
        </w:rPr>
      </w:pPr>
      <w:r>
        <w:rPr>
          <w:noProof/>
        </w:rPr>
        <w:t>(3)</w:t>
      </w:r>
      <w:r>
        <w:rPr>
          <w:noProof/>
        </w:rPr>
        <w:tab/>
      </w:r>
      <w:r w:rsidRPr="00557C2A">
        <w:rPr>
          <w:noProof/>
        </w:rPr>
        <w:t>Het is nodig om de administratieve vergunningsprocedures op een gecoördineerde en geharmoniseerde manier verder te vereenvoudigen en te verkorten, om ervoor te zorgen dat de Unie haar ambitieuze klimaat- en energiedoelstellingen voor 2030 en de doelstelling van klimaatneutraliteit tegen 2050 verwezenlijkt. Richtlijn (EU) 2018/2001 ging niet in op belangrijke kwesties die de vergunningsprocedures en de integratie van hernieuwbare-energiebronnen in het systeem aanzienlijk vertragen, zoals trage vergunningsprocedures voor netten, standalone-energieopslag of laadstations, gebrek aan publieke aanvaarding of onvoldoende digitalisering van procedures. Bovendien bevatte die richtlijn slechts enkele van de maatregelen van Verordening (EU) 2022/2577, terwijl verschillende belangrijke daarin opgenomen maatregelen die niet langer van toepassing zijn, ontbreken, zoals die om de prioriteit van hernieuwbare-energieprojecten uit te breiden tot meer dan alleen milieuaspecten en die om de naleving van bepaalde milieuvoorschriften te stroomlijnen. Tot slot zijn enkele gerichte wijzigingen van bestaande maatregelen van Richtlijn (EU) 2018/2001 nodig om de volledige doeltreffendheid ervan te waarborgen.</w:t>
      </w:r>
    </w:p>
    <w:p w14:paraId="2D485AE4" w14:textId="77777777" w:rsidR="00276A48" w:rsidRPr="00557C2A" w:rsidRDefault="00415C13" w:rsidP="00670EF4">
      <w:pPr>
        <w:pStyle w:val="ManualConsidrant"/>
        <w:rPr>
          <w:noProof/>
        </w:rPr>
      </w:pPr>
      <w:r>
        <w:rPr>
          <w:noProof/>
        </w:rPr>
        <w:t>(4)</w:t>
      </w:r>
      <w:r>
        <w:rPr>
          <w:noProof/>
        </w:rPr>
        <w:tab/>
      </w:r>
      <w:bookmarkStart w:id="1" w:name="_Hlk211418715"/>
      <w:r w:rsidRPr="00557C2A">
        <w:rPr>
          <w:noProof/>
        </w:rPr>
        <w:t>Artikel 15 quater van Richtlijn (EU) 2018/2001 voert voor de lidstaten de verplichting in om gebieden voor de versnelde uitrol van hernieuwbare energie aan te wijzen voor ten minste één hernieuwbare-energietechnologie. Met het oog op die aanwijzing kunnen de lidstaten bepaalde gebieden uitsluiten als gebieden voor de versnelde uitrol van hernieuwbare energie vanwege hun hoge milieuwaarde en kwetsbaarheid. Om de doelstellingen van de aanwijzing van gebieden voor de versnelde uitrol van hernieuwbare energie niet te ondermijnen</w:t>
      </w:r>
      <w:bookmarkStart w:id="2" w:name="_Hlk211332764"/>
      <w:r w:rsidRPr="00557C2A">
        <w:rPr>
          <w:noProof/>
        </w:rPr>
        <w:t>, mogen de lidstaten echter geen grote gebieden aanwijzen waar de installatie van hernieuwbare-energieprojecten a priori niet mogelijk is om milieuredenen, waaronder de bescherming van het landschap, aangezien die projecten moeten worden onderworpen aan de relevante specifieke milieubeoordelingen waarmee de potentiële milieueffecten kunnen worden geïdentificeerd en aangepakt.</w:t>
      </w:r>
    </w:p>
    <w:bookmarkEnd w:id="1"/>
    <w:bookmarkEnd w:id="2"/>
    <w:p w14:paraId="4BD3958C" w14:textId="77777777" w:rsidR="00712F4A" w:rsidRPr="00557C2A" w:rsidRDefault="008B245A">
      <w:pPr>
        <w:pStyle w:val="ManualConsidrant"/>
        <w:rPr>
          <w:noProof/>
        </w:rPr>
      </w:pPr>
      <w:r>
        <w:rPr>
          <w:noProof/>
        </w:rPr>
        <w:t>(5)</w:t>
      </w:r>
      <w:r>
        <w:rPr>
          <w:noProof/>
        </w:rPr>
        <w:tab/>
      </w:r>
      <w:r w:rsidRPr="00557C2A">
        <w:rPr>
          <w:noProof/>
        </w:rPr>
        <w:t>Ondeugdelijke processen voor inspraak van het publiek, die leiden tot verzet in de vorm van administratieve en gerechtelijke procedures, blijven de uitvoering van belangrijke energieprojecten vertragen. Deze procedures leiden tot extra stappen buiten de voorziene termijnen voor administratieve vergunningsprocedures, wat onvoorziene vertragingen veroorzaakt waarvan de duur varieert naargelang de snelheid van de gerechtelijke procedures in de betrokken lidstaat. Het gebrek aan publieke aanvaarding is een van de belangrijkste belemmeringen voor vergunningsprocedures voor hernieuwbare energie en dus voor de aanvaarding door de markt. Door te zorgen voor publieke inspraak van lokale gemeenschappen in hernieuwbare-energieprojecten, met name de grotere projecten, kan de publieke aanvaarding worden vergroot. Daarom moeten de lidstaten maatregelen nemen om ervoor te zorgen dat de voordelen van grote hernieuwbare-energieprojecten worden gedeeld met lokale burgers en gemeenschappen door middel van directe of indirecte participatie, zonder afbreuk te doen aan de vrije keuze van leverancier overeenkomstig artikel 4 van Richtlijn (EU) 2019/944 van het Europees Parlement en de Raad</w:t>
      </w:r>
      <w:r w:rsidRPr="00557C2A">
        <w:rPr>
          <w:rStyle w:val="FootnoteReference"/>
          <w:noProof/>
        </w:rPr>
        <w:footnoteReference w:id="34"/>
      </w:r>
      <w:r w:rsidRPr="00557C2A">
        <w:rPr>
          <w:noProof/>
        </w:rPr>
        <w:t xml:space="preserve">. Dergelijke maatregelen kunnen bestaan uit maatregelen voor directe financiële participatie, in verschillende vormen, zoals regelingen voor mede-eigendom, onder meer via samenwerking met energiegemeenschappen; crowdfundingregelingen, regelingen voor zelfverbruik van hernieuwbare energie of voor energiedeling, of maatregelen voor indirecte financiële participatie, zoals het bevorderen van contracten en het scheppen van banen voor de lokale gemeenschappen, met inbegrip van opleidingsprogramma’s; fondsen ten behoeve van gemeenschapsvoordelen; financiële compensatie voor lokale gemeenschappen in de nabijheid van het project; aanleg en onderhoud van de openbare infrastructuur in de nabijheid van het project; kortingen op de elektriciteitsprijs, of steun voor kwetsbare klanten en mensen die door energiearmoede worden getroffen. </w:t>
      </w:r>
    </w:p>
    <w:p w14:paraId="0F1D08F5" w14:textId="77777777" w:rsidR="001535BB" w:rsidRPr="00557C2A" w:rsidRDefault="0009691A">
      <w:pPr>
        <w:pStyle w:val="ManualConsidrant"/>
        <w:rPr>
          <w:noProof/>
        </w:rPr>
      </w:pPr>
      <w:r>
        <w:rPr>
          <w:noProof/>
        </w:rPr>
        <w:t>(6)</w:t>
      </w:r>
      <w:r>
        <w:rPr>
          <w:noProof/>
        </w:rPr>
        <w:tab/>
      </w:r>
      <w:r w:rsidRPr="00557C2A">
        <w:rPr>
          <w:noProof/>
        </w:rPr>
        <w:t>Lokaal verzet, vaak voortkomend uit een gebrek aan transparantie, en onvoldoende betrokkenheid van de gemeenschap kunnen leiden tot vertragingen in de vergunningsprocedures en daaruit voortvloeiende rechtszaken. Vroegtijdige en passende betrokkenheid van het publiek is een duidelijke succesfactor bij hernieuwbare-energieprojecten, zoals aangegeven in Aanbeveling (EU) 2024/1343 van de Commissie</w:t>
      </w:r>
      <w:r w:rsidRPr="00557C2A">
        <w:rPr>
          <w:rStyle w:val="FootnoteReference"/>
          <w:noProof/>
        </w:rPr>
        <w:footnoteReference w:id="35"/>
      </w:r>
      <w:r w:rsidRPr="00557C2A">
        <w:rPr>
          <w:noProof/>
        </w:rPr>
        <w:t xml:space="preserve">. Een professionele onafhankelijke facilitator kan de inzet van grote hernieuwbare-energie-installaties van meer dan 10 MW versnellen door, waar nodig, voorafgaand aan en tijdens de vergunningsprocedures overleg tussen de projectontwikkelaars en de lokale gemeenschappen te bevorderen, met als doel de dialoog te stimuleren en consensus te bereiken tussen de betrokken partijen gedurende het hele proces en juridische geschillen te voorkomen. De facilitator moet een derde partij zijn, onafhankelijk van de betrokken partijen, en mag geen financiële belangen hebben die verband houden met de ontwikkelaar of de gemeenschap waar het project zich bevindt. </w:t>
      </w:r>
    </w:p>
    <w:p w14:paraId="67ED6476" w14:textId="77777777" w:rsidR="00B1551C" w:rsidRPr="00557C2A" w:rsidRDefault="006E3EAE" w:rsidP="00B1551C">
      <w:pPr>
        <w:pStyle w:val="ManualConsidrant"/>
        <w:rPr>
          <w:noProof/>
        </w:rPr>
      </w:pPr>
      <w:r>
        <w:rPr>
          <w:noProof/>
        </w:rPr>
        <w:t>(7)</w:t>
      </w:r>
      <w:r>
        <w:rPr>
          <w:noProof/>
        </w:rPr>
        <w:tab/>
      </w:r>
      <w:r w:rsidRPr="00557C2A">
        <w:rPr>
          <w:noProof/>
        </w:rPr>
        <w:t>Het gebrek aan middelen van vergunningverlenende instanties en het gebrek aan digitalisering van de vergunningsprocedures en beschikbaarheid van gegevens zijn knelpunten die de vergunningsprocedures vertragen. Digitalisering en een passend gebruik van kunstmatige intelligentie zijn essentiële instrumenten om de procedures te versnellen en de efficiëntie voor alle betrokken partijen te vergroten. Hierdoor kunnen de instanties aanvragen sneller behandelen en hebben projectontwikkelaars vanaf het begin snel toegang tot duidelijke informatie over de stappen en vereisten van de procedure, wat de transparantie en monitoring ten goede komt. De digitalisering van vergunningsprocedures loopt echter achter, omdat deze vaak versnipperd is over procedures en stappen bij de verschillende bevoegde instanties en er in de meeste lidstaten geen uniform digitaal proces bestaat</w:t>
      </w:r>
      <w:r w:rsidRPr="00557C2A">
        <w:rPr>
          <w:rStyle w:val="FootnoteReference"/>
          <w:noProof/>
        </w:rPr>
        <w:footnoteReference w:id="36"/>
      </w:r>
      <w:r w:rsidRPr="00557C2A">
        <w:rPr>
          <w:noProof/>
        </w:rPr>
        <w:t xml:space="preserve">. Bovendien wordt vaak meer dan één digitaal portaal gebruikt om dezelfde projectaanvraag te behandelen en is de interoperabiliteit niet altijd gewaarborgd. Dit leidt tot hoge administratieve lasten voor projectontwikkelaars, beperkte interne coördinatie tussen autoriteiten die zich op verschillende niveaus bezighouden met vergunningsprocedures, onduidelijkheid over de status van de aanvraag en onduidelijkheid over de knelpunten die de vergunningsprocedures vertragen. De lidstaten moeten op nationaal niveau een centraal digitaal portaal opzetten voor alle stappen van de vergunningsprocedures voor projecten op het gebied van hernieuwbare energie, opslag en netten, zodat dit bijdraagt tot een uniformere digitalisering en meer interoperabiliteit en transparantie tussen de verschillende vergunningverlenende instanties in de lidstaten, en uiteindelijk de vergunningsprocedures versnelt. Het moet ook het proces vereenvoudigen door aanvragers in staat te stellen hun aanvraag in te dienen via een centraal portaal dat de aanvragen automatisch toewijst aan de bevoegde instantie, die deze rechtstreeks in het portaal behandelt, waardoor tussenstappen op papier worden vermeden. Het portaal moet over functies beschikken, onder meer door middel van kunstmatige intelligentie, waarmee het centrale contactpunt, andere autoriteiten en aanvragers de status van de aanvraag en eventuele vertragingen kunnen controleren, evenals de naleving van de termijnen van vergunningverlening. Bovendien moet het mogelijk zijn statistieken te genereren om de algemene voortgang van de vergunningsprocedures in de lidstaten te controleren. Voor de opslag en communicatie van de relevante gegevens die via het portaal worden verzameld, moet een interoperabel formaat worden gekozen. Het portaal moet de taken van het centrale contactpunt vergemakkelijken, dat toegang moet hebben tot alle relevante gegevens en informatie.   </w:t>
      </w:r>
    </w:p>
    <w:p w14:paraId="1933EB52" w14:textId="77777777" w:rsidR="00A06070" w:rsidRPr="00557C2A" w:rsidRDefault="006933C6" w:rsidP="00A06070">
      <w:pPr>
        <w:pStyle w:val="ManualConsidrant"/>
        <w:rPr>
          <w:noProof/>
        </w:rPr>
      </w:pPr>
      <w:r>
        <w:rPr>
          <w:noProof/>
        </w:rPr>
        <w:t>(8)</w:t>
      </w:r>
      <w:r>
        <w:rPr>
          <w:noProof/>
        </w:rPr>
        <w:tab/>
      </w:r>
      <w:r w:rsidRPr="00557C2A">
        <w:rPr>
          <w:noProof/>
        </w:rPr>
        <w:t xml:space="preserve">Snellere en kortere termijnen voor vergunningsprocedures moeten gepaard gaan met aanvullende maatregelen die de doeltreffendheid ervan in de praktijk waarborgen. Bij administratieve stilzwijgende goedkeuring wordt een aanvraag automatisch goedgekeurd als de overheid niet binnen een wettelijk vastgestelde termijn handelt, en dit is daarom een nuttig instrument om verzuim van de overheid aan te pakken door het stilzwijgen van de overheid rechtsgeldig te maken. Bij Richtlijn (EU) 2018/2001 wordt  stilzwijgende goedkeuring voor bepaalde besluiten ingevoerd, namelijk voor tussenstappen in de vergunningsprocedure in gebieden voor de versnelde uitrol van hernieuwbare energie, en voor de definitieve vergunningen voor alle kleinschalige zonne-energie-installaties met een capaciteit van minder dan 100 kW. Aangezien de uitrol van hernieuwbare-energiebronnen moet worden versneld en de uitvoering in voor de versnelde uitrol van hernieuwbare energie aangewezen gebieden een tijdrovend proces is, is het passend om deze maatregel ook toe te passen in de vergunningsprocedures die van toepassing zijn op projecten buiten gebieden voor versnelde uitrol. In deze procedures moeten de lidstaten ervoor zorgen dat het beginsel van administratieve stilzwijgende goedkeuring wordt toegepast, ook voor definitieve besluiten, met uitzondering van milieubeslissingen. Om een doeltreffende toepassing van deze maatregel te waarborgen en de rechten van derden op rechterlijke bescherming te garanderen, moeten de relevante instanties bekendmaken dat een besluit stilzwijgend is goedgekeurd. </w:t>
      </w:r>
    </w:p>
    <w:p w14:paraId="77D76434" w14:textId="77777777" w:rsidR="00C949A3" w:rsidRPr="00557C2A" w:rsidRDefault="005F6BD1" w:rsidP="00C949A3">
      <w:pPr>
        <w:pStyle w:val="ManualConsidrant"/>
        <w:rPr>
          <w:noProof/>
        </w:rPr>
      </w:pPr>
      <w:r>
        <w:rPr>
          <w:noProof/>
        </w:rPr>
        <w:t>(9)</w:t>
      </w:r>
      <w:r>
        <w:rPr>
          <w:noProof/>
        </w:rPr>
        <w:tab/>
      </w:r>
      <w:r w:rsidRPr="00557C2A">
        <w:rPr>
          <w:noProof/>
        </w:rPr>
        <w:t>Repowering van bestaande elektriciteitscentrales die gebruikmaken van hernieuwbare energie kan in aanzienlijke mate bijdragen tot de verwezenlijking van de streefcijfers voor hernieuwbare energie. Aangezien bestaande elektriciteitscentrales die gebruikmaken van hernieuwbare energie voor het grootste deel zijn geïnstalleerd op locaties met een aanzienlijk potentieel aan hernieuwbare-energiebronnen, kan repowering ervoor zorgen dat deze locaties in gebruik blijven, waardoor een efficiënt landgebruik en een efficiënte exploitatie van de beste hernieuwbare-energiebronnen worden gewaarborgd. Dit geldt met name voor onshorewindenergie, vooral omdat in Europa veel windparken op land het einde van hun contracten voor elektriciteitsopwekking naderen en dat 26 GW aan bestaande windparken al meer dan 20 jaar in bedrijf is</w:t>
      </w:r>
      <w:r w:rsidRPr="00557C2A">
        <w:rPr>
          <w:rStyle w:val="FootnoteReference"/>
          <w:noProof/>
        </w:rPr>
        <w:footnoteReference w:id="37"/>
      </w:r>
      <w:r w:rsidRPr="00557C2A">
        <w:rPr>
          <w:noProof/>
        </w:rPr>
        <w:t>. Repowering biedt nog meer voordelen, zoals een bestaande netaansluiting, een waarschijnlijk grotere mate van publieke aanvaarding en kennis van de verwachte milieueffecten. Aangezien repowering van windparken vaak leidt tot een lager aantal turbines dat op dezelfde locatie wordt geïnstalleerd, zijn de milieueffecten van gerepowerde windparken beperkt. Daarom moeten de eisen inzake milieuonderzoeken of milieueffectbeoordeling worden versoepeld of zelfs worden opgeheven wanneer repowering van een bestaand windpark geen extra grondoppervlakte vereist, de totale capaciteit van de installatie vergroot en voldoet aan de toepasselijke mitigerende milieumaatregelen die voor de oorspronkelijke windenergie-installatie zijn vastgesteld.</w:t>
      </w:r>
    </w:p>
    <w:p w14:paraId="1D2C20AB" w14:textId="67757764" w:rsidR="00FE2F20" w:rsidRPr="00557C2A" w:rsidRDefault="008C5061" w:rsidP="00FE2F20">
      <w:pPr>
        <w:pStyle w:val="ManualConsidrant"/>
        <w:rPr>
          <w:noProof/>
        </w:rPr>
      </w:pPr>
      <w:r>
        <w:rPr>
          <w:noProof/>
        </w:rPr>
        <w:t>(10)</w:t>
      </w:r>
      <w:r>
        <w:rPr>
          <w:noProof/>
        </w:rPr>
        <w:tab/>
      </w:r>
      <w:r w:rsidRPr="00557C2A">
        <w:rPr>
          <w:noProof/>
        </w:rPr>
        <w:t>Installaties voor zelfverbruik, met inbegrip van die voor gezamenlijk optredende zelfverbruikers en lokale energiegemeenschappen, dragen ook bij tot een lagere totale vraag naar aardgas, tot een weerbaarder systeem en tot de verwezenlijking van de streefdoelen van de Unie op het gebied van hernieuwbare energie. De installatie van apparatuur voor zonne-energie en energieopslag op één locatie met een capaciteit van minder dan 100 kW heeft waarschijnlijk geen significante nadelige gevolgen voor het milieu of het elektriciteitsnet en levert geen veiligheidsproblemen op. Verder is er voor kleine installaties doorgaans geen capaciteitsuitbreiding op het netaansluitpunt nodig. Om de inzet van kleinschalige apparatuur voor zonne-energie en energieopslag op één locatie verder te versnellen, mogen de lidstaten geen administratieve vergunningen voor deze installaties eisen, met uitzondering van de vergunningen voor netaansluitingen, zoals reeds het geval is in verschillende lidstaten. Door de wetgeving van de Unie af te stemmen op bestaande beste praktijken moet de inzet van deze installaties op een geharmoniseerde manier verder kunnen worden versneld. De installatie van apparatuur voor zonne-energie en energieopslag op één locatie met een capaciteit van meer dan 100 kW in bestaande of toekomstige kunstmatige constructies geeft doorgaans geen aanleiding tot bezorgdheid in verband met concurrerend ruimtegebruik of milieueffecten. Voor deze installaties moeten daarom kortere vergunningsprocedures gelden en zij moeten, met passende waarborgen, worden vrijgesteld van de verplichte milieueffectbeoordeling overeenkomstig Richtlijn 2011/92/EU van het Europees Parlement en de Raad</w:t>
      </w:r>
      <w:r w:rsidRPr="00557C2A">
        <w:rPr>
          <w:rStyle w:val="FootnoteReference"/>
          <w:noProof/>
        </w:rPr>
        <w:footnoteReference w:id="38"/>
      </w:r>
      <w:r w:rsidRPr="00557C2A">
        <w:rPr>
          <w:noProof/>
        </w:rPr>
        <w:t xml:space="preserve">. </w:t>
      </w:r>
    </w:p>
    <w:p w14:paraId="40EE0AAD" w14:textId="2EBA46B1" w:rsidR="00DF7B66" w:rsidRPr="00557C2A" w:rsidRDefault="00925753" w:rsidP="00FE2F20">
      <w:pPr>
        <w:pStyle w:val="ManualConsidrant"/>
        <w:rPr>
          <w:noProof/>
        </w:rPr>
      </w:pPr>
      <w:r>
        <w:rPr>
          <w:noProof/>
        </w:rPr>
        <w:t>(11)</w:t>
      </w:r>
      <w:r>
        <w:rPr>
          <w:noProof/>
        </w:rPr>
        <w:tab/>
      </w:r>
      <w:r w:rsidRPr="00557C2A">
        <w:rPr>
          <w:noProof/>
        </w:rPr>
        <w:t>Hernieuwbare energie speelt een sleutelrol in de decarbonisatie van het energiesysteem van de Unie door onmiddellijke oplossingen te bieden ter vervanging van op fossiele brandstoffen gebaseerde energie, en draagt bij tot lagere energieprijzen en grotere energiezekerheid. Daarom mag de goedkeuring van hernieuwbare-energieprojecten niet al te gemakkelijk worden geblokkeerd door het loutere bestaan van enige vorm van belangenconflict. De lidstaten moeten installaties voor hernieuwbare energie en infrastructuur, zoals op één locatie geplaatste en standalone-opslagfaciliteiten en de bijbehorende netten en laadstations, bevorderen door het bestaande vermoeden dat geldt voor conflicten met milieubelangen uit te breiden tot alle andere belangenconflicten, met uitzondering van belangen van cultureel erfgoed en wanneer het duidelijk is dat die conflicterende belangen voorrang moeten krijgen ondanks de belangrijke voordelen van hernieuwbare energie. Hernieuwbare-energieprojecten moeten, wanneer wordt vermoed dat zij een hoger openbaar belang dienen dan niet aan het milieu gerelateerde belangen, voorrang krijgen en worden goedgekeurd. Om een geharmoniseerde toepassing van dit weerlegbaar vermoeden te waarborgen, mogen de lidstaten geen uitzonderingen invoeren bij alle soorten conflicten waarmee zij te maken hebben, met inbegrip van milieuconflicten.</w:t>
      </w:r>
    </w:p>
    <w:p w14:paraId="071C5E6D" w14:textId="3B36B198" w:rsidR="00F92FF1" w:rsidRPr="00557C2A" w:rsidRDefault="00CF24C3" w:rsidP="00282E5A">
      <w:pPr>
        <w:pStyle w:val="ManualConsidrant"/>
        <w:rPr>
          <w:noProof/>
        </w:rPr>
      </w:pPr>
      <w:r>
        <w:rPr>
          <w:noProof/>
        </w:rPr>
        <w:t>(12)</w:t>
      </w:r>
      <w:r>
        <w:rPr>
          <w:noProof/>
        </w:rPr>
        <w:tab/>
      </w:r>
      <w:r w:rsidRPr="00557C2A">
        <w:rPr>
          <w:noProof/>
        </w:rPr>
        <w:t>Om de invoering van hernieuwbare-energiebronnen, de daarmee verband houdende activa en de aansluiting ervan op het net te versnellen, is het passend om ook te specificeren hoe aan de overige voorwaarden voor de toepassing van specifieke afwijkingen, zoals bepaald in de milieuwetgeving van de Unie, kan worden voldaan. Voor de toepassing van de relevante milieuwetgeving van de Unie moet met name bij de beoordeling of er bevredigende alternatieve oplossingen voor het specifieke hernieuwbare-energieproject bestaan, het toepassingsgebied van die beoordeling worden beperkt tot alternatieve oplossingen die ervoor zorgen dat de doelstellingen van het project in kwestie binnen hetzelfde of een vergelijkbaar tijdschema worden bereikt, zonder dat dit tot aanzienlijk hogere kosten leidt. Bij het vergelijken van het tijdschema en de kosten van bevredigende alternatieve oplossingen moeten de bevoegde instanties rekening houden met de noodzaak om hernieuwbare energie op een versnelde en kosteneffectieve manier uit te rollen overeenkomstig de prioriteiten die zijn vastgelegd in hun geïntegreerde nationale energie- en klimaatplannen en de actualiseringen daarvan, die zijn ingediend overeenkomstig Verordening (EU) 2018/1999 van het Europees Parlement en de Raad</w:t>
      </w:r>
      <w:r w:rsidRPr="00557C2A">
        <w:rPr>
          <w:rStyle w:val="FootnoteReference"/>
          <w:noProof/>
        </w:rPr>
        <w:footnoteReference w:id="39"/>
      </w:r>
      <w:r w:rsidRPr="00557C2A">
        <w:rPr>
          <w:noProof/>
        </w:rPr>
        <w:t xml:space="preserve">, en met de verwachte snelheid waarmee die prioriteiten kunnen worden verwezenlijkt. Evenzo is het bij de toepassing van de betrokken afwijking overeenkomstig Richtlijn 92/43/EEG van de Raad </w:t>
      </w:r>
      <w:r w:rsidRPr="00557C2A">
        <w:rPr>
          <w:rStyle w:val="FootnoteReference"/>
          <w:noProof/>
        </w:rPr>
        <w:footnoteReference w:id="40"/>
      </w:r>
      <w:r w:rsidRPr="00557C2A">
        <w:rPr>
          <w:noProof/>
        </w:rPr>
        <w:t>, passend dat de bevoegde instanties in bepaalde gerechtvaardigde gevallen waarin redelijkerwijs kan worden aangetoond dat het betrokken plan of project geen onomkeerbare gevolgen heeft voor de ecologische processen die essentieel zijn voor het behoud van de structuur en functies van het gebied, dat de algehele samenhang van het Natura 2000-netwerk niet in het gedrang komt, de ecologische integriteit van het gebied behouden blijft en een hoog niveau van bescherming van de Natura 2000-gebieden wordt gewaarborgd, toestaan dat de compenserende maatregelen gelijktijdig met de uitvoering van dat plan of project worden uitgevoerd.</w:t>
      </w:r>
    </w:p>
    <w:p w14:paraId="665F2B53" w14:textId="7E64050C" w:rsidR="00282BEF" w:rsidRPr="00557C2A" w:rsidRDefault="00C23238" w:rsidP="000055D4">
      <w:pPr>
        <w:pStyle w:val="ManualConsidrant"/>
        <w:rPr>
          <w:noProof/>
        </w:rPr>
      </w:pPr>
      <w:r>
        <w:rPr>
          <w:noProof/>
        </w:rPr>
        <w:t>(13)</w:t>
      </w:r>
      <w:r>
        <w:rPr>
          <w:noProof/>
        </w:rPr>
        <w:tab/>
      </w:r>
      <w:r w:rsidRPr="00557C2A">
        <w:rPr>
          <w:noProof/>
        </w:rPr>
        <w:t xml:space="preserve">De versnelde invoering van standalone-energieopslag is van cruciaal belang om de flexibiliteit van het energiesysteem te vergroten en de integratie van hernieuwbare-energieproductie in het systeem te waarborgen. Voor standalone-opslag moeten daarom van versnelde vergunningsprocedures gelden. Kleinschalige energieopslag met een capaciteit van minder dan 100 kW heeft waarschijnlijk geen significante negatieve effecten op het milieu of het net en zal naar verwachting geen aanleiding geven tot bezorgdheid over concurrerend ruimtegebruik. In dit licht is het passend om de vergunningsprocedures voor dit type opslag te stroomlijnen door alle administratieve vergunningen, met uitzondering van de vergunning voor netaansluitingen, af te schaffen en deze installaties, met passende waarborgen, vrij te stellen van de verplichting om een milieueffectbeoordeling uit te voeren overeenkomstig Richtlijn 2011/92/EU. Ook de invoering van energieopslag met een capaciteit van meer dan 100 kW moet worden versneld. Daarom is het passend de vergunningsprocedure te stroomlijnen door een totale maximumtermijn van zes maanden vast te stellen, behalve voor pompopslag van waterkracht, die aan strengere milieueisen moet voldoen en daarom een langere totale maximumtermijn vereist. Om de integratie in het systeem van hernieuwbare-energieproductie te waarborgen, moeten de flexibele bronnen, met name accu’s van elektrische voertuigen, worden uitgebreid, aangezien deze kunnen bijdragen tot een verschuiving van de piekvraag naar elektriciteit en de vermindering van netcongestie. Hiertoe moet een snellere en gemakkelijkere uitrol van laadinfrastructuur langs de wegen verder worden bevorderd, met name voor auto’s, bestelwagens, vrachtwagens, bussen of motorfietsen, en plug-in hybride of volledig elektrische voertuigen. Voor zowel wisselstroom- als gelijkstroomlaadstations moeten versnelde vergunningsprocedures gelden, met inbegrip van vergunningen voor netaansluitingen. Kleine laadstations met een capaciteit van minder dan 100 kW hebben waarschijnlijk geen significante negatieve effecten op het milieu of het elektriciteitsnet en zullen naar verwachting geen problemen opleveren in verband met concurrerend ruimtegebruik. In dit licht is het passend om de vergunningsprocedures voor deze laadstations te stroomlijnen door alle administratieve vergunningen, met uitzondering van de vergunning voor netaansluitingen, af te schaffen en deze installaties, met passende waarborgen, vrij te stellen van de verplichting om een milieueffectbeoordeling uit te voeren overeenkomstig Richtlijn 2011/92/EU. Ook de invoering van laadstations met een capaciteit van meer dan 100 kW moet worden versneld. Daarom is het passend om de vergunningsprocedure hiervoor te stroomlijnen door een totale maximumtermijn van zes maanden vast te stellen. </w:t>
      </w:r>
    </w:p>
    <w:p w14:paraId="6C0E040A" w14:textId="77777777" w:rsidR="0033102E" w:rsidRPr="00557C2A" w:rsidRDefault="002C4717" w:rsidP="00417EF8">
      <w:pPr>
        <w:pStyle w:val="ManualConsidrant"/>
        <w:rPr>
          <w:noProof/>
        </w:rPr>
      </w:pPr>
      <w:r>
        <w:rPr>
          <w:noProof/>
        </w:rPr>
        <w:t>(14)</w:t>
      </w:r>
      <w:r>
        <w:rPr>
          <w:noProof/>
        </w:rPr>
        <w:tab/>
      </w:r>
      <w:r w:rsidRPr="00557C2A">
        <w:rPr>
          <w:noProof/>
        </w:rPr>
        <w:t>Het verkrijgen van vergunningen voor netaansluitingen is een cruciaal en vaak tijdrovend onderdeel van de procedures voor de bouw en exploitatie van een hernieuwbare-energie-installatie. Het is daarom passend om de termijnen voor de netaansluitingsprocedures voor bepaalde kleinschalige hernieuwbare-energieprojecten, opslaginstallaties en laadstations, en de repowering en hybridisatie van hernieuwbare-energieprojecten verder te stroomlijnen en duidelijke regels in te voeren met betrekking tot de verplichtingen van de systeembeheerders tijdens de vergunningsprocedures.</w:t>
      </w:r>
    </w:p>
    <w:p w14:paraId="70BDDB42" w14:textId="77777777" w:rsidR="159D76DB" w:rsidRPr="00557C2A" w:rsidRDefault="0D579A98" w:rsidP="001265FC">
      <w:pPr>
        <w:pStyle w:val="ManualConsidrant"/>
        <w:rPr>
          <w:noProof/>
        </w:rPr>
      </w:pPr>
      <w:r>
        <w:rPr>
          <w:noProof/>
        </w:rPr>
        <w:t>(15)</w:t>
      </w:r>
      <w:r>
        <w:rPr>
          <w:noProof/>
        </w:rPr>
        <w:tab/>
      </w:r>
      <w:r w:rsidRPr="00557C2A">
        <w:rPr>
          <w:noProof/>
        </w:rPr>
        <w:t>In het rapport-Draghi over het concurrentievermogen van de EU en het actieplan voor betaalbare energie</w:t>
      </w:r>
      <w:r w:rsidRPr="00557C2A">
        <w:rPr>
          <w:rStyle w:val="FootnoteReference"/>
          <w:noProof/>
        </w:rPr>
        <w:footnoteReference w:id="41"/>
      </w:r>
      <w:r w:rsidRPr="00557C2A">
        <w:rPr>
          <w:noProof/>
        </w:rPr>
        <w:t xml:space="preserve"> wordt het positieve effect erkend van recente hervormingen om de vergunningsprocedures te versnellen. In het rapport worden de langdurige en onzekere vergunningsprocedures voor netten echter ook aangemerkt als een belangrijk obstakel voor een snellere installatie van de nodige nieuwe capaciteit teneinde investeringen in schone energie mogelijk te maken en de energiekosten in de EU te verlagen. Hoewel Richtlijn (EU) 2018/2001, Richtlijn (EU) 2024/1788 van het Europees Parlement en de Raad</w:t>
      </w:r>
      <w:r w:rsidRPr="00557C2A">
        <w:rPr>
          <w:rStyle w:val="FootnoteReference"/>
          <w:noProof/>
        </w:rPr>
        <w:footnoteReference w:id="42"/>
      </w:r>
      <w:r w:rsidRPr="00557C2A">
        <w:rPr>
          <w:noProof/>
        </w:rPr>
        <w:t xml:space="preserve"> en Verordening (EU) 2022/869 van het Europees Parlement en de Raad</w:t>
      </w:r>
      <w:r w:rsidRPr="00557C2A">
        <w:rPr>
          <w:rStyle w:val="FootnoteReference"/>
          <w:noProof/>
        </w:rPr>
        <w:footnoteReference w:id="43"/>
      </w:r>
      <w:r w:rsidRPr="00557C2A">
        <w:rPr>
          <w:noProof/>
        </w:rPr>
        <w:t xml:space="preserve"> specifieke regels voor vergunningsprocedures omvatten, hebben deze regelingen geen betrekking op algemene elektriciteitsnetinfrastructuur. Daarom moeten algemene voorschriften voor vergunningsprocedures voor infrastructuur voor elektriciteitstransmissie- en -distributiesystemen worden opgenomen in Richtlijn (EU) 2019/944, met name in de vorm van voorschriften voor de lidstaten om een maximale duur van dergelijke procedures te waarborgen en voorschriften vast te stellen die helpen om die termijnen te halen. Verordening (EU) 2022/869 en Richtlijn (EU) 2018/2001 bevatten regels voor de vergunningverlening voor bepaalde energieprojecten. In geval van tegenstrijdigheid tussen die regels en de in deze richtlijn vastgestelde regels voor de vergunningverlening voor bepaalde elektriciteitsprojecten, moeten de eerstgenoemde regels voorrang krijgen.</w:t>
      </w:r>
    </w:p>
    <w:p w14:paraId="3E9154E9" w14:textId="77777777" w:rsidR="002F5BD8" w:rsidRPr="00557C2A" w:rsidRDefault="5E9CE59B" w:rsidP="001265FC">
      <w:pPr>
        <w:pStyle w:val="ManualConsidrant"/>
        <w:rPr>
          <w:noProof/>
        </w:rPr>
      </w:pPr>
      <w:r>
        <w:rPr>
          <w:noProof/>
        </w:rPr>
        <w:t>(16)</w:t>
      </w:r>
      <w:r>
        <w:rPr>
          <w:noProof/>
        </w:rPr>
        <w:tab/>
      </w:r>
      <w:r w:rsidRPr="00557C2A">
        <w:rPr>
          <w:noProof/>
        </w:rPr>
        <w:t xml:space="preserve">Het gebrek aan middelen bij de nationale autoriteiten en de beperkte digitalisering van de vergunningsprocedures leiden tot vertragingen bij de vergunningverlening voor elektriciteitsinfrastructuur en productieactiva. De lidstaten moeten ervoor zorgen dat deze instanties over voldoende personele, financiële en technische middelen, waaronder vaardigheden, en digitale beheersinstrumenten en -systemen beschikken om binnen de in de richtlijn vastgestelde termijnen beslissingen te kunnen nemen. </w:t>
      </w:r>
    </w:p>
    <w:p w14:paraId="687331B4" w14:textId="77777777" w:rsidR="00567C63" w:rsidRPr="00557C2A" w:rsidRDefault="00764896" w:rsidP="009152EF">
      <w:pPr>
        <w:pStyle w:val="ManualConsidrant"/>
        <w:rPr>
          <w:noProof/>
        </w:rPr>
      </w:pPr>
      <w:r>
        <w:rPr>
          <w:noProof/>
        </w:rPr>
        <w:t>(17)</w:t>
      </w:r>
      <w:r>
        <w:rPr>
          <w:noProof/>
        </w:rPr>
        <w:tab/>
      </w:r>
      <w:r w:rsidRPr="00557C2A">
        <w:rPr>
          <w:noProof/>
        </w:rPr>
        <w:t>De vergunningsprocedures uit hoofde van Richtlijn (EU) 2019/944 moeten duidelijk, efficiënt en transparant zijn en moeten stroken met de uitvoering van het bestaande ontwikkelingsplan voor het distributienet en het tienjarig ontwikkelingsplan voor het transmissienet. Van de lidstaten wordt dan ook verwacht dat zij objectieve en niet-discriminerende criteria en procedures voor vergunningverlening vaststellen en publiceren, waarbij onder meer rekening wordt gehouden met de veiligheid en beveiliging van het elektriciteitssysteem, het landgebruik, energie-efficiëntie, specifieke kenmerken van de vergunningaanvrager, de vermindering van emissies, het belang van een versnelde uitrol van energie-infrastructuur om klimaatneutraliteit te bereiken, en alternatieven voor het project.</w:t>
      </w:r>
    </w:p>
    <w:p w14:paraId="2646B609" w14:textId="77777777" w:rsidR="00DF0A56" w:rsidRPr="00557C2A" w:rsidRDefault="00DF0A56" w:rsidP="009152EF">
      <w:pPr>
        <w:pStyle w:val="ManualConsidrant"/>
        <w:rPr>
          <w:noProof/>
        </w:rPr>
      </w:pPr>
      <w:r>
        <w:rPr>
          <w:noProof/>
        </w:rPr>
        <w:t>(18)</w:t>
      </w:r>
      <w:r>
        <w:rPr>
          <w:noProof/>
        </w:rPr>
        <w:tab/>
      </w:r>
      <w:r w:rsidRPr="00557C2A">
        <w:rPr>
          <w:noProof/>
        </w:rPr>
        <w:t xml:space="preserve">Gezien de urgentie van de ontwikkeling van elektriciteitsinfrastructuur wordt van de lidstaten verwacht dat zij ervoor zorgen dat bij vergunningsprocedures rekening wordt gehouden met de kenmerken van een project bij de beoordeling van de noodzaak, of het ontbreken daarvan, om beoordelingen, waaronder milieubeoordelingen, uit te voeren of studies, vergunningen of verslagen op te stellen. De bevoegde nationale instanties moeten beoordelingen en verzoeken om informatie van projectontwikkelaars tot het strikt noodzakelijke beperken en dubbel werk zoveel mogelijk vermijden. </w:t>
      </w:r>
    </w:p>
    <w:p w14:paraId="01C2437A" w14:textId="77777777" w:rsidR="003C4864" w:rsidRPr="00557C2A" w:rsidRDefault="003C4864" w:rsidP="003C4864">
      <w:pPr>
        <w:pStyle w:val="ManualConsidrant"/>
        <w:rPr>
          <w:noProof/>
        </w:rPr>
      </w:pPr>
      <w:r>
        <w:rPr>
          <w:noProof/>
        </w:rPr>
        <w:t>(19)</w:t>
      </w:r>
      <w:r>
        <w:rPr>
          <w:noProof/>
        </w:rPr>
        <w:tab/>
      </w:r>
      <w:r w:rsidRPr="00557C2A">
        <w:rPr>
          <w:noProof/>
        </w:rPr>
        <w:t>Om de voorspelbaarheid en zekerheid over de duur en de kosten van vergunningsprocedures in het kader van Richtlijn (EU) 2019/944 te vergroten, moeten verzoeken om informatie en documentatie van aanvragers concreet, specifiek en tijdsgebonden zijn. Als zodanig moeten de lidstaten ervoor zorgen dat de nationale autoriteiten de relevante informatie voor de afgifte van de vergunning binnen een vooraf vastgestelde termijn vanaf de ontvangst van de aanvraag bij de aanvragers opvragen en de inhoud en details van de opgevraagde informatie of gegevens concreet vaststellen. Na die termijn moeten verzoeken om informatie beperkt blijven tot ontbrekende informatie die eerder door de autoriteit is vastgesteld of opgevraagd, of informatie die niet eerder kon worden opgevraagd omdat deze betrekking heeft op een wezenlijke verandering in de omstandigheden die zich heeft voorgedaan nadat voor het project een vergunning is aangevraagd.</w:t>
      </w:r>
    </w:p>
    <w:p w14:paraId="14A34862" w14:textId="77777777" w:rsidR="00DF0A56" w:rsidRPr="00557C2A" w:rsidRDefault="00DF0A56" w:rsidP="009152EF">
      <w:pPr>
        <w:pStyle w:val="ManualConsidrant"/>
        <w:rPr>
          <w:rStyle w:val="normaltextrun"/>
          <w:noProof/>
        </w:rPr>
      </w:pPr>
      <w:r>
        <w:rPr>
          <w:noProof/>
        </w:rPr>
        <w:t>(20)</w:t>
      </w:r>
      <w:r>
        <w:rPr>
          <w:noProof/>
        </w:rPr>
        <w:tab/>
      </w:r>
      <w:r w:rsidRPr="00557C2A">
        <w:rPr>
          <w:noProof/>
        </w:rPr>
        <w:t xml:space="preserve">Met inachtneming van het subsidiariteitsbeginsel en de nationale bevoegdheden en procedures moet Richtlijn (EU) 2019/944 een duidelijke termijn vaststellen voor de beslissing van de bevoegde instanties, wat een efficiënte vaststelling en afhandeling van procedures </w:t>
      </w:r>
      <w:r w:rsidRPr="00557C2A">
        <w:rPr>
          <w:rStyle w:val="normaltextrun"/>
          <w:noProof/>
        </w:rPr>
        <w:t>die leiden tot de uitrol van elektriciteitsnetten stimuleert</w:t>
      </w:r>
      <w:r w:rsidRPr="00557C2A">
        <w:rPr>
          <w:noProof/>
        </w:rPr>
        <w:t>. Niettemin kunnen de lidstaten ernaar streven om waar mogelijk kortere vergunningsprocedures te realiseren, met name wat betreft projecten voor de renovatie, modernisering of repowering van bestaande transmissiesysteeminfrastructuur en de aanleg van nieuwe distributiesysteeminfrastructuur, waarvoor mogelijk minder complexe vergunningsprocedures nodig zijn dan voor nieuwe transmissie-infrastructuur. </w:t>
      </w:r>
    </w:p>
    <w:p w14:paraId="571C9FC2" w14:textId="77777777" w:rsidR="00266D71" w:rsidRPr="00557C2A" w:rsidRDefault="00DF0A56" w:rsidP="009152EF">
      <w:pPr>
        <w:pStyle w:val="ManualConsidrant"/>
        <w:rPr>
          <w:noProof/>
        </w:rPr>
      </w:pPr>
      <w:r>
        <w:rPr>
          <w:noProof/>
        </w:rPr>
        <w:t>(21)</w:t>
      </w:r>
      <w:r>
        <w:rPr>
          <w:noProof/>
        </w:rPr>
        <w:tab/>
      </w:r>
      <w:r w:rsidRPr="00557C2A">
        <w:rPr>
          <w:rStyle w:val="normaltextrun"/>
          <w:noProof/>
        </w:rPr>
        <w:t xml:space="preserve">Gezien de urgentie om elektriciteitsnetten aan te leggen om de energie- en klimaatdoelstellingen van de Unie te verwezenlijken en de termijnen voor vergunningsprocedures te vergezellen van maatregelen die de doeltreffendheid ervan in de praktijk waarborgen, moeten de lidstaten ervoor zorgen dat, in rechtsgebieden waar het begrip stilzwijgende goedkeuring in het nationale recht bestaat, dit wordt toegepast op administratieve besluiten betreffende elektriciteitsnetprojecten, </w:t>
      </w:r>
      <w:r w:rsidRPr="00557C2A">
        <w:rPr>
          <w:noProof/>
        </w:rPr>
        <w:t>met uitzondering van milieubeslissingen</w:t>
      </w:r>
      <w:r w:rsidRPr="00557C2A">
        <w:rPr>
          <w:rStyle w:val="normaltextrun"/>
          <w:noProof/>
        </w:rPr>
        <w:t>. Om het recht van derden op rechterlijke bescherming te waarborgen,</w:t>
      </w:r>
      <w:r w:rsidRPr="00557C2A">
        <w:rPr>
          <w:noProof/>
        </w:rPr>
        <w:t xml:space="preserve"> moeten de bevoegde instanties alle genomen besluiten openbaar maken, met inbegrip van de besluiten die stilzwijgend zijn genomen.</w:t>
      </w:r>
    </w:p>
    <w:p w14:paraId="0029C340" w14:textId="77777777" w:rsidR="0028046C" w:rsidRPr="00557C2A" w:rsidRDefault="0028046C" w:rsidP="00833623">
      <w:pPr>
        <w:pStyle w:val="ManualConsidrant"/>
        <w:rPr>
          <w:noProof/>
        </w:rPr>
      </w:pPr>
      <w:r>
        <w:rPr>
          <w:noProof/>
        </w:rPr>
        <w:t>(22)</w:t>
      </w:r>
      <w:r>
        <w:rPr>
          <w:noProof/>
        </w:rPr>
        <w:tab/>
      </w:r>
      <w:r w:rsidRPr="00557C2A">
        <w:rPr>
          <w:noProof/>
        </w:rPr>
        <w:t>Teneinde de complexiteit te verminderen, de efficiëntie en transparantie te vergroten en de samenwerking tussen de lidstaten te helpen bevorderen, moeten er contactpunten zijn voor exploitanten van elektriciteitstransmissie- of -distributiesystemen, die netprojecten of andere netactiva bevorderen totdat een besluit is genomen. Deze contactpunten zijn verantwoordelijk voor het faciliteren en begeleiden van aanvragers bij de vergunningsprocedures voor dit soort infrastructuur. In het kader van vereenvoudiging kan de lidstaat, indien hij dit passend en efficiënter acht, deze verantwoordelijkheid beleggen bij de in artikel 8 van Verordening (EU) 2022/869 bedoelde nationale bevoegde instanties, aangezien deze instanties deze rol reeds vervullen met betrekking tot de vergunningverlening voor infrastructuurprojecten van gemeenschappelijk belang en projecten van wederzijds belang. Bij het samenvoegen van deze taken moeten de lidstaten er in het bijzonder op letten dat de contactpunten over voldoende personeel beschikken en de nodige middelen en capaciteit hebben om de taken waarvoor zij verantwoordelijk zijn, uit te voeren.</w:t>
      </w:r>
    </w:p>
    <w:p w14:paraId="5D3425B2" w14:textId="33128456" w:rsidR="00C12FD5" w:rsidRPr="00557C2A" w:rsidRDefault="0028046C" w:rsidP="00833623">
      <w:pPr>
        <w:pStyle w:val="ManualConsidrant"/>
        <w:rPr>
          <w:noProof/>
        </w:rPr>
      </w:pPr>
      <w:r>
        <w:rPr>
          <w:noProof/>
        </w:rPr>
        <w:t>(23)</w:t>
      </w:r>
      <w:r>
        <w:rPr>
          <w:noProof/>
        </w:rPr>
        <w:tab/>
      </w:r>
      <w:r w:rsidRPr="00557C2A">
        <w:rPr>
          <w:noProof/>
        </w:rPr>
        <w:t>Vanwege hun rol bij de integratie van hernieuwbare energiebronnen, flexibiliteitsoplossingen, energieopslag en het mogelijk maken van elektrificatie in het algemeen, is de infrastructuur voor elektriciteitstransmissie- of -distributiesystemen essentieel voor het bereiken van klimaatneutraliteit. Gezien de sleutelrol van de elektriciteitsinfrastructuur om klimaatneutraliteit te bereiken, moeten de lidstaten bij de noodzakelijke beoordelingen per geval ervan uitgaan dat de infrastructuur voor elektriciteitstransmissie of -distributie, met inbegrip van walstroomvoorzieningen in de havens, van hoger openbaar belang is en de volksgezondheid en veiligheid dient, behalve in verband met cultureel erfgoed en wanneer er duidelijke aanwijzingen zijn dat deze projecten aanzienlijke nadelige gevolgen voor het milieu hebben die niet kunnen worden beperkt of gecompenseerd. Infrastructuur voor elektriciteitstransmissie- of -distributiesystemen waarvan wordt vermoed dat zij van hoger openbaar belang is dan niet aan het milieu gerelateerde belangen, moet voorrang krijgen boven niet-milieugebonden belangen en zo snel mogelijk worden goedgekeurd.</w:t>
      </w:r>
    </w:p>
    <w:p w14:paraId="34970764" w14:textId="77777777" w:rsidR="00BC2993" w:rsidRPr="00557C2A" w:rsidRDefault="00BC2993" w:rsidP="00BC2993">
      <w:pPr>
        <w:pStyle w:val="ManualConsidrant"/>
        <w:rPr>
          <w:noProof/>
        </w:rPr>
      </w:pPr>
      <w:r>
        <w:rPr>
          <w:noProof/>
        </w:rPr>
        <w:t>(24)</w:t>
      </w:r>
      <w:r>
        <w:rPr>
          <w:noProof/>
        </w:rPr>
        <w:tab/>
      </w:r>
      <w:r w:rsidRPr="00557C2A">
        <w:rPr>
          <w:noProof/>
        </w:rPr>
        <w:t>Om de uitrol van hernieuwbare-energienetten te versnellen, is het passend te specificeren hoe aan de overige voorwaarden voor de toepassing van specifieke afwijkingen, zoals bepaald in de milieuwetgeving van de Unie, kan worden voldaan. Met name moet bij de beoordeling of er bevredigende alternatieve oplossingen voor het project voor het elektriciteitsnet bestaan, het toepassingsgebied van die beoordeling worden beperkt tot alternatieve oplossingen die ervoor zorgen dat dezelfde doelstelling binnen hetzelfde of een vergelijkbaar tijdschema wordt bereikt, zonder dat dit tot aanzienlijk hogere kosten leidt. Bij het vergelijken van het tijdschema en de kosten van bevredigende alternatieve oplossingen moeten de bevoegde instanties rekening houden met de noodzaak om netten op een versnelde en kosteneffectieve manier uit te rollen overeenkomstig de prioriteiten die zijn vastgelegd in hun geïntegreerde nationale energie- en klimaatplannen en actualiseringen daarvan, die zijn ingediend overeenkomstig Verordening (EU) 2018/1999. Evenzo is het bij de toepassing van de desbetreffende afwijking overeenkomstig Richtlijn 92/43/EEG, passend dat de bevoegde instanties in bepaalde gerechtvaardigde gevallen waarin redelijkerwijs kan worden aangetoond dat het betrokken plan of project geen onomkeerbare gevolgen heeft voor de ecologische processen die essentieel zijn voor het behoud van de structuur en functies van het gebied, dat de algehele samenhang van het Natura 2000-netwerk niet in het gedrang komt, de ecologische integriteit van het gebied behouden blijft en een hoog niveau van bescherming van de Natura 2000-gebieden wordt gewaarborgd, toestaan dat de compenserende maatregelen gelijktijdig met de uitvoering van het plan of project worden uitgevoerd.</w:t>
      </w:r>
    </w:p>
    <w:p w14:paraId="21035482" w14:textId="77777777" w:rsidR="0028046C" w:rsidRPr="00557C2A" w:rsidRDefault="0028046C" w:rsidP="0028046C">
      <w:pPr>
        <w:pStyle w:val="ManualConsidrant"/>
        <w:rPr>
          <w:noProof/>
        </w:rPr>
      </w:pPr>
      <w:r>
        <w:rPr>
          <w:noProof/>
        </w:rPr>
        <w:t>(25)</w:t>
      </w:r>
      <w:r>
        <w:rPr>
          <w:noProof/>
        </w:rPr>
        <w:tab/>
      </w:r>
      <w:r w:rsidRPr="00557C2A">
        <w:rPr>
          <w:noProof/>
        </w:rPr>
        <w:t>Gezien de urgentie van de uitrol van energie-infrastructuur, het belang van het stroomlijnen van vergunningsprocedures en het feit dat milieubeoordelingen de meest tijdrovende stap zijn in vergunningsprocedures, is het van belang dergelijke beoordelingen tot een minimum te beperken zonder de bescherming van het milieu in gevaar te brengen. De renovatie, modernisering of repowering van bestaande infrastructuur voor transmissie- en distributiesystemen en de uitrol van nieuwe infrastructuur voor distributiesystemen zijn projecten die over het algemeen minimale milieueffecten hebben. Projecten op het gebied van renovatie, modernisering of repowering zijn doorgaans van beperkte omvang en hebben slechts betrekking op een deel van de bestaande activa waarvoor de milieueffecten eerder zijn beoordeeld. Als gevolg daarvan blijven de effecten van dergelijke projecten vaak beperkt tot die van bouwwerkzaamheden, waarbij de exploitatie van de activa dezelfde of zelfs een geringere impact heeft dan de exploitatie van het project waarop zij betrekking hebben. Distributiesystemen hebben daarentegen, vanwege de kleinere omvang van hun projecten, de lagere spanning van hun activa en de tendens om te worden ontwikkeld in bebouwde gebieden dichter bij de consument, doorgaans geen significante milieueffecten. Om de uitrol van de infrastructuur van het elektriciteitssysteem te versnellen en de doelstellingen op het gebied van klimaatneutraliteit en hernieuwbare energie te verwezenlijken, moeten de lidstaten onder bepaalde voorwaarden de in deze overweging genoemde projecten op gerechtvaardigde gronden vrijstellen van milieueffectbeoordelingen en passende beoordelingen en van de beoordeling van de gevolgen ervan voor de bescherming van soorten overeenkomstig artikel 12, lid 1, van Richtlijn 92/43/EEG</w:t>
      </w:r>
      <w:r w:rsidRPr="00557C2A">
        <w:rPr>
          <w:rStyle w:val="FootnoteReference"/>
          <w:noProof/>
        </w:rPr>
        <w:footnoteReference w:id="44"/>
      </w:r>
      <w:r w:rsidRPr="00557C2A">
        <w:rPr>
          <w:noProof/>
        </w:rPr>
        <w:t xml:space="preserve"> en artikel 5 van Richtlijn 2009/147/EG</w:t>
      </w:r>
      <w:r w:rsidRPr="00557C2A">
        <w:rPr>
          <w:rStyle w:val="FootnoteReference"/>
          <w:noProof/>
        </w:rPr>
        <w:footnoteReference w:id="45"/>
      </w:r>
      <w:r w:rsidRPr="00557C2A">
        <w:rPr>
          <w:noProof/>
        </w:rPr>
        <w:t xml:space="preserve">. </w:t>
      </w:r>
    </w:p>
    <w:p w14:paraId="17CDB627" w14:textId="686BAB76" w:rsidR="00EA4A3E" w:rsidRPr="00557C2A" w:rsidRDefault="1785DE7D" w:rsidP="00167227">
      <w:pPr>
        <w:pStyle w:val="ManualConsidrant"/>
        <w:rPr>
          <w:noProof/>
        </w:rPr>
      </w:pPr>
      <w:r>
        <w:rPr>
          <w:noProof/>
        </w:rPr>
        <w:t>(26)</w:t>
      </w:r>
      <w:r>
        <w:rPr>
          <w:noProof/>
        </w:rPr>
        <w:tab/>
      </w:r>
      <w:r w:rsidRPr="00557C2A">
        <w:rPr>
          <w:noProof/>
        </w:rPr>
        <w:t>De voordelen van de uitrol van elektriciteitsinfrastructuur wat vermindering van stikstofemissies betreft, wegen ruimschoots op tegen de kosten van de minimale emissies die het gevolg zijn van de aanleg ervan. De lidstaten moeten er dan ook voor zorgen dat de snelle uitrol van elektriciteitsinfrastructuur op geen enkele wijze wordt beperkt door de tijdelijke emissies die het gevolg zijn van de aanleg ervan.</w:t>
      </w:r>
    </w:p>
    <w:p w14:paraId="49D1AF1D" w14:textId="77777777" w:rsidR="0011228E" w:rsidRPr="00557C2A" w:rsidRDefault="680C8A13" w:rsidP="005C6A83">
      <w:pPr>
        <w:pStyle w:val="ManualConsidrant"/>
        <w:rPr>
          <w:noProof/>
        </w:rPr>
      </w:pPr>
      <w:r>
        <w:rPr>
          <w:noProof/>
        </w:rPr>
        <w:t>(27)</w:t>
      </w:r>
      <w:r>
        <w:rPr>
          <w:noProof/>
        </w:rPr>
        <w:tab/>
      </w:r>
      <w:r w:rsidRPr="00557C2A">
        <w:rPr>
          <w:noProof/>
        </w:rPr>
        <w:t xml:space="preserve">De planning van nationale transmissienetten waarbij rekening wordt gehouden met ontwikkelingen in het klimaat- en energiebeleid en daarmee samenhangende veranderingen in verbruik en productie is van cruciaal belang voor het succes van elektrificatie en de energietransitie als geheel. De bestaande vereisten van artikel 51 van Richtlijn (EU) 2019/944 waren echter alleen van toepassing op bepaalde transmissiesysteembeheerders en voorzagen niet in een voldoende lange planningsperiode om rekening te houden met anticiperende investeringen. Het is belangrijk dat bij de uitbreiding van het transmissiesysteem rekening wordt gehouden met een tijdshorizon van ten minste vijftien jaar en dat prioriteit wordt gegeven aan het gebruik van niet-fossiele flexibiliteit, draadloze oplossingen en andere alternatieven voor systeemuitbreiding, dat deze uitbreiding is gebaseerd op een gezamenlijk scenario dat is ontwikkeld met andere systeembeheerders uit verschillende sectoren en dat zij is afgestemd op het hoofdscenario van het Uniebrede tienjarige netontwikkelingsplan. Om de transparantie te waarborgen en netgebruikers, waaronder de sectoren energieproductie, industrie, gegevens en vervoer, beter bij de netwerkplanning te betrekken, vereist de koppeling met artikel 55 van Richtlijn (EU) 2024/1788 ook dat zij in een vroeg stadium worden geraadpleegd tijdens het ontwikkelingsproces van het gezamenlijke scenario, zodat anticiperende investeringen mogelijk zijn. </w:t>
      </w:r>
    </w:p>
    <w:p w14:paraId="0C37C72D" w14:textId="77777777" w:rsidR="4510089D" w:rsidRPr="00557C2A" w:rsidRDefault="4E0B0823" w:rsidP="4510089D">
      <w:pPr>
        <w:pStyle w:val="ManualConsidrant"/>
        <w:rPr>
          <w:noProof/>
        </w:rPr>
      </w:pPr>
      <w:r>
        <w:rPr>
          <w:noProof/>
        </w:rPr>
        <w:t>(28)</w:t>
      </w:r>
      <w:r>
        <w:rPr>
          <w:noProof/>
        </w:rPr>
        <w:tab/>
      </w:r>
      <w:r w:rsidRPr="00557C2A">
        <w:rPr>
          <w:noProof/>
        </w:rPr>
        <w:t>Met het oog op de wijzigingen van de Richtlijnen (EU) 2018/2001 en (EU) 2019/944, en de gelijktijdige wijzigingen van Verordening (EU) 2022/869, moet de Commissie een uniforme aanpak invoeren voor de vergunningsprocedures voor energieprojecten. Hoewel Richtlijn (EU) 2024/1788 maatregelen invoert om de administratieve vergunningsprocedures te vereenvoudigen en te stroomlijnen, is een gerichte wijziging nodig om een geharmoniseerde aanpak te waarborgen en ervoor te zorgen dat op Unieniveau een consistent kader wordt uitgerold.</w:t>
      </w:r>
    </w:p>
    <w:p w14:paraId="52E0C271" w14:textId="77777777" w:rsidR="001C6029" w:rsidRPr="00557C2A" w:rsidRDefault="001C6029" w:rsidP="001C6029">
      <w:pPr>
        <w:pStyle w:val="ManualConsidrant"/>
        <w:rPr>
          <w:noProof/>
        </w:rPr>
      </w:pPr>
      <w:r>
        <w:rPr>
          <w:noProof/>
        </w:rPr>
        <w:t>(29)</w:t>
      </w:r>
      <w:r>
        <w:rPr>
          <w:noProof/>
        </w:rPr>
        <w:tab/>
      </w:r>
      <w:r w:rsidRPr="00557C2A">
        <w:rPr>
          <w:noProof/>
        </w:rPr>
        <w:t xml:space="preserve">Het gebrek aan middelen bij de nationale autoriteiten en de beperkte digitalisering van vergunningsprocedures leiden tot vertragingen bij de vergunningverlening voor aardgasinstallaties, waterstofproductiefaciliteiten en infrastructuur voor waterstofsystemen. De lidstaten moeten ervoor zorgen dat deze autoriteiten over voldoende personele, financiële en technische middelen, waaronder vaardigheden, en digitale beheersinstrumenten en -systemen beschikken om binnen de in de richtlijn vastgestelde termijnen beslissingen te kunnen nemen. </w:t>
      </w:r>
    </w:p>
    <w:p w14:paraId="139052A1" w14:textId="77777777" w:rsidR="001C6029" w:rsidRPr="00557C2A" w:rsidRDefault="001C6029" w:rsidP="001C6029">
      <w:pPr>
        <w:pStyle w:val="ManualConsidrant"/>
        <w:rPr>
          <w:noProof/>
        </w:rPr>
      </w:pPr>
      <w:r>
        <w:rPr>
          <w:noProof/>
        </w:rPr>
        <w:t>(30)</w:t>
      </w:r>
      <w:r>
        <w:rPr>
          <w:noProof/>
        </w:rPr>
        <w:tab/>
      </w:r>
      <w:r w:rsidRPr="00557C2A">
        <w:rPr>
          <w:noProof/>
        </w:rPr>
        <w:t>Om de voorspelbaarheid en zekerheid over de duur en de kosten van vergunningsprocedures in het kader van Richtlijn (EU) 2024/1788 te vergroten, moeten verzoeken om informatie en documentatie van aanvragers concreet, specifiek en tijdsgebonden zijn. Als zodanig moeten de lidstaten ervoor zorgen dat de nationale autoriteiten de relevante informatie voor de afgifte van de vergunning binnen een vooraf vastgestelde termijn vanaf de ontvangst van de aanvraag bij de aanvragers opvragen en de inhoud en details van de opgevraagde informatie of gegevens concreet vaststellen. Na die termijn moeten verzoeken om informatie beperkt blijven tot ontbrekende informatie die eerder door de autoriteit is vastgesteld of opgevraagd, of informatie die niet eerder kon worden opgevraagd omdat deze betrekking heeft op een wezenlijke verandering in de omstandigheden die zich heeft voorgedaan nadat voor het project een vergunning is aangevraagd.</w:t>
      </w:r>
    </w:p>
    <w:p w14:paraId="22BE9B58" w14:textId="77777777" w:rsidR="00C264E5" w:rsidRPr="00557C2A" w:rsidRDefault="00C264E5" w:rsidP="00C367C5">
      <w:pPr>
        <w:pStyle w:val="ManualConsidrant"/>
        <w:rPr>
          <w:noProof/>
        </w:rPr>
      </w:pPr>
      <w:r>
        <w:rPr>
          <w:noProof/>
        </w:rPr>
        <w:t>(31)</w:t>
      </w:r>
      <w:r>
        <w:rPr>
          <w:noProof/>
        </w:rPr>
        <w:tab/>
      </w:r>
      <w:r w:rsidRPr="00557C2A">
        <w:rPr>
          <w:noProof/>
        </w:rPr>
        <w:t xml:space="preserve">Wat betreft de goedkeuringsprocedures uit hoofde van Richtlijn (EU) 2024/1788 moeten de lidstaten, gezien het belang van </w:t>
      </w:r>
      <w:r w:rsidRPr="00557C2A">
        <w:rPr>
          <w:rStyle w:val="normaltextrun"/>
          <w:noProof/>
        </w:rPr>
        <w:t>een snelle uitrol van waterstofvoorzieningen en infrastructuur voor waterstofsystemen en de naleving van de in die richtlijn vastgestelde termijnen, ervoor zorgen dat in rechtsgebieden waar het begrip stilzwijgende goedkeuring in het nationale recht bestaat, dit wordt toegepast op administratieve beslissingen met betrekking tot dergelijke projecten, met uitzondering van milieubeslissingen. Om het recht van derden op rechterlijke bescherming te waarborgen,</w:t>
      </w:r>
      <w:r w:rsidRPr="00557C2A">
        <w:rPr>
          <w:noProof/>
        </w:rPr>
        <w:t xml:space="preserve"> moeten de relevante instanties alle genomen besluiten openbaar maken, met inbegrip van de besluiten die stilzwijgend zijn genomen.</w:t>
      </w:r>
    </w:p>
    <w:p w14:paraId="055A42EF" w14:textId="77777777" w:rsidR="00B45A2F" w:rsidRPr="00557C2A" w:rsidRDefault="00B45A2F" w:rsidP="00B45A2F">
      <w:pPr>
        <w:pStyle w:val="ManualConsidrant"/>
        <w:rPr>
          <w:noProof/>
        </w:rPr>
      </w:pPr>
      <w:r>
        <w:rPr>
          <w:noProof/>
        </w:rPr>
        <w:t>(32)</w:t>
      </w:r>
      <w:r>
        <w:rPr>
          <w:noProof/>
        </w:rPr>
        <w:tab/>
      </w:r>
      <w:r w:rsidRPr="00557C2A">
        <w:rPr>
          <w:noProof/>
        </w:rPr>
        <w:t>In het kader van vereenvoudiging kunnen de lidstaten het passend en efficiënter achten om de rol van één enkel contactpunt uit hoofde van Richtlijn (EU) 2024/1788 centraal te beleggen bij de nationale bevoegde instanties zoals bedoeld in artikel 8 van Verordening (EU) 2022/869, aangezien deze instanties deze rol reeds vervullen met betrekking tot de vergunningverlening voor infrastructuurprojecten van gemeenschappelijk belang en projecten van wederzijds belang. Wanneer de lidstaten ervoor kiezen dergelijke rollen samen te voegen, moeten zij er in het bijzonder op letten dat de contactpunten over voldoende personeel beschikken en de nodige middelen en capaciteit hebben om de taken waarvoor zij verantwoordelijk zijn, uit te voeren.</w:t>
      </w:r>
    </w:p>
    <w:p w14:paraId="72C674A2" w14:textId="77777777" w:rsidR="00446C93" w:rsidRPr="00557C2A" w:rsidRDefault="00446C93" w:rsidP="00446C93">
      <w:pPr>
        <w:pStyle w:val="ManualConsidrant"/>
        <w:rPr>
          <w:noProof/>
        </w:rPr>
      </w:pPr>
      <w:r>
        <w:rPr>
          <w:noProof/>
        </w:rPr>
        <w:t>(33)</w:t>
      </w:r>
      <w:r>
        <w:rPr>
          <w:noProof/>
        </w:rPr>
        <w:tab/>
      </w:r>
      <w:r w:rsidRPr="00557C2A">
        <w:rPr>
          <w:noProof/>
        </w:rPr>
        <w:t>Om de efficiëntie te verbeteren, moeten de lidstaten zorgen voor de beschikbaarheid van digitale platforms die het beheer van vergunningen vergemakkelijken,</w:t>
      </w:r>
    </w:p>
    <w:p w14:paraId="42755254" w14:textId="77777777" w:rsidR="00E641BD" w:rsidRPr="00557C2A" w:rsidRDefault="00E641BD" w:rsidP="005E2363">
      <w:pPr>
        <w:rPr>
          <w:noProof/>
        </w:rPr>
      </w:pPr>
    </w:p>
    <w:p w14:paraId="29E43483" w14:textId="77777777" w:rsidR="00542FCB" w:rsidRPr="00557C2A" w:rsidRDefault="00542FCB">
      <w:pPr>
        <w:pStyle w:val="Formuledadoption"/>
        <w:rPr>
          <w:noProof/>
        </w:rPr>
      </w:pPr>
      <w:r w:rsidRPr="00557C2A">
        <w:rPr>
          <w:noProof/>
        </w:rPr>
        <w:t>HEBBEN DE VOLGENDE RICHTLIJN VASTGESTELD:</w:t>
      </w:r>
    </w:p>
    <w:p w14:paraId="32BF50D2" w14:textId="77777777" w:rsidR="00542FCB" w:rsidRPr="00557C2A" w:rsidRDefault="00542FCB">
      <w:pPr>
        <w:pStyle w:val="Titrearticle"/>
        <w:rPr>
          <w:noProof/>
        </w:rPr>
      </w:pPr>
      <w:r w:rsidRPr="00557C2A">
        <w:rPr>
          <w:noProof/>
        </w:rPr>
        <w:t>Artikel 1</w:t>
      </w:r>
    </w:p>
    <w:p w14:paraId="708C49D9" w14:textId="77777777" w:rsidR="002D4368" w:rsidRPr="00557C2A" w:rsidRDefault="00404FBC" w:rsidP="0021414E">
      <w:pPr>
        <w:jc w:val="center"/>
        <w:rPr>
          <w:b/>
          <w:bCs/>
          <w:noProof/>
        </w:rPr>
      </w:pPr>
      <w:r w:rsidRPr="00557C2A">
        <w:rPr>
          <w:b/>
          <w:noProof/>
        </w:rPr>
        <w:t>Wijzigingen van Richtlijn (EU) 2018/2001</w:t>
      </w:r>
    </w:p>
    <w:p w14:paraId="50FA0790" w14:textId="77777777" w:rsidR="007F3C4C" w:rsidRPr="00557C2A" w:rsidRDefault="000B735E" w:rsidP="007F3C4C">
      <w:pPr>
        <w:tabs>
          <w:tab w:val="left" w:pos="5109"/>
        </w:tabs>
        <w:rPr>
          <w:noProof/>
        </w:rPr>
      </w:pPr>
      <w:r w:rsidRPr="00557C2A">
        <w:rPr>
          <w:noProof/>
        </w:rPr>
        <w:t>Richtlijn (EU) 2018/2001 wordt als volgt gewijzigd:</w:t>
      </w:r>
    </w:p>
    <w:p w14:paraId="2300F15C" w14:textId="77777777" w:rsidR="007F3C4C" w:rsidRPr="00557C2A" w:rsidRDefault="007F3C4C" w:rsidP="007F3C4C">
      <w:pPr>
        <w:tabs>
          <w:tab w:val="left" w:pos="5109"/>
        </w:tabs>
        <w:rPr>
          <w:noProof/>
        </w:rPr>
      </w:pPr>
    </w:p>
    <w:p w14:paraId="76382C49" w14:textId="77777777" w:rsidR="000B735E" w:rsidRPr="00557C2A" w:rsidRDefault="007F3C4C" w:rsidP="00CB0269">
      <w:pPr>
        <w:pStyle w:val="Point0"/>
        <w:rPr>
          <w:noProof/>
        </w:rPr>
      </w:pPr>
      <w:r>
        <w:rPr>
          <w:noProof/>
        </w:rPr>
        <w:t>(1)</w:t>
      </w:r>
      <w:r>
        <w:rPr>
          <w:noProof/>
        </w:rPr>
        <w:tab/>
      </w:r>
      <w:r w:rsidRPr="00557C2A">
        <w:rPr>
          <w:noProof/>
        </w:rPr>
        <w:t xml:space="preserve"> In artikel 2, tweede alinea, worden de volgende punten 10 bis tot en met 10 septies ingevoegd: </w:t>
      </w:r>
    </w:p>
    <w:p w14:paraId="6407F2DD" w14:textId="77777777" w:rsidR="003D080F" w:rsidRPr="00557C2A" w:rsidRDefault="003D080F" w:rsidP="003D080F">
      <w:pPr>
        <w:pStyle w:val="Point1"/>
        <w:rPr>
          <w:noProof/>
        </w:rPr>
      </w:pPr>
      <w:r w:rsidRPr="00557C2A">
        <w:rPr>
          <w:noProof/>
        </w:rPr>
        <w:t xml:space="preserve">10 ter) “standalone-energieopslag”: energieopslag die niet wordt gecombineerd met een energieproductie-installatie; </w:t>
      </w:r>
    </w:p>
    <w:p w14:paraId="1FFCFC5A" w14:textId="77777777" w:rsidR="003E4686" w:rsidRPr="00557C2A" w:rsidRDefault="003E4686" w:rsidP="00CB1A0F">
      <w:pPr>
        <w:pStyle w:val="Point1"/>
        <w:rPr>
          <w:noProof/>
        </w:rPr>
      </w:pPr>
      <w:r w:rsidRPr="00557C2A">
        <w:rPr>
          <w:noProof/>
        </w:rPr>
        <w:t xml:space="preserve">10 quater) “laadstation”: een laadstation zoals gedefinieerd in artikel 2, punt 52, van Verordening (EU) 2023/1804; </w:t>
      </w:r>
    </w:p>
    <w:p w14:paraId="4769CA08" w14:textId="77777777" w:rsidR="003E4686" w:rsidRPr="00557C2A" w:rsidRDefault="0028637F" w:rsidP="00CB1A0F">
      <w:pPr>
        <w:pStyle w:val="Point1"/>
        <w:rPr>
          <w:noProof/>
        </w:rPr>
      </w:pPr>
      <w:r w:rsidRPr="00557C2A">
        <w:rPr>
          <w:noProof/>
        </w:rPr>
        <w:t xml:space="preserve">10 quinquies) “hybridisatie”: de omzetting van een installatie voor hernieuwbare energie die geen hybride installatie is, in een hybride installatie achter hetzelfde aansluitpunt; </w:t>
      </w:r>
    </w:p>
    <w:p w14:paraId="40787DBB" w14:textId="77777777" w:rsidR="00693C69" w:rsidRPr="00557C2A" w:rsidRDefault="00693C69" w:rsidP="00693C69">
      <w:pPr>
        <w:pStyle w:val="Point1"/>
        <w:rPr>
          <w:noProof/>
        </w:rPr>
      </w:pPr>
      <w:r w:rsidRPr="00557C2A">
        <w:rPr>
          <w:noProof/>
        </w:rPr>
        <w:t>10 sexies) “hybride installatie”: een installatie voor hernieuwbare energie die meerdere hernieuwbare-energietechnologieën combineert, of die een of meer hernieuwbare-energietechnologieën combineert met energieopslag;</w:t>
      </w:r>
    </w:p>
    <w:p w14:paraId="697C4D31" w14:textId="77777777" w:rsidR="003E4686" w:rsidRPr="00557C2A" w:rsidRDefault="00693C69" w:rsidP="00693C69">
      <w:pPr>
        <w:pStyle w:val="Point1"/>
        <w:rPr>
          <w:noProof/>
        </w:rPr>
      </w:pPr>
      <w:r w:rsidRPr="00557C2A">
        <w:rPr>
          <w:noProof/>
        </w:rPr>
        <w:t>10 septies) “vergunningsprocedure voor een netaansluiting”: de procedure vanaf het volledige verzoek van de projectontwikkelaar om aansluiting op het net tot het besluit van de systeembeheerder inzake de vraag of het project op het net kan worden aangesloten.</w:t>
      </w:r>
    </w:p>
    <w:p w14:paraId="60AA3DF8" w14:textId="77777777" w:rsidR="003F3BD6" w:rsidRPr="00557C2A" w:rsidRDefault="624870F9" w:rsidP="00101467">
      <w:pPr>
        <w:pStyle w:val="Point0"/>
        <w:rPr>
          <w:noProof/>
        </w:rPr>
      </w:pPr>
      <w:r>
        <w:rPr>
          <w:noProof/>
        </w:rPr>
        <w:t>(2)</w:t>
      </w:r>
      <w:r>
        <w:rPr>
          <w:noProof/>
        </w:rPr>
        <w:tab/>
      </w:r>
      <w:r w:rsidRPr="00557C2A">
        <w:rPr>
          <w:noProof/>
        </w:rPr>
        <w:t xml:space="preserve">Aan artikel 15 quater wordt het volgende lid 6 toegevoegd: </w:t>
      </w:r>
    </w:p>
    <w:p w14:paraId="7E1845E1" w14:textId="77777777" w:rsidR="003F3BD6" w:rsidRPr="00557C2A" w:rsidRDefault="0017537E" w:rsidP="0017537E">
      <w:pPr>
        <w:pStyle w:val="Point0"/>
        <w:ind w:firstLine="0"/>
        <w:rPr>
          <w:noProof/>
        </w:rPr>
      </w:pPr>
      <w:bookmarkStart w:id="3" w:name="_Hlk211418948"/>
      <w:r w:rsidRPr="00557C2A">
        <w:rPr>
          <w:noProof/>
        </w:rPr>
        <w:t>“6. De lidstaten streven ernaar geen grote gebieden aan te wijzen waar de bouw van installaties voor de productie van hernieuwbare energie en de bijbehorende infrastructuur wettelijk of feitelijk beperkt is om milieuredenen, waaronder landschapsbescherming, tenzij zij tijdens de milieueffectbeoordeling overeenkomstig Richtlijn 2011/92/EU en, in voorkomend geval, de passende beoordeling overeenkomstig artikel 6, lid 3, van Richtlijn 92/43/EEG kunnen aantonen dat die soorten installaties en de bijbehorende infrastructuur onomkeerbare schade in het gebied zouden veroorzaken die niet kan worden beperkt of gecompenseerd.”.</w:t>
      </w:r>
    </w:p>
    <w:bookmarkEnd w:id="3"/>
    <w:p w14:paraId="043DD36F" w14:textId="77777777" w:rsidR="00101467" w:rsidRPr="00557C2A" w:rsidRDefault="69A1516E" w:rsidP="00101467">
      <w:pPr>
        <w:pStyle w:val="Point0"/>
        <w:rPr>
          <w:noProof/>
        </w:rPr>
      </w:pPr>
      <w:r>
        <w:rPr>
          <w:noProof/>
        </w:rPr>
        <w:t>(3)</w:t>
      </w:r>
      <w:r>
        <w:rPr>
          <w:noProof/>
        </w:rPr>
        <w:tab/>
      </w:r>
      <w:r w:rsidRPr="00557C2A">
        <w:rPr>
          <w:noProof/>
        </w:rPr>
        <w:t xml:space="preserve">Aan artikel 15 quinquies worden de volgende leden 3 en 4 toegevoegd: </w:t>
      </w:r>
    </w:p>
    <w:p w14:paraId="52E50531" w14:textId="77777777" w:rsidR="00E514EE" w:rsidRPr="00557C2A" w:rsidRDefault="21E067A6" w:rsidP="0021414E">
      <w:pPr>
        <w:pStyle w:val="Text1"/>
        <w:rPr>
          <w:noProof/>
        </w:rPr>
      </w:pPr>
      <w:bookmarkStart w:id="4" w:name="_Hlk211333572"/>
      <w:r w:rsidRPr="00557C2A">
        <w:rPr>
          <w:noProof/>
        </w:rPr>
        <w:t xml:space="preserve">“3. De lidstaten nemen maatregelen om ervoor te zorgen dat een deel van de voordelen van hernieuwbare-energieprojecten met een geïnstalleerde capaciteit van meer dan 10 MW direct of indirect ten goede komt aan de lokale burgers en gemeenschappen in de nabijheid van die projecten. </w:t>
      </w:r>
    </w:p>
    <w:bookmarkEnd w:id="4"/>
    <w:p w14:paraId="370507A9" w14:textId="77777777" w:rsidR="00E514EE" w:rsidRPr="00557C2A" w:rsidRDefault="00E514EE" w:rsidP="0021414E">
      <w:pPr>
        <w:pStyle w:val="Text1"/>
        <w:rPr>
          <w:noProof/>
        </w:rPr>
      </w:pPr>
      <w:r w:rsidRPr="00557C2A">
        <w:rPr>
          <w:noProof/>
        </w:rPr>
        <w:t>4. De lidstaten wijzen een onafhankelijke facilitator aan en financieren deze om de dialoog tussen de projectontwikkelaar en het publiek te bevorderen met betrekking tot hernieuwbare-energieprojecten met een geïnstalleerde capaciteit van meer dan 10 MW. De facilitator treedt alleen op wanneer een van de betrokken partijen daarom verzoekt en:</w:t>
      </w:r>
    </w:p>
    <w:p w14:paraId="5703B696" w14:textId="77777777" w:rsidR="00E514EE" w:rsidRPr="00557C2A" w:rsidRDefault="00E514EE" w:rsidP="00E514EE">
      <w:pPr>
        <w:pStyle w:val="Point2"/>
        <w:rPr>
          <w:noProof/>
        </w:rPr>
      </w:pPr>
      <w:r>
        <w:rPr>
          <w:noProof/>
        </w:rPr>
        <w:t>(a)</w:t>
      </w:r>
      <w:r>
        <w:rPr>
          <w:noProof/>
        </w:rPr>
        <w:tab/>
      </w:r>
      <w:r w:rsidRPr="00557C2A">
        <w:rPr>
          <w:noProof/>
        </w:rPr>
        <w:t xml:space="preserve">vergemakkelijkt, voor zover nodig, openbare raadplegingen, met inbegrip van vroegtijdige raadplegingen in de fase voorafgaand aan de vergunningsaanvraag; </w:t>
      </w:r>
    </w:p>
    <w:p w14:paraId="44806A50" w14:textId="77777777" w:rsidR="00E514EE" w:rsidRPr="00557C2A" w:rsidRDefault="00E514EE" w:rsidP="00E514EE">
      <w:pPr>
        <w:pStyle w:val="Point2"/>
        <w:rPr>
          <w:noProof/>
        </w:rPr>
      </w:pPr>
      <w:r>
        <w:rPr>
          <w:noProof/>
        </w:rPr>
        <w:t>(b)</w:t>
      </w:r>
      <w:r>
        <w:rPr>
          <w:noProof/>
        </w:rPr>
        <w:tab/>
      </w:r>
      <w:r w:rsidRPr="00557C2A">
        <w:rPr>
          <w:noProof/>
        </w:rPr>
        <w:t>zet zich in om oplossingen te vinden voor mogelijke bezwaren van lokale gemeenschappen;</w:t>
      </w:r>
    </w:p>
    <w:p w14:paraId="0D7B6664" w14:textId="77777777" w:rsidR="00F303D5" w:rsidRPr="00557C2A" w:rsidRDefault="00F303D5" w:rsidP="00E514EE">
      <w:pPr>
        <w:pStyle w:val="Point2"/>
        <w:rPr>
          <w:noProof/>
        </w:rPr>
      </w:pPr>
      <w:r>
        <w:rPr>
          <w:noProof/>
        </w:rPr>
        <w:t>(c)</w:t>
      </w:r>
      <w:r>
        <w:rPr>
          <w:noProof/>
        </w:rPr>
        <w:tab/>
      </w:r>
      <w:r w:rsidRPr="00557C2A">
        <w:rPr>
          <w:noProof/>
        </w:rPr>
        <w:t xml:space="preserve">zorgt ervoor dat de keuze van het type maatregel voor het delen van voordelen, indien relevant, wordt ondersteund en transparant is. </w:t>
      </w:r>
    </w:p>
    <w:p w14:paraId="5213D04F" w14:textId="77777777" w:rsidR="00F20031" w:rsidRPr="00557C2A" w:rsidRDefault="00E514EE" w:rsidP="0021414E">
      <w:pPr>
        <w:pStyle w:val="Text1"/>
        <w:rPr>
          <w:noProof/>
        </w:rPr>
      </w:pPr>
      <w:r w:rsidRPr="00557C2A">
        <w:rPr>
          <w:noProof/>
        </w:rPr>
        <w:t>De lidstaten kunnen een vergoeding vaststellen, die wordt betaald door projectontwikkelaars, om de diensten van de facilitator te financieren.”.</w:t>
      </w:r>
    </w:p>
    <w:p w14:paraId="5D2B5990" w14:textId="77777777" w:rsidR="00DF1198" w:rsidRPr="00557C2A" w:rsidRDefault="00DF1198" w:rsidP="00533421">
      <w:pPr>
        <w:pStyle w:val="Point0"/>
        <w:rPr>
          <w:noProof/>
        </w:rPr>
      </w:pPr>
      <w:r>
        <w:rPr>
          <w:noProof/>
        </w:rPr>
        <w:t>(4)</w:t>
      </w:r>
      <w:r>
        <w:rPr>
          <w:noProof/>
        </w:rPr>
        <w:tab/>
      </w:r>
      <w:r w:rsidRPr="00557C2A">
        <w:rPr>
          <w:noProof/>
        </w:rPr>
        <w:t xml:space="preserve">Artikel 16 wordt als volgt gewijzigd: </w:t>
      </w:r>
    </w:p>
    <w:p w14:paraId="6317D49C" w14:textId="77777777" w:rsidR="0088624D" w:rsidRPr="00557C2A" w:rsidRDefault="37EA9DB6" w:rsidP="004A433D">
      <w:pPr>
        <w:pStyle w:val="Point1"/>
        <w:rPr>
          <w:noProof/>
        </w:rPr>
      </w:pPr>
      <w:r>
        <w:rPr>
          <w:noProof/>
        </w:rPr>
        <w:t>(a)</w:t>
      </w:r>
      <w:r>
        <w:rPr>
          <w:noProof/>
        </w:rPr>
        <w:tab/>
      </w:r>
      <w:r w:rsidRPr="00557C2A">
        <w:rPr>
          <w:noProof/>
        </w:rPr>
        <w:t>in lid 3 wordt de volgende zin geschrapt:</w:t>
      </w:r>
    </w:p>
    <w:p w14:paraId="244442B5" w14:textId="77777777" w:rsidR="0088624D" w:rsidRPr="00557C2A" w:rsidRDefault="38615326" w:rsidP="00F84546">
      <w:pPr>
        <w:pStyle w:val="Text1"/>
        <w:rPr>
          <w:noProof/>
        </w:rPr>
      </w:pPr>
      <w:r w:rsidRPr="00557C2A">
        <w:rPr>
          <w:noProof/>
        </w:rPr>
        <w:t>“Het is aanvragers toegestaan de relevante documenten in digitale vorm in te dienen.”;</w:t>
      </w:r>
    </w:p>
    <w:p w14:paraId="03B4829C" w14:textId="77777777" w:rsidR="009E6EB1" w:rsidRPr="00557C2A" w:rsidRDefault="1D505263" w:rsidP="004A433D">
      <w:pPr>
        <w:pStyle w:val="Point1"/>
        <w:rPr>
          <w:noProof/>
        </w:rPr>
      </w:pPr>
      <w:r>
        <w:rPr>
          <w:noProof/>
        </w:rPr>
        <w:t>(b)</w:t>
      </w:r>
      <w:r>
        <w:rPr>
          <w:noProof/>
        </w:rPr>
        <w:tab/>
      </w:r>
      <w:r w:rsidRPr="00557C2A">
        <w:rPr>
          <w:noProof/>
        </w:rPr>
        <w:t xml:space="preserve">het volgende lid 3 bis wordt ingevoegd: </w:t>
      </w:r>
    </w:p>
    <w:p w14:paraId="3F035784" w14:textId="77777777" w:rsidR="009B0FCE" w:rsidRPr="00557C2A" w:rsidRDefault="43CEC0EC" w:rsidP="009B0FCE">
      <w:pPr>
        <w:pStyle w:val="Point0"/>
        <w:ind w:firstLine="0"/>
        <w:rPr>
          <w:noProof/>
        </w:rPr>
      </w:pPr>
      <w:r w:rsidRPr="00557C2A">
        <w:rPr>
          <w:noProof/>
        </w:rPr>
        <w:t>“3 bis. De lidstaten zetten op nationaal niveau een centraal digitaal portaal op voor alle stappen van de vergunningsprocedures voor projecten op het gebied van hernieuwbare energie, opslag en netten.</w:t>
      </w:r>
    </w:p>
    <w:p w14:paraId="7E41294F" w14:textId="77777777" w:rsidR="009B0FCE" w:rsidRPr="00557C2A" w:rsidRDefault="009B0FCE" w:rsidP="009B0FCE">
      <w:pPr>
        <w:pStyle w:val="Point0"/>
        <w:ind w:firstLine="0"/>
        <w:rPr>
          <w:noProof/>
        </w:rPr>
      </w:pPr>
      <w:r w:rsidRPr="00557C2A">
        <w:rPr>
          <w:noProof/>
        </w:rPr>
        <w:t xml:space="preserve">Aanvragers dienen vergunningsaanvragen en alle relevante documenten die nodig zijn voor de vergunningsprocedure uitsluitend via het centrale digitale portaal in. Dit centrale digitale portaal automatiseert de toewijzing van vergunningsaanvragen aan de bevoegde autoriteiten, die de relevante aanvragen en documenten in elektronische vorm verwerken en rechtstreeks met de aanvragers communiceren via dit digitale portaal. </w:t>
      </w:r>
    </w:p>
    <w:p w14:paraId="24DAAB0B" w14:textId="68803B2A" w:rsidR="009B0FCE" w:rsidRPr="00557C2A" w:rsidRDefault="009B0FCE" w:rsidP="009B0FCE">
      <w:pPr>
        <w:pStyle w:val="Point0"/>
        <w:ind w:firstLine="0"/>
        <w:rPr>
          <w:noProof/>
        </w:rPr>
      </w:pPr>
      <w:r w:rsidRPr="00557C2A">
        <w:rPr>
          <w:noProof/>
        </w:rPr>
        <w:t>Het centrale digitale portaal bevat functies waarmee de aanvrager op de hoogte kan worden gehouden van alle stappen van de vergunningsprocedure, de status van de procedure en de besluiten van de relevante autoriteiten, en waarmee hij kan controleren of de in deze richtlijn vastgestelde termijnen voor vergunningverlening worden nageleefd. Het centrale digitale portaal zorgt voor toegang tot de relevante milieu- en geologische gegevens en besluiten die beschikbaar zijn in het op het geografisch informatiesysteem gebaseerde centrale digitale portaal, zoals bedoeld in artikel 10, lid 3, van Verordening [</w:t>
      </w:r>
      <w:r w:rsidRPr="00557C2A">
        <w:rPr>
          <w:i/>
          <w:iCs/>
          <w:noProof/>
        </w:rPr>
        <w:t>xxxxx</w:t>
      </w:r>
      <w:r w:rsidRPr="00557C2A">
        <w:rPr>
          <w:noProof/>
        </w:rPr>
        <w:t>] van het Europees Parlement en de Raad.</w:t>
      </w:r>
    </w:p>
    <w:p w14:paraId="73E09BD6" w14:textId="77777777" w:rsidR="009B0FCE" w:rsidRPr="00557C2A" w:rsidRDefault="009B0FCE" w:rsidP="009B0FCE">
      <w:pPr>
        <w:pStyle w:val="Point0"/>
        <w:ind w:firstLine="0"/>
        <w:rPr>
          <w:noProof/>
        </w:rPr>
      </w:pPr>
      <w:r w:rsidRPr="00557C2A">
        <w:rPr>
          <w:noProof/>
        </w:rPr>
        <w:t xml:space="preserve">Het centrale digitale portaal publiceert jaarlijkse statistische gegevens over de duur van vergunningsprocedures, waarbij de verschillende stappen van de vergunningsprocedure en de duur daarvan duidelijk worden aangegeven. Deze gegevens zijn openbaar toegankelijk. </w:t>
      </w:r>
    </w:p>
    <w:p w14:paraId="0AC74E97" w14:textId="77777777" w:rsidR="006875ED" w:rsidRPr="00557C2A" w:rsidRDefault="009B0FCE" w:rsidP="009B0FCE">
      <w:pPr>
        <w:pStyle w:val="Point0"/>
        <w:ind w:firstLine="0"/>
        <w:rPr>
          <w:noProof/>
        </w:rPr>
      </w:pPr>
      <w:r w:rsidRPr="00557C2A">
        <w:rPr>
          <w:noProof/>
        </w:rPr>
        <w:t>Het in lid 3 bedoelde contractpunt heeft toegang tot alle relevante gegevens en informatie die in het portaal beschikbaar zijn, teneinde zijn taken te kunnen uitvoeren.".</w:t>
      </w:r>
    </w:p>
    <w:p w14:paraId="1B1EB56C" w14:textId="77777777" w:rsidR="00BC392D" w:rsidRPr="00557C2A" w:rsidRDefault="00BC392D" w:rsidP="00BC392D">
      <w:pPr>
        <w:pStyle w:val="Point0"/>
        <w:rPr>
          <w:noProof/>
        </w:rPr>
      </w:pPr>
      <w:r>
        <w:rPr>
          <w:noProof/>
        </w:rPr>
        <w:t>(5)</w:t>
      </w:r>
      <w:r>
        <w:rPr>
          <w:noProof/>
        </w:rPr>
        <w:tab/>
      </w:r>
      <w:r w:rsidRPr="00557C2A">
        <w:rPr>
          <w:noProof/>
        </w:rPr>
        <w:t xml:space="preserve"> Artikel 16 ter wordt als volgt gewijzigd: </w:t>
      </w:r>
    </w:p>
    <w:p w14:paraId="0422BD6A" w14:textId="77777777" w:rsidR="00BA11A2" w:rsidRPr="00557C2A" w:rsidRDefault="466A4CB4" w:rsidP="0082659A">
      <w:pPr>
        <w:pStyle w:val="Point1"/>
        <w:rPr>
          <w:noProof/>
        </w:rPr>
      </w:pPr>
      <w:r>
        <w:rPr>
          <w:noProof/>
        </w:rPr>
        <w:t>(a)</w:t>
      </w:r>
      <w:r>
        <w:rPr>
          <w:noProof/>
        </w:rPr>
        <w:tab/>
      </w:r>
      <w:r w:rsidRPr="00557C2A">
        <w:rPr>
          <w:noProof/>
        </w:rPr>
        <w:t>in lid 2 wordt de volgende zin geschrapt:</w:t>
      </w:r>
    </w:p>
    <w:p w14:paraId="43C9426E" w14:textId="77777777" w:rsidR="00580A76" w:rsidRPr="00557C2A" w:rsidRDefault="007D0176" w:rsidP="004C1E67">
      <w:pPr>
        <w:pStyle w:val="Text1"/>
        <w:rPr>
          <w:noProof/>
        </w:rPr>
      </w:pPr>
      <w:r w:rsidRPr="00557C2A">
        <w:rPr>
          <w:noProof/>
        </w:rPr>
        <w:t>“Wanneer in het kader van een specifiek hernieuwbare-energieproject noodzakelijke mitigerende maatregelen zijn vastgesteld, wordt het doden of verstoren van de krachtens artikel 12, lid 1, van Richtlijn 92/43/EEG en artikel 5 van Richtlijn 2009/147/EG beschermde soorten niet als opzettelijk beschouwd.”;</w:t>
      </w:r>
    </w:p>
    <w:p w14:paraId="1B065546" w14:textId="77777777" w:rsidR="0082659A" w:rsidRPr="00557C2A" w:rsidRDefault="0082659A" w:rsidP="0082659A">
      <w:pPr>
        <w:pStyle w:val="Point1"/>
        <w:rPr>
          <w:noProof/>
        </w:rPr>
      </w:pPr>
      <w:r>
        <w:rPr>
          <w:noProof/>
        </w:rPr>
        <w:t>(b)</w:t>
      </w:r>
      <w:r>
        <w:rPr>
          <w:noProof/>
        </w:rPr>
        <w:tab/>
      </w:r>
      <w:r w:rsidRPr="00557C2A">
        <w:rPr>
          <w:noProof/>
        </w:rPr>
        <w:t>het volgende lid 3 wordt toegevoegd:</w:t>
      </w:r>
    </w:p>
    <w:p w14:paraId="5D0213B4" w14:textId="23D1F777" w:rsidR="00BC392D" w:rsidRPr="00557C2A" w:rsidRDefault="00BC392D" w:rsidP="0082659A">
      <w:pPr>
        <w:pStyle w:val="Point0"/>
        <w:tabs>
          <w:tab w:val="left" w:pos="1255"/>
        </w:tabs>
        <w:ind w:firstLine="0"/>
        <w:rPr>
          <w:noProof/>
        </w:rPr>
      </w:pPr>
      <w:bookmarkStart w:id="5" w:name="_Hlk215668597"/>
      <w:r w:rsidRPr="00557C2A">
        <w:rPr>
          <w:noProof/>
        </w:rPr>
        <w:t xml:space="preserve">“3. Bij de in lid 1 en lid 2, tweede alinea, bedoelde vergunningsprocedure zorgen de lidstaten ervoor dat het uitblijven van een antwoord van de betrokken bevoegde autoriteiten of entiteiten binnen de vastgestelde termijn ertoe leidt dat specifieke stappen als goedgekeurd worden beschouwd, tenzij het gaat om milieubeslissingen en vergunningen voor netaansluitingen, of wanneer het beginsel van administratieve stilzwijgende goedkeuring niet bestaat in het nationale rechtsstelsel van de betrokken lidstaat. </w:t>
      </w:r>
      <w:bookmarkStart w:id="6" w:name="_Hlk211953059"/>
      <w:r w:rsidRPr="00557C2A">
        <w:rPr>
          <w:noProof/>
        </w:rPr>
        <w:t xml:space="preserve">Alle besluiten worden openbaar gemaakt, met inbegrip van stilzwijgend verleende definitieve besluiten.”. </w:t>
      </w:r>
    </w:p>
    <w:bookmarkEnd w:id="5"/>
    <w:bookmarkEnd w:id="6"/>
    <w:p w14:paraId="33BABFDA" w14:textId="77777777" w:rsidR="0082659A" w:rsidRPr="00557C2A" w:rsidRDefault="0082659A" w:rsidP="00A22943">
      <w:pPr>
        <w:pStyle w:val="Point0"/>
        <w:tabs>
          <w:tab w:val="left" w:pos="1255"/>
        </w:tabs>
        <w:ind w:firstLine="0"/>
        <w:rPr>
          <w:noProof/>
        </w:rPr>
      </w:pPr>
    </w:p>
    <w:p w14:paraId="1E5ED169" w14:textId="77777777" w:rsidR="00627D76" w:rsidRPr="00557C2A" w:rsidRDefault="00627D76" w:rsidP="00533421">
      <w:pPr>
        <w:pStyle w:val="Point0"/>
        <w:rPr>
          <w:noProof/>
        </w:rPr>
      </w:pPr>
      <w:r>
        <w:rPr>
          <w:noProof/>
        </w:rPr>
        <w:t>(6)</w:t>
      </w:r>
      <w:r>
        <w:rPr>
          <w:noProof/>
        </w:rPr>
        <w:tab/>
      </w:r>
      <w:r w:rsidRPr="00557C2A">
        <w:rPr>
          <w:noProof/>
        </w:rPr>
        <w:t xml:space="preserve">Artikel 16 quater wordt als volgt gewijzigd: </w:t>
      </w:r>
    </w:p>
    <w:p w14:paraId="36945A00" w14:textId="77777777" w:rsidR="00627D76" w:rsidRPr="00557C2A" w:rsidRDefault="09E764D7" w:rsidP="002F569B">
      <w:pPr>
        <w:pStyle w:val="Point1"/>
        <w:rPr>
          <w:noProof/>
        </w:rPr>
      </w:pPr>
      <w:r>
        <w:rPr>
          <w:noProof/>
        </w:rPr>
        <w:t>(a)</w:t>
      </w:r>
      <w:r>
        <w:rPr>
          <w:noProof/>
        </w:rPr>
        <w:tab/>
      </w:r>
      <w:r w:rsidRPr="00557C2A">
        <w:rPr>
          <w:noProof/>
        </w:rPr>
        <w:t>lid 1 wordt geschrapt;</w:t>
      </w:r>
    </w:p>
    <w:p w14:paraId="744D75F5" w14:textId="77777777" w:rsidR="002F569B" w:rsidRPr="00557C2A" w:rsidRDefault="714F2809" w:rsidP="002F569B">
      <w:pPr>
        <w:pStyle w:val="Point1"/>
        <w:rPr>
          <w:noProof/>
        </w:rPr>
      </w:pPr>
      <w:r>
        <w:rPr>
          <w:noProof/>
        </w:rPr>
        <w:t>(b)</w:t>
      </w:r>
      <w:r>
        <w:rPr>
          <w:noProof/>
        </w:rPr>
        <w:tab/>
      </w:r>
      <w:r w:rsidRPr="00557C2A">
        <w:rPr>
          <w:noProof/>
        </w:rPr>
        <w:t xml:space="preserve">het volgende lid 2 ter wordt ingevoegd: </w:t>
      </w:r>
    </w:p>
    <w:p w14:paraId="5AB32E8A" w14:textId="77777777" w:rsidR="00F82D6C" w:rsidRPr="00557C2A" w:rsidRDefault="00E5717C" w:rsidP="00E5717C">
      <w:pPr>
        <w:pStyle w:val="Point0"/>
        <w:ind w:firstLine="0"/>
        <w:rPr>
          <w:noProof/>
        </w:rPr>
      </w:pPr>
      <w:r w:rsidRPr="00557C2A">
        <w:rPr>
          <w:noProof/>
        </w:rPr>
        <w:t xml:space="preserve">“2 ter. De lidstaten zorgen ervoor dat een wijziging in de status van de grond waarop een installatie voor hernieuwbare energie is geplaatst, geen belemmering vormt voor de repowering van die installatie.”; </w:t>
      </w:r>
    </w:p>
    <w:p w14:paraId="270D4BC3" w14:textId="77777777" w:rsidR="00A51489" w:rsidRPr="00557C2A" w:rsidRDefault="00A51489" w:rsidP="00E30676">
      <w:pPr>
        <w:pStyle w:val="Point1"/>
        <w:rPr>
          <w:noProof/>
        </w:rPr>
      </w:pPr>
      <w:r>
        <w:rPr>
          <w:noProof/>
        </w:rPr>
        <w:t>(c)</w:t>
      </w:r>
      <w:r>
        <w:rPr>
          <w:noProof/>
        </w:rPr>
        <w:tab/>
      </w:r>
      <w:r w:rsidRPr="00557C2A">
        <w:rPr>
          <w:noProof/>
        </w:rPr>
        <w:t xml:space="preserve">het volgende lid 4 wordt toegevoegd: </w:t>
      </w:r>
    </w:p>
    <w:p w14:paraId="44203355" w14:textId="6A4C00EC" w:rsidR="00F77B85" w:rsidRPr="00557C2A" w:rsidRDefault="000A5E35" w:rsidP="00E5717C">
      <w:pPr>
        <w:pStyle w:val="Point0"/>
        <w:ind w:firstLine="0"/>
        <w:rPr>
          <w:noProof/>
        </w:rPr>
      </w:pPr>
      <w:r w:rsidRPr="00557C2A">
        <w:rPr>
          <w:noProof/>
        </w:rPr>
        <w:t>“4. Indien de repowering van windenergie-installaties de totale capaciteit van de installatie vergroot zonder dat daarvoor extra grondoppervlakte nodig is en de voor de oorspronkelijke installatie op windenergie vereiste mitigerende milieumaatregelen worden nageleefd, wordt het project vrijgesteld van alle toepasselijke vereisten om een screeningproces uit te voeren overeenkomstig artikel 16 bis, lid 4, om te bepalen of het project een milieueffectbeoordeling vereist overeenkomstig artikel 4, lid 2, van Richtlijn 2011/92/EU of artikel 5 van Verordening [</w:t>
      </w:r>
      <w:r w:rsidRPr="00557C2A">
        <w:rPr>
          <w:i/>
          <w:iCs/>
          <w:noProof/>
        </w:rPr>
        <w:t>xxxxx</w:t>
      </w:r>
      <w:r w:rsidRPr="00557C2A">
        <w:rPr>
          <w:noProof/>
        </w:rPr>
        <w:t xml:space="preserve">] van het Europees Parlement en de Raad, of om een milieueffectbeoordeling uit te voeren overeenkomstig artikel 4, lid 1, van Richtlijn 2011/92/EU.”. </w:t>
      </w:r>
    </w:p>
    <w:p w14:paraId="225E2643" w14:textId="77777777" w:rsidR="00FE2F20" w:rsidRPr="00557C2A" w:rsidRDefault="00FE2F20" w:rsidP="00533421">
      <w:pPr>
        <w:pStyle w:val="Point0"/>
        <w:rPr>
          <w:noProof/>
        </w:rPr>
      </w:pPr>
      <w:r>
        <w:rPr>
          <w:noProof/>
        </w:rPr>
        <w:t>(7)</w:t>
      </w:r>
      <w:r>
        <w:rPr>
          <w:noProof/>
        </w:rPr>
        <w:tab/>
      </w:r>
      <w:r w:rsidRPr="00557C2A">
        <w:rPr>
          <w:noProof/>
        </w:rPr>
        <w:t xml:space="preserve">Artikel 16 quinquies wordt als volgt gewijzigd: </w:t>
      </w:r>
    </w:p>
    <w:p w14:paraId="10EE9EC7" w14:textId="77777777" w:rsidR="00AB7D41" w:rsidRPr="00557C2A" w:rsidRDefault="0623A28C" w:rsidP="009A7C05">
      <w:pPr>
        <w:pStyle w:val="Point1"/>
        <w:rPr>
          <w:noProof/>
        </w:rPr>
      </w:pPr>
      <w:r>
        <w:rPr>
          <w:noProof/>
        </w:rPr>
        <w:t>(a)</w:t>
      </w:r>
      <w:r>
        <w:rPr>
          <w:noProof/>
        </w:rPr>
        <w:tab/>
      </w:r>
      <w:r w:rsidRPr="00557C2A">
        <w:rPr>
          <w:noProof/>
        </w:rPr>
        <w:t xml:space="preserve">lid 1 wordt vervangen door: </w:t>
      </w:r>
    </w:p>
    <w:p w14:paraId="2D4DE1E1" w14:textId="77777777" w:rsidR="0082378B" w:rsidRPr="00557C2A" w:rsidRDefault="008E1274" w:rsidP="0021414E">
      <w:pPr>
        <w:pStyle w:val="Text1"/>
        <w:rPr>
          <w:noProof/>
        </w:rPr>
      </w:pPr>
      <w:r w:rsidRPr="00557C2A">
        <w:rPr>
          <w:noProof/>
        </w:rPr>
        <w:t>“1. De lidstaten zorgen ervoor dat de in artikel 16, lid 1, bedoelde vergunningsprocedure voor de installatie van apparatuur voor zonne-energie en energieopslag op één locatie met een totale geïnstalleerde capaciteit van meer dan 100 kW in bestaande of toekomstige kunstmatige constructies, met uitzondering van kunstmatige wateroppervlakken, niet langer duurt dan drie maanden, mits het primaire doel van dergelijke kunstmatige constructies niet de productie van zonne-energie of energieopslag is. In afwijking van artikel 4, lid 2, van Richtlijn 2011/92/EU, en bijlage II, punt 3, a) en b), alleen of in samenhang met punt 13, a), bij die richtlijn, wordt de installatie van apparatuur voor zonne-energie en energieopslag op één locatie zoals bedoeld in de leden 1 en 2 van dit artikel, vrijgesteld van het vereiste om, indien van toepassing, een specifieke milieueffectbeoordeling uit te voeren op grond van artikel 2, lid 1, van Richtlijn 2011/92/EU.”;</w:t>
      </w:r>
    </w:p>
    <w:p w14:paraId="1FDF4750" w14:textId="77777777" w:rsidR="00977C6B" w:rsidRPr="00557C2A" w:rsidRDefault="78119DE2" w:rsidP="00977C6B">
      <w:pPr>
        <w:pStyle w:val="Point1"/>
        <w:rPr>
          <w:noProof/>
        </w:rPr>
      </w:pPr>
      <w:r>
        <w:rPr>
          <w:noProof/>
        </w:rPr>
        <w:t>(b)</w:t>
      </w:r>
      <w:r>
        <w:rPr>
          <w:noProof/>
        </w:rPr>
        <w:tab/>
      </w:r>
      <w:r w:rsidRPr="00557C2A">
        <w:rPr>
          <w:noProof/>
        </w:rPr>
        <w:t>lid 2 wordt vervangen door:</w:t>
      </w:r>
    </w:p>
    <w:p w14:paraId="53BF81FB" w14:textId="1767C39D" w:rsidR="00977C6B" w:rsidRPr="00557C2A" w:rsidRDefault="00977C6B" w:rsidP="00977C6B">
      <w:pPr>
        <w:pStyle w:val="Point0"/>
        <w:ind w:firstLine="0"/>
        <w:rPr>
          <w:noProof/>
        </w:rPr>
      </w:pPr>
      <w:r w:rsidRPr="00557C2A">
        <w:rPr>
          <w:noProof/>
        </w:rPr>
        <w:t xml:space="preserve">“De lidstaten eisen geen administratieve vergunningen, ook niet op milieugebied, met uitzondering van vergunningen voor netaansluitingen, voor de installatie van apparatuur voor zonne-energie en energieopslag op één locatie met een totale geïnstalleerde capaciteit van 100 kW of minder. Onverminderd lid 1 beperken de lidstaten de toepassing van dit lid in Natura 2000-gebieden, andere gebieden die onder nationale beschermingsregelingen vallen, en in het kader van cultureel of historisch erfgoed beschermde gebieden.”; </w:t>
      </w:r>
    </w:p>
    <w:p w14:paraId="74EA63AE" w14:textId="77777777" w:rsidR="008A4DAF" w:rsidRPr="00557C2A" w:rsidRDefault="52C7EB7B" w:rsidP="008A4DAF">
      <w:pPr>
        <w:pStyle w:val="Point1"/>
        <w:rPr>
          <w:noProof/>
        </w:rPr>
      </w:pPr>
      <w:r>
        <w:rPr>
          <w:noProof/>
        </w:rPr>
        <w:t>(c)</w:t>
      </w:r>
      <w:r>
        <w:rPr>
          <w:noProof/>
        </w:rPr>
        <w:tab/>
      </w:r>
      <w:r w:rsidRPr="00557C2A">
        <w:rPr>
          <w:noProof/>
        </w:rPr>
        <w:t xml:space="preserve">de volgende leden 3 en 4 worden toegevoegd:  </w:t>
      </w:r>
    </w:p>
    <w:p w14:paraId="5EFF00D2" w14:textId="77777777" w:rsidR="005615B8" w:rsidRPr="00557C2A" w:rsidRDefault="008A4DAF" w:rsidP="0021414E">
      <w:pPr>
        <w:pStyle w:val="Text1"/>
        <w:rPr>
          <w:noProof/>
        </w:rPr>
      </w:pPr>
      <w:r w:rsidRPr="00557C2A">
        <w:rPr>
          <w:noProof/>
        </w:rPr>
        <w:t>“3. De lidstaten kunnen bepaalde gebieden uitsluiten van de toepassing van de leden 1 en 2 met het oog op de bescherming van cultureel of historisch erfgoed, vanwege nationale defensiebelangen, of om redenen van veiligheid of netbeveiliging.</w:t>
      </w:r>
    </w:p>
    <w:p w14:paraId="77CF66CE" w14:textId="77777777" w:rsidR="00B032F6" w:rsidRPr="00557C2A" w:rsidRDefault="005615B8" w:rsidP="00245BB8">
      <w:pPr>
        <w:pStyle w:val="Text1"/>
        <w:rPr>
          <w:noProof/>
        </w:rPr>
      </w:pPr>
      <w:r w:rsidRPr="00557C2A">
        <w:rPr>
          <w:noProof/>
        </w:rPr>
        <w:t>4. De lidstaten nemen regelgevende en niet-regelgevende belemmeringen weg die van invloed zijn op plug-in mini-zonne-energiesystemen met een capaciteit van maximaal 800 W in en op gebouwen.”.</w:t>
      </w:r>
    </w:p>
    <w:p w14:paraId="6AA7E9F7" w14:textId="77777777" w:rsidR="000F2FD4" w:rsidRPr="00557C2A" w:rsidRDefault="000F2FD4" w:rsidP="000F2FD4">
      <w:pPr>
        <w:pStyle w:val="Point0"/>
        <w:rPr>
          <w:noProof/>
        </w:rPr>
      </w:pPr>
      <w:r>
        <w:rPr>
          <w:noProof/>
        </w:rPr>
        <w:t>(8)</w:t>
      </w:r>
      <w:r>
        <w:rPr>
          <w:noProof/>
        </w:rPr>
        <w:tab/>
      </w:r>
      <w:r w:rsidRPr="00557C2A">
        <w:rPr>
          <w:noProof/>
        </w:rPr>
        <w:t xml:space="preserve">Artikel 16 septies wordt als volgt gewijzigd: </w:t>
      </w:r>
    </w:p>
    <w:p w14:paraId="46C78FC2" w14:textId="77777777" w:rsidR="009D2AC1" w:rsidRPr="00557C2A" w:rsidRDefault="009D2AC1" w:rsidP="00F84546">
      <w:pPr>
        <w:pStyle w:val="Point1"/>
        <w:rPr>
          <w:noProof/>
        </w:rPr>
      </w:pPr>
      <w:r>
        <w:rPr>
          <w:noProof/>
        </w:rPr>
        <w:t>(a)</w:t>
      </w:r>
      <w:r>
        <w:rPr>
          <w:noProof/>
        </w:rPr>
        <w:tab/>
      </w:r>
      <w:r w:rsidRPr="00557C2A">
        <w:rPr>
          <w:noProof/>
        </w:rPr>
        <w:t>de twee laatste zinnen worden geschrapt;</w:t>
      </w:r>
    </w:p>
    <w:p w14:paraId="70E2D5F2" w14:textId="77777777" w:rsidR="009D2AC1" w:rsidRPr="00557C2A" w:rsidRDefault="009D2AC1" w:rsidP="00F84546">
      <w:pPr>
        <w:pStyle w:val="Point1"/>
        <w:rPr>
          <w:noProof/>
        </w:rPr>
      </w:pPr>
      <w:r>
        <w:rPr>
          <w:noProof/>
        </w:rPr>
        <w:t>(b)</w:t>
      </w:r>
      <w:r>
        <w:rPr>
          <w:noProof/>
        </w:rPr>
        <w:tab/>
      </w:r>
      <w:r w:rsidRPr="00557C2A">
        <w:rPr>
          <w:noProof/>
        </w:rPr>
        <w:t xml:space="preserve">de volgende alinea wordt toegevoegd: </w:t>
      </w:r>
    </w:p>
    <w:p w14:paraId="4936A843" w14:textId="345A108F" w:rsidR="00ED74EC" w:rsidRPr="00557C2A" w:rsidRDefault="009D2AC1" w:rsidP="00F84546">
      <w:pPr>
        <w:pStyle w:val="Text1"/>
        <w:rPr>
          <w:noProof/>
        </w:rPr>
      </w:pPr>
      <w:r w:rsidRPr="00557C2A">
        <w:rPr>
          <w:noProof/>
        </w:rPr>
        <w:t>“Totdat klimaatneutraliteit is bereikt, zorgen de lidstaten ervoor dat bij de vergunningsprocedure de planning, bouw en exploitatie van installaties voor de productie van energie uit hernieuwbare bronnen, en de aansluiting daarvan op het net, het bijbehorende net zelf, opslagactiva en laadstations worden vermoed van hoger openbaar belang te zijn en, in dat geval, voorrang krijgen bij het afwegen van andere rechtmatige belangen dan die bedoeld in de eerste alinea.  De lidstaten kunnen de toepassing van dit vermoeden uitsluiten ter bescherming van het cultureel erfgoed op basis van wettelijke criteria om een geharmoniseerde uitvoering te waarborgen.”;</w:t>
      </w:r>
    </w:p>
    <w:p w14:paraId="50E1FC36" w14:textId="77777777" w:rsidR="00245BB8" w:rsidRPr="00557C2A" w:rsidRDefault="1E1A12E2" w:rsidP="00245BB8">
      <w:pPr>
        <w:pStyle w:val="Point0"/>
        <w:rPr>
          <w:noProof/>
        </w:rPr>
      </w:pPr>
      <w:r>
        <w:rPr>
          <w:noProof/>
        </w:rPr>
        <w:t>(9)</w:t>
      </w:r>
      <w:r>
        <w:rPr>
          <w:noProof/>
        </w:rPr>
        <w:tab/>
      </w:r>
      <w:r w:rsidRPr="00557C2A">
        <w:rPr>
          <w:noProof/>
        </w:rPr>
        <w:t>de volgende artikelen 16 octies tot en met 16 duodecies worden ingevoegd:</w:t>
      </w:r>
    </w:p>
    <w:p w14:paraId="089596B6" w14:textId="77777777" w:rsidR="00FB2D56" w:rsidRPr="00557C2A" w:rsidRDefault="004E7C33" w:rsidP="00A17C84">
      <w:pPr>
        <w:pStyle w:val="Text3"/>
        <w:ind w:left="4144" w:firstLine="176"/>
        <w:rPr>
          <w:noProof/>
        </w:rPr>
      </w:pPr>
      <w:r w:rsidRPr="00557C2A">
        <w:rPr>
          <w:noProof/>
        </w:rPr>
        <w:t>“Artikel 16 octies</w:t>
      </w:r>
    </w:p>
    <w:p w14:paraId="6DC37797" w14:textId="77777777" w:rsidR="001870C3" w:rsidRPr="00557C2A" w:rsidRDefault="001870C3" w:rsidP="00245BB8">
      <w:pPr>
        <w:tabs>
          <w:tab w:val="left" w:pos="1641"/>
          <w:tab w:val="center" w:pos="4513"/>
        </w:tabs>
        <w:jc w:val="center"/>
        <w:rPr>
          <w:b/>
          <w:noProof/>
        </w:rPr>
      </w:pPr>
      <w:r w:rsidRPr="00557C2A">
        <w:rPr>
          <w:b/>
          <w:noProof/>
        </w:rPr>
        <w:t>Ontbreken van alternatieve of bevredigende oplossingen en uitvoering van compenserende maatregelen voor de toepassing van artikel 6, lid 4, van Richtlijn 92/43/EEG</w:t>
      </w:r>
    </w:p>
    <w:p w14:paraId="7ECFD3E3" w14:textId="77777777" w:rsidR="004C752E" w:rsidRPr="00557C2A" w:rsidRDefault="004C752E" w:rsidP="00CB0269">
      <w:pPr>
        <w:pStyle w:val="ManualNumPar1"/>
        <w:rPr>
          <w:noProof/>
        </w:rPr>
      </w:pPr>
      <w:r>
        <w:rPr>
          <w:noProof/>
        </w:rPr>
        <w:t>1.</w:t>
      </w:r>
      <w:r>
        <w:rPr>
          <w:noProof/>
        </w:rPr>
        <w:tab/>
      </w:r>
      <w:r w:rsidRPr="00557C2A">
        <w:rPr>
          <w:noProof/>
        </w:rPr>
        <w:t xml:space="preserve">Bij de beoordeling of er bevredigende alternatieve oplossingen voor projecten op het gebied van installaties voor de productie van hernieuwbare energie, de aansluiting van dergelijke installaties op het net, het bijbehorende net zelf en opslagactiva bestaan in de zin van artikel 6, lid 4, en artikel 16, lid 1, van Richtlijn 92/43/EEG, artikel 4, lid 7, punt d), van Richtlijn 2000/60/EG en artikel 9, lid 1, van Richtlijn 2009/147/EG, is aan de voorwaarde dat er geen bevredigende alternatieven zijn, voldaan indien er geen bevredigende alternatieve oplossingen zijn waarmee hetzelfde doel van het project in kwestie kan worden bereikt wat betreft de ontwikkeling van dezelfde hernieuwbare-energiecapaciteit met behulp van dezelfde energietechnologie binnen hetzelfde of een vergelijkbaar tijdschema en zonder dat dit tot aanzienlijk hogere kosten leidt. </w:t>
      </w:r>
    </w:p>
    <w:p w14:paraId="0600AB5F" w14:textId="77777777" w:rsidR="004C752E" w:rsidRPr="00557C2A" w:rsidRDefault="004C752E" w:rsidP="0021414E">
      <w:pPr>
        <w:pStyle w:val="ManualNumPar1"/>
        <w:rPr>
          <w:noProof/>
        </w:rPr>
      </w:pPr>
      <w:r>
        <w:rPr>
          <w:noProof/>
        </w:rPr>
        <w:t>2.</w:t>
      </w:r>
      <w:r>
        <w:rPr>
          <w:noProof/>
        </w:rPr>
        <w:tab/>
      </w:r>
      <w:r w:rsidRPr="00557C2A">
        <w:rPr>
          <w:noProof/>
        </w:rPr>
        <w:t>Bij de uitvoering van compenserende maatregelen voor projecten op het gebied van hernieuwbare-energie-installaties, de aansluiting van dergelijke installaties op het net, het bijbehorende net zelf en opslagactiva, in de zin van artikel 6, lid 4, van Richtlijn 92/43/EEG, kunnen de lidstaten in gerechtvaardigde gevallen en wanneer redelijkerwijs kan worden aangetoond dat het plan of project geen onomkeerbare gevolgen heeft voor de ecologische processen die essentieel zijn voor het behoud van de structuur en functies van het gebied en de algehele samenhang van het Natura 2000-netwerk niet in gevaar brengt voordat compenserende maatregelen worden genomen, toestaan dat dergelijke compenserende maatregelen gelijktijdig met de uitvoering van het project worden uitgevoerd. De lidstaten staan toe dat deze compenserende maatregelen in de loop van de tijd worden aangepast overeenkomstig het voorzorgsbeginsel, afhankelijk van de vraag of de aanzienlijke negatieve effecten naar verwachting op korte, middellange of lange termijn zullen optreden.</w:t>
      </w:r>
    </w:p>
    <w:p w14:paraId="62BB1162" w14:textId="77777777" w:rsidR="004C752E" w:rsidRPr="00557C2A" w:rsidRDefault="004C752E" w:rsidP="00F84546">
      <w:pPr>
        <w:rPr>
          <w:noProof/>
        </w:rPr>
      </w:pPr>
    </w:p>
    <w:p w14:paraId="3D96CD72" w14:textId="77777777" w:rsidR="006D66BC" w:rsidRPr="00557C2A" w:rsidRDefault="006D66BC" w:rsidP="006D66BC">
      <w:pPr>
        <w:pStyle w:val="Text3"/>
        <w:ind w:left="4144" w:firstLine="176"/>
        <w:rPr>
          <w:noProof/>
        </w:rPr>
      </w:pPr>
      <w:r w:rsidRPr="00557C2A">
        <w:rPr>
          <w:noProof/>
        </w:rPr>
        <w:t>Artikel 16 nonies</w:t>
      </w:r>
    </w:p>
    <w:p w14:paraId="5D545705" w14:textId="77777777" w:rsidR="006D66BC" w:rsidRPr="00557C2A" w:rsidRDefault="006D66BC" w:rsidP="00245BB8">
      <w:pPr>
        <w:tabs>
          <w:tab w:val="left" w:pos="1641"/>
          <w:tab w:val="center" w:pos="4513"/>
        </w:tabs>
        <w:jc w:val="center"/>
        <w:rPr>
          <w:b/>
          <w:bCs/>
          <w:noProof/>
        </w:rPr>
      </w:pPr>
      <w:r w:rsidRPr="00557C2A">
        <w:rPr>
          <w:b/>
          <w:noProof/>
        </w:rPr>
        <w:t>Vergunningsprocedure voor standalone-energieopslag anders dan waterstofopslag</w:t>
      </w:r>
    </w:p>
    <w:p w14:paraId="079B3509" w14:textId="77777777" w:rsidR="003124D2" w:rsidRPr="00557C2A" w:rsidRDefault="003124D2" w:rsidP="00CB0269">
      <w:pPr>
        <w:pStyle w:val="ManualNumPar1"/>
        <w:rPr>
          <w:noProof/>
        </w:rPr>
      </w:pPr>
      <w:r>
        <w:rPr>
          <w:noProof/>
        </w:rPr>
        <w:t>1.</w:t>
      </w:r>
      <w:r>
        <w:rPr>
          <w:noProof/>
        </w:rPr>
        <w:tab/>
      </w:r>
      <w:r w:rsidRPr="00557C2A">
        <w:rPr>
          <w:noProof/>
        </w:rPr>
        <w:t>De vergunningsprocedure voor standalone-energieopslag anders dan waterstofopslag heeft betrekking op alle relevante administratieve vergunningen voor de bouw, repowering en exploitatie van stand-alone opslag, met inbegrip van vergunningen voor netaansluitingen en, indien nodig, milieubeoordelingen en -vergunningen. De vergunningsprocedure omvat alle administratieve fasen, vanaf de bevestiging dat de vergunningsaanvraag volledig is tot de kennisgeving van het definitieve besluit over het resultaat van de vergunningsprocedure door de relevante bevoegde autoriteit of autoriteiten. Binnen 30 dagen na ontvangst van een vergunningsaanvraag bevestigt de bevoegde autoriteit dat de aanvraag volledig is of, indien de aanvrager niet alle voor de behandeling van de aanvraag vereiste informatie heeft verstrekt, verzoekt zij de aanvrager om onverwijld een volledige aanvraag in te dienen. De datum waarop de bevoegde autoriteit de volledigheid van de aanvraag bevestigt, geldt als het begin van de vergunningsprocedure.</w:t>
      </w:r>
    </w:p>
    <w:p w14:paraId="684E420E" w14:textId="7E39FE16" w:rsidR="003124D2" w:rsidRPr="00557C2A" w:rsidRDefault="003124D2" w:rsidP="0021414E">
      <w:pPr>
        <w:pStyle w:val="ManualNumPar1"/>
        <w:rPr>
          <w:noProof/>
        </w:rPr>
      </w:pPr>
      <w:r>
        <w:rPr>
          <w:noProof/>
        </w:rPr>
        <w:t>2.</w:t>
      </w:r>
      <w:r>
        <w:rPr>
          <w:noProof/>
        </w:rPr>
        <w:tab/>
      </w:r>
      <w:r w:rsidRPr="00557C2A">
        <w:rPr>
          <w:noProof/>
        </w:rPr>
        <w:t xml:space="preserve">De lidstaten eisen geen administratieve vergunning, ook niet op milieugebied, met uitzondering van vergunningen voor netaansluitingen, voor de installatie van standalone-energieopslag anders dan waterstofopslag, met een totale geïnstalleerde capaciteit van 100 kW of minder. In afwijking van artikel 2, lid 1, van Richtlijn 2011/92/EU is de installatie van die opslag vrijgesteld van het vereiste van artikel 2, lid 1, van die richtlijn om een specifieke milieueffectbeoordeling uit te voeren. De lidstaten beperken de toepassing van deze alinea in Natura 2000-gebieden, andere gebieden die onder nationale beschermingsregelingen vallen, en in het kader van cultureel of historisch erfgoed beschermde gebieden. </w:t>
      </w:r>
    </w:p>
    <w:p w14:paraId="1D48FE3C" w14:textId="77777777" w:rsidR="003124D2" w:rsidRPr="00557C2A" w:rsidRDefault="003124D2" w:rsidP="0021414E">
      <w:pPr>
        <w:pStyle w:val="ManualNumPar1"/>
        <w:rPr>
          <w:noProof/>
        </w:rPr>
      </w:pPr>
      <w:r>
        <w:rPr>
          <w:noProof/>
        </w:rPr>
        <w:t>3.</w:t>
      </w:r>
      <w:r>
        <w:rPr>
          <w:noProof/>
        </w:rPr>
        <w:tab/>
      </w:r>
      <w:r w:rsidRPr="00557C2A">
        <w:rPr>
          <w:noProof/>
        </w:rPr>
        <w:t xml:space="preserve">De lidstaten zorgen ervoor dat de vergunningsprocedures, met inbegrip van vergunningen voor netaansluitingen en, indien nodig, milieubeoordelingen, niet langer duren dan zes maanden voor standalone-energieopslag anders dan waterstofopslag, met een totale geïnstalleerde capaciteit van meer dan 100 kW. In het geval van pompopslag van waterkracht duurt de vergunningsprocedure evenwel niet langer dan twee jaar. </w:t>
      </w:r>
    </w:p>
    <w:p w14:paraId="144E13E6" w14:textId="77777777" w:rsidR="0079507A" w:rsidRPr="00557C2A" w:rsidRDefault="0079507A" w:rsidP="0021414E">
      <w:pPr>
        <w:rPr>
          <w:noProof/>
        </w:rPr>
      </w:pPr>
    </w:p>
    <w:p w14:paraId="125E18B4" w14:textId="77777777" w:rsidR="004C223A" w:rsidRPr="00557C2A" w:rsidRDefault="004C223A" w:rsidP="0021414E">
      <w:pPr>
        <w:rPr>
          <w:noProof/>
        </w:rPr>
      </w:pPr>
    </w:p>
    <w:p w14:paraId="3EE66312" w14:textId="77777777" w:rsidR="0079507A" w:rsidRPr="00557C2A" w:rsidRDefault="0079507A" w:rsidP="00557C2A">
      <w:pPr>
        <w:pStyle w:val="Text3"/>
        <w:keepNext/>
        <w:ind w:left="4144" w:firstLine="176"/>
        <w:rPr>
          <w:noProof/>
        </w:rPr>
      </w:pPr>
      <w:r w:rsidRPr="00557C2A">
        <w:rPr>
          <w:noProof/>
        </w:rPr>
        <w:t>Artikel 16 decies</w:t>
      </w:r>
    </w:p>
    <w:p w14:paraId="27736D6D" w14:textId="77777777" w:rsidR="003E4686" w:rsidRPr="00557C2A" w:rsidRDefault="0079507A" w:rsidP="00557C2A">
      <w:pPr>
        <w:keepNext/>
        <w:tabs>
          <w:tab w:val="left" w:pos="1641"/>
          <w:tab w:val="center" w:pos="4513"/>
        </w:tabs>
        <w:jc w:val="center"/>
        <w:rPr>
          <w:b/>
          <w:noProof/>
        </w:rPr>
      </w:pPr>
      <w:r w:rsidRPr="00557C2A">
        <w:rPr>
          <w:b/>
          <w:noProof/>
        </w:rPr>
        <w:t>Vergunningsprocedure voor laadstations</w:t>
      </w:r>
    </w:p>
    <w:p w14:paraId="1239B7CE" w14:textId="77777777" w:rsidR="0058170F" w:rsidRPr="00557C2A" w:rsidRDefault="0058170F" w:rsidP="00CB0269">
      <w:pPr>
        <w:pStyle w:val="ManualNumPar1"/>
        <w:rPr>
          <w:noProof/>
        </w:rPr>
      </w:pPr>
      <w:r>
        <w:rPr>
          <w:noProof/>
        </w:rPr>
        <w:t>1.</w:t>
      </w:r>
      <w:r>
        <w:rPr>
          <w:noProof/>
        </w:rPr>
        <w:tab/>
      </w:r>
      <w:r w:rsidRPr="00557C2A">
        <w:rPr>
          <w:noProof/>
        </w:rPr>
        <w:t>De vergunningsprocedure voor laadstations heeft betrekking op alle relevante administratieve vergunningen voor de bouw, repowering en exploitatie van laadstations, met inbegrip van vergunningen voor netaansluitingen en, indien nodig, milieubeoordelingen en -vergunningen. De vergunningsprocedure omvat alle administratieve fasen, vanaf de bevestiging dat de vergunningsaanvraag volledig is tot de kennisgeving van het definitieve besluit over het resultaat van de vergunningsprocedure door de relevante bevoegde autoriteit of autoriteiten. Binnen 30 dagen na ontvangst van een vergunningsaanvraag bevestigt de bevoegde autoriteit dat de aanvraag volledig is of, indien de aanvrager niet alle voor de behandeling van de aanvraag vereiste informatie heeft verstrekt, verzoekt zij de aanvrager om onverwijld een volledige aanvraag in te dienen. De datum waarop de bevoegde autoriteit de volledigheid van de aanvraag bevestigt, geldt als het begin van de vergunningsprocedure.</w:t>
      </w:r>
    </w:p>
    <w:p w14:paraId="4B4D1F12" w14:textId="77777777" w:rsidR="0058170F" w:rsidRPr="00557C2A" w:rsidRDefault="0058170F" w:rsidP="0021414E">
      <w:pPr>
        <w:pStyle w:val="ManualNumPar1"/>
        <w:rPr>
          <w:noProof/>
        </w:rPr>
      </w:pPr>
      <w:r>
        <w:rPr>
          <w:noProof/>
        </w:rPr>
        <w:t>2.</w:t>
      </w:r>
      <w:r>
        <w:rPr>
          <w:noProof/>
        </w:rPr>
        <w:tab/>
      </w:r>
      <w:r w:rsidRPr="00557C2A">
        <w:rPr>
          <w:noProof/>
        </w:rPr>
        <w:t xml:space="preserve">De lidstaten eisen geen administratieve vergunning, ook niet op milieugebied, met uitzondering van vergunningen voor netaansluitingen, voor de installatie van laadstations met een totale geïnstalleerde capaciteit van 100 kW of minder. In afwijking van artikel 2, lid 1, van Richtlijn 2011/92/EU is de installatie van die stations vrijgesteld van het vereiste, indien van toepassing, van artikel 2, lid 1, van die richtlijn om een specifieke milieueffectbeoordeling uit te voeren. De lidstaten beperken de toepassing van deze alinea in Natura 2000-gebieden, andere gebieden die onder nationale beschermingsregelingen vallen, en in het kader van cultureel of historisch erfgoed beschermde gebieden. </w:t>
      </w:r>
    </w:p>
    <w:p w14:paraId="68ADC915" w14:textId="77777777" w:rsidR="00CB1A0F" w:rsidRPr="00557C2A" w:rsidRDefault="0058170F" w:rsidP="0021414E">
      <w:pPr>
        <w:pStyle w:val="ManualNumPar1"/>
        <w:rPr>
          <w:noProof/>
        </w:rPr>
      </w:pPr>
      <w:r>
        <w:rPr>
          <w:noProof/>
        </w:rPr>
        <w:t>3.</w:t>
      </w:r>
      <w:r>
        <w:rPr>
          <w:noProof/>
        </w:rPr>
        <w:tab/>
      </w:r>
      <w:r w:rsidRPr="00557C2A">
        <w:rPr>
          <w:noProof/>
        </w:rPr>
        <w:t>De lidstaten zorgen ervoor dat de vergunningsprocedures, met inbegrip van vergunningen voor netaansluitingen en, indien nodig, milieubeoordelingen, niet langer duren dan zes maanden voor laadstations met een totale geïnstalleerde capaciteit van meer dan 100 kW.</w:t>
      </w:r>
    </w:p>
    <w:p w14:paraId="6E0818C5" w14:textId="77777777" w:rsidR="00E81E2E" w:rsidRPr="00557C2A" w:rsidRDefault="00E81E2E" w:rsidP="00E81E2E">
      <w:pPr>
        <w:pStyle w:val="Text1"/>
        <w:ind w:left="0"/>
        <w:rPr>
          <w:noProof/>
        </w:rPr>
      </w:pPr>
    </w:p>
    <w:p w14:paraId="47AB3E38" w14:textId="77777777" w:rsidR="00245BB8" w:rsidRPr="00557C2A" w:rsidRDefault="00245BB8" w:rsidP="00E81E2E">
      <w:pPr>
        <w:pStyle w:val="Text1"/>
        <w:ind w:left="0"/>
        <w:rPr>
          <w:noProof/>
        </w:rPr>
      </w:pPr>
    </w:p>
    <w:p w14:paraId="0F7EBF8A" w14:textId="77777777" w:rsidR="00E46881" w:rsidRPr="00557C2A" w:rsidRDefault="00E46881" w:rsidP="00E46881">
      <w:pPr>
        <w:pStyle w:val="Text3"/>
        <w:ind w:left="4144" w:firstLine="176"/>
        <w:rPr>
          <w:noProof/>
        </w:rPr>
      </w:pPr>
      <w:r w:rsidRPr="00557C2A">
        <w:rPr>
          <w:noProof/>
        </w:rPr>
        <w:t>Artikel 16 undecies</w:t>
      </w:r>
    </w:p>
    <w:p w14:paraId="0C86D8C5" w14:textId="77777777" w:rsidR="00E46881" w:rsidRPr="00557C2A" w:rsidRDefault="00E46881" w:rsidP="00245BB8">
      <w:pPr>
        <w:tabs>
          <w:tab w:val="left" w:pos="1641"/>
          <w:tab w:val="center" w:pos="4513"/>
        </w:tabs>
        <w:jc w:val="center"/>
        <w:rPr>
          <w:b/>
          <w:bCs/>
          <w:noProof/>
        </w:rPr>
      </w:pPr>
      <w:r w:rsidRPr="00557C2A">
        <w:rPr>
          <w:b/>
          <w:noProof/>
        </w:rPr>
        <w:t>Vergunningsprocedure voor de hybridisatie van installaties voor de productie van hernieuwbare energie</w:t>
      </w:r>
    </w:p>
    <w:p w14:paraId="2C36A38E" w14:textId="77777777" w:rsidR="007D4D26" w:rsidRPr="00557C2A" w:rsidRDefault="00E46881" w:rsidP="00CB0269">
      <w:pPr>
        <w:pStyle w:val="ManualNumPar1"/>
        <w:rPr>
          <w:noProof/>
        </w:rPr>
      </w:pPr>
      <w:r>
        <w:rPr>
          <w:noProof/>
        </w:rPr>
        <w:t>1.</w:t>
      </w:r>
      <w:r>
        <w:rPr>
          <w:noProof/>
        </w:rPr>
        <w:tab/>
      </w:r>
      <w:r w:rsidRPr="00557C2A">
        <w:rPr>
          <w:noProof/>
        </w:rPr>
        <w:t>Indien de hybridisatie van een installatie voor de productie van hernieuwbare energie onderworpen is aan een screeningprocedure op grond van artikel 16 bis, lid 4, aan de vaststelling of het project een milieueffectbeoordeling vereist, of aan een milieueffectbeoordeling op grond van artikel 4 van Richtlijn 2011/92/EU, wordt een dergelijke screeningprocedure, vaststelling of milieueffectbeoordeling beperkt tot het potentiële effect dat voortvloeit uit de toevoeging ervan ten opzichte van het oorspronkelijke project.</w:t>
      </w:r>
    </w:p>
    <w:p w14:paraId="472D5BF2" w14:textId="77777777" w:rsidR="00E46881" w:rsidRPr="00557C2A" w:rsidRDefault="00E46881" w:rsidP="0021414E">
      <w:pPr>
        <w:pStyle w:val="ManualNumPar1"/>
        <w:rPr>
          <w:noProof/>
        </w:rPr>
      </w:pPr>
      <w:r>
        <w:rPr>
          <w:noProof/>
        </w:rPr>
        <w:t>2.</w:t>
      </w:r>
      <w:r>
        <w:rPr>
          <w:noProof/>
        </w:rPr>
        <w:tab/>
      </w:r>
      <w:r w:rsidRPr="00557C2A">
        <w:rPr>
          <w:noProof/>
        </w:rPr>
        <w:t xml:space="preserve">In geval van een wijziging van de gebruiksstatus van de grond waarop hernieuwbare-energieprojecten zijn geïnstalleerd, zorgen de lidstaten ervoor dat de exploitatie en hybridisatie van die hernieuwbare-energieprojecten nog steeds kunnen plaatsvinden.”. </w:t>
      </w:r>
    </w:p>
    <w:p w14:paraId="322D3931" w14:textId="77777777" w:rsidR="00200400" w:rsidRPr="00557C2A" w:rsidRDefault="00200400" w:rsidP="00200400">
      <w:pPr>
        <w:pStyle w:val="Text1"/>
        <w:rPr>
          <w:noProof/>
        </w:rPr>
      </w:pPr>
    </w:p>
    <w:p w14:paraId="0BF7E452" w14:textId="77777777" w:rsidR="00200400" w:rsidRPr="00557C2A" w:rsidRDefault="00200400" w:rsidP="000B735E">
      <w:pPr>
        <w:rPr>
          <w:noProof/>
        </w:rPr>
      </w:pPr>
    </w:p>
    <w:p w14:paraId="3FFED742" w14:textId="77777777" w:rsidR="00E86D76" w:rsidRPr="00557C2A" w:rsidRDefault="00F009CD" w:rsidP="00D5272E">
      <w:pPr>
        <w:pStyle w:val="Point0"/>
        <w:rPr>
          <w:noProof/>
        </w:rPr>
      </w:pPr>
      <w:r>
        <w:rPr>
          <w:noProof/>
        </w:rPr>
        <w:t>(10)</w:t>
      </w:r>
      <w:r>
        <w:rPr>
          <w:noProof/>
        </w:rPr>
        <w:tab/>
      </w:r>
      <w:r w:rsidRPr="00557C2A">
        <w:rPr>
          <w:noProof/>
        </w:rPr>
        <w:t xml:space="preserve">Artikel 17 wordt vervangen door: </w:t>
      </w:r>
    </w:p>
    <w:p w14:paraId="2E94E508" w14:textId="77777777" w:rsidR="008A4DAF" w:rsidRPr="00557C2A" w:rsidRDefault="008A4DAF" w:rsidP="0021414E">
      <w:pPr>
        <w:rPr>
          <w:noProof/>
        </w:rPr>
      </w:pPr>
    </w:p>
    <w:p w14:paraId="21232685" w14:textId="77777777" w:rsidR="00125088" w:rsidRPr="00557C2A" w:rsidRDefault="0BD95333" w:rsidP="353AA4CC">
      <w:pPr>
        <w:pStyle w:val="Text3"/>
        <w:ind w:left="4144" w:firstLine="176"/>
        <w:rPr>
          <w:noProof/>
        </w:rPr>
      </w:pPr>
      <w:r w:rsidRPr="00557C2A">
        <w:rPr>
          <w:noProof/>
        </w:rPr>
        <w:t>“Artikel 17</w:t>
      </w:r>
    </w:p>
    <w:p w14:paraId="5C898226" w14:textId="77777777" w:rsidR="00F65822" w:rsidRPr="00557C2A" w:rsidRDefault="00F65822" w:rsidP="00411C2B">
      <w:pPr>
        <w:ind w:left="2160" w:firstLine="720"/>
        <w:rPr>
          <w:b/>
          <w:noProof/>
        </w:rPr>
      </w:pPr>
      <w:r w:rsidRPr="00557C2A">
        <w:rPr>
          <w:b/>
          <w:noProof/>
        </w:rPr>
        <w:t xml:space="preserve">Vergunningsprocedures voor netaansluitingen </w:t>
      </w:r>
    </w:p>
    <w:p w14:paraId="2252D0BC" w14:textId="77777777" w:rsidR="00F65822" w:rsidRPr="00557C2A" w:rsidRDefault="00F65822" w:rsidP="00CB0269">
      <w:pPr>
        <w:pStyle w:val="ManualNumPar1"/>
        <w:rPr>
          <w:noProof/>
        </w:rPr>
      </w:pPr>
      <w:r>
        <w:rPr>
          <w:noProof/>
        </w:rPr>
        <w:t>1.</w:t>
      </w:r>
      <w:r>
        <w:rPr>
          <w:noProof/>
        </w:rPr>
        <w:tab/>
      </w:r>
      <w:r w:rsidRPr="00557C2A">
        <w:rPr>
          <w:noProof/>
        </w:rPr>
        <w:t xml:space="preserve">De lidstaten zorgen ervoor dat de vergunningsprocedures voor netaansluitingen niet langer duren dan: </w:t>
      </w:r>
    </w:p>
    <w:p w14:paraId="5E1E8979" w14:textId="77777777" w:rsidR="00F65822" w:rsidRPr="00557C2A" w:rsidRDefault="005A3C9A" w:rsidP="00F65822">
      <w:pPr>
        <w:pStyle w:val="Point1"/>
        <w:rPr>
          <w:noProof/>
        </w:rPr>
      </w:pPr>
      <w:r>
        <w:rPr>
          <w:noProof/>
        </w:rPr>
        <w:t>(a)</w:t>
      </w:r>
      <w:r>
        <w:rPr>
          <w:noProof/>
        </w:rPr>
        <w:tab/>
      </w:r>
      <w:r w:rsidRPr="00557C2A">
        <w:rPr>
          <w:noProof/>
        </w:rPr>
        <w:t xml:space="preserve">één maand voor de in artikel 16 quinquies, lid 2, bedoelde apparatuur voor zonne-energie en energieopslag op één locatie, de in artikel 16 nonies, lid 2, bedoelde standalone-energieopslag en de in artikel 16 decies, lid 2, bedoelde laadstations; </w:t>
      </w:r>
    </w:p>
    <w:p w14:paraId="548CC43E" w14:textId="77777777" w:rsidR="00F65822" w:rsidRPr="00557C2A" w:rsidRDefault="00AA0A40" w:rsidP="00F65822">
      <w:pPr>
        <w:pStyle w:val="Point1"/>
        <w:rPr>
          <w:noProof/>
        </w:rPr>
      </w:pPr>
      <w:r>
        <w:rPr>
          <w:noProof/>
        </w:rPr>
        <w:t>(b)</w:t>
      </w:r>
      <w:r>
        <w:rPr>
          <w:noProof/>
        </w:rPr>
        <w:tab/>
      </w:r>
      <w:r w:rsidRPr="00557C2A">
        <w:rPr>
          <w:noProof/>
        </w:rPr>
        <w:t xml:space="preserve">drie maanden voor de installatie van de in artikel 16 quinquies, lid 1, bedoelde apparatuur voor zonne-energie en energieopslag op één locatie, en de repowering of hybridisatie van bestaande installaties voor de productie van hernieuwbare energie als bedoeld in de artikelen 16 quater en 16 undecies, tenzij er sprake is van gerechtvaardigde veiligheidsoverwegingen of technische incompatibiliteit van de systeemonderdelen, of indien vanwege de omvang van de capaciteitsverhoging meer tijd nodig is om de beoordeling uit te voeren. </w:t>
      </w:r>
    </w:p>
    <w:p w14:paraId="37515DD5" w14:textId="77777777" w:rsidR="00F65822" w:rsidRPr="00557C2A" w:rsidRDefault="00F65822" w:rsidP="005E2363">
      <w:pPr>
        <w:pStyle w:val="ManualNumPar1"/>
        <w:rPr>
          <w:noProof/>
        </w:rPr>
      </w:pPr>
      <w:r>
        <w:rPr>
          <w:noProof/>
        </w:rPr>
        <w:t>2.</w:t>
      </w:r>
      <w:r>
        <w:rPr>
          <w:noProof/>
        </w:rPr>
        <w:tab/>
      </w:r>
      <w:r w:rsidRPr="00557C2A">
        <w:rPr>
          <w:noProof/>
        </w:rPr>
        <w:t>Binnen de in artikel 16 bis, lid 1, artikel 16 ter, lid 1, en lid 1 van dit artikel vastgestelde termijnen kiest de systeembeheerder een van de volgende maatregelen:</w:t>
      </w:r>
    </w:p>
    <w:p w14:paraId="47899004" w14:textId="77777777" w:rsidR="00F65822" w:rsidRPr="00557C2A" w:rsidRDefault="009F547A" w:rsidP="00CB0269">
      <w:pPr>
        <w:pStyle w:val="Point1"/>
        <w:rPr>
          <w:noProof/>
        </w:rPr>
      </w:pPr>
      <w:r>
        <w:rPr>
          <w:noProof/>
        </w:rPr>
        <w:t>(a)</w:t>
      </w:r>
      <w:r>
        <w:rPr>
          <w:noProof/>
        </w:rPr>
        <w:tab/>
      </w:r>
      <w:r w:rsidRPr="00557C2A">
        <w:rPr>
          <w:noProof/>
        </w:rPr>
        <w:t xml:space="preserve">wanneer er voldoende capaciteit is en de gevraagde aansluiting geen invloed heeft op de stabiliteit, betrouwbaarheid en veiligheid van het net, de gevraagde netaansluiting aanvaarden en de aansluiting toestaan; </w:t>
      </w:r>
    </w:p>
    <w:p w14:paraId="0366C8EA" w14:textId="77777777" w:rsidR="00F65822" w:rsidRPr="00557C2A" w:rsidRDefault="009F547A" w:rsidP="0099373B">
      <w:pPr>
        <w:pStyle w:val="Point1"/>
        <w:rPr>
          <w:noProof/>
        </w:rPr>
      </w:pPr>
      <w:r>
        <w:rPr>
          <w:noProof/>
        </w:rPr>
        <w:t>(b)</w:t>
      </w:r>
      <w:r>
        <w:rPr>
          <w:noProof/>
        </w:rPr>
        <w:tab/>
      </w:r>
      <w:r w:rsidRPr="00557C2A">
        <w:rPr>
          <w:noProof/>
        </w:rPr>
        <w:t xml:space="preserve">wanneer er onvoldoende netcapaciteit is, voor zover technisch mogelijk, een flexibeleaansluitovereenkomst voorstellen overeenkomstig artikel 6 bis van Richtlijn (EU) 2019/944.  </w:t>
      </w:r>
    </w:p>
    <w:p w14:paraId="19367C39" w14:textId="77777777" w:rsidR="00156330" w:rsidRPr="00557C2A" w:rsidRDefault="00156330" w:rsidP="00156330">
      <w:pPr>
        <w:pStyle w:val="ManualNumPar1"/>
        <w:rPr>
          <w:noProof/>
        </w:rPr>
      </w:pPr>
      <w:r>
        <w:rPr>
          <w:noProof/>
        </w:rPr>
        <w:t>3.</w:t>
      </w:r>
      <w:r>
        <w:rPr>
          <w:noProof/>
        </w:rPr>
        <w:tab/>
      </w:r>
      <w:r w:rsidRPr="00557C2A">
        <w:rPr>
          <w:noProof/>
        </w:rPr>
        <w:t>Wanneer een voorstel voor een overeenkomst als bedoeld in lid 2, punt b), door de projectontwikkelaar wordt afgewezen, stelt de systeembeheerder op grond van gerechtvaardigde veiligheidsoverwegingen of technische incompatibiliteit van de systeemonderdelen een alternatief netaansluitingspunt en een alternatieve voorlopige datum voor de netaansluiting voor, of wijst hij, indien dit niet mogelijk is, het aansluitverzoek af.</w:t>
      </w:r>
    </w:p>
    <w:p w14:paraId="5A48478F" w14:textId="77777777" w:rsidR="00EB2731" w:rsidRPr="00557C2A" w:rsidRDefault="00F65822" w:rsidP="005E2363">
      <w:pPr>
        <w:pStyle w:val="ManualNumPar1"/>
        <w:rPr>
          <w:noProof/>
        </w:rPr>
      </w:pPr>
      <w:r>
        <w:rPr>
          <w:noProof/>
        </w:rPr>
        <w:t>4.</w:t>
      </w:r>
      <w:r>
        <w:rPr>
          <w:noProof/>
        </w:rPr>
        <w:tab/>
      </w:r>
      <w:r w:rsidRPr="00557C2A">
        <w:rPr>
          <w:noProof/>
        </w:rPr>
        <w:t xml:space="preserve">Indien de distributiesysteembeheerder niet binnen de in lid 1, punt a), vastgestelde termijn antwoordt, wordt de vergunning voor aansluiting op het net als verleend beschouwd, op voorwaarde dat de capaciteit van de apparatuur voor zonne-energie, de energieopslag of de laadstations de bestaande capaciteit van de aansluiting op het distributienet niet overschrijdt.”.  </w:t>
      </w:r>
    </w:p>
    <w:p w14:paraId="21EE2346" w14:textId="77777777" w:rsidR="00EB2731" w:rsidRPr="00557C2A" w:rsidRDefault="00EB2731" w:rsidP="000B735E">
      <w:pPr>
        <w:rPr>
          <w:noProof/>
        </w:rPr>
      </w:pPr>
    </w:p>
    <w:p w14:paraId="47CC049A" w14:textId="77777777" w:rsidR="003404D8" w:rsidRPr="00557C2A" w:rsidRDefault="003404D8" w:rsidP="00557C2A">
      <w:pPr>
        <w:pStyle w:val="Titrearticle"/>
        <w:rPr>
          <w:noProof/>
        </w:rPr>
      </w:pPr>
      <w:r w:rsidRPr="00557C2A">
        <w:rPr>
          <w:noProof/>
        </w:rPr>
        <w:t>Artikel 2</w:t>
      </w:r>
    </w:p>
    <w:p w14:paraId="78D96F6B" w14:textId="77777777" w:rsidR="003404D8" w:rsidRPr="00557C2A" w:rsidRDefault="003404D8" w:rsidP="00557C2A">
      <w:pPr>
        <w:keepNext/>
        <w:jc w:val="center"/>
        <w:rPr>
          <w:b/>
          <w:bCs/>
          <w:noProof/>
        </w:rPr>
      </w:pPr>
      <w:r w:rsidRPr="00557C2A">
        <w:rPr>
          <w:b/>
          <w:noProof/>
        </w:rPr>
        <w:t>Wijzigingen van Richtlijn (EU) 2019/944</w:t>
      </w:r>
    </w:p>
    <w:p w14:paraId="48945627" w14:textId="77777777" w:rsidR="003404D8" w:rsidRPr="00557C2A" w:rsidRDefault="003404D8" w:rsidP="00557C2A">
      <w:pPr>
        <w:keepNext/>
        <w:tabs>
          <w:tab w:val="left" w:pos="5109"/>
        </w:tabs>
        <w:rPr>
          <w:noProof/>
        </w:rPr>
      </w:pPr>
      <w:r w:rsidRPr="00557C2A">
        <w:rPr>
          <w:noProof/>
        </w:rPr>
        <w:t>Richtlijn (EU) 2019/944 wordt als volgt gewijzigd:</w:t>
      </w:r>
    </w:p>
    <w:p w14:paraId="7DBA00CA" w14:textId="77777777" w:rsidR="003404D8" w:rsidRPr="00557C2A" w:rsidRDefault="003404D8" w:rsidP="00557C2A">
      <w:pPr>
        <w:keepNext/>
        <w:tabs>
          <w:tab w:val="left" w:pos="5109"/>
        </w:tabs>
        <w:rPr>
          <w:noProof/>
        </w:rPr>
      </w:pPr>
    </w:p>
    <w:p w14:paraId="63BD316D" w14:textId="77777777" w:rsidR="00C454A8" w:rsidRPr="00557C2A" w:rsidRDefault="003404D8" w:rsidP="00CB0269">
      <w:pPr>
        <w:pStyle w:val="Point0"/>
        <w:rPr>
          <w:noProof/>
        </w:rPr>
      </w:pPr>
      <w:r>
        <w:rPr>
          <w:noProof/>
        </w:rPr>
        <w:t>(1)</w:t>
      </w:r>
      <w:r>
        <w:rPr>
          <w:noProof/>
        </w:rPr>
        <w:tab/>
      </w:r>
      <w:r w:rsidRPr="00557C2A">
        <w:rPr>
          <w:noProof/>
        </w:rPr>
        <w:t xml:space="preserve"> Artikel 8 wordt vervangen door:</w:t>
      </w:r>
    </w:p>
    <w:p w14:paraId="6C1E201A" w14:textId="77777777" w:rsidR="00D3201C" w:rsidRPr="00557C2A" w:rsidRDefault="007A74FB" w:rsidP="51658563">
      <w:pPr>
        <w:shd w:val="clear" w:color="auto" w:fill="FFFFFF" w:themeFill="background1"/>
        <w:spacing w:before="360" w:line="312" w:lineRule="atLeast"/>
        <w:jc w:val="center"/>
        <w:rPr>
          <w:noProof/>
        </w:rPr>
      </w:pPr>
      <w:r w:rsidRPr="00557C2A">
        <w:rPr>
          <w:noProof/>
        </w:rPr>
        <w:t xml:space="preserve">“Artikel 8 </w:t>
      </w:r>
    </w:p>
    <w:p w14:paraId="5AC268CD" w14:textId="77777777" w:rsidR="00D3201C" w:rsidRPr="00557C2A" w:rsidRDefault="00D3201C" w:rsidP="005E2363">
      <w:pPr>
        <w:jc w:val="center"/>
        <w:rPr>
          <w:b/>
          <w:bCs/>
          <w:noProof/>
        </w:rPr>
      </w:pPr>
      <w:r w:rsidRPr="00557C2A">
        <w:rPr>
          <w:b/>
          <w:noProof/>
        </w:rPr>
        <w:t>Vergunningsprocedure</w:t>
      </w:r>
    </w:p>
    <w:p w14:paraId="6F3B54EA" w14:textId="77777777" w:rsidR="6A9DA4FD" w:rsidRPr="00557C2A" w:rsidRDefault="6A9DA4FD" w:rsidP="00CB0269">
      <w:pPr>
        <w:pStyle w:val="ManualNumPar1"/>
        <w:rPr>
          <w:noProof/>
        </w:rPr>
      </w:pPr>
      <w:r>
        <w:rPr>
          <w:noProof/>
        </w:rPr>
        <w:t>1.</w:t>
      </w:r>
      <w:r>
        <w:rPr>
          <w:noProof/>
        </w:rPr>
        <w:tab/>
      </w:r>
      <w:r w:rsidRPr="00557C2A">
        <w:rPr>
          <w:noProof/>
        </w:rPr>
        <w:t>In gevallen waarin toestemming (zoals een vergunning, toelating, concessie, instemming of goedkeuring) is vereist voor de aanleg of exploitatie van infrastructuur voor elektriciteitstransmissie- of -distributiesystemen of bijbehorende apparatuur, of voor de bouw van nieuwe productiecapaciteit, verlenen de lidstaten of de door hen aangewezen bevoegde instanties deze toestemming overeenkomstig de leden 2 tot en met 14. De lidstaten of de door hen aangewezen bevoegde instanties kunnen op dezelfde basis ook vergunningen verlenen voor elektriciteitsvoorziening en voor grootafnemers.</w:t>
      </w:r>
    </w:p>
    <w:p w14:paraId="52358A0C" w14:textId="77777777" w:rsidR="00EC367E" w:rsidRPr="00557C2A" w:rsidRDefault="00500705" w:rsidP="005E2363">
      <w:pPr>
        <w:pStyle w:val="ManualNumPar1"/>
        <w:rPr>
          <w:noProof/>
        </w:rPr>
      </w:pPr>
      <w:r>
        <w:rPr>
          <w:noProof/>
        </w:rPr>
        <w:t>2.</w:t>
      </w:r>
      <w:r>
        <w:rPr>
          <w:noProof/>
        </w:rPr>
        <w:tab/>
      </w:r>
      <w:r w:rsidRPr="00557C2A">
        <w:rPr>
          <w:noProof/>
        </w:rPr>
        <w:t>Lidstaten die een vergunningensysteem toepassen, zullen:</w:t>
      </w:r>
    </w:p>
    <w:p w14:paraId="6AFDBDB5" w14:textId="77777777" w:rsidR="00EC65BB" w:rsidRPr="00557C2A" w:rsidRDefault="68533285" w:rsidP="00CB0269">
      <w:pPr>
        <w:pStyle w:val="Point1"/>
        <w:rPr>
          <w:rFonts w:eastAsia="Calibri"/>
          <w:noProof/>
          <w:szCs w:val="24"/>
        </w:rPr>
      </w:pPr>
      <w:r>
        <w:rPr>
          <w:noProof/>
        </w:rPr>
        <w:t>(a)</w:t>
      </w:r>
      <w:r>
        <w:rPr>
          <w:noProof/>
        </w:rPr>
        <w:tab/>
      </w:r>
      <w:r w:rsidRPr="00557C2A">
        <w:rPr>
          <w:noProof/>
        </w:rPr>
        <w:t xml:space="preserve">objectieve en niet-discriminerende criteria vaststellen, samen met transparante procedures, waaraan elke onderneming die een vergunning aanvraagt voor de bouw en/of exploitatie van nieuwe productiecapaciteit, alsmede infrastructuur voor transmissie- of distributiesystemen, moet voldoen; </w:t>
      </w:r>
    </w:p>
    <w:p w14:paraId="2363B04F" w14:textId="77777777" w:rsidR="6A9DA4FD" w:rsidRPr="00557C2A" w:rsidRDefault="00C36C35" w:rsidP="00CB0269">
      <w:pPr>
        <w:pStyle w:val="Point1"/>
        <w:rPr>
          <w:rFonts w:eastAsia="Calibri"/>
          <w:noProof/>
          <w:szCs w:val="24"/>
        </w:rPr>
      </w:pPr>
      <w:r>
        <w:rPr>
          <w:noProof/>
        </w:rPr>
        <w:t>(b)</w:t>
      </w:r>
      <w:r>
        <w:rPr>
          <w:noProof/>
        </w:rPr>
        <w:tab/>
      </w:r>
      <w:r w:rsidRPr="00557C2A">
        <w:rPr>
          <w:noProof/>
        </w:rPr>
        <w:t>de criteria en procedures voor vergunningverlening openbaar maken;</w:t>
      </w:r>
    </w:p>
    <w:p w14:paraId="426F7B60" w14:textId="77777777" w:rsidR="00EC367E" w:rsidRPr="00557C2A" w:rsidRDefault="00902DEA" w:rsidP="00CB0269">
      <w:pPr>
        <w:pStyle w:val="Point1"/>
        <w:rPr>
          <w:noProof/>
        </w:rPr>
      </w:pPr>
      <w:r>
        <w:rPr>
          <w:noProof/>
        </w:rPr>
        <w:t>(c)</w:t>
      </w:r>
      <w:r>
        <w:rPr>
          <w:noProof/>
        </w:rPr>
        <w:tab/>
      </w:r>
      <w:r w:rsidRPr="00557C2A">
        <w:rPr>
          <w:noProof/>
        </w:rPr>
        <w:t>ervoor zorgen dat bij de vergunningsprocedures voor dergelijke productiecapaciteit en infrastructuur of bijbehorende uitrusting, in voorkomend geval, rekening wordt gehouden met het belang van het project voor de interne markten voor elektriciteit en hernieuwbare energiebronnen;</w:t>
      </w:r>
    </w:p>
    <w:p w14:paraId="49DCDFF3" w14:textId="77777777" w:rsidR="00712E85" w:rsidRPr="00557C2A" w:rsidRDefault="00B4324B" w:rsidP="1BDB167A">
      <w:pPr>
        <w:pStyle w:val="Point1"/>
        <w:rPr>
          <w:noProof/>
        </w:rPr>
      </w:pPr>
      <w:r>
        <w:rPr>
          <w:noProof/>
        </w:rPr>
        <w:t>(d)</w:t>
      </w:r>
      <w:r>
        <w:rPr>
          <w:noProof/>
        </w:rPr>
        <w:tab/>
      </w:r>
      <w:r w:rsidRPr="00557C2A">
        <w:rPr>
          <w:noProof/>
        </w:rPr>
        <w:t>ervoor zorgen dat bij de vergunningsprocedures rekening wordt gehouden met de noodzaak, of het ontbreken daarvan, om beoordelingen uit te voeren overeenkomstig Richtlijn 92/43/EEG van de Raad</w:t>
      </w:r>
      <w:r w:rsidRPr="00557C2A">
        <w:rPr>
          <w:rStyle w:val="FootnoteReference"/>
          <w:noProof/>
        </w:rPr>
        <w:footnoteReference w:id="46"/>
      </w:r>
      <w:r w:rsidRPr="00557C2A">
        <w:rPr>
          <w:noProof/>
        </w:rPr>
        <w:t xml:space="preserve"> en de Richtlijnen 2000/60/EG</w:t>
      </w:r>
      <w:r w:rsidRPr="00557C2A">
        <w:rPr>
          <w:rStyle w:val="FootnoteReference"/>
          <w:noProof/>
        </w:rPr>
        <w:footnoteReference w:id="47"/>
      </w:r>
      <w:r w:rsidRPr="00557C2A">
        <w:rPr>
          <w:noProof/>
        </w:rPr>
        <w:t>, 2001/42/EG</w:t>
      </w:r>
      <w:r w:rsidRPr="00557C2A">
        <w:rPr>
          <w:rStyle w:val="FootnoteReference"/>
          <w:noProof/>
        </w:rPr>
        <w:footnoteReference w:id="48"/>
      </w:r>
      <w:r w:rsidRPr="00557C2A">
        <w:rPr>
          <w:noProof/>
        </w:rPr>
        <w:t>, 2009/147/EG</w:t>
      </w:r>
      <w:r w:rsidRPr="00557C2A">
        <w:rPr>
          <w:rStyle w:val="FootnoteReference"/>
          <w:noProof/>
        </w:rPr>
        <w:footnoteReference w:id="49"/>
      </w:r>
      <w:r w:rsidRPr="00557C2A">
        <w:rPr>
          <w:noProof/>
        </w:rPr>
        <w:t xml:space="preserve"> en 2011/92/EU</w:t>
      </w:r>
      <w:r w:rsidRPr="00557C2A">
        <w:rPr>
          <w:rStyle w:val="FootnoteReference"/>
          <w:noProof/>
        </w:rPr>
        <w:footnoteReference w:id="50"/>
      </w:r>
      <w:r w:rsidRPr="00557C2A">
        <w:rPr>
          <w:noProof/>
        </w:rPr>
        <w:t>;</w:t>
      </w:r>
    </w:p>
    <w:p w14:paraId="39885175" w14:textId="77777777" w:rsidR="008F6A63" w:rsidRPr="00557C2A" w:rsidRDefault="00F50554" w:rsidP="00CB0269">
      <w:pPr>
        <w:pStyle w:val="Point1"/>
        <w:rPr>
          <w:noProof/>
        </w:rPr>
      </w:pPr>
      <w:r>
        <w:rPr>
          <w:noProof/>
        </w:rPr>
        <w:t>(e)</w:t>
      </w:r>
      <w:r>
        <w:rPr>
          <w:noProof/>
        </w:rPr>
        <w:tab/>
      </w:r>
      <w:r w:rsidRPr="00557C2A">
        <w:rPr>
          <w:noProof/>
        </w:rPr>
        <w:t xml:space="preserve">ervoor zorgen dat er specifieke, vereenvoudigde en gestroomlijnde vergunningsprocedures bestaan voor kleine gedecentraliseerde en/of gedistribueerde productie en infrastructuur voor distributiesystemen, waarbij rekening gehouden wordt met hun beperkte grootte en potentiële effect; </w:t>
      </w:r>
    </w:p>
    <w:p w14:paraId="3DA9C9B9" w14:textId="77777777" w:rsidR="00F50554" w:rsidRPr="00557C2A" w:rsidRDefault="003616CF" w:rsidP="00CB0269">
      <w:pPr>
        <w:pStyle w:val="Point1"/>
        <w:rPr>
          <w:noProof/>
        </w:rPr>
      </w:pPr>
      <w:r>
        <w:rPr>
          <w:noProof/>
        </w:rPr>
        <w:t>(f)</w:t>
      </w:r>
      <w:r>
        <w:rPr>
          <w:noProof/>
        </w:rPr>
        <w:tab/>
      </w:r>
      <w:r w:rsidRPr="00557C2A">
        <w:rPr>
          <w:noProof/>
        </w:rPr>
        <w:t>ervoor zorgen dat richtsnoeren voor die specifieke vergunningsprocedures worden opgesteld en herzien door regulerende instanties of andere bevoegde nationale instanties, met inbegrip van planningsinstanties, die wijzigingen kunnen aanbevelen;</w:t>
      </w:r>
    </w:p>
    <w:p w14:paraId="35AC9E57" w14:textId="77777777" w:rsidR="004F0724" w:rsidRPr="00557C2A" w:rsidRDefault="003F18ED" w:rsidP="00CB0269">
      <w:pPr>
        <w:pStyle w:val="Point1"/>
        <w:rPr>
          <w:noProof/>
        </w:rPr>
      </w:pPr>
      <w:r>
        <w:rPr>
          <w:noProof/>
        </w:rPr>
        <w:t>(g)</w:t>
      </w:r>
      <w:r>
        <w:rPr>
          <w:noProof/>
        </w:rPr>
        <w:tab/>
      </w:r>
      <w:r w:rsidRPr="00557C2A">
        <w:rPr>
          <w:noProof/>
        </w:rPr>
        <w:t>ervoor zorgen dat alle besluiten openbaar worden gemaakt;</w:t>
      </w:r>
    </w:p>
    <w:p w14:paraId="3A434B2B" w14:textId="77777777" w:rsidR="00462D28" w:rsidRPr="00557C2A" w:rsidRDefault="00462D28" w:rsidP="00CB0269">
      <w:pPr>
        <w:pStyle w:val="Point1"/>
        <w:rPr>
          <w:noProof/>
        </w:rPr>
      </w:pPr>
      <w:r>
        <w:rPr>
          <w:noProof/>
        </w:rPr>
        <w:t>(h)</w:t>
      </w:r>
      <w:r>
        <w:rPr>
          <w:noProof/>
        </w:rPr>
        <w:tab/>
      </w:r>
      <w:r w:rsidRPr="00557C2A">
        <w:rPr>
          <w:noProof/>
        </w:rPr>
        <w:t>ervoor zorgen dat aanvragers worden geïnformeerd over de redenen voor een eventuele weigering om een vergunning te verlenen. Deze redenen moeten objectief en niet-discriminerend zijn, berusten op goede gronden en naar behoren worden gestaafd, en aanvragers moeten over beroepsprocedures kunnen beschikken;</w:t>
      </w:r>
    </w:p>
    <w:p w14:paraId="42A7891D" w14:textId="77777777" w:rsidR="00462D28" w:rsidRPr="00557C2A" w:rsidRDefault="00CE0F6C" w:rsidP="42CD2400">
      <w:pPr>
        <w:pStyle w:val="Point1"/>
        <w:rPr>
          <w:noProof/>
        </w:rPr>
      </w:pPr>
      <w:r>
        <w:rPr>
          <w:noProof/>
        </w:rPr>
        <w:t>(i)</w:t>
      </w:r>
      <w:r>
        <w:rPr>
          <w:noProof/>
        </w:rPr>
        <w:tab/>
      </w:r>
      <w:r w:rsidRPr="00557C2A">
        <w:rPr>
          <w:noProof/>
        </w:rPr>
        <w:t>ervoor zorgen dat de bevoegde nationale autoriteiten over voldoende technische, financiële en personele middelen beschikken om binnen de toepasselijke termijnen een besluit over de vergunning te nemen.</w:t>
      </w:r>
    </w:p>
    <w:p w14:paraId="3043E4DE" w14:textId="77777777" w:rsidR="00FD242E" w:rsidRPr="00557C2A" w:rsidRDefault="008A0E2F" w:rsidP="005357F8">
      <w:pPr>
        <w:pStyle w:val="ManualNumPar1"/>
        <w:rPr>
          <w:noProof/>
        </w:rPr>
      </w:pPr>
      <w:r>
        <w:rPr>
          <w:noProof/>
        </w:rPr>
        <w:t>3.</w:t>
      </w:r>
      <w:r>
        <w:rPr>
          <w:noProof/>
        </w:rPr>
        <w:tab/>
      </w:r>
      <w:r w:rsidRPr="00557C2A">
        <w:rPr>
          <w:noProof/>
        </w:rPr>
        <w:t>Wanneer lidstaten een vergunningensysteem voor infrastructuur voor elektriciteitstransmissie- of -distributiesystemen toepassen, moeten zij ook:</w:t>
      </w:r>
    </w:p>
    <w:p w14:paraId="37AFEF7E" w14:textId="77777777" w:rsidR="00B664E9" w:rsidRPr="00557C2A" w:rsidRDefault="00A67141" w:rsidP="00CB0269">
      <w:pPr>
        <w:pStyle w:val="Point1"/>
        <w:rPr>
          <w:noProof/>
        </w:rPr>
      </w:pPr>
      <w:r>
        <w:rPr>
          <w:noProof/>
        </w:rPr>
        <w:t>(a)</w:t>
      </w:r>
      <w:r>
        <w:rPr>
          <w:noProof/>
        </w:rPr>
        <w:tab/>
      </w:r>
      <w:r w:rsidRPr="00557C2A">
        <w:rPr>
          <w:noProof/>
        </w:rPr>
        <w:t>ervoor zorgen dat het vergunningensysteem voor infrastructuur voor transmissie- en distributiesystemen in overeenstemming is met het ontwikkelingsplan voor het distributienet en het tienjarig netontwikkelingsplan dat overeenkomstig de artikelen 32 en 51 is vastgesteld;</w:t>
      </w:r>
    </w:p>
    <w:p w14:paraId="73837C41" w14:textId="77777777" w:rsidR="00CF0A2B" w:rsidRPr="00557C2A" w:rsidRDefault="00176A48" w:rsidP="00CB0269">
      <w:pPr>
        <w:pStyle w:val="Point1"/>
        <w:rPr>
          <w:noProof/>
        </w:rPr>
      </w:pPr>
      <w:r>
        <w:rPr>
          <w:noProof/>
        </w:rPr>
        <w:t>(b)</w:t>
      </w:r>
      <w:r>
        <w:rPr>
          <w:noProof/>
        </w:rPr>
        <w:tab/>
      </w:r>
      <w:r w:rsidRPr="00557C2A">
        <w:rPr>
          <w:noProof/>
        </w:rPr>
        <w:t>ervoor zorgen dat vergunningsprocedures, met inbegrip van alle relevante procedures van de bevoegde instanties, niet langer duren dan twee jaar, tenzij die langere duur naar behoren wordt gerechtvaardigd op grond van buitengewone omstandigheden, in welk geval zij met maximaal één jaar kunnen worden verlengd;</w:t>
      </w:r>
    </w:p>
    <w:p w14:paraId="1642AE65" w14:textId="667D05F6" w:rsidR="00CF0A2B" w:rsidRPr="00557C2A" w:rsidRDefault="00561485" w:rsidP="1D6EA00C">
      <w:pPr>
        <w:pStyle w:val="Point1"/>
        <w:rPr>
          <w:noProof/>
        </w:rPr>
      </w:pPr>
      <w:r>
        <w:rPr>
          <w:noProof/>
        </w:rPr>
        <w:t>(c)</w:t>
      </w:r>
      <w:r>
        <w:rPr>
          <w:noProof/>
        </w:rPr>
        <w:tab/>
      </w:r>
      <w:r w:rsidRPr="00557C2A">
        <w:rPr>
          <w:noProof/>
        </w:rPr>
        <w:t>ervoor zorgen dat het uitblijven van een antwoord van de bevoegde nationale autoriteiten of entiteiten binnen de in punt b) vastgestelde termijn ertoe leidt dat de specifieke stappen als goedgekeurd worden beschouwd, behalve voor milieubeslissingen en wanneer het beginsel van administratieve stilzwijgende goedkeuring niet bestaat in het nationale rechtsstelsel van de betrokken lidstaat;</w:t>
      </w:r>
    </w:p>
    <w:p w14:paraId="17291802" w14:textId="77777777" w:rsidR="005050A1" w:rsidRPr="00557C2A" w:rsidRDefault="008E3B16" w:rsidP="6CB9BD2C">
      <w:pPr>
        <w:pStyle w:val="Point1"/>
        <w:rPr>
          <w:noProof/>
        </w:rPr>
      </w:pPr>
      <w:r>
        <w:rPr>
          <w:noProof/>
        </w:rPr>
        <w:t>(d)</w:t>
      </w:r>
      <w:r>
        <w:rPr>
          <w:noProof/>
        </w:rPr>
        <w:tab/>
      </w:r>
      <w:r w:rsidRPr="00557C2A">
        <w:rPr>
          <w:noProof/>
        </w:rPr>
        <w:t>ervoor zorgen dat de bekendmaking van definitieve besluiten ook stilzwijgend verleende besluiten omvat wanneer de relevante bevoegde instanties of entiteiten niet hebben gereageerd;</w:t>
      </w:r>
    </w:p>
    <w:p w14:paraId="1E8ACADD" w14:textId="77777777" w:rsidR="00BF3191" w:rsidRPr="00557C2A" w:rsidRDefault="00BF3191" w:rsidP="0051028B">
      <w:pPr>
        <w:pStyle w:val="Point1"/>
        <w:rPr>
          <w:noProof/>
        </w:rPr>
      </w:pPr>
      <w:r>
        <w:rPr>
          <w:noProof/>
        </w:rPr>
        <w:t>(e)</w:t>
      </w:r>
      <w:r>
        <w:rPr>
          <w:noProof/>
        </w:rPr>
        <w:tab/>
      </w:r>
      <w:r w:rsidRPr="00557C2A">
        <w:rPr>
          <w:noProof/>
        </w:rPr>
        <w:t>ervoor zorgen dat de vergunning voor infrastructuur voor transmissie- of distributiesystemen als essentieel wordt beschouwd voor de integratie van hernieuwbare-energiebronnen, alsook voor het bereiken van de klimaat- en energiedoelstellingen en de doelstelling inzake klimaatneutraliteit.</w:t>
      </w:r>
    </w:p>
    <w:p w14:paraId="4D95345C" w14:textId="77777777" w:rsidR="0074461E" w:rsidRPr="00557C2A" w:rsidRDefault="0074461E" w:rsidP="00CB3B8E">
      <w:pPr>
        <w:pStyle w:val="ManualNumPar1"/>
        <w:rPr>
          <w:noProof/>
        </w:rPr>
      </w:pPr>
      <w:r>
        <w:rPr>
          <w:noProof/>
        </w:rPr>
        <w:t>4.</w:t>
      </w:r>
      <w:r>
        <w:rPr>
          <w:noProof/>
        </w:rPr>
        <w:tab/>
      </w:r>
      <w:r w:rsidRPr="00557C2A">
        <w:rPr>
          <w:noProof/>
        </w:rPr>
        <w:t>De lidstaten richten een of meer contactpunten voor transmissie- of distributiesysteembeheerders op of wijzen deze aan. Deze contactpunten bieden de aanvrager op verzoek gedurende de hele vergunningsprocedure kosteloos richtsnoeren aan en vergemakkelijken de gehele vergunningsprocedure voor de in lid 1 bedoelde activiteiten, tot aan het definitieve besluit van de verantwoordelijke instanties.  De aanvrager dient gedurende de gehele administratieve procedure slechts met één contactpunt contact te hebben.</w:t>
      </w:r>
    </w:p>
    <w:p w14:paraId="70069079" w14:textId="77777777" w:rsidR="0074461E" w:rsidRPr="00557C2A" w:rsidRDefault="0074461E" w:rsidP="00FE4783">
      <w:pPr>
        <w:pStyle w:val="Text1"/>
        <w:rPr>
          <w:noProof/>
        </w:rPr>
      </w:pPr>
      <w:r w:rsidRPr="00557C2A">
        <w:rPr>
          <w:noProof/>
        </w:rPr>
        <w:t>De contactpunten kunnen dezelfde zijn als de in artikel 8 van Verordening (EU) 2022/869 bedoelde nationale bevoegde instanties of de in artikel 16 van Richtlijn (EU) 2018/2001 bedoelde contactpunten.</w:t>
      </w:r>
    </w:p>
    <w:p w14:paraId="46E1771B" w14:textId="77777777" w:rsidR="00295743" w:rsidRPr="00557C2A" w:rsidRDefault="00CD4883" w:rsidP="000B7B1F">
      <w:pPr>
        <w:pStyle w:val="ManualNumPar1"/>
        <w:rPr>
          <w:noProof/>
        </w:rPr>
      </w:pPr>
      <w:r>
        <w:rPr>
          <w:noProof/>
        </w:rPr>
        <w:t>5.</w:t>
      </w:r>
      <w:r>
        <w:rPr>
          <w:noProof/>
        </w:rPr>
        <w:tab/>
      </w:r>
      <w:r w:rsidRPr="00557C2A">
        <w:rPr>
          <w:noProof/>
        </w:rPr>
        <w:t>Wanneer lidstaten een vergunningsregeling voor infrastructuur voor elektriciteitstransmissie- of -distributiesystemen toepassen, zorgen zij ervoor dat, wanneer voor de procedure vereiste studies, verslagen en documentatie in de aanvragen ontbreken, de bevoegde nationale instanties in samenwerking met andere relevante instanties binnen drie maanden na de aanvraag de nodige stukken bij de ontwikkelaar opvragen, met vermelding van het toepassingsgebied en de mate van detaillering ervan. Binnen dezelfde termijn van drie maanden deelt de nationale bevoegde instantie de ontwikkelaar mee of de vermoedens van lid 10 al dan niet op het project van toepassing zijn. Na die termijn mogen noch de bevoegde instantie, noch enige andere relevante autoriteit om aanvullende informatie, studies, verslagen of beoordelingen verzoeken, behalve indien zich een wezenlijke verandering in het project of de omgeving ervan heeft voorgedaan, waardoor de oorspronkelijke criteria waarop de besluiten waren gebaseerd, niet langer geschikt zijn. Wanneer zich een dergelijke wezenlijke verandering heeft voorgedaan, verstrekt de nationale bevoegde instantie de projectontwikkelaar een naar behoren gemotiveerde rechtvaardiging voor het verzoek om aanvullende informatie.</w:t>
      </w:r>
    </w:p>
    <w:p w14:paraId="52A3181B" w14:textId="77777777" w:rsidR="6A9DA4FD" w:rsidRPr="00557C2A" w:rsidRDefault="6A9DA4FD" w:rsidP="007358D2">
      <w:pPr>
        <w:pStyle w:val="ManualNumPar1"/>
        <w:rPr>
          <w:noProof/>
        </w:rPr>
      </w:pPr>
      <w:r>
        <w:rPr>
          <w:noProof/>
        </w:rPr>
        <w:t>6.</w:t>
      </w:r>
      <w:r>
        <w:rPr>
          <w:noProof/>
        </w:rPr>
        <w:tab/>
      </w:r>
      <w:r w:rsidRPr="00557C2A">
        <w:rPr>
          <w:noProof/>
        </w:rPr>
        <w:t>De in lid 3 vastgelegde termijn geldt onverminderd de verplichtingen krachtens het toepasselijke milieu- en energierecht van de Unie, met inbegrip van Richtlijn (EU) 2018/2001, onverminderd beroepsprocedures in rechte en andere procedures voor een rechterlijke instantie, en onverminderd alternatieve geschillenbeslechtingsmechanismen, waaronder klachtprocedures en administratieve beroepsprocedures, en kunnen met de duur van dergelijke procedures worden verlengd.</w:t>
      </w:r>
    </w:p>
    <w:p w14:paraId="55E0A0B8" w14:textId="77777777" w:rsidR="00794DBC" w:rsidRPr="00557C2A" w:rsidRDefault="00F20FF0" w:rsidP="007358D2">
      <w:pPr>
        <w:pStyle w:val="ManualNumPar1"/>
        <w:rPr>
          <w:noProof/>
        </w:rPr>
      </w:pPr>
      <w:r>
        <w:rPr>
          <w:noProof/>
        </w:rPr>
        <w:t>7.</w:t>
      </w:r>
      <w:r>
        <w:rPr>
          <w:noProof/>
        </w:rPr>
        <w:tab/>
      </w:r>
      <w:r w:rsidRPr="00557C2A">
        <w:rPr>
          <w:noProof/>
        </w:rPr>
        <w:t>Dit artikel is van toepassing onverminderd de artikelen 7 tot en met 10 van Verordening (EU) 2022/869 en artikel 15 en de artikelen 15 ter tot en met 17 van Richtlijn (EU) 2018/2001.</w:t>
      </w:r>
    </w:p>
    <w:p w14:paraId="258295AD" w14:textId="2999BA33" w:rsidR="00794DBC" w:rsidRPr="00557C2A" w:rsidRDefault="00437F16" w:rsidP="007358D2">
      <w:pPr>
        <w:pStyle w:val="ManualNumPar1"/>
        <w:rPr>
          <w:noProof/>
        </w:rPr>
      </w:pPr>
      <w:r>
        <w:rPr>
          <w:noProof/>
        </w:rPr>
        <w:t>8.</w:t>
      </w:r>
      <w:r>
        <w:rPr>
          <w:noProof/>
        </w:rPr>
        <w:tab/>
      </w:r>
      <w:r w:rsidRPr="00557C2A">
        <w:rPr>
          <w:noProof/>
        </w:rPr>
        <w:t>Totdat klimaatneutraliteit op het niveau van de Unie is bereikt, zorgen de lidstaten ervoor dat, bij de noodzakelijke beoordelingen per geval in het kader van vergunningsprocedures, de planning, bouw en exploitatie van infrastructuur voor transmissie- of distributiesystemen worden vermoed van hoger openbaar belang te zijn en de volksgezondheid en de openbare veiligheid te dienen, wanneer rechtmatige belangen in afzonderlijke gevallen worden afgewogen voor de toepassing van artikel 6, lid 4, en artikel 16, lid 1, punt c), van Richtlijn 92/43/EEG, artikel 4, lid 7, van Richtlijn 2000/60/EG en artikel 9, lid 1, punt a), van Richtlijn 2009/147/EG. De lidstaten kunnen in naar behoren gemotiveerde en specifieke omstandigheden de toepassing beperken tot bepaalde delen van hun grondgebied, tot bepaalde soorten technologie of tot projecten met bepaalde technische kenmerken.</w:t>
      </w:r>
    </w:p>
    <w:p w14:paraId="1DB4D7BB" w14:textId="68FE0690" w:rsidR="00D7159F" w:rsidRPr="00557C2A" w:rsidRDefault="00D7159F" w:rsidP="0099373B">
      <w:pPr>
        <w:pStyle w:val="Text1"/>
        <w:rPr>
          <w:noProof/>
        </w:rPr>
      </w:pPr>
      <w:r w:rsidRPr="00557C2A">
        <w:rPr>
          <w:noProof/>
        </w:rPr>
        <w:t>De lidstaten zorgen ervoor dat aan die projecten ook voorrang wordt gegeven bij het afwegen van andere rechtmatige belangen dan die welke in dit lid worden genoemd, met uitzondering van cultureel erfgoed, op basis van wettelijke criteria om een geharmoniseerde uitvoering te waarborgen.</w:t>
      </w:r>
    </w:p>
    <w:p w14:paraId="3DC4D828" w14:textId="77777777" w:rsidR="00DB2EF3" w:rsidRPr="00557C2A" w:rsidRDefault="0D8F29F0" w:rsidP="000B7B1F">
      <w:pPr>
        <w:pStyle w:val="ManualNumPar1"/>
        <w:rPr>
          <w:noProof/>
        </w:rPr>
      </w:pPr>
      <w:r>
        <w:rPr>
          <w:noProof/>
        </w:rPr>
        <w:t>9.</w:t>
      </w:r>
      <w:r>
        <w:rPr>
          <w:noProof/>
        </w:rPr>
        <w:tab/>
      </w:r>
      <w:r w:rsidRPr="00557C2A">
        <w:rPr>
          <w:noProof/>
        </w:rPr>
        <w:t>Totdat op het niveau van de Unie klimaatneutraliteit is bereikt, zorgen de lidstaten, in afwijking van artikel 2, lid 1, en artikel 4, leden 1 en 2, van Richtlijn 2011/92/EU en bijlage I, punt 20, en bijlage II, punt 3, b), bij die richtlijn, en in afwijking van artikel 6, lid 3, van Richtlijn 92/43/EEG, ervoor dat de bevoegde instantie in gerechtvaardigde omstandigheden, waaronder de noodzaak om de uitrol van de elektriciteitsnetinfrastructuur te versnellen om de doelstellingen inzake klimaatneutraliteit en hernieuwbare energie te halen, vrijstelling kan verlenen voor de renovatie, modernisering of repowering van bestaande infrastructuur voor transmissie- en distributiesystemen, mits dit geen extra ruimte in beslag neemt en voldoet aan de toepasselijke milieumaatregelen die voor de oorspronkelijke installatie zijn vastgesteld, van:</w:t>
      </w:r>
    </w:p>
    <w:p w14:paraId="43A54B5A" w14:textId="77777777" w:rsidR="00FB2CD4" w:rsidRPr="00557C2A" w:rsidDel="00C45526" w:rsidRDefault="6A9DA4FD" w:rsidP="00CB0269">
      <w:pPr>
        <w:pStyle w:val="Point1"/>
        <w:rPr>
          <w:noProof/>
        </w:rPr>
      </w:pPr>
      <w:r>
        <w:rPr>
          <w:noProof/>
        </w:rPr>
        <w:t>(a)</w:t>
      </w:r>
      <w:r>
        <w:rPr>
          <w:noProof/>
        </w:rPr>
        <w:tab/>
      </w:r>
      <w:r w:rsidRPr="00557C2A">
        <w:rPr>
          <w:noProof/>
        </w:rPr>
        <w:t>de milieueffectbeoordeling uit hoofde van artikel 2, lid 1, van Richtlijn 2011/92/EU;</w:t>
      </w:r>
    </w:p>
    <w:p w14:paraId="374886D9" w14:textId="77777777" w:rsidR="00282B44" w:rsidRPr="00557C2A" w:rsidDel="00C45526" w:rsidRDefault="6A9DA4FD" w:rsidP="00282B44">
      <w:pPr>
        <w:pStyle w:val="Point1"/>
        <w:rPr>
          <w:noProof/>
        </w:rPr>
      </w:pPr>
      <w:r>
        <w:rPr>
          <w:noProof/>
        </w:rPr>
        <w:t>(b)</w:t>
      </w:r>
      <w:r>
        <w:rPr>
          <w:noProof/>
        </w:rPr>
        <w:tab/>
      </w:r>
      <w:r w:rsidRPr="00557C2A">
        <w:rPr>
          <w:noProof/>
        </w:rPr>
        <w:t>een beoordeling van de gevolgen ervan voor Natura 2000-gebieden op grond van artikel 6, lid 3, van Richtlijn 92/43/EEG;</w:t>
      </w:r>
    </w:p>
    <w:p w14:paraId="746A13C9" w14:textId="77777777" w:rsidR="002F0ED9" w:rsidRPr="00557C2A" w:rsidRDefault="004841A0" w:rsidP="00282B44">
      <w:pPr>
        <w:pStyle w:val="Point1"/>
        <w:rPr>
          <w:noProof/>
        </w:rPr>
      </w:pPr>
      <w:r>
        <w:rPr>
          <w:noProof/>
        </w:rPr>
        <w:t>(c)</w:t>
      </w:r>
      <w:r>
        <w:rPr>
          <w:noProof/>
        </w:rPr>
        <w:tab/>
      </w:r>
      <w:r w:rsidRPr="00557C2A">
        <w:rPr>
          <w:noProof/>
        </w:rPr>
        <w:t>de beoordeling van de gevolgen ervan voor de bescherming van soorten overeenkomstig artikel 12, lid 1, van Richtlijn 92/43/EEG en artikel 5 van Richtlijn 2009/147/EG;</w:t>
      </w:r>
    </w:p>
    <w:p w14:paraId="248607DF" w14:textId="6DA74399" w:rsidR="2CA87C84" w:rsidRPr="00557C2A" w:rsidRDefault="002C51C8" w:rsidP="2CA87C84">
      <w:pPr>
        <w:pStyle w:val="Point1"/>
        <w:rPr>
          <w:noProof/>
        </w:rPr>
      </w:pPr>
      <w:r>
        <w:rPr>
          <w:noProof/>
        </w:rPr>
        <w:t>(d)</w:t>
      </w:r>
      <w:r>
        <w:rPr>
          <w:noProof/>
        </w:rPr>
        <w:tab/>
      </w:r>
      <w:r w:rsidRPr="00557C2A">
        <w:rPr>
          <w:noProof/>
        </w:rPr>
        <w:t>de screening overeenkomstig artikel 5 van Verordening [</w:t>
      </w:r>
      <w:r w:rsidRPr="00557C2A">
        <w:rPr>
          <w:i/>
          <w:iCs/>
          <w:noProof/>
        </w:rPr>
        <w:t>xxxxx</w:t>
      </w:r>
      <w:r w:rsidRPr="00557C2A">
        <w:rPr>
          <w:noProof/>
        </w:rPr>
        <w:t>] van het Europees Parlement en de Raad.</w:t>
      </w:r>
    </w:p>
    <w:p w14:paraId="44E8C79C" w14:textId="77777777" w:rsidR="00433214" w:rsidRPr="00557C2A" w:rsidRDefault="00373897" w:rsidP="00F84546">
      <w:pPr>
        <w:pStyle w:val="Text1"/>
        <w:rPr>
          <w:rStyle w:val="CommentReference"/>
          <w:noProof/>
        </w:rPr>
      </w:pPr>
      <w:r w:rsidRPr="00557C2A">
        <w:rPr>
          <w:noProof/>
        </w:rPr>
        <w:t xml:space="preserve">Deze vrijstellingen zijn niet van toepassing op de renovatie, modernisering of repowering van bestaande infrastructuur voor transmissie- en distributiesystemen, en de aanleg van nieuwe infrastructuur voor distributiesystemen of bijbehorende apparatuur die aanzienlijke gevolgen voor het milieu in een andere lidstaat kunnen hebben, overeenkomstig artikel 7 van Richtlijn 2011/92/EU. </w:t>
      </w:r>
    </w:p>
    <w:p w14:paraId="313E7E18" w14:textId="77777777" w:rsidR="005F3C44" w:rsidRPr="00557C2A" w:rsidRDefault="00117A1E" w:rsidP="00F84546">
      <w:pPr>
        <w:pStyle w:val="Text1"/>
        <w:rPr>
          <w:noProof/>
        </w:rPr>
      </w:pPr>
      <w:r w:rsidRPr="00557C2A">
        <w:rPr>
          <w:noProof/>
        </w:rPr>
        <w:t>De lidstaten beperken de toepassing van dit lid in Natura 2000-gebieden, andere gebieden die onder nationale beschermingsregelingen vallen, en in het kader van cultureel of historisch erfgoed beschermde gebieden.</w:t>
      </w:r>
    </w:p>
    <w:p w14:paraId="45783111" w14:textId="77777777" w:rsidR="00612533" w:rsidRPr="00557C2A" w:rsidRDefault="00612533" w:rsidP="00612533">
      <w:pPr>
        <w:pStyle w:val="ManualNumPar1"/>
        <w:rPr>
          <w:noProof/>
        </w:rPr>
      </w:pPr>
      <w:r>
        <w:rPr>
          <w:noProof/>
        </w:rPr>
        <w:t>10.</w:t>
      </w:r>
      <w:r>
        <w:rPr>
          <w:noProof/>
        </w:rPr>
        <w:tab/>
      </w:r>
      <w:r w:rsidRPr="00557C2A">
        <w:rPr>
          <w:noProof/>
        </w:rPr>
        <w:t xml:space="preserve">In gerechtvaardigde omstandigheden kunnen de lidstaten de in lid 9 bedoelde vrijstellingen ook toepassen op de aanleg van nieuwe distributie-infrastructuur of bijbehorende apparatuur, op voorwaarde dat het betrokken project is gescreend overeenkomstig artikel 4, lid 2, van Richtlijn 2011/92/EG, waarbij de bevoegde nationale instantie heeft vastgesteld dat het project waarschijnlijk geen significante milieueffecten zal hebben, met name gezien de specifieke kenmerken van het gebied waarin het project wordt uitgevoerd, zoals stedelijke en dichtbebouwde gebieden.  </w:t>
      </w:r>
    </w:p>
    <w:p w14:paraId="2EFF248E" w14:textId="77777777" w:rsidR="00612533" w:rsidRPr="00557C2A" w:rsidRDefault="00612533" w:rsidP="00F84546">
      <w:pPr>
        <w:pStyle w:val="Text1"/>
        <w:rPr>
          <w:noProof/>
        </w:rPr>
      </w:pPr>
      <w:r w:rsidRPr="00557C2A">
        <w:rPr>
          <w:noProof/>
        </w:rPr>
        <w:t xml:space="preserve">Deze vrijstellingen zijn niet van toepassing op de aanleg van nieuwe distributie-infrastructuur of bijbehorende apparatuur die aanzienlijke gevolgen voor het milieu in een andere lidstaat kan hebben, overeenkomstig artikel 7 van Richtlijn 2011/92/EU. </w:t>
      </w:r>
    </w:p>
    <w:p w14:paraId="0D2A2B17" w14:textId="77777777" w:rsidR="00612533" w:rsidRPr="00557C2A" w:rsidRDefault="2A41E81D" w:rsidP="00F84546">
      <w:pPr>
        <w:pStyle w:val="Text1"/>
        <w:rPr>
          <w:noProof/>
        </w:rPr>
      </w:pPr>
      <w:r w:rsidRPr="00557C2A">
        <w:rPr>
          <w:noProof/>
        </w:rPr>
        <w:t>Wanneer uit de in de eerste alinea bedoelde screening blijkt dat er waarschijnlijk aanzienlijke milieueffecten zullen zijn, deelt de bevoegde instantie de projectontwikkelaar binnen 45 dagen na de aanvraag mee dat een beoordeling als bedoeld in lid 9, punten a), b) en c), is vereist.</w:t>
      </w:r>
    </w:p>
    <w:p w14:paraId="25C3BA1E" w14:textId="77777777" w:rsidR="004841A0" w:rsidRPr="00557C2A" w:rsidRDefault="004841A0" w:rsidP="00F84546">
      <w:pPr>
        <w:pStyle w:val="Text1"/>
        <w:rPr>
          <w:noProof/>
        </w:rPr>
      </w:pPr>
      <w:r w:rsidRPr="00557C2A">
        <w:rPr>
          <w:noProof/>
        </w:rPr>
        <w:t>De lidstaten beperken de toepassing van dit lid in Natura 2000-gebieden, andere gebieden die onder nationale beschermingsregelingen vallen, en in het kader van cultureel of historisch erfgoed beschermde gebieden.</w:t>
      </w:r>
    </w:p>
    <w:p w14:paraId="60C7E38B" w14:textId="77777777" w:rsidR="008A3F87" w:rsidRPr="00557C2A" w:rsidRDefault="005D311B" w:rsidP="00F84546">
      <w:pPr>
        <w:pStyle w:val="ManualNumPar1"/>
        <w:rPr>
          <w:noProof/>
        </w:rPr>
      </w:pPr>
      <w:r>
        <w:rPr>
          <w:noProof/>
        </w:rPr>
        <w:t>11.</w:t>
      </w:r>
      <w:r>
        <w:rPr>
          <w:noProof/>
        </w:rPr>
        <w:tab/>
      </w:r>
      <w:r w:rsidRPr="00557C2A">
        <w:rPr>
          <w:noProof/>
        </w:rPr>
        <w:t>De planning, aanleg en exploitatie van infrastructuur voor transmissie- en distributiesystemen worden geacht bij te dragen tot een vermindering van de stikstofemissies op lange termijn en vereisen geen beoordeling van stikstofemissies in het kader van een beoordeling die kan worden uitgevoerd om te voldoen aan artikel 6 van Richtlijn 92/43/EEG van de Raad.</w:t>
      </w:r>
    </w:p>
    <w:p w14:paraId="6F7132BF" w14:textId="77777777" w:rsidR="005F6091" w:rsidRPr="00557C2A" w:rsidRDefault="6A9DA4FD" w:rsidP="0056739E">
      <w:pPr>
        <w:pStyle w:val="ManualNumPar1"/>
        <w:rPr>
          <w:noProof/>
        </w:rPr>
      </w:pPr>
      <w:r>
        <w:rPr>
          <w:noProof/>
        </w:rPr>
        <w:t>12.</w:t>
      </w:r>
      <w:r>
        <w:rPr>
          <w:noProof/>
        </w:rPr>
        <w:tab/>
      </w:r>
      <w:r w:rsidRPr="00557C2A">
        <w:rPr>
          <w:noProof/>
        </w:rPr>
        <w:t>Een milieueffectbeoordeling overeenkomstig Richtlijn 2011/92/EU en, indien van toepassing, een passende beoordeling overeenkomstig Richtlijn 92/43/EEG voor de uitbreiding, renovatie, modernisering of repowering van bestaande infrastructuur voor transmissie- of distributiesystemen, blijft beperkt tot de beoordeling van de potentiële effecten van de wijzigingen of uitbreidingen in vergelijking met de oorspronkelijke infrastructuur voor transmissie- of distributiesystemen.</w:t>
      </w:r>
    </w:p>
    <w:p w14:paraId="64B4AEC3" w14:textId="77777777" w:rsidR="0056739E" w:rsidRPr="00557C2A" w:rsidRDefault="6A9DA4FD" w:rsidP="0056739E">
      <w:pPr>
        <w:pStyle w:val="ManualNumPar1"/>
        <w:rPr>
          <w:i/>
          <w:iCs/>
          <w:noProof/>
        </w:rPr>
      </w:pPr>
      <w:r>
        <w:rPr>
          <w:noProof/>
        </w:rPr>
        <w:t>13.</w:t>
      </w:r>
      <w:r>
        <w:rPr>
          <w:noProof/>
        </w:rPr>
        <w:tab/>
      </w:r>
      <w:r w:rsidRPr="00557C2A">
        <w:rPr>
          <w:noProof/>
        </w:rPr>
        <w:t xml:space="preserve">Voor het beheer van vergunningen in de zin van lid 1, zorgen de lidstaten ervoor dat er digitale platforms voorhanden zijn waar aanvragen, de bijbehorende procedure en lopende besluiten worden beheerd. </w:t>
      </w:r>
    </w:p>
    <w:p w14:paraId="02A165E8" w14:textId="09C0CAC8" w:rsidR="009C2243" w:rsidRPr="00557C2A" w:rsidRDefault="6A9DA4FD" w:rsidP="00B126D4">
      <w:pPr>
        <w:pStyle w:val="Point0"/>
        <w:ind w:firstLine="0"/>
        <w:rPr>
          <w:noProof/>
        </w:rPr>
      </w:pPr>
      <w:r w:rsidRPr="00557C2A">
        <w:rPr>
          <w:noProof/>
        </w:rPr>
        <w:t>Die platforms bieden toegang tot de relevante milieu- en geologische gegevens en beslissingen die beschikbaar zijn in het centrale onlineportaal bedoeld in artikel 10, lid 3, van Verordening [xxxxx] van het Europees Parlement en de Raad.”.</w:t>
      </w:r>
    </w:p>
    <w:p w14:paraId="04CF1A73" w14:textId="77777777" w:rsidR="005633E3" w:rsidRPr="00557C2A" w:rsidRDefault="00625B9D" w:rsidP="00337F44">
      <w:pPr>
        <w:pStyle w:val="Point0"/>
        <w:ind w:left="851" w:hanging="851"/>
        <w:rPr>
          <w:noProof/>
        </w:rPr>
      </w:pPr>
      <w:r>
        <w:rPr>
          <w:noProof/>
        </w:rPr>
        <w:t>(2)</w:t>
      </w:r>
      <w:r>
        <w:rPr>
          <w:noProof/>
        </w:rPr>
        <w:tab/>
      </w:r>
      <w:r w:rsidRPr="00557C2A">
        <w:rPr>
          <w:noProof/>
        </w:rPr>
        <w:t>Het volgende artikel 8 bis wordt ingevoegd:</w:t>
      </w:r>
    </w:p>
    <w:p w14:paraId="183664DB" w14:textId="77777777" w:rsidR="0059503B" w:rsidRPr="00557C2A" w:rsidRDefault="0059503B" w:rsidP="0059503B">
      <w:pPr>
        <w:shd w:val="clear" w:color="auto" w:fill="FFFFFF" w:themeFill="background1"/>
        <w:spacing w:before="360" w:line="312" w:lineRule="atLeast"/>
        <w:jc w:val="center"/>
        <w:rPr>
          <w:noProof/>
        </w:rPr>
      </w:pPr>
      <w:r w:rsidRPr="00557C2A">
        <w:rPr>
          <w:noProof/>
        </w:rPr>
        <w:t xml:space="preserve">“Artikel 8 bis </w:t>
      </w:r>
    </w:p>
    <w:p w14:paraId="79C7DD11" w14:textId="77777777" w:rsidR="0059503B" w:rsidRPr="00557C2A" w:rsidRDefault="001C5673" w:rsidP="005E2363">
      <w:pPr>
        <w:jc w:val="center"/>
        <w:rPr>
          <w:b/>
          <w:bCs/>
          <w:noProof/>
        </w:rPr>
      </w:pPr>
      <w:r w:rsidRPr="00557C2A">
        <w:rPr>
          <w:b/>
          <w:noProof/>
        </w:rPr>
        <w:t>Ontbreken van alternatieve of bevredigende oplossingen en uitvoering van compenserende maatregelen voor de toepassing van artikel 6, lid 4, van Richtlijn 92/43/EEG</w:t>
      </w:r>
    </w:p>
    <w:p w14:paraId="0378DCFD" w14:textId="77777777" w:rsidR="0059503B" w:rsidRPr="00557C2A" w:rsidRDefault="009028B5">
      <w:pPr>
        <w:pStyle w:val="ManualNumPar1"/>
        <w:rPr>
          <w:noProof/>
        </w:rPr>
      </w:pPr>
      <w:r>
        <w:rPr>
          <w:noProof/>
        </w:rPr>
        <w:t>14.</w:t>
      </w:r>
      <w:r>
        <w:rPr>
          <w:noProof/>
        </w:rPr>
        <w:tab/>
      </w:r>
      <w:r w:rsidRPr="00557C2A">
        <w:rPr>
          <w:noProof/>
        </w:rPr>
        <w:t>Bij de beoordeling of er bevredigende alternatieve oplossingen voor infrastructuurprojecten voor transmissie- en distributiesystemen en bijbehorende apparatuur bestaan in de zin van artikel 6, lid 4, en artikel 16, lid 1, van Richtlijn 92/43/EEG, artikel 4, lid 7, punt d), van Richtlijn 2000/60/EG en artikel 9, lid 1, van Richtlijn 2009/147/EG, is aan de voorwaarde dat er geen bevredigende alternatieven zijn, voldaan indien er geen bevredigende alternatieve oplossingen zijn waarmee het doel van het project in kwestie kan worden bereikt wat betreft de ontwikkeling van dezelfde capaciteit met behulp van dezelfde technologie binnen hetzelfde of een vergelijkbaar tijdschema en zonder dat dit tot aanzienlijk hogere kosten leidt.</w:t>
      </w:r>
    </w:p>
    <w:p w14:paraId="4EC27EE5" w14:textId="77777777" w:rsidR="0059503B" w:rsidRPr="00557C2A" w:rsidRDefault="004970BC" w:rsidP="005E2363">
      <w:pPr>
        <w:pStyle w:val="ManualNumPar1"/>
        <w:rPr>
          <w:noProof/>
        </w:rPr>
      </w:pPr>
      <w:r>
        <w:rPr>
          <w:noProof/>
        </w:rPr>
        <w:t>15.</w:t>
      </w:r>
      <w:r>
        <w:rPr>
          <w:noProof/>
        </w:rPr>
        <w:tab/>
      </w:r>
      <w:r w:rsidRPr="00557C2A">
        <w:rPr>
          <w:noProof/>
        </w:rPr>
        <w:t>Bij de uitvoering van compenserende maatregelen voor infrastructuurprojecten van installaties voor transmissie- en distributiesystemen, en bijbehorende apparatuur, in de zin van artikel 6, lid 4, van Richtlijn 92/43/EEG, kunnen de lidstaten in gerechtvaardigde gevallen en wanneer redelijkerwijs kan worden aangetoond dat het plan of project geen onomkeerbare gevolgen heeft voor de ecologische processen die essentieel zijn voor het behoud van de structuur en functies van het gebied en de algehele samenhang van het Natura 2000-netwerk niet in gevaar brengt voordat compenserende maatregelen worden genomen, toestaan dat dergelijke compenserende maatregelen gelijktijdig met de uitvoering van het project worden uitgevoerd. De lidstaten kunnen toestaan dat deze compenserende maatregelen in de loop van de tijd worden aangepast overeenkomstig het voorzorgsbeginsel, afhankelijk van de vraag of de aanzienlijke negatieve effecten naar verwachting op korte, middellange of lange termijn zullen optreden.”.</w:t>
      </w:r>
    </w:p>
    <w:p w14:paraId="6D5B99E9" w14:textId="77777777" w:rsidR="0074531B" w:rsidRPr="00557C2A" w:rsidRDefault="25071AD9" w:rsidP="00337F44">
      <w:pPr>
        <w:pStyle w:val="Point0"/>
        <w:ind w:left="851" w:hanging="851"/>
        <w:rPr>
          <w:noProof/>
        </w:rPr>
      </w:pPr>
      <w:r>
        <w:rPr>
          <w:noProof/>
        </w:rPr>
        <w:t>(3)</w:t>
      </w:r>
      <w:r>
        <w:rPr>
          <w:noProof/>
        </w:rPr>
        <w:tab/>
      </w:r>
      <w:r w:rsidRPr="00557C2A">
        <w:rPr>
          <w:noProof/>
        </w:rPr>
        <w:t>Het volgende artikel 40 bis wordt ingevoegd:</w:t>
      </w:r>
    </w:p>
    <w:p w14:paraId="6E2C6625" w14:textId="77777777" w:rsidR="00291580" w:rsidRPr="00557C2A" w:rsidRDefault="009C2243" w:rsidP="00291580">
      <w:pPr>
        <w:shd w:val="clear" w:color="auto" w:fill="FFFFFF" w:themeFill="background1"/>
        <w:spacing w:before="360" w:line="312" w:lineRule="atLeast"/>
        <w:jc w:val="center"/>
        <w:rPr>
          <w:noProof/>
        </w:rPr>
      </w:pPr>
      <w:r w:rsidRPr="00557C2A">
        <w:rPr>
          <w:noProof/>
        </w:rPr>
        <w:t xml:space="preserve">“Artikel 40 bis </w:t>
      </w:r>
    </w:p>
    <w:p w14:paraId="385785DD" w14:textId="77777777" w:rsidR="00291580" w:rsidRPr="00557C2A" w:rsidRDefault="00E8737C" w:rsidP="005E2363">
      <w:pPr>
        <w:jc w:val="center"/>
        <w:rPr>
          <w:b/>
          <w:bCs/>
          <w:noProof/>
        </w:rPr>
      </w:pPr>
      <w:r w:rsidRPr="00557C2A">
        <w:rPr>
          <w:b/>
          <w:noProof/>
        </w:rPr>
        <w:t>Netontwikkeling en bevoegdheden om investeringsbeslissingen te nemen</w:t>
      </w:r>
    </w:p>
    <w:p w14:paraId="10B742D5" w14:textId="77777777" w:rsidR="4E536F73" w:rsidRPr="00557C2A" w:rsidRDefault="00D449AA" w:rsidP="00CB0269">
      <w:pPr>
        <w:pStyle w:val="ManualNumPar1"/>
        <w:rPr>
          <w:noProof/>
        </w:rPr>
      </w:pPr>
      <w:r>
        <w:rPr>
          <w:noProof/>
        </w:rPr>
        <w:t>1.</w:t>
      </w:r>
      <w:r>
        <w:rPr>
          <w:noProof/>
        </w:rPr>
        <w:tab/>
      </w:r>
      <w:r w:rsidRPr="00557C2A">
        <w:rPr>
          <w:noProof/>
        </w:rPr>
        <w:t>Alle transmissiesysteembeheerders leggen, na alle belanghebbenden te hebben geraadpleegd, overeenkomstig lid 2, punt c), de regulerende instantie ten minste om de twee jaar een tienjarig netontwikkelingsplan voor dat gebaseerd is op het bestaande en te verwachten niveau van vraag en aanbod. Het netontwikkelingsplan omvat efficiënte maatregelen om de toereikendheid van het systeem en de voorzieningszekerheid te garanderen. De transmissiesysteembeheerder maakt het tienjarig netontwikkelingsplan bekend op zijn website.</w:t>
      </w:r>
    </w:p>
    <w:p w14:paraId="618BAD29" w14:textId="77777777" w:rsidR="4E536F73" w:rsidRPr="00557C2A" w:rsidRDefault="4E536F73" w:rsidP="005E2363">
      <w:pPr>
        <w:pStyle w:val="Text1"/>
        <w:rPr>
          <w:noProof/>
        </w:rPr>
      </w:pPr>
      <w:r w:rsidRPr="00557C2A">
        <w:rPr>
          <w:noProof/>
        </w:rPr>
        <w:t>De lidstaten streven naar gecoördineerde stappen in de planning voor de respectieve tienjarige netontwikkelingsplannen voor aardgas, waterstof en elektriciteit.</w:t>
      </w:r>
    </w:p>
    <w:p w14:paraId="467ED82F" w14:textId="77777777" w:rsidR="00237B0B" w:rsidRPr="00557C2A" w:rsidRDefault="00237B0B" w:rsidP="005E2363">
      <w:pPr>
        <w:pStyle w:val="ManualNumPar1"/>
        <w:rPr>
          <w:noProof/>
        </w:rPr>
      </w:pPr>
      <w:r>
        <w:rPr>
          <w:noProof/>
        </w:rPr>
        <w:t>2.</w:t>
      </w:r>
      <w:r>
        <w:rPr>
          <w:noProof/>
        </w:rPr>
        <w:tab/>
      </w:r>
      <w:r w:rsidRPr="00557C2A">
        <w:rPr>
          <w:noProof/>
        </w:rPr>
        <w:t>Het tienjarig netontwikkelingsplan moet met name:</w:t>
      </w:r>
    </w:p>
    <w:p w14:paraId="0B385832" w14:textId="77777777" w:rsidR="00237B0B" w:rsidRPr="00557C2A" w:rsidRDefault="00237B0B" w:rsidP="67D951FB">
      <w:pPr>
        <w:pStyle w:val="Point1"/>
        <w:rPr>
          <w:noProof/>
        </w:rPr>
      </w:pPr>
      <w:r>
        <w:rPr>
          <w:noProof/>
        </w:rPr>
        <w:t>(a)</w:t>
      </w:r>
      <w:r>
        <w:rPr>
          <w:noProof/>
        </w:rPr>
        <w:tab/>
      </w:r>
      <w:r w:rsidRPr="00557C2A">
        <w:rPr>
          <w:noProof/>
        </w:rPr>
        <w:t>de marktdeelnemers meedelen wat de belangrijkste transmissie-infrastructuur is die de eerstvolgende tien en vijftien jaar aangelegd of vernieuwd moet worden, rekening houdend met het potentieel van anticiperende investeringen om aan toekomstige systeembehoeften te voldoen;</w:t>
      </w:r>
    </w:p>
    <w:p w14:paraId="0B9C36D5" w14:textId="03F9B040" w:rsidR="00237B0B" w:rsidRPr="00557C2A" w:rsidRDefault="00237B0B" w:rsidP="67D951FB">
      <w:pPr>
        <w:pStyle w:val="Point1"/>
        <w:rPr>
          <w:noProof/>
        </w:rPr>
      </w:pPr>
      <w:r>
        <w:rPr>
          <w:noProof/>
        </w:rPr>
        <w:t>(b)</w:t>
      </w:r>
      <w:r>
        <w:rPr>
          <w:noProof/>
        </w:rPr>
        <w:tab/>
      </w:r>
      <w:r w:rsidRPr="00557C2A">
        <w:rPr>
          <w:noProof/>
        </w:rPr>
        <w:t>voorrang geven aan het gebruik van niet-fossiele flexibiliteitsmiddelen overeenkomstig Verordening (EU) 2019/943, draadloze oplossingen overeenkomstig Verordening (EU) [</w:t>
      </w:r>
      <w:r w:rsidRPr="00557C2A">
        <w:rPr>
          <w:i/>
          <w:noProof/>
        </w:rPr>
        <w:t>TEN-E Regulation as proposed by COM(2025)xxxx</w:t>
      </w:r>
      <w:r w:rsidRPr="00557C2A">
        <w:rPr>
          <w:i/>
          <w:iCs/>
          <w:noProof/>
        </w:rPr>
        <w:t>x</w:t>
      </w:r>
      <w:r w:rsidRPr="00557C2A">
        <w:rPr>
          <w:noProof/>
        </w:rPr>
        <w:t>], en andere alternatieven voor systeemuitbreiding;</w:t>
      </w:r>
    </w:p>
    <w:p w14:paraId="02F0337E" w14:textId="068C4B01" w:rsidR="00237B0B" w:rsidRPr="00557C2A" w:rsidRDefault="00237B0B" w:rsidP="67D951FB">
      <w:pPr>
        <w:pStyle w:val="Point1"/>
        <w:rPr>
          <w:noProof/>
        </w:rPr>
      </w:pPr>
      <w:r>
        <w:rPr>
          <w:noProof/>
        </w:rPr>
        <w:t>(c)</w:t>
      </w:r>
      <w:r>
        <w:rPr>
          <w:noProof/>
        </w:rPr>
        <w:tab/>
      </w:r>
      <w:r w:rsidRPr="00557C2A">
        <w:rPr>
          <w:noProof/>
        </w:rPr>
        <w:t>gebaseerd zijn op een gezamenlijk scenario dat om de twee jaar wordt ontwikkeld overeenkomstig artikel 55 van Richtlijn (EU) 2024/1788 van het Europees Parlement en de Raad</w:t>
      </w:r>
      <w:r w:rsidRPr="00557C2A">
        <w:rPr>
          <w:rStyle w:val="FootnoteReference"/>
          <w:noProof/>
        </w:rPr>
        <w:footnoteReference w:id="51"/>
      </w:r>
      <w:r w:rsidRPr="00557C2A">
        <w:rPr>
          <w:noProof/>
        </w:rPr>
        <w:t>, dat in overeenstemming moet zijn met het hoofdscenario en de gevoeligheden die zijn ontwikkeld overeenkomstig artikel 11 van Verordening (EU) [</w:t>
      </w:r>
      <w:r w:rsidRPr="00557C2A">
        <w:rPr>
          <w:i/>
          <w:noProof/>
        </w:rPr>
        <w:t>TEN-E Regulation as proposed by COM(2025)xxxx</w:t>
      </w:r>
      <w:r w:rsidRPr="00557C2A">
        <w:rPr>
          <w:noProof/>
        </w:rPr>
        <w:t>];</w:t>
      </w:r>
    </w:p>
    <w:p w14:paraId="53F41F65" w14:textId="77777777" w:rsidR="006058EE" w:rsidRPr="00557C2A" w:rsidRDefault="00237B0B" w:rsidP="67D951FB">
      <w:pPr>
        <w:pStyle w:val="Point1"/>
        <w:rPr>
          <w:noProof/>
        </w:rPr>
      </w:pPr>
      <w:r>
        <w:rPr>
          <w:noProof/>
        </w:rPr>
        <w:t>(d)</w:t>
      </w:r>
      <w:r>
        <w:rPr>
          <w:noProof/>
        </w:rPr>
        <w:tab/>
      </w:r>
      <w:r w:rsidRPr="00557C2A">
        <w:rPr>
          <w:noProof/>
        </w:rPr>
        <w:t>in overeenstemming zijn met het geïntegreerde nationale energie- en klimaatplan en de actualiseringen daarvan, rekening houden met de stand van zaken in de geïntegreerde nationale energie- en klimaatplannen die zijn ingediend overeenkomstig Verordening (EU) 2018/1999, stroken met de streefcijfers die zijn vastgesteld bij Richtlijn (EU) 2018/2001, de toepassing van het beginsel “energie-efficiëntie eerst” volgen overeenkomstig artikel 27 van Richtlijn (EU) 2023/1791, en de in artikel 2, lid 1, en artikel 4, lid 1, van Verordening (EU) 2021/1119 van het Europees Parlement en de Raad bedoelde doelstelling inzake klimaatneutraliteit ondersteunen</w:t>
      </w:r>
      <w:r w:rsidRPr="00557C2A">
        <w:rPr>
          <w:rStyle w:val="FootnoteReference"/>
          <w:noProof/>
        </w:rPr>
        <w:footnoteReference w:id="52"/>
      </w:r>
      <w:r w:rsidRPr="00557C2A">
        <w:rPr>
          <w:noProof/>
        </w:rPr>
        <w:t>;</w:t>
      </w:r>
    </w:p>
    <w:p w14:paraId="57654F7E" w14:textId="77777777" w:rsidR="000D0AD0" w:rsidRPr="00557C2A" w:rsidRDefault="006058EE" w:rsidP="67D951FB">
      <w:pPr>
        <w:pStyle w:val="Point1"/>
        <w:rPr>
          <w:noProof/>
        </w:rPr>
      </w:pPr>
      <w:r>
        <w:rPr>
          <w:noProof/>
        </w:rPr>
        <w:t>(e)</w:t>
      </w:r>
      <w:r>
        <w:rPr>
          <w:noProof/>
        </w:rPr>
        <w:tab/>
      </w:r>
      <w:r w:rsidRPr="00557C2A">
        <w:rPr>
          <w:noProof/>
        </w:rPr>
        <w:t xml:space="preserve">alle investeringen bevatten waartoe reeds is besloten en aangeven welke nieuwe investeringen de eerstkomende drie jaar gedaan moeten worden; </w:t>
      </w:r>
    </w:p>
    <w:p w14:paraId="64A77188" w14:textId="77777777" w:rsidR="009C2243" w:rsidRPr="00557C2A" w:rsidRDefault="000D0AD0" w:rsidP="000D0AD0">
      <w:pPr>
        <w:pStyle w:val="Point1"/>
        <w:rPr>
          <w:noProof/>
        </w:rPr>
      </w:pPr>
      <w:r>
        <w:rPr>
          <w:noProof/>
        </w:rPr>
        <w:t>(f)</w:t>
      </w:r>
      <w:r>
        <w:rPr>
          <w:noProof/>
        </w:rPr>
        <w:tab/>
      </w:r>
      <w:r w:rsidRPr="00557C2A">
        <w:rPr>
          <w:noProof/>
        </w:rPr>
        <w:t>een tijdschema voor alle investeringsprojecten bevatten.</w:t>
      </w:r>
    </w:p>
    <w:p w14:paraId="06BB69AB" w14:textId="77777777" w:rsidR="005C29D0" w:rsidRPr="00557C2A" w:rsidRDefault="005C29D0" w:rsidP="005E2363">
      <w:pPr>
        <w:pStyle w:val="ManualNumPar1"/>
        <w:rPr>
          <w:noProof/>
        </w:rPr>
      </w:pPr>
      <w:r>
        <w:rPr>
          <w:noProof/>
        </w:rPr>
        <w:t>3.</w:t>
      </w:r>
      <w:r>
        <w:rPr>
          <w:noProof/>
        </w:rPr>
        <w:tab/>
      </w:r>
      <w:r w:rsidRPr="00557C2A">
        <w:rPr>
          <w:noProof/>
        </w:rPr>
        <w:t>Nieuwe infrastructuurprojecten gaan vergezeld van een toelichting over hoe rekening is gehouden met draadloze oplossingen, niet-fossiele flexibiliteitsmiddelen of andere alternatieven voor uitbreiding van het systeem.</w:t>
      </w:r>
    </w:p>
    <w:p w14:paraId="5ED170E1" w14:textId="77777777" w:rsidR="00395CA8" w:rsidRPr="00557C2A" w:rsidRDefault="00395CA8" w:rsidP="005E2363">
      <w:pPr>
        <w:pStyle w:val="ManualNumPar1"/>
        <w:rPr>
          <w:noProof/>
        </w:rPr>
      </w:pPr>
      <w:r>
        <w:rPr>
          <w:noProof/>
        </w:rPr>
        <w:t>4.</w:t>
      </w:r>
      <w:r>
        <w:rPr>
          <w:noProof/>
        </w:rPr>
        <w:tab/>
      </w:r>
      <w:r w:rsidRPr="00557C2A">
        <w:rPr>
          <w:noProof/>
        </w:rPr>
        <w:t>Bij het opstellen van het tienjarig netontwikkelingsplan houdt de transmissiesysteembeheerder volledig rekening met het potentiële gebruik van vraagrespons, energieopslagfaciliteiten of andere hulpbronnen als alternatieven voor uitbreiding van het systeem, alsook het verwachte verbruik en de handel met andere landen, en met de investeringsplannen voor Uniebrede en regionale netten.</w:t>
      </w:r>
    </w:p>
    <w:p w14:paraId="23E44494" w14:textId="77777777" w:rsidR="00395CA8" w:rsidRPr="00557C2A" w:rsidRDefault="00395CA8" w:rsidP="005E2363">
      <w:pPr>
        <w:pStyle w:val="ManualNumPar1"/>
        <w:rPr>
          <w:noProof/>
        </w:rPr>
      </w:pPr>
      <w:r>
        <w:rPr>
          <w:noProof/>
        </w:rPr>
        <w:t>5.</w:t>
      </w:r>
      <w:r>
        <w:rPr>
          <w:noProof/>
        </w:rPr>
        <w:tab/>
      </w:r>
      <w:r w:rsidRPr="00557C2A">
        <w:rPr>
          <w:noProof/>
        </w:rPr>
        <w:t>De regulerende instantie raadpleegt op een open en transparante wijze alle daadwerkelijke en potentiële systeemgebruikers over het tienjarige netontwikkelingsplan. Personen of bedrijven die aangeven potentiële systeemgebruikers te zijn, kan worden verzocht die bewering te onderbouwen. De regulerende instantie maakt het resultaat van de raadpleging bekend, met name de mogelijke behoeften aan investeringen.</w:t>
      </w:r>
    </w:p>
    <w:p w14:paraId="07279745" w14:textId="77777777" w:rsidR="00395CA8" w:rsidRPr="00557C2A" w:rsidRDefault="00395CA8" w:rsidP="005E2363">
      <w:pPr>
        <w:pStyle w:val="ManualNumPar1"/>
        <w:rPr>
          <w:noProof/>
        </w:rPr>
      </w:pPr>
      <w:r>
        <w:rPr>
          <w:noProof/>
        </w:rPr>
        <w:t>6.</w:t>
      </w:r>
      <w:r>
        <w:rPr>
          <w:noProof/>
        </w:rPr>
        <w:tab/>
      </w:r>
      <w:r w:rsidRPr="00557C2A">
        <w:rPr>
          <w:noProof/>
        </w:rPr>
        <w:t>De regulerende instantie keurt het tienjarig netontwikkelingsplan goed of verzoekt om wijziging ervan en gaat na of het tienjarig netontwikkelingsplan alle investeringsbehoeften bestrijkt die tijdens de raadpleging zijn opgetekend en of het overeenkomt met het in artikel 30, lid 1, punt b), van Verordening (EU) 2019/943 bedoelde niet-bindend Uniebreed tienjarig netontwikkelingsplan (“Uniebreed netontwikkelingsplan”). Als betwijfeld wordt of het overeenkomt met het Uniebreed tienjarig netontwikkelingsplan, raadpleegt de regulerende instantie ACER. De regulerende instantie kan eisen dat de transmissiesysteembeheerder zijn tienjarige netontwikkelingsplan wijzigt.</w:t>
      </w:r>
    </w:p>
    <w:p w14:paraId="14E2D9B5" w14:textId="77777777" w:rsidR="00395CA8" w:rsidRPr="00557C2A" w:rsidRDefault="00395CA8" w:rsidP="005E2363">
      <w:pPr>
        <w:pStyle w:val="Text1"/>
        <w:rPr>
          <w:noProof/>
        </w:rPr>
      </w:pPr>
      <w:r w:rsidRPr="00557C2A">
        <w:rPr>
          <w:noProof/>
        </w:rPr>
        <w:t>De bevoegde nationale instanties onderzoeken de consistentie van het tienjarige netontwikkelingsplan met het overeenkomstig Verordening (EU) 2018/1999 ingediende nationale energie- en klimaatplan.</w:t>
      </w:r>
    </w:p>
    <w:p w14:paraId="5DC6AB9A" w14:textId="77777777" w:rsidR="00354271" w:rsidRPr="00557C2A" w:rsidRDefault="00395CA8" w:rsidP="005E2363">
      <w:pPr>
        <w:pStyle w:val="ManualNumPar1"/>
        <w:rPr>
          <w:noProof/>
        </w:rPr>
      </w:pPr>
      <w:r>
        <w:rPr>
          <w:noProof/>
        </w:rPr>
        <w:t>7.</w:t>
      </w:r>
      <w:r>
        <w:rPr>
          <w:noProof/>
        </w:rPr>
        <w:tab/>
      </w:r>
      <w:r w:rsidRPr="00557C2A">
        <w:rPr>
          <w:noProof/>
        </w:rPr>
        <w:t>De regulerende instantie houdt toezicht op en evalueert de uitvoering van het tienjarige netontwikkelingsplan.</w:t>
      </w:r>
    </w:p>
    <w:p w14:paraId="29B20B4A" w14:textId="77777777" w:rsidR="00C87C96" w:rsidRPr="00557C2A" w:rsidRDefault="00D14831" w:rsidP="005E2363">
      <w:pPr>
        <w:pStyle w:val="ManualNumPar1"/>
        <w:rPr>
          <w:noProof/>
        </w:rPr>
      </w:pPr>
      <w:r>
        <w:rPr>
          <w:noProof/>
        </w:rPr>
        <w:t>8.</w:t>
      </w:r>
      <w:r>
        <w:rPr>
          <w:noProof/>
        </w:rPr>
        <w:tab/>
      </w:r>
      <w:r w:rsidRPr="00557C2A">
        <w:rPr>
          <w:noProof/>
        </w:rPr>
        <w:t>Ingeval de onafhankelijke systeembeheerder of onafhankelijke transmissiebeheerder om andere dan dwingende redenen buiten zijn macht een investering die volgens het tienjarige netontwikkelingsplan in de eerstvolgende drie jaar uitgevoerd had moeten worden, niet uitvoert, zorgen de lidstaten ervoor dat de regulerende instantie ten minste een van de volgende maatregelen moet nemen opdat de investering in kwestie wordt gedaan wanneer de investering in het licht van het meest recente tienjarige netontwikkelingsplan nog relevant is:</w:t>
      </w:r>
    </w:p>
    <w:p w14:paraId="2E67CF47" w14:textId="77777777" w:rsidR="00C87C96" w:rsidRPr="00557C2A" w:rsidRDefault="00C87C96" w:rsidP="00CB0269">
      <w:pPr>
        <w:pStyle w:val="Point1"/>
        <w:rPr>
          <w:noProof/>
        </w:rPr>
      </w:pPr>
      <w:r>
        <w:rPr>
          <w:noProof/>
        </w:rPr>
        <w:t>(a)</w:t>
      </w:r>
      <w:r>
        <w:rPr>
          <w:noProof/>
        </w:rPr>
        <w:tab/>
      </w:r>
      <w:r w:rsidRPr="00557C2A">
        <w:rPr>
          <w:noProof/>
        </w:rPr>
        <w:t>eisen dat de transmissiesysteembeheerder de investering in kwestie uitvoert;</w:t>
      </w:r>
    </w:p>
    <w:p w14:paraId="5F87B5E0" w14:textId="77777777" w:rsidR="00C87C96" w:rsidRPr="00557C2A" w:rsidRDefault="00C87C96" w:rsidP="67D951FB">
      <w:pPr>
        <w:pStyle w:val="Point1"/>
        <w:rPr>
          <w:noProof/>
        </w:rPr>
      </w:pPr>
      <w:r>
        <w:rPr>
          <w:noProof/>
        </w:rPr>
        <w:t>(b)</w:t>
      </w:r>
      <w:r>
        <w:rPr>
          <w:noProof/>
        </w:rPr>
        <w:tab/>
      </w:r>
      <w:r w:rsidRPr="00557C2A">
        <w:rPr>
          <w:noProof/>
        </w:rPr>
        <w:t>voor de investering in kwestie een aanbestedingsprocedure organiseren die openstaat voor alle investeerders, of</w:t>
      </w:r>
    </w:p>
    <w:p w14:paraId="74593F78" w14:textId="77777777" w:rsidR="009147E0" w:rsidRPr="00557C2A" w:rsidRDefault="00C87C96" w:rsidP="67D951FB">
      <w:pPr>
        <w:pStyle w:val="Point1"/>
        <w:rPr>
          <w:noProof/>
        </w:rPr>
      </w:pPr>
      <w:r>
        <w:rPr>
          <w:noProof/>
        </w:rPr>
        <w:t>(c)</w:t>
      </w:r>
      <w:r>
        <w:rPr>
          <w:noProof/>
        </w:rPr>
        <w:tab/>
      </w:r>
      <w:r w:rsidRPr="00557C2A">
        <w:rPr>
          <w:noProof/>
        </w:rPr>
        <w:t>de transmissiesysteembeheerder verplichten in te stemmen met een kapitaalverhoging om de nodige investeringen te financieren en onafhankelijke investeerders de mogelijkheid te geven deel te nemen in het kapitaal.</w:t>
      </w:r>
    </w:p>
    <w:p w14:paraId="1EE4CA6B" w14:textId="77777777" w:rsidR="00CD034A" w:rsidRPr="00557C2A" w:rsidRDefault="00CD034A" w:rsidP="005E2363">
      <w:pPr>
        <w:pStyle w:val="ManualNumPar1"/>
        <w:rPr>
          <w:noProof/>
        </w:rPr>
      </w:pPr>
      <w:r>
        <w:rPr>
          <w:noProof/>
        </w:rPr>
        <w:t>9.</w:t>
      </w:r>
      <w:r>
        <w:rPr>
          <w:noProof/>
        </w:rPr>
        <w:tab/>
      </w:r>
      <w:r w:rsidRPr="00557C2A">
        <w:rPr>
          <w:noProof/>
        </w:rPr>
        <w:t>Indien de regulerende instantie gebruik heeft gemaakt van haar in lid 8, punt b), genoemde bevoegdheden, kan zij de transmissiesysteembeheerder verplichten in te stemmen met:</w:t>
      </w:r>
    </w:p>
    <w:p w14:paraId="4A362D08" w14:textId="77777777" w:rsidR="00461D99" w:rsidRPr="00557C2A" w:rsidRDefault="00461D99" w:rsidP="00CB0269">
      <w:pPr>
        <w:pStyle w:val="Point1"/>
        <w:rPr>
          <w:noProof/>
        </w:rPr>
      </w:pPr>
      <w:r>
        <w:rPr>
          <w:noProof/>
        </w:rPr>
        <w:t>(a)</w:t>
      </w:r>
      <w:r>
        <w:rPr>
          <w:noProof/>
        </w:rPr>
        <w:tab/>
      </w:r>
      <w:r w:rsidRPr="00557C2A">
        <w:rPr>
          <w:noProof/>
        </w:rPr>
        <w:t>financiering door een derde partij;</w:t>
      </w:r>
    </w:p>
    <w:p w14:paraId="1B6A74A9" w14:textId="77777777" w:rsidR="00461D99" w:rsidRPr="00557C2A" w:rsidRDefault="00461D99" w:rsidP="67D951FB">
      <w:pPr>
        <w:pStyle w:val="Point1"/>
        <w:rPr>
          <w:noProof/>
        </w:rPr>
      </w:pPr>
      <w:r>
        <w:rPr>
          <w:noProof/>
        </w:rPr>
        <w:t>(b)</w:t>
      </w:r>
      <w:r>
        <w:rPr>
          <w:noProof/>
        </w:rPr>
        <w:tab/>
      </w:r>
      <w:r w:rsidRPr="00557C2A">
        <w:rPr>
          <w:noProof/>
        </w:rPr>
        <w:t>bouw door een derde partij;</w:t>
      </w:r>
    </w:p>
    <w:p w14:paraId="5E0A2852" w14:textId="77777777" w:rsidR="00461D99" w:rsidRPr="00557C2A" w:rsidRDefault="00461D99" w:rsidP="67D951FB">
      <w:pPr>
        <w:pStyle w:val="Point1"/>
        <w:rPr>
          <w:noProof/>
        </w:rPr>
      </w:pPr>
      <w:r>
        <w:rPr>
          <w:noProof/>
        </w:rPr>
        <w:t>(c)</w:t>
      </w:r>
      <w:r>
        <w:rPr>
          <w:noProof/>
        </w:rPr>
        <w:tab/>
      </w:r>
      <w:r w:rsidRPr="00557C2A">
        <w:rPr>
          <w:noProof/>
        </w:rPr>
        <w:t>opbouw van de betrokken activa zelf, of</w:t>
      </w:r>
    </w:p>
    <w:p w14:paraId="46B9C315" w14:textId="77777777" w:rsidR="000016FC" w:rsidRPr="00557C2A" w:rsidRDefault="00461D99" w:rsidP="67D951FB">
      <w:pPr>
        <w:pStyle w:val="Point1"/>
        <w:rPr>
          <w:noProof/>
        </w:rPr>
      </w:pPr>
      <w:r>
        <w:rPr>
          <w:noProof/>
        </w:rPr>
        <w:t>(d)</w:t>
      </w:r>
      <w:r>
        <w:rPr>
          <w:noProof/>
        </w:rPr>
        <w:tab/>
      </w:r>
      <w:r w:rsidRPr="00557C2A">
        <w:rPr>
          <w:noProof/>
        </w:rPr>
        <w:t xml:space="preserve">exploitatie van het betrokken actief zelf. </w:t>
      </w:r>
    </w:p>
    <w:p w14:paraId="5F7DC8AE" w14:textId="77777777" w:rsidR="000016FC" w:rsidRPr="00557C2A" w:rsidRDefault="000016FC" w:rsidP="0099373B">
      <w:pPr>
        <w:pStyle w:val="Text1"/>
        <w:rPr>
          <w:noProof/>
        </w:rPr>
      </w:pPr>
      <w:r w:rsidRPr="00557C2A">
        <w:rPr>
          <w:noProof/>
        </w:rPr>
        <w:t>De transmissiesysteembeheerder verstrekt de investeerders alle nodige gegevens om de investeringen te verrichten, sluit nieuwe activa aan op het transmissienet en stelt algemeen gesproken alles in het werk om de uitvoering van het investeringsproject te vergemakkelijken.</w:t>
      </w:r>
    </w:p>
    <w:p w14:paraId="7788A30F" w14:textId="77777777" w:rsidR="000016FC" w:rsidRPr="00557C2A" w:rsidRDefault="000016FC" w:rsidP="0099373B">
      <w:pPr>
        <w:pStyle w:val="Text1"/>
        <w:rPr>
          <w:noProof/>
        </w:rPr>
      </w:pPr>
      <w:r w:rsidRPr="00557C2A">
        <w:rPr>
          <w:noProof/>
        </w:rPr>
        <w:t>De toepasselijke financieringsregelingen zijn onderworpen aan goedkeuring door de regulerende instantie.</w:t>
      </w:r>
    </w:p>
    <w:p w14:paraId="4FE46D36" w14:textId="77777777" w:rsidR="00395CA8" w:rsidRPr="00557C2A" w:rsidRDefault="00B51E3B" w:rsidP="005E2363">
      <w:pPr>
        <w:pStyle w:val="ManualNumPar1"/>
        <w:rPr>
          <w:noProof/>
        </w:rPr>
      </w:pPr>
      <w:r>
        <w:rPr>
          <w:noProof/>
        </w:rPr>
        <w:t>10.</w:t>
      </w:r>
      <w:r>
        <w:rPr>
          <w:noProof/>
        </w:rPr>
        <w:tab/>
      </w:r>
      <w:r w:rsidRPr="00557C2A">
        <w:rPr>
          <w:noProof/>
        </w:rPr>
        <w:t>Indien de regulerende instantie gebruik heeft gemaakt van haar bevoegdheden uit hoofde van lid 8, dekken de toepasselijke tariefregelingen de kosten van de betrokken investeringen.”.</w:t>
      </w:r>
    </w:p>
    <w:p w14:paraId="093E86B7" w14:textId="77777777" w:rsidR="00B51E3B" w:rsidRPr="00557C2A" w:rsidRDefault="00B51E3B" w:rsidP="67D951FB">
      <w:pPr>
        <w:pStyle w:val="Text1"/>
        <w:rPr>
          <w:noProof/>
        </w:rPr>
      </w:pPr>
    </w:p>
    <w:p w14:paraId="3EC2C2A4" w14:textId="77777777" w:rsidR="00A268F1" w:rsidRPr="00557C2A" w:rsidRDefault="00A268F1" w:rsidP="00CB3B8E">
      <w:pPr>
        <w:pStyle w:val="Point0"/>
        <w:rPr>
          <w:noProof/>
        </w:rPr>
      </w:pPr>
      <w:r>
        <w:rPr>
          <w:noProof/>
        </w:rPr>
        <w:t>(4)</w:t>
      </w:r>
      <w:r>
        <w:rPr>
          <w:noProof/>
        </w:rPr>
        <w:tab/>
      </w:r>
      <w:r w:rsidRPr="00557C2A">
        <w:rPr>
          <w:noProof/>
        </w:rPr>
        <w:t>Artikel 51 wordt geschrapt.</w:t>
      </w:r>
    </w:p>
    <w:p w14:paraId="50B1F534" w14:textId="77777777" w:rsidR="7BE4A5D7" w:rsidRPr="00557C2A" w:rsidRDefault="7BE4A5D7" w:rsidP="005E2363">
      <w:pPr>
        <w:rPr>
          <w:noProof/>
        </w:rPr>
      </w:pPr>
    </w:p>
    <w:p w14:paraId="5618ADBF" w14:textId="77777777" w:rsidR="7430589F" w:rsidRPr="00557C2A" w:rsidRDefault="005C61C8" w:rsidP="7BE4A5D7">
      <w:pPr>
        <w:pStyle w:val="Point0"/>
        <w:rPr>
          <w:noProof/>
        </w:rPr>
      </w:pPr>
      <w:r>
        <w:rPr>
          <w:noProof/>
        </w:rPr>
        <w:t>(5)</w:t>
      </w:r>
      <w:r>
        <w:rPr>
          <w:noProof/>
        </w:rPr>
        <w:tab/>
      </w:r>
      <w:r w:rsidRPr="00557C2A">
        <w:rPr>
          <w:noProof/>
        </w:rPr>
        <w:t>In artikel 59, lid 1, wordt het volgende punt ingevoegd:</w:t>
      </w:r>
    </w:p>
    <w:p w14:paraId="0BCE5AC5" w14:textId="77777777" w:rsidR="7430589F" w:rsidRPr="00557C2A" w:rsidRDefault="7430589F" w:rsidP="000500F5">
      <w:pPr>
        <w:rPr>
          <w:noProof/>
        </w:rPr>
      </w:pPr>
    </w:p>
    <w:p w14:paraId="067CFE01" w14:textId="77777777" w:rsidR="7430589F" w:rsidRPr="00557C2A" w:rsidRDefault="7430589F" w:rsidP="005E2363">
      <w:pPr>
        <w:pStyle w:val="Text1"/>
        <w:rPr>
          <w:noProof/>
        </w:rPr>
      </w:pPr>
      <w:r w:rsidRPr="00557C2A">
        <w:rPr>
          <w:noProof/>
        </w:rPr>
        <w:t>“b bis)</w:t>
      </w:r>
      <w:r w:rsidRPr="00557C2A">
        <w:rPr>
          <w:noProof/>
        </w:rPr>
        <w:tab/>
        <w:t>de wijziging van de in artikel 40 bis bedoelde tienjarige netontwikkelingsplannen goedkeuren en vereisen.”.</w:t>
      </w:r>
    </w:p>
    <w:p w14:paraId="042915F4" w14:textId="77777777" w:rsidR="00790A83" w:rsidRPr="00557C2A" w:rsidRDefault="00790A83" w:rsidP="00790A83">
      <w:pPr>
        <w:pStyle w:val="Titrearticle"/>
        <w:rPr>
          <w:noProof/>
        </w:rPr>
      </w:pPr>
      <w:r w:rsidRPr="00557C2A">
        <w:rPr>
          <w:noProof/>
        </w:rPr>
        <w:t>Artikel 3</w:t>
      </w:r>
    </w:p>
    <w:p w14:paraId="373BDDD9" w14:textId="77777777" w:rsidR="00790A83" w:rsidRPr="00557C2A" w:rsidRDefault="00790A83" w:rsidP="00403618">
      <w:pPr>
        <w:jc w:val="center"/>
        <w:rPr>
          <w:b/>
          <w:bCs/>
          <w:noProof/>
        </w:rPr>
      </w:pPr>
      <w:r w:rsidRPr="00557C2A">
        <w:rPr>
          <w:b/>
          <w:noProof/>
        </w:rPr>
        <w:t xml:space="preserve">Wijzigingen van Richtlijn (EU) 2024/1788 </w:t>
      </w:r>
    </w:p>
    <w:p w14:paraId="0EBAAE1E" w14:textId="77777777" w:rsidR="00790A83" w:rsidRPr="00557C2A" w:rsidRDefault="00790A83" w:rsidP="00790A83">
      <w:pPr>
        <w:tabs>
          <w:tab w:val="left" w:pos="5109"/>
        </w:tabs>
        <w:rPr>
          <w:noProof/>
        </w:rPr>
      </w:pPr>
      <w:r w:rsidRPr="00557C2A">
        <w:rPr>
          <w:noProof/>
        </w:rPr>
        <w:t>Richtlijn (EU) 2024/1788 wordt als volgt gewijzigd:</w:t>
      </w:r>
    </w:p>
    <w:p w14:paraId="2AB67809" w14:textId="77777777" w:rsidR="00790A83" w:rsidRPr="00557C2A" w:rsidRDefault="00790A83" w:rsidP="00CB0269">
      <w:pPr>
        <w:pStyle w:val="Point0"/>
        <w:rPr>
          <w:noProof/>
        </w:rPr>
      </w:pPr>
      <w:r>
        <w:rPr>
          <w:noProof/>
        </w:rPr>
        <w:t>(1)</w:t>
      </w:r>
      <w:r>
        <w:rPr>
          <w:noProof/>
        </w:rPr>
        <w:tab/>
      </w:r>
      <w:r w:rsidRPr="00557C2A">
        <w:rPr>
          <w:noProof/>
        </w:rPr>
        <w:t>Artikel 8 wordt als volgt gewijzigd:</w:t>
      </w:r>
    </w:p>
    <w:p w14:paraId="3527C185" w14:textId="77777777" w:rsidR="005A3895" w:rsidRPr="00557C2A" w:rsidRDefault="25343DFE" w:rsidP="00B021C6">
      <w:pPr>
        <w:pStyle w:val="Point1"/>
        <w:rPr>
          <w:noProof/>
        </w:rPr>
      </w:pPr>
      <w:r>
        <w:rPr>
          <w:noProof/>
        </w:rPr>
        <w:t>(a)</w:t>
      </w:r>
      <w:r>
        <w:rPr>
          <w:noProof/>
        </w:rPr>
        <w:tab/>
      </w:r>
      <w:r w:rsidRPr="00557C2A">
        <w:rPr>
          <w:noProof/>
        </w:rPr>
        <w:t>lid 1 wordt vervangen door:</w:t>
      </w:r>
    </w:p>
    <w:p w14:paraId="5137D366" w14:textId="77777777" w:rsidR="005A3895" w:rsidRPr="00557C2A" w:rsidRDefault="00853F2A" w:rsidP="004F54E2">
      <w:pPr>
        <w:ind w:left="720" w:hanging="720"/>
        <w:rPr>
          <w:noProof/>
        </w:rPr>
      </w:pPr>
      <w:r w:rsidRPr="00557C2A">
        <w:rPr>
          <w:noProof/>
        </w:rPr>
        <w:t xml:space="preserve">“1. </w:t>
      </w:r>
      <w:r w:rsidRPr="00557C2A">
        <w:rPr>
          <w:noProof/>
        </w:rPr>
        <w:tab/>
        <w:t>In gevallen waarin toestemming, zoals een vergunning, toelating, concessie, instemming of goedkeuring, vereist is voor de bouw of exploitatie van aardgasinstallaties, waterstofproductiefaciliteiten en infrastructuur voor waterstofsystemen, verlenen lidstaten of de door hen aangewezen bevoegde instanties overeenkomstig de leden 2 tot en met 11 en lid 16 toestemming voor de bouw of exploitatie van dergelijke installaties, infrastructuur, pijpleidingen of bijbehorende uitrusting op hun grondgebied. De lidstaten of de door hen aangewezen bevoegde instanties kunnen op dezelfde basis tevens toestemming verlenen voor de levering van aardgas en waterstof, ook aan grootafnemers.”;</w:t>
      </w:r>
    </w:p>
    <w:p w14:paraId="65B5BFDA" w14:textId="77777777" w:rsidR="00B021C6" w:rsidRPr="00557C2A" w:rsidDel="00A30500" w:rsidRDefault="449E44F5" w:rsidP="00B021C6">
      <w:pPr>
        <w:pStyle w:val="Point1"/>
        <w:rPr>
          <w:noProof/>
        </w:rPr>
      </w:pPr>
      <w:r>
        <w:rPr>
          <w:noProof/>
        </w:rPr>
        <w:t>(b)</w:t>
      </w:r>
      <w:r>
        <w:rPr>
          <w:noProof/>
        </w:rPr>
        <w:tab/>
      </w:r>
      <w:r w:rsidRPr="00557C2A">
        <w:rPr>
          <w:noProof/>
        </w:rPr>
        <w:t xml:space="preserve">de volgende leden 5 bis tot en met 5 quinquies worden ingevoegd: </w:t>
      </w:r>
    </w:p>
    <w:p w14:paraId="088DF932" w14:textId="77777777" w:rsidR="00585A9F" w:rsidRPr="00557C2A" w:rsidRDefault="00853F2A" w:rsidP="00585A9F">
      <w:pPr>
        <w:pStyle w:val="ManualNumPar1"/>
        <w:rPr>
          <w:noProof/>
        </w:rPr>
      </w:pPr>
      <w:r w:rsidRPr="00557C2A">
        <w:rPr>
          <w:noProof/>
        </w:rPr>
        <w:t xml:space="preserve">“5 bis </w:t>
      </w:r>
      <w:r w:rsidRPr="00557C2A">
        <w:rPr>
          <w:noProof/>
        </w:rPr>
        <w:tab/>
        <w:t>De lidstaten zorgen ervoor dat, wanneer studies, verslagen of documentatie die voor de procedure vereist zijn, in de aanvragen ontbreken, de bevoegde nationale instanties, in samenwerking met andere relevante autoriteiten, binnen drie maanden na de aanvraag de nodige stukken bij de ontwikkelaar opvragen, met vermelding van het toepassingsgebied en de mate van detaillering ervan.</w:t>
      </w:r>
    </w:p>
    <w:p w14:paraId="499DB553" w14:textId="77777777" w:rsidR="22409CA9" w:rsidRPr="00557C2A" w:rsidRDefault="22409CA9" w:rsidP="00585A9F">
      <w:pPr>
        <w:pStyle w:val="ManualNumPar1"/>
        <w:ind w:firstLine="0"/>
        <w:rPr>
          <w:noProof/>
        </w:rPr>
      </w:pPr>
      <w:r w:rsidRPr="00557C2A">
        <w:rPr>
          <w:noProof/>
        </w:rPr>
        <w:t>Na die termijn mogen noch de bevoegde instantie, noch enige andere relevante autoriteit om aanvullende informatie, studies, verslagen of beoordelingen verzoeken, behalve in gevallen waarin zich een wezenlijke verandering in het project of de omgeving ervan heeft voorgedaan, waardoor de oorspronkelijke criteria waarop de beslissingen waren gebaseerd, niet langer geschikt zijn. In deze gevallen verstrekt de nationale bevoegde instantie de projectontwikkelaar een naar behoren gemotiveerde rechtvaardiging voor het verzoek om aanvullende informatie.</w:t>
      </w:r>
    </w:p>
    <w:p w14:paraId="424219E7" w14:textId="77777777" w:rsidR="00853F2A" w:rsidRPr="00557C2A" w:rsidDel="00A30500" w:rsidRDefault="1C3A594B" w:rsidP="400D4D25">
      <w:pPr>
        <w:pStyle w:val="ManualNumPar1"/>
        <w:ind w:left="720" w:hanging="720"/>
        <w:rPr>
          <w:noProof/>
        </w:rPr>
      </w:pPr>
      <w:r w:rsidRPr="00557C2A">
        <w:rPr>
          <w:noProof/>
        </w:rPr>
        <w:t xml:space="preserve">5 ter </w:t>
      </w:r>
      <w:r w:rsidRPr="00557C2A">
        <w:rPr>
          <w:noProof/>
        </w:rPr>
        <w:tab/>
        <w:t xml:space="preserve">De lidstaten zorgen ervoor dat de bevoegde nationale instanties over voldoende technische, financiële en personele middelen beschikken om binnen de in lid 5 aangegeven termijn een besluit over de vergunning te nemen.  </w:t>
      </w:r>
    </w:p>
    <w:p w14:paraId="7CE88A35" w14:textId="778D9C68" w:rsidR="00853F2A" w:rsidRPr="00557C2A" w:rsidDel="00A30500" w:rsidRDefault="0A52A7D3" w:rsidP="7A2B1F45">
      <w:pPr>
        <w:pStyle w:val="ManualNumPar1"/>
        <w:ind w:left="720" w:hanging="720"/>
        <w:rPr>
          <w:noProof/>
        </w:rPr>
      </w:pPr>
      <w:r w:rsidRPr="00557C2A">
        <w:rPr>
          <w:noProof/>
        </w:rPr>
        <w:t xml:space="preserve">5 quater </w:t>
      </w:r>
      <w:r w:rsidRPr="00557C2A">
        <w:rPr>
          <w:noProof/>
        </w:rPr>
        <w:tab/>
        <w:t>Bij de in lid 1 bedoelde toestemmingsprocedure voor waterstofproductiefaciliteiten en infrastructuur voor waterstofsystemen, zorgen de lidstaten ervoor dat het uitblijven van een antwoord van de relevante bevoegde nationale instanties binnen de in lid 5 bedoelde termijn leidt tot de specifieke stappen die als goedgekeurd moeten worden beschouwd, tenzij het gaat om milieubeslissingen en wanneer het beginsel van administratieve stilzwijgende goedkeuring niet is erkend in het nationale rechtsstelsel van de betrokken lidstaat.</w:t>
      </w:r>
    </w:p>
    <w:p w14:paraId="000B048D" w14:textId="77777777" w:rsidR="00ED51C4" w:rsidRPr="00557C2A" w:rsidRDefault="286A02A0" w:rsidP="400D4D25">
      <w:pPr>
        <w:pStyle w:val="ManualNumPar1"/>
        <w:ind w:left="720" w:hanging="720"/>
        <w:rPr>
          <w:noProof/>
        </w:rPr>
      </w:pPr>
      <w:r w:rsidRPr="00557C2A">
        <w:rPr>
          <w:noProof/>
        </w:rPr>
        <w:t xml:space="preserve">5 quinquies </w:t>
      </w:r>
      <w:r w:rsidRPr="00557C2A">
        <w:rPr>
          <w:noProof/>
        </w:rPr>
        <w:tab/>
        <w:t>Alle besluiten worden openbaar gemaakt, met inbegrip van definitieve besluiten die stilzwijgend zijn genomen bij gebrek aan antwoord van de bevoegde instanties.”;</w:t>
      </w:r>
    </w:p>
    <w:p w14:paraId="41BA3AE9" w14:textId="77777777" w:rsidR="00790A83" w:rsidRPr="00557C2A" w:rsidRDefault="003F49EB" w:rsidP="0070067C">
      <w:pPr>
        <w:pStyle w:val="Point1"/>
        <w:rPr>
          <w:noProof/>
        </w:rPr>
      </w:pPr>
      <w:r>
        <w:rPr>
          <w:noProof/>
        </w:rPr>
        <w:t>(c)</w:t>
      </w:r>
      <w:r>
        <w:rPr>
          <w:noProof/>
        </w:rPr>
        <w:tab/>
      </w:r>
      <w:r w:rsidRPr="00557C2A">
        <w:rPr>
          <w:noProof/>
        </w:rPr>
        <w:t>aan lid 8 wordt de volgende alinea toegevoegd:</w:t>
      </w:r>
    </w:p>
    <w:p w14:paraId="2072E480" w14:textId="77777777" w:rsidR="00B87D15" w:rsidRPr="00557C2A" w:rsidRDefault="00155E6F" w:rsidP="005E2363">
      <w:pPr>
        <w:pStyle w:val="Text1"/>
        <w:rPr>
          <w:noProof/>
        </w:rPr>
      </w:pPr>
      <w:r w:rsidRPr="00557C2A">
        <w:rPr>
          <w:noProof/>
        </w:rPr>
        <w:t>“De contactpunten kunnen dezelfde zijn als de nationale bevoegde instanties bedoeld in artikel 8 van Verordening (EU) 2022/869, of de contactpunten gedefinieerd in artikel 16 van Richtlijn (EU) 2018/2001.”;</w:t>
      </w:r>
    </w:p>
    <w:p w14:paraId="72B4BA2B" w14:textId="77777777" w:rsidR="00E34257" w:rsidRPr="00557C2A" w:rsidRDefault="480E2715" w:rsidP="7A2B1F45">
      <w:pPr>
        <w:pStyle w:val="Point1"/>
        <w:rPr>
          <w:noProof/>
        </w:rPr>
      </w:pPr>
      <w:r>
        <w:rPr>
          <w:noProof/>
        </w:rPr>
        <w:t>(d)</w:t>
      </w:r>
      <w:r>
        <w:rPr>
          <w:noProof/>
        </w:rPr>
        <w:tab/>
      </w:r>
      <w:r w:rsidRPr="00557C2A">
        <w:rPr>
          <w:noProof/>
        </w:rPr>
        <w:t>het volgende lid 16 wordt toegevoegd:</w:t>
      </w:r>
    </w:p>
    <w:p w14:paraId="1A570241" w14:textId="564C098D" w:rsidR="00E34257" w:rsidRPr="00557C2A" w:rsidRDefault="405986C2" w:rsidP="00A80692">
      <w:pPr>
        <w:ind w:left="720" w:hanging="720"/>
        <w:rPr>
          <w:noProof/>
        </w:rPr>
      </w:pPr>
      <w:r w:rsidRPr="00557C2A">
        <w:rPr>
          <w:noProof/>
        </w:rPr>
        <w:t xml:space="preserve">“16. </w:t>
      </w:r>
      <w:r w:rsidRPr="00557C2A">
        <w:rPr>
          <w:noProof/>
        </w:rPr>
        <w:tab/>
        <w:t>Voor het beheer van vergunningen in de zin van lid 1, zorgen de lidstaten ervoor dat er digitale platforms zijn om aanvragen, de betrokken procedure en lopende besluiten te beheren.  Die platforms bieden toegang tot de relevante milieu- en geologische gegevens en beslissingen die beschikbaar zijn in het centrale onlineportaal bedoeld in artikel 10, lid 3, van Verordening [xxxxx] van het Europees Parlement en de Raad.”.</w:t>
      </w:r>
    </w:p>
    <w:p w14:paraId="16FE2A31" w14:textId="77777777" w:rsidR="003F4942" w:rsidRPr="00557C2A" w:rsidRDefault="003F4942" w:rsidP="005E2363">
      <w:pPr>
        <w:rPr>
          <w:noProof/>
        </w:rPr>
      </w:pPr>
    </w:p>
    <w:p w14:paraId="2FA56495" w14:textId="77777777" w:rsidR="003F4942" w:rsidRPr="00557C2A" w:rsidRDefault="003F4942" w:rsidP="005E2363">
      <w:pPr>
        <w:rPr>
          <w:noProof/>
          <w:highlight w:val="yellow"/>
        </w:rPr>
      </w:pPr>
    </w:p>
    <w:p w14:paraId="7710663E" w14:textId="3E174861" w:rsidR="1A9B18EE" w:rsidRPr="00557C2A" w:rsidRDefault="1A9B18EE" w:rsidP="00AE3DD7">
      <w:pPr>
        <w:pStyle w:val="Titrearticle"/>
        <w:rPr>
          <w:noProof/>
        </w:rPr>
      </w:pPr>
      <w:r w:rsidRPr="00557C2A">
        <w:rPr>
          <w:noProof/>
        </w:rPr>
        <w:t>Artikel 4</w:t>
      </w:r>
    </w:p>
    <w:p w14:paraId="4B2F489E" w14:textId="77777777" w:rsidR="1A9B18EE" w:rsidRPr="00557C2A" w:rsidRDefault="1A9B18EE" w:rsidP="005E2363">
      <w:pPr>
        <w:jc w:val="center"/>
        <w:rPr>
          <w:b/>
          <w:bCs/>
          <w:noProof/>
        </w:rPr>
      </w:pPr>
      <w:r w:rsidRPr="00557C2A">
        <w:rPr>
          <w:b/>
          <w:noProof/>
        </w:rPr>
        <w:t>Omzetting</w:t>
      </w:r>
    </w:p>
    <w:p w14:paraId="7001A50B" w14:textId="77777777" w:rsidR="00542FCB" w:rsidRPr="00557C2A" w:rsidRDefault="1A9B18EE" w:rsidP="00CB0269">
      <w:pPr>
        <w:pStyle w:val="ManualNumPar1"/>
        <w:rPr>
          <w:noProof/>
        </w:rPr>
      </w:pPr>
      <w:r>
        <w:rPr>
          <w:noProof/>
        </w:rPr>
        <w:t>1.</w:t>
      </w:r>
      <w:r>
        <w:rPr>
          <w:noProof/>
        </w:rPr>
        <w:tab/>
      </w:r>
      <w:r w:rsidRPr="00557C2A">
        <w:rPr>
          <w:noProof/>
        </w:rPr>
        <w:t>De lidstaten doen de nodige wettelijke en bestuursrechtelijke bepalingen in werking treden om uiterlijk op [two years after adoption] aan deze richtlijn te voldoen. Zij delen de Commissie de tekst van die bepalingen onverwijld mee.</w:t>
      </w:r>
    </w:p>
    <w:p w14:paraId="0A259A6D" w14:textId="77777777" w:rsidR="00542FCB" w:rsidRPr="00557C2A" w:rsidRDefault="00542FCB" w:rsidP="00210298">
      <w:pPr>
        <w:pStyle w:val="Text1"/>
        <w:rPr>
          <w:noProof/>
        </w:rPr>
      </w:pPr>
      <w:r w:rsidRPr="00557C2A">
        <w:rPr>
          <w:noProof/>
        </w:rPr>
        <w:t>Wanneer de lidstaten die bepalingen aannemen, wordt in die bepalingen zelf of bij de officiële bekendmaking ervan naar deze richtlijn verwezen. De regels voor die verwijzing worden vastgesteld door de lidstaten.</w:t>
      </w:r>
    </w:p>
    <w:p w14:paraId="5FA1EBC9" w14:textId="77777777" w:rsidR="00542FCB" w:rsidRPr="00557C2A" w:rsidRDefault="00542FCB" w:rsidP="009B3A97">
      <w:pPr>
        <w:pStyle w:val="ManualNumPar1"/>
        <w:rPr>
          <w:noProof/>
        </w:rPr>
      </w:pPr>
      <w:r>
        <w:rPr>
          <w:noProof/>
        </w:rPr>
        <w:t>2.</w:t>
      </w:r>
      <w:r>
        <w:rPr>
          <w:noProof/>
        </w:rPr>
        <w:tab/>
      </w:r>
      <w:r w:rsidRPr="00557C2A">
        <w:rPr>
          <w:noProof/>
        </w:rPr>
        <w:t>De lidstaten delen de Commissie de tekst van de belangrijkste bepalingen van intern recht mee die zij op het onder deze richtlijn vallende gebied vaststellen.</w:t>
      </w:r>
    </w:p>
    <w:p w14:paraId="61DF73F4" w14:textId="77777777" w:rsidR="00542FCB" w:rsidRPr="00557C2A" w:rsidRDefault="00542FCB" w:rsidP="1C2959D0">
      <w:pPr>
        <w:ind w:left="720"/>
        <w:rPr>
          <w:noProof/>
        </w:rPr>
      </w:pPr>
    </w:p>
    <w:p w14:paraId="54705418" w14:textId="1E408922" w:rsidR="00542FCB" w:rsidRPr="00557C2A" w:rsidRDefault="686D33AC" w:rsidP="00AE3DD7">
      <w:pPr>
        <w:pStyle w:val="Titrearticle"/>
        <w:rPr>
          <w:noProof/>
        </w:rPr>
      </w:pPr>
      <w:r w:rsidRPr="00557C2A">
        <w:rPr>
          <w:noProof/>
        </w:rPr>
        <w:t>Artikel 5</w:t>
      </w:r>
    </w:p>
    <w:p w14:paraId="7457119B" w14:textId="77777777" w:rsidR="00542FCB" w:rsidRPr="00557C2A" w:rsidRDefault="11EB85CA" w:rsidP="005E2363">
      <w:pPr>
        <w:jc w:val="center"/>
        <w:rPr>
          <w:b/>
          <w:bCs/>
          <w:noProof/>
        </w:rPr>
      </w:pPr>
      <w:r w:rsidRPr="00557C2A">
        <w:rPr>
          <w:b/>
          <w:noProof/>
        </w:rPr>
        <w:t>Inwerkingtreding</w:t>
      </w:r>
    </w:p>
    <w:p w14:paraId="4B4B4EEF" w14:textId="77777777" w:rsidR="00542FCB" w:rsidRPr="00557C2A" w:rsidRDefault="686D33AC" w:rsidP="1C2959D0">
      <w:pPr>
        <w:ind w:left="720"/>
        <w:rPr>
          <w:noProof/>
        </w:rPr>
      </w:pPr>
      <w:r w:rsidRPr="00557C2A">
        <w:rPr>
          <w:noProof/>
        </w:rPr>
        <w:t xml:space="preserve">Deze richtlijn treedt in werking op de twintigste dag na die van de bekendmaking ervan in het </w:t>
      </w:r>
      <w:r w:rsidRPr="00557C2A">
        <w:rPr>
          <w:i/>
          <w:iCs/>
          <w:noProof/>
        </w:rPr>
        <w:t>Publicatieblad van de Europese Unie</w:t>
      </w:r>
      <w:r w:rsidRPr="00557C2A">
        <w:rPr>
          <w:noProof/>
        </w:rPr>
        <w:t>.</w:t>
      </w:r>
    </w:p>
    <w:p w14:paraId="232008C2" w14:textId="77777777" w:rsidR="00542FCB" w:rsidRPr="00557C2A" w:rsidRDefault="00542FCB" w:rsidP="1C2959D0">
      <w:pPr>
        <w:ind w:left="720"/>
        <w:rPr>
          <w:noProof/>
        </w:rPr>
      </w:pPr>
    </w:p>
    <w:p w14:paraId="1EFCBD77" w14:textId="2CD9934D" w:rsidR="00542FCB" w:rsidRPr="00557C2A" w:rsidRDefault="1C5DC212" w:rsidP="00AE3DD7">
      <w:pPr>
        <w:pStyle w:val="Titrearticle"/>
        <w:rPr>
          <w:noProof/>
        </w:rPr>
      </w:pPr>
      <w:r w:rsidRPr="00557C2A">
        <w:rPr>
          <w:noProof/>
        </w:rPr>
        <w:t>Artikel 6</w:t>
      </w:r>
    </w:p>
    <w:p w14:paraId="60FD408A" w14:textId="77777777" w:rsidR="00542FCB" w:rsidRPr="00557C2A" w:rsidRDefault="1C5DC212" w:rsidP="00403618">
      <w:pPr>
        <w:jc w:val="center"/>
        <w:rPr>
          <w:b/>
          <w:bCs/>
          <w:noProof/>
        </w:rPr>
      </w:pPr>
      <w:r w:rsidRPr="00557C2A">
        <w:rPr>
          <w:b/>
          <w:noProof/>
        </w:rPr>
        <w:t>Adressaten</w:t>
      </w:r>
    </w:p>
    <w:p w14:paraId="6EA1E4D1" w14:textId="77777777" w:rsidR="00542FCB" w:rsidRPr="00557C2A" w:rsidRDefault="00542FCB">
      <w:pPr>
        <w:keepNext/>
        <w:keepLines/>
        <w:rPr>
          <w:noProof/>
        </w:rPr>
      </w:pPr>
      <w:r w:rsidRPr="00557C2A">
        <w:rPr>
          <w:noProof/>
        </w:rPr>
        <w:t>Deze richtlijn is gericht tot de lidstaten.</w:t>
      </w:r>
    </w:p>
    <w:p w14:paraId="53D41B56" w14:textId="33D33F5F" w:rsidR="00542FCB" w:rsidRPr="00557C2A" w:rsidRDefault="00557C2A" w:rsidP="00564CA7">
      <w:pPr>
        <w:pStyle w:val="Fait"/>
        <w:rPr>
          <w:noProof/>
        </w:rPr>
      </w:pPr>
      <w:r>
        <w:rPr>
          <w:noProof/>
        </w:rPr>
        <w:t>Gedaan te Brussel,</w:t>
      </w:r>
    </w:p>
    <w:p w14:paraId="0B29A45D" w14:textId="77777777" w:rsidR="00542FCB" w:rsidRPr="00557C2A" w:rsidRDefault="00542FCB" w:rsidP="00564CA7">
      <w:pPr>
        <w:pStyle w:val="Institutionquisigne"/>
        <w:rPr>
          <w:noProof/>
        </w:rPr>
      </w:pPr>
      <w:r w:rsidRPr="00557C2A">
        <w:rPr>
          <w:noProof/>
        </w:rPr>
        <w:t>Voor het Europees Parlement</w:t>
      </w:r>
      <w:r w:rsidRPr="00557C2A">
        <w:rPr>
          <w:noProof/>
        </w:rPr>
        <w:tab/>
        <w:t>Voor de Raad</w:t>
      </w:r>
    </w:p>
    <w:p w14:paraId="57932966" w14:textId="77777777" w:rsidR="00542FCB" w:rsidRPr="00557C2A" w:rsidRDefault="00542FCB" w:rsidP="00542FCB">
      <w:pPr>
        <w:pStyle w:val="Personnequisigne"/>
        <w:rPr>
          <w:noProof/>
        </w:rPr>
      </w:pPr>
      <w:r w:rsidRPr="00557C2A">
        <w:rPr>
          <w:noProof/>
        </w:rPr>
        <w:t>De voorzitter</w:t>
      </w:r>
      <w:r w:rsidRPr="00557C2A">
        <w:rPr>
          <w:noProof/>
        </w:rPr>
        <w:tab/>
        <w:t>De voorzitter</w:t>
      </w:r>
    </w:p>
    <w:p w14:paraId="43A80EF0" w14:textId="77777777" w:rsidR="00542FCB" w:rsidRPr="00557C2A" w:rsidRDefault="00542FCB" w:rsidP="00542FCB">
      <w:pPr>
        <w:rPr>
          <w:noProof/>
        </w:rPr>
        <w:sectPr w:rsidR="00542FCB" w:rsidRPr="00557C2A" w:rsidSect="009832A3">
          <w:footnotePr>
            <w:numRestart w:val="eachSect"/>
          </w:footnotePr>
          <w:pgSz w:w="11907" w:h="16839"/>
          <w:pgMar w:top="1134" w:right="1417" w:bottom="1134" w:left="1417" w:header="709" w:footer="709" w:gutter="0"/>
          <w:cols w:space="708"/>
          <w:docGrid w:linePitch="360"/>
        </w:sectPr>
      </w:pPr>
    </w:p>
    <w:p w14:paraId="2151E1B5" w14:textId="77777777" w:rsidR="0051718E" w:rsidRPr="00557C2A" w:rsidRDefault="0051718E" w:rsidP="0051718E">
      <w:pPr>
        <w:pStyle w:val="Fichefinanciretitre"/>
        <w:keepNext/>
        <w:rPr>
          <w:noProof/>
        </w:rPr>
      </w:pPr>
      <w:r w:rsidRPr="00557C2A">
        <w:rPr>
          <w:noProof/>
        </w:rPr>
        <w:t>FINANCIEEL EN DIGITAAL MEMORANDUM</w:t>
      </w:r>
    </w:p>
    <w:p w14:paraId="5D4CB265" w14:textId="77777777" w:rsidR="0051718E" w:rsidRPr="00557C2A" w:rsidRDefault="0051718E" w:rsidP="0051718E">
      <w:pPr>
        <w:pStyle w:val="TOC1"/>
        <w:rPr>
          <w:rFonts w:asciiTheme="minorHAnsi" w:eastAsiaTheme="minorEastAsia" w:hAnsiTheme="minorHAnsi" w:cstheme="minorBidi"/>
          <w:noProof/>
          <w:kern w:val="2"/>
          <w:sz w:val="22"/>
          <w14:ligatures w14:val="standardContextual"/>
        </w:rPr>
      </w:pPr>
      <w:r w:rsidRPr="00557C2A">
        <w:rPr>
          <w:noProof/>
        </w:rPr>
        <w:t>1.</w:t>
      </w:r>
      <w:r w:rsidRPr="00557C2A">
        <w:rPr>
          <w:noProof/>
        </w:rPr>
        <w:tab/>
        <w:t>KADER VAN HET VOORSTEL/INITIATIEF</w:t>
      </w:r>
      <w:r w:rsidRPr="00557C2A">
        <w:rPr>
          <w:noProof/>
        </w:rPr>
        <w:tab/>
      </w:r>
      <w:r w:rsidRPr="00557C2A">
        <w:rPr>
          <w:noProof/>
          <w:webHidden/>
        </w:rPr>
        <w:t>3</w:t>
      </w:r>
    </w:p>
    <w:p w14:paraId="6264BE22" w14:textId="77777777" w:rsidR="0051718E" w:rsidRPr="00557C2A" w:rsidRDefault="0051718E" w:rsidP="0051718E">
      <w:pPr>
        <w:pStyle w:val="TOC2"/>
        <w:rPr>
          <w:rFonts w:asciiTheme="minorHAnsi" w:eastAsiaTheme="minorEastAsia" w:hAnsiTheme="minorHAnsi" w:cstheme="minorBidi"/>
          <w:noProof/>
          <w:kern w:val="2"/>
          <w:sz w:val="22"/>
          <w14:ligatures w14:val="standardContextual"/>
        </w:rPr>
      </w:pPr>
      <w:r w:rsidRPr="00557C2A">
        <w:rPr>
          <w:noProof/>
        </w:rPr>
        <w:t>1.1.</w:t>
      </w:r>
      <w:r w:rsidRPr="00557C2A">
        <w:rPr>
          <w:noProof/>
        </w:rPr>
        <w:tab/>
        <w:t>Benaming van het voorstel/initiatief</w:t>
      </w:r>
      <w:r w:rsidRPr="00557C2A">
        <w:rPr>
          <w:noProof/>
        </w:rPr>
        <w:tab/>
      </w:r>
      <w:r w:rsidRPr="00557C2A">
        <w:rPr>
          <w:noProof/>
          <w:webHidden/>
        </w:rPr>
        <w:t>3</w:t>
      </w:r>
    </w:p>
    <w:p w14:paraId="4DDEF857" w14:textId="77777777" w:rsidR="0051718E" w:rsidRPr="00557C2A" w:rsidRDefault="0051718E" w:rsidP="0051718E">
      <w:pPr>
        <w:pStyle w:val="TOC2"/>
        <w:rPr>
          <w:rFonts w:asciiTheme="minorHAnsi" w:eastAsiaTheme="minorEastAsia" w:hAnsiTheme="minorHAnsi" w:cstheme="minorBidi"/>
          <w:noProof/>
          <w:kern w:val="2"/>
          <w:sz w:val="22"/>
          <w14:ligatures w14:val="standardContextual"/>
        </w:rPr>
      </w:pPr>
      <w:r w:rsidRPr="00557C2A">
        <w:rPr>
          <w:noProof/>
        </w:rPr>
        <w:t>1.2.</w:t>
      </w:r>
      <w:r w:rsidRPr="00557C2A">
        <w:rPr>
          <w:noProof/>
        </w:rPr>
        <w:tab/>
        <w:t>Betrokken beleidsterreinen</w:t>
      </w:r>
      <w:r w:rsidRPr="00557C2A">
        <w:rPr>
          <w:noProof/>
        </w:rPr>
        <w:tab/>
      </w:r>
      <w:r w:rsidRPr="00557C2A">
        <w:rPr>
          <w:noProof/>
          <w:webHidden/>
        </w:rPr>
        <w:t>3</w:t>
      </w:r>
    </w:p>
    <w:p w14:paraId="7DEA0136" w14:textId="77777777" w:rsidR="0051718E" w:rsidRPr="00557C2A" w:rsidRDefault="0051718E" w:rsidP="0051718E">
      <w:pPr>
        <w:pStyle w:val="TOC2"/>
        <w:rPr>
          <w:rFonts w:asciiTheme="minorHAnsi" w:eastAsiaTheme="minorEastAsia" w:hAnsiTheme="minorHAnsi" w:cstheme="minorBidi"/>
          <w:noProof/>
          <w:kern w:val="2"/>
          <w:sz w:val="22"/>
          <w14:ligatures w14:val="standardContextual"/>
        </w:rPr>
      </w:pPr>
      <w:r w:rsidRPr="00557C2A">
        <w:rPr>
          <w:noProof/>
        </w:rPr>
        <w:t>1.3.</w:t>
      </w:r>
      <w:r w:rsidRPr="00557C2A">
        <w:rPr>
          <w:noProof/>
        </w:rPr>
        <w:tab/>
        <w:t>Doelstellingen</w:t>
      </w:r>
      <w:r w:rsidRPr="00557C2A">
        <w:rPr>
          <w:noProof/>
        </w:rPr>
        <w:tab/>
      </w:r>
      <w:r w:rsidRPr="00557C2A">
        <w:rPr>
          <w:noProof/>
          <w:webHidden/>
        </w:rPr>
        <w:t>3</w:t>
      </w:r>
    </w:p>
    <w:p w14:paraId="153D6C21" w14:textId="77777777" w:rsidR="0051718E" w:rsidRPr="00557C2A" w:rsidRDefault="0051718E" w:rsidP="0051718E">
      <w:pPr>
        <w:pStyle w:val="TOC3"/>
        <w:rPr>
          <w:rFonts w:asciiTheme="minorHAnsi" w:eastAsiaTheme="minorEastAsia" w:hAnsiTheme="minorHAnsi" w:cstheme="minorBidi"/>
          <w:noProof/>
          <w:kern w:val="2"/>
          <w:sz w:val="22"/>
          <w14:ligatures w14:val="standardContextual"/>
        </w:rPr>
      </w:pPr>
      <w:r w:rsidRPr="00557C2A">
        <w:rPr>
          <w:noProof/>
        </w:rPr>
        <w:t>1.3.1.</w:t>
      </w:r>
      <w:r w:rsidRPr="00557C2A">
        <w:rPr>
          <w:noProof/>
        </w:rPr>
        <w:tab/>
        <w:t>Algemene doelstellingen</w:t>
      </w:r>
      <w:r w:rsidRPr="00557C2A">
        <w:rPr>
          <w:noProof/>
        </w:rPr>
        <w:tab/>
      </w:r>
      <w:r w:rsidRPr="00557C2A">
        <w:rPr>
          <w:noProof/>
          <w:webHidden/>
        </w:rPr>
        <w:t>3</w:t>
      </w:r>
    </w:p>
    <w:p w14:paraId="7069FD09" w14:textId="77777777" w:rsidR="0051718E" w:rsidRPr="00557C2A" w:rsidRDefault="0051718E" w:rsidP="0051718E">
      <w:pPr>
        <w:pStyle w:val="TOC3"/>
        <w:rPr>
          <w:rFonts w:asciiTheme="minorHAnsi" w:eastAsiaTheme="minorEastAsia" w:hAnsiTheme="minorHAnsi" w:cstheme="minorBidi"/>
          <w:noProof/>
          <w:kern w:val="2"/>
          <w:sz w:val="22"/>
          <w14:ligatures w14:val="standardContextual"/>
        </w:rPr>
      </w:pPr>
      <w:r w:rsidRPr="00557C2A">
        <w:rPr>
          <w:noProof/>
        </w:rPr>
        <w:t>1.3.2.</w:t>
      </w:r>
      <w:r w:rsidRPr="00557C2A">
        <w:rPr>
          <w:noProof/>
        </w:rPr>
        <w:tab/>
        <w:t>Specifieke doelstellingen</w:t>
      </w:r>
      <w:r w:rsidRPr="00557C2A">
        <w:rPr>
          <w:noProof/>
        </w:rPr>
        <w:tab/>
      </w:r>
      <w:r w:rsidRPr="00557C2A">
        <w:rPr>
          <w:noProof/>
          <w:webHidden/>
        </w:rPr>
        <w:t>3</w:t>
      </w:r>
    </w:p>
    <w:p w14:paraId="2D1D3450" w14:textId="77777777" w:rsidR="0051718E" w:rsidRPr="00557C2A" w:rsidRDefault="0051718E" w:rsidP="0051718E">
      <w:pPr>
        <w:pStyle w:val="TOC3"/>
        <w:rPr>
          <w:rFonts w:asciiTheme="minorHAnsi" w:eastAsiaTheme="minorEastAsia" w:hAnsiTheme="minorHAnsi" w:cstheme="minorBidi"/>
          <w:noProof/>
          <w:kern w:val="2"/>
          <w:sz w:val="22"/>
          <w14:ligatures w14:val="standardContextual"/>
        </w:rPr>
      </w:pPr>
      <w:r w:rsidRPr="00557C2A">
        <w:rPr>
          <w:noProof/>
        </w:rPr>
        <w:t>1.3.3.</w:t>
      </w:r>
      <w:r w:rsidRPr="00557C2A">
        <w:rPr>
          <w:noProof/>
        </w:rPr>
        <w:tab/>
        <w:t>Verwachte resultaten en gevolgen</w:t>
      </w:r>
      <w:r w:rsidRPr="00557C2A">
        <w:rPr>
          <w:noProof/>
        </w:rPr>
        <w:tab/>
      </w:r>
      <w:r w:rsidRPr="00557C2A">
        <w:rPr>
          <w:noProof/>
          <w:webHidden/>
        </w:rPr>
        <w:t>3</w:t>
      </w:r>
    </w:p>
    <w:p w14:paraId="546CA638" w14:textId="77777777" w:rsidR="0051718E" w:rsidRPr="00557C2A" w:rsidRDefault="0051718E" w:rsidP="0051718E">
      <w:pPr>
        <w:pStyle w:val="TOC3"/>
        <w:rPr>
          <w:rFonts w:asciiTheme="minorHAnsi" w:eastAsiaTheme="minorEastAsia" w:hAnsiTheme="minorHAnsi" w:cstheme="minorBidi"/>
          <w:noProof/>
          <w:kern w:val="2"/>
          <w:sz w:val="22"/>
          <w14:ligatures w14:val="standardContextual"/>
        </w:rPr>
      </w:pPr>
      <w:r w:rsidRPr="00557C2A">
        <w:rPr>
          <w:noProof/>
        </w:rPr>
        <w:t>1.3.4.</w:t>
      </w:r>
      <w:r w:rsidRPr="00557C2A">
        <w:rPr>
          <w:noProof/>
        </w:rPr>
        <w:tab/>
        <w:t>Prestatie-indicatoren</w:t>
      </w:r>
      <w:r w:rsidRPr="00557C2A">
        <w:rPr>
          <w:noProof/>
        </w:rPr>
        <w:tab/>
      </w:r>
      <w:r w:rsidRPr="00557C2A">
        <w:rPr>
          <w:noProof/>
          <w:webHidden/>
        </w:rPr>
        <w:t>3</w:t>
      </w:r>
    </w:p>
    <w:p w14:paraId="6731A548" w14:textId="77777777" w:rsidR="0051718E" w:rsidRPr="00557C2A" w:rsidRDefault="0051718E" w:rsidP="0051718E">
      <w:pPr>
        <w:pStyle w:val="TOC2"/>
        <w:rPr>
          <w:rFonts w:asciiTheme="minorHAnsi" w:eastAsiaTheme="minorEastAsia" w:hAnsiTheme="minorHAnsi" w:cstheme="minorBidi"/>
          <w:noProof/>
          <w:kern w:val="2"/>
          <w:sz w:val="22"/>
          <w14:ligatures w14:val="standardContextual"/>
        </w:rPr>
      </w:pPr>
      <w:r w:rsidRPr="00557C2A">
        <w:rPr>
          <w:noProof/>
        </w:rPr>
        <w:t>1.4.</w:t>
      </w:r>
      <w:r w:rsidRPr="00557C2A">
        <w:rPr>
          <w:noProof/>
        </w:rPr>
        <w:tab/>
        <w:t>Het voorstel/initiatief betreft:</w:t>
      </w:r>
      <w:r w:rsidRPr="00557C2A">
        <w:rPr>
          <w:noProof/>
        </w:rPr>
        <w:tab/>
      </w:r>
      <w:r w:rsidRPr="00557C2A">
        <w:rPr>
          <w:noProof/>
          <w:webHidden/>
        </w:rPr>
        <w:t>4</w:t>
      </w:r>
    </w:p>
    <w:p w14:paraId="769EAD6B" w14:textId="77777777" w:rsidR="0051718E" w:rsidRPr="00557C2A" w:rsidRDefault="0051718E" w:rsidP="0051718E">
      <w:pPr>
        <w:pStyle w:val="TOC2"/>
        <w:rPr>
          <w:rFonts w:asciiTheme="minorHAnsi" w:eastAsiaTheme="minorEastAsia" w:hAnsiTheme="minorHAnsi" w:cstheme="minorBidi"/>
          <w:noProof/>
          <w:kern w:val="2"/>
          <w:sz w:val="22"/>
          <w14:ligatures w14:val="standardContextual"/>
        </w:rPr>
      </w:pPr>
      <w:r w:rsidRPr="00557C2A">
        <w:rPr>
          <w:noProof/>
        </w:rPr>
        <w:t>1.5.</w:t>
      </w:r>
      <w:r w:rsidRPr="00557C2A">
        <w:rPr>
          <w:noProof/>
        </w:rPr>
        <w:tab/>
        <w:t>Motivering van het voorstel/initiatief</w:t>
      </w:r>
      <w:r w:rsidRPr="00557C2A">
        <w:rPr>
          <w:noProof/>
        </w:rPr>
        <w:tab/>
      </w:r>
      <w:r w:rsidRPr="00557C2A">
        <w:rPr>
          <w:noProof/>
          <w:webHidden/>
        </w:rPr>
        <w:t>4</w:t>
      </w:r>
    </w:p>
    <w:p w14:paraId="406FE226" w14:textId="77777777" w:rsidR="0051718E" w:rsidRPr="00557C2A" w:rsidRDefault="0051718E" w:rsidP="0051718E">
      <w:pPr>
        <w:pStyle w:val="TOC3"/>
        <w:rPr>
          <w:rFonts w:asciiTheme="minorHAnsi" w:eastAsiaTheme="minorEastAsia" w:hAnsiTheme="minorHAnsi" w:cstheme="minorBidi"/>
          <w:noProof/>
          <w:kern w:val="2"/>
          <w:sz w:val="22"/>
          <w14:ligatures w14:val="standardContextual"/>
        </w:rPr>
      </w:pPr>
      <w:r w:rsidRPr="00557C2A">
        <w:rPr>
          <w:noProof/>
        </w:rPr>
        <w:t>1.5.1.</w:t>
      </w:r>
      <w:r w:rsidRPr="00557C2A">
        <w:rPr>
          <w:noProof/>
        </w:rPr>
        <w:tab/>
        <w:t>Behoeften waarin op korte of lange termijn moet worden voorzien, met een gedetailleerd tijdschema voor de uitrol van het initiatief</w:t>
      </w:r>
      <w:r w:rsidRPr="00557C2A">
        <w:rPr>
          <w:noProof/>
        </w:rPr>
        <w:tab/>
      </w:r>
      <w:r w:rsidRPr="00557C2A">
        <w:rPr>
          <w:noProof/>
          <w:webHidden/>
        </w:rPr>
        <w:t>4</w:t>
      </w:r>
    </w:p>
    <w:p w14:paraId="1F43A472" w14:textId="77777777" w:rsidR="0051718E" w:rsidRPr="00557C2A" w:rsidRDefault="0051718E" w:rsidP="0051718E">
      <w:pPr>
        <w:pStyle w:val="TOC3"/>
        <w:rPr>
          <w:rFonts w:asciiTheme="minorHAnsi" w:eastAsiaTheme="minorEastAsia" w:hAnsiTheme="minorHAnsi" w:cstheme="minorBidi"/>
          <w:noProof/>
          <w:kern w:val="2"/>
          <w:sz w:val="22"/>
          <w14:ligatures w14:val="standardContextual"/>
        </w:rPr>
      </w:pPr>
      <w:r w:rsidRPr="00557C2A">
        <w:rPr>
          <w:noProof/>
        </w:rPr>
        <w:t>1.5.2.</w:t>
      </w:r>
      <w:r w:rsidRPr="00557C2A">
        <w:rPr>
          <w:noProof/>
        </w:rPr>
        <w:tab/>
        <w:t>Meerwaarde van het optreden van de EU (deze kan het resultaat zijn van verschillende factoren, bijvoorbeeld coördinatiewinst, rechtszekerheid, grotere doeltreffendheid of complementariteit). Voor de toepassing van dit punt wordt onder “meerwaarde van het optreden van de EU” verstaan de waarde die het optreden van de Unie oplevert bovenop de waarde die door een optreden van alleen de lidstaten zou zijn gecreëerd.</w:t>
      </w:r>
      <w:r w:rsidRPr="00557C2A">
        <w:rPr>
          <w:noProof/>
        </w:rPr>
        <w:tab/>
      </w:r>
      <w:r w:rsidRPr="00557C2A">
        <w:rPr>
          <w:noProof/>
          <w:webHidden/>
        </w:rPr>
        <w:t>4</w:t>
      </w:r>
    </w:p>
    <w:p w14:paraId="01087EB0" w14:textId="77777777" w:rsidR="0051718E" w:rsidRPr="00557C2A" w:rsidRDefault="0051718E" w:rsidP="0051718E">
      <w:pPr>
        <w:pStyle w:val="TOC3"/>
        <w:rPr>
          <w:rFonts w:asciiTheme="minorHAnsi" w:eastAsiaTheme="minorEastAsia" w:hAnsiTheme="minorHAnsi" w:cstheme="minorBidi"/>
          <w:noProof/>
          <w:kern w:val="2"/>
          <w:sz w:val="22"/>
          <w14:ligatures w14:val="standardContextual"/>
        </w:rPr>
      </w:pPr>
      <w:r w:rsidRPr="00557C2A">
        <w:rPr>
          <w:noProof/>
        </w:rPr>
        <w:t>1.5.3.</w:t>
      </w:r>
      <w:r w:rsidRPr="00557C2A">
        <w:rPr>
          <w:noProof/>
        </w:rPr>
        <w:tab/>
        <w:t>Nuttige ervaring die bij soortgelijke activiteiten in het verleden is opgedaan</w:t>
      </w:r>
      <w:r w:rsidRPr="00557C2A">
        <w:rPr>
          <w:noProof/>
        </w:rPr>
        <w:tab/>
      </w:r>
      <w:r w:rsidRPr="00557C2A">
        <w:rPr>
          <w:noProof/>
          <w:webHidden/>
        </w:rPr>
        <w:t>4</w:t>
      </w:r>
    </w:p>
    <w:p w14:paraId="3DF0CE2D" w14:textId="77777777" w:rsidR="0051718E" w:rsidRPr="00557C2A" w:rsidRDefault="0051718E" w:rsidP="0051718E">
      <w:pPr>
        <w:pStyle w:val="TOC3"/>
        <w:rPr>
          <w:rFonts w:asciiTheme="minorHAnsi" w:eastAsiaTheme="minorEastAsia" w:hAnsiTheme="minorHAnsi" w:cstheme="minorBidi"/>
          <w:noProof/>
          <w:kern w:val="2"/>
          <w:sz w:val="22"/>
          <w14:ligatures w14:val="standardContextual"/>
        </w:rPr>
      </w:pPr>
      <w:r w:rsidRPr="00557C2A">
        <w:rPr>
          <w:noProof/>
        </w:rPr>
        <w:t>1.5.4.</w:t>
      </w:r>
      <w:r w:rsidRPr="00557C2A">
        <w:rPr>
          <w:noProof/>
        </w:rPr>
        <w:tab/>
        <w:t>Verenigbaarheid met het meerjarig financieel kader en eventuele synergie met andere passende instrumenten</w:t>
      </w:r>
      <w:r w:rsidRPr="00557C2A">
        <w:rPr>
          <w:noProof/>
        </w:rPr>
        <w:tab/>
      </w:r>
      <w:r w:rsidRPr="00557C2A">
        <w:rPr>
          <w:noProof/>
          <w:webHidden/>
        </w:rPr>
        <w:t>5</w:t>
      </w:r>
    </w:p>
    <w:p w14:paraId="5A225C94" w14:textId="77777777" w:rsidR="0051718E" w:rsidRPr="00557C2A" w:rsidRDefault="0051718E" w:rsidP="0051718E">
      <w:pPr>
        <w:pStyle w:val="TOC3"/>
        <w:rPr>
          <w:rFonts w:asciiTheme="minorHAnsi" w:eastAsiaTheme="minorEastAsia" w:hAnsiTheme="minorHAnsi" w:cstheme="minorBidi"/>
          <w:noProof/>
          <w:kern w:val="2"/>
          <w:sz w:val="22"/>
          <w14:ligatures w14:val="standardContextual"/>
        </w:rPr>
      </w:pPr>
      <w:r w:rsidRPr="00557C2A">
        <w:rPr>
          <w:noProof/>
        </w:rPr>
        <w:t>1.5.5.</w:t>
      </w:r>
      <w:r w:rsidRPr="00557C2A">
        <w:rPr>
          <w:noProof/>
        </w:rPr>
        <w:tab/>
        <w:t>Beoordeling van de verschillende beschikbare financieringsopties, waaronder mogelijkheden voor herschikking</w:t>
      </w:r>
      <w:r w:rsidRPr="00557C2A">
        <w:rPr>
          <w:noProof/>
        </w:rPr>
        <w:tab/>
      </w:r>
      <w:r w:rsidRPr="00557C2A">
        <w:rPr>
          <w:noProof/>
          <w:webHidden/>
        </w:rPr>
        <w:t>5</w:t>
      </w:r>
    </w:p>
    <w:p w14:paraId="734682F6" w14:textId="77777777" w:rsidR="0051718E" w:rsidRPr="00557C2A" w:rsidRDefault="0051718E" w:rsidP="0051718E">
      <w:pPr>
        <w:pStyle w:val="TOC2"/>
        <w:rPr>
          <w:rFonts w:asciiTheme="minorHAnsi" w:eastAsiaTheme="minorEastAsia" w:hAnsiTheme="minorHAnsi" w:cstheme="minorBidi"/>
          <w:noProof/>
          <w:kern w:val="2"/>
          <w:sz w:val="22"/>
          <w14:ligatures w14:val="standardContextual"/>
        </w:rPr>
      </w:pPr>
      <w:r w:rsidRPr="00557C2A">
        <w:rPr>
          <w:noProof/>
        </w:rPr>
        <w:t>1.6.</w:t>
      </w:r>
      <w:r w:rsidRPr="00557C2A">
        <w:rPr>
          <w:noProof/>
        </w:rPr>
        <w:tab/>
        <w:t>Duur van het voorstel/initiatief en van de financiële gevolgen ervan</w:t>
      </w:r>
      <w:r w:rsidRPr="00557C2A">
        <w:rPr>
          <w:noProof/>
        </w:rPr>
        <w:tab/>
      </w:r>
      <w:r w:rsidRPr="00557C2A">
        <w:rPr>
          <w:noProof/>
          <w:webHidden/>
        </w:rPr>
        <w:t>6</w:t>
      </w:r>
    </w:p>
    <w:p w14:paraId="731B1877" w14:textId="77777777" w:rsidR="0051718E" w:rsidRPr="00557C2A" w:rsidRDefault="0051718E" w:rsidP="0051718E">
      <w:pPr>
        <w:pStyle w:val="TOC2"/>
        <w:rPr>
          <w:rFonts w:asciiTheme="minorHAnsi" w:eastAsiaTheme="minorEastAsia" w:hAnsiTheme="minorHAnsi" w:cstheme="minorBidi"/>
          <w:noProof/>
          <w:kern w:val="2"/>
          <w:sz w:val="22"/>
          <w14:ligatures w14:val="standardContextual"/>
        </w:rPr>
      </w:pPr>
      <w:r w:rsidRPr="00557C2A">
        <w:rPr>
          <w:noProof/>
        </w:rPr>
        <w:t>1.7.</w:t>
      </w:r>
      <w:r w:rsidRPr="00557C2A">
        <w:rPr>
          <w:noProof/>
        </w:rPr>
        <w:tab/>
        <w:t>Wijzen van uitvoering van de begroting</w:t>
      </w:r>
      <w:r w:rsidRPr="00557C2A">
        <w:rPr>
          <w:noProof/>
        </w:rPr>
        <w:tab/>
      </w:r>
      <w:r w:rsidRPr="00557C2A">
        <w:rPr>
          <w:noProof/>
          <w:webHidden/>
        </w:rPr>
        <w:t>6</w:t>
      </w:r>
    </w:p>
    <w:p w14:paraId="71868C3B" w14:textId="77777777" w:rsidR="0051718E" w:rsidRPr="00557C2A" w:rsidRDefault="0051718E" w:rsidP="0051718E">
      <w:pPr>
        <w:pStyle w:val="TOC1"/>
        <w:rPr>
          <w:rFonts w:asciiTheme="minorHAnsi" w:eastAsiaTheme="minorEastAsia" w:hAnsiTheme="minorHAnsi" w:cstheme="minorBidi"/>
          <w:noProof/>
          <w:kern w:val="2"/>
          <w:sz w:val="22"/>
          <w14:ligatures w14:val="standardContextual"/>
        </w:rPr>
      </w:pPr>
      <w:r w:rsidRPr="00557C2A">
        <w:rPr>
          <w:noProof/>
        </w:rPr>
        <w:t>2.</w:t>
      </w:r>
      <w:r w:rsidRPr="00557C2A">
        <w:rPr>
          <w:noProof/>
        </w:rPr>
        <w:tab/>
        <w:t>BEHEERSMAATREGELEN</w:t>
      </w:r>
      <w:r w:rsidRPr="00557C2A">
        <w:rPr>
          <w:noProof/>
        </w:rPr>
        <w:tab/>
      </w:r>
      <w:r w:rsidRPr="00557C2A">
        <w:rPr>
          <w:noProof/>
          <w:webHidden/>
        </w:rPr>
        <w:t>8</w:t>
      </w:r>
    </w:p>
    <w:p w14:paraId="51BEAF24" w14:textId="77777777" w:rsidR="0051718E" w:rsidRPr="00557C2A" w:rsidRDefault="0051718E" w:rsidP="0051718E">
      <w:pPr>
        <w:pStyle w:val="TOC2"/>
        <w:rPr>
          <w:rFonts w:asciiTheme="minorHAnsi" w:eastAsiaTheme="minorEastAsia" w:hAnsiTheme="minorHAnsi" w:cstheme="minorBidi"/>
          <w:noProof/>
          <w:kern w:val="2"/>
          <w:sz w:val="22"/>
          <w14:ligatures w14:val="standardContextual"/>
        </w:rPr>
      </w:pPr>
      <w:r w:rsidRPr="00557C2A">
        <w:rPr>
          <w:noProof/>
        </w:rPr>
        <w:t>2.1.</w:t>
      </w:r>
      <w:r w:rsidRPr="00557C2A">
        <w:rPr>
          <w:noProof/>
        </w:rPr>
        <w:tab/>
        <w:t>Regels inzake het toezicht en de verslagen</w:t>
      </w:r>
      <w:r w:rsidRPr="00557C2A">
        <w:rPr>
          <w:noProof/>
        </w:rPr>
        <w:tab/>
      </w:r>
      <w:r w:rsidRPr="00557C2A">
        <w:rPr>
          <w:noProof/>
          <w:webHidden/>
        </w:rPr>
        <w:t>8</w:t>
      </w:r>
    </w:p>
    <w:p w14:paraId="1B51CDB9" w14:textId="77777777" w:rsidR="0051718E" w:rsidRPr="00557C2A" w:rsidRDefault="0051718E" w:rsidP="0051718E">
      <w:pPr>
        <w:pStyle w:val="TOC2"/>
        <w:rPr>
          <w:rFonts w:asciiTheme="minorHAnsi" w:eastAsiaTheme="minorEastAsia" w:hAnsiTheme="minorHAnsi" w:cstheme="minorBidi"/>
          <w:noProof/>
          <w:kern w:val="2"/>
          <w:sz w:val="22"/>
          <w14:ligatures w14:val="standardContextual"/>
        </w:rPr>
      </w:pPr>
      <w:r w:rsidRPr="00557C2A">
        <w:rPr>
          <w:noProof/>
        </w:rPr>
        <w:t>2.2.</w:t>
      </w:r>
      <w:r w:rsidRPr="00557C2A">
        <w:rPr>
          <w:noProof/>
        </w:rPr>
        <w:tab/>
        <w:t>Beheers- en controlesystemen</w:t>
      </w:r>
      <w:r w:rsidRPr="00557C2A">
        <w:rPr>
          <w:noProof/>
        </w:rPr>
        <w:tab/>
      </w:r>
      <w:r w:rsidRPr="00557C2A">
        <w:rPr>
          <w:noProof/>
          <w:webHidden/>
        </w:rPr>
        <w:t>8</w:t>
      </w:r>
    </w:p>
    <w:p w14:paraId="2C4DFD49" w14:textId="77777777" w:rsidR="0051718E" w:rsidRPr="00557C2A" w:rsidRDefault="0051718E" w:rsidP="0051718E">
      <w:pPr>
        <w:pStyle w:val="TOC3"/>
        <w:rPr>
          <w:rFonts w:asciiTheme="minorHAnsi" w:eastAsiaTheme="minorEastAsia" w:hAnsiTheme="minorHAnsi" w:cstheme="minorBidi"/>
          <w:noProof/>
          <w:kern w:val="2"/>
          <w:sz w:val="22"/>
          <w14:ligatures w14:val="standardContextual"/>
        </w:rPr>
      </w:pPr>
      <w:r w:rsidRPr="00557C2A">
        <w:rPr>
          <w:noProof/>
        </w:rPr>
        <w:t>2.2.1.</w:t>
      </w:r>
      <w:r w:rsidRPr="00557C2A">
        <w:rPr>
          <w:noProof/>
        </w:rPr>
        <w:tab/>
        <w:t>Rechtvaardiging van de voorgestelde wijzen van uitvoering van de begroting, uitvoeringsmechanismen voor financiering, betalingsvoorwaarden en controlestrategie</w:t>
      </w:r>
      <w:r w:rsidRPr="00557C2A">
        <w:rPr>
          <w:noProof/>
        </w:rPr>
        <w:tab/>
      </w:r>
      <w:r w:rsidRPr="00557C2A">
        <w:rPr>
          <w:noProof/>
          <w:webHidden/>
        </w:rPr>
        <w:t>8</w:t>
      </w:r>
    </w:p>
    <w:p w14:paraId="46FAB382" w14:textId="77777777" w:rsidR="0051718E" w:rsidRPr="00557C2A" w:rsidRDefault="0051718E" w:rsidP="0051718E">
      <w:pPr>
        <w:pStyle w:val="TOC3"/>
        <w:rPr>
          <w:rFonts w:asciiTheme="minorHAnsi" w:eastAsiaTheme="minorEastAsia" w:hAnsiTheme="minorHAnsi" w:cstheme="minorBidi"/>
          <w:noProof/>
          <w:kern w:val="2"/>
          <w:sz w:val="22"/>
          <w14:ligatures w14:val="standardContextual"/>
        </w:rPr>
      </w:pPr>
      <w:r w:rsidRPr="00557C2A">
        <w:rPr>
          <w:noProof/>
        </w:rPr>
        <w:t>2.2.2.</w:t>
      </w:r>
      <w:r w:rsidRPr="00557C2A">
        <w:rPr>
          <w:noProof/>
        </w:rPr>
        <w:tab/>
        <w:t>Informatie over de vastgestelde risico’s en het systeem of de systemen voor interne controle die zijn opgezet om die risico’s te beperken</w:t>
      </w:r>
      <w:r w:rsidRPr="00557C2A">
        <w:rPr>
          <w:noProof/>
        </w:rPr>
        <w:tab/>
      </w:r>
      <w:r w:rsidRPr="00557C2A">
        <w:rPr>
          <w:noProof/>
          <w:webHidden/>
        </w:rPr>
        <w:t>8</w:t>
      </w:r>
    </w:p>
    <w:p w14:paraId="1AC561D6" w14:textId="77777777" w:rsidR="0051718E" w:rsidRPr="00557C2A" w:rsidRDefault="0051718E" w:rsidP="0051718E">
      <w:pPr>
        <w:pStyle w:val="TOC3"/>
        <w:rPr>
          <w:rFonts w:asciiTheme="minorHAnsi" w:eastAsiaTheme="minorEastAsia" w:hAnsiTheme="minorHAnsi" w:cstheme="minorBidi"/>
          <w:noProof/>
          <w:kern w:val="2"/>
          <w:sz w:val="22"/>
          <w14:ligatures w14:val="standardContextual"/>
        </w:rPr>
      </w:pPr>
      <w:r w:rsidRPr="00557C2A">
        <w:rPr>
          <w:noProof/>
        </w:rPr>
        <w:t>2.2.3.</w:t>
      </w:r>
      <w:r w:rsidRPr="00557C2A">
        <w:rPr>
          <w:noProof/>
        </w:rPr>
        <w:tab/>
        <w:t>Raming en motivering van de kosteneffectiviteit van de controles (verhouding tussen de controlekosten en de waarde van de desbetreffende financiële middelen) en evaluatie van het verwachte foutenrisico (bij betaling en bij afsluiting)</w:t>
      </w:r>
      <w:r w:rsidRPr="00557C2A">
        <w:rPr>
          <w:noProof/>
        </w:rPr>
        <w:tab/>
      </w:r>
      <w:r w:rsidRPr="00557C2A">
        <w:rPr>
          <w:noProof/>
          <w:webHidden/>
        </w:rPr>
        <w:t>8</w:t>
      </w:r>
    </w:p>
    <w:p w14:paraId="21471FE4" w14:textId="77777777" w:rsidR="0051718E" w:rsidRPr="00557C2A" w:rsidRDefault="0051718E" w:rsidP="0051718E">
      <w:pPr>
        <w:pStyle w:val="TOC2"/>
        <w:rPr>
          <w:rFonts w:asciiTheme="minorHAnsi" w:eastAsiaTheme="minorEastAsia" w:hAnsiTheme="minorHAnsi" w:cstheme="minorBidi"/>
          <w:noProof/>
          <w:kern w:val="2"/>
          <w:sz w:val="22"/>
          <w14:ligatures w14:val="standardContextual"/>
        </w:rPr>
      </w:pPr>
      <w:r w:rsidRPr="00557C2A">
        <w:rPr>
          <w:noProof/>
        </w:rPr>
        <w:t>2.3.</w:t>
      </w:r>
      <w:r w:rsidRPr="00557C2A">
        <w:rPr>
          <w:noProof/>
        </w:rPr>
        <w:tab/>
        <w:t>Maatregelen ter voorkoming van fraude en onregelmatigheden</w:t>
      </w:r>
      <w:r w:rsidRPr="00557C2A">
        <w:rPr>
          <w:noProof/>
        </w:rPr>
        <w:tab/>
      </w:r>
      <w:r w:rsidRPr="00557C2A">
        <w:rPr>
          <w:noProof/>
          <w:webHidden/>
        </w:rPr>
        <w:t>9</w:t>
      </w:r>
    </w:p>
    <w:p w14:paraId="409F3CCE" w14:textId="77777777" w:rsidR="0051718E" w:rsidRPr="00557C2A" w:rsidRDefault="0051718E" w:rsidP="0051718E">
      <w:pPr>
        <w:pStyle w:val="TOC1"/>
        <w:rPr>
          <w:rFonts w:asciiTheme="minorHAnsi" w:eastAsiaTheme="minorEastAsia" w:hAnsiTheme="minorHAnsi" w:cstheme="minorBidi"/>
          <w:noProof/>
          <w:kern w:val="2"/>
          <w:sz w:val="22"/>
          <w14:ligatures w14:val="standardContextual"/>
        </w:rPr>
      </w:pPr>
      <w:r w:rsidRPr="00557C2A">
        <w:rPr>
          <w:noProof/>
        </w:rPr>
        <w:t>3.</w:t>
      </w:r>
      <w:r w:rsidRPr="00557C2A">
        <w:rPr>
          <w:noProof/>
        </w:rPr>
        <w:tab/>
        <w:t>GERAAMDE FINANCIËLE GEVOLGEN VAN HET VOORSTEL/INITIATIEF</w:t>
      </w:r>
      <w:r w:rsidRPr="00557C2A">
        <w:rPr>
          <w:noProof/>
        </w:rPr>
        <w:tab/>
      </w:r>
      <w:r w:rsidRPr="00557C2A">
        <w:rPr>
          <w:noProof/>
          <w:webHidden/>
        </w:rPr>
        <w:t>10</w:t>
      </w:r>
    </w:p>
    <w:p w14:paraId="37EC6F8C" w14:textId="77777777" w:rsidR="0051718E" w:rsidRPr="00557C2A" w:rsidRDefault="0051718E" w:rsidP="0051718E">
      <w:pPr>
        <w:pStyle w:val="TOC2"/>
        <w:rPr>
          <w:rFonts w:asciiTheme="minorHAnsi" w:eastAsiaTheme="minorEastAsia" w:hAnsiTheme="minorHAnsi" w:cstheme="minorBidi"/>
          <w:noProof/>
          <w:kern w:val="2"/>
          <w:sz w:val="22"/>
          <w14:ligatures w14:val="standardContextual"/>
        </w:rPr>
      </w:pPr>
      <w:r w:rsidRPr="00557C2A">
        <w:rPr>
          <w:noProof/>
        </w:rPr>
        <w:t>3.1.</w:t>
      </w:r>
      <w:r w:rsidRPr="00557C2A">
        <w:rPr>
          <w:noProof/>
        </w:rPr>
        <w:tab/>
        <w:t>Rubrieken van het meerjarig financieel kader en betrokken begrotingsonderdelen voor uitgaven</w:t>
      </w:r>
      <w:r w:rsidRPr="00557C2A">
        <w:rPr>
          <w:noProof/>
        </w:rPr>
        <w:tab/>
      </w:r>
      <w:r w:rsidRPr="00557C2A">
        <w:rPr>
          <w:noProof/>
          <w:webHidden/>
        </w:rPr>
        <w:t>10</w:t>
      </w:r>
    </w:p>
    <w:p w14:paraId="048016FE" w14:textId="77777777" w:rsidR="0051718E" w:rsidRPr="00557C2A" w:rsidRDefault="0051718E" w:rsidP="0051718E">
      <w:pPr>
        <w:pStyle w:val="TOC2"/>
        <w:rPr>
          <w:rFonts w:asciiTheme="minorHAnsi" w:eastAsiaTheme="minorEastAsia" w:hAnsiTheme="minorHAnsi" w:cstheme="minorBidi"/>
          <w:noProof/>
          <w:kern w:val="2"/>
          <w:sz w:val="22"/>
          <w14:ligatures w14:val="standardContextual"/>
        </w:rPr>
      </w:pPr>
      <w:r w:rsidRPr="00557C2A">
        <w:rPr>
          <w:noProof/>
        </w:rPr>
        <w:t>3.2.</w:t>
      </w:r>
      <w:r w:rsidRPr="00557C2A">
        <w:rPr>
          <w:noProof/>
        </w:rPr>
        <w:tab/>
        <w:t>Geraamde financiële gevolgen van het voorstel inzake kredieten</w:t>
      </w:r>
      <w:r w:rsidRPr="00557C2A">
        <w:rPr>
          <w:noProof/>
        </w:rPr>
        <w:tab/>
      </w:r>
      <w:r w:rsidRPr="00557C2A">
        <w:rPr>
          <w:noProof/>
          <w:webHidden/>
        </w:rPr>
        <w:t>12</w:t>
      </w:r>
    </w:p>
    <w:p w14:paraId="40FECC8A" w14:textId="77777777" w:rsidR="0051718E" w:rsidRPr="00557C2A" w:rsidRDefault="0051718E" w:rsidP="0051718E">
      <w:pPr>
        <w:pStyle w:val="TOC3"/>
        <w:rPr>
          <w:rFonts w:asciiTheme="minorHAnsi" w:eastAsiaTheme="minorEastAsia" w:hAnsiTheme="minorHAnsi" w:cstheme="minorBidi"/>
          <w:noProof/>
          <w:kern w:val="2"/>
          <w:sz w:val="22"/>
          <w14:ligatures w14:val="standardContextual"/>
        </w:rPr>
      </w:pPr>
      <w:r w:rsidRPr="00557C2A">
        <w:rPr>
          <w:noProof/>
        </w:rPr>
        <w:t>3.2.1.</w:t>
      </w:r>
      <w:r w:rsidRPr="00557C2A">
        <w:rPr>
          <w:noProof/>
        </w:rPr>
        <w:tab/>
        <w:t>Samenvatting van de geraamde gevolgen voor de beleidskredieten</w:t>
      </w:r>
      <w:r w:rsidRPr="00557C2A">
        <w:rPr>
          <w:noProof/>
        </w:rPr>
        <w:tab/>
      </w:r>
      <w:r w:rsidRPr="00557C2A">
        <w:rPr>
          <w:noProof/>
          <w:webHidden/>
        </w:rPr>
        <w:t>12</w:t>
      </w:r>
    </w:p>
    <w:p w14:paraId="09F9A1CD" w14:textId="77777777" w:rsidR="0051718E" w:rsidRPr="00557C2A" w:rsidRDefault="0051718E" w:rsidP="0051718E">
      <w:pPr>
        <w:pStyle w:val="TOC3"/>
        <w:rPr>
          <w:rFonts w:asciiTheme="minorHAnsi" w:eastAsiaTheme="minorEastAsia" w:hAnsiTheme="minorHAnsi" w:cstheme="minorBidi"/>
          <w:noProof/>
          <w:kern w:val="2"/>
          <w:sz w:val="22"/>
          <w14:ligatures w14:val="standardContextual"/>
        </w:rPr>
      </w:pPr>
      <w:r w:rsidRPr="00557C2A">
        <w:rPr>
          <w:noProof/>
        </w:rPr>
        <w:t>3.2.1.1.</w:t>
      </w:r>
      <w:r w:rsidRPr="00557C2A">
        <w:rPr>
          <w:noProof/>
        </w:rPr>
        <w:tab/>
        <w:t>Kredieten uit goedgekeurde begroting</w:t>
      </w:r>
      <w:r w:rsidRPr="00557C2A">
        <w:rPr>
          <w:noProof/>
        </w:rPr>
        <w:tab/>
      </w:r>
      <w:r w:rsidRPr="00557C2A">
        <w:rPr>
          <w:noProof/>
          <w:webHidden/>
        </w:rPr>
        <w:t>12</w:t>
      </w:r>
    </w:p>
    <w:p w14:paraId="48C0FCE1" w14:textId="77777777" w:rsidR="0051718E" w:rsidRPr="00557C2A" w:rsidRDefault="0051718E" w:rsidP="0051718E">
      <w:pPr>
        <w:pStyle w:val="TOC3"/>
        <w:rPr>
          <w:rFonts w:asciiTheme="minorHAnsi" w:eastAsiaTheme="minorEastAsia" w:hAnsiTheme="minorHAnsi" w:cstheme="minorBidi"/>
          <w:noProof/>
          <w:kern w:val="2"/>
          <w:sz w:val="22"/>
          <w14:ligatures w14:val="standardContextual"/>
        </w:rPr>
      </w:pPr>
      <w:r w:rsidRPr="00557C2A">
        <w:rPr>
          <w:noProof/>
        </w:rPr>
        <w:t>3.2.1.2.</w:t>
      </w:r>
      <w:r w:rsidRPr="00557C2A">
        <w:rPr>
          <w:noProof/>
        </w:rPr>
        <w:tab/>
        <w:t>Kredieten uit externe bestemmingsontvangsten</w:t>
      </w:r>
      <w:r w:rsidRPr="00557C2A">
        <w:rPr>
          <w:noProof/>
        </w:rPr>
        <w:tab/>
      </w:r>
      <w:r w:rsidRPr="00557C2A">
        <w:rPr>
          <w:noProof/>
          <w:webHidden/>
        </w:rPr>
        <w:t>17</w:t>
      </w:r>
    </w:p>
    <w:p w14:paraId="2EB2218D" w14:textId="77777777" w:rsidR="0051718E" w:rsidRPr="00557C2A" w:rsidRDefault="0051718E" w:rsidP="0051718E">
      <w:pPr>
        <w:pStyle w:val="TOC3"/>
        <w:rPr>
          <w:rFonts w:asciiTheme="minorHAnsi" w:eastAsiaTheme="minorEastAsia" w:hAnsiTheme="minorHAnsi" w:cstheme="minorBidi"/>
          <w:noProof/>
          <w:kern w:val="2"/>
          <w:sz w:val="22"/>
          <w14:ligatures w14:val="standardContextual"/>
        </w:rPr>
      </w:pPr>
      <w:r w:rsidRPr="00557C2A">
        <w:rPr>
          <w:noProof/>
        </w:rPr>
        <w:t>3.2.2.</w:t>
      </w:r>
      <w:r w:rsidRPr="00557C2A">
        <w:rPr>
          <w:noProof/>
        </w:rPr>
        <w:tab/>
        <w:t>Geraamde output, gefinancierd uit beleidskredieten</w:t>
      </w:r>
      <w:r w:rsidRPr="00557C2A">
        <w:rPr>
          <w:noProof/>
        </w:rPr>
        <w:tab/>
      </w:r>
      <w:r w:rsidRPr="00557C2A">
        <w:rPr>
          <w:noProof/>
          <w:webHidden/>
        </w:rPr>
        <w:t>22</w:t>
      </w:r>
    </w:p>
    <w:p w14:paraId="02BDE196" w14:textId="77777777" w:rsidR="0051718E" w:rsidRPr="00557C2A" w:rsidRDefault="0051718E" w:rsidP="0051718E">
      <w:pPr>
        <w:pStyle w:val="TOC3"/>
        <w:rPr>
          <w:rFonts w:asciiTheme="minorHAnsi" w:eastAsiaTheme="minorEastAsia" w:hAnsiTheme="minorHAnsi" w:cstheme="minorBidi"/>
          <w:noProof/>
          <w:kern w:val="2"/>
          <w:sz w:val="22"/>
          <w14:ligatures w14:val="standardContextual"/>
        </w:rPr>
      </w:pPr>
      <w:r w:rsidRPr="00557C2A">
        <w:rPr>
          <w:noProof/>
        </w:rPr>
        <w:t>3.2.3.</w:t>
      </w:r>
      <w:r w:rsidRPr="00557C2A">
        <w:rPr>
          <w:noProof/>
        </w:rPr>
        <w:tab/>
        <w:t>Samenvatting van de geraamde gevolgen voor de administratieve kredieten</w:t>
      </w:r>
      <w:r w:rsidRPr="00557C2A">
        <w:rPr>
          <w:noProof/>
        </w:rPr>
        <w:tab/>
      </w:r>
      <w:r w:rsidRPr="00557C2A">
        <w:rPr>
          <w:noProof/>
          <w:webHidden/>
        </w:rPr>
        <w:t>24</w:t>
      </w:r>
    </w:p>
    <w:p w14:paraId="4983F648" w14:textId="77777777" w:rsidR="0051718E" w:rsidRPr="00557C2A" w:rsidRDefault="0051718E" w:rsidP="0051718E">
      <w:pPr>
        <w:pStyle w:val="TOC3"/>
        <w:rPr>
          <w:rFonts w:asciiTheme="minorHAnsi" w:eastAsiaTheme="minorEastAsia" w:hAnsiTheme="minorHAnsi" w:cstheme="minorBidi"/>
          <w:noProof/>
          <w:kern w:val="2"/>
          <w:sz w:val="22"/>
          <w14:ligatures w14:val="standardContextual"/>
        </w:rPr>
      </w:pPr>
      <w:r w:rsidRPr="00557C2A">
        <w:rPr>
          <w:noProof/>
        </w:rPr>
        <w:t>3.2.3.1. Kredieten uit goedgekeurde begroting</w:t>
      </w:r>
      <w:r w:rsidRPr="00557C2A">
        <w:rPr>
          <w:noProof/>
        </w:rPr>
        <w:tab/>
      </w:r>
      <w:r w:rsidRPr="00557C2A">
        <w:rPr>
          <w:noProof/>
          <w:webHidden/>
        </w:rPr>
        <w:t>24</w:t>
      </w:r>
    </w:p>
    <w:p w14:paraId="668C0A3D" w14:textId="77777777" w:rsidR="0051718E" w:rsidRPr="00557C2A" w:rsidRDefault="0051718E" w:rsidP="0051718E">
      <w:pPr>
        <w:pStyle w:val="TOC3"/>
        <w:rPr>
          <w:rFonts w:asciiTheme="minorHAnsi" w:eastAsiaTheme="minorEastAsia" w:hAnsiTheme="minorHAnsi" w:cstheme="minorBidi"/>
          <w:noProof/>
          <w:kern w:val="2"/>
          <w:sz w:val="22"/>
          <w14:ligatures w14:val="standardContextual"/>
        </w:rPr>
      </w:pPr>
      <w:r w:rsidRPr="00557C2A">
        <w:rPr>
          <w:noProof/>
        </w:rPr>
        <w:t>3.2.3.2.</w:t>
      </w:r>
      <w:r w:rsidRPr="00557C2A">
        <w:rPr>
          <w:noProof/>
        </w:rPr>
        <w:tab/>
        <w:t>Kredieten uit externe bestemmingsontvangsten</w:t>
      </w:r>
      <w:r w:rsidRPr="00557C2A">
        <w:rPr>
          <w:noProof/>
        </w:rPr>
        <w:tab/>
      </w:r>
      <w:r w:rsidRPr="00557C2A">
        <w:rPr>
          <w:noProof/>
          <w:webHidden/>
        </w:rPr>
        <w:t>24</w:t>
      </w:r>
    </w:p>
    <w:p w14:paraId="2571AE16" w14:textId="77777777" w:rsidR="0051718E" w:rsidRPr="00557C2A" w:rsidRDefault="0051718E" w:rsidP="0051718E">
      <w:pPr>
        <w:pStyle w:val="TOC3"/>
        <w:rPr>
          <w:rFonts w:asciiTheme="minorHAnsi" w:eastAsiaTheme="minorEastAsia" w:hAnsiTheme="minorHAnsi" w:cstheme="minorBidi"/>
          <w:noProof/>
          <w:kern w:val="2"/>
          <w:sz w:val="22"/>
          <w14:ligatures w14:val="standardContextual"/>
        </w:rPr>
      </w:pPr>
      <w:r w:rsidRPr="00557C2A">
        <w:rPr>
          <w:noProof/>
        </w:rPr>
        <w:t>3.2.3.3.</w:t>
      </w:r>
      <w:r w:rsidRPr="00557C2A">
        <w:rPr>
          <w:noProof/>
        </w:rPr>
        <w:tab/>
        <w:t>Totaal kredieten</w:t>
      </w:r>
      <w:r w:rsidRPr="00557C2A">
        <w:rPr>
          <w:noProof/>
        </w:rPr>
        <w:tab/>
      </w:r>
      <w:r w:rsidRPr="00557C2A">
        <w:rPr>
          <w:noProof/>
          <w:webHidden/>
        </w:rPr>
        <w:t>24</w:t>
      </w:r>
    </w:p>
    <w:p w14:paraId="1530595D" w14:textId="77777777" w:rsidR="0051718E" w:rsidRPr="00557C2A" w:rsidRDefault="0051718E" w:rsidP="0051718E">
      <w:pPr>
        <w:pStyle w:val="TOC3"/>
        <w:rPr>
          <w:rFonts w:asciiTheme="minorHAnsi" w:eastAsiaTheme="minorEastAsia" w:hAnsiTheme="minorHAnsi" w:cstheme="minorBidi"/>
          <w:noProof/>
          <w:kern w:val="2"/>
          <w:sz w:val="22"/>
          <w14:ligatures w14:val="standardContextual"/>
        </w:rPr>
      </w:pPr>
      <w:r w:rsidRPr="00557C2A">
        <w:rPr>
          <w:noProof/>
        </w:rPr>
        <w:t>3.2.4.</w:t>
      </w:r>
      <w:r w:rsidRPr="00557C2A">
        <w:rPr>
          <w:noProof/>
        </w:rPr>
        <w:tab/>
        <w:t>Geraamde personeelsbehoeften</w:t>
      </w:r>
      <w:r w:rsidRPr="00557C2A">
        <w:rPr>
          <w:noProof/>
        </w:rPr>
        <w:tab/>
      </w:r>
      <w:r w:rsidRPr="00557C2A">
        <w:rPr>
          <w:noProof/>
          <w:webHidden/>
        </w:rPr>
        <w:t>25</w:t>
      </w:r>
    </w:p>
    <w:p w14:paraId="7AE0F051" w14:textId="77777777" w:rsidR="0051718E" w:rsidRPr="00557C2A" w:rsidRDefault="0051718E" w:rsidP="0051718E">
      <w:pPr>
        <w:pStyle w:val="TOC3"/>
        <w:rPr>
          <w:rFonts w:asciiTheme="minorHAnsi" w:eastAsiaTheme="minorEastAsia" w:hAnsiTheme="minorHAnsi" w:cstheme="minorBidi"/>
          <w:noProof/>
          <w:kern w:val="2"/>
          <w:sz w:val="22"/>
          <w14:ligatures w14:val="standardContextual"/>
        </w:rPr>
      </w:pPr>
      <w:r w:rsidRPr="00557C2A">
        <w:rPr>
          <w:noProof/>
        </w:rPr>
        <w:t>3.2.4.1.</w:t>
      </w:r>
      <w:r w:rsidRPr="00557C2A">
        <w:rPr>
          <w:noProof/>
        </w:rPr>
        <w:tab/>
        <w:t>Gefinancierd uit goedgekeurde begroting</w:t>
      </w:r>
      <w:r w:rsidRPr="00557C2A">
        <w:rPr>
          <w:noProof/>
        </w:rPr>
        <w:tab/>
      </w:r>
      <w:r w:rsidRPr="00557C2A">
        <w:rPr>
          <w:noProof/>
          <w:webHidden/>
        </w:rPr>
        <w:t>25</w:t>
      </w:r>
    </w:p>
    <w:p w14:paraId="227041B9" w14:textId="77777777" w:rsidR="0051718E" w:rsidRPr="00557C2A" w:rsidRDefault="0051718E" w:rsidP="0051718E">
      <w:pPr>
        <w:pStyle w:val="TOC3"/>
        <w:rPr>
          <w:rFonts w:asciiTheme="minorHAnsi" w:eastAsiaTheme="minorEastAsia" w:hAnsiTheme="minorHAnsi" w:cstheme="minorBidi"/>
          <w:noProof/>
          <w:kern w:val="2"/>
          <w:sz w:val="22"/>
          <w14:ligatures w14:val="standardContextual"/>
        </w:rPr>
      </w:pPr>
      <w:r w:rsidRPr="00557C2A">
        <w:rPr>
          <w:noProof/>
        </w:rPr>
        <w:t>3.2.4.2.</w:t>
      </w:r>
      <w:r w:rsidRPr="00557C2A">
        <w:rPr>
          <w:noProof/>
        </w:rPr>
        <w:tab/>
        <w:t>Gefinancierd uit externe bestemmingsontvangsten</w:t>
      </w:r>
      <w:r w:rsidRPr="00557C2A">
        <w:rPr>
          <w:noProof/>
        </w:rPr>
        <w:tab/>
      </w:r>
      <w:r w:rsidRPr="00557C2A">
        <w:rPr>
          <w:noProof/>
          <w:webHidden/>
        </w:rPr>
        <w:t>26</w:t>
      </w:r>
    </w:p>
    <w:p w14:paraId="47961812" w14:textId="77777777" w:rsidR="0051718E" w:rsidRPr="00557C2A" w:rsidRDefault="0051718E" w:rsidP="0051718E">
      <w:pPr>
        <w:pStyle w:val="TOC3"/>
        <w:rPr>
          <w:rFonts w:asciiTheme="minorHAnsi" w:eastAsiaTheme="minorEastAsia" w:hAnsiTheme="minorHAnsi" w:cstheme="minorBidi"/>
          <w:noProof/>
          <w:kern w:val="2"/>
          <w:sz w:val="22"/>
          <w14:ligatures w14:val="standardContextual"/>
        </w:rPr>
      </w:pPr>
      <w:r w:rsidRPr="00557C2A">
        <w:rPr>
          <w:noProof/>
        </w:rPr>
        <w:t>3.2.4.3.</w:t>
      </w:r>
      <w:r w:rsidRPr="00557C2A">
        <w:rPr>
          <w:noProof/>
        </w:rPr>
        <w:tab/>
        <w:t>Totale personeelsbehoeften</w:t>
      </w:r>
      <w:r w:rsidRPr="00557C2A">
        <w:rPr>
          <w:noProof/>
        </w:rPr>
        <w:tab/>
      </w:r>
      <w:r w:rsidRPr="00557C2A">
        <w:rPr>
          <w:noProof/>
          <w:webHidden/>
        </w:rPr>
        <w:t>26</w:t>
      </w:r>
    </w:p>
    <w:p w14:paraId="6426376A" w14:textId="77777777" w:rsidR="0051718E" w:rsidRPr="00557C2A" w:rsidRDefault="0051718E" w:rsidP="0051718E">
      <w:pPr>
        <w:pStyle w:val="TOC3"/>
        <w:rPr>
          <w:rFonts w:asciiTheme="minorHAnsi" w:eastAsiaTheme="minorEastAsia" w:hAnsiTheme="minorHAnsi" w:cstheme="minorBidi"/>
          <w:noProof/>
          <w:kern w:val="2"/>
          <w:sz w:val="22"/>
          <w14:ligatures w14:val="standardContextual"/>
        </w:rPr>
      </w:pPr>
      <w:r w:rsidRPr="00557C2A">
        <w:rPr>
          <w:noProof/>
        </w:rPr>
        <w:t>3.2.5.</w:t>
      </w:r>
      <w:r w:rsidRPr="00557C2A">
        <w:rPr>
          <w:noProof/>
        </w:rPr>
        <w:tab/>
        <w:t>Overzicht van het geschatte effect op investeringen die met digitale technologie samenhangen</w:t>
      </w:r>
      <w:r w:rsidRPr="00557C2A">
        <w:rPr>
          <w:noProof/>
        </w:rPr>
        <w:tab/>
      </w:r>
      <w:r w:rsidRPr="00557C2A">
        <w:rPr>
          <w:noProof/>
          <w:webHidden/>
        </w:rPr>
        <w:t>28</w:t>
      </w:r>
    </w:p>
    <w:p w14:paraId="2928C549" w14:textId="77777777" w:rsidR="0051718E" w:rsidRPr="00557C2A" w:rsidRDefault="0051718E" w:rsidP="0051718E">
      <w:pPr>
        <w:pStyle w:val="TOC3"/>
        <w:rPr>
          <w:rFonts w:asciiTheme="minorHAnsi" w:eastAsiaTheme="minorEastAsia" w:hAnsiTheme="minorHAnsi" w:cstheme="minorBidi"/>
          <w:noProof/>
          <w:kern w:val="2"/>
          <w:sz w:val="22"/>
          <w14:ligatures w14:val="standardContextual"/>
        </w:rPr>
      </w:pPr>
      <w:r w:rsidRPr="00557C2A">
        <w:rPr>
          <w:noProof/>
        </w:rPr>
        <w:t>3.2.6.</w:t>
      </w:r>
      <w:r w:rsidRPr="00557C2A">
        <w:rPr>
          <w:noProof/>
        </w:rPr>
        <w:tab/>
        <w:t>Verenigbaarheid met het huidige meerjarig financieel kader</w:t>
      </w:r>
      <w:r w:rsidRPr="00557C2A">
        <w:rPr>
          <w:noProof/>
        </w:rPr>
        <w:tab/>
      </w:r>
      <w:r w:rsidRPr="00557C2A">
        <w:rPr>
          <w:noProof/>
          <w:webHidden/>
        </w:rPr>
        <w:t>28</w:t>
      </w:r>
    </w:p>
    <w:p w14:paraId="1C254AF4" w14:textId="77777777" w:rsidR="0051718E" w:rsidRPr="00557C2A" w:rsidRDefault="0051718E" w:rsidP="0051718E">
      <w:pPr>
        <w:pStyle w:val="TOC3"/>
        <w:rPr>
          <w:rFonts w:asciiTheme="minorHAnsi" w:eastAsiaTheme="minorEastAsia" w:hAnsiTheme="minorHAnsi" w:cstheme="minorBidi"/>
          <w:noProof/>
          <w:kern w:val="2"/>
          <w:sz w:val="22"/>
          <w14:ligatures w14:val="standardContextual"/>
        </w:rPr>
      </w:pPr>
      <w:r w:rsidRPr="00557C2A">
        <w:rPr>
          <w:noProof/>
        </w:rPr>
        <w:t>3.2.7.</w:t>
      </w:r>
      <w:r w:rsidRPr="00557C2A">
        <w:rPr>
          <w:noProof/>
        </w:rPr>
        <w:tab/>
        <w:t>Bijdragen van derden</w:t>
      </w:r>
      <w:r w:rsidRPr="00557C2A">
        <w:rPr>
          <w:noProof/>
        </w:rPr>
        <w:tab/>
      </w:r>
      <w:r w:rsidRPr="00557C2A">
        <w:rPr>
          <w:noProof/>
          <w:webHidden/>
        </w:rPr>
        <w:t>28</w:t>
      </w:r>
    </w:p>
    <w:p w14:paraId="5DB9266A" w14:textId="77777777" w:rsidR="0051718E" w:rsidRPr="00557C2A" w:rsidRDefault="0051718E" w:rsidP="0051718E">
      <w:pPr>
        <w:pStyle w:val="TOC2"/>
        <w:rPr>
          <w:rFonts w:asciiTheme="minorHAnsi" w:eastAsiaTheme="minorEastAsia" w:hAnsiTheme="minorHAnsi" w:cstheme="minorBidi"/>
          <w:noProof/>
          <w:kern w:val="2"/>
          <w:sz w:val="22"/>
          <w14:ligatures w14:val="standardContextual"/>
        </w:rPr>
      </w:pPr>
      <w:r w:rsidRPr="00557C2A">
        <w:rPr>
          <w:noProof/>
        </w:rPr>
        <w:t>3.3.</w:t>
      </w:r>
      <w:r w:rsidRPr="00557C2A">
        <w:rPr>
          <w:noProof/>
        </w:rPr>
        <w:tab/>
        <w:t>Geraamde gevolgen voor de ontvangsten</w:t>
      </w:r>
      <w:r w:rsidRPr="00557C2A">
        <w:rPr>
          <w:noProof/>
        </w:rPr>
        <w:tab/>
      </w:r>
      <w:r w:rsidRPr="00557C2A">
        <w:rPr>
          <w:noProof/>
          <w:webHidden/>
        </w:rPr>
        <w:t>29</w:t>
      </w:r>
    </w:p>
    <w:p w14:paraId="23039E0E" w14:textId="77777777" w:rsidR="0051718E" w:rsidRPr="00557C2A" w:rsidRDefault="0051718E" w:rsidP="0051718E">
      <w:pPr>
        <w:pStyle w:val="TOC1"/>
        <w:rPr>
          <w:rFonts w:asciiTheme="minorHAnsi" w:eastAsiaTheme="minorEastAsia" w:hAnsiTheme="minorHAnsi" w:cstheme="minorBidi"/>
          <w:noProof/>
          <w:kern w:val="2"/>
          <w:sz w:val="22"/>
          <w14:ligatures w14:val="standardContextual"/>
        </w:rPr>
      </w:pPr>
      <w:r w:rsidRPr="00557C2A">
        <w:rPr>
          <w:noProof/>
        </w:rPr>
        <w:t>4.</w:t>
      </w:r>
      <w:r w:rsidRPr="00557C2A">
        <w:rPr>
          <w:noProof/>
        </w:rPr>
        <w:tab/>
      </w:r>
      <w:r w:rsidRPr="00557C2A">
        <w:rPr>
          <w:caps/>
          <w:noProof/>
        </w:rPr>
        <w:t>Digitale dimensies</w:t>
      </w:r>
      <w:r w:rsidRPr="00557C2A">
        <w:rPr>
          <w:noProof/>
        </w:rPr>
        <w:tab/>
      </w:r>
      <w:r w:rsidRPr="00557C2A">
        <w:rPr>
          <w:noProof/>
          <w:webHidden/>
        </w:rPr>
        <w:t>29</w:t>
      </w:r>
    </w:p>
    <w:p w14:paraId="5CD347FD" w14:textId="77777777" w:rsidR="0051718E" w:rsidRPr="00557C2A" w:rsidRDefault="0051718E" w:rsidP="0051718E">
      <w:pPr>
        <w:pStyle w:val="TOC2"/>
        <w:rPr>
          <w:rFonts w:asciiTheme="minorHAnsi" w:eastAsiaTheme="minorEastAsia" w:hAnsiTheme="minorHAnsi" w:cstheme="minorBidi"/>
          <w:noProof/>
          <w:kern w:val="2"/>
          <w:sz w:val="22"/>
          <w14:ligatures w14:val="standardContextual"/>
        </w:rPr>
      </w:pPr>
      <w:r w:rsidRPr="00557C2A">
        <w:rPr>
          <w:noProof/>
        </w:rPr>
        <w:t>4.1.</w:t>
      </w:r>
      <w:r w:rsidRPr="00557C2A">
        <w:rPr>
          <w:noProof/>
        </w:rPr>
        <w:tab/>
        <w:t>Voorschriften met digitale relevantie</w:t>
      </w:r>
      <w:r w:rsidRPr="00557C2A">
        <w:rPr>
          <w:noProof/>
        </w:rPr>
        <w:tab/>
      </w:r>
      <w:r w:rsidRPr="00557C2A">
        <w:rPr>
          <w:noProof/>
          <w:webHidden/>
        </w:rPr>
        <w:t>30</w:t>
      </w:r>
    </w:p>
    <w:p w14:paraId="307DAB00" w14:textId="77777777" w:rsidR="0051718E" w:rsidRPr="00557C2A" w:rsidRDefault="0051718E" w:rsidP="0051718E">
      <w:pPr>
        <w:pStyle w:val="TOC2"/>
        <w:rPr>
          <w:rFonts w:asciiTheme="minorHAnsi" w:eastAsiaTheme="minorEastAsia" w:hAnsiTheme="minorHAnsi" w:cstheme="minorBidi"/>
          <w:noProof/>
          <w:kern w:val="2"/>
          <w:sz w:val="22"/>
          <w14:ligatures w14:val="standardContextual"/>
        </w:rPr>
      </w:pPr>
      <w:r w:rsidRPr="00557C2A">
        <w:rPr>
          <w:noProof/>
        </w:rPr>
        <w:t>4.2.</w:t>
      </w:r>
      <w:r w:rsidRPr="00557C2A">
        <w:rPr>
          <w:noProof/>
        </w:rPr>
        <w:tab/>
        <w:t>Gegevens</w:t>
      </w:r>
      <w:r w:rsidRPr="00557C2A">
        <w:rPr>
          <w:noProof/>
        </w:rPr>
        <w:tab/>
      </w:r>
      <w:r w:rsidRPr="00557C2A">
        <w:rPr>
          <w:noProof/>
          <w:webHidden/>
        </w:rPr>
        <w:t>30</w:t>
      </w:r>
    </w:p>
    <w:p w14:paraId="6015DCAA" w14:textId="77777777" w:rsidR="0051718E" w:rsidRPr="00557C2A" w:rsidRDefault="0051718E" w:rsidP="0051718E">
      <w:pPr>
        <w:pStyle w:val="TOC2"/>
        <w:rPr>
          <w:rFonts w:asciiTheme="minorHAnsi" w:eastAsiaTheme="minorEastAsia" w:hAnsiTheme="minorHAnsi" w:cstheme="minorBidi"/>
          <w:noProof/>
          <w:kern w:val="2"/>
          <w:sz w:val="22"/>
          <w14:ligatures w14:val="standardContextual"/>
        </w:rPr>
      </w:pPr>
      <w:r w:rsidRPr="00557C2A">
        <w:rPr>
          <w:noProof/>
        </w:rPr>
        <w:t>4.3.</w:t>
      </w:r>
      <w:r w:rsidRPr="00557C2A">
        <w:rPr>
          <w:noProof/>
        </w:rPr>
        <w:tab/>
        <w:t>Digitale oplossingen</w:t>
      </w:r>
      <w:r w:rsidRPr="00557C2A">
        <w:rPr>
          <w:noProof/>
        </w:rPr>
        <w:tab/>
      </w:r>
      <w:r w:rsidRPr="00557C2A">
        <w:rPr>
          <w:noProof/>
          <w:webHidden/>
        </w:rPr>
        <w:t>31</w:t>
      </w:r>
    </w:p>
    <w:p w14:paraId="41BF5267" w14:textId="77777777" w:rsidR="0051718E" w:rsidRPr="00557C2A" w:rsidRDefault="0051718E" w:rsidP="0051718E">
      <w:pPr>
        <w:pStyle w:val="TOC2"/>
        <w:rPr>
          <w:rFonts w:asciiTheme="minorHAnsi" w:eastAsiaTheme="minorEastAsia" w:hAnsiTheme="minorHAnsi" w:cstheme="minorBidi"/>
          <w:noProof/>
          <w:kern w:val="2"/>
          <w:sz w:val="22"/>
          <w14:ligatures w14:val="standardContextual"/>
        </w:rPr>
      </w:pPr>
      <w:r w:rsidRPr="00557C2A">
        <w:rPr>
          <w:noProof/>
        </w:rPr>
        <w:t>4.4.</w:t>
      </w:r>
      <w:r w:rsidRPr="00557C2A">
        <w:rPr>
          <w:noProof/>
        </w:rPr>
        <w:tab/>
        <w:t>Interoperabiliteitsbeoordeling</w:t>
      </w:r>
      <w:r w:rsidRPr="00557C2A">
        <w:rPr>
          <w:noProof/>
        </w:rPr>
        <w:tab/>
      </w:r>
      <w:r w:rsidRPr="00557C2A">
        <w:rPr>
          <w:noProof/>
          <w:webHidden/>
        </w:rPr>
        <w:t>31</w:t>
      </w:r>
    </w:p>
    <w:p w14:paraId="63C921CB" w14:textId="77777777" w:rsidR="0051718E" w:rsidRPr="00557C2A" w:rsidRDefault="0051718E" w:rsidP="0051718E">
      <w:pPr>
        <w:pStyle w:val="TOC2"/>
        <w:rPr>
          <w:rFonts w:asciiTheme="minorHAnsi" w:eastAsiaTheme="minorEastAsia" w:hAnsiTheme="minorHAnsi" w:cstheme="minorBidi"/>
          <w:noProof/>
          <w:kern w:val="2"/>
          <w:sz w:val="22"/>
          <w14:ligatures w14:val="standardContextual"/>
        </w:rPr>
      </w:pPr>
      <w:r w:rsidRPr="00557C2A">
        <w:rPr>
          <w:noProof/>
        </w:rPr>
        <w:t>4.5.</w:t>
      </w:r>
      <w:r w:rsidRPr="00557C2A">
        <w:rPr>
          <w:noProof/>
        </w:rPr>
        <w:tab/>
        <w:t>Maatregelen ter ondersteuning van de digitale uitvoering</w:t>
      </w:r>
      <w:r w:rsidRPr="00557C2A">
        <w:rPr>
          <w:noProof/>
        </w:rPr>
        <w:tab/>
      </w:r>
      <w:r w:rsidRPr="00557C2A">
        <w:rPr>
          <w:noProof/>
          <w:webHidden/>
        </w:rPr>
        <w:t>32</w:t>
      </w:r>
    </w:p>
    <w:p w14:paraId="3622438F" w14:textId="77777777" w:rsidR="0051718E" w:rsidRPr="00557C2A" w:rsidRDefault="0051718E" w:rsidP="0051718E">
      <w:pPr>
        <w:pStyle w:val="TOC1"/>
        <w:ind w:left="0" w:firstLine="0"/>
        <w:rPr>
          <w:noProof/>
        </w:rPr>
        <w:sectPr w:rsidR="0051718E" w:rsidRPr="00557C2A" w:rsidSect="009832A3">
          <w:pgSz w:w="11907" w:h="16840" w:code="9"/>
          <w:pgMar w:top="1134" w:right="1418" w:bottom="1134" w:left="1418" w:header="709" w:footer="709" w:gutter="0"/>
          <w:pgNumType w:start="1"/>
          <w:cols w:space="720"/>
          <w:docGrid w:linePitch="360"/>
        </w:sectPr>
      </w:pPr>
    </w:p>
    <w:p w14:paraId="5B86A47B" w14:textId="77777777" w:rsidR="0051718E" w:rsidRPr="00557C2A" w:rsidRDefault="0051718E" w:rsidP="0051718E">
      <w:pPr>
        <w:pStyle w:val="ManualHeading1"/>
        <w:rPr>
          <w:noProof/>
        </w:rPr>
      </w:pPr>
      <w:bookmarkStart w:id="7" w:name="_Toc514938007"/>
      <w:bookmarkStart w:id="8" w:name="_Toc520485025"/>
      <w:bookmarkStart w:id="9" w:name="_Toc160804567"/>
      <w:bookmarkStart w:id="10" w:name="_Toc167220259"/>
      <w:bookmarkStart w:id="11" w:name="_Toc177548992"/>
      <w:r w:rsidRPr="00557C2A">
        <w:rPr>
          <w:noProof/>
        </w:rPr>
        <w:t>1.</w:t>
      </w:r>
      <w:r w:rsidRPr="00557C2A">
        <w:rPr>
          <w:noProof/>
        </w:rPr>
        <w:tab/>
        <w:t>KADER VAN HET VOORSTEL/INITIATIEF</w:t>
      </w:r>
      <w:bookmarkEnd w:id="7"/>
      <w:bookmarkEnd w:id="8"/>
      <w:bookmarkEnd w:id="9"/>
      <w:bookmarkEnd w:id="10"/>
      <w:bookmarkEnd w:id="11"/>
      <w:r w:rsidRPr="00557C2A">
        <w:rPr>
          <w:noProof/>
        </w:rPr>
        <w:t xml:space="preserve"> </w:t>
      </w:r>
    </w:p>
    <w:p w14:paraId="5760F33A" w14:textId="77777777" w:rsidR="0051718E" w:rsidRPr="00557C2A" w:rsidRDefault="0051718E" w:rsidP="0051718E">
      <w:pPr>
        <w:pStyle w:val="ManualHeading2"/>
        <w:rPr>
          <w:noProof/>
        </w:rPr>
      </w:pPr>
      <w:bookmarkStart w:id="12" w:name="_Toc514938008"/>
      <w:bookmarkStart w:id="13" w:name="_Toc520485026"/>
      <w:bookmarkStart w:id="14" w:name="_Toc160804568"/>
      <w:bookmarkStart w:id="15" w:name="_Toc167220260"/>
      <w:bookmarkStart w:id="16" w:name="_Toc177548993"/>
      <w:r w:rsidRPr="00557C2A">
        <w:rPr>
          <w:noProof/>
        </w:rPr>
        <w:t>1.1.</w:t>
      </w:r>
      <w:r w:rsidRPr="00557C2A">
        <w:rPr>
          <w:noProof/>
        </w:rPr>
        <w:tab/>
        <w:t>Benaming van het voorstel/initiatief</w:t>
      </w:r>
      <w:bookmarkEnd w:id="12"/>
      <w:bookmarkEnd w:id="13"/>
      <w:bookmarkEnd w:id="14"/>
      <w:bookmarkEnd w:id="15"/>
      <w:bookmarkEnd w:id="16"/>
    </w:p>
    <w:p w14:paraId="3D5FCB2B" w14:textId="77777777" w:rsidR="0051718E" w:rsidRPr="00557C2A" w:rsidRDefault="0051718E" w:rsidP="0051718E">
      <w:pPr>
        <w:pStyle w:val="paragraph"/>
        <w:pBdr>
          <w:top w:val="single" w:sz="4" w:space="1" w:color="000000"/>
          <w:left w:val="single" w:sz="4" w:space="4" w:color="000000"/>
          <w:right w:val="single" w:sz="4" w:space="4" w:color="000000"/>
        </w:pBdr>
        <w:spacing w:before="0" w:beforeAutospacing="0" w:after="0" w:afterAutospacing="0"/>
        <w:ind w:left="840"/>
        <w:jc w:val="both"/>
        <w:textAlignment w:val="baseline"/>
        <w:rPr>
          <w:rFonts w:ascii="Segoe UI" w:hAnsi="Segoe UI" w:cs="Segoe UI"/>
          <w:noProof/>
          <w:sz w:val="18"/>
          <w:szCs w:val="18"/>
        </w:rPr>
      </w:pPr>
      <w:bookmarkStart w:id="17" w:name="_Toc514938011"/>
      <w:bookmarkStart w:id="18" w:name="_Toc520485027"/>
      <w:bookmarkStart w:id="19" w:name="_Toc160804569"/>
      <w:bookmarkStart w:id="20" w:name="_Toc167220261"/>
      <w:bookmarkStart w:id="21" w:name="_Toc177548994"/>
      <w:r w:rsidRPr="00557C2A">
        <w:rPr>
          <w:rStyle w:val="normaltextrun"/>
          <w:noProof/>
        </w:rPr>
        <w:t>Richtlijn tot wijzing van Richtlijnen (EU) 2018/2001, (EU)</w:t>
      </w:r>
    </w:p>
    <w:p w14:paraId="1F01F4F5" w14:textId="77777777" w:rsidR="0051718E" w:rsidRPr="00557C2A" w:rsidRDefault="0051718E" w:rsidP="00C367C5">
      <w:pPr>
        <w:pStyle w:val="paragraph"/>
        <w:pBdr>
          <w:left w:val="single" w:sz="4" w:space="4" w:color="000000"/>
          <w:right w:val="single" w:sz="4" w:space="4" w:color="000000"/>
        </w:pBdr>
        <w:spacing w:before="0" w:beforeAutospacing="0" w:after="0" w:afterAutospacing="0"/>
        <w:ind w:left="840"/>
        <w:jc w:val="both"/>
        <w:textAlignment w:val="baseline"/>
        <w:rPr>
          <w:rFonts w:ascii="Segoe UI" w:hAnsi="Segoe UI" w:cs="Segoe UI"/>
          <w:noProof/>
          <w:sz w:val="18"/>
          <w:szCs w:val="18"/>
        </w:rPr>
      </w:pPr>
      <w:r w:rsidRPr="00557C2A">
        <w:rPr>
          <w:rStyle w:val="normaltextrun"/>
          <w:noProof/>
        </w:rPr>
        <w:t>2019/944, (EU) 2024/1788</w:t>
      </w:r>
      <w:r w:rsidRPr="00557C2A">
        <w:rPr>
          <w:rStyle w:val="eop"/>
          <w:noProof/>
        </w:rPr>
        <w:t xml:space="preserve"> </w:t>
      </w:r>
    </w:p>
    <w:p w14:paraId="291F27A8" w14:textId="77777777" w:rsidR="0051718E" w:rsidRPr="00557C2A" w:rsidRDefault="0051718E" w:rsidP="0051718E">
      <w:pPr>
        <w:pStyle w:val="ManualHeading2"/>
        <w:rPr>
          <w:i/>
          <w:noProof/>
        </w:rPr>
      </w:pPr>
      <w:r w:rsidRPr="00557C2A">
        <w:rPr>
          <w:noProof/>
        </w:rPr>
        <w:t>1.2.</w:t>
      </w:r>
      <w:r w:rsidRPr="00557C2A">
        <w:rPr>
          <w:noProof/>
        </w:rPr>
        <w:tab/>
        <w:t>Betrokken beleidsterreinen</w:t>
      </w:r>
      <w:bookmarkEnd w:id="17"/>
      <w:bookmarkEnd w:id="18"/>
      <w:bookmarkEnd w:id="19"/>
      <w:bookmarkEnd w:id="20"/>
      <w:bookmarkEnd w:id="21"/>
      <w:r w:rsidRPr="00557C2A">
        <w:rPr>
          <w:i/>
          <w:noProof/>
        </w:rPr>
        <w:t xml:space="preserve"> </w:t>
      </w:r>
    </w:p>
    <w:p w14:paraId="2B412AE7" w14:textId="31F4C26C" w:rsidR="0051718E" w:rsidRPr="00557C2A" w:rsidRDefault="0051718E" w:rsidP="0051718E">
      <w:pPr>
        <w:pStyle w:val="Text1"/>
        <w:pBdr>
          <w:top w:val="single" w:sz="4" w:space="1" w:color="auto"/>
          <w:left w:val="single" w:sz="4" w:space="4" w:color="auto"/>
          <w:bottom w:val="single" w:sz="4" w:space="1" w:color="auto"/>
          <w:right w:val="single" w:sz="4" w:space="4" w:color="auto"/>
        </w:pBdr>
        <w:rPr>
          <w:noProof/>
        </w:rPr>
      </w:pPr>
      <w:r w:rsidRPr="00557C2A">
        <w:rPr>
          <w:noProof/>
        </w:rPr>
        <w:t>Hernieuwbare energie, energie-infrastructuur, milieubescherming</w:t>
      </w:r>
    </w:p>
    <w:p w14:paraId="7E17B5B5" w14:textId="77777777" w:rsidR="0051718E" w:rsidRPr="00557C2A" w:rsidRDefault="0051718E" w:rsidP="0051718E">
      <w:pPr>
        <w:pStyle w:val="ManualHeading2"/>
        <w:rPr>
          <w:noProof/>
        </w:rPr>
      </w:pPr>
      <w:bookmarkStart w:id="22" w:name="_Toc514938015"/>
      <w:bookmarkStart w:id="23" w:name="_Toc520485029"/>
      <w:bookmarkStart w:id="24" w:name="_Toc160804571"/>
      <w:bookmarkStart w:id="25" w:name="_Toc167220263"/>
      <w:bookmarkStart w:id="26" w:name="_Toc177548995"/>
      <w:r w:rsidRPr="00557C2A">
        <w:rPr>
          <w:noProof/>
        </w:rPr>
        <w:t>1.3.</w:t>
      </w:r>
      <w:r w:rsidRPr="00557C2A">
        <w:rPr>
          <w:noProof/>
        </w:rPr>
        <w:tab/>
        <w:t>Doelstellingen</w:t>
      </w:r>
      <w:bookmarkEnd w:id="22"/>
      <w:bookmarkEnd w:id="23"/>
      <w:bookmarkEnd w:id="24"/>
      <w:bookmarkEnd w:id="25"/>
      <w:bookmarkEnd w:id="26"/>
    </w:p>
    <w:p w14:paraId="6EA2E021" w14:textId="77777777" w:rsidR="0051718E" w:rsidRPr="00557C2A" w:rsidRDefault="0051718E" w:rsidP="0051718E">
      <w:pPr>
        <w:pStyle w:val="ManualHeading3"/>
        <w:rPr>
          <w:noProof/>
        </w:rPr>
      </w:pPr>
      <w:bookmarkStart w:id="27" w:name="_Toc514938016"/>
      <w:bookmarkStart w:id="28" w:name="_Toc520485030"/>
      <w:bookmarkStart w:id="29" w:name="_Toc160804572"/>
      <w:bookmarkStart w:id="30" w:name="_Toc167220264"/>
      <w:bookmarkStart w:id="31" w:name="_Toc177548996"/>
      <w:r w:rsidRPr="00557C2A">
        <w:rPr>
          <w:noProof/>
        </w:rPr>
        <w:t>1.3.1.</w:t>
      </w:r>
      <w:r w:rsidRPr="00557C2A">
        <w:rPr>
          <w:noProof/>
        </w:rPr>
        <w:tab/>
        <w:t>Algemene doelstellingen</w:t>
      </w:r>
      <w:bookmarkEnd w:id="27"/>
      <w:bookmarkEnd w:id="28"/>
      <w:bookmarkEnd w:id="29"/>
      <w:bookmarkEnd w:id="30"/>
      <w:bookmarkEnd w:id="31"/>
    </w:p>
    <w:p w14:paraId="797D4A18" w14:textId="77777777" w:rsidR="0051718E" w:rsidRPr="00557C2A" w:rsidRDefault="0051718E" w:rsidP="0051718E">
      <w:pPr>
        <w:pStyle w:val="Text1"/>
        <w:pBdr>
          <w:top w:val="single" w:sz="4" w:space="1" w:color="auto"/>
          <w:left w:val="single" w:sz="4" w:space="4" w:color="auto"/>
          <w:bottom w:val="single" w:sz="4" w:space="1" w:color="auto"/>
          <w:right w:val="single" w:sz="4" w:space="4" w:color="auto"/>
        </w:pBdr>
        <w:rPr>
          <w:noProof/>
        </w:rPr>
      </w:pPr>
      <w:r w:rsidRPr="00557C2A">
        <w:rPr>
          <w:noProof/>
        </w:rPr>
        <w:t>De algemene doelstelling is de tijdige en efficiënte ontwikkeling van veerkrachtige energie-infrastructuur, hernieuwbare energie en flexibiliteit, met inbegrip van opslag en laadstations, in de hele EU. Dit zal de EU in staat stellen haar energie- en klimaatdoelstellingen te verwezenlijken, waaronder het waarborgen van betaalbare energie door betere interconnectiviteit, wat zal leiden tot prijsconvergentie, lagere groothandelsprijzen voor elektriciteit en minder volatiliteit van de elektriciteitsprijzen, alsook tot snellere productie- en consumentenaansluitingen.</w:t>
      </w:r>
    </w:p>
    <w:p w14:paraId="56908184" w14:textId="77777777" w:rsidR="0051718E" w:rsidRPr="00557C2A" w:rsidRDefault="0051718E" w:rsidP="0051718E">
      <w:pPr>
        <w:pStyle w:val="ManualHeading3"/>
        <w:rPr>
          <w:noProof/>
        </w:rPr>
      </w:pPr>
      <w:bookmarkStart w:id="32" w:name="_Toc514938018"/>
      <w:bookmarkStart w:id="33" w:name="_Toc520485031"/>
      <w:bookmarkStart w:id="34" w:name="_Toc160804573"/>
      <w:bookmarkStart w:id="35" w:name="_Toc167220265"/>
      <w:bookmarkStart w:id="36" w:name="_Toc177548997"/>
      <w:r w:rsidRPr="00557C2A">
        <w:rPr>
          <w:noProof/>
        </w:rPr>
        <w:t>1.3.2.</w:t>
      </w:r>
      <w:r w:rsidRPr="00557C2A">
        <w:rPr>
          <w:noProof/>
        </w:rPr>
        <w:tab/>
        <w:t>Specifieke doelstellingen</w:t>
      </w:r>
      <w:bookmarkEnd w:id="32"/>
      <w:bookmarkEnd w:id="33"/>
      <w:bookmarkEnd w:id="34"/>
      <w:bookmarkEnd w:id="35"/>
      <w:bookmarkEnd w:id="36"/>
    </w:p>
    <w:p w14:paraId="00C5761B" w14:textId="77777777" w:rsidR="0051718E" w:rsidRPr="00557C2A" w:rsidRDefault="0051718E" w:rsidP="0051718E">
      <w:pPr>
        <w:pStyle w:val="Text1"/>
        <w:pBdr>
          <w:top w:val="single" w:sz="4" w:space="1" w:color="auto"/>
          <w:left w:val="single" w:sz="4" w:space="4" w:color="auto"/>
          <w:bottom w:val="single" w:sz="4" w:space="1" w:color="auto"/>
          <w:right w:val="single" w:sz="4" w:space="4" w:color="auto"/>
        </w:pBdr>
        <w:rPr>
          <w:noProof/>
          <w:u w:val="single"/>
        </w:rPr>
      </w:pPr>
      <w:r w:rsidRPr="00557C2A">
        <w:rPr>
          <w:noProof/>
          <w:u w:val="single"/>
        </w:rPr>
        <w:t>Specifieke doelstelling nr. 1</w:t>
      </w:r>
    </w:p>
    <w:p w14:paraId="3250926C" w14:textId="77777777" w:rsidR="0051718E" w:rsidRPr="00557C2A" w:rsidRDefault="0051718E" w:rsidP="0051718E">
      <w:pPr>
        <w:pStyle w:val="Text1"/>
        <w:pBdr>
          <w:top w:val="single" w:sz="4" w:space="1" w:color="auto"/>
          <w:left w:val="single" w:sz="4" w:space="4" w:color="auto"/>
          <w:bottom w:val="single" w:sz="4" w:space="1" w:color="auto"/>
          <w:right w:val="single" w:sz="4" w:space="4" w:color="auto"/>
        </w:pBdr>
        <w:rPr>
          <w:noProof/>
        </w:rPr>
      </w:pPr>
      <w:r w:rsidRPr="00557C2A">
        <w:rPr>
          <w:noProof/>
        </w:rPr>
        <w:t>Verkorting en vereenvoudiging van de vergunningsprocedures voor projecten voor energie-infrastructuur, hernieuwbare energie en opslag, en laadstations, waardoor de tijd die nodig is om de vereiste vergunningen te verkrijgen, wordt verkort, de bestaande termijnen haalbaar worden en de vergunningsvereisten worden vereenvoudigd.</w:t>
      </w:r>
    </w:p>
    <w:p w14:paraId="580DFDF2" w14:textId="77777777" w:rsidR="0051718E" w:rsidRPr="00557C2A" w:rsidRDefault="0051718E" w:rsidP="0051718E">
      <w:pPr>
        <w:pStyle w:val="ManualHeading3"/>
        <w:rPr>
          <w:noProof/>
        </w:rPr>
      </w:pPr>
      <w:bookmarkStart w:id="37" w:name="_Toc514938019"/>
      <w:bookmarkStart w:id="38" w:name="_Toc520485032"/>
      <w:bookmarkStart w:id="39" w:name="_Toc160804574"/>
      <w:bookmarkStart w:id="40" w:name="_Toc167220266"/>
      <w:bookmarkStart w:id="41" w:name="_Toc177548998"/>
      <w:r w:rsidRPr="00557C2A">
        <w:rPr>
          <w:noProof/>
        </w:rPr>
        <w:t>1.3.3.</w:t>
      </w:r>
      <w:r w:rsidRPr="00557C2A">
        <w:rPr>
          <w:noProof/>
        </w:rPr>
        <w:tab/>
        <w:t>Verwachte resultaten en gevolgen</w:t>
      </w:r>
      <w:bookmarkEnd w:id="37"/>
      <w:bookmarkEnd w:id="38"/>
      <w:bookmarkEnd w:id="39"/>
      <w:bookmarkEnd w:id="40"/>
      <w:bookmarkEnd w:id="41"/>
    </w:p>
    <w:p w14:paraId="2BD4018C" w14:textId="77777777" w:rsidR="0051718E" w:rsidRPr="00557C2A" w:rsidRDefault="0051718E" w:rsidP="0051718E">
      <w:pPr>
        <w:pStyle w:val="Text1"/>
        <w:rPr>
          <w:i/>
          <w:noProof/>
          <w:sz w:val="20"/>
        </w:rPr>
      </w:pPr>
      <w:r w:rsidRPr="00557C2A">
        <w:rPr>
          <w:i/>
          <w:noProof/>
          <w:sz w:val="20"/>
        </w:rPr>
        <w:t>Vermeld de gevolgen die het voorstel/initiatief zou moeten hebben op de begunstigden/doelgroepen.</w:t>
      </w:r>
    </w:p>
    <w:p w14:paraId="7F4C24BB" w14:textId="77777777" w:rsidR="0051718E" w:rsidRPr="00557C2A" w:rsidRDefault="0051718E" w:rsidP="0051718E">
      <w:pPr>
        <w:pStyle w:val="Text1"/>
        <w:pBdr>
          <w:top w:val="single" w:sz="4" w:space="1" w:color="auto"/>
          <w:left w:val="single" w:sz="4" w:space="4" w:color="auto"/>
          <w:bottom w:val="single" w:sz="4" w:space="1" w:color="auto"/>
          <w:right w:val="single" w:sz="4" w:space="4" w:color="auto"/>
        </w:pBdr>
        <w:rPr>
          <w:noProof/>
        </w:rPr>
      </w:pPr>
      <w:r w:rsidRPr="00557C2A">
        <w:rPr>
          <w:noProof/>
        </w:rPr>
        <w:t>[…] Economische gevolgen</w:t>
      </w:r>
    </w:p>
    <w:p w14:paraId="272A2813" w14:textId="77777777" w:rsidR="0051718E" w:rsidRPr="00557C2A" w:rsidRDefault="0051718E" w:rsidP="0051718E">
      <w:pPr>
        <w:pStyle w:val="Text1"/>
        <w:pBdr>
          <w:top w:val="single" w:sz="4" w:space="1" w:color="auto"/>
          <w:left w:val="single" w:sz="4" w:space="4" w:color="auto"/>
          <w:bottom w:val="single" w:sz="4" w:space="1" w:color="auto"/>
          <w:right w:val="single" w:sz="4" w:space="4" w:color="auto"/>
        </w:pBdr>
        <w:rPr>
          <w:noProof/>
        </w:rPr>
      </w:pPr>
      <w:r w:rsidRPr="00557C2A">
        <w:rPr>
          <w:noProof/>
        </w:rPr>
        <w:t>Door een duidelijk kader te creëren met concrete, kortere termijnen en eenvoudigere procedures voor de ontwikkeling van hernieuwbare-energieprojecten, netten, opslag en laadstations, zou het voorstel leiden tot kortere doorlooptijden voor projecten en dus positieve economische voordelen opleveren. Dit wordt ondersteund door de ervaring met de uitvoering van bindende en optionele maatregelen om de vergunningverlening te versnellen, zoals ingevoerd bij de noodverordening. Duitsland heeft uitgebreid gebruik gemaakt van de maatregelen in deze verordening, wat heeft geleid tot een aanzienlijke versnelling van de vergunningverlening. Het aanpakken van vertragingen bij de uitvoering van projecten zal naar verwachting voordelen opleveren in de vorm van een algehele daling van de groothandelsprijzen voor elektriciteit en een toename van de totale welvaart.</w:t>
      </w:r>
    </w:p>
    <w:p w14:paraId="17502A69" w14:textId="77777777" w:rsidR="0051718E" w:rsidRPr="00557C2A" w:rsidRDefault="0051718E" w:rsidP="0051718E">
      <w:pPr>
        <w:pStyle w:val="Text1"/>
        <w:pBdr>
          <w:top w:val="single" w:sz="4" w:space="1" w:color="auto"/>
          <w:left w:val="single" w:sz="4" w:space="4" w:color="auto"/>
          <w:bottom w:val="single" w:sz="4" w:space="1" w:color="auto"/>
          <w:right w:val="single" w:sz="4" w:space="4" w:color="auto"/>
        </w:pBdr>
        <w:rPr>
          <w:noProof/>
        </w:rPr>
      </w:pPr>
      <w:r w:rsidRPr="00557C2A">
        <w:rPr>
          <w:noProof/>
        </w:rPr>
        <w:t xml:space="preserve"> Concurrentievermogen</w:t>
      </w:r>
    </w:p>
    <w:p w14:paraId="7977B8E3" w14:textId="77777777" w:rsidR="0051718E" w:rsidRPr="00557C2A" w:rsidRDefault="0051718E" w:rsidP="0051718E">
      <w:pPr>
        <w:pStyle w:val="Text1"/>
        <w:pBdr>
          <w:top w:val="single" w:sz="4" w:space="1" w:color="auto"/>
          <w:left w:val="single" w:sz="4" w:space="4" w:color="auto"/>
          <w:bottom w:val="single" w:sz="4" w:space="1" w:color="auto"/>
          <w:right w:val="single" w:sz="4" w:space="4" w:color="auto"/>
        </w:pBdr>
        <w:rPr>
          <w:noProof/>
        </w:rPr>
      </w:pPr>
      <w:r w:rsidRPr="00557C2A">
        <w:rPr>
          <w:noProof/>
        </w:rPr>
        <w:t>In het algemeen geldt dat als Europa de plannings- en vergunningsprocedures aanzienlijk kan verkorten, dit niet alleen directe economische voordelen zou opleveren, maar ook de concurrentiepositie ten opzichte van directe concurrenten zou kunnen verbeteren, bijvoorbeeld door kostenefficiënte elektrificatie van de industrie. Dit betreft bijvoorbeeld de aansluiting van gegevenscentra of gigafabrieken, waarvoor de aansluiting op het elektriciteitsnet een van de belangrijke overwegingen is voor de bepaling van hun locatie.</w:t>
      </w:r>
    </w:p>
    <w:p w14:paraId="00FCC5E5" w14:textId="77777777" w:rsidR="0051718E" w:rsidRPr="00557C2A" w:rsidRDefault="0051718E" w:rsidP="0051718E">
      <w:pPr>
        <w:pStyle w:val="Text1"/>
        <w:pBdr>
          <w:top w:val="single" w:sz="4" w:space="1" w:color="auto"/>
          <w:left w:val="single" w:sz="4" w:space="4" w:color="auto"/>
          <w:bottom w:val="single" w:sz="4" w:space="1" w:color="auto"/>
          <w:right w:val="single" w:sz="4" w:space="4" w:color="auto"/>
        </w:pBdr>
        <w:rPr>
          <w:noProof/>
        </w:rPr>
      </w:pPr>
      <w:r w:rsidRPr="00557C2A">
        <w:rPr>
          <w:noProof/>
        </w:rPr>
        <w:t>Digitalisering</w:t>
      </w:r>
    </w:p>
    <w:p w14:paraId="7C40852E" w14:textId="77777777" w:rsidR="0051718E" w:rsidRPr="00557C2A" w:rsidRDefault="0051718E" w:rsidP="0051718E">
      <w:pPr>
        <w:pStyle w:val="Text1"/>
        <w:pBdr>
          <w:top w:val="single" w:sz="4" w:space="1" w:color="auto"/>
          <w:left w:val="single" w:sz="4" w:space="4" w:color="auto"/>
          <w:bottom w:val="single" w:sz="4" w:space="1" w:color="auto"/>
          <w:right w:val="single" w:sz="4" w:space="4" w:color="auto"/>
        </w:pBdr>
        <w:rPr>
          <w:noProof/>
        </w:rPr>
      </w:pPr>
      <w:r w:rsidRPr="00557C2A">
        <w:rPr>
          <w:noProof/>
        </w:rPr>
        <w:t>Het voorstel zou de lidstaten verplichten hun vergunningsprocedures verder te digitaliseren door middel van de integratie van digitale instrumenten, platforms met relevante gegevens te creëren en voortdurend te actualiseren, en hun personeel bij te scholen om de nieuwe digitale elementen te kunnen gebruiken.</w:t>
      </w:r>
    </w:p>
    <w:p w14:paraId="52422F3F" w14:textId="77777777" w:rsidR="0051718E" w:rsidRPr="00557C2A" w:rsidRDefault="0051718E" w:rsidP="0051718E">
      <w:pPr>
        <w:pStyle w:val="Text1"/>
        <w:pBdr>
          <w:top w:val="single" w:sz="4" w:space="1" w:color="auto"/>
          <w:left w:val="single" w:sz="4" w:space="4" w:color="auto"/>
          <w:bottom w:val="single" w:sz="4" w:space="1" w:color="auto"/>
          <w:right w:val="single" w:sz="4" w:space="4" w:color="auto"/>
        </w:pBdr>
        <w:rPr>
          <w:noProof/>
        </w:rPr>
      </w:pPr>
      <w:r w:rsidRPr="00557C2A">
        <w:rPr>
          <w:noProof/>
        </w:rPr>
        <w:t>Administratieve lasten</w:t>
      </w:r>
    </w:p>
    <w:p w14:paraId="501B5ABA" w14:textId="77777777" w:rsidR="0051718E" w:rsidRPr="00557C2A" w:rsidRDefault="0051718E" w:rsidP="0051718E">
      <w:pPr>
        <w:pStyle w:val="Text1"/>
        <w:pBdr>
          <w:top w:val="single" w:sz="4" w:space="1" w:color="auto"/>
          <w:left w:val="single" w:sz="4" w:space="4" w:color="auto"/>
          <w:bottom w:val="single" w:sz="4" w:space="1" w:color="auto"/>
          <w:right w:val="single" w:sz="4" w:space="4" w:color="auto"/>
        </w:pBdr>
        <w:rPr>
          <w:noProof/>
        </w:rPr>
      </w:pPr>
      <w:r w:rsidRPr="00557C2A">
        <w:rPr>
          <w:noProof/>
        </w:rPr>
        <w:t>De maatregelen in het voorstel moeten door nationale en lokale autoriteiten worden uitgevoerd, met name wat betreft: het uitrusten van vergunningverlenende instanties met alle nodige personele middelen, vaardigheden en instrumenten om het hoofd te bieden aan het groeiende aantal vergunningaanvragen, de versnelde vergunningstermijnen en de vereenvoudiging van vergunningsprocedures voor bepaalde projecten en repowering, het creëren van digitale platforms en instrumenten voor de vergunningsprocedure en voor het opzetten van regelingen voor batenverdeling voor publieke participatie in hernieuwbare-energieprojecten, en nieuwe procedures zoals centrale contactpunten voor elektriciteitstransmissie- en -distributie-infrastructuur in het algemeen, en voor opslag en laadstations, die niet onder de herziene richtlijn hernieuwbare energie vallen. Dit kosteneffect op korte termijn zou zich echter op middellange en lange termijn vertalen in besparingen als gevolg van gestroomlijnde, eenvoudigere en snellere procedures.</w:t>
      </w:r>
    </w:p>
    <w:p w14:paraId="44747F6A" w14:textId="77777777" w:rsidR="0051718E" w:rsidRPr="00557C2A" w:rsidRDefault="0051718E" w:rsidP="0051718E">
      <w:pPr>
        <w:pStyle w:val="Text1"/>
        <w:pBdr>
          <w:top w:val="single" w:sz="4" w:space="1" w:color="auto"/>
          <w:left w:val="single" w:sz="4" w:space="4" w:color="auto"/>
          <w:bottom w:val="single" w:sz="4" w:space="1" w:color="auto"/>
          <w:right w:val="single" w:sz="4" w:space="4" w:color="auto"/>
        </w:pBdr>
        <w:rPr>
          <w:noProof/>
        </w:rPr>
      </w:pPr>
      <w:r w:rsidRPr="00557C2A">
        <w:rPr>
          <w:noProof/>
        </w:rPr>
        <w:t>Sociale impact</w:t>
      </w:r>
    </w:p>
    <w:p w14:paraId="4448EA49" w14:textId="77777777" w:rsidR="0051718E" w:rsidRPr="00557C2A" w:rsidRDefault="0051718E" w:rsidP="0051718E">
      <w:pPr>
        <w:pStyle w:val="Text1"/>
        <w:pBdr>
          <w:top w:val="single" w:sz="4" w:space="1" w:color="auto"/>
          <w:left w:val="single" w:sz="4" w:space="4" w:color="auto"/>
          <w:bottom w:val="single" w:sz="4" w:space="1" w:color="auto"/>
          <w:right w:val="single" w:sz="4" w:space="4" w:color="auto"/>
        </w:pBdr>
        <w:rPr>
          <w:noProof/>
        </w:rPr>
      </w:pPr>
      <w:r w:rsidRPr="00557C2A">
        <w:rPr>
          <w:noProof/>
        </w:rPr>
        <w:t>Het voorstel bevat aanvullende maatregelen ter versterking van vroegtijdige en doeltreffende publieke betrokkenheid en ter bevordering van publieke steun voor hernieuwbare-energieprojecten. De maatregelen omvatten uitdrukkelijke bepalingen die gericht zijn op het vergroten van de inspraak van het publiek en daarmee van de maatschappelijke aanvaarding van hernieuwbare-energieprojecten. Door de huidige maatregelen voor de publieke aanvaarding van hernieuwbare-energieprojecten te herzien, zal de Commissie kunnen beoordelen of het mogelijk is maatregelen in te voeren die direct of indirect ten goede komen aan de consument, bijvoorbeeld regelingen voor batenverdeling en de bevordering van werkgelegenheid.</w:t>
      </w:r>
    </w:p>
    <w:p w14:paraId="3C50D81F" w14:textId="77777777" w:rsidR="0051718E" w:rsidRPr="00557C2A" w:rsidRDefault="0051718E" w:rsidP="0051718E">
      <w:pPr>
        <w:pStyle w:val="Text1"/>
        <w:pBdr>
          <w:top w:val="single" w:sz="4" w:space="1" w:color="auto"/>
          <w:left w:val="single" w:sz="4" w:space="4" w:color="auto"/>
          <w:bottom w:val="single" w:sz="4" w:space="1" w:color="auto"/>
          <w:right w:val="single" w:sz="4" w:space="4" w:color="auto"/>
        </w:pBdr>
        <w:rPr>
          <w:noProof/>
        </w:rPr>
      </w:pPr>
    </w:p>
    <w:p w14:paraId="048002CB" w14:textId="77777777" w:rsidR="0051718E" w:rsidRPr="00557C2A" w:rsidRDefault="0051718E" w:rsidP="0051718E">
      <w:pPr>
        <w:pStyle w:val="Text1"/>
        <w:pBdr>
          <w:top w:val="single" w:sz="4" w:space="1" w:color="auto"/>
          <w:left w:val="single" w:sz="4" w:space="4" w:color="auto"/>
          <w:bottom w:val="single" w:sz="4" w:space="1" w:color="auto"/>
          <w:right w:val="single" w:sz="4" w:space="4" w:color="auto"/>
        </w:pBdr>
        <w:rPr>
          <w:noProof/>
        </w:rPr>
      </w:pPr>
      <w:r w:rsidRPr="00557C2A">
        <w:rPr>
          <w:noProof/>
        </w:rPr>
        <w:t>Milieueffecten</w:t>
      </w:r>
    </w:p>
    <w:p w14:paraId="3DF7DDF1" w14:textId="77777777" w:rsidR="0051718E" w:rsidRPr="00557C2A" w:rsidRDefault="0051718E" w:rsidP="0051718E">
      <w:pPr>
        <w:pStyle w:val="Text1"/>
        <w:pBdr>
          <w:top w:val="single" w:sz="4" w:space="1" w:color="auto"/>
          <w:left w:val="single" w:sz="4" w:space="4" w:color="auto"/>
          <w:bottom w:val="single" w:sz="4" w:space="1" w:color="auto"/>
          <w:right w:val="single" w:sz="4" w:space="4" w:color="auto"/>
        </w:pBdr>
        <w:rPr>
          <w:noProof/>
        </w:rPr>
      </w:pPr>
      <w:r w:rsidRPr="00557C2A">
        <w:rPr>
          <w:noProof/>
        </w:rPr>
        <w:t xml:space="preserve">Het waarborgen van de ontwikkeling van energie-infrastructuur, met name elektriciteitsnetten, is van essentieel belang om het aandeel van hernieuwbare energie in de energiemix te vergroten en milieuschade als gevolg van curtailment te voorkomen. Door de integratie van hernieuwbare-energiebronnen kan het gebruik van fossiele brandstoffen worden teruggedrongen, waardoor de uitstoot van broeikasgassen wordt verminderd en daarmee twee belangrijke oorzaken van biodiversiteitsverlies worden aangepakt: klimaatverandering en luchtverontreiniging. Het voorstel omvat maatregelen die zijn gericht op snellere vergunningen en dus een snellere en wijdverbreide uitrol, wat gepaard gaat met gebruik van meer ruimte en dus gevolgen heeft voor het milieu, maar deze maatregelen zijn zo ontworpen dat ze het niveau van milieubescherming niet verlagen. </w:t>
      </w:r>
    </w:p>
    <w:p w14:paraId="690A493B" w14:textId="77777777" w:rsidR="0051718E" w:rsidRPr="00557C2A" w:rsidRDefault="0051718E" w:rsidP="0051718E">
      <w:pPr>
        <w:pStyle w:val="Text1"/>
        <w:pBdr>
          <w:top w:val="single" w:sz="4" w:space="1" w:color="auto"/>
          <w:left w:val="single" w:sz="4" w:space="4" w:color="auto"/>
          <w:bottom w:val="single" w:sz="4" w:space="1" w:color="auto"/>
          <w:right w:val="single" w:sz="4" w:space="4" w:color="auto"/>
        </w:pBdr>
        <w:rPr>
          <w:noProof/>
        </w:rPr>
      </w:pPr>
      <w:r w:rsidRPr="00557C2A">
        <w:rPr>
          <w:noProof/>
        </w:rPr>
        <w:t>De relevante effecten op het natuurlijke en door de mens gecreëerde milieu gaan verder dan broeikasgasemissies en niet-CO</w:t>
      </w:r>
      <w:r w:rsidRPr="00557C2A">
        <w:rPr>
          <w:noProof/>
          <w:vertAlign w:val="subscript"/>
        </w:rPr>
        <w:t>2</w:t>
      </w:r>
      <w:r w:rsidRPr="00557C2A">
        <w:rPr>
          <w:noProof/>
        </w:rPr>
        <w:t>-emissies. Deze effecten zijn sterk afhankelijk van de gebruikte technologie, de locatie van de activa en de milieutoestand van de omringende flora en fauna. Deze effecten worden echter in het ontwerp van de voorgestelde maatregelen aangepakt door de invoering van waarborgen.</w:t>
      </w:r>
    </w:p>
    <w:p w14:paraId="4AA83EBD" w14:textId="77777777" w:rsidR="0051718E" w:rsidRPr="00557C2A" w:rsidRDefault="0051718E" w:rsidP="0051718E">
      <w:pPr>
        <w:pStyle w:val="ManualHeading3"/>
        <w:rPr>
          <w:noProof/>
        </w:rPr>
      </w:pPr>
      <w:bookmarkStart w:id="42" w:name="_Toc514938023"/>
      <w:bookmarkStart w:id="43" w:name="_Toc520485033"/>
      <w:bookmarkStart w:id="44" w:name="_Toc160804575"/>
      <w:bookmarkStart w:id="45" w:name="_Toc167220267"/>
      <w:bookmarkStart w:id="46" w:name="_Toc177548999"/>
      <w:r w:rsidRPr="00557C2A">
        <w:rPr>
          <w:noProof/>
        </w:rPr>
        <w:t>1.3.4.</w:t>
      </w:r>
      <w:r w:rsidRPr="00557C2A">
        <w:rPr>
          <w:noProof/>
        </w:rPr>
        <w:tab/>
        <w:t>Prestatie-indicatoren</w:t>
      </w:r>
      <w:bookmarkEnd w:id="42"/>
      <w:bookmarkEnd w:id="43"/>
      <w:bookmarkEnd w:id="44"/>
      <w:bookmarkEnd w:id="45"/>
      <w:bookmarkEnd w:id="46"/>
    </w:p>
    <w:p w14:paraId="337BBE7D" w14:textId="77777777" w:rsidR="0051718E" w:rsidRPr="00557C2A" w:rsidRDefault="0051718E" w:rsidP="0051718E">
      <w:pPr>
        <w:pStyle w:val="Text1"/>
        <w:rPr>
          <w:i/>
          <w:noProof/>
          <w:sz w:val="20"/>
        </w:rPr>
      </w:pPr>
      <w:r w:rsidRPr="00557C2A">
        <w:rPr>
          <w:i/>
          <w:noProof/>
          <w:sz w:val="20"/>
        </w:rPr>
        <w:t>Vermeld de indicatoren voor de monitoring van de voortgang en de beoordeling van de resultaten.</w:t>
      </w:r>
    </w:p>
    <w:tbl>
      <w:tblPr>
        <w:tblStyle w:val="TableGrid"/>
        <w:tblW w:w="0" w:type="auto"/>
        <w:tblInd w:w="850" w:type="dxa"/>
        <w:tblLook w:val="04A0" w:firstRow="1" w:lastRow="0" w:firstColumn="1" w:lastColumn="0" w:noHBand="0" w:noVBand="1"/>
      </w:tblPr>
      <w:tblGrid>
        <w:gridCol w:w="8437"/>
      </w:tblGrid>
      <w:tr w:rsidR="0051718E" w:rsidRPr="00557C2A" w14:paraId="5D678F75" w14:textId="77777777">
        <w:tc>
          <w:tcPr>
            <w:tcW w:w="9287" w:type="dxa"/>
          </w:tcPr>
          <w:p w14:paraId="2D47957B" w14:textId="77777777" w:rsidR="0051718E" w:rsidRPr="00557C2A" w:rsidRDefault="0051718E">
            <w:pPr>
              <w:pStyle w:val="Text1"/>
              <w:ind w:left="0"/>
              <w:rPr>
                <w:rFonts w:eastAsiaTheme="minorHAnsi"/>
                <w:noProof/>
              </w:rPr>
            </w:pPr>
            <w:r w:rsidRPr="00557C2A">
              <w:rPr>
                <w:noProof/>
              </w:rPr>
              <w:t>Het succes van het voorstel kan worden gemeten aan de hand van de operationele doelstelling van kortere en eenvoudigere vergunningsprocedures voor projecten op het gebied van energie-infrastructuur, hernieuwbare-energieactiva en opslag, en voor laadstations, evenals aan de hand van de volgende reeks indicatoren:</w:t>
            </w:r>
          </w:p>
          <w:p w14:paraId="2E3E61E2" w14:textId="77777777" w:rsidR="0051718E" w:rsidRPr="00557C2A" w:rsidRDefault="0051718E">
            <w:pPr>
              <w:pStyle w:val="Text1"/>
              <w:ind w:left="0"/>
              <w:rPr>
                <w:rFonts w:eastAsiaTheme="minorHAnsi"/>
                <w:noProof/>
              </w:rPr>
            </w:pPr>
            <w:r w:rsidRPr="00557C2A">
              <w:rPr>
                <w:noProof/>
              </w:rPr>
              <w:t xml:space="preserve">— de gemiddelde en maximale totale duur van vergunningsprocedures in jaren; </w:t>
            </w:r>
          </w:p>
          <w:p w14:paraId="2A3DD88B" w14:textId="77777777" w:rsidR="0051718E" w:rsidRPr="00557C2A" w:rsidRDefault="0051718E">
            <w:pPr>
              <w:pStyle w:val="Text1"/>
              <w:ind w:left="0"/>
              <w:rPr>
                <w:rFonts w:eastAsiaTheme="minorHAnsi"/>
                <w:noProof/>
              </w:rPr>
            </w:pPr>
            <w:r w:rsidRPr="00557C2A">
              <w:rPr>
                <w:noProof/>
              </w:rPr>
              <w:t xml:space="preserve">— het jaarlijkse percentage en de gemiddelde vertragingen in de vergunningsprocedure van projecten van gemeenschappelijk en wederzijds belang (in jaren); </w:t>
            </w:r>
          </w:p>
          <w:p w14:paraId="21A9243D" w14:textId="77777777" w:rsidR="0051718E" w:rsidRPr="00557C2A" w:rsidRDefault="0051718E">
            <w:pPr>
              <w:pStyle w:val="Text1"/>
              <w:ind w:left="0"/>
              <w:rPr>
                <w:rFonts w:eastAsiaTheme="minorHAnsi"/>
                <w:noProof/>
              </w:rPr>
            </w:pPr>
            <w:r w:rsidRPr="00557C2A">
              <w:rPr>
                <w:noProof/>
              </w:rPr>
              <w:t xml:space="preserve">— het digitaliseringspercentage van vergunningsprocedures — in percentage en aantal lidstaten die digitale procedures, vergunningsbeheerplatforms en gecentraliseerde archieven voor de relevante gegevens (in een voor de belanghebbenden gemakkelijk toegankelijk formaat) gebruiken; </w:t>
            </w:r>
          </w:p>
          <w:p w14:paraId="70E00688" w14:textId="77777777" w:rsidR="0051718E" w:rsidRPr="00557C2A" w:rsidRDefault="0051718E">
            <w:pPr>
              <w:pStyle w:val="Text1"/>
              <w:ind w:left="0"/>
              <w:rPr>
                <w:i/>
                <w:noProof/>
                <w:sz w:val="20"/>
              </w:rPr>
            </w:pPr>
            <w:r w:rsidRPr="00557C2A">
              <w:rPr>
                <w:noProof/>
              </w:rPr>
              <w:t>— het niveau van verzet tegen projecten van gemeenschappelijk belang (het aantal ingediende bezwaarschriften gedurende het openbare raadplegingsproces, het aantal wettelijke beroepsprocedures).</w:t>
            </w:r>
          </w:p>
        </w:tc>
      </w:tr>
    </w:tbl>
    <w:p w14:paraId="68F765AD" w14:textId="77777777" w:rsidR="0051718E" w:rsidRPr="00557C2A" w:rsidRDefault="0051718E" w:rsidP="0051718E">
      <w:pPr>
        <w:pStyle w:val="Text1"/>
        <w:rPr>
          <w:i/>
          <w:noProof/>
          <w:sz w:val="20"/>
        </w:rPr>
      </w:pPr>
    </w:p>
    <w:p w14:paraId="76048672" w14:textId="77777777" w:rsidR="0051718E" w:rsidRPr="00557C2A" w:rsidRDefault="0051718E" w:rsidP="0051718E">
      <w:pPr>
        <w:pStyle w:val="ManualHeading2"/>
        <w:rPr>
          <w:noProof/>
        </w:rPr>
      </w:pPr>
      <w:bookmarkStart w:id="47" w:name="_Toc177549000"/>
      <w:r w:rsidRPr="00557C2A">
        <w:rPr>
          <w:noProof/>
        </w:rPr>
        <w:t>1.4.</w:t>
      </w:r>
      <w:r w:rsidRPr="00557C2A">
        <w:rPr>
          <w:noProof/>
        </w:rPr>
        <w:tab/>
        <w:t>Het voorstel/initiatief betreft:</w:t>
      </w:r>
      <w:bookmarkEnd w:id="47"/>
      <w:r w:rsidRPr="00557C2A">
        <w:rPr>
          <w:noProof/>
        </w:rPr>
        <w:t xml:space="preserve"> </w:t>
      </w:r>
    </w:p>
    <w:p w14:paraId="26A6B322" w14:textId="77777777" w:rsidR="0051718E" w:rsidRPr="00557C2A" w:rsidRDefault="0051718E" w:rsidP="0051718E">
      <w:pPr>
        <w:pStyle w:val="Text1"/>
        <w:rPr>
          <w:noProof/>
          <w:sz w:val="22"/>
        </w:rPr>
      </w:pPr>
      <w:r w:rsidRPr="00557C2A">
        <w:rPr>
          <w:rFonts w:ascii="Wingdings" w:hAnsi="Wingdings"/>
          <w:noProof/>
          <w:sz w:val="22"/>
        </w:rPr>
        <w:t></w:t>
      </w:r>
      <w:r w:rsidRPr="00557C2A">
        <w:rPr>
          <w:i/>
          <w:noProof/>
          <w:sz w:val="22"/>
        </w:rPr>
        <w:t xml:space="preserve"> </w:t>
      </w:r>
      <w:r w:rsidRPr="00557C2A">
        <w:rPr>
          <w:noProof/>
        </w:rPr>
        <w:t>een nieuwe actie</w:t>
      </w:r>
      <w:r w:rsidRPr="00557C2A">
        <w:rPr>
          <w:noProof/>
          <w:sz w:val="22"/>
        </w:rPr>
        <w:t xml:space="preserve"> </w:t>
      </w:r>
    </w:p>
    <w:p w14:paraId="6432F298" w14:textId="77777777" w:rsidR="0051718E" w:rsidRPr="00557C2A" w:rsidRDefault="0051718E" w:rsidP="0051718E">
      <w:pPr>
        <w:pStyle w:val="Text1"/>
        <w:rPr>
          <w:noProof/>
          <w:sz w:val="22"/>
        </w:rPr>
      </w:pPr>
      <w:r w:rsidRPr="00557C2A">
        <w:rPr>
          <w:rFonts w:ascii="Wingdings" w:hAnsi="Wingdings"/>
          <w:noProof/>
          <w:sz w:val="22"/>
        </w:rPr>
        <w:t></w:t>
      </w:r>
      <w:r w:rsidRPr="00557C2A">
        <w:rPr>
          <w:i/>
          <w:noProof/>
          <w:sz w:val="22"/>
        </w:rPr>
        <w:t xml:space="preserve"> </w:t>
      </w:r>
      <w:r w:rsidRPr="00557C2A">
        <w:rPr>
          <w:noProof/>
        </w:rPr>
        <w:t>een nieuwe actie na een proefproject/voorbereidende actie</w:t>
      </w:r>
      <w:r w:rsidRPr="00557C2A">
        <w:rPr>
          <w:rStyle w:val="FootnoteReference"/>
          <w:noProof/>
        </w:rPr>
        <w:footnoteReference w:id="53"/>
      </w:r>
      <w:r w:rsidRPr="00557C2A">
        <w:rPr>
          <w:noProof/>
          <w:sz w:val="22"/>
        </w:rPr>
        <w:t xml:space="preserve"> </w:t>
      </w:r>
    </w:p>
    <w:p w14:paraId="1191A9DB" w14:textId="77777777" w:rsidR="0051718E" w:rsidRPr="00557C2A" w:rsidRDefault="0051718E" w:rsidP="0051718E">
      <w:pPr>
        <w:pStyle w:val="Text1"/>
        <w:rPr>
          <w:noProof/>
          <w:sz w:val="22"/>
        </w:rPr>
      </w:pPr>
      <w:r w:rsidRPr="00557C2A">
        <w:rPr>
          <w:rFonts w:ascii="Wingdings" w:hAnsi="Wingdings"/>
          <w:noProof/>
          <w:sz w:val="22"/>
        </w:rPr>
        <w:t></w:t>
      </w:r>
      <w:r w:rsidRPr="00557C2A">
        <w:rPr>
          <w:i/>
          <w:noProof/>
          <w:sz w:val="22"/>
        </w:rPr>
        <w:t xml:space="preserve"> </w:t>
      </w:r>
      <w:r w:rsidRPr="00557C2A">
        <w:rPr>
          <w:noProof/>
        </w:rPr>
        <w:t>de verlenging van een bestaande actie</w:t>
      </w:r>
      <w:r w:rsidRPr="00557C2A">
        <w:rPr>
          <w:noProof/>
          <w:sz w:val="22"/>
        </w:rPr>
        <w:t xml:space="preserve"> </w:t>
      </w:r>
    </w:p>
    <w:p w14:paraId="1C2DFAF8" w14:textId="77777777" w:rsidR="0051718E" w:rsidRPr="00557C2A" w:rsidRDefault="0051718E" w:rsidP="0051718E">
      <w:pPr>
        <w:pStyle w:val="Text1"/>
        <w:rPr>
          <w:noProof/>
        </w:rPr>
      </w:pPr>
      <w:r w:rsidRPr="00557C2A">
        <w:rPr>
          <w:rFonts w:ascii="Wingdings" w:hAnsi="Wingdings"/>
          <w:noProof/>
          <w:sz w:val="22"/>
        </w:rPr>
        <w:t></w:t>
      </w:r>
      <w:r w:rsidRPr="00557C2A">
        <w:rPr>
          <w:i/>
          <w:noProof/>
          <w:sz w:val="22"/>
        </w:rPr>
        <w:t xml:space="preserve"> </w:t>
      </w:r>
      <w:r w:rsidRPr="00557C2A">
        <w:rPr>
          <w:noProof/>
        </w:rPr>
        <w:t>de samenvoeging of ombuiging van een of meer acties naar een andere/een nieuwe actie</w:t>
      </w:r>
    </w:p>
    <w:p w14:paraId="2B01CFB7" w14:textId="77777777" w:rsidR="0051718E" w:rsidRPr="00557C2A" w:rsidRDefault="0051718E" w:rsidP="0051718E">
      <w:pPr>
        <w:pStyle w:val="ManualHeading2"/>
        <w:rPr>
          <w:bCs/>
          <w:noProof/>
          <w:szCs w:val="24"/>
        </w:rPr>
      </w:pPr>
      <w:bookmarkStart w:id="48" w:name="_Toc514938025"/>
      <w:bookmarkStart w:id="49" w:name="_Toc520485034"/>
      <w:bookmarkStart w:id="50" w:name="_Toc160804576"/>
      <w:bookmarkStart w:id="51" w:name="_Toc167220268"/>
      <w:bookmarkStart w:id="52" w:name="_Toc177549001"/>
      <w:r w:rsidRPr="00557C2A">
        <w:rPr>
          <w:noProof/>
        </w:rPr>
        <w:t>1.5.</w:t>
      </w:r>
      <w:r w:rsidRPr="00557C2A">
        <w:rPr>
          <w:noProof/>
        </w:rPr>
        <w:tab/>
        <w:t>Motivering van het voorstel/initiatief</w:t>
      </w:r>
      <w:bookmarkEnd w:id="48"/>
      <w:bookmarkEnd w:id="49"/>
      <w:bookmarkEnd w:id="50"/>
      <w:bookmarkEnd w:id="51"/>
      <w:bookmarkEnd w:id="52"/>
      <w:r w:rsidRPr="00557C2A">
        <w:rPr>
          <w:noProof/>
        </w:rPr>
        <w:t xml:space="preserve"> </w:t>
      </w:r>
    </w:p>
    <w:p w14:paraId="7F8A6E3A" w14:textId="77777777" w:rsidR="0051718E" w:rsidRPr="00557C2A" w:rsidRDefault="0051718E" w:rsidP="0051718E">
      <w:pPr>
        <w:pStyle w:val="ManualHeading3"/>
        <w:rPr>
          <w:noProof/>
        </w:rPr>
      </w:pPr>
      <w:bookmarkStart w:id="53" w:name="_Toc514938026"/>
      <w:bookmarkStart w:id="54" w:name="_Toc520485035"/>
      <w:bookmarkStart w:id="55" w:name="_Toc160804577"/>
      <w:bookmarkStart w:id="56" w:name="_Toc167220269"/>
      <w:bookmarkStart w:id="57" w:name="_Toc177549002"/>
      <w:r w:rsidRPr="00557C2A">
        <w:rPr>
          <w:noProof/>
        </w:rPr>
        <w:t>1.5.1.</w:t>
      </w:r>
      <w:r w:rsidRPr="00557C2A">
        <w:rPr>
          <w:noProof/>
        </w:rPr>
        <w:tab/>
        <w:t>Behoeften waarin op korte of lange termijn moet worden voorzien, met een gedetailleerd tijdschema voor de uitrol van het initiatief</w:t>
      </w:r>
      <w:bookmarkEnd w:id="53"/>
      <w:bookmarkEnd w:id="54"/>
      <w:bookmarkEnd w:id="55"/>
      <w:bookmarkEnd w:id="56"/>
      <w:bookmarkEnd w:id="57"/>
    </w:p>
    <w:p w14:paraId="7CB3A399" w14:textId="77777777" w:rsidR="0051718E" w:rsidRPr="00557C2A" w:rsidRDefault="0051718E" w:rsidP="0051718E">
      <w:pPr>
        <w:pStyle w:val="Text1"/>
        <w:pBdr>
          <w:top w:val="single" w:sz="4" w:space="1" w:color="auto"/>
          <w:left w:val="single" w:sz="4" w:space="4" w:color="auto"/>
          <w:bottom w:val="single" w:sz="4" w:space="1" w:color="auto"/>
          <w:right w:val="single" w:sz="4" w:space="4" w:color="auto"/>
        </w:pBdr>
        <w:rPr>
          <w:noProof/>
        </w:rPr>
      </w:pPr>
      <w:r w:rsidRPr="00557C2A">
        <w:rPr>
          <w:noProof/>
        </w:rPr>
        <w:t>Het voorstel omvat maatregelen inzake vergunningen voor projecten op het gebied van hernieuwbare energie, transmissie- en distributienetten, opslagprojecten en laadstations. De lidstaten zullen nieuwe maatregelen moeten vaststellen of hun wetgeving moeten wijzigen om deze regels om te zetten.</w:t>
      </w:r>
    </w:p>
    <w:p w14:paraId="12982097" w14:textId="77777777" w:rsidR="0051718E" w:rsidRPr="00557C2A" w:rsidRDefault="0051718E" w:rsidP="0051718E">
      <w:pPr>
        <w:pStyle w:val="ManualHeading3"/>
        <w:rPr>
          <w:bCs/>
          <w:noProof/>
          <w:szCs w:val="24"/>
        </w:rPr>
      </w:pPr>
      <w:bookmarkStart w:id="58" w:name="_Toc514938029"/>
      <w:bookmarkStart w:id="59" w:name="_Toc520485036"/>
      <w:bookmarkStart w:id="60" w:name="_Toc160804578"/>
      <w:bookmarkStart w:id="61" w:name="_Toc167220270"/>
      <w:bookmarkStart w:id="62" w:name="_Toc177549003"/>
      <w:r w:rsidRPr="00557C2A">
        <w:rPr>
          <w:noProof/>
        </w:rPr>
        <w:t>1.5.2.</w:t>
      </w:r>
      <w:r w:rsidRPr="00557C2A">
        <w:rPr>
          <w:noProof/>
        </w:rPr>
        <w:tab/>
        <w:t>Meerwaarde van het optreden van de EU (deze kan het resultaat zijn van verschillende factoren, bijvoorbeeld coördinatiewinst, rechtszekerheid, grotere doeltreffendheid of complementariteit). Voor de toepassing van dit punt wordt onder “meerwaarde van het optreden van de EU” verstaan de waarde die het optreden van de Unie oplevert bovenop de waarde die door een optreden van alleen de lidstaten zou zijn gecreëerd.</w:t>
      </w:r>
      <w:bookmarkEnd w:id="58"/>
      <w:bookmarkEnd w:id="59"/>
      <w:bookmarkEnd w:id="60"/>
      <w:bookmarkEnd w:id="61"/>
      <w:bookmarkEnd w:id="62"/>
    </w:p>
    <w:p w14:paraId="71270C02" w14:textId="77777777" w:rsidR="0051718E" w:rsidRPr="00557C2A" w:rsidRDefault="0051718E" w:rsidP="0051718E">
      <w:pPr>
        <w:pStyle w:val="Text1"/>
        <w:pBdr>
          <w:top w:val="single" w:sz="4" w:space="1" w:color="auto"/>
          <w:left w:val="single" w:sz="4" w:space="4" w:color="auto"/>
          <w:bottom w:val="single" w:sz="4" w:space="1" w:color="auto"/>
          <w:right w:val="single" w:sz="4" w:space="4" w:color="auto"/>
        </w:pBdr>
        <w:rPr>
          <w:noProof/>
        </w:rPr>
      </w:pPr>
      <w:r w:rsidRPr="00557C2A">
        <w:rPr>
          <w:noProof/>
        </w:rPr>
        <w:t xml:space="preserve">Redenen voor optreden op EU-niveau (ex ante) </w:t>
      </w:r>
    </w:p>
    <w:p w14:paraId="020489B0" w14:textId="77777777" w:rsidR="0051718E" w:rsidRPr="00557C2A" w:rsidRDefault="0051718E" w:rsidP="0051718E">
      <w:pPr>
        <w:pStyle w:val="Text1"/>
        <w:pBdr>
          <w:top w:val="single" w:sz="4" w:space="1" w:color="auto"/>
          <w:left w:val="single" w:sz="4" w:space="4" w:color="auto"/>
          <w:bottom w:val="single" w:sz="4" w:space="1" w:color="auto"/>
          <w:right w:val="single" w:sz="4" w:space="4" w:color="auto"/>
        </w:pBdr>
        <w:rPr>
          <w:noProof/>
        </w:rPr>
      </w:pPr>
      <w:r w:rsidRPr="00557C2A">
        <w:rPr>
          <w:noProof/>
        </w:rPr>
        <w:t>Het zou niet kostenefficiënt zijn om de energiedoelstellingen van de EU te verwezenlijken zonder aanvullende maatregelen voor de uitrol van hernieuwbare energie op EU-niveau. Er is een EU-aanpak nodig om de lidstaten de juiste stimulansen te bieden om op gecoördineerde wijze de energietransitie naar een energie-efficiënter energiesysteem dat grotendeels gebaseerd is op hernieuwbare-energiebronnen, te versnellen. De herziene richtlijn hernieuwbare energie bevat reeds bepalingen inzake vergunningen voor hernieuwbare energie, opslag op één locatie, en bijbehorende netten. Er is EU-optreden nodig om dat regelgevingskader op gecoördineerde wijze verder te verbeteren, waarmee snellere vergunningsprocedures voor hernieuwbare energie, opslag en laadstations tot stand komen en de afstemming tussen de lidstaten en de goede werking van de energie-unie worden gewaarborgd. Rekening houdend met de verschillen in energiebeleid tussen de lidstaten is de kans groter dat de klimaatdoelstelling van de EU en de benodigde grotere inzet van hernieuwbare-energiebronnen worden gerealiseerd met maatregelen op EU-niveau, ondersteund door het robuuste governancekader, dan met louter nationale of lokale maatregelen.</w:t>
      </w:r>
    </w:p>
    <w:p w14:paraId="0322DA37" w14:textId="77777777" w:rsidR="0051718E" w:rsidRPr="00557C2A" w:rsidRDefault="0051718E" w:rsidP="0051718E">
      <w:pPr>
        <w:pStyle w:val="Text1"/>
        <w:pBdr>
          <w:top w:val="single" w:sz="4" w:space="1" w:color="auto"/>
          <w:left w:val="single" w:sz="4" w:space="4" w:color="auto"/>
          <w:bottom w:val="single" w:sz="4" w:space="1" w:color="auto"/>
          <w:right w:val="single" w:sz="4" w:space="4" w:color="auto"/>
        </w:pBdr>
        <w:rPr>
          <w:noProof/>
        </w:rPr>
      </w:pPr>
      <w:r w:rsidRPr="00557C2A">
        <w:rPr>
          <w:noProof/>
        </w:rPr>
        <w:t xml:space="preserve">Verwachte meerwaarde van de EU (ex post) </w:t>
      </w:r>
    </w:p>
    <w:p w14:paraId="6B1A2913" w14:textId="77777777" w:rsidR="0051718E" w:rsidRPr="00557C2A" w:rsidRDefault="0051718E" w:rsidP="0051718E">
      <w:pPr>
        <w:pStyle w:val="Text1"/>
        <w:pBdr>
          <w:top w:val="single" w:sz="4" w:space="1" w:color="auto"/>
          <w:left w:val="single" w:sz="4" w:space="4" w:color="auto"/>
          <w:bottom w:val="single" w:sz="4" w:space="1" w:color="auto"/>
          <w:right w:val="single" w:sz="4" w:space="4" w:color="auto"/>
        </w:pBdr>
        <w:rPr>
          <w:noProof/>
        </w:rPr>
      </w:pPr>
      <w:r w:rsidRPr="00557C2A">
        <w:rPr>
          <w:noProof/>
        </w:rPr>
        <w:t>EU-maatregelen op het gebied van hernieuwbare energie uit hoofde van de herziene richtlijn hernieuwbare energie en met betrekking tot energie-infrastructuur uit hoofde van de elektriciteitsmarktrichtlijn en de gasmarktrichtlijn leveren meerwaarde op omdat ze doelmatiger en doeltreffender zijn dan maatregelen van afzonderlijke lidstaten; doordat de transitie van het Europese energiesysteem op gecoördineerde wijze wordt aangepakt, wordt een versnipperde benadering voorkomen. Met die maatregelen worden een nettoreductie van broeikasgasemissies en vervuiling gewaarborgd, de biodiversiteit beschermd, de vruchten van de interne markt geplukt, de schaalvoordelen en de pluspunten van technologische samenwerking in Europa ten volle benut, en wordt beleggers zekerheid geboden in de vorm van een regelgevingskader voor de gehele EU. Door op EU-niveau op te treden, in combinatie met maatregelen op het niveau van de lidstaten, kunnen verschillende belemmeringen voor publieke en particuliere investeringen worden aangepakt, waardoor nationale en lokale maatregelen worden aangevuld en versterkt.</w:t>
      </w:r>
    </w:p>
    <w:p w14:paraId="65A6BE79" w14:textId="77777777" w:rsidR="0051718E" w:rsidRPr="00557C2A" w:rsidRDefault="0051718E" w:rsidP="0051718E">
      <w:pPr>
        <w:pStyle w:val="Text1"/>
        <w:pBdr>
          <w:top w:val="single" w:sz="4" w:space="1" w:color="auto"/>
          <w:left w:val="single" w:sz="4" w:space="4" w:color="auto"/>
          <w:bottom w:val="single" w:sz="4" w:space="1" w:color="auto"/>
          <w:right w:val="single" w:sz="4" w:space="4" w:color="auto"/>
        </w:pBdr>
        <w:rPr>
          <w:noProof/>
        </w:rPr>
      </w:pPr>
      <w:r w:rsidRPr="00557C2A">
        <w:rPr>
          <w:noProof/>
        </w:rPr>
        <w:t>Het doel van het voorstel zou met nationale maatregelen niet in dezelfde mate kunnen worden bereikt en tegelijkertijd houdt het voorstel het voorrecht van de lidstaten in stand om hun energiemix en mate van bevoegdheid te kiezen en de details van hun vergunningskaders vast te stellen. Het voorstel kent een meer “top-down”-benadering, maar handhaaft en versterkt ook de bevoegdheden op nationaal niveau en wordt daarom geacht in overeenstemming te zijn met het subsidiariteitsbeginsel.</w:t>
      </w:r>
    </w:p>
    <w:p w14:paraId="48E614FA" w14:textId="77777777" w:rsidR="0051718E" w:rsidRPr="00557C2A" w:rsidRDefault="0051718E" w:rsidP="0051718E">
      <w:pPr>
        <w:pStyle w:val="ManualHeading3"/>
        <w:rPr>
          <w:noProof/>
        </w:rPr>
      </w:pPr>
      <w:bookmarkStart w:id="63" w:name="_Toc514938030"/>
      <w:bookmarkStart w:id="64" w:name="_Toc520485037"/>
      <w:bookmarkStart w:id="65" w:name="_Toc160804579"/>
      <w:bookmarkStart w:id="66" w:name="_Toc167220271"/>
      <w:bookmarkStart w:id="67" w:name="_Toc177549004"/>
      <w:r w:rsidRPr="00557C2A">
        <w:rPr>
          <w:noProof/>
        </w:rPr>
        <w:t>1.5.3.</w:t>
      </w:r>
      <w:r w:rsidRPr="00557C2A">
        <w:rPr>
          <w:noProof/>
        </w:rPr>
        <w:tab/>
        <w:t>Nuttige ervaring die bij soortgelijke activiteiten in het verleden is opgedaan</w:t>
      </w:r>
      <w:bookmarkEnd w:id="63"/>
      <w:bookmarkEnd w:id="64"/>
      <w:bookmarkEnd w:id="65"/>
      <w:bookmarkEnd w:id="66"/>
      <w:bookmarkEnd w:id="67"/>
    </w:p>
    <w:p w14:paraId="3DBF9FAD" w14:textId="77777777" w:rsidR="0051718E" w:rsidRPr="00557C2A" w:rsidRDefault="0051718E" w:rsidP="0051718E">
      <w:pPr>
        <w:pStyle w:val="Text1"/>
        <w:pBdr>
          <w:top w:val="single" w:sz="4" w:space="1" w:color="auto"/>
          <w:left w:val="single" w:sz="4" w:space="4" w:color="auto"/>
          <w:bottom w:val="single" w:sz="4" w:space="1" w:color="auto"/>
          <w:right w:val="single" w:sz="4" w:space="4" w:color="auto"/>
        </w:pBdr>
        <w:rPr>
          <w:noProof/>
        </w:rPr>
      </w:pPr>
      <w:r w:rsidRPr="00557C2A">
        <w:rPr>
          <w:noProof/>
        </w:rPr>
        <w:t>In het bij de effectbeoordeling gevoegde uitvoeringsverslag worden de lessen geanalyseerd die zijn getrokken uit de uitvoering van het vergunningskader dat op EU-niveau is vastgesteld bij de verordening van de Raad en de herziene richtlijn hernieuwbare energie. Het uitvoeringsverslag toont aan dat er verdere verbeteringen nodig zijn, met name wat betreft maatregelen in de verordening van de Raad die niet permanent waren, inspraak van het publiek, digitalisering en vereenvoudigde milieubeoordelingsprocedures.</w:t>
      </w:r>
    </w:p>
    <w:p w14:paraId="7B5D760D" w14:textId="77777777" w:rsidR="0051718E" w:rsidRPr="00557C2A" w:rsidRDefault="0051718E" w:rsidP="0051718E">
      <w:pPr>
        <w:pStyle w:val="ManualHeading3"/>
        <w:rPr>
          <w:noProof/>
        </w:rPr>
      </w:pPr>
      <w:bookmarkStart w:id="68" w:name="_Toc514938033"/>
      <w:bookmarkStart w:id="69" w:name="_Toc520485038"/>
      <w:bookmarkStart w:id="70" w:name="_Toc160804580"/>
      <w:bookmarkStart w:id="71" w:name="_Toc167220272"/>
      <w:bookmarkStart w:id="72" w:name="_Toc177549005"/>
      <w:r w:rsidRPr="00557C2A">
        <w:rPr>
          <w:noProof/>
        </w:rPr>
        <w:t>1.5.4.</w:t>
      </w:r>
      <w:r w:rsidRPr="00557C2A">
        <w:rPr>
          <w:noProof/>
        </w:rPr>
        <w:tab/>
        <w:t>Verenigbaarheid met het meerjarig financieel kader en eventuele synergie met andere passende instrumenten</w:t>
      </w:r>
      <w:bookmarkEnd w:id="68"/>
      <w:bookmarkEnd w:id="69"/>
      <w:bookmarkEnd w:id="70"/>
      <w:bookmarkEnd w:id="71"/>
      <w:bookmarkEnd w:id="72"/>
    </w:p>
    <w:p w14:paraId="4B86D87E" w14:textId="77777777" w:rsidR="0051718E" w:rsidRPr="00557C2A" w:rsidRDefault="0051718E" w:rsidP="0051718E">
      <w:pPr>
        <w:pStyle w:val="Text1"/>
        <w:pBdr>
          <w:top w:val="single" w:sz="4" w:space="1" w:color="auto"/>
          <w:left w:val="single" w:sz="4" w:space="4" w:color="auto"/>
          <w:bottom w:val="single" w:sz="4" w:space="1" w:color="auto"/>
          <w:right w:val="single" w:sz="4" w:space="4" w:color="auto"/>
        </w:pBdr>
        <w:rPr>
          <w:noProof/>
        </w:rPr>
      </w:pPr>
      <w:r w:rsidRPr="00557C2A">
        <w:rPr>
          <w:noProof/>
        </w:rPr>
        <w:t>Dit pakket Europese netten is een belangrijk resultaat in het kader van de Clean Industrial Deal en het actieplan voor betaalbare energie, die zijn opgenomen in het werkprogramma van de Commissie.  Het initiatief vormt een aanvulling op andere initiatieven die gericht zijn op het creëren van een meer geïntegreerde Europese energiemarkt en lagere energiekosten voor huishoudens en industrieën. Energie-infrastructuur is ook van cruciaal belang om de voorgestelde EU-klimaatdoelstelling voor 2040 te halen en om de doelstelling van de EU om tegen 2050 klimaatneutraal te zijn, te verwezenlijken.</w:t>
      </w:r>
    </w:p>
    <w:p w14:paraId="0F2C38B6" w14:textId="77777777" w:rsidR="0051718E" w:rsidRPr="00557C2A" w:rsidRDefault="0051718E" w:rsidP="0051718E">
      <w:pPr>
        <w:pStyle w:val="Text1"/>
        <w:pBdr>
          <w:top w:val="single" w:sz="4" w:space="1" w:color="auto"/>
          <w:left w:val="single" w:sz="4" w:space="4" w:color="auto"/>
          <w:bottom w:val="single" w:sz="4" w:space="1" w:color="auto"/>
          <w:right w:val="single" w:sz="4" w:space="4" w:color="auto"/>
        </w:pBdr>
        <w:rPr>
          <w:noProof/>
        </w:rPr>
      </w:pPr>
      <w:r w:rsidRPr="00557C2A">
        <w:rPr>
          <w:noProof/>
        </w:rPr>
        <w:t>In het voorstel van de Commissie voor het nieuwe meerjarig financieel kader (MFK) 2028-2034 wordt gewezen op het cruciale belang van een echte energie-unie.</w:t>
      </w:r>
    </w:p>
    <w:p w14:paraId="2E8856EA" w14:textId="77777777" w:rsidR="0051718E" w:rsidRPr="00557C2A" w:rsidRDefault="0051718E" w:rsidP="0051718E">
      <w:pPr>
        <w:pStyle w:val="ManualHeading3"/>
        <w:rPr>
          <w:noProof/>
        </w:rPr>
      </w:pPr>
      <w:bookmarkStart w:id="73" w:name="_Toc514938036"/>
      <w:bookmarkStart w:id="74" w:name="_Toc520485039"/>
      <w:bookmarkStart w:id="75" w:name="_Toc160804581"/>
      <w:bookmarkStart w:id="76" w:name="_Toc167220273"/>
      <w:bookmarkStart w:id="77" w:name="_Toc177549006"/>
      <w:r w:rsidRPr="00557C2A">
        <w:rPr>
          <w:noProof/>
        </w:rPr>
        <w:t>1.5.5.</w:t>
      </w:r>
      <w:r w:rsidRPr="00557C2A">
        <w:rPr>
          <w:noProof/>
        </w:rPr>
        <w:tab/>
        <w:t>Beoordeling van de verschillende beschikbare financieringsopties, waaronder mogelijkheden voor herschikking</w:t>
      </w:r>
      <w:bookmarkEnd w:id="73"/>
      <w:bookmarkEnd w:id="74"/>
      <w:bookmarkEnd w:id="75"/>
      <w:bookmarkEnd w:id="76"/>
      <w:bookmarkEnd w:id="77"/>
    </w:p>
    <w:p w14:paraId="3F7B1CB5" w14:textId="77777777" w:rsidR="0051718E" w:rsidRPr="00557C2A" w:rsidRDefault="0051718E" w:rsidP="0051718E">
      <w:pPr>
        <w:pStyle w:val="Text1"/>
        <w:pBdr>
          <w:top w:val="single" w:sz="4" w:space="1" w:color="auto"/>
          <w:left w:val="single" w:sz="4" w:space="4" w:color="auto"/>
          <w:bottom w:val="single" w:sz="4" w:space="1" w:color="auto"/>
          <w:right w:val="single" w:sz="4" w:space="4" w:color="auto"/>
        </w:pBdr>
        <w:rPr>
          <w:noProof/>
        </w:rPr>
      </w:pPr>
      <w:r w:rsidRPr="00557C2A">
        <w:rPr>
          <w:noProof/>
        </w:rPr>
        <w:t>In het effectbeoordelingsverslag bij dit voorstel zijn verschillende beleidsopties geanalyseerd om de algemene en specifieke doelstellingen van het initiatief te verwezenlijken. De voorkeursoptie die met dit wetgevingsvoorstel wordt nagestreefd, werd beschouwd als de meest doeltreffende en kostenefficiënte aanpak.</w:t>
      </w:r>
    </w:p>
    <w:p w14:paraId="71093374" w14:textId="77777777" w:rsidR="0051718E" w:rsidRPr="00557C2A" w:rsidRDefault="0051718E" w:rsidP="0051718E">
      <w:pPr>
        <w:pStyle w:val="ManualHeading2"/>
        <w:rPr>
          <w:bCs/>
          <w:noProof/>
          <w:szCs w:val="24"/>
        </w:rPr>
      </w:pPr>
      <w:r w:rsidRPr="00557C2A">
        <w:rPr>
          <w:noProof/>
        </w:rPr>
        <w:br w:type="page"/>
      </w:r>
      <w:bookmarkStart w:id="78" w:name="_Toc514938039"/>
      <w:bookmarkStart w:id="79" w:name="_Toc520485040"/>
      <w:bookmarkStart w:id="80" w:name="_Toc160804582"/>
      <w:bookmarkStart w:id="81" w:name="_Toc167220274"/>
      <w:bookmarkStart w:id="82" w:name="_Toc177549007"/>
      <w:r w:rsidRPr="00557C2A">
        <w:rPr>
          <w:noProof/>
        </w:rPr>
        <w:t>1.6.</w:t>
      </w:r>
      <w:r w:rsidRPr="00557C2A">
        <w:rPr>
          <w:noProof/>
        </w:rPr>
        <w:tab/>
        <w:t>Duur van het voorstel/initiatief</w:t>
      </w:r>
      <w:bookmarkEnd w:id="78"/>
      <w:bookmarkEnd w:id="79"/>
      <w:r w:rsidRPr="00557C2A">
        <w:rPr>
          <w:noProof/>
        </w:rPr>
        <w:t xml:space="preserve"> en van de financiële gevolgen ervan</w:t>
      </w:r>
      <w:bookmarkEnd w:id="80"/>
      <w:bookmarkEnd w:id="81"/>
      <w:bookmarkEnd w:id="82"/>
    </w:p>
    <w:p w14:paraId="0907D1F8" w14:textId="77777777" w:rsidR="0051718E" w:rsidRPr="00557C2A" w:rsidRDefault="0051718E" w:rsidP="0051718E">
      <w:pPr>
        <w:pStyle w:val="Text1"/>
        <w:rPr>
          <w:noProof/>
        </w:rPr>
      </w:pPr>
      <w:r w:rsidRPr="00557C2A">
        <w:rPr>
          <w:rFonts w:ascii="Wingdings" w:hAnsi="Wingdings"/>
          <w:noProof/>
        </w:rPr>
        <w:t></w:t>
      </w:r>
      <w:r w:rsidRPr="00557C2A">
        <w:rPr>
          <w:noProof/>
        </w:rPr>
        <w:t xml:space="preserve"> </w:t>
      </w:r>
      <w:r w:rsidRPr="00557C2A">
        <w:rPr>
          <w:b/>
          <w:bCs/>
          <w:noProof/>
        </w:rPr>
        <w:t>beperkte geldigheidsduur</w:t>
      </w:r>
      <w:r w:rsidRPr="00557C2A">
        <w:rPr>
          <w:b/>
          <w:noProof/>
        </w:rPr>
        <w:t xml:space="preserve"> </w:t>
      </w:r>
    </w:p>
    <w:p w14:paraId="0C0ECF12" w14:textId="77777777" w:rsidR="0051718E" w:rsidRPr="00557C2A" w:rsidRDefault="0051718E" w:rsidP="0051718E">
      <w:pPr>
        <w:pStyle w:val="ListDash2"/>
        <w:rPr>
          <w:noProof/>
        </w:rPr>
      </w:pPr>
      <w:r w:rsidRPr="00557C2A">
        <w:rPr>
          <w:rFonts w:ascii="Wingdings" w:hAnsi="Wingdings"/>
          <w:noProof/>
        </w:rPr>
        <w:t></w:t>
      </w:r>
      <w:r w:rsidRPr="00557C2A">
        <w:rPr>
          <w:noProof/>
        </w:rPr>
        <w:tab/>
        <w:t xml:space="preserve">van kracht vanaf [DD/MM]JJJJ tot en met [DD/MM]JJJJ. </w:t>
      </w:r>
    </w:p>
    <w:p w14:paraId="2F2A8CF4" w14:textId="77777777" w:rsidR="0051718E" w:rsidRPr="00557C2A" w:rsidRDefault="0051718E" w:rsidP="0051718E">
      <w:pPr>
        <w:pStyle w:val="ListDash2"/>
        <w:rPr>
          <w:noProof/>
        </w:rPr>
      </w:pPr>
      <w:r w:rsidRPr="00557C2A">
        <w:rPr>
          <w:rFonts w:ascii="Wingdings" w:hAnsi="Wingdings"/>
          <w:noProof/>
        </w:rPr>
        <w:t></w:t>
      </w:r>
      <w:r w:rsidRPr="00557C2A">
        <w:rPr>
          <w:noProof/>
        </w:rPr>
        <w:tab/>
        <w:t xml:space="preserve">financiële gevolgen vanaf JJJJ tot en met JJJJ voor vastleggingskredieten en vanaf JJJJ tot en met JJJJ voor betalingskredieten. </w:t>
      </w:r>
    </w:p>
    <w:p w14:paraId="0E6E34F3" w14:textId="77777777" w:rsidR="0051718E" w:rsidRPr="00557C2A" w:rsidRDefault="0051718E" w:rsidP="0051718E">
      <w:pPr>
        <w:pStyle w:val="Text1"/>
        <w:rPr>
          <w:noProof/>
        </w:rPr>
      </w:pPr>
      <w:r w:rsidRPr="00557C2A">
        <w:rPr>
          <w:rFonts w:ascii="Wingdings" w:hAnsi="Wingdings"/>
          <w:noProof/>
        </w:rPr>
        <w:t></w:t>
      </w:r>
      <w:r w:rsidRPr="00557C2A">
        <w:rPr>
          <w:noProof/>
        </w:rPr>
        <w:t xml:space="preserve"> </w:t>
      </w:r>
      <w:r w:rsidRPr="00557C2A">
        <w:rPr>
          <w:b/>
          <w:bCs/>
          <w:noProof/>
        </w:rPr>
        <w:t>onbeperkte geldigheidsduur</w:t>
      </w:r>
    </w:p>
    <w:p w14:paraId="34F20C9E" w14:textId="77777777" w:rsidR="0051718E" w:rsidRPr="00557C2A" w:rsidRDefault="0051718E" w:rsidP="0051718E">
      <w:pPr>
        <w:pStyle w:val="ListDash1"/>
        <w:rPr>
          <w:noProof/>
        </w:rPr>
      </w:pPr>
      <w:r w:rsidRPr="00557C2A">
        <w:rPr>
          <w:noProof/>
        </w:rPr>
        <w:t>uitvoering met een opstartperiode vanaf JJJJ tot en met JJJJ,</w:t>
      </w:r>
    </w:p>
    <w:p w14:paraId="44DAE808" w14:textId="77777777" w:rsidR="0051718E" w:rsidRPr="00557C2A" w:rsidRDefault="0051718E" w:rsidP="0051718E">
      <w:pPr>
        <w:pStyle w:val="ListDash1"/>
        <w:rPr>
          <w:noProof/>
        </w:rPr>
      </w:pPr>
      <w:r w:rsidRPr="00557C2A">
        <w:rPr>
          <w:noProof/>
        </w:rPr>
        <w:t>gevolgd door een volledige uitvoering.</w:t>
      </w:r>
    </w:p>
    <w:p w14:paraId="1D04648F" w14:textId="77777777" w:rsidR="0051718E" w:rsidRPr="00557C2A" w:rsidRDefault="0051718E" w:rsidP="0051718E">
      <w:pPr>
        <w:pStyle w:val="ManualHeading2"/>
        <w:rPr>
          <w:bCs/>
          <w:noProof/>
          <w:szCs w:val="24"/>
        </w:rPr>
      </w:pPr>
      <w:bookmarkStart w:id="83" w:name="_Toc514938040"/>
      <w:bookmarkStart w:id="84" w:name="_Toc520485041"/>
      <w:bookmarkStart w:id="85" w:name="_Toc160804583"/>
      <w:bookmarkStart w:id="86" w:name="_Toc167220275"/>
      <w:bookmarkStart w:id="87" w:name="_Toc177549008"/>
      <w:r w:rsidRPr="00557C2A">
        <w:rPr>
          <w:noProof/>
        </w:rPr>
        <w:t>1.7.</w:t>
      </w:r>
      <w:r w:rsidRPr="00557C2A">
        <w:rPr>
          <w:noProof/>
        </w:rPr>
        <w:tab/>
        <w:t>Wijzen van uitvoering van de begroting</w:t>
      </w:r>
      <w:r w:rsidRPr="00557C2A">
        <w:rPr>
          <w:rStyle w:val="FootnoteReference"/>
          <w:noProof/>
        </w:rPr>
        <w:footnoteReference w:id="54"/>
      </w:r>
      <w:r w:rsidRPr="00557C2A">
        <w:rPr>
          <w:rStyle w:val="FootnoteReference"/>
          <w:noProof/>
        </w:rPr>
        <w:t xml:space="preserve"> </w:t>
      </w:r>
      <w:bookmarkEnd w:id="83"/>
      <w:bookmarkEnd w:id="84"/>
      <w:bookmarkEnd w:id="85"/>
      <w:bookmarkEnd w:id="86"/>
      <w:bookmarkEnd w:id="87"/>
      <w:r w:rsidRPr="00557C2A">
        <w:rPr>
          <w:rStyle w:val="FootnoteReference"/>
          <w:noProof/>
        </w:rPr>
        <w:t xml:space="preserve"> </w:t>
      </w:r>
    </w:p>
    <w:p w14:paraId="4C9279C5" w14:textId="77777777" w:rsidR="0051718E" w:rsidRPr="00557C2A" w:rsidRDefault="0051718E" w:rsidP="0051718E">
      <w:pPr>
        <w:pStyle w:val="Text1"/>
        <w:rPr>
          <w:noProof/>
        </w:rPr>
      </w:pPr>
      <w:r w:rsidRPr="00557C2A">
        <w:rPr>
          <w:rFonts w:ascii="Wingdings" w:hAnsi="Wingdings"/>
          <w:noProof/>
        </w:rPr>
        <w:t></w:t>
      </w:r>
      <w:r w:rsidRPr="00557C2A">
        <w:rPr>
          <w:i/>
          <w:noProof/>
        </w:rPr>
        <w:t xml:space="preserve"> </w:t>
      </w:r>
      <w:r w:rsidRPr="00557C2A">
        <w:rPr>
          <w:b/>
          <w:noProof/>
        </w:rPr>
        <w:t>Direct beheer</w:t>
      </w:r>
      <w:r w:rsidRPr="00557C2A">
        <w:rPr>
          <w:noProof/>
        </w:rPr>
        <w:t xml:space="preserve"> door de Commissie</w:t>
      </w:r>
    </w:p>
    <w:p w14:paraId="2A5660C5" w14:textId="77777777" w:rsidR="0051718E" w:rsidRPr="00557C2A" w:rsidRDefault="0051718E" w:rsidP="0051718E">
      <w:pPr>
        <w:pStyle w:val="ListDash2"/>
        <w:rPr>
          <w:rFonts w:cs="EUAlbertina"/>
          <w:noProof/>
        </w:rPr>
      </w:pPr>
      <w:r w:rsidRPr="00557C2A">
        <w:rPr>
          <w:rFonts w:ascii="Wingdings" w:hAnsi="Wingdings"/>
          <w:noProof/>
        </w:rPr>
        <w:t></w:t>
      </w:r>
      <w:r w:rsidRPr="00557C2A">
        <w:rPr>
          <w:noProof/>
        </w:rPr>
        <w:t xml:space="preserve"> door haar diensten, waaronder het personeel in de delegaties van de Unie </w:t>
      </w:r>
    </w:p>
    <w:p w14:paraId="4ECB361D" w14:textId="77777777" w:rsidR="0051718E" w:rsidRPr="00557C2A" w:rsidRDefault="0051718E" w:rsidP="0051718E">
      <w:pPr>
        <w:pStyle w:val="ListDash2"/>
        <w:rPr>
          <w:noProof/>
        </w:rPr>
      </w:pPr>
      <w:r w:rsidRPr="00557C2A">
        <w:rPr>
          <w:rFonts w:ascii="Wingdings" w:hAnsi="Wingdings"/>
          <w:noProof/>
        </w:rPr>
        <w:t></w:t>
      </w:r>
      <w:r w:rsidRPr="00557C2A">
        <w:rPr>
          <w:noProof/>
        </w:rPr>
        <w:tab/>
        <w:t xml:space="preserve">door de uitvoerende agentschappen </w:t>
      </w:r>
    </w:p>
    <w:p w14:paraId="64E7DA7D" w14:textId="77777777" w:rsidR="0051718E" w:rsidRPr="00557C2A" w:rsidRDefault="0051718E" w:rsidP="0051718E">
      <w:pPr>
        <w:pStyle w:val="Text1"/>
        <w:rPr>
          <w:noProof/>
        </w:rPr>
      </w:pPr>
      <w:r w:rsidRPr="00557C2A">
        <w:rPr>
          <w:rFonts w:ascii="Wingdings" w:hAnsi="Wingdings"/>
          <w:noProof/>
        </w:rPr>
        <w:t></w:t>
      </w:r>
      <w:r w:rsidRPr="00557C2A">
        <w:rPr>
          <w:b/>
          <w:i/>
          <w:noProof/>
        </w:rPr>
        <w:t xml:space="preserve"> </w:t>
      </w:r>
      <w:r w:rsidRPr="00557C2A">
        <w:rPr>
          <w:b/>
          <w:bCs/>
          <w:noProof/>
        </w:rPr>
        <w:t>Gedeeld beheer</w:t>
      </w:r>
      <w:r w:rsidRPr="00557C2A">
        <w:rPr>
          <w:noProof/>
        </w:rPr>
        <w:t xml:space="preserve"> met de lidstaten </w:t>
      </w:r>
    </w:p>
    <w:p w14:paraId="2DB5D317" w14:textId="77777777" w:rsidR="0051718E" w:rsidRPr="00557C2A" w:rsidRDefault="0051718E" w:rsidP="0051718E">
      <w:pPr>
        <w:pStyle w:val="Text1"/>
        <w:rPr>
          <w:noProof/>
        </w:rPr>
      </w:pPr>
      <w:r w:rsidRPr="00557C2A">
        <w:rPr>
          <w:rFonts w:ascii="Wingdings" w:hAnsi="Wingdings"/>
          <w:noProof/>
        </w:rPr>
        <w:t></w:t>
      </w:r>
      <w:r w:rsidRPr="00557C2A">
        <w:rPr>
          <w:i/>
          <w:noProof/>
        </w:rPr>
        <w:t xml:space="preserve"> </w:t>
      </w:r>
      <w:r w:rsidRPr="00557C2A">
        <w:rPr>
          <w:b/>
          <w:noProof/>
        </w:rPr>
        <w:t>Indirect beheer</w:t>
      </w:r>
      <w:r w:rsidRPr="00557C2A">
        <w:rPr>
          <w:noProof/>
        </w:rPr>
        <w:t xml:space="preserve"> door begrotingsuitvoeringstaken toe te vertrouwen aan:</w:t>
      </w:r>
    </w:p>
    <w:p w14:paraId="336FDF7D" w14:textId="77777777" w:rsidR="0051718E" w:rsidRPr="00557C2A" w:rsidRDefault="0051718E" w:rsidP="0051718E">
      <w:pPr>
        <w:pStyle w:val="ListDash2"/>
        <w:rPr>
          <w:noProof/>
        </w:rPr>
      </w:pPr>
      <w:r w:rsidRPr="00557C2A">
        <w:rPr>
          <w:rFonts w:ascii="Wingdings" w:hAnsi="Wingdings"/>
          <w:noProof/>
        </w:rPr>
        <w:t></w:t>
      </w:r>
      <w:r w:rsidRPr="00557C2A">
        <w:rPr>
          <w:noProof/>
        </w:rPr>
        <w:t xml:space="preserve"> derde landen of de door hen aangewezen organen</w:t>
      </w:r>
    </w:p>
    <w:p w14:paraId="65DD98D9" w14:textId="77777777" w:rsidR="0051718E" w:rsidRPr="00557C2A" w:rsidRDefault="0051718E" w:rsidP="0051718E">
      <w:pPr>
        <w:pStyle w:val="ListDash2"/>
        <w:rPr>
          <w:noProof/>
        </w:rPr>
      </w:pPr>
      <w:r w:rsidRPr="00557C2A">
        <w:rPr>
          <w:rFonts w:ascii="Wingdings" w:hAnsi="Wingdings"/>
          <w:noProof/>
        </w:rPr>
        <w:t></w:t>
      </w:r>
      <w:r w:rsidRPr="00557C2A">
        <w:rPr>
          <w:noProof/>
        </w:rPr>
        <w:t xml:space="preserve"> internationale organisaties en hun agentschappen (geef aan welke)</w:t>
      </w:r>
    </w:p>
    <w:p w14:paraId="013D9FE4" w14:textId="77777777" w:rsidR="0051718E" w:rsidRPr="00557C2A" w:rsidRDefault="0051718E" w:rsidP="0051718E">
      <w:pPr>
        <w:pStyle w:val="ListDash2"/>
        <w:rPr>
          <w:noProof/>
        </w:rPr>
      </w:pPr>
      <w:r w:rsidRPr="00557C2A">
        <w:rPr>
          <w:rFonts w:ascii="Wingdings" w:hAnsi="Wingdings"/>
          <w:noProof/>
        </w:rPr>
        <w:t></w:t>
      </w:r>
      <w:r w:rsidRPr="00557C2A">
        <w:rPr>
          <w:noProof/>
        </w:rPr>
        <w:t xml:space="preserve"> de Europese Investeringsbank en het Europees Investeringsfonds</w:t>
      </w:r>
    </w:p>
    <w:p w14:paraId="342BA640" w14:textId="77777777" w:rsidR="0051718E" w:rsidRPr="00557C2A" w:rsidRDefault="0051718E" w:rsidP="0051718E">
      <w:pPr>
        <w:pStyle w:val="ListDash2"/>
        <w:rPr>
          <w:noProof/>
        </w:rPr>
      </w:pPr>
      <w:r w:rsidRPr="00557C2A">
        <w:rPr>
          <w:rFonts w:ascii="Wingdings" w:hAnsi="Wingdings"/>
          <w:noProof/>
        </w:rPr>
        <w:t></w:t>
      </w:r>
      <w:r w:rsidRPr="00557C2A">
        <w:rPr>
          <w:noProof/>
        </w:rPr>
        <w:t xml:space="preserve"> de in de artikelen 70 en 71 van het Financieel Reglement bedoelde organen</w:t>
      </w:r>
    </w:p>
    <w:p w14:paraId="0995B67A" w14:textId="77777777" w:rsidR="0051718E" w:rsidRPr="00557C2A" w:rsidRDefault="0051718E" w:rsidP="0051718E">
      <w:pPr>
        <w:pStyle w:val="ListDash2"/>
        <w:rPr>
          <w:noProof/>
        </w:rPr>
      </w:pPr>
      <w:r w:rsidRPr="00557C2A">
        <w:rPr>
          <w:rFonts w:ascii="Wingdings" w:hAnsi="Wingdings"/>
          <w:noProof/>
        </w:rPr>
        <w:t></w:t>
      </w:r>
      <w:r w:rsidRPr="00557C2A">
        <w:rPr>
          <w:noProof/>
        </w:rPr>
        <w:t xml:space="preserve"> publiekrechtelijke organen</w:t>
      </w:r>
    </w:p>
    <w:p w14:paraId="4F862167" w14:textId="77777777" w:rsidR="0051718E" w:rsidRPr="00557C2A" w:rsidRDefault="0051718E" w:rsidP="0051718E">
      <w:pPr>
        <w:pStyle w:val="ListDash2"/>
        <w:rPr>
          <w:noProof/>
        </w:rPr>
      </w:pPr>
      <w:r w:rsidRPr="00557C2A">
        <w:rPr>
          <w:rFonts w:ascii="Wingdings" w:hAnsi="Wingdings"/>
          <w:noProof/>
        </w:rPr>
        <w:t></w:t>
      </w:r>
      <w:r w:rsidRPr="00557C2A">
        <w:rPr>
          <w:noProof/>
        </w:rPr>
        <w:t xml:space="preserve"> privaatrechtelijke organen met een openbaredienstverleningstaak, voor zover zij zijn voorzien van voldoende financiële garanties</w:t>
      </w:r>
    </w:p>
    <w:p w14:paraId="67BC3BA7" w14:textId="77777777" w:rsidR="0051718E" w:rsidRPr="00557C2A" w:rsidRDefault="0051718E" w:rsidP="0051718E">
      <w:pPr>
        <w:pStyle w:val="ListDash2"/>
        <w:rPr>
          <w:noProof/>
        </w:rPr>
      </w:pPr>
      <w:r w:rsidRPr="00557C2A">
        <w:rPr>
          <w:rFonts w:ascii="Wingdings" w:hAnsi="Wingdings"/>
          <w:noProof/>
        </w:rPr>
        <w:t></w:t>
      </w:r>
      <w:r w:rsidRPr="00557C2A">
        <w:rPr>
          <w:noProof/>
        </w:rPr>
        <w:t xml:space="preserve"> privaatrechtelijke organen van een lidstaat, waaraan de uitvoering van een publiek-privaat partnerschap is toevertrouwd en die zijn voorzien van voldoende financiële garanties</w:t>
      </w:r>
    </w:p>
    <w:p w14:paraId="3B4965E9" w14:textId="77777777" w:rsidR="0051718E" w:rsidRPr="00557C2A" w:rsidRDefault="0051718E" w:rsidP="0051718E">
      <w:pPr>
        <w:pStyle w:val="ListDash2"/>
        <w:rPr>
          <w:noProof/>
        </w:rPr>
      </w:pPr>
      <w:r w:rsidRPr="00557C2A">
        <w:rPr>
          <w:rFonts w:ascii="Wingdings" w:hAnsi="Wingdings"/>
          <w:noProof/>
        </w:rPr>
        <w:t></w:t>
      </w:r>
      <w:r w:rsidRPr="00557C2A">
        <w:rPr>
          <w:noProof/>
        </w:rPr>
        <w:t xml:space="preserve"> organen waaraan of personen aan wie de uitvoering van specifieke maatregelen op het gebied van het gemeenschappelijk buitenlands en veiligheidsbeleid in het kader van titel V van het Verdrag betreffende de Europese Unie is toevertrouwd en die worden genoemd in de betrokken basishandeling</w:t>
      </w:r>
    </w:p>
    <w:p w14:paraId="09D7793C" w14:textId="77777777" w:rsidR="0051718E" w:rsidRPr="00557C2A" w:rsidRDefault="0051718E" w:rsidP="0051718E">
      <w:pPr>
        <w:pStyle w:val="ListDash2"/>
        <w:rPr>
          <w:noProof/>
        </w:rPr>
      </w:pPr>
      <w:r w:rsidRPr="00557C2A">
        <w:rPr>
          <w:rFonts w:ascii="Wingdings" w:hAnsi="Wingdings"/>
          <w:noProof/>
        </w:rPr>
        <w:t></w:t>
      </w:r>
      <w:r w:rsidRPr="00557C2A">
        <w:rPr>
          <w:rFonts w:ascii="Wingdings" w:hAnsi="Wingdings"/>
          <w:noProof/>
        </w:rPr>
        <w:t></w:t>
      </w:r>
      <w:r w:rsidRPr="00557C2A">
        <w:rPr>
          <w:noProof/>
        </w:rPr>
        <w:t>in een lidstaat gevestigde organen die onder het privaatrecht van een lidstaat of onder het Unierecht vallen en die in aanmerking komen om overeenkomstig sectorspecifieke regelgeving te worden belast met de uitvoering van middelen van de Unie of begrotingsgaranties, voor zover dergelijke organen onder zeggenschap staan van publiekrechtelijke organen of privaatrechtelijke organen met een openbaredienstverleningstaak, en beschikken over voldoende financiële garanties in de vorm van hoofdelijke aansprakelijkheid van de controlerende organen of gelijkwaardige financiële garanties, die voor elke actie beperkt kunnen blijven tot het maximumbedrag van de steun van de Unie</w:t>
      </w:r>
    </w:p>
    <w:p w14:paraId="3F0105C4" w14:textId="77777777" w:rsidR="0051718E" w:rsidRPr="00557C2A" w:rsidRDefault="0051718E" w:rsidP="0051718E">
      <w:pPr>
        <w:rPr>
          <w:noProof/>
        </w:rPr>
      </w:pPr>
    </w:p>
    <w:p w14:paraId="2547112A" w14:textId="77777777" w:rsidR="0051718E" w:rsidRPr="00557C2A" w:rsidRDefault="0051718E" w:rsidP="0051718E">
      <w:pPr>
        <w:rPr>
          <w:noProof/>
        </w:rPr>
      </w:pPr>
      <w:r w:rsidRPr="00557C2A">
        <w:rPr>
          <w:noProof/>
        </w:rPr>
        <w:t xml:space="preserve">Opmerkingen </w:t>
      </w:r>
    </w:p>
    <w:p w14:paraId="326A2D62" w14:textId="77777777" w:rsidR="0051718E" w:rsidRPr="00557C2A" w:rsidRDefault="0051718E" w:rsidP="0051718E">
      <w:pPr>
        <w:pBdr>
          <w:top w:val="single" w:sz="4" w:space="1" w:color="auto"/>
          <w:left w:val="single" w:sz="4" w:space="4" w:color="auto"/>
          <w:bottom w:val="single" w:sz="4" w:space="1" w:color="auto"/>
          <w:right w:val="single" w:sz="4" w:space="4" w:color="auto"/>
        </w:pBdr>
        <w:rPr>
          <w:noProof/>
        </w:rPr>
      </w:pPr>
      <w:r w:rsidRPr="00557C2A">
        <w:rPr>
          <w:noProof/>
        </w:rPr>
        <w:t xml:space="preserve">De enige begrotingsbehoefte die voor dit voorstel is vastgesteld, houdt verband met het contract voor externe ondersteuning voor de omzettingscontroles van de richtlijn. Gezien het gebruikelijke tijdschema voor onderhandelingen, goedkeuring en omzetting, zal een dergelijk contract na 2028 en dus tijdens het volgende MFK nodig zijn. </w:t>
      </w:r>
    </w:p>
    <w:p w14:paraId="2E5BDA20" w14:textId="77777777" w:rsidR="0051718E" w:rsidRPr="00557C2A" w:rsidRDefault="0051718E" w:rsidP="0051718E">
      <w:pPr>
        <w:pBdr>
          <w:top w:val="single" w:sz="4" w:space="1" w:color="auto"/>
          <w:left w:val="single" w:sz="4" w:space="4" w:color="auto"/>
          <w:bottom w:val="single" w:sz="4" w:space="1" w:color="auto"/>
          <w:right w:val="single" w:sz="4" w:space="4" w:color="auto"/>
        </w:pBdr>
        <w:rPr>
          <w:noProof/>
        </w:rPr>
      </w:pPr>
    </w:p>
    <w:p w14:paraId="14CBC915" w14:textId="77777777" w:rsidR="0051718E" w:rsidRPr="00557C2A" w:rsidRDefault="0051718E" w:rsidP="0051718E">
      <w:pPr>
        <w:rPr>
          <w:noProof/>
        </w:rPr>
        <w:sectPr w:rsidR="0051718E" w:rsidRPr="00557C2A" w:rsidSect="009832A3">
          <w:pgSz w:w="11907" w:h="16840" w:code="9"/>
          <w:pgMar w:top="1134" w:right="1418" w:bottom="1134" w:left="1418" w:header="709" w:footer="709" w:gutter="0"/>
          <w:cols w:space="708"/>
          <w:docGrid w:linePitch="360"/>
        </w:sectPr>
      </w:pPr>
    </w:p>
    <w:p w14:paraId="68EDDABB" w14:textId="77777777" w:rsidR="0051718E" w:rsidRPr="00557C2A" w:rsidRDefault="0051718E" w:rsidP="0051718E">
      <w:pPr>
        <w:pStyle w:val="ManualHeading1"/>
        <w:rPr>
          <w:bCs/>
          <w:noProof/>
          <w:szCs w:val="24"/>
        </w:rPr>
      </w:pPr>
      <w:bookmarkStart w:id="88" w:name="_Toc514938041"/>
      <w:bookmarkStart w:id="89" w:name="_Toc520485042"/>
      <w:bookmarkStart w:id="90" w:name="_Toc160804584"/>
      <w:bookmarkStart w:id="91" w:name="_Toc167220276"/>
      <w:bookmarkStart w:id="92" w:name="_Toc177549009"/>
      <w:r w:rsidRPr="00557C2A">
        <w:rPr>
          <w:noProof/>
        </w:rPr>
        <w:t>2.</w:t>
      </w:r>
      <w:r w:rsidRPr="00557C2A">
        <w:rPr>
          <w:noProof/>
        </w:rPr>
        <w:tab/>
        <w:t>BEHEERSMAATREGELEN</w:t>
      </w:r>
      <w:bookmarkEnd w:id="88"/>
      <w:bookmarkEnd w:id="89"/>
      <w:bookmarkEnd w:id="90"/>
      <w:bookmarkEnd w:id="91"/>
      <w:bookmarkEnd w:id="92"/>
      <w:r w:rsidRPr="00557C2A">
        <w:rPr>
          <w:noProof/>
        </w:rPr>
        <w:t xml:space="preserve"> </w:t>
      </w:r>
    </w:p>
    <w:p w14:paraId="07ED294E" w14:textId="77777777" w:rsidR="0051718E" w:rsidRPr="00557C2A" w:rsidRDefault="0051718E" w:rsidP="0051718E">
      <w:pPr>
        <w:pStyle w:val="ManualHeading2"/>
        <w:rPr>
          <w:noProof/>
        </w:rPr>
      </w:pPr>
      <w:bookmarkStart w:id="93" w:name="_Toc514938042"/>
      <w:bookmarkStart w:id="94" w:name="_Toc520485043"/>
      <w:bookmarkStart w:id="95" w:name="_Toc160804585"/>
      <w:bookmarkStart w:id="96" w:name="_Toc167220277"/>
      <w:bookmarkStart w:id="97" w:name="_Toc177549010"/>
      <w:r w:rsidRPr="00557C2A">
        <w:rPr>
          <w:noProof/>
        </w:rPr>
        <w:t>2.1.</w:t>
      </w:r>
      <w:r w:rsidRPr="00557C2A">
        <w:rPr>
          <w:noProof/>
        </w:rPr>
        <w:tab/>
        <w:t>Regels inzake het toezicht en de verslagen</w:t>
      </w:r>
      <w:bookmarkEnd w:id="93"/>
      <w:bookmarkEnd w:id="94"/>
      <w:bookmarkEnd w:id="95"/>
      <w:bookmarkEnd w:id="96"/>
      <w:bookmarkEnd w:id="97"/>
      <w:r w:rsidRPr="00557C2A">
        <w:rPr>
          <w:noProof/>
        </w:rPr>
        <w:t xml:space="preserve"> </w:t>
      </w:r>
    </w:p>
    <w:p w14:paraId="305641FF" w14:textId="77777777" w:rsidR="0051718E" w:rsidRPr="00557C2A" w:rsidRDefault="0051718E" w:rsidP="0051718E">
      <w:pPr>
        <w:pStyle w:val="Text1"/>
        <w:pBdr>
          <w:top w:val="single" w:sz="4" w:space="1" w:color="auto"/>
          <w:left w:val="single" w:sz="4" w:space="4" w:color="auto"/>
          <w:bottom w:val="single" w:sz="4" w:space="1" w:color="auto"/>
          <w:right w:val="single" w:sz="4" w:space="4" w:color="auto"/>
        </w:pBdr>
        <w:rPr>
          <w:noProof/>
        </w:rPr>
      </w:pPr>
      <w:r w:rsidRPr="00557C2A">
        <w:rPr>
          <w:noProof/>
        </w:rPr>
        <w:t>De taken die rechtstreeks door DG ENER worden uitgevoerd, volgen de jaarlijkse planning- en monitoringcyclus, zoals die wordt uitgevoerd in de Commissie en de uitvoerende agentschappen, met inbegrip van de verslaglegging over de resultaten via het jaarlijks activiteitenverslag van DG ENER.</w:t>
      </w:r>
    </w:p>
    <w:p w14:paraId="782E9100" w14:textId="77777777" w:rsidR="0051718E" w:rsidRPr="00557C2A" w:rsidRDefault="0051718E" w:rsidP="0051718E">
      <w:pPr>
        <w:pStyle w:val="ManualHeading2"/>
        <w:rPr>
          <w:bCs/>
          <w:noProof/>
          <w:szCs w:val="24"/>
        </w:rPr>
      </w:pPr>
      <w:bookmarkStart w:id="98" w:name="_Toc514938045"/>
      <w:bookmarkStart w:id="99" w:name="_Toc520485044"/>
      <w:bookmarkStart w:id="100" w:name="_Toc160804586"/>
      <w:bookmarkStart w:id="101" w:name="_Toc167220278"/>
      <w:bookmarkStart w:id="102" w:name="_Toc177549011"/>
      <w:r w:rsidRPr="00557C2A">
        <w:rPr>
          <w:noProof/>
        </w:rPr>
        <w:t>2.2.</w:t>
      </w:r>
      <w:r w:rsidRPr="00557C2A">
        <w:rPr>
          <w:noProof/>
        </w:rPr>
        <w:tab/>
        <w:t>Beheers- en controlesystemen</w:t>
      </w:r>
      <w:bookmarkEnd w:id="98"/>
      <w:bookmarkEnd w:id="99"/>
      <w:bookmarkEnd w:id="100"/>
      <w:bookmarkEnd w:id="101"/>
      <w:bookmarkEnd w:id="102"/>
      <w:r w:rsidRPr="00557C2A">
        <w:rPr>
          <w:noProof/>
        </w:rPr>
        <w:t xml:space="preserve"> </w:t>
      </w:r>
    </w:p>
    <w:p w14:paraId="2D7DA423" w14:textId="77777777" w:rsidR="0051718E" w:rsidRPr="00557C2A" w:rsidRDefault="0051718E" w:rsidP="0051718E">
      <w:pPr>
        <w:pStyle w:val="ManualHeading3"/>
        <w:rPr>
          <w:noProof/>
        </w:rPr>
      </w:pPr>
      <w:bookmarkStart w:id="103" w:name="_Toc514938046"/>
      <w:bookmarkStart w:id="104" w:name="_Toc520485045"/>
      <w:bookmarkStart w:id="105" w:name="_Toc160804587"/>
      <w:bookmarkStart w:id="106" w:name="_Toc167220279"/>
      <w:bookmarkStart w:id="107" w:name="_Toc177549012"/>
      <w:r w:rsidRPr="00557C2A">
        <w:rPr>
          <w:noProof/>
        </w:rPr>
        <w:t>2.2.1.</w:t>
      </w:r>
      <w:r w:rsidRPr="00557C2A">
        <w:rPr>
          <w:noProof/>
        </w:rPr>
        <w:tab/>
        <w:t>Rechtvaardiging van de voorgestelde wijzen van uitvoering van de begroting, uitvoeringsmechanismen voor financiering, betalingsvoorwaarden en controlestrategie</w:t>
      </w:r>
      <w:bookmarkEnd w:id="103"/>
      <w:bookmarkEnd w:id="104"/>
      <w:bookmarkEnd w:id="105"/>
      <w:bookmarkEnd w:id="106"/>
      <w:bookmarkEnd w:id="107"/>
    </w:p>
    <w:p w14:paraId="480EA55C" w14:textId="77777777" w:rsidR="0051718E" w:rsidRPr="00557C2A" w:rsidRDefault="0051718E" w:rsidP="0051718E">
      <w:pPr>
        <w:pStyle w:val="Text1"/>
        <w:pBdr>
          <w:top w:val="single" w:sz="4" w:space="1" w:color="auto"/>
          <w:left w:val="single" w:sz="4" w:space="4" w:color="auto"/>
          <w:bottom w:val="single" w:sz="4" w:space="1" w:color="auto"/>
          <w:right w:val="single" w:sz="4" w:space="4" w:color="auto"/>
        </w:pBdr>
        <w:rPr>
          <w:noProof/>
        </w:rPr>
      </w:pPr>
      <w:r w:rsidRPr="00557C2A">
        <w:rPr>
          <w:noProof/>
        </w:rPr>
        <w:t>Vereiste 1:</w:t>
      </w:r>
    </w:p>
    <w:p w14:paraId="74EAA1AC" w14:textId="77777777" w:rsidR="0051718E" w:rsidRPr="00557C2A" w:rsidRDefault="0051718E" w:rsidP="0051718E">
      <w:pPr>
        <w:pStyle w:val="Text1"/>
        <w:pBdr>
          <w:top w:val="single" w:sz="4" w:space="1" w:color="auto"/>
          <w:left w:val="single" w:sz="4" w:space="4" w:color="auto"/>
          <w:bottom w:val="single" w:sz="4" w:space="1" w:color="auto"/>
          <w:right w:val="single" w:sz="4" w:space="4" w:color="auto"/>
        </w:pBdr>
        <w:rPr>
          <w:noProof/>
        </w:rPr>
      </w:pPr>
      <w:r w:rsidRPr="00557C2A">
        <w:rPr>
          <w:noProof/>
        </w:rPr>
        <w:t>De inzet van een externe dienstverlener voor de organisatie van het materiaal en een eerste beoordeling van de maatregelen is een gebruikelijke praktijk, gezien de omvang van de maatregelen en het gebruik van nationale talen in de door de lidstaten meegedeelde maatregelen. De opdracht wordt gegund via een openbare aanbestedingsprocedure. In dit geval zal de aanbesteding worden uitgevoerd onder direct beheer, met volledige toepassing van het Financieel Reglement. De controlestrategie voor aanbestedingen van DG ENER omvat specifieke juridische, operationele en financiële controles vooraf, zowel in het kader van de aanbestedingsprocedure (evaluatie door de Aankoop- en gunningsadviescommissie) als bij de ondertekening van contracten. Bovendien zijn uitgaven voor de aankoop van goederen en diensten onderworpen aan controles vooraf en, indien nodig, controles achteraf en financiële controles.</w:t>
      </w:r>
    </w:p>
    <w:p w14:paraId="684928DC" w14:textId="77777777" w:rsidR="0051718E" w:rsidRPr="00557C2A" w:rsidRDefault="0051718E" w:rsidP="0051718E">
      <w:pPr>
        <w:pStyle w:val="ManualHeading3"/>
        <w:rPr>
          <w:bCs/>
          <w:noProof/>
          <w:szCs w:val="24"/>
        </w:rPr>
      </w:pPr>
      <w:bookmarkStart w:id="108" w:name="_Toc514938047"/>
      <w:bookmarkStart w:id="109" w:name="_Toc520485046"/>
      <w:bookmarkStart w:id="110" w:name="_Toc160804588"/>
      <w:bookmarkStart w:id="111" w:name="_Toc167220280"/>
      <w:bookmarkStart w:id="112" w:name="_Toc177549013"/>
      <w:r w:rsidRPr="00557C2A">
        <w:rPr>
          <w:noProof/>
        </w:rPr>
        <w:t>2.2.2.</w:t>
      </w:r>
      <w:r w:rsidRPr="00557C2A">
        <w:rPr>
          <w:noProof/>
        </w:rPr>
        <w:tab/>
        <w:t>Informatie over de vastgestelde risico’s en het systeem of de systemen voor interne controle die zijn opgezet om die risico’s te beperken</w:t>
      </w:r>
      <w:bookmarkEnd w:id="108"/>
      <w:bookmarkEnd w:id="109"/>
      <w:bookmarkEnd w:id="110"/>
      <w:bookmarkEnd w:id="111"/>
      <w:bookmarkEnd w:id="112"/>
    </w:p>
    <w:p w14:paraId="59B176FB" w14:textId="77777777" w:rsidR="0051718E" w:rsidRPr="00557C2A" w:rsidRDefault="0051718E" w:rsidP="0051718E">
      <w:pPr>
        <w:pStyle w:val="Text1"/>
        <w:pBdr>
          <w:top w:val="single" w:sz="4" w:space="1" w:color="auto"/>
          <w:left w:val="single" w:sz="4" w:space="4" w:color="auto"/>
          <w:bottom w:val="single" w:sz="4" w:space="1" w:color="auto"/>
          <w:right w:val="single" w:sz="4" w:space="4" w:color="auto"/>
        </w:pBdr>
        <w:rPr>
          <w:noProof/>
        </w:rPr>
      </w:pPr>
      <w:r w:rsidRPr="00557C2A">
        <w:rPr>
          <w:noProof/>
        </w:rPr>
        <w:t>De elementen die rechtstreeks door DG ENER worden beheerd, kunnen onderhevig zijn aan de gebruikelijke risico’s die van invloed zijn op aanbestedingsprocedures. Deze risico’s worden als laag beschouwd wat betreft de wettigheid en regelmatigheid van de uitgaven. Er bestaan passende en doeltreffende controles op het niveau van de organisatie en de DG’s. Wat de prestaties betreft, is het belangrijkste risico een verkeerde raming van de werklast die dit voorstel met zich meebrengt. Dit risico moet worden aanvaard en hangt af van de omzetting door de lidstaten en van de interne werkorganisatie en prioritering.</w:t>
      </w:r>
    </w:p>
    <w:p w14:paraId="082E6D14" w14:textId="77777777" w:rsidR="0051718E" w:rsidRPr="00557C2A" w:rsidRDefault="0051718E" w:rsidP="0051718E">
      <w:pPr>
        <w:pStyle w:val="ManualHeading3"/>
        <w:rPr>
          <w:noProof/>
        </w:rPr>
      </w:pPr>
      <w:bookmarkStart w:id="113" w:name="_Toc514938048"/>
      <w:bookmarkStart w:id="114" w:name="_Toc520485047"/>
      <w:bookmarkStart w:id="115" w:name="_Toc160804589"/>
      <w:bookmarkStart w:id="116" w:name="_Toc167220281"/>
      <w:bookmarkStart w:id="117" w:name="_Toc177549014"/>
      <w:r w:rsidRPr="00557C2A">
        <w:rPr>
          <w:noProof/>
        </w:rPr>
        <w:t>2.2.3.</w:t>
      </w:r>
      <w:r w:rsidRPr="00557C2A">
        <w:rPr>
          <w:noProof/>
        </w:rPr>
        <w:tab/>
        <w:t>Raming en motivering van de kosteneffectiviteit van de controles (verhouding tussen de controlekosten en de waarde van de desbetreffende financiële middelen) en evaluatie van het verwachte foutenrisico (bij betaling en bij afsluiting)</w:t>
      </w:r>
      <w:bookmarkEnd w:id="113"/>
      <w:bookmarkEnd w:id="114"/>
      <w:bookmarkEnd w:id="115"/>
      <w:bookmarkEnd w:id="116"/>
      <w:bookmarkEnd w:id="117"/>
      <w:r w:rsidRPr="00557C2A">
        <w:rPr>
          <w:noProof/>
        </w:rPr>
        <w:t xml:space="preserve"> </w:t>
      </w:r>
    </w:p>
    <w:p w14:paraId="781B4F56" w14:textId="77777777" w:rsidR="0051718E" w:rsidRPr="00557C2A" w:rsidRDefault="0051718E" w:rsidP="0051718E">
      <w:pPr>
        <w:pStyle w:val="Text1"/>
        <w:pBdr>
          <w:top w:val="single" w:sz="4" w:space="1" w:color="auto"/>
          <w:left w:val="single" w:sz="4" w:space="4" w:color="auto"/>
          <w:bottom w:val="single" w:sz="4" w:space="1" w:color="auto"/>
          <w:right w:val="single" w:sz="4" w:space="4" w:color="auto"/>
        </w:pBdr>
        <w:rPr>
          <w:noProof/>
        </w:rPr>
      </w:pPr>
      <w:r w:rsidRPr="00557C2A">
        <w:rPr>
          <w:noProof/>
        </w:rPr>
        <w:t>De aan DG ENER toegewezen taken zullen worden uitgevoerd volgens het reeds bestaande controlesysteem en de verhouding van de controlekosten zal naar verwachting stabiel blijven (5 tot 6 % van de beheerde middelen op basis van recente exercities).</w:t>
      </w:r>
      <w:r w:rsidRPr="00557C2A">
        <w:rPr>
          <w:rFonts w:ascii="Arial" w:hAnsi="Arial"/>
          <w:noProof/>
        </w:rPr>
        <w:t xml:space="preserve"> </w:t>
      </w:r>
      <w:r w:rsidRPr="00557C2A">
        <w:rPr>
          <w:noProof/>
        </w:rPr>
        <w:t>Het verwachte foutenrisico bij betaling en bij afsluiting zal, in overeenstemming met de geraamde foutenpercentages voor aanbestedingsprocedures, naar verwachting laag blijven en onder de materialiteitsdrempel van 2 % blijven.</w:t>
      </w:r>
    </w:p>
    <w:p w14:paraId="4ABF837D" w14:textId="77777777" w:rsidR="0051718E" w:rsidRPr="00557C2A" w:rsidRDefault="0051718E" w:rsidP="0051718E">
      <w:pPr>
        <w:pStyle w:val="ManualHeading2"/>
        <w:rPr>
          <w:bCs/>
          <w:noProof/>
          <w:szCs w:val="24"/>
        </w:rPr>
      </w:pPr>
      <w:bookmarkStart w:id="118" w:name="_Toc514938049"/>
      <w:bookmarkStart w:id="119" w:name="_Toc520485048"/>
      <w:bookmarkStart w:id="120" w:name="_Toc160804590"/>
      <w:bookmarkStart w:id="121" w:name="_Toc167220282"/>
      <w:bookmarkStart w:id="122" w:name="_Toc177549015"/>
      <w:r w:rsidRPr="00557C2A">
        <w:rPr>
          <w:noProof/>
        </w:rPr>
        <w:t>2.3.</w:t>
      </w:r>
      <w:r w:rsidRPr="00557C2A">
        <w:rPr>
          <w:noProof/>
        </w:rPr>
        <w:tab/>
        <w:t>Maatregelen ter voorkoming van fraude en onregelmatigheden</w:t>
      </w:r>
      <w:bookmarkEnd w:id="118"/>
      <w:bookmarkEnd w:id="119"/>
      <w:bookmarkEnd w:id="120"/>
      <w:bookmarkEnd w:id="121"/>
      <w:bookmarkEnd w:id="122"/>
      <w:r w:rsidRPr="00557C2A">
        <w:rPr>
          <w:noProof/>
        </w:rPr>
        <w:t xml:space="preserve"> </w:t>
      </w:r>
    </w:p>
    <w:p w14:paraId="302425F5" w14:textId="77777777" w:rsidR="0051718E" w:rsidRPr="00557C2A" w:rsidRDefault="0051718E" w:rsidP="0051718E">
      <w:pPr>
        <w:pStyle w:val="Text1"/>
        <w:pBdr>
          <w:top w:val="single" w:sz="4" w:space="1" w:color="auto"/>
          <w:left w:val="single" w:sz="4" w:space="4" w:color="auto"/>
          <w:bottom w:val="single" w:sz="4" w:space="1" w:color="auto"/>
          <w:right w:val="single" w:sz="4" w:space="4" w:color="auto"/>
        </w:pBdr>
        <w:rPr>
          <w:noProof/>
        </w:rPr>
      </w:pPr>
      <w:r w:rsidRPr="00557C2A">
        <w:rPr>
          <w:noProof/>
        </w:rPr>
        <w:t>DG ENER heeft in 2020 een herziene fraudebestrijdingsstrategie aangenomen en in 2023 een herzien actieplan voor de jaren 2023-2025. DG ENER herziet momenteel zijn fraudebestrijdingsstrategie voor de jaren 2026-2028, in overeenstemming met de OLAF-methode. De fraudebestrijdingsstrategie van DG ENER is gebaseerd op die van de Commissie en er is intern een specifieke risico-evaluatie uitgevoerd ter identificatie van de meest fraudegevoelige gebieden, het bestaande toezicht en van maatregelen ter verbetering van de capaciteit van DG ENER om fraude tegen te gaan, op te sporen en te corrigeren.</w:t>
      </w:r>
    </w:p>
    <w:p w14:paraId="75D0EFC8" w14:textId="77777777" w:rsidR="0051718E" w:rsidRPr="00557C2A" w:rsidRDefault="0051718E" w:rsidP="0051718E">
      <w:pPr>
        <w:pStyle w:val="Text1"/>
        <w:pBdr>
          <w:top w:val="single" w:sz="4" w:space="1" w:color="auto"/>
          <w:left w:val="single" w:sz="4" w:space="4" w:color="auto"/>
          <w:bottom w:val="single" w:sz="4" w:space="1" w:color="auto"/>
          <w:right w:val="single" w:sz="4" w:space="4" w:color="auto"/>
        </w:pBdr>
        <w:rPr>
          <w:noProof/>
        </w:rPr>
      </w:pPr>
    </w:p>
    <w:p w14:paraId="6B8BCC4E" w14:textId="77777777" w:rsidR="0051718E" w:rsidRPr="00557C2A" w:rsidRDefault="0051718E" w:rsidP="0051718E">
      <w:pPr>
        <w:rPr>
          <w:noProof/>
        </w:rPr>
        <w:sectPr w:rsidR="0051718E" w:rsidRPr="00557C2A" w:rsidSect="009832A3">
          <w:pgSz w:w="11907" w:h="16840" w:code="9"/>
          <w:pgMar w:top="1134" w:right="1418" w:bottom="1134" w:left="1418" w:header="709" w:footer="709" w:gutter="0"/>
          <w:cols w:space="708"/>
          <w:docGrid w:linePitch="360"/>
        </w:sectPr>
      </w:pPr>
    </w:p>
    <w:p w14:paraId="6D29C7E4" w14:textId="77777777" w:rsidR="0051718E" w:rsidRPr="00557C2A" w:rsidRDefault="0051718E" w:rsidP="0051718E">
      <w:pPr>
        <w:pStyle w:val="ManualHeading1"/>
        <w:rPr>
          <w:bCs/>
          <w:noProof/>
          <w:szCs w:val="24"/>
        </w:rPr>
      </w:pPr>
      <w:bookmarkStart w:id="123" w:name="_Toc514938050"/>
      <w:bookmarkStart w:id="124" w:name="_Toc520485049"/>
      <w:bookmarkStart w:id="125" w:name="_Toc160804591"/>
      <w:bookmarkStart w:id="126" w:name="_Toc167220283"/>
      <w:bookmarkStart w:id="127" w:name="_Toc177549016"/>
      <w:r w:rsidRPr="00557C2A">
        <w:rPr>
          <w:noProof/>
        </w:rPr>
        <w:t>3.</w:t>
      </w:r>
      <w:r w:rsidRPr="00557C2A">
        <w:rPr>
          <w:noProof/>
        </w:rPr>
        <w:tab/>
        <w:t>GERAAMDE FINANCIËLE GEVOLGEN VAN HET VOORSTEL/INITIATIEF</w:t>
      </w:r>
      <w:bookmarkEnd w:id="123"/>
      <w:bookmarkEnd w:id="124"/>
      <w:bookmarkEnd w:id="125"/>
      <w:bookmarkEnd w:id="126"/>
      <w:bookmarkEnd w:id="127"/>
      <w:r w:rsidRPr="00557C2A">
        <w:rPr>
          <w:noProof/>
        </w:rPr>
        <w:t xml:space="preserve"> </w:t>
      </w:r>
    </w:p>
    <w:p w14:paraId="76E663E5" w14:textId="77777777" w:rsidR="0051718E" w:rsidRPr="00557C2A" w:rsidRDefault="0051718E" w:rsidP="0051718E">
      <w:pPr>
        <w:pStyle w:val="ManualHeading2"/>
        <w:rPr>
          <w:noProof/>
        </w:rPr>
      </w:pPr>
      <w:bookmarkStart w:id="128" w:name="_Toc514938051"/>
      <w:bookmarkStart w:id="129" w:name="_Toc520485050"/>
      <w:bookmarkStart w:id="130" w:name="_Toc160804592"/>
      <w:bookmarkStart w:id="131" w:name="_Toc167220284"/>
      <w:bookmarkStart w:id="132" w:name="_Toc177549017"/>
      <w:r w:rsidRPr="00557C2A">
        <w:rPr>
          <w:noProof/>
        </w:rPr>
        <w:t>3.1.</w:t>
      </w:r>
      <w:r w:rsidRPr="00557C2A">
        <w:rPr>
          <w:noProof/>
        </w:rPr>
        <w:tab/>
        <w:t>Rubrieken van het meerjarig financieel kader en betrokken begrotingsonderdelen voor uitgaven</w:t>
      </w:r>
      <w:bookmarkEnd w:id="128"/>
      <w:bookmarkEnd w:id="129"/>
      <w:bookmarkEnd w:id="130"/>
      <w:bookmarkEnd w:id="131"/>
      <w:bookmarkEnd w:id="132"/>
      <w:r w:rsidRPr="00557C2A">
        <w:rPr>
          <w:noProof/>
        </w:rPr>
        <w:t xml:space="preserve"> </w:t>
      </w:r>
    </w:p>
    <w:p w14:paraId="7F9341F2" w14:textId="77777777" w:rsidR="0051718E" w:rsidRPr="00557C2A" w:rsidRDefault="0051718E" w:rsidP="0051718E">
      <w:pPr>
        <w:pStyle w:val="ListBullet1"/>
        <w:rPr>
          <w:noProof/>
        </w:rPr>
      </w:pPr>
      <w:r w:rsidRPr="00557C2A">
        <w:rPr>
          <w:noProof/>
        </w:rPr>
        <w:t xml:space="preserve">Bestaande begrotingsonderdelen </w:t>
      </w:r>
    </w:p>
    <w:p w14:paraId="4F55E78F" w14:textId="77777777" w:rsidR="0051718E" w:rsidRPr="00557C2A" w:rsidRDefault="0051718E" w:rsidP="0051718E">
      <w:pPr>
        <w:pStyle w:val="Text1"/>
        <w:rPr>
          <w:i/>
          <w:noProof/>
        </w:rPr>
      </w:pPr>
      <w:r w:rsidRPr="00557C2A">
        <w:rPr>
          <w:i/>
          <w:noProof/>
          <w:u w:val="single"/>
        </w:rPr>
        <w:t>In volgorde</w:t>
      </w:r>
      <w:r w:rsidRPr="00557C2A">
        <w:rPr>
          <w:i/>
          <w:noProof/>
        </w:rPr>
        <w:t xml:space="preserve"> van de rubrieken van het meerjarig financieel kader en de begrotingsonderdelen.</w:t>
      </w:r>
    </w:p>
    <w:tbl>
      <w:tblPr>
        <w:tblW w:w="106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92"/>
        <w:gridCol w:w="4002"/>
        <w:gridCol w:w="1092"/>
        <w:gridCol w:w="966"/>
        <w:gridCol w:w="1092"/>
        <w:gridCol w:w="966"/>
        <w:gridCol w:w="1463"/>
      </w:tblGrid>
      <w:tr w:rsidR="0051718E" w:rsidRPr="00557C2A" w14:paraId="5A8EB740" w14:textId="77777777">
        <w:trPr>
          <w:jc w:val="center"/>
        </w:trPr>
        <w:tc>
          <w:tcPr>
            <w:tcW w:w="1092" w:type="dxa"/>
            <w:vMerge w:val="restart"/>
            <w:vAlign w:val="center"/>
          </w:tcPr>
          <w:p w14:paraId="2DA14286" w14:textId="77777777" w:rsidR="0051718E" w:rsidRPr="00557C2A" w:rsidRDefault="0051718E">
            <w:pPr>
              <w:spacing w:before="60" w:after="60"/>
              <w:jc w:val="center"/>
              <w:rPr>
                <w:noProof/>
              </w:rPr>
            </w:pPr>
            <w:r w:rsidRPr="00557C2A">
              <w:rPr>
                <w:noProof/>
                <w:sz w:val="18"/>
              </w:rPr>
              <w:t>Rubriek van het meerjarig financieel kader</w:t>
            </w:r>
          </w:p>
        </w:tc>
        <w:tc>
          <w:tcPr>
            <w:tcW w:w="4002" w:type="dxa"/>
            <w:vAlign w:val="center"/>
          </w:tcPr>
          <w:p w14:paraId="1E81E5E6" w14:textId="77777777" w:rsidR="0051718E" w:rsidRPr="00557C2A" w:rsidRDefault="0051718E">
            <w:pPr>
              <w:spacing w:before="60" w:after="60"/>
              <w:jc w:val="center"/>
              <w:rPr>
                <w:noProof/>
              </w:rPr>
            </w:pPr>
            <w:r w:rsidRPr="00557C2A">
              <w:rPr>
                <w:noProof/>
                <w:sz w:val="20"/>
              </w:rPr>
              <w:t>Begrotingsonderdeel</w:t>
            </w:r>
          </w:p>
        </w:tc>
        <w:tc>
          <w:tcPr>
            <w:tcW w:w="1092" w:type="dxa"/>
            <w:vAlign w:val="center"/>
          </w:tcPr>
          <w:p w14:paraId="785D6C83" w14:textId="77777777" w:rsidR="0051718E" w:rsidRPr="00557C2A" w:rsidRDefault="0051718E">
            <w:pPr>
              <w:spacing w:before="60" w:after="60"/>
              <w:jc w:val="center"/>
              <w:rPr>
                <w:noProof/>
              </w:rPr>
            </w:pPr>
            <w:r w:rsidRPr="00557C2A">
              <w:rPr>
                <w:noProof/>
                <w:sz w:val="18"/>
              </w:rPr>
              <w:t>Soort uitgave</w:t>
            </w:r>
          </w:p>
        </w:tc>
        <w:tc>
          <w:tcPr>
            <w:tcW w:w="4487" w:type="dxa"/>
            <w:gridSpan w:val="4"/>
            <w:vAlign w:val="center"/>
          </w:tcPr>
          <w:p w14:paraId="3318D421" w14:textId="77777777" w:rsidR="0051718E" w:rsidRPr="00557C2A" w:rsidRDefault="0051718E">
            <w:pPr>
              <w:spacing w:before="60" w:after="60"/>
              <w:jc w:val="center"/>
              <w:rPr>
                <w:noProof/>
              </w:rPr>
            </w:pPr>
            <w:r w:rsidRPr="00557C2A">
              <w:rPr>
                <w:noProof/>
                <w:sz w:val="20"/>
              </w:rPr>
              <w:t xml:space="preserve">Bijdrage </w:t>
            </w:r>
          </w:p>
        </w:tc>
      </w:tr>
      <w:tr w:rsidR="0051718E" w:rsidRPr="00557C2A" w14:paraId="16E3EB11" w14:textId="77777777">
        <w:trPr>
          <w:cantSplit/>
          <w:jc w:val="center"/>
        </w:trPr>
        <w:tc>
          <w:tcPr>
            <w:tcW w:w="1092" w:type="dxa"/>
            <w:vMerge/>
            <w:vAlign w:val="center"/>
          </w:tcPr>
          <w:p w14:paraId="3018F41C" w14:textId="77777777" w:rsidR="0051718E" w:rsidRPr="00557C2A" w:rsidRDefault="0051718E">
            <w:pPr>
              <w:jc w:val="center"/>
              <w:rPr>
                <w:noProof/>
              </w:rPr>
            </w:pPr>
          </w:p>
        </w:tc>
        <w:tc>
          <w:tcPr>
            <w:tcW w:w="4002" w:type="dxa"/>
            <w:vAlign w:val="center"/>
          </w:tcPr>
          <w:p w14:paraId="48599230" w14:textId="77777777" w:rsidR="0051718E" w:rsidRPr="00557C2A" w:rsidRDefault="0051718E">
            <w:pPr>
              <w:rPr>
                <w:noProof/>
              </w:rPr>
            </w:pPr>
            <w:r w:rsidRPr="00557C2A">
              <w:rPr>
                <w:noProof/>
                <w:sz w:val="20"/>
              </w:rPr>
              <w:t xml:space="preserve">Nummer </w:t>
            </w:r>
            <w:r w:rsidRPr="00557C2A">
              <w:rPr>
                <w:noProof/>
              </w:rPr>
              <w:t xml:space="preserve"> </w:t>
            </w:r>
            <w:r w:rsidRPr="00557C2A">
              <w:rPr>
                <w:noProof/>
              </w:rPr>
              <w:br/>
            </w:r>
          </w:p>
        </w:tc>
        <w:tc>
          <w:tcPr>
            <w:tcW w:w="1092" w:type="dxa"/>
            <w:vAlign w:val="center"/>
          </w:tcPr>
          <w:p w14:paraId="2F4A283C" w14:textId="77777777" w:rsidR="0051718E" w:rsidRPr="00557C2A" w:rsidRDefault="0051718E">
            <w:pPr>
              <w:jc w:val="center"/>
              <w:rPr>
                <w:noProof/>
              </w:rPr>
            </w:pPr>
            <w:r w:rsidRPr="00557C2A">
              <w:rPr>
                <w:noProof/>
              </w:rPr>
              <w:t>GK/NGK</w:t>
            </w:r>
            <w:r w:rsidRPr="00C8261C">
              <w:rPr>
                <w:rStyle w:val="FootnoteReference"/>
                <w:noProof/>
                <w:szCs w:val="18"/>
              </w:rPr>
              <w:footnoteReference w:id="55"/>
            </w:r>
            <w:r w:rsidRPr="00557C2A">
              <w:rPr>
                <w:noProof/>
              </w:rPr>
              <w:t>.</w:t>
            </w:r>
          </w:p>
        </w:tc>
        <w:tc>
          <w:tcPr>
            <w:tcW w:w="966" w:type="dxa"/>
            <w:vAlign w:val="center"/>
          </w:tcPr>
          <w:p w14:paraId="4AF655BF" w14:textId="77777777" w:rsidR="0051718E" w:rsidRPr="00557C2A" w:rsidRDefault="0051718E">
            <w:pPr>
              <w:jc w:val="center"/>
              <w:rPr>
                <w:b/>
                <w:noProof/>
                <w:sz w:val="18"/>
              </w:rPr>
            </w:pPr>
            <w:r w:rsidRPr="00557C2A">
              <w:rPr>
                <w:noProof/>
                <w:sz w:val="18"/>
              </w:rPr>
              <w:t>van EVA-landen</w:t>
            </w:r>
            <w:r w:rsidRPr="00557C2A">
              <w:rPr>
                <w:rStyle w:val="FootnoteReference"/>
                <w:noProof/>
                <w:sz w:val="18"/>
                <w:szCs w:val="18"/>
              </w:rPr>
              <w:footnoteReference w:id="56"/>
            </w:r>
          </w:p>
        </w:tc>
        <w:tc>
          <w:tcPr>
            <w:tcW w:w="1092" w:type="dxa"/>
            <w:vAlign w:val="center"/>
          </w:tcPr>
          <w:p w14:paraId="674452F5" w14:textId="77777777" w:rsidR="0051718E" w:rsidRPr="00557C2A" w:rsidRDefault="0051718E">
            <w:pPr>
              <w:jc w:val="center"/>
              <w:rPr>
                <w:noProof/>
                <w:sz w:val="18"/>
              </w:rPr>
            </w:pPr>
            <w:r w:rsidRPr="00557C2A">
              <w:rPr>
                <w:noProof/>
                <w:sz w:val="18"/>
              </w:rPr>
              <w:t>van kandidaat-lidstaten en potentiële kandidaten</w:t>
            </w:r>
            <w:r w:rsidRPr="00557C2A">
              <w:rPr>
                <w:rStyle w:val="FootnoteReference"/>
                <w:noProof/>
                <w:sz w:val="18"/>
                <w:szCs w:val="18"/>
              </w:rPr>
              <w:footnoteReference w:id="57"/>
            </w:r>
          </w:p>
        </w:tc>
        <w:tc>
          <w:tcPr>
            <w:tcW w:w="966" w:type="dxa"/>
            <w:vAlign w:val="center"/>
          </w:tcPr>
          <w:p w14:paraId="432F6149" w14:textId="77777777" w:rsidR="0051718E" w:rsidRPr="00557C2A" w:rsidRDefault="0051718E">
            <w:pPr>
              <w:jc w:val="center"/>
              <w:rPr>
                <w:noProof/>
                <w:sz w:val="18"/>
              </w:rPr>
            </w:pPr>
            <w:r w:rsidRPr="00557C2A">
              <w:rPr>
                <w:noProof/>
                <w:sz w:val="18"/>
              </w:rPr>
              <w:t>van andere derde landen</w:t>
            </w:r>
          </w:p>
        </w:tc>
        <w:tc>
          <w:tcPr>
            <w:tcW w:w="1463" w:type="dxa"/>
            <w:vAlign w:val="center"/>
          </w:tcPr>
          <w:p w14:paraId="0BB41706" w14:textId="77777777" w:rsidR="0051718E" w:rsidRPr="00557C2A" w:rsidRDefault="0051718E">
            <w:pPr>
              <w:jc w:val="center"/>
              <w:rPr>
                <w:noProof/>
              </w:rPr>
            </w:pPr>
            <w:r w:rsidRPr="00557C2A">
              <w:rPr>
                <w:noProof/>
                <w:sz w:val="18"/>
              </w:rPr>
              <w:t>andere bestemmingsontvangsten</w:t>
            </w:r>
          </w:p>
        </w:tc>
      </w:tr>
      <w:tr w:rsidR="0051718E" w:rsidRPr="00557C2A" w14:paraId="61CA7BF5" w14:textId="77777777">
        <w:trPr>
          <w:jc w:val="center"/>
        </w:trPr>
        <w:tc>
          <w:tcPr>
            <w:tcW w:w="1092" w:type="dxa"/>
            <w:vAlign w:val="center"/>
          </w:tcPr>
          <w:p w14:paraId="40BDB342" w14:textId="77777777" w:rsidR="0051718E" w:rsidRPr="00557C2A" w:rsidRDefault="0051718E">
            <w:pPr>
              <w:jc w:val="center"/>
              <w:rPr>
                <w:noProof/>
                <w:color w:val="0000FF"/>
              </w:rPr>
            </w:pPr>
          </w:p>
        </w:tc>
        <w:tc>
          <w:tcPr>
            <w:tcW w:w="4002" w:type="dxa"/>
            <w:vAlign w:val="center"/>
          </w:tcPr>
          <w:p w14:paraId="4892BAC6" w14:textId="77777777" w:rsidR="0051718E" w:rsidRPr="00557C2A" w:rsidRDefault="00CD4394">
            <w:pPr>
              <w:spacing w:after="60"/>
              <w:rPr>
                <w:noProof/>
              </w:rPr>
            </w:pPr>
            <w:r w:rsidRPr="00557C2A">
              <w:rPr>
                <w:noProof/>
                <w:sz w:val="22"/>
              </w:rPr>
              <w:t>02.03.02 Connecting Europe Facility — Energie</w:t>
            </w:r>
          </w:p>
        </w:tc>
        <w:tc>
          <w:tcPr>
            <w:tcW w:w="1092" w:type="dxa"/>
            <w:vAlign w:val="center"/>
          </w:tcPr>
          <w:p w14:paraId="401428ED" w14:textId="77777777" w:rsidR="0051718E" w:rsidRPr="00557C2A" w:rsidRDefault="0051718E">
            <w:pPr>
              <w:jc w:val="center"/>
              <w:rPr>
                <w:noProof/>
                <w:color w:val="0000FF"/>
              </w:rPr>
            </w:pPr>
            <w:r w:rsidRPr="00557C2A">
              <w:rPr>
                <w:noProof/>
                <w:sz w:val="22"/>
              </w:rPr>
              <w:t>GK</w:t>
            </w:r>
          </w:p>
        </w:tc>
        <w:tc>
          <w:tcPr>
            <w:tcW w:w="966" w:type="dxa"/>
            <w:vAlign w:val="center"/>
          </w:tcPr>
          <w:p w14:paraId="6072F49F" w14:textId="77777777" w:rsidR="0051718E" w:rsidRPr="00557C2A" w:rsidRDefault="0051718E">
            <w:pPr>
              <w:jc w:val="center"/>
              <w:rPr>
                <w:noProof/>
                <w:sz w:val="20"/>
                <w:szCs w:val="20"/>
              </w:rPr>
            </w:pPr>
            <w:r w:rsidRPr="00557C2A">
              <w:rPr>
                <w:noProof/>
                <w:sz w:val="20"/>
              </w:rPr>
              <w:t>NEE</w:t>
            </w:r>
          </w:p>
        </w:tc>
        <w:tc>
          <w:tcPr>
            <w:tcW w:w="1092" w:type="dxa"/>
            <w:vAlign w:val="center"/>
          </w:tcPr>
          <w:p w14:paraId="351F6083" w14:textId="77777777" w:rsidR="0051718E" w:rsidRPr="00557C2A" w:rsidRDefault="0051718E">
            <w:pPr>
              <w:jc w:val="center"/>
              <w:rPr>
                <w:noProof/>
                <w:sz w:val="20"/>
                <w:szCs w:val="20"/>
              </w:rPr>
            </w:pPr>
            <w:r w:rsidRPr="00557C2A">
              <w:rPr>
                <w:noProof/>
                <w:sz w:val="20"/>
              </w:rPr>
              <w:t>NEE</w:t>
            </w:r>
          </w:p>
        </w:tc>
        <w:tc>
          <w:tcPr>
            <w:tcW w:w="966" w:type="dxa"/>
            <w:vAlign w:val="center"/>
          </w:tcPr>
          <w:p w14:paraId="0FC658E2" w14:textId="77777777" w:rsidR="0051718E" w:rsidRPr="00557C2A" w:rsidRDefault="0051718E">
            <w:pPr>
              <w:jc w:val="center"/>
              <w:rPr>
                <w:noProof/>
                <w:sz w:val="20"/>
                <w:szCs w:val="20"/>
              </w:rPr>
            </w:pPr>
            <w:r w:rsidRPr="00557C2A">
              <w:rPr>
                <w:noProof/>
                <w:sz w:val="20"/>
              </w:rPr>
              <w:t>NEE</w:t>
            </w:r>
          </w:p>
        </w:tc>
        <w:tc>
          <w:tcPr>
            <w:tcW w:w="1463" w:type="dxa"/>
            <w:vAlign w:val="center"/>
          </w:tcPr>
          <w:p w14:paraId="474CA108" w14:textId="77777777" w:rsidR="0051718E" w:rsidRPr="00557C2A" w:rsidRDefault="0051718E">
            <w:pPr>
              <w:jc w:val="center"/>
              <w:rPr>
                <w:noProof/>
                <w:sz w:val="20"/>
                <w:szCs w:val="20"/>
              </w:rPr>
            </w:pPr>
            <w:r w:rsidRPr="00557C2A">
              <w:rPr>
                <w:noProof/>
                <w:sz w:val="20"/>
              </w:rPr>
              <w:t>NEE</w:t>
            </w:r>
          </w:p>
        </w:tc>
      </w:tr>
    </w:tbl>
    <w:p w14:paraId="30024DDB" w14:textId="77777777" w:rsidR="0051718E" w:rsidRPr="00557C2A" w:rsidRDefault="0051718E" w:rsidP="0051718E">
      <w:pPr>
        <w:rPr>
          <w:noProof/>
        </w:rPr>
        <w:sectPr w:rsidR="0051718E" w:rsidRPr="00557C2A" w:rsidSect="009832A3">
          <w:pgSz w:w="11907" w:h="16840" w:code="1"/>
          <w:pgMar w:top="1134" w:right="1418" w:bottom="1134" w:left="1418" w:header="709" w:footer="709" w:gutter="0"/>
          <w:cols w:space="708"/>
          <w:docGrid w:linePitch="360"/>
        </w:sectPr>
      </w:pPr>
    </w:p>
    <w:p w14:paraId="63719AF4" w14:textId="77777777" w:rsidR="0051718E" w:rsidRPr="00557C2A" w:rsidRDefault="0051718E" w:rsidP="0051718E">
      <w:pPr>
        <w:pStyle w:val="ManualHeading2"/>
        <w:rPr>
          <w:bCs/>
          <w:noProof/>
          <w:szCs w:val="24"/>
        </w:rPr>
      </w:pPr>
      <w:bookmarkStart w:id="133" w:name="_Toc514938052"/>
      <w:bookmarkStart w:id="134" w:name="_Toc520485051"/>
      <w:bookmarkStart w:id="135" w:name="_Toc160804593"/>
      <w:bookmarkStart w:id="136" w:name="_Toc167220285"/>
      <w:bookmarkStart w:id="137" w:name="_Toc177549018"/>
      <w:r w:rsidRPr="00557C2A">
        <w:rPr>
          <w:noProof/>
        </w:rPr>
        <w:t>3.2.</w:t>
      </w:r>
      <w:r w:rsidRPr="00557C2A">
        <w:rPr>
          <w:noProof/>
        </w:rPr>
        <w:tab/>
        <w:t>Geraamde financiële gevolgen van het voorstel inzake kredieten</w:t>
      </w:r>
      <w:bookmarkEnd w:id="133"/>
      <w:bookmarkEnd w:id="134"/>
      <w:bookmarkEnd w:id="135"/>
      <w:bookmarkEnd w:id="136"/>
      <w:bookmarkEnd w:id="137"/>
      <w:r w:rsidRPr="00557C2A">
        <w:rPr>
          <w:noProof/>
        </w:rPr>
        <w:t xml:space="preserve"> </w:t>
      </w:r>
    </w:p>
    <w:p w14:paraId="18527F06" w14:textId="77777777" w:rsidR="0051718E" w:rsidRPr="00557C2A" w:rsidRDefault="0051718E" w:rsidP="0051718E">
      <w:pPr>
        <w:pStyle w:val="ManualHeading3"/>
        <w:rPr>
          <w:noProof/>
        </w:rPr>
      </w:pPr>
      <w:bookmarkStart w:id="138" w:name="_Toc514938053"/>
      <w:bookmarkStart w:id="139" w:name="_Toc520485052"/>
      <w:bookmarkStart w:id="140" w:name="_Toc160804594"/>
      <w:bookmarkStart w:id="141" w:name="_Toc167220286"/>
      <w:bookmarkStart w:id="142" w:name="_Toc177549019"/>
      <w:r w:rsidRPr="00557C2A">
        <w:rPr>
          <w:noProof/>
        </w:rPr>
        <w:t>3.2.1.</w:t>
      </w:r>
      <w:r w:rsidRPr="00557C2A">
        <w:rPr>
          <w:noProof/>
        </w:rPr>
        <w:tab/>
        <w:t>Samenvatting van de geraamde gevolgen voor de beleidskredieten</w:t>
      </w:r>
      <w:bookmarkEnd w:id="138"/>
      <w:bookmarkEnd w:id="139"/>
      <w:bookmarkEnd w:id="140"/>
      <w:bookmarkEnd w:id="141"/>
      <w:bookmarkEnd w:id="142"/>
      <w:r w:rsidRPr="00557C2A">
        <w:rPr>
          <w:noProof/>
        </w:rPr>
        <w:t xml:space="preserve"> </w:t>
      </w:r>
      <w:r w:rsidRPr="00557C2A">
        <w:rPr>
          <w:rStyle w:val="FootnoteReference"/>
          <w:noProof/>
        </w:rPr>
        <w:footnoteReference w:id="58"/>
      </w:r>
    </w:p>
    <w:p w14:paraId="2FDFD0BD" w14:textId="77777777" w:rsidR="0051718E" w:rsidRPr="00557C2A" w:rsidRDefault="0051718E" w:rsidP="0051718E">
      <w:pPr>
        <w:pStyle w:val="ListDash1"/>
        <w:rPr>
          <w:noProof/>
        </w:rPr>
      </w:pPr>
      <w:r w:rsidRPr="00557C2A">
        <w:rPr>
          <w:rFonts w:ascii="Wingdings" w:hAnsi="Wingdings"/>
          <w:noProof/>
        </w:rPr>
        <w:t></w:t>
      </w:r>
      <w:r w:rsidRPr="00557C2A">
        <w:rPr>
          <w:noProof/>
        </w:rPr>
        <w:tab/>
        <w:t xml:space="preserve">Voor het voorstel/initiatief zijn geen beleidskredieten nodig </w:t>
      </w:r>
    </w:p>
    <w:p w14:paraId="3857A80B" w14:textId="77777777" w:rsidR="0051718E" w:rsidRPr="00557C2A" w:rsidRDefault="0051718E" w:rsidP="0051718E">
      <w:pPr>
        <w:pStyle w:val="ListDash1"/>
        <w:rPr>
          <w:noProof/>
        </w:rPr>
      </w:pPr>
      <w:r w:rsidRPr="00557C2A">
        <w:rPr>
          <w:rFonts w:ascii="Wingdings" w:hAnsi="Wingdings"/>
          <w:noProof/>
        </w:rPr>
        <w:t></w:t>
      </w:r>
      <w:r w:rsidRPr="00557C2A">
        <w:rPr>
          <w:noProof/>
        </w:rPr>
        <w:tab/>
        <w:t>Voor het voorstel/initiatief zijn beleidskredieten nodig, zoals hieronder nader wordt beschreven</w:t>
      </w:r>
    </w:p>
    <w:p w14:paraId="15D68F7B" w14:textId="77777777" w:rsidR="0051718E" w:rsidRPr="00557C2A" w:rsidRDefault="0051718E" w:rsidP="0051718E">
      <w:pPr>
        <w:pStyle w:val="ManualHeading3"/>
        <w:rPr>
          <w:noProof/>
        </w:rPr>
      </w:pPr>
      <w:bookmarkStart w:id="143" w:name="_Toc160804595"/>
      <w:bookmarkStart w:id="144" w:name="_Toc167220287"/>
      <w:bookmarkStart w:id="145" w:name="_Toc177549020"/>
      <w:r w:rsidRPr="00557C2A">
        <w:rPr>
          <w:noProof/>
        </w:rPr>
        <w:t>3.2.1.1.</w:t>
      </w:r>
      <w:r w:rsidRPr="00557C2A">
        <w:rPr>
          <w:noProof/>
        </w:rPr>
        <w:tab/>
        <w:t>Kredieten uit goedgekeurde begroting</w:t>
      </w:r>
      <w:bookmarkEnd w:id="143"/>
      <w:bookmarkEnd w:id="144"/>
      <w:bookmarkEnd w:id="145"/>
    </w:p>
    <w:p w14:paraId="634B2139" w14:textId="77777777" w:rsidR="0051718E" w:rsidRPr="00557C2A" w:rsidRDefault="0051718E" w:rsidP="0051718E">
      <w:pPr>
        <w:jc w:val="right"/>
        <w:rPr>
          <w:noProof/>
          <w:sz w:val="18"/>
          <w:szCs w:val="18"/>
        </w:rPr>
      </w:pPr>
      <w:r w:rsidRPr="00557C2A">
        <w:rPr>
          <w:noProof/>
          <w:sz w:val="18"/>
        </w:rPr>
        <w:t>in miljoenen euro’s (tot op drie decimalen)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46"/>
        <w:gridCol w:w="1126"/>
        <w:gridCol w:w="8148"/>
      </w:tblGrid>
      <w:tr w:rsidR="0051718E" w:rsidRPr="00557C2A" w14:paraId="22EB8695" w14:textId="77777777">
        <w:tc>
          <w:tcPr>
            <w:tcW w:w="1739" w:type="pct"/>
            <w:shd w:val="thinDiagStripe" w:color="C0C0C0" w:fill="auto"/>
            <w:vAlign w:val="center"/>
          </w:tcPr>
          <w:p w14:paraId="544662BE" w14:textId="77777777" w:rsidR="0051718E" w:rsidRPr="00557C2A" w:rsidRDefault="0051718E">
            <w:pPr>
              <w:spacing w:before="60" w:after="60"/>
              <w:jc w:val="center"/>
              <w:rPr>
                <w:b/>
                <w:noProof/>
              </w:rPr>
            </w:pPr>
            <w:r w:rsidRPr="00557C2A">
              <w:rPr>
                <w:b/>
                <w:noProof/>
                <w:sz w:val="22"/>
              </w:rPr>
              <w:t xml:space="preserve">Rubriek van het meerjarig financieel kader </w:t>
            </w:r>
          </w:p>
        </w:tc>
        <w:tc>
          <w:tcPr>
            <w:tcW w:w="396" w:type="pct"/>
            <w:vAlign w:val="center"/>
          </w:tcPr>
          <w:p w14:paraId="2B470777" w14:textId="77777777" w:rsidR="0051718E" w:rsidRPr="00557C2A" w:rsidRDefault="0051718E">
            <w:pPr>
              <w:spacing w:before="60" w:after="60"/>
              <w:jc w:val="center"/>
              <w:rPr>
                <w:noProof/>
              </w:rPr>
            </w:pPr>
            <w:r w:rsidRPr="00557C2A">
              <w:rPr>
                <w:noProof/>
                <w:sz w:val="22"/>
              </w:rPr>
              <w:t>Nummer</w:t>
            </w:r>
          </w:p>
        </w:tc>
        <w:tc>
          <w:tcPr>
            <w:tcW w:w="2865" w:type="pct"/>
            <w:vAlign w:val="center"/>
          </w:tcPr>
          <w:p w14:paraId="5EF61E0B" w14:textId="77777777" w:rsidR="0051718E" w:rsidRPr="00557C2A" w:rsidRDefault="0051718E">
            <w:pPr>
              <w:spacing w:before="60" w:after="60"/>
              <w:rPr>
                <w:noProof/>
              </w:rPr>
            </w:pPr>
          </w:p>
        </w:tc>
      </w:tr>
    </w:tbl>
    <w:p w14:paraId="4096BBE6" w14:textId="77777777" w:rsidR="0051718E" w:rsidRPr="00557C2A" w:rsidRDefault="0051718E" w:rsidP="0051718E">
      <w:pPr>
        <w:rPr>
          <w:noProof/>
          <w:sz w:val="16"/>
        </w:rPr>
      </w:pPr>
    </w:p>
    <w:tbl>
      <w:tblPr>
        <w:tblW w:w="5000" w:type="pct"/>
        <w:tblLook w:val="04A0" w:firstRow="1" w:lastRow="0" w:firstColumn="1" w:lastColumn="0" w:noHBand="0" w:noVBand="1"/>
      </w:tblPr>
      <w:tblGrid>
        <w:gridCol w:w="2001"/>
        <w:gridCol w:w="184"/>
        <w:gridCol w:w="948"/>
        <w:gridCol w:w="394"/>
        <w:gridCol w:w="327"/>
        <w:gridCol w:w="859"/>
        <w:gridCol w:w="4"/>
        <w:gridCol w:w="206"/>
        <w:gridCol w:w="812"/>
        <w:gridCol w:w="164"/>
        <w:gridCol w:w="173"/>
        <w:gridCol w:w="451"/>
        <w:gridCol w:w="400"/>
        <w:gridCol w:w="298"/>
        <w:gridCol w:w="90"/>
        <w:gridCol w:w="636"/>
        <w:gridCol w:w="152"/>
        <w:gridCol w:w="271"/>
        <w:gridCol w:w="517"/>
        <w:gridCol w:w="87"/>
        <w:gridCol w:w="545"/>
        <w:gridCol w:w="156"/>
        <w:gridCol w:w="326"/>
        <w:gridCol w:w="462"/>
        <w:gridCol w:w="205"/>
        <w:gridCol w:w="360"/>
        <w:gridCol w:w="223"/>
        <w:gridCol w:w="566"/>
        <w:gridCol w:w="238"/>
        <w:gridCol w:w="911"/>
        <w:gridCol w:w="116"/>
        <w:gridCol w:w="1138"/>
      </w:tblGrid>
      <w:tr w:rsidR="0051718E" w:rsidRPr="00557C2A" w14:paraId="31C6C9DA" w14:textId="77777777" w:rsidTr="1BDB167A">
        <w:trPr>
          <w:trHeight w:val="410"/>
        </w:trPr>
        <w:tc>
          <w:tcPr>
            <w:tcW w:w="2017" w:type="pct"/>
            <w:gridSpan w:val="9"/>
            <w:vMerge w:val="restart"/>
            <w:tcBorders>
              <w:top w:val="single" w:sz="8" w:space="0" w:color="auto"/>
              <w:left w:val="single" w:sz="8" w:space="0" w:color="auto"/>
              <w:bottom w:val="single" w:sz="8" w:space="0" w:color="000000" w:themeColor="text1"/>
              <w:right w:val="single" w:sz="8" w:space="0" w:color="000000" w:themeColor="text1"/>
            </w:tcBorders>
            <w:vAlign w:val="center"/>
            <w:hideMark/>
          </w:tcPr>
          <w:p w14:paraId="71B3421D" w14:textId="77777777" w:rsidR="0051718E" w:rsidRPr="00557C2A" w:rsidRDefault="0051718E">
            <w:pPr>
              <w:spacing w:before="0" w:after="0"/>
              <w:jc w:val="center"/>
              <w:rPr>
                <w:rFonts w:eastAsia="Times New Roman"/>
                <w:noProof/>
                <w:color w:val="000000"/>
                <w:sz w:val="22"/>
              </w:rPr>
            </w:pPr>
            <w:r w:rsidRPr="00557C2A">
              <w:rPr>
                <w:noProof/>
                <w:color w:val="000000"/>
                <w:sz w:val="22"/>
              </w:rPr>
              <w:t>DG: ENER</w:t>
            </w:r>
          </w:p>
        </w:tc>
        <w:tc>
          <w:tcPr>
            <w:tcW w:w="277" w:type="pct"/>
            <w:gridSpan w:val="3"/>
            <w:tcBorders>
              <w:top w:val="single" w:sz="8" w:space="0" w:color="auto"/>
              <w:left w:val="nil"/>
              <w:bottom w:val="single" w:sz="8" w:space="0" w:color="auto"/>
              <w:right w:val="single" w:sz="8" w:space="0" w:color="auto"/>
            </w:tcBorders>
            <w:vAlign w:val="center"/>
            <w:hideMark/>
          </w:tcPr>
          <w:p w14:paraId="04FC5165" w14:textId="77777777" w:rsidR="0051718E" w:rsidRPr="00557C2A" w:rsidRDefault="0051718E">
            <w:pPr>
              <w:spacing w:before="0" w:after="0"/>
              <w:jc w:val="center"/>
              <w:rPr>
                <w:rFonts w:eastAsia="Times New Roman"/>
                <w:noProof/>
                <w:color w:val="000000"/>
                <w:sz w:val="20"/>
                <w:szCs w:val="20"/>
              </w:rPr>
            </w:pPr>
            <w:r w:rsidRPr="00557C2A">
              <w:rPr>
                <w:noProof/>
                <w:color w:val="000000"/>
                <w:sz w:val="20"/>
              </w:rPr>
              <w:t>Jaar</w:t>
            </w:r>
          </w:p>
        </w:tc>
        <w:tc>
          <w:tcPr>
            <w:tcW w:w="277" w:type="pct"/>
            <w:gridSpan w:val="3"/>
            <w:tcBorders>
              <w:top w:val="single" w:sz="8" w:space="0" w:color="auto"/>
              <w:left w:val="nil"/>
              <w:bottom w:val="single" w:sz="8" w:space="0" w:color="auto"/>
              <w:right w:val="single" w:sz="8" w:space="0" w:color="auto"/>
            </w:tcBorders>
            <w:vAlign w:val="center"/>
            <w:hideMark/>
          </w:tcPr>
          <w:p w14:paraId="5ECB30BC" w14:textId="77777777" w:rsidR="0051718E" w:rsidRPr="00557C2A" w:rsidRDefault="0051718E">
            <w:pPr>
              <w:spacing w:before="0" w:after="0"/>
              <w:jc w:val="center"/>
              <w:rPr>
                <w:rFonts w:eastAsia="Times New Roman"/>
                <w:noProof/>
                <w:color w:val="000000"/>
                <w:sz w:val="20"/>
                <w:szCs w:val="20"/>
              </w:rPr>
            </w:pPr>
            <w:r w:rsidRPr="00557C2A">
              <w:rPr>
                <w:noProof/>
                <w:color w:val="000000"/>
                <w:sz w:val="20"/>
              </w:rPr>
              <w:t>Jaar</w:t>
            </w:r>
          </w:p>
        </w:tc>
        <w:tc>
          <w:tcPr>
            <w:tcW w:w="277" w:type="pct"/>
            <w:gridSpan w:val="2"/>
            <w:tcBorders>
              <w:top w:val="single" w:sz="8" w:space="0" w:color="auto"/>
              <w:left w:val="nil"/>
              <w:bottom w:val="single" w:sz="8" w:space="0" w:color="auto"/>
              <w:right w:val="single" w:sz="8" w:space="0" w:color="auto"/>
            </w:tcBorders>
            <w:vAlign w:val="center"/>
            <w:hideMark/>
          </w:tcPr>
          <w:p w14:paraId="34197A1C" w14:textId="77777777" w:rsidR="0051718E" w:rsidRPr="00557C2A" w:rsidRDefault="0051718E">
            <w:pPr>
              <w:spacing w:before="0" w:after="0"/>
              <w:jc w:val="center"/>
              <w:rPr>
                <w:rFonts w:eastAsia="Times New Roman"/>
                <w:noProof/>
                <w:color w:val="000000"/>
                <w:sz w:val="20"/>
                <w:szCs w:val="20"/>
              </w:rPr>
            </w:pPr>
            <w:r w:rsidRPr="00557C2A">
              <w:rPr>
                <w:noProof/>
                <w:color w:val="000000"/>
                <w:sz w:val="20"/>
              </w:rPr>
              <w:t>Jaar</w:t>
            </w:r>
          </w:p>
        </w:tc>
        <w:tc>
          <w:tcPr>
            <w:tcW w:w="277" w:type="pct"/>
            <w:gridSpan w:val="2"/>
            <w:tcBorders>
              <w:top w:val="single" w:sz="8" w:space="0" w:color="auto"/>
              <w:left w:val="nil"/>
              <w:bottom w:val="single" w:sz="8" w:space="0" w:color="auto"/>
              <w:right w:val="single" w:sz="8" w:space="0" w:color="auto"/>
            </w:tcBorders>
            <w:vAlign w:val="center"/>
            <w:hideMark/>
          </w:tcPr>
          <w:p w14:paraId="506E4788" w14:textId="77777777" w:rsidR="0051718E" w:rsidRPr="00557C2A" w:rsidRDefault="0051718E">
            <w:pPr>
              <w:spacing w:before="0" w:after="0"/>
              <w:jc w:val="center"/>
              <w:rPr>
                <w:rFonts w:eastAsia="Times New Roman"/>
                <w:noProof/>
                <w:color w:val="000000"/>
                <w:sz w:val="20"/>
                <w:szCs w:val="20"/>
              </w:rPr>
            </w:pPr>
            <w:r w:rsidRPr="00557C2A">
              <w:rPr>
                <w:noProof/>
                <w:color w:val="000000"/>
                <w:sz w:val="20"/>
              </w:rPr>
              <w:t>Jaar</w:t>
            </w:r>
          </w:p>
        </w:tc>
        <w:tc>
          <w:tcPr>
            <w:tcW w:w="277" w:type="pct"/>
            <w:gridSpan w:val="3"/>
            <w:tcBorders>
              <w:top w:val="single" w:sz="8" w:space="0" w:color="auto"/>
              <w:left w:val="nil"/>
              <w:bottom w:val="single" w:sz="8" w:space="0" w:color="auto"/>
              <w:right w:val="single" w:sz="8" w:space="0" w:color="auto"/>
            </w:tcBorders>
            <w:vAlign w:val="center"/>
            <w:hideMark/>
          </w:tcPr>
          <w:p w14:paraId="31BB1190" w14:textId="77777777" w:rsidR="0051718E" w:rsidRPr="00557C2A" w:rsidRDefault="0051718E">
            <w:pPr>
              <w:spacing w:before="0" w:after="0"/>
              <w:jc w:val="center"/>
              <w:rPr>
                <w:rFonts w:eastAsia="Times New Roman"/>
                <w:noProof/>
                <w:color w:val="000000"/>
                <w:sz w:val="20"/>
                <w:szCs w:val="20"/>
              </w:rPr>
            </w:pPr>
            <w:r w:rsidRPr="00557C2A">
              <w:rPr>
                <w:noProof/>
                <w:color w:val="000000"/>
                <w:sz w:val="20"/>
              </w:rPr>
              <w:t>Jaar</w:t>
            </w:r>
          </w:p>
        </w:tc>
        <w:tc>
          <w:tcPr>
            <w:tcW w:w="277" w:type="pct"/>
            <w:gridSpan w:val="2"/>
            <w:tcBorders>
              <w:top w:val="single" w:sz="8" w:space="0" w:color="auto"/>
              <w:left w:val="nil"/>
              <w:bottom w:val="single" w:sz="8" w:space="0" w:color="auto"/>
              <w:right w:val="single" w:sz="8" w:space="0" w:color="auto"/>
            </w:tcBorders>
            <w:vAlign w:val="center"/>
            <w:hideMark/>
          </w:tcPr>
          <w:p w14:paraId="709D7D07" w14:textId="77777777" w:rsidR="0051718E" w:rsidRPr="00557C2A" w:rsidRDefault="0051718E">
            <w:pPr>
              <w:spacing w:before="0" w:after="0"/>
              <w:jc w:val="center"/>
              <w:rPr>
                <w:rFonts w:eastAsia="Times New Roman"/>
                <w:noProof/>
                <w:color w:val="000000"/>
                <w:sz w:val="20"/>
                <w:szCs w:val="20"/>
              </w:rPr>
            </w:pPr>
            <w:r w:rsidRPr="00557C2A">
              <w:rPr>
                <w:noProof/>
                <w:color w:val="000000"/>
                <w:sz w:val="20"/>
              </w:rPr>
              <w:t>Jaar</w:t>
            </w:r>
          </w:p>
        </w:tc>
        <w:tc>
          <w:tcPr>
            <w:tcW w:w="277" w:type="pct"/>
            <w:gridSpan w:val="3"/>
            <w:tcBorders>
              <w:top w:val="single" w:sz="8" w:space="0" w:color="auto"/>
              <w:left w:val="nil"/>
              <w:bottom w:val="single" w:sz="8" w:space="0" w:color="auto"/>
              <w:right w:val="single" w:sz="8" w:space="0" w:color="auto"/>
            </w:tcBorders>
            <w:vAlign w:val="center"/>
            <w:hideMark/>
          </w:tcPr>
          <w:p w14:paraId="64D26CD4" w14:textId="77777777" w:rsidR="0051718E" w:rsidRPr="00557C2A" w:rsidRDefault="0051718E">
            <w:pPr>
              <w:spacing w:before="0" w:after="0"/>
              <w:jc w:val="center"/>
              <w:rPr>
                <w:rFonts w:eastAsia="Times New Roman"/>
                <w:noProof/>
                <w:color w:val="000000"/>
                <w:sz w:val="20"/>
                <w:szCs w:val="20"/>
              </w:rPr>
            </w:pPr>
            <w:r w:rsidRPr="00557C2A">
              <w:rPr>
                <w:noProof/>
                <w:color w:val="000000"/>
                <w:sz w:val="20"/>
              </w:rPr>
              <w:t>Jaar</w:t>
            </w:r>
          </w:p>
        </w:tc>
        <w:tc>
          <w:tcPr>
            <w:tcW w:w="1044" w:type="pct"/>
            <w:gridSpan w:val="5"/>
            <w:vMerge w:val="restart"/>
            <w:tcBorders>
              <w:top w:val="single" w:sz="8" w:space="0" w:color="auto"/>
              <w:left w:val="single" w:sz="8" w:space="0" w:color="auto"/>
              <w:bottom w:val="single" w:sz="8" w:space="0" w:color="000000" w:themeColor="text1"/>
              <w:right w:val="single" w:sz="8" w:space="0" w:color="auto"/>
            </w:tcBorders>
            <w:vAlign w:val="center"/>
            <w:hideMark/>
          </w:tcPr>
          <w:p w14:paraId="77A5E172" w14:textId="77777777" w:rsidR="0051718E" w:rsidRPr="00557C2A" w:rsidRDefault="0051718E">
            <w:pPr>
              <w:spacing w:before="0" w:after="0"/>
              <w:jc w:val="center"/>
              <w:rPr>
                <w:rFonts w:eastAsia="Times New Roman"/>
                <w:b/>
                <w:bCs/>
                <w:noProof/>
                <w:color w:val="000000"/>
                <w:sz w:val="20"/>
                <w:szCs w:val="20"/>
              </w:rPr>
            </w:pPr>
            <w:r w:rsidRPr="00557C2A">
              <w:rPr>
                <w:b/>
                <w:noProof/>
                <w:color w:val="000000"/>
                <w:sz w:val="20"/>
              </w:rPr>
              <w:t>TOTAAL MFK 2028-2034</w:t>
            </w:r>
          </w:p>
        </w:tc>
      </w:tr>
      <w:tr w:rsidR="0051718E" w:rsidRPr="00557C2A" w14:paraId="5E2B92DF" w14:textId="77777777" w:rsidTr="1BDB167A">
        <w:trPr>
          <w:trHeight w:val="300"/>
        </w:trPr>
        <w:tc>
          <w:tcPr>
            <w:tcW w:w="2017" w:type="pct"/>
            <w:gridSpan w:val="9"/>
            <w:vMerge/>
            <w:vAlign w:val="center"/>
            <w:hideMark/>
          </w:tcPr>
          <w:p w14:paraId="323A785A" w14:textId="77777777" w:rsidR="0051718E" w:rsidRPr="00557C2A" w:rsidRDefault="0051718E">
            <w:pPr>
              <w:spacing w:before="0" w:after="0"/>
              <w:jc w:val="left"/>
              <w:rPr>
                <w:rFonts w:eastAsia="Times New Roman"/>
                <w:noProof/>
                <w:color w:val="000000"/>
                <w:sz w:val="22"/>
                <w:lang w:eastAsia="en-IE"/>
              </w:rPr>
            </w:pPr>
          </w:p>
        </w:tc>
        <w:tc>
          <w:tcPr>
            <w:tcW w:w="277" w:type="pct"/>
            <w:gridSpan w:val="3"/>
            <w:tcBorders>
              <w:top w:val="nil"/>
              <w:left w:val="nil"/>
              <w:bottom w:val="single" w:sz="8" w:space="0" w:color="auto"/>
              <w:right w:val="single" w:sz="8" w:space="0" w:color="auto"/>
            </w:tcBorders>
            <w:vAlign w:val="center"/>
            <w:hideMark/>
          </w:tcPr>
          <w:p w14:paraId="0827EB77" w14:textId="77777777" w:rsidR="0051718E" w:rsidRPr="00557C2A" w:rsidRDefault="0051718E">
            <w:pPr>
              <w:spacing w:before="0" w:after="0"/>
              <w:jc w:val="center"/>
              <w:rPr>
                <w:rFonts w:eastAsia="Times New Roman"/>
                <w:b/>
                <w:bCs/>
                <w:noProof/>
                <w:color w:val="000000"/>
                <w:sz w:val="20"/>
                <w:szCs w:val="20"/>
              </w:rPr>
            </w:pPr>
            <w:r w:rsidRPr="00557C2A">
              <w:rPr>
                <w:b/>
                <w:noProof/>
                <w:color w:val="000000"/>
                <w:sz w:val="20"/>
              </w:rPr>
              <w:t>2028</w:t>
            </w:r>
          </w:p>
        </w:tc>
        <w:tc>
          <w:tcPr>
            <w:tcW w:w="277" w:type="pct"/>
            <w:gridSpan w:val="3"/>
            <w:tcBorders>
              <w:top w:val="nil"/>
              <w:left w:val="nil"/>
              <w:bottom w:val="single" w:sz="8" w:space="0" w:color="auto"/>
              <w:right w:val="single" w:sz="8" w:space="0" w:color="auto"/>
            </w:tcBorders>
            <w:vAlign w:val="center"/>
            <w:hideMark/>
          </w:tcPr>
          <w:p w14:paraId="7E80F4BE" w14:textId="77777777" w:rsidR="0051718E" w:rsidRPr="00557C2A" w:rsidRDefault="0051718E">
            <w:pPr>
              <w:spacing w:before="0" w:after="0"/>
              <w:jc w:val="center"/>
              <w:rPr>
                <w:rFonts w:eastAsia="Times New Roman"/>
                <w:b/>
                <w:bCs/>
                <w:noProof/>
                <w:color w:val="000000"/>
                <w:sz w:val="20"/>
                <w:szCs w:val="20"/>
              </w:rPr>
            </w:pPr>
            <w:r w:rsidRPr="00557C2A">
              <w:rPr>
                <w:b/>
                <w:noProof/>
                <w:color w:val="000000"/>
                <w:sz w:val="20"/>
              </w:rPr>
              <w:t>2029</w:t>
            </w:r>
          </w:p>
        </w:tc>
        <w:tc>
          <w:tcPr>
            <w:tcW w:w="277" w:type="pct"/>
            <w:gridSpan w:val="2"/>
            <w:tcBorders>
              <w:top w:val="nil"/>
              <w:left w:val="nil"/>
              <w:bottom w:val="single" w:sz="8" w:space="0" w:color="auto"/>
              <w:right w:val="single" w:sz="8" w:space="0" w:color="auto"/>
            </w:tcBorders>
            <w:vAlign w:val="center"/>
            <w:hideMark/>
          </w:tcPr>
          <w:p w14:paraId="343A05ED" w14:textId="77777777" w:rsidR="0051718E" w:rsidRPr="00557C2A" w:rsidRDefault="0051718E">
            <w:pPr>
              <w:spacing w:before="0" w:after="0"/>
              <w:jc w:val="center"/>
              <w:rPr>
                <w:rFonts w:eastAsia="Times New Roman"/>
                <w:b/>
                <w:bCs/>
                <w:noProof/>
                <w:color w:val="000000"/>
                <w:sz w:val="20"/>
                <w:szCs w:val="20"/>
              </w:rPr>
            </w:pPr>
            <w:r w:rsidRPr="00557C2A">
              <w:rPr>
                <w:b/>
                <w:noProof/>
                <w:color w:val="000000"/>
                <w:sz w:val="20"/>
              </w:rPr>
              <w:t>2030</w:t>
            </w:r>
          </w:p>
        </w:tc>
        <w:tc>
          <w:tcPr>
            <w:tcW w:w="277" w:type="pct"/>
            <w:gridSpan w:val="2"/>
            <w:tcBorders>
              <w:top w:val="nil"/>
              <w:left w:val="nil"/>
              <w:bottom w:val="single" w:sz="8" w:space="0" w:color="auto"/>
              <w:right w:val="single" w:sz="8" w:space="0" w:color="auto"/>
            </w:tcBorders>
            <w:vAlign w:val="center"/>
            <w:hideMark/>
          </w:tcPr>
          <w:p w14:paraId="310213F7" w14:textId="77777777" w:rsidR="0051718E" w:rsidRPr="00557C2A" w:rsidRDefault="0051718E">
            <w:pPr>
              <w:spacing w:before="0" w:after="0"/>
              <w:jc w:val="center"/>
              <w:rPr>
                <w:rFonts w:eastAsia="Times New Roman"/>
                <w:b/>
                <w:bCs/>
                <w:noProof/>
                <w:color w:val="000000"/>
                <w:sz w:val="20"/>
                <w:szCs w:val="20"/>
              </w:rPr>
            </w:pPr>
            <w:r w:rsidRPr="00557C2A">
              <w:rPr>
                <w:b/>
                <w:noProof/>
                <w:color w:val="000000"/>
                <w:sz w:val="20"/>
              </w:rPr>
              <w:t>2031</w:t>
            </w:r>
          </w:p>
        </w:tc>
        <w:tc>
          <w:tcPr>
            <w:tcW w:w="277" w:type="pct"/>
            <w:gridSpan w:val="3"/>
            <w:tcBorders>
              <w:top w:val="nil"/>
              <w:left w:val="nil"/>
              <w:bottom w:val="single" w:sz="8" w:space="0" w:color="auto"/>
              <w:right w:val="single" w:sz="8" w:space="0" w:color="auto"/>
            </w:tcBorders>
            <w:vAlign w:val="center"/>
            <w:hideMark/>
          </w:tcPr>
          <w:p w14:paraId="37C4AD6B" w14:textId="77777777" w:rsidR="0051718E" w:rsidRPr="00557C2A" w:rsidRDefault="0051718E">
            <w:pPr>
              <w:spacing w:before="0" w:after="0"/>
              <w:jc w:val="center"/>
              <w:rPr>
                <w:rFonts w:eastAsia="Times New Roman"/>
                <w:b/>
                <w:bCs/>
                <w:noProof/>
                <w:color w:val="000000"/>
                <w:sz w:val="20"/>
                <w:szCs w:val="20"/>
              </w:rPr>
            </w:pPr>
            <w:r w:rsidRPr="00557C2A">
              <w:rPr>
                <w:b/>
                <w:noProof/>
                <w:color w:val="000000"/>
                <w:sz w:val="20"/>
              </w:rPr>
              <w:t>2032</w:t>
            </w:r>
          </w:p>
        </w:tc>
        <w:tc>
          <w:tcPr>
            <w:tcW w:w="277" w:type="pct"/>
            <w:gridSpan w:val="2"/>
            <w:tcBorders>
              <w:top w:val="nil"/>
              <w:left w:val="nil"/>
              <w:bottom w:val="single" w:sz="8" w:space="0" w:color="auto"/>
              <w:right w:val="single" w:sz="8" w:space="0" w:color="auto"/>
            </w:tcBorders>
            <w:vAlign w:val="center"/>
            <w:hideMark/>
          </w:tcPr>
          <w:p w14:paraId="0F3DAEAD" w14:textId="77777777" w:rsidR="0051718E" w:rsidRPr="00557C2A" w:rsidRDefault="0051718E">
            <w:pPr>
              <w:spacing w:before="0" w:after="0"/>
              <w:jc w:val="center"/>
              <w:rPr>
                <w:rFonts w:eastAsia="Times New Roman"/>
                <w:b/>
                <w:bCs/>
                <w:noProof/>
                <w:color w:val="000000"/>
                <w:sz w:val="20"/>
                <w:szCs w:val="20"/>
              </w:rPr>
            </w:pPr>
            <w:r w:rsidRPr="00557C2A">
              <w:rPr>
                <w:b/>
                <w:noProof/>
                <w:color w:val="000000"/>
                <w:sz w:val="20"/>
              </w:rPr>
              <w:t>2033</w:t>
            </w:r>
          </w:p>
        </w:tc>
        <w:tc>
          <w:tcPr>
            <w:tcW w:w="277" w:type="pct"/>
            <w:gridSpan w:val="3"/>
            <w:tcBorders>
              <w:top w:val="nil"/>
              <w:left w:val="nil"/>
              <w:bottom w:val="single" w:sz="8" w:space="0" w:color="auto"/>
              <w:right w:val="single" w:sz="8" w:space="0" w:color="auto"/>
            </w:tcBorders>
            <w:vAlign w:val="center"/>
            <w:hideMark/>
          </w:tcPr>
          <w:p w14:paraId="4C62DD4B" w14:textId="77777777" w:rsidR="0051718E" w:rsidRPr="00557C2A" w:rsidRDefault="0051718E">
            <w:pPr>
              <w:spacing w:before="0" w:after="0"/>
              <w:jc w:val="center"/>
              <w:rPr>
                <w:rFonts w:eastAsia="Times New Roman"/>
                <w:b/>
                <w:bCs/>
                <w:noProof/>
                <w:color w:val="000000"/>
                <w:sz w:val="20"/>
                <w:szCs w:val="20"/>
              </w:rPr>
            </w:pPr>
            <w:r w:rsidRPr="00557C2A">
              <w:rPr>
                <w:b/>
                <w:noProof/>
                <w:color w:val="000000"/>
                <w:sz w:val="20"/>
              </w:rPr>
              <w:t>2034</w:t>
            </w:r>
          </w:p>
        </w:tc>
        <w:tc>
          <w:tcPr>
            <w:tcW w:w="1044" w:type="pct"/>
            <w:gridSpan w:val="5"/>
            <w:vMerge/>
            <w:vAlign w:val="center"/>
            <w:hideMark/>
          </w:tcPr>
          <w:p w14:paraId="07D053CD" w14:textId="77777777" w:rsidR="0051718E" w:rsidRPr="00557C2A" w:rsidRDefault="0051718E">
            <w:pPr>
              <w:spacing w:before="0" w:after="0"/>
              <w:jc w:val="left"/>
              <w:rPr>
                <w:rFonts w:eastAsia="Times New Roman"/>
                <w:b/>
                <w:bCs/>
                <w:noProof/>
                <w:color w:val="000000"/>
                <w:sz w:val="20"/>
                <w:szCs w:val="20"/>
                <w:lang w:eastAsia="en-IE"/>
              </w:rPr>
            </w:pPr>
          </w:p>
        </w:tc>
      </w:tr>
      <w:tr w:rsidR="0051718E" w:rsidRPr="00557C2A" w14:paraId="658EEAC6" w14:textId="77777777" w:rsidTr="1BDB167A">
        <w:trPr>
          <w:trHeight w:val="300"/>
        </w:trPr>
        <w:tc>
          <w:tcPr>
            <w:tcW w:w="5000" w:type="pct"/>
            <w:gridSpan w:val="32"/>
            <w:tcBorders>
              <w:top w:val="single" w:sz="8" w:space="0" w:color="auto"/>
              <w:left w:val="single" w:sz="8" w:space="0" w:color="auto"/>
              <w:bottom w:val="single" w:sz="8" w:space="0" w:color="auto"/>
              <w:right w:val="single" w:sz="8" w:space="0" w:color="000000" w:themeColor="text1"/>
            </w:tcBorders>
            <w:vAlign w:val="center"/>
            <w:hideMark/>
          </w:tcPr>
          <w:p w14:paraId="48AE6614" w14:textId="77777777" w:rsidR="0051718E" w:rsidRPr="00557C2A" w:rsidRDefault="0051718E">
            <w:pPr>
              <w:spacing w:before="0" w:after="0"/>
              <w:jc w:val="left"/>
              <w:rPr>
                <w:rFonts w:eastAsia="Times New Roman"/>
                <w:noProof/>
                <w:color w:val="000000"/>
                <w:sz w:val="21"/>
                <w:szCs w:val="21"/>
              </w:rPr>
            </w:pPr>
            <w:r w:rsidRPr="00557C2A">
              <w:rPr>
                <w:noProof/>
                <w:color w:val="000000"/>
                <w:sz w:val="21"/>
              </w:rPr>
              <w:t xml:space="preserve">Beleidskredieten </w:t>
            </w:r>
          </w:p>
        </w:tc>
      </w:tr>
      <w:tr w:rsidR="0051718E" w:rsidRPr="00557C2A" w14:paraId="75FC9180" w14:textId="77777777" w:rsidTr="1BDB167A">
        <w:trPr>
          <w:trHeight w:val="470"/>
        </w:trPr>
        <w:tc>
          <w:tcPr>
            <w:tcW w:w="1102" w:type="pct"/>
            <w:gridSpan w:val="3"/>
            <w:vMerge w:val="restart"/>
            <w:tcBorders>
              <w:top w:val="nil"/>
              <w:left w:val="single" w:sz="8" w:space="0" w:color="auto"/>
              <w:bottom w:val="single" w:sz="8" w:space="0" w:color="000000" w:themeColor="text1"/>
              <w:right w:val="single" w:sz="8" w:space="0" w:color="auto"/>
            </w:tcBorders>
            <w:vAlign w:val="center"/>
            <w:hideMark/>
          </w:tcPr>
          <w:p w14:paraId="36D1A225" w14:textId="77777777" w:rsidR="0051718E" w:rsidRPr="00557C2A" w:rsidRDefault="0051718E">
            <w:pPr>
              <w:spacing w:before="0" w:after="0"/>
              <w:rPr>
                <w:rFonts w:eastAsia="Times New Roman"/>
                <w:noProof/>
                <w:color w:val="000000"/>
                <w:sz w:val="20"/>
                <w:szCs w:val="20"/>
              </w:rPr>
            </w:pPr>
            <w:r w:rsidRPr="00557C2A">
              <w:rPr>
                <w:noProof/>
                <w:color w:val="000000"/>
                <w:sz w:val="20"/>
              </w:rPr>
              <w:t>Begrotingsonderdeel: 02.03.02 Connecting Europe Facility — Energie</w:t>
            </w:r>
          </w:p>
        </w:tc>
        <w:tc>
          <w:tcPr>
            <w:tcW w:w="557" w:type="pct"/>
            <w:gridSpan w:val="4"/>
            <w:tcBorders>
              <w:top w:val="nil"/>
              <w:left w:val="nil"/>
              <w:bottom w:val="single" w:sz="8" w:space="0" w:color="auto"/>
              <w:right w:val="single" w:sz="8" w:space="0" w:color="auto"/>
            </w:tcBorders>
            <w:vAlign w:val="center"/>
            <w:hideMark/>
          </w:tcPr>
          <w:p w14:paraId="234634B8" w14:textId="77777777" w:rsidR="0051718E" w:rsidRPr="00557C2A" w:rsidRDefault="0051718E">
            <w:pPr>
              <w:spacing w:before="0" w:after="0"/>
              <w:rPr>
                <w:rFonts w:eastAsia="Times New Roman"/>
                <w:noProof/>
                <w:color w:val="000000"/>
                <w:sz w:val="18"/>
                <w:szCs w:val="18"/>
              </w:rPr>
            </w:pPr>
            <w:r w:rsidRPr="00557C2A">
              <w:rPr>
                <w:noProof/>
                <w:color w:val="000000"/>
                <w:sz w:val="18"/>
              </w:rPr>
              <w:t>Vastleggingen</w:t>
            </w:r>
          </w:p>
        </w:tc>
        <w:tc>
          <w:tcPr>
            <w:tcW w:w="358" w:type="pct"/>
            <w:gridSpan w:val="2"/>
            <w:tcBorders>
              <w:top w:val="nil"/>
              <w:left w:val="nil"/>
              <w:bottom w:val="single" w:sz="8" w:space="0" w:color="auto"/>
              <w:right w:val="single" w:sz="8" w:space="0" w:color="auto"/>
            </w:tcBorders>
            <w:vAlign w:val="center"/>
            <w:hideMark/>
          </w:tcPr>
          <w:p w14:paraId="57613110" w14:textId="77777777" w:rsidR="0051718E" w:rsidRPr="00557C2A" w:rsidRDefault="0051718E">
            <w:pPr>
              <w:spacing w:before="0" w:after="0"/>
              <w:jc w:val="center"/>
              <w:rPr>
                <w:rFonts w:eastAsia="Times New Roman"/>
                <w:noProof/>
                <w:color w:val="000000"/>
                <w:sz w:val="14"/>
                <w:szCs w:val="14"/>
              </w:rPr>
            </w:pPr>
            <w:r w:rsidRPr="00557C2A">
              <w:rPr>
                <w:noProof/>
                <w:color w:val="000000"/>
                <w:sz w:val="14"/>
              </w:rPr>
              <w:t>(1b)</w:t>
            </w:r>
          </w:p>
        </w:tc>
        <w:tc>
          <w:tcPr>
            <w:tcW w:w="277" w:type="pct"/>
            <w:gridSpan w:val="3"/>
            <w:tcBorders>
              <w:top w:val="nil"/>
              <w:left w:val="nil"/>
              <w:bottom w:val="single" w:sz="8" w:space="0" w:color="auto"/>
              <w:right w:val="single" w:sz="8" w:space="0" w:color="auto"/>
            </w:tcBorders>
            <w:vAlign w:val="center"/>
            <w:hideMark/>
          </w:tcPr>
          <w:p w14:paraId="46A411D2" w14:textId="77777777" w:rsidR="0051718E" w:rsidRPr="00557C2A" w:rsidRDefault="0051718E">
            <w:pPr>
              <w:spacing w:before="0" w:after="0"/>
              <w:jc w:val="right"/>
              <w:rPr>
                <w:rFonts w:eastAsia="Times New Roman"/>
                <w:noProof/>
                <w:color w:val="000000"/>
                <w:sz w:val="20"/>
                <w:szCs w:val="20"/>
              </w:rPr>
            </w:pPr>
            <w:r w:rsidRPr="00557C2A">
              <w:rPr>
                <w:noProof/>
                <w:color w:val="000000"/>
                <w:sz w:val="20"/>
              </w:rPr>
              <w:t>0,350</w:t>
            </w:r>
          </w:p>
        </w:tc>
        <w:tc>
          <w:tcPr>
            <w:tcW w:w="277" w:type="pct"/>
            <w:gridSpan w:val="3"/>
            <w:tcBorders>
              <w:top w:val="nil"/>
              <w:left w:val="nil"/>
              <w:bottom w:val="single" w:sz="8" w:space="0" w:color="auto"/>
              <w:right w:val="single" w:sz="8" w:space="0" w:color="auto"/>
            </w:tcBorders>
            <w:vAlign w:val="center"/>
            <w:hideMark/>
          </w:tcPr>
          <w:p w14:paraId="1F4C8B6B" w14:textId="77777777" w:rsidR="0051718E" w:rsidRPr="00557C2A" w:rsidRDefault="0051718E">
            <w:pPr>
              <w:spacing w:before="0" w:after="0"/>
              <w:jc w:val="right"/>
              <w:rPr>
                <w:rFonts w:eastAsia="Times New Roman"/>
                <w:noProof/>
                <w:color w:val="000000"/>
                <w:sz w:val="20"/>
                <w:szCs w:val="20"/>
              </w:rPr>
            </w:pPr>
            <w:r w:rsidRPr="00557C2A">
              <w:rPr>
                <w:noProof/>
                <w:color w:val="000000"/>
                <w:sz w:val="20"/>
              </w:rPr>
              <w:t xml:space="preserve"> </w:t>
            </w:r>
          </w:p>
        </w:tc>
        <w:tc>
          <w:tcPr>
            <w:tcW w:w="277" w:type="pct"/>
            <w:gridSpan w:val="2"/>
            <w:tcBorders>
              <w:top w:val="nil"/>
              <w:left w:val="nil"/>
              <w:bottom w:val="single" w:sz="8" w:space="0" w:color="auto"/>
              <w:right w:val="single" w:sz="8" w:space="0" w:color="auto"/>
            </w:tcBorders>
            <w:vAlign w:val="center"/>
            <w:hideMark/>
          </w:tcPr>
          <w:p w14:paraId="568D5173" w14:textId="77777777" w:rsidR="0051718E" w:rsidRPr="00557C2A" w:rsidRDefault="0051718E">
            <w:pPr>
              <w:spacing w:before="0" w:after="0"/>
              <w:jc w:val="right"/>
              <w:rPr>
                <w:rFonts w:eastAsia="Times New Roman"/>
                <w:noProof/>
                <w:color w:val="000000"/>
                <w:sz w:val="20"/>
                <w:szCs w:val="20"/>
              </w:rPr>
            </w:pPr>
            <w:r w:rsidRPr="00557C2A">
              <w:rPr>
                <w:noProof/>
                <w:color w:val="000000"/>
                <w:sz w:val="20"/>
              </w:rPr>
              <w:t xml:space="preserve"> </w:t>
            </w:r>
          </w:p>
        </w:tc>
        <w:tc>
          <w:tcPr>
            <w:tcW w:w="277" w:type="pct"/>
            <w:gridSpan w:val="2"/>
            <w:tcBorders>
              <w:top w:val="nil"/>
              <w:left w:val="nil"/>
              <w:bottom w:val="single" w:sz="8" w:space="0" w:color="auto"/>
              <w:right w:val="single" w:sz="8" w:space="0" w:color="auto"/>
            </w:tcBorders>
            <w:vAlign w:val="center"/>
            <w:hideMark/>
          </w:tcPr>
          <w:p w14:paraId="067A90DB" w14:textId="77777777" w:rsidR="0051718E" w:rsidRPr="00557C2A" w:rsidRDefault="0051718E">
            <w:pPr>
              <w:spacing w:before="0" w:after="0"/>
              <w:jc w:val="right"/>
              <w:rPr>
                <w:rFonts w:eastAsia="Times New Roman"/>
                <w:noProof/>
                <w:color w:val="000000"/>
                <w:sz w:val="20"/>
                <w:szCs w:val="20"/>
              </w:rPr>
            </w:pPr>
            <w:r w:rsidRPr="00557C2A">
              <w:rPr>
                <w:noProof/>
                <w:color w:val="000000"/>
                <w:sz w:val="20"/>
              </w:rPr>
              <w:t xml:space="preserve"> </w:t>
            </w:r>
          </w:p>
        </w:tc>
        <w:tc>
          <w:tcPr>
            <w:tcW w:w="277" w:type="pct"/>
            <w:gridSpan w:val="3"/>
            <w:tcBorders>
              <w:top w:val="nil"/>
              <w:left w:val="nil"/>
              <w:bottom w:val="single" w:sz="8" w:space="0" w:color="auto"/>
              <w:right w:val="single" w:sz="8" w:space="0" w:color="auto"/>
            </w:tcBorders>
            <w:vAlign w:val="center"/>
            <w:hideMark/>
          </w:tcPr>
          <w:p w14:paraId="2713E080" w14:textId="77777777" w:rsidR="0051718E" w:rsidRPr="00557C2A" w:rsidRDefault="0051718E">
            <w:pPr>
              <w:spacing w:before="0" w:after="0"/>
              <w:jc w:val="right"/>
              <w:rPr>
                <w:rFonts w:eastAsia="Times New Roman"/>
                <w:noProof/>
                <w:color w:val="000000"/>
                <w:sz w:val="20"/>
                <w:szCs w:val="20"/>
              </w:rPr>
            </w:pPr>
            <w:r w:rsidRPr="00557C2A">
              <w:rPr>
                <w:noProof/>
                <w:color w:val="000000"/>
                <w:sz w:val="20"/>
              </w:rPr>
              <w:t xml:space="preserve"> </w:t>
            </w:r>
          </w:p>
        </w:tc>
        <w:tc>
          <w:tcPr>
            <w:tcW w:w="277" w:type="pct"/>
            <w:gridSpan w:val="2"/>
            <w:tcBorders>
              <w:top w:val="nil"/>
              <w:left w:val="nil"/>
              <w:bottom w:val="single" w:sz="8" w:space="0" w:color="auto"/>
              <w:right w:val="single" w:sz="8" w:space="0" w:color="auto"/>
            </w:tcBorders>
            <w:vAlign w:val="center"/>
            <w:hideMark/>
          </w:tcPr>
          <w:p w14:paraId="40985828" w14:textId="77777777" w:rsidR="0051718E" w:rsidRPr="00557C2A" w:rsidRDefault="0051718E">
            <w:pPr>
              <w:spacing w:before="0" w:after="0"/>
              <w:jc w:val="right"/>
              <w:rPr>
                <w:rFonts w:eastAsia="Times New Roman"/>
                <w:noProof/>
                <w:color w:val="000000"/>
                <w:sz w:val="20"/>
                <w:szCs w:val="20"/>
              </w:rPr>
            </w:pPr>
            <w:r w:rsidRPr="00557C2A">
              <w:rPr>
                <w:noProof/>
                <w:color w:val="000000"/>
                <w:sz w:val="20"/>
              </w:rPr>
              <w:t xml:space="preserve"> </w:t>
            </w:r>
          </w:p>
        </w:tc>
        <w:tc>
          <w:tcPr>
            <w:tcW w:w="277" w:type="pct"/>
            <w:gridSpan w:val="3"/>
            <w:tcBorders>
              <w:top w:val="nil"/>
              <w:left w:val="nil"/>
              <w:bottom w:val="single" w:sz="8" w:space="0" w:color="auto"/>
              <w:right w:val="single" w:sz="8" w:space="0" w:color="auto"/>
            </w:tcBorders>
            <w:vAlign w:val="center"/>
            <w:hideMark/>
          </w:tcPr>
          <w:p w14:paraId="2F7ABF37" w14:textId="77777777" w:rsidR="0051718E" w:rsidRPr="00557C2A" w:rsidRDefault="0051718E">
            <w:pPr>
              <w:spacing w:before="0" w:after="0"/>
              <w:jc w:val="right"/>
              <w:rPr>
                <w:rFonts w:eastAsia="Times New Roman"/>
                <w:noProof/>
                <w:color w:val="000000"/>
                <w:sz w:val="20"/>
                <w:szCs w:val="20"/>
              </w:rPr>
            </w:pPr>
            <w:r w:rsidRPr="00557C2A">
              <w:rPr>
                <w:noProof/>
                <w:color w:val="000000"/>
                <w:sz w:val="20"/>
              </w:rPr>
              <w:t xml:space="preserve"> </w:t>
            </w:r>
          </w:p>
        </w:tc>
        <w:tc>
          <w:tcPr>
            <w:tcW w:w="1044" w:type="pct"/>
            <w:gridSpan w:val="5"/>
            <w:tcBorders>
              <w:top w:val="nil"/>
              <w:left w:val="nil"/>
              <w:bottom w:val="single" w:sz="8" w:space="0" w:color="auto"/>
              <w:right w:val="single" w:sz="8" w:space="0" w:color="auto"/>
            </w:tcBorders>
            <w:shd w:val="clear" w:color="auto" w:fill="D9D9D9" w:themeFill="background1" w:themeFillShade="D9"/>
            <w:vAlign w:val="center"/>
            <w:hideMark/>
          </w:tcPr>
          <w:p w14:paraId="13065BCD" w14:textId="77777777" w:rsidR="0051718E" w:rsidRPr="00557C2A" w:rsidRDefault="0051718E">
            <w:pPr>
              <w:spacing w:before="0" w:after="0"/>
              <w:jc w:val="right"/>
              <w:rPr>
                <w:rFonts w:eastAsia="Times New Roman"/>
                <w:b/>
                <w:bCs/>
                <w:noProof/>
                <w:color w:val="000000"/>
                <w:sz w:val="20"/>
                <w:szCs w:val="20"/>
              </w:rPr>
            </w:pPr>
            <w:r w:rsidRPr="00557C2A">
              <w:rPr>
                <w:b/>
                <w:noProof/>
                <w:color w:val="000000"/>
                <w:sz w:val="20"/>
              </w:rPr>
              <w:t>0,350</w:t>
            </w:r>
          </w:p>
        </w:tc>
      </w:tr>
      <w:tr w:rsidR="0051718E" w:rsidRPr="00557C2A" w14:paraId="221E369A" w14:textId="77777777" w:rsidTr="1BDB167A">
        <w:trPr>
          <w:trHeight w:val="300"/>
        </w:trPr>
        <w:tc>
          <w:tcPr>
            <w:tcW w:w="1102" w:type="pct"/>
            <w:gridSpan w:val="3"/>
            <w:vMerge/>
            <w:vAlign w:val="center"/>
            <w:hideMark/>
          </w:tcPr>
          <w:p w14:paraId="7566C705" w14:textId="77777777" w:rsidR="0051718E" w:rsidRPr="00557C2A" w:rsidRDefault="0051718E">
            <w:pPr>
              <w:spacing w:before="0" w:after="0"/>
              <w:jc w:val="left"/>
              <w:rPr>
                <w:rFonts w:eastAsia="Times New Roman"/>
                <w:noProof/>
                <w:color w:val="000000"/>
                <w:sz w:val="20"/>
                <w:szCs w:val="20"/>
                <w:lang w:eastAsia="en-IE"/>
              </w:rPr>
            </w:pPr>
          </w:p>
        </w:tc>
        <w:tc>
          <w:tcPr>
            <w:tcW w:w="557" w:type="pct"/>
            <w:gridSpan w:val="4"/>
            <w:tcBorders>
              <w:top w:val="nil"/>
              <w:left w:val="nil"/>
              <w:bottom w:val="single" w:sz="8" w:space="0" w:color="auto"/>
              <w:right w:val="single" w:sz="8" w:space="0" w:color="auto"/>
            </w:tcBorders>
            <w:vAlign w:val="center"/>
            <w:hideMark/>
          </w:tcPr>
          <w:p w14:paraId="02EDFDD6" w14:textId="77777777" w:rsidR="0051718E" w:rsidRPr="00557C2A" w:rsidRDefault="0051718E">
            <w:pPr>
              <w:spacing w:before="0" w:after="0"/>
              <w:rPr>
                <w:rFonts w:eastAsia="Times New Roman"/>
                <w:noProof/>
                <w:color w:val="000000"/>
                <w:sz w:val="18"/>
                <w:szCs w:val="18"/>
              </w:rPr>
            </w:pPr>
            <w:r w:rsidRPr="00557C2A">
              <w:rPr>
                <w:noProof/>
                <w:color w:val="000000"/>
                <w:sz w:val="18"/>
              </w:rPr>
              <w:t>Betalingen</w:t>
            </w:r>
          </w:p>
        </w:tc>
        <w:tc>
          <w:tcPr>
            <w:tcW w:w="358" w:type="pct"/>
            <w:gridSpan w:val="2"/>
            <w:tcBorders>
              <w:top w:val="nil"/>
              <w:left w:val="nil"/>
              <w:bottom w:val="single" w:sz="8" w:space="0" w:color="auto"/>
              <w:right w:val="single" w:sz="8" w:space="0" w:color="auto"/>
            </w:tcBorders>
            <w:vAlign w:val="center"/>
            <w:hideMark/>
          </w:tcPr>
          <w:p w14:paraId="7F2FA752" w14:textId="77777777" w:rsidR="0051718E" w:rsidRPr="00557C2A" w:rsidRDefault="0051718E">
            <w:pPr>
              <w:spacing w:before="0" w:after="0"/>
              <w:jc w:val="center"/>
              <w:rPr>
                <w:rFonts w:eastAsia="Times New Roman"/>
                <w:noProof/>
                <w:color w:val="000000"/>
                <w:sz w:val="14"/>
                <w:szCs w:val="14"/>
              </w:rPr>
            </w:pPr>
            <w:r w:rsidRPr="00557C2A">
              <w:rPr>
                <w:noProof/>
                <w:color w:val="000000"/>
                <w:sz w:val="14"/>
              </w:rPr>
              <w:t>(2b)</w:t>
            </w:r>
          </w:p>
        </w:tc>
        <w:tc>
          <w:tcPr>
            <w:tcW w:w="277" w:type="pct"/>
            <w:gridSpan w:val="3"/>
            <w:tcBorders>
              <w:top w:val="nil"/>
              <w:left w:val="nil"/>
              <w:bottom w:val="single" w:sz="8" w:space="0" w:color="auto"/>
              <w:right w:val="single" w:sz="8" w:space="0" w:color="auto"/>
            </w:tcBorders>
            <w:vAlign w:val="center"/>
            <w:hideMark/>
          </w:tcPr>
          <w:p w14:paraId="6232F7EA" w14:textId="77777777" w:rsidR="0051718E" w:rsidRPr="00557C2A" w:rsidRDefault="0051718E">
            <w:pPr>
              <w:spacing w:before="0" w:after="0"/>
              <w:jc w:val="right"/>
              <w:rPr>
                <w:rFonts w:eastAsia="Times New Roman"/>
                <w:noProof/>
                <w:color w:val="000000"/>
                <w:sz w:val="20"/>
                <w:szCs w:val="20"/>
              </w:rPr>
            </w:pPr>
            <w:r w:rsidRPr="00557C2A">
              <w:rPr>
                <w:noProof/>
                <w:color w:val="000000"/>
                <w:sz w:val="20"/>
              </w:rPr>
              <w:t xml:space="preserve"> </w:t>
            </w:r>
          </w:p>
        </w:tc>
        <w:tc>
          <w:tcPr>
            <w:tcW w:w="277" w:type="pct"/>
            <w:gridSpan w:val="3"/>
            <w:tcBorders>
              <w:top w:val="nil"/>
              <w:left w:val="nil"/>
              <w:bottom w:val="single" w:sz="8" w:space="0" w:color="auto"/>
              <w:right w:val="single" w:sz="8" w:space="0" w:color="auto"/>
            </w:tcBorders>
            <w:vAlign w:val="center"/>
            <w:hideMark/>
          </w:tcPr>
          <w:p w14:paraId="585DB7FA" w14:textId="77777777" w:rsidR="0051718E" w:rsidRPr="00557C2A" w:rsidRDefault="0051718E">
            <w:pPr>
              <w:spacing w:before="0" w:after="0"/>
              <w:jc w:val="right"/>
              <w:rPr>
                <w:rFonts w:eastAsia="Times New Roman"/>
                <w:noProof/>
                <w:color w:val="000000"/>
                <w:sz w:val="20"/>
                <w:szCs w:val="20"/>
              </w:rPr>
            </w:pPr>
            <w:r w:rsidRPr="00557C2A">
              <w:rPr>
                <w:noProof/>
                <w:color w:val="000000"/>
                <w:sz w:val="20"/>
              </w:rPr>
              <w:t xml:space="preserve">0,140 </w:t>
            </w:r>
          </w:p>
        </w:tc>
        <w:tc>
          <w:tcPr>
            <w:tcW w:w="277" w:type="pct"/>
            <w:gridSpan w:val="2"/>
            <w:tcBorders>
              <w:top w:val="nil"/>
              <w:left w:val="nil"/>
              <w:bottom w:val="single" w:sz="8" w:space="0" w:color="auto"/>
              <w:right w:val="single" w:sz="8" w:space="0" w:color="auto"/>
            </w:tcBorders>
            <w:vAlign w:val="center"/>
            <w:hideMark/>
          </w:tcPr>
          <w:p w14:paraId="1E67E836" w14:textId="77777777" w:rsidR="0051718E" w:rsidRPr="00557C2A" w:rsidRDefault="0051718E">
            <w:pPr>
              <w:spacing w:before="0" w:after="0"/>
              <w:jc w:val="right"/>
              <w:rPr>
                <w:rFonts w:eastAsia="Times New Roman"/>
                <w:noProof/>
                <w:color w:val="000000"/>
                <w:sz w:val="20"/>
                <w:szCs w:val="20"/>
              </w:rPr>
            </w:pPr>
            <w:r w:rsidRPr="00557C2A">
              <w:rPr>
                <w:noProof/>
                <w:color w:val="000000"/>
                <w:sz w:val="20"/>
              </w:rPr>
              <w:t xml:space="preserve"> </w:t>
            </w:r>
          </w:p>
        </w:tc>
        <w:tc>
          <w:tcPr>
            <w:tcW w:w="277" w:type="pct"/>
            <w:gridSpan w:val="2"/>
            <w:tcBorders>
              <w:top w:val="nil"/>
              <w:left w:val="nil"/>
              <w:bottom w:val="single" w:sz="8" w:space="0" w:color="auto"/>
              <w:right w:val="single" w:sz="8" w:space="0" w:color="auto"/>
            </w:tcBorders>
            <w:vAlign w:val="center"/>
            <w:hideMark/>
          </w:tcPr>
          <w:p w14:paraId="134412CC" w14:textId="77777777" w:rsidR="0051718E" w:rsidRPr="00557C2A" w:rsidRDefault="0051718E">
            <w:pPr>
              <w:spacing w:before="0" w:after="0"/>
              <w:jc w:val="right"/>
              <w:rPr>
                <w:rFonts w:eastAsia="Times New Roman"/>
                <w:noProof/>
                <w:color w:val="000000"/>
                <w:sz w:val="20"/>
                <w:szCs w:val="20"/>
              </w:rPr>
            </w:pPr>
            <w:r w:rsidRPr="00557C2A">
              <w:rPr>
                <w:noProof/>
                <w:color w:val="000000"/>
                <w:sz w:val="20"/>
              </w:rPr>
              <w:t xml:space="preserve">0,140 </w:t>
            </w:r>
          </w:p>
        </w:tc>
        <w:tc>
          <w:tcPr>
            <w:tcW w:w="277" w:type="pct"/>
            <w:gridSpan w:val="3"/>
            <w:tcBorders>
              <w:top w:val="nil"/>
              <w:left w:val="nil"/>
              <w:bottom w:val="single" w:sz="8" w:space="0" w:color="auto"/>
              <w:right w:val="single" w:sz="8" w:space="0" w:color="auto"/>
            </w:tcBorders>
            <w:vAlign w:val="center"/>
            <w:hideMark/>
          </w:tcPr>
          <w:p w14:paraId="3591D1E9" w14:textId="77777777" w:rsidR="0051718E" w:rsidRPr="00557C2A" w:rsidRDefault="0051718E">
            <w:pPr>
              <w:spacing w:before="0" w:after="0"/>
              <w:jc w:val="right"/>
              <w:rPr>
                <w:rFonts w:eastAsia="Times New Roman"/>
                <w:noProof/>
                <w:color w:val="000000"/>
                <w:sz w:val="20"/>
                <w:szCs w:val="20"/>
              </w:rPr>
            </w:pPr>
            <w:r w:rsidRPr="00557C2A">
              <w:rPr>
                <w:noProof/>
                <w:color w:val="000000"/>
                <w:sz w:val="20"/>
              </w:rPr>
              <w:t xml:space="preserve">0,070 </w:t>
            </w:r>
          </w:p>
        </w:tc>
        <w:tc>
          <w:tcPr>
            <w:tcW w:w="277" w:type="pct"/>
            <w:gridSpan w:val="2"/>
            <w:tcBorders>
              <w:top w:val="nil"/>
              <w:left w:val="nil"/>
              <w:bottom w:val="single" w:sz="8" w:space="0" w:color="auto"/>
              <w:right w:val="single" w:sz="8" w:space="0" w:color="auto"/>
            </w:tcBorders>
            <w:vAlign w:val="center"/>
            <w:hideMark/>
          </w:tcPr>
          <w:p w14:paraId="362E9B28" w14:textId="77777777" w:rsidR="0051718E" w:rsidRPr="00557C2A" w:rsidRDefault="0051718E">
            <w:pPr>
              <w:spacing w:before="0" w:after="0"/>
              <w:jc w:val="right"/>
              <w:rPr>
                <w:rFonts w:eastAsia="Times New Roman"/>
                <w:noProof/>
                <w:color w:val="000000"/>
                <w:sz w:val="20"/>
                <w:szCs w:val="20"/>
              </w:rPr>
            </w:pPr>
            <w:r w:rsidRPr="00557C2A">
              <w:rPr>
                <w:noProof/>
                <w:color w:val="000000"/>
                <w:sz w:val="20"/>
              </w:rPr>
              <w:t xml:space="preserve"> </w:t>
            </w:r>
          </w:p>
        </w:tc>
        <w:tc>
          <w:tcPr>
            <w:tcW w:w="277" w:type="pct"/>
            <w:gridSpan w:val="3"/>
            <w:tcBorders>
              <w:top w:val="nil"/>
              <w:left w:val="nil"/>
              <w:bottom w:val="single" w:sz="8" w:space="0" w:color="auto"/>
              <w:right w:val="single" w:sz="8" w:space="0" w:color="auto"/>
            </w:tcBorders>
            <w:vAlign w:val="center"/>
            <w:hideMark/>
          </w:tcPr>
          <w:p w14:paraId="35031A42" w14:textId="77777777" w:rsidR="0051718E" w:rsidRPr="00557C2A" w:rsidRDefault="0051718E">
            <w:pPr>
              <w:spacing w:before="0" w:after="0"/>
              <w:jc w:val="right"/>
              <w:rPr>
                <w:rFonts w:eastAsia="Times New Roman"/>
                <w:noProof/>
                <w:color w:val="000000"/>
                <w:sz w:val="20"/>
                <w:szCs w:val="20"/>
              </w:rPr>
            </w:pPr>
            <w:r w:rsidRPr="00557C2A">
              <w:rPr>
                <w:noProof/>
                <w:color w:val="000000"/>
                <w:sz w:val="20"/>
              </w:rPr>
              <w:t xml:space="preserve"> </w:t>
            </w:r>
          </w:p>
        </w:tc>
        <w:tc>
          <w:tcPr>
            <w:tcW w:w="1044" w:type="pct"/>
            <w:gridSpan w:val="5"/>
            <w:tcBorders>
              <w:top w:val="nil"/>
              <w:left w:val="nil"/>
              <w:bottom w:val="single" w:sz="8" w:space="0" w:color="auto"/>
              <w:right w:val="single" w:sz="8" w:space="0" w:color="auto"/>
            </w:tcBorders>
            <w:shd w:val="clear" w:color="auto" w:fill="D9D9D9" w:themeFill="background1" w:themeFillShade="D9"/>
            <w:vAlign w:val="center"/>
            <w:hideMark/>
          </w:tcPr>
          <w:p w14:paraId="53132FD1" w14:textId="77777777" w:rsidR="0051718E" w:rsidRPr="00557C2A" w:rsidRDefault="0051718E">
            <w:pPr>
              <w:spacing w:before="0" w:after="0"/>
              <w:jc w:val="right"/>
              <w:rPr>
                <w:rFonts w:eastAsia="Times New Roman"/>
                <w:b/>
                <w:bCs/>
                <w:noProof/>
                <w:color w:val="000000"/>
                <w:sz w:val="20"/>
                <w:szCs w:val="20"/>
              </w:rPr>
            </w:pPr>
            <w:r w:rsidRPr="00557C2A">
              <w:rPr>
                <w:b/>
                <w:noProof/>
                <w:color w:val="000000"/>
                <w:sz w:val="20"/>
              </w:rPr>
              <w:t>0,350</w:t>
            </w:r>
          </w:p>
        </w:tc>
      </w:tr>
      <w:tr w:rsidR="0051718E" w:rsidRPr="00557C2A" w14:paraId="282B72AF" w14:textId="77777777" w:rsidTr="1BDB167A">
        <w:trPr>
          <w:trHeight w:val="300"/>
        </w:trPr>
        <w:tc>
          <w:tcPr>
            <w:tcW w:w="5000" w:type="pct"/>
            <w:gridSpan w:val="32"/>
            <w:tcBorders>
              <w:top w:val="single" w:sz="8" w:space="0" w:color="auto"/>
              <w:left w:val="single" w:sz="8" w:space="0" w:color="auto"/>
              <w:bottom w:val="single" w:sz="8" w:space="0" w:color="auto"/>
              <w:right w:val="single" w:sz="8" w:space="0" w:color="000000" w:themeColor="text1"/>
            </w:tcBorders>
            <w:noWrap/>
            <w:vAlign w:val="center"/>
            <w:hideMark/>
          </w:tcPr>
          <w:p w14:paraId="7C2164F8" w14:textId="77777777" w:rsidR="0051718E" w:rsidRPr="00557C2A" w:rsidRDefault="0051718E">
            <w:pPr>
              <w:spacing w:before="0" w:after="0"/>
              <w:jc w:val="left"/>
              <w:rPr>
                <w:rFonts w:eastAsia="Times New Roman"/>
                <w:noProof/>
                <w:sz w:val="22"/>
              </w:rPr>
            </w:pPr>
            <w:r w:rsidRPr="00557C2A">
              <w:rPr>
                <w:noProof/>
                <w:sz w:val="22"/>
              </w:rPr>
              <w:t>Uit het budget van specifieke programma’s gefinancierde administratieve kredieten</w:t>
            </w:r>
            <w:r w:rsidRPr="00557C2A">
              <w:rPr>
                <w:rStyle w:val="FootnoteReference"/>
                <w:rFonts w:eastAsia="Times New Roman"/>
                <w:noProof/>
                <w:sz w:val="22"/>
                <w:lang w:eastAsia="en-IE"/>
              </w:rPr>
              <w:footnoteReference w:id="59"/>
            </w:r>
          </w:p>
        </w:tc>
      </w:tr>
      <w:tr w:rsidR="0051718E" w:rsidRPr="00557C2A" w14:paraId="6352B006" w14:textId="77777777" w:rsidTr="1BDB167A">
        <w:trPr>
          <w:trHeight w:val="530"/>
        </w:trPr>
        <w:tc>
          <w:tcPr>
            <w:tcW w:w="1102" w:type="pct"/>
            <w:gridSpan w:val="3"/>
            <w:tcBorders>
              <w:top w:val="nil"/>
              <w:left w:val="single" w:sz="8" w:space="0" w:color="auto"/>
              <w:bottom w:val="single" w:sz="8" w:space="0" w:color="auto"/>
              <w:right w:val="single" w:sz="8" w:space="0" w:color="auto"/>
            </w:tcBorders>
            <w:vAlign w:val="center"/>
            <w:hideMark/>
          </w:tcPr>
          <w:p w14:paraId="25DB6F54" w14:textId="77777777" w:rsidR="0051718E" w:rsidRPr="00557C2A" w:rsidRDefault="0051718E">
            <w:pPr>
              <w:spacing w:before="0" w:after="0"/>
              <w:rPr>
                <w:rFonts w:eastAsia="Times New Roman"/>
                <w:noProof/>
                <w:color w:val="000000"/>
                <w:sz w:val="20"/>
                <w:szCs w:val="20"/>
              </w:rPr>
            </w:pPr>
            <w:r w:rsidRPr="00557C2A">
              <w:rPr>
                <w:noProof/>
                <w:color w:val="000000"/>
                <w:sz w:val="20"/>
              </w:rPr>
              <w:t>Begrotingsonderdeel</w:t>
            </w:r>
          </w:p>
        </w:tc>
        <w:tc>
          <w:tcPr>
            <w:tcW w:w="557" w:type="pct"/>
            <w:gridSpan w:val="4"/>
            <w:tcBorders>
              <w:top w:val="nil"/>
              <w:left w:val="nil"/>
              <w:bottom w:val="single" w:sz="8" w:space="0" w:color="auto"/>
              <w:right w:val="single" w:sz="8" w:space="0" w:color="auto"/>
            </w:tcBorders>
            <w:vAlign w:val="center"/>
            <w:hideMark/>
          </w:tcPr>
          <w:p w14:paraId="6E4AB57E" w14:textId="77777777" w:rsidR="0051718E" w:rsidRPr="00557C2A" w:rsidRDefault="0051718E">
            <w:pPr>
              <w:spacing w:before="0" w:after="0"/>
              <w:jc w:val="right"/>
              <w:rPr>
                <w:rFonts w:eastAsia="Times New Roman"/>
                <w:noProof/>
                <w:color w:val="000000"/>
                <w:sz w:val="18"/>
                <w:szCs w:val="18"/>
              </w:rPr>
            </w:pPr>
            <w:r w:rsidRPr="00557C2A">
              <w:rPr>
                <w:noProof/>
                <w:color w:val="000000"/>
                <w:sz w:val="18"/>
              </w:rPr>
              <w:t xml:space="preserve"> </w:t>
            </w:r>
          </w:p>
        </w:tc>
        <w:tc>
          <w:tcPr>
            <w:tcW w:w="358" w:type="pct"/>
            <w:gridSpan w:val="2"/>
            <w:tcBorders>
              <w:top w:val="nil"/>
              <w:left w:val="nil"/>
              <w:bottom w:val="single" w:sz="8" w:space="0" w:color="auto"/>
              <w:right w:val="single" w:sz="8" w:space="0" w:color="auto"/>
            </w:tcBorders>
            <w:vAlign w:val="center"/>
            <w:hideMark/>
          </w:tcPr>
          <w:p w14:paraId="432183A8" w14:textId="77777777" w:rsidR="0051718E" w:rsidRPr="00557C2A" w:rsidRDefault="0051718E">
            <w:pPr>
              <w:spacing w:before="0" w:after="0"/>
              <w:jc w:val="center"/>
              <w:rPr>
                <w:rFonts w:eastAsia="Times New Roman"/>
                <w:noProof/>
                <w:color w:val="000000"/>
                <w:sz w:val="14"/>
                <w:szCs w:val="14"/>
              </w:rPr>
            </w:pPr>
            <w:r w:rsidRPr="00557C2A">
              <w:rPr>
                <w:noProof/>
                <w:color w:val="000000"/>
                <w:sz w:val="14"/>
              </w:rPr>
              <w:t>(3)</w:t>
            </w:r>
          </w:p>
        </w:tc>
        <w:tc>
          <w:tcPr>
            <w:tcW w:w="277" w:type="pct"/>
            <w:gridSpan w:val="3"/>
            <w:tcBorders>
              <w:top w:val="nil"/>
              <w:left w:val="nil"/>
              <w:bottom w:val="single" w:sz="8" w:space="0" w:color="auto"/>
              <w:right w:val="single" w:sz="8" w:space="0" w:color="auto"/>
            </w:tcBorders>
            <w:vAlign w:val="center"/>
            <w:hideMark/>
          </w:tcPr>
          <w:p w14:paraId="77C4989F" w14:textId="77777777" w:rsidR="0051718E" w:rsidRPr="00557C2A" w:rsidRDefault="0051718E">
            <w:pPr>
              <w:spacing w:before="0" w:after="0"/>
              <w:jc w:val="right"/>
              <w:rPr>
                <w:rFonts w:eastAsia="Times New Roman"/>
                <w:b/>
                <w:bCs/>
                <w:noProof/>
                <w:color w:val="000000"/>
                <w:sz w:val="20"/>
                <w:szCs w:val="20"/>
              </w:rPr>
            </w:pPr>
            <w:r w:rsidRPr="00557C2A">
              <w:rPr>
                <w:b/>
                <w:noProof/>
                <w:color w:val="000000"/>
                <w:sz w:val="20"/>
              </w:rPr>
              <w:t xml:space="preserve"> </w:t>
            </w:r>
          </w:p>
        </w:tc>
        <w:tc>
          <w:tcPr>
            <w:tcW w:w="277" w:type="pct"/>
            <w:gridSpan w:val="3"/>
            <w:tcBorders>
              <w:top w:val="nil"/>
              <w:left w:val="nil"/>
              <w:bottom w:val="single" w:sz="8" w:space="0" w:color="auto"/>
              <w:right w:val="single" w:sz="8" w:space="0" w:color="auto"/>
            </w:tcBorders>
            <w:vAlign w:val="center"/>
            <w:hideMark/>
          </w:tcPr>
          <w:p w14:paraId="4C200EBC" w14:textId="77777777" w:rsidR="0051718E" w:rsidRPr="00557C2A" w:rsidRDefault="0051718E">
            <w:pPr>
              <w:spacing w:before="0" w:after="0"/>
              <w:jc w:val="right"/>
              <w:rPr>
                <w:rFonts w:eastAsia="Times New Roman"/>
                <w:b/>
                <w:bCs/>
                <w:noProof/>
                <w:color w:val="000000"/>
                <w:sz w:val="20"/>
                <w:szCs w:val="20"/>
              </w:rPr>
            </w:pPr>
            <w:r w:rsidRPr="00557C2A">
              <w:rPr>
                <w:b/>
                <w:noProof/>
                <w:color w:val="000000"/>
                <w:sz w:val="20"/>
              </w:rPr>
              <w:t xml:space="preserve"> </w:t>
            </w:r>
          </w:p>
        </w:tc>
        <w:tc>
          <w:tcPr>
            <w:tcW w:w="277" w:type="pct"/>
            <w:gridSpan w:val="2"/>
            <w:tcBorders>
              <w:top w:val="nil"/>
              <w:left w:val="nil"/>
              <w:bottom w:val="single" w:sz="8" w:space="0" w:color="auto"/>
              <w:right w:val="single" w:sz="8" w:space="0" w:color="auto"/>
            </w:tcBorders>
            <w:vAlign w:val="center"/>
            <w:hideMark/>
          </w:tcPr>
          <w:p w14:paraId="04E22F9F" w14:textId="77777777" w:rsidR="0051718E" w:rsidRPr="00557C2A" w:rsidRDefault="0051718E">
            <w:pPr>
              <w:spacing w:before="0" w:after="0"/>
              <w:jc w:val="right"/>
              <w:rPr>
                <w:rFonts w:eastAsia="Times New Roman"/>
                <w:b/>
                <w:bCs/>
                <w:noProof/>
                <w:color w:val="000000"/>
                <w:sz w:val="20"/>
                <w:szCs w:val="20"/>
              </w:rPr>
            </w:pPr>
            <w:r w:rsidRPr="00557C2A">
              <w:rPr>
                <w:b/>
                <w:noProof/>
                <w:color w:val="000000"/>
                <w:sz w:val="20"/>
              </w:rPr>
              <w:t xml:space="preserve"> </w:t>
            </w:r>
          </w:p>
        </w:tc>
        <w:tc>
          <w:tcPr>
            <w:tcW w:w="277" w:type="pct"/>
            <w:gridSpan w:val="2"/>
            <w:tcBorders>
              <w:top w:val="nil"/>
              <w:left w:val="nil"/>
              <w:bottom w:val="single" w:sz="8" w:space="0" w:color="auto"/>
              <w:right w:val="single" w:sz="8" w:space="0" w:color="auto"/>
            </w:tcBorders>
            <w:vAlign w:val="center"/>
            <w:hideMark/>
          </w:tcPr>
          <w:p w14:paraId="74499AC2" w14:textId="77777777" w:rsidR="0051718E" w:rsidRPr="00557C2A" w:rsidRDefault="0051718E">
            <w:pPr>
              <w:spacing w:before="0" w:after="0"/>
              <w:jc w:val="right"/>
              <w:rPr>
                <w:rFonts w:eastAsia="Times New Roman"/>
                <w:b/>
                <w:bCs/>
                <w:noProof/>
                <w:color w:val="000000"/>
                <w:sz w:val="20"/>
                <w:szCs w:val="20"/>
              </w:rPr>
            </w:pPr>
            <w:r w:rsidRPr="00557C2A">
              <w:rPr>
                <w:b/>
                <w:noProof/>
                <w:color w:val="000000"/>
                <w:sz w:val="20"/>
              </w:rPr>
              <w:t xml:space="preserve"> </w:t>
            </w:r>
          </w:p>
        </w:tc>
        <w:tc>
          <w:tcPr>
            <w:tcW w:w="277" w:type="pct"/>
            <w:gridSpan w:val="3"/>
            <w:tcBorders>
              <w:top w:val="nil"/>
              <w:left w:val="nil"/>
              <w:bottom w:val="single" w:sz="8" w:space="0" w:color="auto"/>
              <w:right w:val="single" w:sz="8" w:space="0" w:color="auto"/>
            </w:tcBorders>
            <w:vAlign w:val="center"/>
            <w:hideMark/>
          </w:tcPr>
          <w:p w14:paraId="46C306ED" w14:textId="77777777" w:rsidR="0051718E" w:rsidRPr="00557C2A" w:rsidRDefault="0051718E">
            <w:pPr>
              <w:spacing w:before="0" w:after="0"/>
              <w:jc w:val="right"/>
              <w:rPr>
                <w:rFonts w:eastAsia="Times New Roman"/>
                <w:b/>
                <w:bCs/>
                <w:noProof/>
                <w:color w:val="000000"/>
                <w:sz w:val="20"/>
                <w:szCs w:val="20"/>
              </w:rPr>
            </w:pPr>
            <w:r w:rsidRPr="00557C2A">
              <w:rPr>
                <w:b/>
                <w:noProof/>
                <w:color w:val="000000"/>
                <w:sz w:val="20"/>
              </w:rPr>
              <w:t xml:space="preserve"> </w:t>
            </w:r>
          </w:p>
        </w:tc>
        <w:tc>
          <w:tcPr>
            <w:tcW w:w="277" w:type="pct"/>
            <w:gridSpan w:val="2"/>
            <w:tcBorders>
              <w:top w:val="nil"/>
              <w:left w:val="nil"/>
              <w:bottom w:val="single" w:sz="8" w:space="0" w:color="auto"/>
              <w:right w:val="single" w:sz="8" w:space="0" w:color="auto"/>
            </w:tcBorders>
            <w:vAlign w:val="center"/>
            <w:hideMark/>
          </w:tcPr>
          <w:p w14:paraId="42ED9514" w14:textId="77777777" w:rsidR="0051718E" w:rsidRPr="00557C2A" w:rsidRDefault="0051718E">
            <w:pPr>
              <w:spacing w:before="0" w:after="0"/>
              <w:jc w:val="right"/>
              <w:rPr>
                <w:rFonts w:eastAsia="Times New Roman"/>
                <w:b/>
                <w:bCs/>
                <w:noProof/>
                <w:color w:val="000000"/>
                <w:sz w:val="20"/>
                <w:szCs w:val="20"/>
              </w:rPr>
            </w:pPr>
            <w:r w:rsidRPr="00557C2A">
              <w:rPr>
                <w:b/>
                <w:noProof/>
                <w:color w:val="000000"/>
                <w:sz w:val="20"/>
              </w:rPr>
              <w:t xml:space="preserve"> </w:t>
            </w:r>
          </w:p>
        </w:tc>
        <w:tc>
          <w:tcPr>
            <w:tcW w:w="277" w:type="pct"/>
            <w:gridSpan w:val="3"/>
            <w:tcBorders>
              <w:top w:val="nil"/>
              <w:left w:val="nil"/>
              <w:bottom w:val="single" w:sz="8" w:space="0" w:color="auto"/>
              <w:right w:val="single" w:sz="8" w:space="0" w:color="auto"/>
            </w:tcBorders>
            <w:vAlign w:val="center"/>
            <w:hideMark/>
          </w:tcPr>
          <w:p w14:paraId="2F7CF815" w14:textId="77777777" w:rsidR="0051718E" w:rsidRPr="00557C2A" w:rsidRDefault="0051718E">
            <w:pPr>
              <w:spacing w:before="0" w:after="0"/>
              <w:jc w:val="right"/>
              <w:rPr>
                <w:rFonts w:eastAsia="Times New Roman"/>
                <w:b/>
                <w:bCs/>
                <w:noProof/>
                <w:color w:val="000000"/>
                <w:sz w:val="20"/>
                <w:szCs w:val="20"/>
              </w:rPr>
            </w:pPr>
            <w:r w:rsidRPr="00557C2A">
              <w:rPr>
                <w:b/>
                <w:noProof/>
                <w:color w:val="000000"/>
                <w:sz w:val="20"/>
              </w:rPr>
              <w:t xml:space="preserve"> </w:t>
            </w:r>
          </w:p>
        </w:tc>
        <w:tc>
          <w:tcPr>
            <w:tcW w:w="1044" w:type="pct"/>
            <w:gridSpan w:val="5"/>
            <w:tcBorders>
              <w:top w:val="nil"/>
              <w:left w:val="nil"/>
              <w:bottom w:val="single" w:sz="8" w:space="0" w:color="auto"/>
              <w:right w:val="single" w:sz="8" w:space="0" w:color="auto"/>
            </w:tcBorders>
            <w:shd w:val="clear" w:color="auto" w:fill="D9D9D9" w:themeFill="background1" w:themeFillShade="D9"/>
            <w:vAlign w:val="center"/>
            <w:hideMark/>
          </w:tcPr>
          <w:p w14:paraId="684612F8" w14:textId="77777777" w:rsidR="0051718E" w:rsidRPr="00557C2A" w:rsidRDefault="0051718E">
            <w:pPr>
              <w:spacing w:before="0" w:after="0"/>
              <w:jc w:val="right"/>
              <w:rPr>
                <w:rFonts w:eastAsia="Times New Roman"/>
                <w:b/>
                <w:bCs/>
                <w:noProof/>
                <w:color w:val="000000"/>
                <w:sz w:val="20"/>
                <w:szCs w:val="20"/>
              </w:rPr>
            </w:pPr>
            <w:r w:rsidRPr="00557C2A">
              <w:rPr>
                <w:b/>
                <w:noProof/>
                <w:color w:val="000000"/>
                <w:sz w:val="20"/>
              </w:rPr>
              <w:t>0</w:t>
            </w:r>
          </w:p>
        </w:tc>
      </w:tr>
      <w:tr w:rsidR="0051718E" w:rsidRPr="00557C2A" w14:paraId="26355782" w14:textId="77777777" w:rsidTr="1BDB167A">
        <w:trPr>
          <w:trHeight w:val="850"/>
        </w:trPr>
        <w:tc>
          <w:tcPr>
            <w:tcW w:w="1102" w:type="pct"/>
            <w:gridSpan w:val="3"/>
            <w:tcBorders>
              <w:top w:val="nil"/>
              <w:left w:val="single" w:sz="8" w:space="0" w:color="auto"/>
              <w:bottom w:val="nil"/>
              <w:right w:val="single" w:sz="8" w:space="0" w:color="auto"/>
            </w:tcBorders>
            <w:vAlign w:val="center"/>
            <w:hideMark/>
          </w:tcPr>
          <w:p w14:paraId="7637C0A6" w14:textId="77777777" w:rsidR="0051718E" w:rsidRPr="00557C2A" w:rsidRDefault="0051718E">
            <w:pPr>
              <w:spacing w:before="0" w:after="0"/>
              <w:jc w:val="center"/>
              <w:rPr>
                <w:rFonts w:eastAsia="Times New Roman"/>
                <w:b/>
                <w:bCs/>
                <w:noProof/>
                <w:color w:val="000000"/>
                <w:sz w:val="22"/>
              </w:rPr>
            </w:pPr>
            <w:r w:rsidRPr="00557C2A">
              <w:rPr>
                <w:b/>
                <w:noProof/>
                <w:color w:val="000000"/>
                <w:sz w:val="22"/>
              </w:rPr>
              <w:t>TOTAAL kredieten</w:t>
            </w:r>
          </w:p>
        </w:tc>
        <w:tc>
          <w:tcPr>
            <w:tcW w:w="557" w:type="pct"/>
            <w:gridSpan w:val="4"/>
            <w:tcBorders>
              <w:top w:val="nil"/>
              <w:left w:val="nil"/>
              <w:bottom w:val="single" w:sz="8" w:space="0" w:color="auto"/>
              <w:right w:val="single" w:sz="8" w:space="0" w:color="auto"/>
            </w:tcBorders>
            <w:vAlign w:val="center"/>
            <w:hideMark/>
          </w:tcPr>
          <w:p w14:paraId="53E6A4C7" w14:textId="77777777" w:rsidR="0051718E" w:rsidRPr="00557C2A" w:rsidRDefault="0051718E">
            <w:pPr>
              <w:spacing w:before="0" w:after="0"/>
              <w:rPr>
                <w:rFonts w:eastAsia="Times New Roman"/>
                <w:noProof/>
                <w:color w:val="000000"/>
                <w:sz w:val="18"/>
                <w:szCs w:val="18"/>
              </w:rPr>
            </w:pPr>
            <w:r w:rsidRPr="00557C2A">
              <w:rPr>
                <w:noProof/>
                <w:color w:val="000000"/>
                <w:sz w:val="18"/>
              </w:rPr>
              <w:t>Vastleggingen</w:t>
            </w:r>
          </w:p>
        </w:tc>
        <w:tc>
          <w:tcPr>
            <w:tcW w:w="358" w:type="pct"/>
            <w:gridSpan w:val="2"/>
            <w:tcBorders>
              <w:top w:val="nil"/>
              <w:left w:val="nil"/>
              <w:bottom w:val="single" w:sz="8" w:space="0" w:color="auto"/>
              <w:right w:val="single" w:sz="8" w:space="0" w:color="auto"/>
            </w:tcBorders>
            <w:vAlign w:val="center"/>
            <w:hideMark/>
          </w:tcPr>
          <w:p w14:paraId="524C4587" w14:textId="77777777" w:rsidR="0051718E" w:rsidRPr="00557C2A" w:rsidRDefault="0051718E">
            <w:pPr>
              <w:spacing w:before="0" w:after="0"/>
              <w:jc w:val="center"/>
              <w:rPr>
                <w:rFonts w:eastAsia="Times New Roman"/>
                <w:noProof/>
                <w:color w:val="000000"/>
                <w:sz w:val="14"/>
                <w:szCs w:val="14"/>
              </w:rPr>
            </w:pPr>
            <w:r w:rsidRPr="00557C2A">
              <w:rPr>
                <w:noProof/>
                <w:color w:val="000000"/>
                <w:sz w:val="14"/>
              </w:rPr>
              <w:t>=1a+1b+3</w:t>
            </w:r>
          </w:p>
        </w:tc>
        <w:tc>
          <w:tcPr>
            <w:tcW w:w="277" w:type="pct"/>
            <w:gridSpan w:val="3"/>
            <w:tcBorders>
              <w:top w:val="nil"/>
              <w:left w:val="nil"/>
              <w:bottom w:val="single" w:sz="8" w:space="0" w:color="auto"/>
              <w:right w:val="single" w:sz="8" w:space="0" w:color="auto"/>
            </w:tcBorders>
            <w:shd w:val="clear" w:color="auto" w:fill="D9D9D9" w:themeFill="background1" w:themeFillShade="D9"/>
            <w:vAlign w:val="center"/>
            <w:hideMark/>
          </w:tcPr>
          <w:p w14:paraId="531420B6" w14:textId="77777777" w:rsidR="0051718E" w:rsidRPr="00557C2A" w:rsidRDefault="0051718E">
            <w:pPr>
              <w:spacing w:before="0" w:after="0"/>
              <w:jc w:val="right"/>
              <w:rPr>
                <w:rFonts w:eastAsia="Times New Roman"/>
                <w:b/>
                <w:bCs/>
                <w:noProof/>
                <w:color w:val="000000"/>
                <w:sz w:val="20"/>
                <w:szCs w:val="20"/>
              </w:rPr>
            </w:pPr>
            <w:r w:rsidRPr="00557C2A">
              <w:rPr>
                <w:b/>
                <w:noProof/>
                <w:color w:val="000000"/>
                <w:sz w:val="20"/>
              </w:rPr>
              <w:t>0,350</w:t>
            </w:r>
          </w:p>
        </w:tc>
        <w:tc>
          <w:tcPr>
            <w:tcW w:w="277" w:type="pct"/>
            <w:gridSpan w:val="3"/>
            <w:tcBorders>
              <w:top w:val="nil"/>
              <w:left w:val="nil"/>
              <w:bottom w:val="single" w:sz="8" w:space="0" w:color="auto"/>
              <w:right w:val="single" w:sz="8" w:space="0" w:color="auto"/>
            </w:tcBorders>
            <w:shd w:val="clear" w:color="auto" w:fill="D9D9D9" w:themeFill="background1" w:themeFillShade="D9"/>
            <w:vAlign w:val="center"/>
            <w:hideMark/>
          </w:tcPr>
          <w:p w14:paraId="4637C9B2" w14:textId="77777777" w:rsidR="0051718E" w:rsidRPr="00557C2A" w:rsidRDefault="0051718E">
            <w:pPr>
              <w:spacing w:before="0" w:after="0"/>
              <w:jc w:val="right"/>
              <w:rPr>
                <w:rFonts w:eastAsia="Times New Roman"/>
                <w:b/>
                <w:bCs/>
                <w:noProof/>
                <w:color w:val="000000"/>
                <w:sz w:val="20"/>
                <w:szCs w:val="20"/>
              </w:rPr>
            </w:pPr>
            <w:r w:rsidRPr="00557C2A">
              <w:rPr>
                <w:b/>
                <w:noProof/>
                <w:color w:val="000000"/>
                <w:sz w:val="20"/>
              </w:rPr>
              <w:t>0</w:t>
            </w:r>
          </w:p>
        </w:tc>
        <w:tc>
          <w:tcPr>
            <w:tcW w:w="277" w:type="pct"/>
            <w:gridSpan w:val="2"/>
            <w:tcBorders>
              <w:top w:val="nil"/>
              <w:left w:val="nil"/>
              <w:bottom w:val="single" w:sz="8" w:space="0" w:color="auto"/>
              <w:right w:val="single" w:sz="8" w:space="0" w:color="auto"/>
            </w:tcBorders>
            <w:shd w:val="clear" w:color="auto" w:fill="D9D9D9" w:themeFill="background1" w:themeFillShade="D9"/>
            <w:vAlign w:val="center"/>
            <w:hideMark/>
          </w:tcPr>
          <w:p w14:paraId="65419ADD" w14:textId="77777777" w:rsidR="0051718E" w:rsidRPr="00557C2A" w:rsidRDefault="0051718E">
            <w:pPr>
              <w:spacing w:before="0" w:after="0"/>
              <w:jc w:val="right"/>
              <w:rPr>
                <w:rFonts w:eastAsia="Times New Roman"/>
                <w:b/>
                <w:bCs/>
                <w:noProof/>
                <w:color w:val="000000"/>
                <w:sz w:val="20"/>
                <w:szCs w:val="20"/>
              </w:rPr>
            </w:pPr>
            <w:r w:rsidRPr="00557C2A">
              <w:rPr>
                <w:b/>
                <w:noProof/>
                <w:color w:val="000000"/>
                <w:sz w:val="20"/>
              </w:rPr>
              <w:t>0</w:t>
            </w:r>
          </w:p>
        </w:tc>
        <w:tc>
          <w:tcPr>
            <w:tcW w:w="277" w:type="pct"/>
            <w:gridSpan w:val="2"/>
            <w:tcBorders>
              <w:top w:val="nil"/>
              <w:left w:val="nil"/>
              <w:bottom w:val="single" w:sz="8" w:space="0" w:color="auto"/>
              <w:right w:val="single" w:sz="8" w:space="0" w:color="auto"/>
            </w:tcBorders>
            <w:shd w:val="clear" w:color="auto" w:fill="D9D9D9" w:themeFill="background1" w:themeFillShade="D9"/>
            <w:vAlign w:val="center"/>
            <w:hideMark/>
          </w:tcPr>
          <w:p w14:paraId="20DEEB07" w14:textId="77777777" w:rsidR="0051718E" w:rsidRPr="00557C2A" w:rsidRDefault="0051718E">
            <w:pPr>
              <w:spacing w:before="0" w:after="0"/>
              <w:jc w:val="right"/>
              <w:rPr>
                <w:rFonts w:eastAsia="Times New Roman"/>
                <w:b/>
                <w:bCs/>
                <w:noProof/>
                <w:color w:val="000000"/>
                <w:sz w:val="20"/>
                <w:szCs w:val="20"/>
              </w:rPr>
            </w:pPr>
            <w:r w:rsidRPr="00557C2A">
              <w:rPr>
                <w:b/>
                <w:noProof/>
                <w:color w:val="000000"/>
                <w:sz w:val="20"/>
              </w:rPr>
              <w:t>0</w:t>
            </w:r>
          </w:p>
        </w:tc>
        <w:tc>
          <w:tcPr>
            <w:tcW w:w="277" w:type="pct"/>
            <w:gridSpan w:val="3"/>
            <w:tcBorders>
              <w:top w:val="nil"/>
              <w:left w:val="nil"/>
              <w:bottom w:val="single" w:sz="8" w:space="0" w:color="auto"/>
              <w:right w:val="single" w:sz="8" w:space="0" w:color="auto"/>
            </w:tcBorders>
            <w:shd w:val="clear" w:color="auto" w:fill="D9D9D9" w:themeFill="background1" w:themeFillShade="D9"/>
            <w:vAlign w:val="center"/>
            <w:hideMark/>
          </w:tcPr>
          <w:p w14:paraId="22EB1DBF" w14:textId="77777777" w:rsidR="0051718E" w:rsidRPr="00557C2A" w:rsidRDefault="0051718E">
            <w:pPr>
              <w:spacing w:before="0" w:after="0"/>
              <w:jc w:val="right"/>
              <w:rPr>
                <w:rFonts w:eastAsia="Times New Roman"/>
                <w:b/>
                <w:bCs/>
                <w:noProof/>
                <w:color w:val="000000"/>
                <w:sz w:val="20"/>
                <w:szCs w:val="20"/>
              </w:rPr>
            </w:pPr>
            <w:r w:rsidRPr="00557C2A">
              <w:rPr>
                <w:b/>
                <w:noProof/>
                <w:color w:val="000000"/>
                <w:sz w:val="20"/>
              </w:rPr>
              <w:t>0</w:t>
            </w:r>
          </w:p>
        </w:tc>
        <w:tc>
          <w:tcPr>
            <w:tcW w:w="277" w:type="pct"/>
            <w:gridSpan w:val="2"/>
            <w:tcBorders>
              <w:top w:val="nil"/>
              <w:left w:val="nil"/>
              <w:bottom w:val="single" w:sz="8" w:space="0" w:color="auto"/>
              <w:right w:val="single" w:sz="8" w:space="0" w:color="auto"/>
            </w:tcBorders>
            <w:shd w:val="clear" w:color="auto" w:fill="D9D9D9" w:themeFill="background1" w:themeFillShade="D9"/>
            <w:vAlign w:val="center"/>
            <w:hideMark/>
          </w:tcPr>
          <w:p w14:paraId="30E0F6B0" w14:textId="77777777" w:rsidR="0051718E" w:rsidRPr="00557C2A" w:rsidRDefault="0051718E">
            <w:pPr>
              <w:spacing w:before="0" w:after="0"/>
              <w:jc w:val="right"/>
              <w:rPr>
                <w:rFonts w:eastAsia="Times New Roman"/>
                <w:b/>
                <w:bCs/>
                <w:noProof/>
                <w:color w:val="000000"/>
                <w:sz w:val="20"/>
                <w:szCs w:val="20"/>
              </w:rPr>
            </w:pPr>
            <w:r w:rsidRPr="00557C2A">
              <w:rPr>
                <w:b/>
                <w:noProof/>
                <w:color w:val="000000"/>
                <w:sz w:val="20"/>
              </w:rPr>
              <w:t>0</w:t>
            </w:r>
          </w:p>
        </w:tc>
        <w:tc>
          <w:tcPr>
            <w:tcW w:w="277" w:type="pct"/>
            <w:gridSpan w:val="3"/>
            <w:tcBorders>
              <w:top w:val="nil"/>
              <w:left w:val="nil"/>
              <w:bottom w:val="single" w:sz="8" w:space="0" w:color="auto"/>
              <w:right w:val="single" w:sz="8" w:space="0" w:color="auto"/>
            </w:tcBorders>
            <w:shd w:val="clear" w:color="auto" w:fill="D9D9D9" w:themeFill="background1" w:themeFillShade="D9"/>
            <w:vAlign w:val="center"/>
            <w:hideMark/>
          </w:tcPr>
          <w:p w14:paraId="416490A9" w14:textId="77777777" w:rsidR="0051718E" w:rsidRPr="00557C2A" w:rsidRDefault="0051718E">
            <w:pPr>
              <w:spacing w:before="0" w:after="0"/>
              <w:jc w:val="right"/>
              <w:rPr>
                <w:rFonts w:eastAsia="Times New Roman"/>
                <w:b/>
                <w:bCs/>
                <w:noProof/>
                <w:color w:val="000000"/>
                <w:sz w:val="20"/>
                <w:szCs w:val="20"/>
              </w:rPr>
            </w:pPr>
            <w:r w:rsidRPr="00557C2A">
              <w:rPr>
                <w:b/>
                <w:noProof/>
                <w:color w:val="000000"/>
                <w:sz w:val="20"/>
              </w:rPr>
              <w:t>0</w:t>
            </w:r>
          </w:p>
        </w:tc>
        <w:tc>
          <w:tcPr>
            <w:tcW w:w="1044" w:type="pct"/>
            <w:gridSpan w:val="5"/>
            <w:tcBorders>
              <w:top w:val="nil"/>
              <w:left w:val="nil"/>
              <w:bottom w:val="single" w:sz="8" w:space="0" w:color="auto"/>
              <w:right w:val="single" w:sz="8" w:space="0" w:color="auto"/>
            </w:tcBorders>
            <w:shd w:val="clear" w:color="auto" w:fill="D9D9D9" w:themeFill="background1" w:themeFillShade="D9"/>
            <w:vAlign w:val="center"/>
            <w:hideMark/>
          </w:tcPr>
          <w:p w14:paraId="4A0E6B40" w14:textId="77777777" w:rsidR="0051718E" w:rsidRPr="00557C2A" w:rsidRDefault="0051718E">
            <w:pPr>
              <w:spacing w:before="0" w:after="0"/>
              <w:jc w:val="right"/>
              <w:rPr>
                <w:rFonts w:eastAsia="Times New Roman"/>
                <w:b/>
                <w:bCs/>
                <w:noProof/>
                <w:color w:val="000000"/>
                <w:sz w:val="20"/>
                <w:szCs w:val="20"/>
              </w:rPr>
            </w:pPr>
            <w:r w:rsidRPr="00557C2A">
              <w:rPr>
                <w:b/>
                <w:noProof/>
                <w:color w:val="000000"/>
                <w:sz w:val="20"/>
              </w:rPr>
              <w:t>0,350</w:t>
            </w:r>
          </w:p>
        </w:tc>
      </w:tr>
      <w:tr w:rsidR="0051718E" w:rsidRPr="00557C2A" w14:paraId="04BA0723" w14:textId="77777777" w:rsidTr="1BDB167A">
        <w:trPr>
          <w:trHeight w:val="570"/>
        </w:trPr>
        <w:tc>
          <w:tcPr>
            <w:tcW w:w="1102" w:type="pct"/>
            <w:gridSpan w:val="3"/>
            <w:tcBorders>
              <w:top w:val="nil"/>
              <w:left w:val="single" w:sz="8" w:space="0" w:color="auto"/>
              <w:bottom w:val="single" w:sz="8" w:space="0" w:color="auto"/>
              <w:right w:val="single" w:sz="8" w:space="0" w:color="auto"/>
            </w:tcBorders>
            <w:vAlign w:val="center"/>
            <w:hideMark/>
          </w:tcPr>
          <w:p w14:paraId="676AE739" w14:textId="77777777" w:rsidR="0051718E" w:rsidRPr="00557C2A" w:rsidRDefault="0051718E">
            <w:pPr>
              <w:spacing w:before="0" w:after="0"/>
              <w:jc w:val="center"/>
              <w:rPr>
                <w:rFonts w:eastAsia="Times New Roman"/>
                <w:b/>
                <w:bCs/>
                <w:noProof/>
                <w:color w:val="000000"/>
                <w:sz w:val="22"/>
              </w:rPr>
            </w:pPr>
            <w:r w:rsidRPr="00557C2A">
              <w:rPr>
                <w:b/>
                <w:noProof/>
                <w:color w:val="000000"/>
                <w:sz w:val="22"/>
              </w:rPr>
              <w:t>voor DG ENER</w:t>
            </w:r>
          </w:p>
        </w:tc>
        <w:tc>
          <w:tcPr>
            <w:tcW w:w="557" w:type="pct"/>
            <w:gridSpan w:val="4"/>
            <w:tcBorders>
              <w:top w:val="nil"/>
              <w:left w:val="nil"/>
              <w:bottom w:val="single" w:sz="8" w:space="0" w:color="auto"/>
              <w:right w:val="single" w:sz="8" w:space="0" w:color="auto"/>
            </w:tcBorders>
            <w:vAlign w:val="center"/>
            <w:hideMark/>
          </w:tcPr>
          <w:p w14:paraId="0B355D1D" w14:textId="77777777" w:rsidR="0051718E" w:rsidRPr="00557C2A" w:rsidRDefault="0051718E">
            <w:pPr>
              <w:spacing w:before="0" w:after="0"/>
              <w:rPr>
                <w:rFonts w:eastAsia="Times New Roman"/>
                <w:noProof/>
                <w:color w:val="000000"/>
                <w:sz w:val="18"/>
                <w:szCs w:val="18"/>
              </w:rPr>
            </w:pPr>
            <w:r w:rsidRPr="00557C2A">
              <w:rPr>
                <w:noProof/>
                <w:color w:val="000000"/>
                <w:sz w:val="18"/>
              </w:rPr>
              <w:t>Betalingen</w:t>
            </w:r>
          </w:p>
        </w:tc>
        <w:tc>
          <w:tcPr>
            <w:tcW w:w="358" w:type="pct"/>
            <w:gridSpan w:val="2"/>
            <w:tcBorders>
              <w:top w:val="nil"/>
              <w:left w:val="nil"/>
              <w:bottom w:val="single" w:sz="8" w:space="0" w:color="auto"/>
              <w:right w:val="single" w:sz="8" w:space="0" w:color="auto"/>
            </w:tcBorders>
            <w:vAlign w:val="center"/>
            <w:hideMark/>
          </w:tcPr>
          <w:p w14:paraId="1941C820" w14:textId="77777777" w:rsidR="0051718E" w:rsidRPr="00557C2A" w:rsidRDefault="0051718E">
            <w:pPr>
              <w:spacing w:before="0" w:after="0"/>
              <w:jc w:val="center"/>
              <w:rPr>
                <w:rFonts w:eastAsia="Times New Roman"/>
                <w:noProof/>
                <w:color w:val="000000"/>
                <w:sz w:val="14"/>
                <w:szCs w:val="14"/>
              </w:rPr>
            </w:pPr>
            <w:r w:rsidRPr="00557C2A">
              <w:rPr>
                <w:noProof/>
                <w:color w:val="000000"/>
                <w:sz w:val="14"/>
              </w:rPr>
              <w:t>=2a+2b+3</w:t>
            </w:r>
          </w:p>
        </w:tc>
        <w:tc>
          <w:tcPr>
            <w:tcW w:w="277" w:type="pct"/>
            <w:gridSpan w:val="3"/>
            <w:tcBorders>
              <w:top w:val="nil"/>
              <w:left w:val="nil"/>
              <w:bottom w:val="single" w:sz="8" w:space="0" w:color="auto"/>
              <w:right w:val="single" w:sz="8" w:space="0" w:color="auto"/>
            </w:tcBorders>
            <w:shd w:val="clear" w:color="auto" w:fill="D9D9D9" w:themeFill="background1" w:themeFillShade="D9"/>
            <w:vAlign w:val="center"/>
            <w:hideMark/>
          </w:tcPr>
          <w:p w14:paraId="0BA73C02" w14:textId="77777777" w:rsidR="0051718E" w:rsidRPr="00557C2A" w:rsidRDefault="0051718E">
            <w:pPr>
              <w:spacing w:before="0" w:after="0"/>
              <w:jc w:val="right"/>
              <w:rPr>
                <w:rFonts w:eastAsia="Times New Roman"/>
                <w:b/>
                <w:bCs/>
                <w:noProof/>
                <w:color w:val="000000"/>
                <w:sz w:val="20"/>
                <w:szCs w:val="20"/>
              </w:rPr>
            </w:pPr>
            <w:r w:rsidRPr="00557C2A">
              <w:rPr>
                <w:b/>
                <w:noProof/>
                <w:color w:val="000000"/>
                <w:sz w:val="20"/>
              </w:rPr>
              <w:t>0</w:t>
            </w:r>
          </w:p>
        </w:tc>
        <w:tc>
          <w:tcPr>
            <w:tcW w:w="277" w:type="pct"/>
            <w:gridSpan w:val="3"/>
            <w:tcBorders>
              <w:top w:val="nil"/>
              <w:left w:val="nil"/>
              <w:bottom w:val="single" w:sz="8" w:space="0" w:color="auto"/>
              <w:right w:val="single" w:sz="8" w:space="0" w:color="auto"/>
            </w:tcBorders>
            <w:shd w:val="clear" w:color="auto" w:fill="D9D9D9" w:themeFill="background1" w:themeFillShade="D9"/>
            <w:vAlign w:val="center"/>
            <w:hideMark/>
          </w:tcPr>
          <w:p w14:paraId="29B5DE09" w14:textId="77777777" w:rsidR="0051718E" w:rsidRPr="00557C2A" w:rsidRDefault="0051718E">
            <w:pPr>
              <w:spacing w:before="0" w:after="0"/>
              <w:jc w:val="center"/>
              <w:rPr>
                <w:rFonts w:eastAsia="Times New Roman"/>
                <w:b/>
                <w:bCs/>
                <w:noProof/>
                <w:color w:val="000000"/>
                <w:sz w:val="20"/>
                <w:szCs w:val="20"/>
              </w:rPr>
            </w:pPr>
            <w:r w:rsidRPr="00557C2A">
              <w:rPr>
                <w:b/>
                <w:noProof/>
                <w:color w:val="000000"/>
                <w:sz w:val="20"/>
              </w:rPr>
              <w:t>0,140</w:t>
            </w:r>
          </w:p>
        </w:tc>
        <w:tc>
          <w:tcPr>
            <w:tcW w:w="277" w:type="pct"/>
            <w:gridSpan w:val="2"/>
            <w:tcBorders>
              <w:top w:val="nil"/>
              <w:left w:val="nil"/>
              <w:bottom w:val="single" w:sz="8" w:space="0" w:color="auto"/>
              <w:right w:val="single" w:sz="8" w:space="0" w:color="auto"/>
            </w:tcBorders>
            <w:shd w:val="clear" w:color="auto" w:fill="D9D9D9" w:themeFill="background1" w:themeFillShade="D9"/>
            <w:vAlign w:val="center"/>
            <w:hideMark/>
          </w:tcPr>
          <w:p w14:paraId="4113D9C8" w14:textId="77777777" w:rsidR="0051718E" w:rsidRPr="00557C2A" w:rsidRDefault="0051718E">
            <w:pPr>
              <w:spacing w:before="0" w:after="0"/>
              <w:jc w:val="center"/>
              <w:rPr>
                <w:rFonts w:eastAsia="Times New Roman"/>
                <w:b/>
                <w:bCs/>
                <w:noProof/>
                <w:color w:val="000000"/>
                <w:sz w:val="20"/>
                <w:szCs w:val="20"/>
                <w:lang w:eastAsia="en-IE"/>
              </w:rPr>
            </w:pPr>
          </w:p>
        </w:tc>
        <w:tc>
          <w:tcPr>
            <w:tcW w:w="277" w:type="pct"/>
            <w:gridSpan w:val="2"/>
            <w:tcBorders>
              <w:top w:val="nil"/>
              <w:left w:val="nil"/>
              <w:bottom w:val="single" w:sz="8" w:space="0" w:color="auto"/>
              <w:right w:val="single" w:sz="8" w:space="0" w:color="auto"/>
            </w:tcBorders>
            <w:shd w:val="clear" w:color="auto" w:fill="D9D9D9" w:themeFill="background1" w:themeFillShade="D9"/>
            <w:vAlign w:val="center"/>
            <w:hideMark/>
          </w:tcPr>
          <w:p w14:paraId="3196B7AE" w14:textId="77777777" w:rsidR="0051718E" w:rsidRPr="00557C2A" w:rsidRDefault="0051718E">
            <w:pPr>
              <w:spacing w:before="0" w:after="0"/>
              <w:jc w:val="center"/>
              <w:rPr>
                <w:rFonts w:eastAsia="Times New Roman"/>
                <w:b/>
                <w:bCs/>
                <w:noProof/>
                <w:color w:val="000000"/>
                <w:sz w:val="20"/>
                <w:szCs w:val="20"/>
              </w:rPr>
            </w:pPr>
            <w:r w:rsidRPr="00557C2A">
              <w:rPr>
                <w:b/>
                <w:noProof/>
                <w:color w:val="000000"/>
                <w:sz w:val="20"/>
              </w:rPr>
              <w:t>0,140</w:t>
            </w:r>
          </w:p>
        </w:tc>
        <w:tc>
          <w:tcPr>
            <w:tcW w:w="277" w:type="pct"/>
            <w:gridSpan w:val="3"/>
            <w:tcBorders>
              <w:top w:val="nil"/>
              <w:left w:val="nil"/>
              <w:bottom w:val="single" w:sz="8" w:space="0" w:color="auto"/>
              <w:right w:val="single" w:sz="8" w:space="0" w:color="auto"/>
            </w:tcBorders>
            <w:shd w:val="clear" w:color="auto" w:fill="D9D9D9" w:themeFill="background1" w:themeFillShade="D9"/>
            <w:vAlign w:val="center"/>
            <w:hideMark/>
          </w:tcPr>
          <w:p w14:paraId="7E1168DF" w14:textId="77777777" w:rsidR="0051718E" w:rsidRPr="00557C2A" w:rsidRDefault="0051718E">
            <w:pPr>
              <w:spacing w:before="0" w:after="0"/>
              <w:jc w:val="center"/>
              <w:rPr>
                <w:rFonts w:eastAsia="Times New Roman"/>
                <w:b/>
                <w:bCs/>
                <w:noProof/>
                <w:color w:val="000000"/>
                <w:sz w:val="20"/>
                <w:szCs w:val="20"/>
              </w:rPr>
            </w:pPr>
            <w:r w:rsidRPr="00557C2A">
              <w:rPr>
                <w:b/>
                <w:noProof/>
                <w:color w:val="000000"/>
                <w:sz w:val="20"/>
              </w:rPr>
              <w:t>0,070</w:t>
            </w:r>
          </w:p>
        </w:tc>
        <w:tc>
          <w:tcPr>
            <w:tcW w:w="277" w:type="pct"/>
            <w:gridSpan w:val="2"/>
            <w:tcBorders>
              <w:top w:val="nil"/>
              <w:left w:val="nil"/>
              <w:bottom w:val="single" w:sz="8" w:space="0" w:color="auto"/>
              <w:right w:val="single" w:sz="8" w:space="0" w:color="auto"/>
            </w:tcBorders>
            <w:shd w:val="clear" w:color="auto" w:fill="D9D9D9" w:themeFill="background1" w:themeFillShade="D9"/>
            <w:vAlign w:val="center"/>
            <w:hideMark/>
          </w:tcPr>
          <w:p w14:paraId="7CF12AF8" w14:textId="77777777" w:rsidR="0051718E" w:rsidRPr="00557C2A" w:rsidRDefault="0051718E">
            <w:pPr>
              <w:spacing w:before="0" w:after="0"/>
              <w:jc w:val="right"/>
              <w:rPr>
                <w:rFonts w:eastAsia="Times New Roman"/>
                <w:b/>
                <w:bCs/>
                <w:noProof/>
                <w:color w:val="000000"/>
                <w:sz w:val="20"/>
                <w:szCs w:val="20"/>
              </w:rPr>
            </w:pPr>
            <w:r w:rsidRPr="00557C2A">
              <w:rPr>
                <w:b/>
                <w:noProof/>
                <w:color w:val="000000"/>
                <w:sz w:val="20"/>
              </w:rPr>
              <w:t>0</w:t>
            </w:r>
          </w:p>
        </w:tc>
        <w:tc>
          <w:tcPr>
            <w:tcW w:w="277" w:type="pct"/>
            <w:gridSpan w:val="3"/>
            <w:tcBorders>
              <w:top w:val="nil"/>
              <w:left w:val="nil"/>
              <w:bottom w:val="single" w:sz="8" w:space="0" w:color="auto"/>
              <w:right w:val="single" w:sz="8" w:space="0" w:color="auto"/>
            </w:tcBorders>
            <w:shd w:val="clear" w:color="auto" w:fill="D9D9D9" w:themeFill="background1" w:themeFillShade="D9"/>
            <w:vAlign w:val="center"/>
            <w:hideMark/>
          </w:tcPr>
          <w:p w14:paraId="4B0A64F4" w14:textId="77777777" w:rsidR="0051718E" w:rsidRPr="00557C2A" w:rsidRDefault="0051718E">
            <w:pPr>
              <w:spacing w:before="0" w:after="0"/>
              <w:jc w:val="right"/>
              <w:rPr>
                <w:rFonts w:eastAsia="Times New Roman"/>
                <w:b/>
                <w:bCs/>
                <w:noProof/>
                <w:color w:val="000000"/>
                <w:sz w:val="20"/>
                <w:szCs w:val="20"/>
              </w:rPr>
            </w:pPr>
            <w:r w:rsidRPr="00557C2A">
              <w:rPr>
                <w:b/>
                <w:noProof/>
                <w:color w:val="000000"/>
                <w:sz w:val="20"/>
              </w:rPr>
              <w:t>0</w:t>
            </w:r>
          </w:p>
        </w:tc>
        <w:tc>
          <w:tcPr>
            <w:tcW w:w="1044" w:type="pct"/>
            <w:gridSpan w:val="5"/>
            <w:tcBorders>
              <w:top w:val="nil"/>
              <w:left w:val="nil"/>
              <w:bottom w:val="single" w:sz="8" w:space="0" w:color="auto"/>
              <w:right w:val="single" w:sz="8" w:space="0" w:color="auto"/>
            </w:tcBorders>
            <w:shd w:val="clear" w:color="auto" w:fill="D9D9D9" w:themeFill="background1" w:themeFillShade="D9"/>
            <w:vAlign w:val="center"/>
            <w:hideMark/>
          </w:tcPr>
          <w:p w14:paraId="68CFBE07" w14:textId="77777777" w:rsidR="0051718E" w:rsidRPr="00557C2A" w:rsidRDefault="0051718E">
            <w:pPr>
              <w:spacing w:before="0" w:after="0"/>
              <w:jc w:val="right"/>
              <w:rPr>
                <w:rFonts w:eastAsia="Times New Roman"/>
                <w:b/>
                <w:bCs/>
                <w:noProof/>
                <w:color w:val="000000"/>
                <w:sz w:val="20"/>
                <w:szCs w:val="20"/>
              </w:rPr>
            </w:pPr>
            <w:r w:rsidRPr="00557C2A">
              <w:rPr>
                <w:b/>
                <w:noProof/>
                <w:color w:val="000000"/>
                <w:sz w:val="20"/>
              </w:rPr>
              <w:t>0,350</w:t>
            </w:r>
          </w:p>
        </w:tc>
      </w:tr>
      <w:tr w:rsidR="0051718E" w:rsidRPr="00557C2A" w14:paraId="579C1FE4" w14:textId="77777777" w:rsidTr="00B37C03">
        <w:trPr>
          <w:trHeight w:val="410"/>
        </w:trPr>
        <w:tc>
          <w:tcPr>
            <w:tcW w:w="1731" w:type="pct"/>
            <w:gridSpan w:val="8"/>
            <w:vMerge w:val="restart"/>
            <w:tcBorders>
              <w:top w:val="single" w:sz="8" w:space="0" w:color="auto"/>
              <w:left w:val="single" w:sz="8" w:space="0" w:color="auto"/>
              <w:bottom w:val="single" w:sz="8" w:space="0" w:color="000000"/>
              <w:right w:val="single" w:sz="8" w:space="0" w:color="000000"/>
            </w:tcBorders>
            <w:vAlign w:val="center"/>
            <w:hideMark/>
          </w:tcPr>
          <w:p w14:paraId="34AD420D" w14:textId="77777777" w:rsidR="0051718E" w:rsidRPr="00557C2A" w:rsidRDefault="0051718E">
            <w:pPr>
              <w:spacing w:before="0" w:after="0"/>
              <w:jc w:val="center"/>
              <w:rPr>
                <w:rFonts w:eastAsia="Times New Roman"/>
                <w:b/>
                <w:bCs/>
                <w:noProof/>
                <w:color w:val="000000"/>
                <w:sz w:val="22"/>
              </w:rPr>
            </w:pPr>
            <w:r w:rsidRPr="00557C2A">
              <w:rPr>
                <w:b/>
                <w:noProof/>
                <w:color w:val="000000"/>
                <w:sz w:val="22"/>
              </w:rPr>
              <w:t xml:space="preserve"> </w:t>
            </w:r>
          </w:p>
        </w:tc>
        <w:tc>
          <w:tcPr>
            <w:tcW w:w="404" w:type="pct"/>
            <w:gridSpan w:val="3"/>
            <w:tcBorders>
              <w:top w:val="single" w:sz="8" w:space="0" w:color="auto"/>
              <w:left w:val="nil"/>
              <w:bottom w:val="single" w:sz="8" w:space="0" w:color="auto"/>
              <w:right w:val="single" w:sz="8" w:space="0" w:color="auto"/>
            </w:tcBorders>
            <w:vAlign w:val="center"/>
            <w:hideMark/>
          </w:tcPr>
          <w:p w14:paraId="75CBCF2D" w14:textId="77777777" w:rsidR="0051718E" w:rsidRPr="00557C2A" w:rsidRDefault="0051718E">
            <w:pPr>
              <w:spacing w:before="0" w:after="0"/>
              <w:jc w:val="center"/>
              <w:rPr>
                <w:rFonts w:eastAsia="Times New Roman"/>
                <w:noProof/>
                <w:color w:val="000000"/>
                <w:sz w:val="20"/>
                <w:szCs w:val="20"/>
              </w:rPr>
            </w:pPr>
            <w:r w:rsidRPr="00557C2A">
              <w:rPr>
                <w:noProof/>
                <w:color w:val="000000"/>
                <w:sz w:val="20"/>
              </w:rPr>
              <w:t>Jaar</w:t>
            </w:r>
          </w:p>
        </w:tc>
        <w:tc>
          <w:tcPr>
            <w:tcW w:w="404" w:type="pct"/>
            <w:gridSpan w:val="3"/>
            <w:tcBorders>
              <w:top w:val="single" w:sz="8" w:space="0" w:color="auto"/>
              <w:left w:val="nil"/>
              <w:bottom w:val="single" w:sz="8" w:space="0" w:color="auto"/>
              <w:right w:val="single" w:sz="8" w:space="0" w:color="auto"/>
            </w:tcBorders>
            <w:vAlign w:val="center"/>
            <w:hideMark/>
          </w:tcPr>
          <w:p w14:paraId="26D7E51D" w14:textId="77777777" w:rsidR="0051718E" w:rsidRPr="00557C2A" w:rsidRDefault="0051718E">
            <w:pPr>
              <w:spacing w:before="0" w:after="0"/>
              <w:jc w:val="center"/>
              <w:rPr>
                <w:rFonts w:eastAsia="Times New Roman"/>
                <w:noProof/>
                <w:color w:val="000000"/>
                <w:sz w:val="20"/>
                <w:szCs w:val="20"/>
              </w:rPr>
            </w:pPr>
            <w:r w:rsidRPr="00557C2A">
              <w:rPr>
                <w:noProof/>
                <w:color w:val="000000"/>
                <w:sz w:val="20"/>
              </w:rPr>
              <w:t>Jaar</w:t>
            </w:r>
          </w:p>
        </w:tc>
        <w:tc>
          <w:tcPr>
            <w:tcW w:w="404" w:type="pct"/>
            <w:gridSpan w:val="4"/>
            <w:tcBorders>
              <w:top w:val="single" w:sz="8" w:space="0" w:color="auto"/>
              <w:left w:val="nil"/>
              <w:bottom w:val="single" w:sz="8" w:space="0" w:color="auto"/>
              <w:right w:val="single" w:sz="8" w:space="0" w:color="auto"/>
            </w:tcBorders>
            <w:vAlign w:val="center"/>
            <w:hideMark/>
          </w:tcPr>
          <w:p w14:paraId="437D5570" w14:textId="77777777" w:rsidR="0051718E" w:rsidRPr="00557C2A" w:rsidRDefault="0051718E">
            <w:pPr>
              <w:spacing w:before="0" w:after="0"/>
              <w:jc w:val="center"/>
              <w:rPr>
                <w:rFonts w:eastAsia="Times New Roman"/>
                <w:noProof/>
                <w:color w:val="000000"/>
                <w:sz w:val="20"/>
                <w:szCs w:val="20"/>
              </w:rPr>
            </w:pPr>
            <w:r w:rsidRPr="00557C2A">
              <w:rPr>
                <w:noProof/>
                <w:color w:val="000000"/>
                <w:sz w:val="20"/>
              </w:rPr>
              <w:t>Jaar</w:t>
            </w:r>
          </w:p>
        </w:tc>
        <w:tc>
          <w:tcPr>
            <w:tcW w:w="404" w:type="pct"/>
            <w:gridSpan w:val="3"/>
            <w:tcBorders>
              <w:top w:val="single" w:sz="8" w:space="0" w:color="auto"/>
              <w:left w:val="nil"/>
              <w:bottom w:val="single" w:sz="8" w:space="0" w:color="auto"/>
              <w:right w:val="single" w:sz="8" w:space="0" w:color="auto"/>
            </w:tcBorders>
            <w:vAlign w:val="center"/>
            <w:hideMark/>
          </w:tcPr>
          <w:p w14:paraId="3A43839A" w14:textId="77777777" w:rsidR="0051718E" w:rsidRPr="00557C2A" w:rsidRDefault="0051718E">
            <w:pPr>
              <w:spacing w:before="0" w:after="0"/>
              <w:jc w:val="center"/>
              <w:rPr>
                <w:rFonts w:eastAsia="Times New Roman"/>
                <w:noProof/>
                <w:color w:val="000000"/>
                <w:sz w:val="20"/>
                <w:szCs w:val="20"/>
              </w:rPr>
            </w:pPr>
            <w:r w:rsidRPr="00557C2A">
              <w:rPr>
                <w:noProof/>
                <w:color w:val="000000"/>
                <w:sz w:val="20"/>
              </w:rPr>
              <w:t>Jaar</w:t>
            </w:r>
          </w:p>
        </w:tc>
        <w:tc>
          <w:tcPr>
            <w:tcW w:w="404" w:type="pct"/>
            <w:gridSpan w:val="4"/>
            <w:tcBorders>
              <w:top w:val="single" w:sz="8" w:space="0" w:color="auto"/>
              <w:left w:val="nil"/>
              <w:bottom w:val="single" w:sz="8" w:space="0" w:color="auto"/>
              <w:right w:val="single" w:sz="8" w:space="0" w:color="auto"/>
            </w:tcBorders>
            <w:vAlign w:val="center"/>
            <w:hideMark/>
          </w:tcPr>
          <w:p w14:paraId="4B1C8396" w14:textId="77777777" w:rsidR="0051718E" w:rsidRPr="00557C2A" w:rsidRDefault="0051718E">
            <w:pPr>
              <w:spacing w:before="0" w:after="0"/>
              <w:jc w:val="center"/>
              <w:rPr>
                <w:rFonts w:eastAsia="Times New Roman"/>
                <w:noProof/>
                <w:color w:val="000000"/>
                <w:sz w:val="20"/>
                <w:szCs w:val="20"/>
              </w:rPr>
            </w:pPr>
            <w:r w:rsidRPr="00557C2A">
              <w:rPr>
                <w:noProof/>
                <w:color w:val="000000"/>
                <w:sz w:val="20"/>
              </w:rPr>
              <w:t>Jaar</w:t>
            </w:r>
          </w:p>
        </w:tc>
        <w:tc>
          <w:tcPr>
            <w:tcW w:w="404" w:type="pct"/>
            <w:gridSpan w:val="3"/>
            <w:tcBorders>
              <w:top w:val="single" w:sz="8" w:space="0" w:color="auto"/>
              <w:left w:val="nil"/>
              <w:bottom w:val="single" w:sz="8" w:space="0" w:color="auto"/>
              <w:right w:val="single" w:sz="8" w:space="0" w:color="auto"/>
            </w:tcBorders>
            <w:vAlign w:val="center"/>
            <w:hideMark/>
          </w:tcPr>
          <w:p w14:paraId="1FF0E6C3" w14:textId="77777777" w:rsidR="0051718E" w:rsidRPr="00557C2A" w:rsidRDefault="0051718E">
            <w:pPr>
              <w:spacing w:before="0" w:after="0"/>
              <w:jc w:val="center"/>
              <w:rPr>
                <w:rFonts w:eastAsia="Times New Roman"/>
                <w:noProof/>
                <w:color w:val="000000"/>
                <w:sz w:val="20"/>
                <w:szCs w:val="20"/>
              </w:rPr>
            </w:pPr>
            <w:r w:rsidRPr="00557C2A">
              <w:rPr>
                <w:noProof/>
                <w:color w:val="000000"/>
                <w:sz w:val="20"/>
              </w:rPr>
              <w:t>Jaar</w:t>
            </w:r>
          </w:p>
        </w:tc>
        <w:tc>
          <w:tcPr>
            <w:tcW w:w="404" w:type="pct"/>
            <w:gridSpan w:val="2"/>
            <w:tcBorders>
              <w:top w:val="single" w:sz="8" w:space="0" w:color="auto"/>
              <w:left w:val="nil"/>
              <w:bottom w:val="single" w:sz="8" w:space="0" w:color="auto"/>
              <w:right w:val="single" w:sz="8" w:space="0" w:color="auto"/>
            </w:tcBorders>
            <w:vAlign w:val="center"/>
            <w:hideMark/>
          </w:tcPr>
          <w:p w14:paraId="77D19570" w14:textId="77777777" w:rsidR="0051718E" w:rsidRPr="00557C2A" w:rsidRDefault="0051718E">
            <w:pPr>
              <w:spacing w:before="0" w:after="0"/>
              <w:jc w:val="center"/>
              <w:rPr>
                <w:rFonts w:eastAsia="Times New Roman"/>
                <w:noProof/>
                <w:color w:val="000000"/>
                <w:sz w:val="20"/>
                <w:szCs w:val="20"/>
              </w:rPr>
            </w:pPr>
            <w:r w:rsidRPr="00557C2A">
              <w:rPr>
                <w:noProof/>
                <w:color w:val="000000"/>
                <w:sz w:val="20"/>
              </w:rPr>
              <w:t>Jaar</w:t>
            </w:r>
          </w:p>
        </w:tc>
        <w:tc>
          <w:tcPr>
            <w:tcW w:w="441" w:type="pct"/>
            <w:gridSpan w:val="2"/>
            <w:vMerge w:val="restart"/>
            <w:tcBorders>
              <w:top w:val="single" w:sz="8" w:space="0" w:color="auto"/>
              <w:left w:val="single" w:sz="8" w:space="0" w:color="auto"/>
              <w:bottom w:val="single" w:sz="8" w:space="0" w:color="000000"/>
              <w:right w:val="single" w:sz="8" w:space="0" w:color="auto"/>
            </w:tcBorders>
            <w:vAlign w:val="center"/>
            <w:hideMark/>
          </w:tcPr>
          <w:p w14:paraId="3E5ED848" w14:textId="77777777" w:rsidR="0051718E" w:rsidRPr="00557C2A" w:rsidRDefault="0051718E">
            <w:pPr>
              <w:spacing w:before="0" w:after="0"/>
              <w:jc w:val="center"/>
              <w:rPr>
                <w:rFonts w:eastAsia="Times New Roman"/>
                <w:b/>
                <w:bCs/>
                <w:noProof/>
                <w:color w:val="000000"/>
                <w:sz w:val="20"/>
                <w:szCs w:val="20"/>
              </w:rPr>
            </w:pPr>
            <w:r w:rsidRPr="00557C2A">
              <w:rPr>
                <w:b/>
                <w:noProof/>
                <w:color w:val="000000"/>
                <w:sz w:val="20"/>
              </w:rPr>
              <w:t>TOTAAL MFK 2028-2034</w:t>
            </w:r>
          </w:p>
        </w:tc>
      </w:tr>
      <w:tr w:rsidR="0051718E" w:rsidRPr="00557C2A" w14:paraId="5913E7BF" w14:textId="77777777" w:rsidTr="00B37C03">
        <w:trPr>
          <w:trHeight w:val="300"/>
        </w:trPr>
        <w:tc>
          <w:tcPr>
            <w:tcW w:w="1731" w:type="pct"/>
            <w:gridSpan w:val="8"/>
            <w:vMerge/>
            <w:tcBorders>
              <w:top w:val="single" w:sz="8" w:space="0" w:color="auto"/>
              <w:left w:val="single" w:sz="8" w:space="0" w:color="auto"/>
              <w:bottom w:val="single" w:sz="8" w:space="0" w:color="000000"/>
              <w:right w:val="single" w:sz="8" w:space="0" w:color="000000"/>
            </w:tcBorders>
            <w:vAlign w:val="center"/>
            <w:hideMark/>
          </w:tcPr>
          <w:p w14:paraId="1B805096" w14:textId="77777777" w:rsidR="0051718E" w:rsidRPr="00557C2A" w:rsidRDefault="0051718E">
            <w:pPr>
              <w:spacing w:before="0" w:after="0"/>
              <w:jc w:val="left"/>
              <w:rPr>
                <w:rFonts w:eastAsia="Times New Roman"/>
                <w:b/>
                <w:bCs/>
                <w:noProof/>
                <w:color w:val="000000"/>
                <w:sz w:val="22"/>
                <w:lang w:eastAsia="en-IE"/>
              </w:rPr>
            </w:pPr>
          </w:p>
        </w:tc>
        <w:tc>
          <w:tcPr>
            <w:tcW w:w="404" w:type="pct"/>
            <w:gridSpan w:val="3"/>
            <w:tcBorders>
              <w:top w:val="nil"/>
              <w:left w:val="nil"/>
              <w:bottom w:val="single" w:sz="8" w:space="0" w:color="auto"/>
              <w:right w:val="single" w:sz="8" w:space="0" w:color="auto"/>
            </w:tcBorders>
            <w:vAlign w:val="center"/>
            <w:hideMark/>
          </w:tcPr>
          <w:p w14:paraId="24A04D68" w14:textId="77777777" w:rsidR="0051718E" w:rsidRPr="00557C2A" w:rsidRDefault="0051718E">
            <w:pPr>
              <w:spacing w:before="0" w:after="0"/>
              <w:jc w:val="center"/>
              <w:rPr>
                <w:rFonts w:eastAsia="Times New Roman"/>
                <w:b/>
                <w:bCs/>
                <w:noProof/>
                <w:color w:val="000000"/>
                <w:sz w:val="20"/>
                <w:szCs w:val="20"/>
              </w:rPr>
            </w:pPr>
            <w:r w:rsidRPr="00557C2A">
              <w:rPr>
                <w:b/>
                <w:noProof/>
                <w:color w:val="000000"/>
                <w:sz w:val="20"/>
              </w:rPr>
              <w:t>2028</w:t>
            </w:r>
          </w:p>
        </w:tc>
        <w:tc>
          <w:tcPr>
            <w:tcW w:w="404" w:type="pct"/>
            <w:gridSpan w:val="3"/>
            <w:tcBorders>
              <w:top w:val="nil"/>
              <w:left w:val="nil"/>
              <w:bottom w:val="single" w:sz="8" w:space="0" w:color="auto"/>
              <w:right w:val="single" w:sz="8" w:space="0" w:color="auto"/>
            </w:tcBorders>
            <w:vAlign w:val="center"/>
            <w:hideMark/>
          </w:tcPr>
          <w:p w14:paraId="34C64A20" w14:textId="77777777" w:rsidR="0051718E" w:rsidRPr="00557C2A" w:rsidRDefault="0051718E">
            <w:pPr>
              <w:spacing w:before="0" w:after="0"/>
              <w:jc w:val="center"/>
              <w:rPr>
                <w:rFonts w:eastAsia="Times New Roman"/>
                <w:b/>
                <w:bCs/>
                <w:noProof/>
                <w:color w:val="000000"/>
                <w:sz w:val="20"/>
                <w:szCs w:val="20"/>
              </w:rPr>
            </w:pPr>
            <w:r w:rsidRPr="00557C2A">
              <w:rPr>
                <w:b/>
                <w:noProof/>
                <w:color w:val="000000"/>
                <w:sz w:val="20"/>
              </w:rPr>
              <w:t>2029</w:t>
            </w:r>
          </w:p>
        </w:tc>
        <w:tc>
          <w:tcPr>
            <w:tcW w:w="404" w:type="pct"/>
            <w:gridSpan w:val="4"/>
            <w:tcBorders>
              <w:top w:val="nil"/>
              <w:left w:val="nil"/>
              <w:bottom w:val="single" w:sz="8" w:space="0" w:color="auto"/>
              <w:right w:val="single" w:sz="8" w:space="0" w:color="auto"/>
            </w:tcBorders>
            <w:vAlign w:val="center"/>
            <w:hideMark/>
          </w:tcPr>
          <w:p w14:paraId="36168212" w14:textId="77777777" w:rsidR="0051718E" w:rsidRPr="00557C2A" w:rsidRDefault="0051718E">
            <w:pPr>
              <w:spacing w:before="0" w:after="0"/>
              <w:jc w:val="center"/>
              <w:rPr>
                <w:rFonts w:eastAsia="Times New Roman"/>
                <w:b/>
                <w:bCs/>
                <w:noProof/>
                <w:color w:val="000000"/>
                <w:sz w:val="20"/>
                <w:szCs w:val="20"/>
              </w:rPr>
            </w:pPr>
            <w:r w:rsidRPr="00557C2A">
              <w:rPr>
                <w:b/>
                <w:noProof/>
                <w:color w:val="000000"/>
                <w:sz w:val="20"/>
              </w:rPr>
              <w:t>2030</w:t>
            </w:r>
          </w:p>
        </w:tc>
        <w:tc>
          <w:tcPr>
            <w:tcW w:w="404" w:type="pct"/>
            <w:gridSpan w:val="3"/>
            <w:tcBorders>
              <w:top w:val="nil"/>
              <w:left w:val="nil"/>
              <w:bottom w:val="single" w:sz="8" w:space="0" w:color="auto"/>
              <w:right w:val="single" w:sz="8" w:space="0" w:color="auto"/>
            </w:tcBorders>
            <w:vAlign w:val="center"/>
            <w:hideMark/>
          </w:tcPr>
          <w:p w14:paraId="1888BB37" w14:textId="77777777" w:rsidR="0051718E" w:rsidRPr="00557C2A" w:rsidRDefault="0051718E">
            <w:pPr>
              <w:spacing w:before="0" w:after="0"/>
              <w:jc w:val="center"/>
              <w:rPr>
                <w:rFonts w:eastAsia="Times New Roman"/>
                <w:b/>
                <w:bCs/>
                <w:noProof/>
                <w:color w:val="000000"/>
                <w:sz w:val="20"/>
                <w:szCs w:val="20"/>
              </w:rPr>
            </w:pPr>
            <w:r w:rsidRPr="00557C2A">
              <w:rPr>
                <w:b/>
                <w:noProof/>
                <w:color w:val="000000"/>
                <w:sz w:val="20"/>
              </w:rPr>
              <w:t>2031</w:t>
            </w:r>
          </w:p>
        </w:tc>
        <w:tc>
          <w:tcPr>
            <w:tcW w:w="404" w:type="pct"/>
            <w:gridSpan w:val="4"/>
            <w:tcBorders>
              <w:top w:val="nil"/>
              <w:left w:val="nil"/>
              <w:bottom w:val="single" w:sz="8" w:space="0" w:color="auto"/>
              <w:right w:val="single" w:sz="8" w:space="0" w:color="auto"/>
            </w:tcBorders>
            <w:vAlign w:val="center"/>
            <w:hideMark/>
          </w:tcPr>
          <w:p w14:paraId="5082FC2E" w14:textId="77777777" w:rsidR="0051718E" w:rsidRPr="00557C2A" w:rsidRDefault="0051718E">
            <w:pPr>
              <w:spacing w:before="0" w:after="0"/>
              <w:jc w:val="center"/>
              <w:rPr>
                <w:rFonts w:eastAsia="Times New Roman"/>
                <w:b/>
                <w:bCs/>
                <w:noProof/>
                <w:color w:val="000000"/>
                <w:sz w:val="20"/>
                <w:szCs w:val="20"/>
              </w:rPr>
            </w:pPr>
            <w:r w:rsidRPr="00557C2A">
              <w:rPr>
                <w:b/>
                <w:noProof/>
                <w:color w:val="000000"/>
                <w:sz w:val="20"/>
              </w:rPr>
              <w:t>2032</w:t>
            </w:r>
          </w:p>
        </w:tc>
        <w:tc>
          <w:tcPr>
            <w:tcW w:w="404" w:type="pct"/>
            <w:gridSpan w:val="3"/>
            <w:tcBorders>
              <w:top w:val="nil"/>
              <w:left w:val="nil"/>
              <w:bottom w:val="single" w:sz="8" w:space="0" w:color="auto"/>
              <w:right w:val="single" w:sz="8" w:space="0" w:color="auto"/>
            </w:tcBorders>
            <w:vAlign w:val="center"/>
            <w:hideMark/>
          </w:tcPr>
          <w:p w14:paraId="4C114A53" w14:textId="77777777" w:rsidR="0051718E" w:rsidRPr="00557C2A" w:rsidRDefault="0051718E">
            <w:pPr>
              <w:spacing w:before="0" w:after="0"/>
              <w:jc w:val="center"/>
              <w:rPr>
                <w:rFonts w:eastAsia="Times New Roman"/>
                <w:b/>
                <w:bCs/>
                <w:noProof/>
                <w:color w:val="000000"/>
                <w:sz w:val="20"/>
                <w:szCs w:val="20"/>
              </w:rPr>
            </w:pPr>
            <w:r w:rsidRPr="00557C2A">
              <w:rPr>
                <w:b/>
                <w:noProof/>
                <w:color w:val="000000"/>
                <w:sz w:val="20"/>
              </w:rPr>
              <w:t>2033</w:t>
            </w:r>
          </w:p>
        </w:tc>
        <w:tc>
          <w:tcPr>
            <w:tcW w:w="404" w:type="pct"/>
            <w:gridSpan w:val="2"/>
            <w:tcBorders>
              <w:top w:val="nil"/>
              <w:left w:val="nil"/>
              <w:bottom w:val="single" w:sz="8" w:space="0" w:color="auto"/>
              <w:right w:val="single" w:sz="8" w:space="0" w:color="auto"/>
            </w:tcBorders>
            <w:vAlign w:val="center"/>
            <w:hideMark/>
          </w:tcPr>
          <w:p w14:paraId="4E5D3548" w14:textId="77777777" w:rsidR="0051718E" w:rsidRPr="00557C2A" w:rsidRDefault="0051718E">
            <w:pPr>
              <w:spacing w:before="0" w:after="0"/>
              <w:jc w:val="center"/>
              <w:rPr>
                <w:rFonts w:eastAsia="Times New Roman"/>
                <w:b/>
                <w:bCs/>
                <w:noProof/>
                <w:color w:val="000000"/>
                <w:sz w:val="20"/>
                <w:szCs w:val="20"/>
              </w:rPr>
            </w:pPr>
            <w:r w:rsidRPr="00557C2A">
              <w:rPr>
                <w:b/>
                <w:noProof/>
                <w:color w:val="000000"/>
                <w:sz w:val="20"/>
              </w:rPr>
              <w:t>2034</w:t>
            </w:r>
          </w:p>
        </w:tc>
        <w:tc>
          <w:tcPr>
            <w:tcW w:w="441" w:type="pct"/>
            <w:gridSpan w:val="2"/>
            <w:vMerge/>
            <w:tcBorders>
              <w:top w:val="single" w:sz="8" w:space="0" w:color="auto"/>
              <w:left w:val="single" w:sz="8" w:space="0" w:color="auto"/>
              <w:bottom w:val="single" w:sz="8" w:space="0" w:color="000000"/>
              <w:right w:val="single" w:sz="8" w:space="0" w:color="auto"/>
            </w:tcBorders>
            <w:vAlign w:val="center"/>
            <w:hideMark/>
          </w:tcPr>
          <w:p w14:paraId="68D1F0E8" w14:textId="77777777" w:rsidR="0051718E" w:rsidRPr="00557C2A" w:rsidRDefault="0051718E">
            <w:pPr>
              <w:spacing w:before="0" w:after="0"/>
              <w:jc w:val="left"/>
              <w:rPr>
                <w:rFonts w:eastAsia="Times New Roman"/>
                <w:b/>
                <w:bCs/>
                <w:noProof/>
                <w:color w:val="000000"/>
                <w:sz w:val="20"/>
                <w:szCs w:val="20"/>
                <w:lang w:eastAsia="en-IE"/>
              </w:rPr>
            </w:pPr>
          </w:p>
        </w:tc>
      </w:tr>
      <w:tr w:rsidR="0051718E" w:rsidRPr="00557C2A" w14:paraId="7E5E1C4B" w14:textId="77777777" w:rsidTr="00B37C03">
        <w:trPr>
          <w:trHeight w:val="860"/>
        </w:trPr>
        <w:tc>
          <w:tcPr>
            <w:tcW w:w="768" w:type="pct"/>
            <w:gridSpan w:val="2"/>
            <w:vMerge w:val="restart"/>
            <w:tcBorders>
              <w:top w:val="nil"/>
              <w:left w:val="single" w:sz="8" w:space="0" w:color="auto"/>
              <w:bottom w:val="single" w:sz="8" w:space="0" w:color="000000"/>
              <w:right w:val="single" w:sz="8" w:space="0" w:color="auto"/>
            </w:tcBorders>
            <w:vAlign w:val="center"/>
            <w:hideMark/>
          </w:tcPr>
          <w:p w14:paraId="6BAE60B4" w14:textId="77777777" w:rsidR="0051718E" w:rsidRPr="00557C2A" w:rsidRDefault="0051718E">
            <w:pPr>
              <w:spacing w:before="0" w:after="0"/>
              <w:rPr>
                <w:rFonts w:eastAsia="Times New Roman"/>
                <w:noProof/>
                <w:color w:val="000000"/>
                <w:sz w:val="21"/>
                <w:szCs w:val="21"/>
              </w:rPr>
            </w:pPr>
            <w:r w:rsidRPr="00557C2A">
              <w:rPr>
                <w:noProof/>
                <w:color w:val="000000"/>
                <w:sz w:val="21"/>
              </w:rPr>
              <w:t>TOTAAL beleidskredieten</w:t>
            </w:r>
          </w:p>
        </w:tc>
        <w:tc>
          <w:tcPr>
            <w:tcW w:w="587" w:type="pct"/>
            <w:gridSpan w:val="3"/>
            <w:tcBorders>
              <w:top w:val="nil"/>
              <w:left w:val="nil"/>
              <w:bottom w:val="single" w:sz="8" w:space="0" w:color="auto"/>
              <w:right w:val="single" w:sz="8" w:space="0" w:color="auto"/>
            </w:tcBorders>
            <w:vAlign w:val="center"/>
            <w:hideMark/>
          </w:tcPr>
          <w:p w14:paraId="1BC0BCD3" w14:textId="77777777" w:rsidR="0051718E" w:rsidRPr="00557C2A" w:rsidRDefault="0051718E">
            <w:pPr>
              <w:spacing w:before="0" w:after="0"/>
              <w:rPr>
                <w:rFonts w:eastAsia="Times New Roman"/>
                <w:noProof/>
                <w:color w:val="000000"/>
                <w:sz w:val="18"/>
                <w:szCs w:val="18"/>
              </w:rPr>
            </w:pPr>
            <w:r w:rsidRPr="00557C2A">
              <w:rPr>
                <w:noProof/>
                <w:color w:val="000000"/>
                <w:sz w:val="18"/>
              </w:rPr>
              <w:t>Vastleggingen</w:t>
            </w:r>
          </w:p>
        </w:tc>
        <w:tc>
          <w:tcPr>
            <w:tcW w:w="376" w:type="pct"/>
            <w:gridSpan w:val="3"/>
            <w:tcBorders>
              <w:top w:val="nil"/>
              <w:left w:val="nil"/>
              <w:bottom w:val="single" w:sz="8" w:space="0" w:color="auto"/>
              <w:right w:val="single" w:sz="8" w:space="0" w:color="auto"/>
            </w:tcBorders>
            <w:vAlign w:val="center"/>
            <w:hideMark/>
          </w:tcPr>
          <w:p w14:paraId="4C189FA0" w14:textId="77777777" w:rsidR="0051718E" w:rsidRPr="00557C2A" w:rsidRDefault="0051718E">
            <w:pPr>
              <w:spacing w:before="0" w:after="0"/>
              <w:jc w:val="center"/>
              <w:rPr>
                <w:rFonts w:eastAsia="Times New Roman"/>
                <w:noProof/>
                <w:color w:val="000000"/>
                <w:sz w:val="14"/>
                <w:szCs w:val="14"/>
              </w:rPr>
            </w:pPr>
            <w:r w:rsidRPr="00557C2A">
              <w:rPr>
                <w:noProof/>
                <w:color w:val="000000"/>
                <w:sz w:val="14"/>
              </w:rPr>
              <w:t>(4)</w:t>
            </w:r>
          </w:p>
        </w:tc>
        <w:tc>
          <w:tcPr>
            <w:tcW w:w="404" w:type="pct"/>
            <w:gridSpan w:val="3"/>
            <w:tcBorders>
              <w:top w:val="nil"/>
              <w:left w:val="nil"/>
              <w:bottom w:val="single" w:sz="8" w:space="0" w:color="auto"/>
              <w:right w:val="single" w:sz="8" w:space="0" w:color="auto"/>
            </w:tcBorders>
            <w:shd w:val="clear" w:color="000000" w:fill="D9D9D9"/>
            <w:vAlign w:val="center"/>
            <w:hideMark/>
          </w:tcPr>
          <w:p w14:paraId="67B0A712" w14:textId="77777777" w:rsidR="0051718E" w:rsidRPr="00557C2A" w:rsidRDefault="0051718E">
            <w:pPr>
              <w:spacing w:before="0" w:after="0"/>
              <w:jc w:val="right"/>
              <w:rPr>
                <w:rFonts w:eastAsia="Times New Roman"/>
                <w:noProof/>
                <w:color w:val="000000"/>
                <w:sz w:val="20"/>
                <w:szCs w:val="20"/>
              </w:rPr>
            </w:pPr>
            <w:r w:rsidRPr="00557C2A">
              <w:rPr>
                <w:b/>
                <w:noProof/>
                <w:color w:val="000000"/>
                <w:sz w:val="20"/>
              </w:rPr>
              <w:t>0,350</w:t>
            </w:r>
          </w:p>
        </w:tc>
        <w:tc>
          <w:tcPr>
            <w:tcW w:w="404" w:type="pct"/>
            <w:gridSpan w:val="3"/>
            <w:tcBorders>
              <w:top w:val="nil"/>
              <w:left w:val="nil"/>
              <w:bottom w:val="single" w:sz="8" w:space="0" w:color="auto"/>
              <w:right w:val="single" w:sz="8" w:space="0" w:color="auto"/>
            </w:tcBorders>
            <w:shd w:val="clear" w:color="000000" w:fill="D9D9D9"/>
            <w:vAlign w:val="center"/>
            <w:hideMark/>
          </w:tcPr>
          <w:p w14:paraId="7F065798" w14:textId="77777777" w:rsidR="0051718E" w:rsidRPr="00557C2A" w:rsidRDefault="0051718E">
            <w:pPr>
              <w:spacing w:before="0" w:after="0"/>
              <w:jc w:val="right"/>
              <w:rPr>
                <w:rFonts w:eastAsia="Times New Roman"/>
                <w:noProof/>
                <w:color w:val="000000"/>
                <w:sz w:val="20"/>
                <w:szCs w:val="20"/>
              </w:rPr>
            </w:pPr>
            <w:r w:rsidRPr="00557C2A">
              <w:rPr>
                <w:noProof/>
                <w:color w:val="000000"/>
                <w:sz w:val="20"/>
              </w:rPr>
              <w:t>0</w:t>
            </w:r>
          </w:p>
        </w:tc>
        <w:tc>
          <w:tcPr>
            <w:tcW w:w="404" w:type="pct"/>
            <w:gridSpan w:val="4"/>
            <w:tcBorders>
              <w:top w:val="nil"/>
              <w:left w:val="nil"/>
              <w:bottom w:val="single" w:sz="8" w:space="0" w:color="auto"/>
              <w:right w:val="single" w:sz="8" w:space="0" w:color="auto"/>
            </w:tcBorders>
            <w:shd w:val="clear" w:color="000000" w:fill="D9D9D9"/>
            <w:vAlign w:val="center"/>
            <w:hideMark/>
          </w:tcPr>
          <w:p w14:paraId="315B5E4D" w14:textId="77777777" w:rsidR="0051718E" w:rsidRPr="00557C2A" w:rsidRDefault="0051718E">
            <w:pPr>
              <w:spacing w:before="0" w:after="0"/>
              <w:jc w:val="right"/>
              <w:rPr>
                <w:rFonts w:eastAsia="Times New Roman"/>
                <w:noProof/>
                <w:color w:val="000000"/>
                <w:sz w:val="20"/>
                <w:szCs w:val="20"/>
              </w:rPr>
            </w:pPr>
            <w:r w:rsidRPr="00557C2A">
              <w:rPr>
                <w:noProof/>
                <w:color w:val="000000"/>
                <w:sz w:val="20"/>
              </w:rPr>
              <w:t>0</w:t>
            </w:r>
          </w:p>
        </w:tc>
        <w:tc>
          <w:tcPr>
            <w:tcW w:w="404" w:type="pct"/>
            <w:gridSpan w:val="3"/>
            <w:tcBorders>
              <w:top w:val="nil"/>
              <w:left w:val="nil"/>
              <w:bottom w:val="single" w:sz="8" w:space="0" w:color="auto"/>
              <w:right w:val="single" w:sz="8" w:space="0" w:color="auto"/>
            </w:tcBorders>
            <w:shd w:val="clear" w:color="000000" w:fill="D9D9D9"/>
            <w:vAlign w:val="center"/>
            <w:hideMark/>
          </w:tcPr>
          <w:p w14:paraId="193D8206" w14:textId="77777777" w:rsidR="0051718E" w:rsidRPr="00557C2A" w:rsidRDefault="0051718E">
            <w:pPr>
              <w:spacing w:before="0" w:after="0"/>
              <w:jc w:val="right"/>
              <w:rPr>
                <w:rFonts w:eastAsia="Times New Roman"/>
                <w:noProof/>
                <w:color w:val="000000"/>
                <w:sz w:val="20"/>
                <w:szCs w:val="20"/>
              </w:rPr>
            </w:pPr>
            <w:r w:rsidRPr="00557C2A">
              <w:rPr>
                <w:noProof/>
                <w:color w:val="000000"/>
                <w:sz w:val="20"/>
              </w:rPr>
              <w:t>0</w:t>
            </w:r>
          </w:p>
        </w:tc>
        <w:tc>
          <w:tcPr>
            <w:tcW w:w="404" w:type="pct"/>
            <w:gridSpan w:val="4"/>
            <w:tcBorders>
              <w:top w:val="nil"/>
              <w:left w:val="nil"/>
              <w:bottom w:val="single" w:sz="8" w:space="0" w:color="auto"/>
              <w:right w:val="single" w:sz="8" w:space="0" w:color="auto"/>
            </w:tcBorders>
            <w:shd w:val="clear" w:color="000000" w:fill="D9D9D9"/>
            <w:vAlign w:val="center"/>
            <w:hideMark/>
          </w:tcPr>
          <w:p w14:paraId="67B1CFAF" w14:textId="77777777" w:rsidR="0051718E" w:rsidRPr="00557C2A" w:rsidRDefault="0051718E">
            <w:pPr>
              <w:spacing w:before="0" w:after="0"/>
              <w:jc w:val="right"/>
              <w:rPr>
                <w:rFonts w:eastAsia="Times New Roman"/>
                <w:noProof/>
                <w:color w:val="000000"/>
                <w:sz w:val="20"/>
                <w:szCs w:val="20"/>
              </w:rPr>
            </w:pPr>
            <w:r w:rsidRPr="00557C2A">
              <w:rPr>
                <w:noProof/>
                <w:color w:val="000000"/>
                <w:sz w:val="20"/>
              </w:rPr>
              <w:t>0</w:t>
            </w:r>
          </w:p>
        </w:tc>
        <w:tc>
          <w:tcPr>
            <w:tcW w:w="404" w:type="pct"/>
            <w:gridSpan w:val="3"/>
            <w:tcBorders>
              <w:top w:val="nil"/>
              <w:left w:val="nil"/>
              <w:bottom w:val="single" w:sz="8" w:space="0" w:color="auto"/>
              <w:right w:val="single" w:sz="8" w:space="0" w:color="auto"/>
            </w:tcBorders>
            <w:shd w:val="clear" w:color="000000" w:fill="D9D9D9"/>
            <w:vAlign w:val="center"/>
            <w:hideMark/>
          </w:tcPr>
          <w:p w14:paraId="2B794C8F" w14:textId="77777777" w:rsidR="0051718E" w:rsidRPr="00557C2A" w:rsidRDefault="0051718E">
            <w:pPr>
              <w:spacing w:before="0" w:after="0"/>
              <w:jc w:val="right"/>
              <w:rPr>
                <w:rFonts w:eastAsia="Times New Roman"/>
                <w:noProof/>
                <w:color w:val="000000"/>
                <w:sz w:val="20"/>
                <w:szCs w:val="20"/>
              </w:rPr>
            </w:pPr>
            <w:r w:rsidRPr="00557C2A">
              <w:rPr>
                <w:noProof/>
                <w:color w:val="000000"/>
                <w:sz w:val="20"/>
              </w:rPr>
              <w:t>0</w:t>
            </w:r>
          </w:p>
        </w:tc>
        <w:tc>
          <w:tcPr>
            <w:tcW w:w="404" w:type="pct"/>
            <w:gridSpan w:val="2"/>
            <w:tcBorders>
              <w:top w:val="nil"/>
              <w:left w:val="nil"/>
              <w:bottom w:val="single" w:sz="8" w:space="0" w:color="auto"/>
              <w:right w:val="single" w:sz="8" w:space="0" w:color="auto"/>
            </w:tcBorders>
            <w:shd w:val="clear" w:color="000000" w:fill="D9D9D9"/>
            <w:vAlign w:val="center"/>
            <w:hideMark/>
          </w:tcPr>
          <w:p w14:paraId="677AD793" w14:textId="77777777" w:rsidR="0051718E" w:rsidRPr="00557C2A" w:rsidRDefault="0051718E">
            <w:pPr>
              <w:spacing w:before="0" w:after="0"/>
              <w:jc w:val="right"/>
              <w:rPr>
                <w:rFonts w:eastAsia="Times New Roman"/>
                <w:noProof/>
                <w:color w:val="000000"/>
                <w:sz w:val="20"/>
                <w:szCs w:val="20"/>
              </w:rPr>
            </w:pPr>
            <w:r w:rsidRPr="00557C2A">
              <w:rPr>
                <w:noProof/>
                <w:color w:val="000000"/>
                <w:sz w:val="20"/>
              </w:rPr>
              <w:t>0</w:t>
            </w:r>
          </w:p>
        </w:tc>
        <w:tc>
          <w:tcPr>
            <w:tcW w:w="441" w:type="pct"/>
            <w:gridSpan w:val="2"/>
            <w:tcBorders>
              <w:top w:val="nil"/>
              <w:left w:val="nil"/>
              <w:bottom w:val="single" w:sz="8" w:space="0" w:color="auto"/>
              <w:right w:val="single" w:sz="8" w:space="0" w:color="auto"/>
            </w:tcBorders>
            <w:shd w:val="clear" w:color="000000" w:fill="D9D9D9"/>
            <w:vAlign w:val="center"/>
            <w:hideMark/>
          </w:tcPr>
          <w:p w14:paraId="6EAD0322" w14:textId="77777777" w:rsidR="0051718E" w:rsidRPr="00557C2A" w:rsidRDefault="0051718E">
            <w:pPr>
              <w:spacing w:before="0" w:after="0"/>
              <w:jc w:val="right"/>
              <w:rPr>
                <w:rFonts w:eastAsia="Times New Roman"/>
                <w:b/>
                <w:bCs/>
                <w:noProof/>
                <w:color w:val="000000"/>
                <w:sz w:val="20"/>
                <w:szCs w:val="20"/>
              </w:rPr>
            </w:pPr>
            <w:r w:rsidRPr="00557C2A">
              <w:rPr>
                <w:b/>
                <w:noProof/>
                <w:color w:val="000000"/>
                <w:sz w:val="20"/>
              </w:rPr>
              <w:t>0,350</w:t>
            </w:r>
          </w:p>
        </w:tc>
      </w:tr>
      <w:tr w:rsidR="0051718E" w:rsidRPr="00557C2A" w14:paraId="4AA1045F" w14:textId="77777777" w:rsidTr="00B37C03">
        <w:trPr>
          <w:trHeight w:val="300"/>
        </w:trPr>
        <w:tc>
          <w:tcPr>
            <w:tcW w:w="768" w:type="pct"/>
            <w:gridSpan w:val="2"/>
            <w:vMerge/>
            <w:tcBorders>
              <w:top w:val="nil"/>
              <w:left w:val="single" w:sz="8" w:space="0" w:color="auto"/>
              <w:bottom w:val="single" w:sz="8" w:space="0" w:color="000000"/>
              <w:right w:val="single" w:sz="8" w:space="0" w:color="auto"/>
            </w:tcBorders>
            <w:vAlign w:val="center"/>
            <w:hideMark/>
          </w:tcPr>
          <w:p w14:paraId="7B706DA4" w14:textId="77777777" w:rsidR="0051718E" w:rsidRPr="00557C2A" w:rsidRDefault="0051718E">
            <w:pPr>
              <w:spacing w:before="0" w:after="0"/>
              <w:jc w:val="left"/>
              <w:rPr>
                <w:rFonts w:eastAsia="Times New Roman"/>
                <w:noProof/>
                <w:color w:val="000000"/>
                <w:sz w:val="21"/>
                <w:szCs w:val="21"/>
                <w:lang w:eastAsia="en-IE"/>
              </w:rPr>
            </w:pPr>
          </w:p>
        </w:tc>
        <w:tc>
          <w:tcPr>
            <w:tcW w:w="587" w:type="pct"/>
            <w:gridSpan w:val="3"/>
            <w:tcBorders>
              <w:top w:val="nil"/>
              <w:left w:val="nil"/>
              <w:bottom w:val="single" w:sz="8" w:space="0" w:color="auto"/>
              <w:right w:val="single" w:sz="8" w:space="0" w:color="auto"/>
            </w:tcBorders>
            <w:vAlign w:val="center"/>
            <w:hideMark/>
          </w:tcPr>
          <w:p w14:paraId="232B2B49" w14:textId="77777777" w:rsidR="0051718E" w:rsidRPr="00557C2A" w:rsidRDefault="0051718E">
            <w:pPr>
              <w:spacing w:before="0" w:after="0"/>
              <w:rPr>
                <w:rFonts w:eastAsia="Times New Roman"/>
                <w:noProof/>
                <w:color w:val="000000"/>
                <w:sz w:val="18"/>
                <w:szCs w:val="18"/>
              </w:rPr>
            </w:pPr>
            <w:r w:rsidRPr="00557C2A">
              <w:rPr>
                <w:noProof/>
                <w:color w:val="000000"/>
                <w:sz w:val="18"/>
              </w:rPr>
              <w:t>Betalingen</w:t>
            </w:r>
          </w:p>
        </w:tc>
        <w:tc>
          <w:tcPr>
            <w:tcW w:w="376" w:type="pct"/>
            <w:gridSpan w:val="3"/>
            <w:tcBorders>
              <w:top w:val="nil"/>
              <w:left w:val="nil"/>
              <w:bottom w:val="single" w:sz="8" w:space="0" w:color="auto"/>
              <w:right w:val="single" w:sz="8" w:space="0" w:color="auto"/>
            </w:tcBorders>
            <w:vAlign w:val="center"/>
            <w:hideMark/>
          </w:tcPr>
          <w:p w14:paraId="4A2848FD" w14:textId="77777777" w:rsidR="0051718E" w:rsidRPr="00557C2A" w:rsidRDefault="0051718E">
            <w:pPr>
              <w:spacing w:before="0" w:after="0"/>
              <w:jc w:val="center"/>
              <w:rPr>
                <w:rFonts w:eastAsia="Times New Roman"/>
                <w:noProof/>
                <w:color w:val="000000"/>
                <w:sz w:val="14"/>
                <w:szCs w:val="14"/>
              </w:rPr>
            </w:pPr>
            <w:r w:rsidRPr="00557C2A">
              <w:rPr>
                <w:noProof/>
                <w:color w:val="000000"/>
                <w:sz w:val="14"/>
              </w:rPr>
              <w:t>(5)</w:t>
            </w:r>
          </w:p>
        </w:tc>
        <w:tc>
          <w:tcPr>
            <w:tcW w:w="404" w:type="pct"/>
            <w:gridSpan w:val="3"/>
            <w:tcBorders>
              <w:top w:val="nil"/>
              <w:left w:val="nil"/>
              <w:bottom w:val="single" w:sz="8" w:space="0" w:color="auto"/>
              <w:right w:val="single" w:sz="8" w:space="0" w:color="auto"/>
            </w:tcBorders>
            <w:shd w:val="clear" w:color="000000" w:fill="D9D9D9"/>
            <w:vAlign w:val="center"/>
            <w:hideMark/>
          </w:tcPr>
          <w:p w14:paraId="0684F7F7" w14:textId="77777777" w:rsidR="0051718E" w:rsidRPr="00557C2A" w:rsidRDefault="0051718E">
            <w:pPr>
              <w:spacing w:before="0" w:after="0"/>
              <w:jc w:val="right"/>
              <w:rPr>
                <w:rFonts w:eastAsia="Times New Roman"/>
                <w:noProof/>
                <w:color w:val="000000"/>
                <w:sz w:val="20"/>
                <w:szCs w:val="20"/>
              </w:rPr>
            </w:pPr>
            <w:r w:rsidRPr="00557C2A">
              <w:rPr>
                <w:noProof/>
                <w:color w:val="000000"/>
                <w:sz w:val="20"/>
              </w:rPr>
              <w:t>0</w:t>
            </w:r>
          </w:p>
        </w:tc>
        <w:tc>
          <w:tcPr>
            <w:tcW w:w="404" w:type="pct"/>
            <w:gridSpan w:val="3"/>
            <w:tcBorders>
              <w:top w:val="nil"/>
              <w:left w:val="nil"/>
              <w:bottom w:val="single" w:sz="8" w:space="0" w:color="auto"/>
              <w:right w:val="single" w:sz="8" w:space="0" w:color="auto"/>
            </w:tcBorders>
            <w:shd w:val="clear" w:color="000000" w:fill="D9D9D9"/>
            <w:hideMark/>
          </w:tcPr>
          <w:p w14:paraId="36298158" w14:textId="77777777" w:rsidR="0051718E" w:rsidRPr="00557C2A" w:rsidRDefault="0051718E">
            <w:pPr>
              <w:spacing w:before="0" w:after="0"/>
              <w:jc w:val="right"/>
              <w:rPr>
                <w:rFonts w:eastAsia="Times New Roman"/>
                <w:b/>
                <w:bCs/>
                <w:noProof/>
                <w:color w:val="000000"/>
                <w:sz w:val="20"/>
                <w:szCs w:val="20"/>
              </w:rPr>
            </w:pPr>
            <w:r w:rsidRPr="00557C2A">
              <w:rPr>
                <w:b/>
                <w:noProof/>
                <w:color w:val="000000"/>
                <w:sz w:val="20"/>
              </w:rPr>
              <w:t>0,140</w:t>
            </w:r>
          </w:p>
        </w:tc>
        <w:tc>
          <w:tcPr>
            <w:tcW w:w="404" w:type="pct"/>
            <w:gridSpan w:val="4"/>
            <w:tcBorders>
              <w:top w:val="nil"/>
              <w:left w:val="nil"/>
              <w:bottom w:val="single" w:sz="8" w:space="0" w:color="auto"/>
              <w:right w:val="single" w:sz="8" w:space="0" w:color="auto"/>
            </w:tcBorders>
            <w:shd w:val="clear" w:color="000000" w:fill="D9D9D9"/>
            <w:hideMark/>
          </w:tcPr>
          <w:p w14:paraId="7153D2CD" w14:textId="77777777" w:rsidR="0051718E" w:rsidRPr="00557C2A" w:rsidRDefault="0051718E">
            <w:pPr>
              <w:spacing w:before="0" w:after="0"/>
              <w:jc w:val="right"/>
              <w:rPr>
                <w:rFonts w:eastAsia="Times New Roman"/>
                <w:b/>
                <w:bCs/>
                <w:noProof/>
                <w:color w:val="000000"/>
                <w:sz w:val="20"/>
                <w:szCs w:val="20"/>
                <w:lang w:eastAsia="en-IE"/>
              </w:rPr>
            </w:pPr>
          </w:p>
        </w:tc>
        <w:tc>
          <w:tcPr>
            <w:tcW w:w="404" w:type="pct"/>
            <w:gridSpan w:val="3"/>
            <w:tcBorders>
              <w:top w:val="nil"/>
              <w:left w:val="nil"/>
              <w:bottom w:val="single" w:sz="8" w:space="0" w:color="auto"/>
              <w:right w:val="single" w:sz="8" w:space="0" w:color="auto"/>
            </w:tcBorders>
            <w:shd w:val="clear" w:color="000000" w:fill="D9D9D9"/>
            <w:hideMark/>
          </w:tcPr>
          <w:p w14:paraId="37CAE767" w14:textId="77777777" w:rsidR="0051718E" w:rsidRPr="00557C2A" w:rsidRDefault="0051718E">
            <w:pPr>
              <w:spacing w:before="0" w:after="0"/>
              <w:jc w:val="right"/>
              <w:rPr>
                <w:rFonts w:eastAsia="Times New Roman"/>
                <w:b/>
                <w:bCs/>
                <w:noProof/>
                <w:color w:val="000000"/>
                <w:sz w:val="20"/>
                <w:szCs w:val="20"/>
              </w:rPr>
            </w:pPr>
            <w:r w:rsidRPr="00557C2A">
              <w:rPr>
                <w:b/>
                <w:noProof/>
                <w:color w:val="000000"/>
                <w:sz w:val="20"/>
              </w:rPr>
              <w:t>0,140</w:t>
            </w:r>
          </w:p>
        </w:tc>
        <w:tc>
          <w:tcPr>
            <w:tcW w:w="404" w:type="pct"/>
            <w:gridSpan w:val="4"/>
            <w:tcBorders>
              <w:top w:val="nil"/>
              <w:left w:val="nil"/>
              <w:bottom w:val="single" w:sz="8" w:space="0" w:color="auto"/>
              <w:right w:val="single" w:sz="8" w:space="0" w:color="auto"/>
            </w:tcBorders>
            <w:shd w:val="clear" w:color="000000" w:fill="D9D9D9"/>
            <w:hideMark/>
          </w:tcPr>
          <w:p w14:paraId="7E1C27AA" w14:textId="77777777" w:rsidR="0051718E" w:rsidRPr="00557C2A" w:rsidRDefault="0051718E">
            <w:pPr>
              <w:spacing w:before="0" w:after="0"/>
              <w:jc w:val="right"/>
              <w:rPr>
                <w:rFonts w:eastAsia="Times New Roman"/>
                <w:b/>
                <w:bCs/>
                <w:noProof/>
                <w:color w:val="000000"/>
                <w:sz w:val="20"/>
                <w:szCs w:val="20"/>
              </w:rPr>
            </w:pPr>
            <w:r w:rsidRPr="00557C2A">
              <w:rPr>
                <w:b/>
                <w:noProof/>
                <w:color w:val="000000"/>
                <w:sz w:val="20"/>
              </w:rPr>
              <w:t>0,070</w:t>
            </w:r>
          </w:p>
        </w:tc>
        <w:tc>
          <w:tcPr>
            <w:tcW w:w="404" w:type="pct"/>
            <w:gridSpan w:val="3"/>
            <w:tcBorders>
              <w:top w:val="nil"/>
              <w:left w:val="nil"/>
              <w:bottom w:val="single" w:sz="8" w:space="0" w:color="auto"/>
              <w:right w:val="single" w:sz="8" w:space="0" w:color="auto"/>
            </w:tcBorders>
            <w:shd w:val="clear" w:color="000000" w:fill="D9D9D9"/>
            <w:vAlign w:val="center"/>
            <w:hideMark/>
          </w:tcPr>
          <w:p w14:paraId="192AAF61" w14:textId="77777777" w:rsidR="0051718E" w:rsidRPr="00557C2A" w:rsidRDefault="0051718E">
            <w:pPr>
              <w:spacing w:before="0" w:after="0"/>
              <w:jc w:val="right"/>
              <w:rPr>
                <w:rFonts w:eastAsia="Times New Roman"/>
                <w:noProof/>
                <w:color w:val="000000"/>
                <w:sz w:val="20"/>
                <w:szCs w:val="20"/>
              </w:rPr>
            </w:pPr>
            <w:r w:rsidRPr="00557C2A">
              <w:rPr>
                <w:noProof/>
                <w:color w:val="000000"/>
                <w:sz w:val="20"/>
              </w:rPr>
              <w:t>0</w:t>
            </w:r>
          </w:p>
        </w:tc>
        <w:tc>
          <w:tcPr>
            <w:tcW w:w="404" w:type="pct"/>
            <w:gridSpan w:val="2"/>
            <w:tcBorders>
              <w:top w:val="nil"/>
              <w:left w:val="nil"/>
              <w:bottom w:val="single" w:sz="8" w:space="0" w:color="auto"/>
              <w:right w:val="single" w:sz="8" w:space="0" w:color="auto"/>
            </w:tcBorders>
            <w:shd w:val="clear" w:color="000000" w:fill="D9D9D9"/>
            <w:vAlign w:val="center"/>
            <w:hideMark/>
          </w:tcPr>
          <w:p w14:paraId="1596D137" w14:textId="77777777" w:rsidR="0051718E" w:rsidRPr="00557C2A" w:rsidRDefault="0051718E">
            <w:pPr>
              <w:spacing w:before="0" w:after="0"/>
              <w:jc w:val="right"/>
              <w:rPr>
                <w:rFonts w:eastAsia="Times New Roman"/>
                <w:noProof/>
                <w:color w:val="000000"/>
                <w:sz w:val="20"/>
                <w:szCs w:val="20"/>
              </w:rPr>
            </w:pPr>
            <w:r w:rsidRPr="00557C2A">
              <w:rPr>
                <w:noProof/>
                <w:color w:val="000000"/>
                <w:sz w:val="20"/>
              </w:rPr>
              <w:t>0</w:t>
            </w:r>
          </w:p>
        </w:tc>
        <w:tc>
          <w:tcPr>
            <w:tcW w:w="441" w:type="pct"/>
            <w:gridSpan w:val="2"/>
            <w:tcBorders>
              <w:top w:val="nil"/>
              <w:left w:val="nil"/>
              <w:bottom w:val="single" w:sz="8" w:space="0" w:color="auto"/>
              <w:right w:val="single" w:sz="8" w:space="0" w:color="auto"/>
            </w:tcBorders>
            <w:shd w:val="clear" w:color="000000" w:fill="D9D9D9"/>
            <w:vAlign w:val="center"/>
            <w:hideMark/>
          </w:tcPr>
          <w:p w14:paraId="55E4EE91" w14:textId="77777777" w:rsidR="0051718E" w:rsidRPr="00557C2A" w:rsidRDefault="0051718E">
            <w:pPr>
              <w:spacing w:before="0" w:after="0"/>
              <w:jc w:val="right"/>
              <w:rPr>
                <w:rFonts w:eastAsia="Times New Roman"/>
                <w:b/>
                <w:bCs/>
                <w:noProof/>
                <w:color w:val="000000"/>
                <w:sz w:val="20"/>
                <w:szCs w:val="20"/>
              </w:rPr>
            </w:pPr>
            <w:r w:rsidRPr="00557C2A">
              <w:rPr>
                <w:b/>
                <w:noProof/>
                <w:color w:val="000000"/>
                <w:sz w:val="20"/>
              </w:rPr>
              <w:t>0,350</w:t>
            </w:r>
          </w:p>
        </w:tc>
      </w:tr>
      <w:tr w:rsidR="0051718E" w:rsidRPr="00557C2A" w14:paraId="6ACFB242" w14:textId="77777777" w:rsidTr="00B37C03">
        <w:trPr>
          <w:trHeight w:val="1180"/>
        </w:trPr>
        <w:tc>
          <w:tcPr>
            <w:tcW w:w="1355" w:type="pct"/>
            <w:gridSpan w:val="5"/>
            <w:tcBorders>
              <w:top w:val="single" w:sz="8" w:space="0" w:color="auto"/>
              <w:left w:val="single" w:sz="8" w:space="0" w:color="auto"/>
              <w:bottom w:val="single" w:sz="8" w:space="0" w:color="auto"/>
              <w:right w:val="single" w:sz="8" w:space="0" w:color="000000"/>
            </w:tcBorders>
            <w:vAlign w:val="center"/>
            <w:hideMark/>
          </w:tcPr>
          <w:p w14:paraId="1E31863B" w14:textId="77777777" w:rsidR="0051718E" w:rsidRPr="00557C2A" w:rsidRDefault="0051718E">
            <w:pPr>
              <w:spacing w:before="0" w:after="0"/>
              <w:rPr>
                <w:rFonts w:eastAsia="Times New Roman"/>
                <w:noProof/>
                <w:color w:val="000000"/>
                <w:sz w:val="21"/>
                <w:szCs w:val="21"/>
              </w:rPr>
            </w:pPr>
            <w:r w:rsidRPr="00557C2A">
              <w:rPr>
                <w:noProof/>
                <w:color w:val="000000"/>
                <w:sz w:val="21"/>
              </w:rPr>
              <w:t xml:space="preserve">TOTAAL uit het budget van specifieke programma’s gefinancierde administratieve kredieten </w:t>
            </w:r>
          </w:p>
        </w:tc>
        <w:tc>
          <w:tcPr>
            <w:tcW w:w="376" w:type="pct"/>
            <w:gridSpan w:val="3"/>
            <w:tcBorders>
              <w:top w:val="nil"/>
              <w:left w:val="nil"/>
              <w:bottom w:val="single" w:sz="8" w:space="0" w:color="auto"/>
              <w:right w:val="single" w:sz="8" w:space="0" w:color="auto"/>
            </w:tcBorders>
            <w:vAlign w:val="center"/>
            <w:hideMark/>
          </w:tcPr>
          <w:p w14:paraId="6CF7577A" w14:textId="77777777" w:rsidR="0051718E" w:rsidRPr="00557C2A" w:rsidRDefault="0051718E">
            <w:pPr>
              <w:spacing w:before="0" w:after="0"/>
              <w:jc w:val="center"/>
              <w:rPr>
                <w:rFonts w:eastAsia="Times New Roman"/>
                <w:noProof/>
                <w:color w:val="000000"/>
                <w:sz w:val="14"/>
                <w:szCs w:val="14"/>
              </w:rPr>
            </w:pPr>
            <w:r w:rsidRPr="00557C2A">
              <w:rPr>
                <w:noProof/>
                <w:color w:val="000000"/>
                <w:sz w:val="14"/>
              </w:rPr>
              <w:t>(6)</w:t>
            </w:r>
          </w:p>
        </w:tc>
        <w:tc>
          <w:tcPr>
            <w:tcW w:w="404" w:type="pct"/>
            <w:gridSpan w:val="3"/>
            <w:tcBorders>
              <w:top w:val="nil"/>
              <w:left w:val="nil"/>
              <w:bottom w:val="single" w:sz="8" w:space="0" w:color="auto"/>
              <w:right w:val="single" w:sz="8" w:space="0" w:color="auto"/>
            </w:tcBorders>
            <w:shd w:val="clear" w:color="000000" w:fill="D9D9D9"/>
            <w:vAlign w:val="center"/>
            <w:hideMark/>
          </w:tcPr>
          <w:p w14:paraId="67E3DF8D" w14:textId="77777777" w:rsidR="0051718E" w:rsidRPr="00557C2A" w:rsidRDefault="0051718E">
            <w:pPr>
              <w:spacing w:before="0" w:after="0"/>
              <w:jc w:val="right"/>
              <w:rPr>
                <w:rFonts w:eastAsia="Times New Roman"/>
                <w:noProof/>
                <w:color w:val="000000"/>
                <w:sz w:val="20"/>
                <w:szCs w:val="20"/>
              </w:rPr>
            </w:pPr>
            <w:r w:rsidRPr="00557C2A">
              <w:rPr>
                <w:noProof/>
                <w:color w:val="000000"/>
                <w:sz w:val="20"/>
              </w:rPr>
              <w:t>0</w:t>
            </w:r>
          </w:p>
        </w:tc>
        <w:tc>
          <w:tcPr>
            <w:tcW w:w="404" w:type="pct"/>
            <w:gridSpan w:val="3"/>
            <w:tcBorders>
              <w:top w:val="nil"/>
              <w:left w:val="nil"/>
              <w:bottom w:val="single" w:sz="8" w:space="0" w:color="auto"/>
              <w:right w:val="single" w:sz="8" w:space="0" w:color="auto"/>
            </w:tcBorders>
            <w:shd w:val="clear" w:color="000000" w:fill="D9D9D9"/>
            <w:vAlign w:val="center"/>
            <w:hideMark/>
          </w:tcPr>
          <w:p w14:paraId="2C04045B" w14:textId="77777777" w:rsidR="0051718E" w:rsidRPr="00557C2A" w:rsidRDefault="0051718E">
            <w:pPr>
              <w:spacing w:before="0" w:after="0"/>
              <w:jc w:val="right"/>
              <w:rPr>
                <w:rFonts w:eastAsia="Times New Roman"/>
                <w:noProof/>
                <w:color w:val="000000"/>
                <w:sz w:val="20"/>
                <w:szCs w:val="20"/>
              </w:rPr>
            </w:pPr>
            <w:r w:rsidRPr="00557C2A">
              <w:rPr>
                <w:noProof/>
                <w:color w:val="000000"/>
                <w:sz w:val="20"/>
              </w:rPr>
              <w:t>0</w:t>
            </w:r>
          </w:p>
        </w:tc>
        <w:tc>
          <w:tcPr>
            <w:tcW w:w="404" w:type="pct"/>
            <w:gridSpan w:val="4"/>
            <w:tcBorders>
              <w:top w:val="nil"/>
              <w:left w:val="nil"/>
              <w:bottom w:val="single" w:sz="8" w:space="0" w:color="auto"/>
              <w:right w:val="single" w:sz="8" w:space="0" w:color="auto"/>
            </w:tcBorders>
            <w:shd w:val="clear" w:color="000000" w:fill="D9D9D9"/>
            <w:vAlign w:val="center"/>
            <w:hideMark/>
          </w:tcPr>
          <w:p w14:paraId="3127F29F" w14:textId="77777777" w:rsidR="0051718E" w:rsidRPr="00557C2A" w:rsidRDefault="0051718E">
            <w:pPr>
              <w:spacing w:before="0" w:after="0"/>
              <w:jc w:val="right"/>
              <w:rPr>
                <w:rFonts w:eastAsia="Times New Roman"/>
                <w:noProof/>
                <w:color w:val="000000"/>
                <w:sz w:val="20"/>
                <w:szCs w:val="20"/>
              </w:rPr>
            </w:pPr>
            <w:r w:rsidRPr="00557C2A">
              <w:rPr>
                <w:noProof/>
                <w:color w:val="000000"/>
                <w:sz w:val="20"/>
              </w:rPr>
              <w:t>0</w:t>
            </w:r>
          </w:p>
        </w:tc>
        <w:tc>
          <w:tcPr>
            <w:tcW w:w="404" w:type="pct"/>
            <w:gridSpan w:val="3"/>
            <w:tcBorders>
              <w:top w:val="nil"/>
              <w:left w:val="nil"/>
              <w:bottom w:val="single" w:sz="8" w:space="0" w:color="auto"/>
              <w:right w:val="single" w:sz="8" w:space="0" w:color="auto"/>
            </w:tcBorders>
            <w:shd w:val="clear" w:color="000000" w:fill="D9D9D9"/>
            <w:vAlign w:val="center"/>
            <w:hideMark/>
          </w:tcPr>
          <w:p w14:paraId="64939640" w14:textId="77777777" w:rsidR="0051718E" w:rsidRPr="00557C2A" w:rsidRDefault="0051718E">
            <w:pPr>
              <w:spacing w:before="0" w:after="0"/>
              <w:jc w:val="right"/>
              <w:rPr>
                <w:rFonts w:eastAsia="Times New Roman"/>
                <w:noProof/>
                <w:color w:val="000000"/>
                <w:sz w:val="20"/>
                <w:szCs w:val="20"/>
              </w:rPr>
            </w:pPr>
            <w:r w:rsidRPr="00557C2A">
              <w:rPr>
                <w:noProof/>
                <w:color w:val="000000"/>
                <w:sz w:val="20"/>
              </w:rPr>
              <w:t>0</w:t>
            </w:r>
          </w:p>
        </w:tc>
        <w:tc>
          <w:tcPr>
            <w:tcW w:w="404" w:type="pct"/>
            <w:gridSpan w:val="4"/>
            <w:tcBorders>
              <w:top w:val="nil"/>
              <w:left w:val="nil"/>
              <w:bottom w:val="single" w:sz="8" w:space="0" w:color="auto"/>
              <w:right w:val="single" w:sz="8" w:space="0" w:color="auto"/>
            </w:tcBorders>
            <w:shd w:val="clear" w:color="000000" w:fill="D9D9D9"/>
            <w:vAlign w:val="center"/>
            <w:hideMark/>
          </w:tcPr>
          <w:p w14:paraId="0CF802F3" w14:textId="77777777" w:rsidR="0051718E" w:rsidRPr="00557C2A" w:rsidRDefault="0051718E">
            <w:pPr>
              <w:spacing w:before="0" w:after="0"/>
              <w:jc w:val="right"/>
              <w:rPr>
                <w:rFonts w:eastAsia="Times New Roman"/>
                <w:noProof/>
                <w:color w:val="000000"/>
                <w:sz w:val="20"/>
                <w:szCs w:val="20"/>
              </w:rPr>
            </w:pPr>
            <w:r w:rsidRPr="00557C2A">
              <w:rPr>
                <w:noProof/>
                <w:color w:val="000000"/>
                <w:sz w:val="20"/>
              </w:rPr>
              <w:t>0</w:t>
            </w:r>
          </w:p>
        </w:tc>
        <w:tc>
          <w:tcPr>
            <w:tcW w:w="404" w:type="pct"/>
            <w:gridSpan w:val="3"/>
            <w:tcBorders>
              <w:top w:val="nil"/>
              <w:left w:val="nil"/>
              <w:bottom w:val="single" w:sz="8" w:space="0" w:color="auto"/>
              <w:right w:val="single" w:sz="8" w:space="0" w:color="auto"/>
            </w:tcBorders>
            <w:shd w:val="clear" w:color="000000" w:fill="D9D9D9"/>
            <w:vAlign w:val="center"/>
            <w:hideMark/>
          </w:tcPr>
          <w:p w14:paraId="2195D4C2" w14:textId="77777777" w:rsidR="0051718E" w:rsidRPr="00557C2A" w:rsidRDefault="0051718E">
            <w:pPr>
              <w:spacing w:before="0" w:after="0"/>
              <w:jc w:val="right"/>
              <w:rPr>
                <w:rFonts w:eastAsia="Times New Roman"/>
                <w:noProof/>
                <w:color w:val="000000"/>
                <w:sz w:val="20"/>
                <w:szCs w:val="20"/>
              </w:rPr>
            </w:pPr>
            <w:r w:rsidRPr="00557C2A">
              <w:rPr>
                <w:noProof/>
                <w:color w:val="000000"/>
                <w:sz w:val="20"/>
              </w:rPr>
              <w:t>0</w:t>
            </w:r>
          </w:p>
        </w:tc>
        <w:tc>
          <w:tcPr>
            <w:tcW w:w="404" w:type="pct"/>
            <w:gridSpan w:val="2"/>
            <w:tcBorders>
              <w:top w:val="nil"/>
              <w:left w:val="nil"/>
              <w:bottom w:val="single" w:sz="8" w:space="0" w:color="auto"/>
              <w:right w:val="single" w:sz="8" w:space="0" w:color="auto"/>
            </w:tcBorders>
            <w:shd w:val="clear" w:color="000000" w:fill="D9D9D9"/>
            <w:vAlign w:val="center"/>
            <w:hideMark/>
          </w:tcPr>
          <w:p w14:paraId="0C0FDDF6" w14:textId="77777777" w:rsidR="0051718E" w:rsidRPr="00557C2A" w:rsidRDefault="0051718E">
            <w:pPr>
              <w:spacing w:before="0" w:after="0"/>
              <w:jc w:val="right"/>
              <w:rPr>
                <w:rFonts w:eastAsia="Times New Roman"/>
                <w:noProof/>
                <w:color w:val="000000"/>
                <w:sz w:val="20"/>
                <w:szCs w:val="20"/>
              </w:rPr>
            </w:pPr>
            <w:r w:rsidRPr="00557C2A">
              <w:rPr>
                <w:noProof/>
                <w:color w:val="000000"/>
                <w:sz w:val="20"/>
              </w:rPr>
              <w:t>0</w:t>
            </w:r>
          </w:p>
        </w:tc>
        <w:tc>
          <w:tcPr>
            <w:tcW w:w="441" w:type="pct"/>
            <w:gridSpan w:val="2"/>
            <w:tcBorders>
              <w:top w:val="nil"/>
              <w:left w:val="nil"/>
              <w:bottom w:val="single" w:sz="8" w:space="0" w:color="auto"/>
              <w:right w:val="single" w:sz="8" w:space="0" w:color="auto"/>
            </w:tcBorders>
            <w:shd w:val="clear" w:color="000000" w:fill="D9D9D9"/>
            <w:vAlign w:val="center"/>
            <w:hideMark/>
          </w:tcPr>
          <w:p w14:paraId="57C2E4C8" w14:textId="77777777" w:rsidR="0051718E" w:rsidRPr="00557C2A" w:rsidRDefault="0051718E">
            <w:pPr>
              <w:spacing w:before="0" w:after="0"/>
              <w:jc w:val="right"/>
              <w:rPr>
                <w:rFonts w:eastAsia="Times New Roman"/>
                <w:b/>
                <w:bCs/>
                <w:noProof/>
                <w:color w:val="000000"/>
                <w:sz w:val="20"/>
                <w:szCs w:val="20"/>
              </w:rPr>
            </w:pPr>
            <w:r w:rsidRPr="00557C2A">
              <w:rPr>
                <w:b/>
                <w:noProof/>
                <w:color w:val="000000"/>
                <w:sz w:val="20"/>
              </w:rPr>
              <w:t>0</w:t>
            </w:r>
          </w:p>
        </w:tc>
      </w:tr>
      <w:tr w:rsidR="0051718E" w:rsidRPr="00557C2A" w14:paraId="65D92E0E" w14:textId="77777777" w:rsidTr="00B37C03">
        <w:trPr>
          <w:trHeight w:val="579"/>
        </w:trPr>
        <w:tc>
          <w:tcPr>
            <w:tcW w:w="768" w:type="pct"/>
            <w:gridSpan w:val="2"/>
            <w:tcBorders>
              <w:top w:val="nil"/>
              <w:left w:val="single" w:sz="8" w:space="0" w:color="auto"/>
              <w:bottom w:val="nil"/>
              <w:right w:val="single" w:sz="8" w:space="0" w:color="auto"/>
            </w:tcBorders>
            <w:shd w:val="thinDiagStripe" w:color="C0C0C0" w:fill="E6E6E6"/>
            <w:vAlign w:val="center"/>
            <w:hideMark/>
          </w:tcPr>
          <w:p w14:paraId="3CF67381" w14:textId="77777777" w:rsidR="0051718E" w:rsidRPr="00557C2A" w:rsidRDefault="0051718E">
            <w:pPr>
              <w:spacing w:before="0" w:after="0"/>
              <w:jc w:val="center"/>
              <w:rPr>
                <w:rFonts w:eastAsia="Times New Roman"/>
                <w:b/>
                <w:bCs/>
                <w:noProof/>
                <w:color w:val="000000"/>
                <w:sz w:val="22"/>
              </w:rPr>
            </w:pPr>
            <w:r w:rsidRPr="00557C2A">
              <w:rPr>
                <w:b/>
                <w:noProof/>
                <w:color w:val="000000"/>
                <w:sz w:val="22"/>
              </w:rPr>
              <w:t>TOTAAL kredieten onder RUBRIEK &lt;2&gt;</w:t>
            </w:r>
          </w:p>
        </w:tc>
        <w:tc>
          <w:tcPr>
            <w:tcW w:w="587" w:type="pct"/>
            <w:gridSpan w:val="3"/>
            <w:tcBorders>
              <w:top w:val="nil"/>
              <w:left w:val="nil"/>
              <w:bottom w:val="single" w:sz="8" w:space="0" w:color="auto"/>
              <w:right w:val="single" w:sz="8" w:space="0" w:color="auto"/>
            </w:tcBorders>
            <w:vAlign w:val="center"/>
            <w:hideMark/>
          </w:tcPr>
          <w:p w14:paraId="55B9FA7F" w14:textId="77777777" w:rsidR="0051718E" w:rsidRPr="00557C2A" w:rsidRDefault="0051718E">
            <w:pPr>
              <w:spacing w:before="0" w:after="0"/>
              <w:rPr>
                <w:rFonts w:eastAsia="Times New Roman"/>
                <w:noProof/>
                <w:color w:val="000000"/>
                <w:sz w:val="18"/>
                <w:szCs w:val="18"/>
              </w:rPr>
            </w:pPr>
            <w:r w:rsidRPr="00557C2A">
              <w:rPr>
                <w:noProof/>
                <w:color w:val="000000"/>
                <w:sz w:val="18"/>
              </w:rPr>
              <w:t>Vastleggingen</w:t>
            </w:r>
          </w:p>
        </w:tc>
        <w:tc>
          <w:tcPr>
            <w:tcW w:w="376" w:type="pct"/>
            <w:gridSpan w:val="3"/>
            <w:tcBorders>
              <w:top w:val="nil"/>
              <w:left w:val="nil"/>
              <w:bottom w:val="single" w:sz="8" w:space="0" w:color="auto"/>
              <w:right w:val="single" w:sz="8" w:space="0" w:color="auto"/>
            </w:tcBorders>
            <w:vAlign w:val="center"/>
            <w:hideMark/>
          </w:tcPr>
          <w:p w14:paraId="5ACBC3C9" w14:textId="77777777" w:rsidR="0051718E" w:rsidRPr="00557C2A" w:rsidRDefault="0051718E">
            <w:pPr>
              <w:spacing w:before="0" w:after="0"/>
              <w:jc w:val="center"/>
              <w:rPr>
                <w:rFonts w:eastAsia="Times New Roman"/>
                <w:noProof/>
                <w:color w:val="000000"/>
                <w:sz w:val="14"/>
                <w:szCs w:val="14"/>
              </w:rPr>
            </w:pPr>
            <w:r w:rsidRPr="00557C2A">
              <w:rPr>
                <w:noProof/>
                <w:color w:val="000000"/>
                <w:sz w:val="14"/>
              </w:rPr>
              <w:t>=4+6</w:t>
            </w:r>
          </w:p>
        </w:tc>
        <w:tc>
          <w:tcPr>
            <w:tcW w:w="404" w:type="pct"/>
            <w:gridSpan w:val="3"/>
            <w:tcBorders>
              <w:top w:val="nil"/>
              <w:left w:val="nil"/>
              <w:bottom w:val="single" w:sz="8" w:space="0" w:color="auto"/>
              <w:right w:val="single" w:sz="8" w:space="0" w:color="auto"/>
            </w:tcBorders>
            <w:shd w:val="clear" w:color="000000" w:fill="D9D9D9"/>
            <w:vAlign w:val="center"/>
            <w:hideMark/>
          </w:tcPr>
          <w:p w14:paraId="5622D434" w14:textId="77777777" w:rsidR="0051718E" w:rsidRPr="00557C2A" w:rsidRDefault="0051718E">
            <w:pPr>
              <w:spacing w:before="0" w:after="0"/>
              <w:jc w:val="right"/>
              <w:rPr>
                <w:rFonts w:eastAsia="Times New Roman"/>
                <w:b/>
                <w:bCs/>
                <w:noProof/>
                <w:color w:val="000000"/>
                <w:sz w:val="20"/>
                <w:szCs w:val="20"/>
              </w:rPr>
            </w:pPr>
            <w:r w:rsidRPr="00557C2A">
              <w:rPr>
                <w:b/>
                <w:noProof/>
                <w:color w:val="000000"/>
                <w:sz w:val="20"/>
              </w:rPr>
              <w:t>0,350</w:t>
            </w:r>
          </w:p>
        </w:tc>
        <w:tc>
          <w:tcPr>
            <w:tcW w:w="404" w:type="pct"/>
            <w:gridSpan w:val="3"/>
            <w:tcBorders>
              <w:top w:val="nil"/>
              <w:left w:val="nil"/>
              <w:bottom w:val="single" w:sz="8" w:space="0" w:color="auto"/>
              <w:right w:val="single" w:sz="8" w:space="0" w:color="auto"/>
            </w:tcBorders>
            <w:shd w:val="clear" w:color="000000" w:fill="D9D9D9"/>
            <w:vAlign w:val="center"/>
            <w:hideMark/>
          </w:tcPr>
          <w:p w14:paraId="1133B519" w14:textId="77777777" w:rsidR="0051718E" w:rsidRPr="00557C2A" w:rsidRDefault="0051718E">
            <w:pPr>
              <w:spacing w:before="0" w:after="0"/>
              <w:jc w:val="right"/>
              <w:rPr>
                <w:rFonts w:eastAsia="Times New Roman"/>
                <w:b/>
                <w:bCs/>
                <w:noProof/>
                <w:color w:val="000000"/>
                <w:sz w:val="20"/>
                <w:szCs w:val="20"/>
              </w:rPr>
            </w:pPr>
            <w:r w:rsidRPr="00557C2A">
              <w:rPr>
                <w:b/>
                <w:noProof/>
                <w:color w:val="000000"/>
                <w:sz w:val="20"/>
              </w:rPr>
              <w:t>0</w:t>
            </w:r>
          </w:p>
        </w:tc>
        <w:tc>
          <w:tcPr>
            <w:tcW w:w="404" w:type="pct"/>
            <w:gridSpan w:val="4"/>
            <w:tcBorders>
              <w:top w:val="nil"/>
              <w:left w:val="nil"/>
              <w:bottom w:val="single" w:sz="8" w:space="0" w:color="auto"/>
              <w:right w:val="single" w:sz="8" w:space="0" w:color="auto"/>
            </w:tcBorders>
            <w:shd w:val="clear" w:color="000000" w:fill="D9D9D9"/>
            <w:vAlign w:val="center"/>
            <w:hideMark/>
          </w:tcPr>
          <w:p w14:paraId="07B72A45" w14:textId="77777777" w:rsidR="0051718E" w:rsidRPr="00557C2A" w:rsidRDefault="0051718E">
            <w:pPr>
              <w:spacing w:before="0" w:after="0"/>
              <w:jc w:val="right"/>
              <w:rPr>
                <w:rFonts w:eastAsia="Times New Roman"/>
                <w:b/>
                <w:bCs/>
                <w:noProof/>
                <w:color w:val="000000"/>
                <w:sz w:val="20"/>
                <w:szCs w:val="20"/>
              </w:rPr>
            </w:pPr>
            <w:r w:rsidRPr="00557C2A">
              <w:rPr>
                <w:b/>
                <w:noProof/>
                <w:color w:val="000000"/>
                <w:sz w:val="20"/>
              </w:rPr>
              <w:t>0</w:t>
            </w:r>
          </w:p>
        </w:tc>
        <w:tc>
          <w:tcPr>
            <w:tcW w:w="404" w:type="pct"/>
            <w:gridSpan w:val="3"/>
            <w:tcBorders>
              <w:top w:val="nil"/>
              <w:left w:val="nil"/>
              <w:bottom w:val="single" w:sz="8" w:space="0" w:color="auto"/>
              <w:right w:val="single" w:sz="8" w:space="0" w:color="auto"/>
            </w:tcBorders>
            <w:shd w:val="clear" w:color="000000" w:fill="D9D9D9"/>
            <w:vAlign w:val="center"/>
            <w:hideMark/>
          </w:tcPr>
          <w:p w14:paraId="18DD56A9" w14:textId="77777777" w:rsidR="0051718E" w:rsidRPr="00557C2A" w:rsidRDefault="0051718E">
            <w:pPr>
              <w:spacing w:before="0" w:after="0"/>
              <w:jc w:val="right"/>
              <w:rPr>
                <w:rFonts w:eastAsia="Times New Roman"/>
                <w:b/>
                <w:bCs/>
                <w:noProof/>
                <w:color w:val="000000"/>
                <w:sz w:val="20"/>
                <w:szCs w:val="20"/>
              </w:rPr>
            </w:pPr>
            <w:r w:rsidRPr="00557C2A">
              <w:rPr>
                <w:b/>
                <w:noProof/>
                <w:color w:val="000000"/>
                <w:sz w:val="20"/>
              </w:rPr>
              <w:t>0</w:t>
            </w:r>
          </w:p>
        </w:tc>
        <w:tc>
          <w:tcPr>
            <w:tcW w:w="404" w:type="pct"/>
            <w:gridSpan w:val="4"/>
            <w:tcBorders>
              <w:top w:val="nil"/>
              <w:left w:val="nil"/>
              <w:bottom w:val="single" w:sz="8" w:space="0" w:color="auto"/>
              <w:right w:val="single" w:sz="8" w:space="0" w:color="auto"/>
            </w:tcBorders>
            <w:shd w:val="clear" w:color="000000" w:fill="D9D9D9"/>
            <w:vAlign w:val="center"/>
            <w:hideMark/>
          </w:tcPr>
          <w:p w14:paraId="7E5250B5" w14:textId="77777777" w:rsidR="0051718E" w:rsidRPr="00557C2A" w:rsidRDefault="0051718E">
            <w:pPr>
              <w:spacing w:before="0" w:after="0"/>
              <w:jc w:val="right"/>
              <w:rPr>
                <w:rFonts w:eastAsia="Times New Roman"/>
                <w:b/>
                <w:bCs/>
                <w:noProof/>
                <w:color w:val="000000"/>
                <w:sz w:val="20"/>
                <w:szCs w:val="20"/>
              </w:rPr>
            </w:pPr>
            <w:r w:rsidRPr="00557C2A">
              <w:rPr>
                <w:b/>
                <w:noProof/>
                <w:color w:val="000000"/>
                <w:sz w:val="20"/>
              </w:rPr>
              <w:t>0</w:t>
            </w:r>
          </w:p>
        </w:tc>
        <w:tc>
          <w:tcPr>
            <w:tcW w:w="404" w:type="pct"/>
            <w:gridSpan w:val="3"/>
            <w:tcBorders>
              <w:top w:val="nil"/>
              <w:left w:val="nil"/>
              <w:bottom w:val="single" w:sz="8" w:space="0" w:color="auto"/>
              <w:right w:val="single" w:sz="8" w:space="0" w:color="auto"/>
            </w:tcBorders>
            <w:shd w:val="clear" w:color="000000" w:fill="D9D9D9"/>
            <w:vAlign w:val="center"/>
            <w:hideMark/>
          </w:tcPr>
          <w:p w14:paraId="36EF1C40" w14:textId="77777777" w:rsidR="0051718E" w:rsidRPr="00557C2A" w:rsidRDefault="0051718E">
            <w:pPr>
              <w:spacing w:before="0" w:after="0"/>
              <w:jc w:val="right"/>
              <w:rPr>
                <w:rFonts w:eastAsia="Times New Roman"/>
                <w:b/>
                <w:bCs/>
                <w:noProof/>
                <w:color w:val="000000"/>
                <w:sz w:val="20"/>
                <w:szCs w:val="20"/>
              </w:rPr>
            </w:pPr>
            <w:r w:rsidRPr="00557C2A">
              <w:rPr>
                <w:b/>
                <w:noProof/>
                <w:color w:val="000000"/>
                <w:sz w:val="20"/>
              </w:rPr>
              <w:t>0</w:t>
            </w:r>
          </w:p>
        </w:tc>
        <w:tc>
          <w:tcPr>
            <w:tcW w:w="404" w:type="pct"/>
            <w:gridSpan w:val="2"/>
            <w:tcBorders>
              <w:top w:val="nil"/>
              <w:left w:val="nil"/>
              <w:bottom w:val="single" w:sz="8" w:space="0" w:color="auto"/>
              <w:right w:val="single" w:sz="8" w:space="0" w:color="auto"/>
            </w:tcBorders>
            <w:shd w:val="clear" w:color="000000" w:fill="D9D9D9"/>
            <w:vAlign w:val="center"/>
            <w:hideMark/>
          </w:tcPr>
          <w:p w14:paraId="0E1B9DB1" w14:textId="77777777" w:rsidR="0051718E" w:rsidRPr="00557C2A" w:rsidRDefault="0051718E">
            <w:pPr>
              <w:spacing w:before="0" w:after="0"/>
              <w:jc w:val="right"/>
              <w:rPr>
                <w:rFonts w:eastAsia="Times New Roman"/>
                <w:b/>
                <w:bCs/>
                <w:noProof/>
                <w:color w:val="000000"/>
                <w:sz w:val="20"/>
                <w:szCs w:val="20"/>
              </w:rPr>
            </w:pPr>
            <w:r w:rsidRPr="00557C2A">
              <w:rPr>
                <w:b/>
                <w:noProof/>
                <w:color w:val="000000"/>
                <w:sz w:val="20"/>
              </w:rPr>
              <w:t>0</w:t>
            </w:r>
          </w:p>
        </w:tc>
        <w:tc>
          <w:tcPr>
            <w:tcW w:w="441" w:type="pct"/>
            <w:gridSpan w:val="2"/>
            <w:tcBorders>
              <w:top w:val="nil"/>
              <w:left w:val="nil"/>
              <w:bottom w:val="single" w:sz="8" w:space="0" w:color="auto"/>
              <w:right w:val="single" w:sz="8" w:space="0" w:color="auto"/>
            </w:tcBorders>
            <w:shd w:val="clear" w:color="000000" w:fill="D9D9D9"/>
            <w:vAlign w:val="center"/>
            <w:hideMark/>
          </w:tcPr>
          <w:p w14:paraId="547D4BFE" w14:textId="77777777" w:rsidR="0051718E" w:rsidRPr="00557C2A" w:rsidRDefault="0051718E">
            <w:pPr>
              <w:spacing w:before="0" w:after="0"/>
              <w:jc w:val="right"/>
              <w:rPr>
                <w:rFonts w:eastAsia="Times New Roman"/>
                <w:b/>
                <w:bCs/>
                <w:noProof/>
                <w:color w:val="000000"/>
                <w:sz w:val="20"/>
                <w:szCs w:val="20"/>
              </w:rPr>
            </w:pPr>
            <w:r w:rsidRPr="00557C2A">
              <w:rPr>
                <w:b/>
                <w:noProof/>
                <w:color w:val="000000"/>
                <w:sz w:val="20"/>
              </w:rPr>
              <w:t>0,350</w:t>
            </w:r>
          </w:p>
        </w:tc>
      </w:tr>
      <w:tr w:rsidR="0051718E" w:rsidRPr="00557C2A" w14:paraId="6FDA5F8F" w14:textId="77777777" w:rsidTr="00B37C03">
        <w:trPr>
          <w:trHeight w:val="552"/>
        </w:trPr>
        <w:tc>
          <w:tcPr>
            <w:tcW w:w="768" w:type="pct"/>
            <w:gridSpan w:val="2"/>
            <w:tcBorders>
              <w:top w:val="nil"/>
              <w:left w:val="single" w:sz="8" w:space="0" w:color="auto"/>
              <w:bottom w:val="single" w:sz="8" w:space="0" w:color="auto"/>
              <w:right w:val="single" w:sz="8" w:space="0" w:color="auto"/>
            </w:tcBorders>
            <w:shd w:val="thinDiagStripe" w:color="C0C0C0" w:fill="E6E6E6"/>
            <w:vAlign w:val="center"/>
            <w:hideMark/>
          </w:tcPr>
          <w:p w14:paraId="57C8C6AC" w14:textId="77777777" w:rsidR="0051718E" w:rsidRPr="00557C2A" w:rsidRDefault="0051718E">
            <w:pPr>
              <w:spacing w:before="0" w:after="0"/>
              <w:jc w:val="center"/>
              <w:rPr>
                <w:rFonts w:eastAsia="Times New Roman"/>
                <w:noProof/>
                <w:color w:val="000000"/>
                <w:sz w:val="22"/>
              </w:rPr>
            </w:pPr>
            <w:r w:rsidRPr="00557C2A">
              <w:rPr>
                <w:noProof/>
                <w:color w:val="000000"/>
                <w:sz w:val="22"/>
              </w:rPr>
              <w:t>van het meerjarig financieel kader</w:t>
            </w:r>
          </w:p>
        </w:tc>
        <w:tc>
          <w:tcPr>
            <w:tcW w:w="587" w:type="pct"/>
            <w:gridSpan w:val="3"/>
            <w:tcBorders>
              <w:top w:val="nil"/>
              <w:left w:val="nil"/>
              <w:bottom w:val="single" w:sz="8" w:space="0" w:color="auto"/>
              <w:right w:val="single" w:sz="8" w:space="0" w:color="auto"/>
            </w:tcBorders>
            <w:vAlign w:val="center"/>
            <w:hideMark/>
          </w:tcPr>
          <w:p w14:paraId="4C7A8A6D" w14:textId="77777777" w:rsidR="0051718E" w:rsidRPr="00557C2A" w:rsidRDefault="0051718E">
            <w:pPr>
              <w:spacing w:before="0" w:after="0"/>
              <w:rPr>
                <w:rFonts w:eastAsia="Times New Roman"/>
                <w:noProof/>
                <w:color w:val="000000"/>
                <w:sz w:val="18"/>
                <w:szCs w:val="18"/>
              </w:rPr>
            </w:pPr>
            <w:r w:rsidRPr="00557C2A">
              <w:rPr>
                <w:noProof/>
                <w:color w:val="000000"/>
                <w:sz w:val="18"/>
              </w:rPr>
              <w:t>Betalingen</w:t>
            </w:r>
          </w:p>
        </w:tc>
        <w:tc>
          <w:tcPr>
            <w:tcW w:w="376" w:type="pct"/>
            <w:gridSpan w:val="3"/>
            <w:tcBorders>
              <w:top w:val="nil"/>
              <w:left w:val="nil"/>
              <w:bottom w:val="single" w:sz="8" w:space="0" w:color="auto"/>
              <w:right w:val="single" w:sz="8" w:space="0" w:color="auto"/>
            </w:tcBorders>
            <w:vAlign w:val="center"/>
            <w:hideMark/>
          </w:tcPr>
          <w:p w14:paraId="141D5E8D" w14:textId="77777777" w:rsidR="0051718E" w:rsidRPr="00557C2A" w:rsidRDefault="0051718E">
            <w:pPr>
              <w:spacing w:before="0" w:after="0"/>
              <w:jc w:val="center"/>
              <w:rPr>
                <w:rFonts w:eastAsia="Times New Roman"/>
                <w:noProof/>
                <w:color w:val="000000"/>
                <w:sz w:val="14"/>
                <w:szCs w:val="14"/>
              </w:rPr>
            </w:pPr>
            <w:r w:rsidRPr="00557C2A">
              <w:rPr>
                <w:noProof/>
                <w:color w:val="000000"/>
                <w:sz w:val="14"/>
              </w:rPr>
              <w:t>=5+6</w:t>
            </w:r>
          </w:p>
        </w:tc>
        <w:tc>
          <w:tcPr>
            <w:tcW w:w="404" w:type="pct"/>
            <w:gridSpan w:val="3"/>
            <w:tcBorders>
              <w:top w:val="nil"/>
              <w:left w:val="nil"/>
              <w:bottom w:val="single" w:sz="8" w:space="0" w:color="auto"/>
              <w:right w:val="single" w:sz="8" w:space="0" w:color="auto"/>
            </w:tcBorders>
            <w:shd w:val="clear" w:color="000000" w:fill="D9D9D9"/>
            <w:vAlign w:val="center"/>
            <w:hideMark/>
          </w:tcPr>
          <w:p w14:paraId="45C110BA" w14:textId="77777777" w:rsidR="0051718E" w:rsidRPr="00557C2A" w:rsidRDefault="0051718E">
            <w:pPr>
              <w:spacing w:before="0" w:after="0"/>
              <w:jc w:val="right"/>
              <w:rPr>
                <w:rFonts w:eastAsia="Times New Roman"/>
                <w:b/>
                <w:bCs/>
                <w:noProof/>
                <w:color w:val="000000"/>
                <w:sz w:val="20"/>
                <w:szCs w:val="20"/>
              </w:rPr>
            </w:pPr>
            <w:r w:rsidRPr="00557C2A">
              <w:rPr>
                <w:b/>
                <w:noProof/>
                <w:color w:val="000000"/>
                <w:sz w:val="20"/>
              </w:rPr>
              <w:t>0</w:t>
            </w:r>
          </w:p>
        </w:tc>
        <w:tc>
          <w:tcPr>
            <w:tcW w:w="404" w:type="pct"/>
            <w:gridSpan w:val="3"/>
            <w:tcBorders>
              <w:top w:val="nil"/>
              <w:left w:val="nil"/>
              <w:bottom w:val="single" w:sz="8" w:space="0" w:color="auto"/>
              <w:right w:val="single" w:sz="8" w:space="0" w:color="auto"/>
            </w:tcBorders>
            <w:shd w:val="clear" w:color="000000" w:fill="D9D9D9"/>
            <w:vAlign w:val="center"/>
            <w:hideMark/>
          </w:tcPr>
          <w:p w14:paraId="1AAB90AE" w14:textId="77777777" w:rsidR="0051718E" w:rsidRPr="00557C2A" w:rsidRDefault="0051718E">
            <w:pPr>
              <w:spacing w:before="0" w:after="0"/>
              <w:jc w:val="center"/>
              <w:rPr>
                <w:rFonts w:eastAsia="Times New Roman"/>
                <w:b/>
                <w:bCs/>
                <w:noProof/>
                <w:color w:val="000000"/>
                <w:sz w:val="20"/>
                <w:szCs w:val="20"/>
              </w:rPr>
            </w:pPr>
            <w:r w:rsidRPr="00557C2A">
              <w:rPr>
                <w:b/>
                <w:noProof/>
                <w:color w:val="000000"/>
                <w:sz w:val="20"/>
              </w:rPr>
              <w:t>0,140</w:t>
            </w:r>
          </w:p>
        </w:tc>
        <w:tc>
          <w:tcPr>
            <w:tcW w:w="404" w:type="pct"/>
            <w:gridSpan w:val="4"/>
            <w:tcBorders>
              <w:top w:val="nil"/>
              <w:left w:val="nil"/>
              <w:bottom w:val="single" w:sz="8" w:space="0" w:color="auto"/>
              <w:right w:val="single" w:sz="8" w:space="0" w:color="auto"/>
            </w:tcBorders>
            <w:shd w:val="clear" w:color="000000" w:fill="D9D9D9"/>
            <w:vAlign w:val="center"/>
            <w:hideMark/>
          </w:tcPr>
          <w:p w14:paraId="42DA2646" w14:textId="77777777" w:rsidR="0051718E" w:rsidRPr="00557C2A" w:rsidRDefault="0051718E">
            <w:pPr>
              <w:spacing w:before="0" w:after="0"/>
              <w:jc w:val="center"/>
              <w:rPr>
                <w:rFonts w:eastAsia="Times New Roman"/>
                <w:b/>
                <w:bCs/>
                <w:noProof/>
                <w:color w:val="000000"/>
                <w:sz w:val="20"/>
                <w:szCs w:val="20"/>
                <w:lang w:eastAsia="en-IE"/>
              </w:rPr>
            </w:pPr>
          </w:p>
        </w:tc>
        <w:tc>
          <w:tcPr>
            <w:tcW w:w="404" w:type="pct"/>
            <w:gridSpan w:val="3"/>
            <w:tcBorders>
              <w:top w:val="nil"/>
              <w:left w:val="nil"/>
              <w:bottom w:val="single" w:sz="8" w:space="0" w:color="auto"/>
              <w:right w:val="single" w:sz="8" w:space="0" w:color="auto"/>
            </w:tcBorders>
            <w:shd w:val="clear" w:color="000000" w:fill="D9D9D9"/>
            <w:vAlign w:val="center"/>
            <w:hideMark/>
          </w:tcPr>
          <w:p w14:paraId="45FB14B6" w14:textId="77777777" w:rsidR="0051718E" w:rsidRPr="00557C2A" w:rsidRDefault="0051718E">
            <w:pPr>
              <w:spacing w:before="0" w:after="0"/>
              <w:jc w:val="center"/>
              <w:rPr>
                <w:rFonts w:eastAsia="Times New Roman"/>
                <w:b/>
                <w:bCs/>
                <w:noProof/>
                <w:color w:val="000000"/>
                <w:sz w:val="20"/>
                <w:szCs w:val="20"/>
              </w:rPr>
            </w:pPr>
            <w:r w:rsidRPr="00557C2A">
              <w:rPr>
                <w:b/>
                <w:noProof/>
                <w:color w:val="000000"/>
                <w:sz w:val="20"/>
              </w:rPr>
              <w:t>0,140</w:t>
            </w:r>
          </w:p>
        </w:tc>
        <w:tc>
          <w:tcPr>
            <w:tcW w:w="404" w:type="pct"/>
            <w:gridSpan w:val="4"/>
            <w:tcBorders>
              <w:top w:val="nil"/>
              <w:left w:val="nil"/>
              <w:bottom w:val="single" w:sz="8" w:space="0" w:color="auto"/>
              <w:right w:val="single" w:sz="8" w:space="0" w:color="auto"/>
            </w:tcBorders>
            <w:shd w:val="clear" w:color="000000" w:fill="D9D9D9"/>
            <w:vAlign w:val="center"/>
            <w:hideMark/>
          </w:tcPr>
          <w:p w14:paraId="4C565652" w14:textId="77777777" w:rsidR="0051718E" w:rsidRPr="00557C2A" w:rsidRDefault="0051718E">
            <w:pPr>
              <w:spacing w:before="0" w:after="0"/>
              <w:jc w:val="center"/>
              <w:rPr>
                <w:rFonts w:eastAsia="Times New Roman"/>
                <w:b/>
                <w:bCs/>
                <w:noProof/>
                <w:color w:val="000000"/>
                <w:sz w:val="20"/>
                <w:szCs w:val="20"/>
              </w:rPr>
            </w:pPr>
            <w:r w:rsidRPr="00557C2A">
              <w:rPr>
                <w:b/>
                <w:noProof/>
                <w:color w:val="000000"/>
                <w:sz w:val="20"/>
              </w:rPr>
              <w:t>0,070</w:t>
            </w:r>
          </w:p>
        </w:tc>
        <w:tc>
          <w:tcPr>
            <w:tcW w:w="404" w:type="pct"/>
            <w:gridSpan w:val="3"/>
            <w:tcBorders>
              <w:top w:val="nil"/>
              <w:left w:val="nil"/>
              <w:bottom w:val="single" w:sz="8" w:space="0" w:color="auto"/>
              <w:right w:val="single" w:sz="8" w:space="0" w:color="auto"/>
            </w:tcBorders>
            <w:shd w:val="clear" w:color="000000" w:fill="D9D9D9"/>
            <w:vAlign w:val="center"/>
            <w:hideMark/>
          </w:tcPr>
          <w:p w14:paraId="273A5737" w14:textId="77777777" w:rsidR="0051718E" w:rsidRPr="00557C2A" w:rsidRDefault="0051718E">
            <w:pPr>
              <w:spacing w:before="0" w:after="0"/>
              <w:jc w:val="center"/>
              <w:rPr>
                <w:rFonts w:eastAsia="Times New Roman"/>
                <w:b/>
                <w:bCs/>
                <w:noProof/>
                <w:color w:val="000000"/>
                <w:sz w:val="20"/>
                <w:szCs w:val="20"/>
              </w:rPr>
            </w:pPr>
            <w:r w:rsidRPr="00557C2A">
              <w:rPr>
                <w:b/>
                <w:noProof/>
                <w:color w:val="000000"/>
                <w:sz w:val="20"/>
              </w:rPr>
              <w:t>0</w:t>
            </w:r>
          </w:p>
        </w:tc>
        <w:tc>
          <w:tcPr>
            <w:tcW w:w="404" w:type="pct"/>
            <w:gridSpan w:val="2"/>
            <w:tcBorders>
              <w:top w:val="nil"/>
              <w:left w:val="nil"/>
              <w:bottom w:val="single" w:sz="8" w:space="0" w:color="auto"/>
              <w:right w:val="single" w:sz="8" w:space="0" w:color="auto"/>
            </w:tcBorders>
            <w:shd w:val="clear" w:color="000000" w:fill="D9D9D9"/>
            <w:vAlign w:val="center"/>
            <w:hideMark/>
          </w:tcPr>
          <w:p w14:paraId="0430A124" w14:textId="77777777" w:rsidR="0051718E" w:rsidRPr="00557C2A" w:rsidRDefault="0051718E">
            <w:pPr>
              <w:spacing w:before="0" w:after="0"/>
              <w:jc w:val="center"/>
              <w:rPr>
                <w:rFonts w:eastAsia="Times New Roman"/>
                <w:b/>
                <w:bCs/>
                <w:noProof/>
                <w:color w:val="000000"/>
                <w:sz w:val="20"/>
                <w:szCs w:val="20"/>
              </w:rPr>
            </w:pPr>
            <w:r w:rsidRPr="00557C2A">
              <w:rPr>
                <w:b/>
                <w:noProof/>
                <w:color w:val="000000"/>
                <w:sz w:val="20"/>
              </w:rPr>
              <w:t>0</w:t>
            </w:r>
          </w:p>
        </w:tc>
        <w:tc>
          <w:tcPr>
            <w:tcW w:w="441" w:type="pct"/>
            <w:gridSpan w:val="2"/>
            <w:tcBorders>
              <w:top w:val="nil"/>
              <w:left w:val="nil"/>
              <w:bottom w:val="single" w:sz="8" w:space="0" w:color="auto"/>
              <w:right w:val="single" w:sz="8" w:space="0" w:color="auto"/>
            </w:tcBorders>
            <w:shd w:val="clear" w:color="000000" w:fill="D9D9D9"/>
            <w:vAlign w:val="center"/>
            <w:hideMark/>
          </w:tcPr>
          <w:p w14:paraId="58A2927B" w14:textId="77777777" w:rsidR="0051718E" w:rsidRPr="00557C2A" w:rsidRDefault="0051718E">
            <w:pPr>
              <w:spacing w:before="0" w:after="0"/>
              <w:jc w:val="center"/>
              <w:rPr>
                <w:rFonts w:eastAsia="Times New Roman"/>
                <w:b/>
                <w:bCs/>
                <w:noProof/>
                <w:color w:val="000000"/>
                <w:sz w:val="20"/>
                <w:szCs w:val="20"/>
              </w:rPr>
            </w:pPr>
            <w:r w:rsidRPr="00557C2A">
              <w:rPr>
                <w:b/>
                <w:noProof/>
                <w:color w:val="000000"/>
                <w:sz w:val="20"/>
              </w:rPr>
              <w:t>0,350</w:t>
            </w:r>
          </w:p>
        </w:tc>
      </w:tr>
      <w:tr w:rsidR="0051718E" w:rsidRPr="00557C2A" w14:paraId="3CA4B4FE" w14:textId="77777777" w:rsidTr="00B37C03">
        <w:trPr>
          <w:trHeight w:val="410"/>
        </w:trPr>
        <w:tc>
          <w:tcPr>
            <w:tcW w:w="704" w:type="pct"/>
            <w:tcBorders>
              <w:top w:val="nil"/>
              <w:left w:val="nil"/>
              <w:bottom w:val="nil"/>
              <w:right w:val="nil"/>
            </w:tcBorders>
            <w:noWrap/>
            <w:vAlign w:val="bottom"/>
            <w:hideMark/>
          </w:tcPr>
          <w:p w14:paraId="7B023F0F" w14:textId="77777777" w:rsidR="0051718E" w:rsidRPr="00557C2A" w:rsidRDefault="0051718E">
            <w:pPr>
              <w:spacing w:before="0" w:after="0"/>
              <w:jc w:val="left"/>
              <w:rPr>
                <w:rFonts w:eastAsia="Times New Roman"/>
                <w:noProof/>
                <w:sz w:val="20"/>
                <w:szCs w:val="24"/>
                <w:lang w:eastAsia="en-IE"/>
              </w:rPr>
            </w:pPr>
          </w:p>
        </w:tc>
        <w:tc>
          <w:tcPr>
            <w:tcW w:w="537" w:type="pct"/>
            <w:gridSpan w:val="3"/>
            <w:tcBorders>
              <w:top w:val="nil"/>
              <w:left w:val="nil"/>
              <w:bottom w:val="nil"/>
              <w:right w:val="nil"/>
            </w:tcBorders>
            <w:noWrap/>
            <w:vAlign w:val="bottom"/>
            <w:hideMark/>
          </w:tcPr>
          <w:p w14:paraId="203A0B80" w14:textId="77777777" w:rsidR="0051718E" w:rsidRPr="00557C2A" w:rsidRDefault="0051718E">
            <w:pPr>
              <w:spacing w:before="0" w:after="0"/>
              <w:jc w:val="left"/>
              <w:rPr>
                <w:rFonts w:eastAsia="Times New Roman"/>
                <w:noProof/>
                <w:sz w:val="20"/>
                <w:szCs w:val="20"/>
                <w:lang w:eastAsia="en-IE"/>
              </w:rPr>
            </w:pPr>
          </w:p>
        </w:tc>
        <w:tc>
          <w:tcPr>
            <w:tcW w:w="417" w:type="pct"/>
            <w:gridSpan w:val="2"/>
            <w:tcBorders>
              <w:top w:val="nil"/>
              <w:left w:val="nil"/>
              <w:bottom w:val="nil"/>
              <w:right w:val="nil"/>
            </w:tcBorders>
            <w:noWrap/>
            <w:vAlign w:val="bottom"/>
            <w:hideMark/>
          </w:tcPr>
          <w:p w14:paraId="6DD7FA73" w14:textId="77777777" w:rsidR="0051718E" w:rsidRPr="00557C2A" w:rsidRDefault="0051718E">
            <w:pPr>
              <w:spacing w:before="0" w:after="0"/>
              <w:jc w:val="left"/>
              <w:rPr>
                <w:rFonts w:eastAsia="Times New Roman"/>
                <w:noProof/>
                <w:sz w:val="20"/>
                <w:szCs w:val="20"/>
                <w:lang w:eastAsia="en-IE"/>
              </w:rPr>
            </w:pPr>
          </w:p>
        </w:tc>
        <w:tc>
          <w:tcPr>
            <w:tcW w:w="417" w:type="pct"/>
            <w:gridSpan w:val="4"/>
            <w:tcBorders>
              <w:top w:val="nil"/>
              <w:left w:val="nil"/>
              <w:bottom w:val="nil"/>
              <w:right w:val="single" w:sz="8" w:space="0" w:color="auto"/>
            </w:tcBorders>
            <w:noWrap/>
            <w:vAlign w:val="bottom"/>
            <w:hideMark/>
          </w:tcPr>
          <w:p w14:paraId="11AFFC86" w14:textId="77777777" w:rsidR="0051718E" w:rsidRPr="00557C2A" w:rsidRDefault="0051718E">
            <w:pPr>
              <w:spacing w:before="0" w:after="0"/>
              <w:jc w:val="left"/>
              <w:rPr>
                <w:rFonts w:ascii="Calibri" w:eastAsia="Times New Roman" w:hAnsi="Calibri" w:cs="Calibri"/>
                <w:noProof/>
                <w:color w:val="000000"/>
                <w:sz w:val="22"/>
              </w:rPr>
            </w:pPr>
            <w:r w:rsidRPr="00557C2A">
              <w:rPr>
                <w:rFonts w:ascii="Calibri" w:hAnsi="Calibri"/>
                <w:noProof/>
                <w:color w:val="000000"/>
                <w:sz w:val="22"/>
              </w:rPr>
              <w:t xml:space="preserve"> </w:t>
            </w:r>
          </w:p>
        </w:tc>
        <w:tc>
          <w:tcPr>
            <w:tcW w:w="360" w:type="pct"/>
            <w:gridSpan w:val="3"/>
            <w:tcBorders>
              <w:top w:val="single" w:sz="8" w:space="0" w:color="auto"/>
              <w:left w:val="nil"/>
              <w:bottom w:val="nil"/>
              <w:right w:val="single" w:sz="8" w:space="0" w:color="auto"/>
            </w:tcBorders>
            <w:vAlign w:val="center"/>
            <w:hideMark/>
          </w:tcPr>
          <w:p w14:paraId="27776624" w14:textId="77777777" w:rsidR="0051718E" w:rsidRPr="00557C2A" w:rsidRDefault="0051718E">
            <w:pPr>
              <w:spacing w:before="0" w:after="0"/>
              <w:jc w:val="center"/>
              <w:rPr>
                <w:rFonts w:eastAsia="Times New Roman"/>
                <w:noProof/>
                <w:color w:val="000000"/>
                <w:sz w:val="20"/>
                <w:szCs w:val="20"/>
              </w:rPr>
            </w:pPr>
            <w:r w:rsidRPr="00557C2A">
              <w:rPr>
                <w:noProof/>
                <w:color w:val="000000"/>
                <w:sz w:val="20"/>
              </w:rPr>
              <w:t>Jaar</w:t>
            </w:r>
          </w:p>
        </w:tc>
        <w:tc>
          <w:tcPr>
            <w:tcW w:w="360" w:type="pct"/>
            <w:gridSpan w:val="3"/>
            <w:tcBorders>
              <w:top w:val="single" w:sz="8" w:space="0" w:color="auto"/>
              <w:left w:val="nil"/>
              <w:bottom w:val="nil"/>
              <w:right w:val="single" w:sz="8" w:space="0" w:color="auto"/>
            </w:tcBorders>
            <w:vAlign w:val="center"/>
            <w:hideMark/>
          </w:tcPr>
          <w:p w14:paraId="2A96352B" w14:textId="77777777" w:rsidR="0051718E" w:rsidRPr="00557C2A" w:rsidRDefault="0051718E">
            <w:pPr>
              <w:spacing w:before="0" w:after="0"/>
              <w:jc w:val="center"/>
              <w:rPr>
                <w:rFonts w:eastAsia="Times New Roman"/>
                <w:noProof/>
                <w:color w:val="000000"/>
                <w:sz w:val="20"/>
                <w:szCs w:val="20"/>
              </w:rPr>
            </w:pPr>
            <w:r w:rsidRPr="00557C2A">
              <w:rPr>
                <w:noProof/>
                <w:color w:val="000000"/>
                <w:sz w:val="20"/>
              </w:rPr>
              <w:t>Jaar</w:t>
            </w:r>
          </w:p>
        </w:tc>
        <w:tc>
          <w:tcPr>
            <w:tcW w:w="361" w:type="pct"/>
            <w:gridSpan w:val="4"/>
            <w:tcBorders>
              <w:top w:val="single" w:sz="8" w:space="0" w:color="auto"/>
              <w:left w:val="nil"/>
              <w:bottom w:val="nil"/>
              <w:right w:val="single" w:sz="8" w:space="0" w:color="auto"/>
            </w:tcBorders>
            <w:vAlign w:val="center"/>
            <w:hideMark/>
          </w:tcPr>
          <w:p w14:paraId="5F826E0A" w14:textId="77777777" w:rsidR="0051718E" w:rsidRPr="00557C2A" w:rsidRDefault="0051718E">
            <w:pPr>
              <w:spacing w:before="0" w:after="0"/>
              <w:jc w:val="center"/>
              <w:rPr>
                <w:rFonts w:eastAsia="Times New Roman"/>
                <w:noProof/>
                <w:color w:val="000000"/>
                <w:sz w:val="20"/>
                <w:szCs w:val="20"/>
              </w:rPr>
            </w:pPr>
            <w:r w:rsidRPr="00557C2A">
              <w:rPr>
                <w:noProof/>
                <w:color w:val="000000"/>
                <w:sz w:val="20"/>
              </w:rPr>
              <w:t>Jaar</w:t>
            </w:r>
          </w:p>
        </w:tc>
        <w:tc>
          <w:tcPr>
            <w:tcW w:w="361" w:type="pct"/>
            <w:gridSpan w:val="3"/>
            <w:tcBorders>
              <w:top w:val="single" w:sz="8" w:space="0" w:color="auto"/>
              <w:left w:val="nil"/>
              <w:bottom w:val="nil"/>
              <w:right w:val="single" w:sz="8" w:space="0" w:color="auto"/>
            </w:tcBorders>
            <w:vAlign w:val="center"/>
            <w:hideMark/>
          </w:tcPr>
          <w:p w14:paraId="29C4510C" w14:textId="77777777" w:rsidR="0051718E" w:rsidRPr="00557C2A" w:rsidRDefault="0051718E">
            <w:pPr>
              <w:spacing w:before="0" w:after="0"/>
              <w:jc w:val="center"/>
              <w:rPr>
                <w:rFonts w:eastAsia="Times New Roman"/>
                <w:noProof/>
                <w:color w:val="000000"/>
                <w:sz w:val="20"/>
                <w:szCs w:val="20"/>
              </w:rPr>
            </w:pPr>
            <w:r w:rsidRPr="00557C2A">
              <w:rPr>
                <w:noProof/>
                <w:color w:val="000000"/>
                <w:sz w:val="20"/>
              </w:rPr>
              <w:t>Jaar</w:t>
            </w:r>
          </w:p>
        </w:tc>
        <w:tc>
          <w:tcPr>
            <w:tcW w:w="361" w:type="pct"/>
            <w:gridSpan w:val="3"/>
            <w:tcBorders>
              <w:top w:val="single" w:sz="8" w:space="0" w:color="auto"/>
              <w:left w:val="nil"/>
              <w:bottom w:val="nil"/>
              <w:right w:val="single" w:sz="8" w:space="0" w:color="auto"/>
            </w:tcBorders>
            <w:vAlign w:val="center"/>
            <w:hideMark/>
          </w:tcPr>
          <w:p w14:paraId="6B6603E9" w14:textId="77777777" w:rsidR="0051718E" w:rsidRPr="00557C2A" w:rsidRDefault="0051718E">
            <w:pPr>
              <w:spacing w:before="0" w:after="0"/>
              <w:jc w:val="center"/>
              <w:rPr>
                <w:rFonts w:eastAsia="Times New Roman"/>
                <w:noProof/>
                <w:color w:val="000000"/>
                <w:sz w:val="20"/>
                <w:szCs w:val="20"/>
              </w:rPr>
            </w:pPr>
            <w:r w:rsidRPr="00557C2A">
              <w:rPr>
                <w:noProof/>
                <w:color w:val="000000"/>
                <w:sz w:val="20"/>
              </w:rPr>
              <w:t>Jaar</w:t>
            </w:r>
          </w:p>
        </w:tc>
        <w:tc>
          <w:tcPr>
            <w:tcW w:w="361" w:type="pct"/>
            <w:gridSpan w:val="3"/>
            <w:tcBorders>
              <w:top w:val="single" w:sz="8" w:space="0" w:color="auto"/>
              <w:left w:val="nil"/>
              <w:bottom w:val="nil"/>
              <w:right w:val="single" w:sz="8" w:space="0" w:color="auto"/>
            </w:tcBorders>
            <w:vAlign w:val="center"/>
            <w:hideMark/>
          </w:tcPr>
          <w:p w14:paraId="43B0F795" w14:textId="77777777" w:rsidR="0051718E" w:rsidRPr="00557C2A" w:rsidRDefault="0051718E">
            <w:pPr>
              <w:spacing w:before="0" w:after="0"/>
              <w:jc w:val="center"/>
              <w:rPr>
                <w:rFonts w:eastAsia="Times New Roman"/>
                <w:noProof/>
                <w:color w:val="000000"/>
                <w:sz w:val="20"/>
                <w:szCs w:val="20"/>
              </w:rPr>
            </w:pPr>
            <w:r w:rsidRPr="00557C2A">
              <w:rPr>
                <w:noProof/>
                <w:color w:val="000000"/>
                <w:sz w:val="20"/>
              </w:rPr>
              <w:t>Jaar</w:t>
            </w:r>
          </w:p>
        </w:tc>
        <w:tc>
          <w:tcPr>
            <w:tcW w:w="361" w:type="pct"/>
            <w:gridSpan w:val="2"/>
            <w:tcBorders>
              <w:top w:val="single" w:sz="8" w:space="0" w:color="auto"/>
              <w:left w:val="nil"/>
              <w:bottom w:val="nil"/>
              <w:right w:val="single" w:sz="8" w:space="0" w:color="auto"/>
            </w:tcBorders>
            <w:vAlign w:val="center"/>
            <w:hideMark/>
          </w:tcPr>
          <w:p w14:paraId="7716E55E" w14:textId="77777777" w:rsidR="0051718E" w:rsidRPr="00557C2A" w:rsidRDefault="0051718E">
            <w:pPr>
              <w:spacing w:before="0" w:after="0"/>
              <w:jc w:val="center"/>
              <w:rPr>
                <w:rFonts w:eastAsia="Times New Roman"/>
                <w:noProof/>
                <w:color w:val="000000"/>
                <w:sz w:val="20"/>
                <w:szCs w:val="20"/>
              </w:rPr>
            </w:pPr>
            <w:r w:rsidRPr="00557C2A">
              <w:rPr>
                <w:noProof/>
                <w:color w:val="000000"/>
                <w:sz w:val="20"/>
              </w:rPr>
              <w:t>Jaar</w:t>
            </w:r>
          </w:p>
        </w:tc>
        <w:tc>
          <w:tcPr>
            <w:tcW w:w="400" w:type="pct"/>
            <w:vMerge w:val="restart"/>
            <w:tcBorders>
              <w:top w:val="single" w:sz="8" w:space="0" w:color="auto"/>
              <w:left w:val="single" w:sz="8" w:space="0" w:color="auto"/>
              <w:bottom w:val="single" w:sz="8" w:space="0" w:color="000000"/>
              <w:right w:val="single" w:sz="8" w:space="0" w:color="auto"/>
            </w:tcBorders>
            <w:vAlign w:val="center"/>
            <w:hideMark/>
          </w:tcPr>
          <w:p w14:paraId="446A49F9" w14:textId="77777777" w:rsidR="0051718E" w:rsidRPr="00557C2A" w:rsidRDefault="0051718E">
            <w:pPr>
              <w:spacing w:before="0" w:after="0"/>
              <w:jc w:val="center"/>
              <w:rPr>
                <w:rFonts w:eastAsia="Times New Roman"/>
                <w:b/>
                <w:bCs/>
                <w:noProof/>
                <w:color w:val="000000"/>
                <w:sz w:val="20"/>
                <w:szCs w:val="20"/>
              </w:rPr>
            </w:pPr>
            <w:r w:rsidRPr="00557C2A">
              <w:rPr>
                <w:b/>
                <w:noProof/>
                <w:color w:val="000000"/>
                <w:sz w:val="20"/>
              </w:rPr>
              <w:t>TOTAAL MFK 2028-2034</w:t>
            </w:r>
          </w:p>
        </w:tc>
      </w:tr>
      <w:tr w:rsidR="0051718E" w:rsidRPr="00557C2A" w14:paraId="5345B726" w14:textId="77777777" w:rsidTr="00B37C03">
        <w:trPr>
          <w:trHeight w:val="300"/>
        </w:trPr>
        <w:tc>
          <w:tcPr>
            <w:tcW w:w="704" w:type="pct"/>
            <w:tcBorders>
              <w:top w:val="nil"/>
              <w:left w:val="nil"/>
              <w:bottom w:val="nil"/>
              <w:right w:val="nil"/>
            </w:tcBorders>
            <w:noWrap/>
            <w:vAlign w:val="bottom"/>
            <w:hideMark/>
          </w:tcPr>
          <w:p w14:paraId="15C03E75" w14:textId="77777777" w:rsidR="0051718E" w:rsidRPr="00557C2A" w:rsidRDefault="0051718E">
            <w:pPr>
              <w:spacing w:before="0" w:after="0"/>
              <w:jc w:val="center"/>
              <w:rPr>
                <w:rFonts w:eastAsia="Times New Roman"/>
                <w:b/>
                <w:bCs/>
                <w:noProof/>
                <w:color w:val="000000"/>
                <w:sz w:val="20"/>
                <w:szCs w:val="20"/>
                <w:lang w:eastAsia="en-IE"/>
              </w:rPr>
            </w:pPr>
          </w:p>
        </w:tc>
        <w:tc>
          <w:tcPr>
            <w:tcW w:w="537" w:type="pct"/>
            <w:gridSpan w:val="3"/>
            <w:tcBorders>
              <w:top w:val="nil"/>
              <w:left w:val="nil"/>
              <w:bottom w:val="nil"/>
              <w:right w:val="nil"/>
            </w:tcBorders>
            <w:noWrap/>
            <w:vAlign w:val="bottom"/>
            <w:hideMark/>
          </w:tcPr>
          <w:p w14:paraId="0B28BB3D" w14:textId="77777777" w:rsidR="0051718E" w:rsidRPr="00557C2A" w:rsidRDefault="0051718E">
            <w:pPr>
              <w:spacing w:before="0" w:after="0"/>
              <w:jc w:val="left"/>
              <w:rPr>
                <w:rFonts w:eastAsia="Times New Roman"/>
                <w:noProof/>
                <w:sz w:val="20"/>
                <w:szCs w:val="20"/>
                <w:lang w:eastAsia="en-IE"/>
              </w:rPr>
            </w:pPr>
          </w:p>
        </w:tc>
        <w:tc>
          <w:tcPr>
            <w:tcW w:w="417" w:type="pct"/>
            <w:gridSpan w:val="2"/>
            <w:tcBorders>
              <w:top w:val="nil"/>
              <w:left w:val="nil"/>
              <w:bottom w:val="nil"/>
              <w:right w:val="nil"/>
            </w:tcBorders>
            <w:noWrap/>
            <w:vAlign w:val="bottom"/>
            <w:hideMark/>
          </w:tcPr>
          <w:p w14:paraId="34A3D77F" w14:textId="77777777" w:rsidR="0051718E" w:rsidRPr="00557C2A" w:rsidRDefault="0051718E">
            <w:pPr>
              <w:spacing w:before="0" w:after="0"/>
              <w:jc w:val="left"/>
              <w:rPr>
                <w:rFonts w:eastAsia="Times New Roman"/>
                <w:noProof/>
                <w:sz w:val="20"/>
                <w:szCs w:val="20"/>
                <w:lang w:eastAsia="en-IE"/>
              </w:rPr>
            </w:pPr>
          </w:p>
        </w:tc>
        <w:tc>
          <w:tcPr>
            <w:tcW w:w="417" w:type="pct"/>
            <w:gridSpan w:val="4"/>
            <w:tcBorders>
              <w:top w:val="nil"/>
              <w:left w:val="nil"/>
              <w:bottom w:val="nil"/>
              <w:right w:val="single" w:sz="8" w:space="0" w:color="auto"/>
            </w:tcBorders>
            <w:noWrap/>
            <w:vAlign w:val="bottom"/>
            <w:hideMark/>
          </w:tcPr>
          <w:p w14:paraId="0C8EEFCB" w14:textId="77777777" w:rsidR="0051718E" w:rsidRPr="00557C2A" w:rsidRDefault="0051718E">
            <w:pPr>
              <w:spacing w:before="0" w:after="0"/>
              <w:jc w:val="left"/>
              <w:rPr>
                <w:rFonts w:ascii="Calibri" w:eastAsia="Times New Roman" w:hAnsi="Calibri" w:cs="Calibri"/>
                <w:noProof/>
                <w:color w:val="000000"/>
                <w:sz w:val="22"/>
              </w:rPr>
            </w:pPr>
            <w:r w:rsidRPr="00557C2A">
              <w:rPr>
                <w:rFonts w:ascii="Calibri" w:hAnsi="Calibri"/>
                <w:noProof/>
                <w:color w:val="000000"/>
                <w:sz w:val="22"/>
              </w:rPr>
              <w:t xml:space="preserve"> </w:t>
            </w:r>
          </w:p>
        </w:tc>
        <w:tc>
          <w:tcPr>
            <w:tcW w:w="360" w:type="pct"/>
            <w:gridSpan w:val="3"/>
            <w:tcBorders>
              <w:top w:val="nil"/>
              <w:left w:val="nil"/>
              <w:bottom w:val="single" w:sz="8" w:space="0" w:color="auto"/>
              <w:right w:val="single" w:sz="8" w:space="0" w:color="auto"/>
            </w:tcBorders>
            <w:vAlign w:val="center"/>
            <w:hideMark/>
          </w:tcPr>
          <w:p w14:paraId="6291EB40" w14:textId="77777777" w:rsidR="0051718E" w:rsidRPr="00557C2A" w:rsidRDefault="0051718E">
            <w:pPr>
              <w:spacing w:before="0" w:after="0"/>
              <w:jc w:val="center"/>
              <w:rPr>
                <w:rFonts w:eastAsia="Times New Roman"/>
                <w:b/>
                <w:bCs/>
                <w:noProof/>
                <w:color w:val="000000"/>
                <w:sz w:val="20"/>
                <w:szCs w:val="20"/>
              </w:rPr>
            </w:pPr>
            <w:r w:rsidRPr="00557C2A">
              <w:rPr>
                <w:b/>
                <w:noProof/>
                <w:color w:val="000000"/>
                <w:sz w:val="20"/>
              </w:rPr>
              <w:t>2028</w:t>
            </w:r>
          </w:p>
        </w:tc>
        <w:tc>
          <w:tcPr>
            <w:tcW w:w="360" w:type="pct"/>
            <w:gridSpan w:val="3"/>
            <w:tcBorders>
              <w:top w:val="nil"/>
              <w:left w:val="nil"/>
              <w:bottom w:val="single" w:sz="8" w:space="0" w:color="auto"/>
              <w:right w:val="single" w:sz="8" w:space="0" w:color="auto"/>
            </w:tcBorders>
            <w:vAlign w:val="center"/>
            <w:hideMark/>
          </w:tcPr>
          <w:p w14:paraId="12FAF269" w14:textId="77777777" w:rsidR="0051718E" w:rsidRPr="00557C2A" w:rsidRDefault="0051718E">
            <w:pPr>
              <w:spacing w:before="0" w:after="0"/>
              <w:jc w:val="center"/>
              <w:rPr>
                <w:rFonts w:eastAsia="Times New Roman"/>
                <w:b/>
                <w:bCs/>
                <w:noProof/>
                <w:color w:val="000000"/>
                <w:sz w:val="20"/>
                <w:szCs w:val="20"/>
              </w:rPr>
            </w:pPr>
            <w:r w:rsidRPr="00557C2A">
              <w:rPr>
                <w:b/>
                <w:noProof/>
                <w:color w:val="000000"/>
                <w:sz w:val="20"/>
              </w:rPr>
              <w:t>2029</w:t>
            </w:r>
          </w:p>
        </w:tc>
        <w:tc>
          <w:tcPr>
            <w:tcW w:w="361" w:type="pct"/>
            <w:gridSpan w:val="4"/>
            <w:tcBorders>
              <w:top w:val="nil"/>
              <w:left w:val="nil"/>
              <w:bottom w:val="single" w:sz="8" w:space="0" w:color="auto"/>
              <w:right w:val="single" w:sz="8" w:space="0" w:color="auto"/>
            </w:tcBorders>
            <w:vAlign w:val="center"/>
            <w:hideMark/>
          </w:tcPr>
          <w:p w14:paraId="403258CC" w14:textId="77777777" w:rsidR="0051718E" w:rsidRPr="00557C2A" w:rsidRDefault="0051718E">
            <w:pPr>
              <w:spacing w:before="0" w:after="0"/>
              <w:jc w:val="center"/>
              <w:rPr>
                <w:rFonts w:eastAsia="Times New Roman"/>
                <w:b/>
                <w:bCs/>
                <w:noProof/>
                <w:color w:val="000000"/>
                <w:sz w:val="20"/>
                <w:szCs w:val="20"/>
              </w:rPr>
            </w:pPr>
            <w:r w:rsidRPr="00557C2A">
              <w:rPr>
                <w:b/>
                <w:noProof/>
                <w:color w:val="000000"/>
                <w:sz w:val="20"/>
              </w:rPr>
              <w:t>2030</w:t>
            </w:r>
          </w:p>
        </w:tc>
        <w:tc>
          <w:tcPr>
            <w:tcW w:w="361" w:type="pct"/>
            <w:gridSpan w:val="3"/>
            <w:tcBorders>
              <w:top w:val="nil"/>
              <w:left w:val="nil"/>
              <w:bottom w:val="single" w:sz="8" w:space="0" w:color="auto"/>
              <w:right w:val="single" w:sz="8" w:space="0" w:color="auto"/>
            </w:tcBorders>
            <w:vAlign w:val="center"/>
            <w:hideMark/>
          </w:tcPr>
          <w:p w14:paraId="66855BDB" w14:textId="77777777" w:rsidR="0051718E" w:rsidRPr="00557C2A" w:rsidRDefault="0051718E">
            <w:pPr>
              <w:spacing w:before="0" w:after="0"/>
              <w:jc w:val="center"/>
              <w:rPr>
                <w:rFonts w:eastAsia="Times New Roman"/>
                <w:b/>
                <w:bCs/>
                <w:noProof/>
                <w:color w:val="000000"/>
                <w:sz w:val="20"/>
                <w:szCs w:val="20"/>
              </w:rPr>
            </w:pPr>
            <w:r w:rsidRPr="00557C2A">
              <w:rPr>
                <w:b/>
                <w:noProof/>
                <w:color w:val="000000"/>
                <w:sz w:val="20"/>
              </w:rPr>
              <w:t>2031</w:t>
            </w:r>
          </w:p>
        </w:tc>
        <w:tc>
          <w:tcPr>
            <w:tcW w:w="361" w:type="pct"/>
            <w:gridSpan w:val="3"/>
            <w:tcBorders>
              <w:top w:val="nil"/>
              <w:left w:val="nil"/>
              <w:bottom w:val="single" w:sz="8" w:space="0" w:color="auto"/>
              <w:right w:val="single" w:sz="8" w:space="0" w:color="auto"/>
            </w:tcBorders>
            <w:vAlign w:val="center"/>
            <w:hideMark/>
          </w:tcPr>
          <w:p w14:paraId="2521C0EB" w14:textId="77777777" w:rsidR="0051718E" w:rsidRPr="00557C2A" w:rsidRDefault="0051718E">
            <w:pPr>
              <w:spacing w:before="0" w:after="0"/>
              <w:jc w:val="center"/>
              <w:rPr>
                <w:rFonts w:eastAsia="Times New Roman"/>
                <w:b/>
                <w:bCs/>
                <w:noProof/>
                <w:color w:val="000000"/>
                <w:sz w:val="20"/>
                <w:szCs w:val="20"/>
              </w:rPr>
            </w:pPr>
            <w:r w:rsidRPr="00557C2A">
              <w:rPr>
                <w:b/>
                <w:noProof/>
                <w:color w:val="000000"/>
                <w:sz w:val="20"/>
              </w:rPr>
              <w:t>2032</w:t>
            </w:r>
          </w:p>
        </w:tc>
        <w:tc>
          <w:tcPr>
            <w:tcW w:w="361" w:type="pct"/>
            <w:gridSpan w:val="3"/>
            <w:tcBorders>
              <w:top w:val="nil"/>
              <w:left w:val="nil"/>
              <w:bottom w:val="single" w:sz="8" w:space="0" w:color="auto"/>
              <w:right w:val="single" w:sz="8" w:space="0" w:color="auto"/>
            </w:tcBorders>
            <w:vAlign w:val="center"/>
            <w:hideMark/>
          </w:tcPr>
          <w:p w14:paraId="1AF2C17A" w14:textId="77777777" w:rsidR="0051718E" w:rsidRPr="00557C2A" w:rsidRDefault="0051718E">
            <w:pPr>
              <w:spacing w:before="0" w:after="0"/>
              <w:jc w:val="center"/>
              <w:rPr>
                <w:rFonts w:eastAsia="Times New Roman"/>
                <w:b/>
                <w:bCs/>
                <w:noProof/>
                <w:color w:val="000000"/>
                <w:sz w:val="20"/>
                <w:szCs w:val="20"/>
              </w:rPr>
            </w:pPr>
            <w:r w:rsidRPr="00557C2A">
              <w:rPr>
                <w:b/>
                <w:noProof/>
                <w:color w:val="000000"/>
                <w:sz w:val="20"/>
              </w:rPr>
              <w:t>2033</w:t>
            </w:r>
          </w:p>
        </w:tc>
        <w:tc>
          <w:tcPr>
            <w:tcW w:w="361" w:type="pct"/>
            <w:gridSpan w:val="2"/>
            <w:tcBorders>
              <w:top w:val="nil"/>
              <w:left w:val="nil"/>
              <w:bottom w:val="single" w:sz="8" w:space="0" w:color="auto"/>
              <w:right w:val="single" w:sz="8" w:space="0" w:color="auto"/>
            </w:tcBorders>
            <w:vAlign w:val="center"/>
            <w:hideMark/>
          </w:tcPr>
          <w:p w14:paraId="6DF53172" w14:textId="77777777" w:rsidR="0051718E" w:rsidRPr="00557C2A" w:rsidRDefault="0051718E">
            <w:pPr>
              <w:spacing w:before="0" w:after="0"/>
              <w:jc w:val="center"/>
              <w:rPr>
                <w:rFonts w:eastAsia="Times New Roman"/>
                <w:b/>
                <w:bCs/>
                <w:noProof/>
                <w:color w:val="000000"/>
                <w:sz w:val="20"/>
                <w:szCs w:val="20"/>
              </w:rPr>
            </w:pPr>
            <w:r w:rsidRPr="00557C2A">
              <w:rPr>
                <w:b/>
                <w:noProof/>
                <w:color w:val="000000"/>
                <w:sz w:val="20"/>
              </w:rPr>
              <w:t>2034</w:t>
            </w:r>
          </w:p>
        </w:tc>
        <w:tc>
          <w:tcPr>
            <w:tcW w:w="400" w:type="pct"/>
            <w:vMerge/>
            <w:tcBorders>
              <w:top w:val="single" w:sz="8" w:space="0" w:color="auto"/>
              <w:left w:val="single" w:sz="8" w:space="0" w:color="auto"/>
              <w:bottom w:val="single" w:sz="8" w:space="0" w:color="000000"/>
              <w:right w:val="single" w:sz="8" w:space="0" w:color="auto"/>
            </w:tcBorders>
            <w:vAlign w:val="center"/>
            <w:hideMark/>
          </w:tcPr>
          <w:p w14:paraId="7276D13B" w14:textId="77777777" w:rsidR="0051718E" w:rsidRPr="00557C2A" w:rsidRDefault="0051718E">
            <w:pPr>
              <w:spacing w:before="0" w:after="0"/>
              <w:jc w:val="left"/>
              <w:rPr>
                <w:rFonts w:eastAsia="Times New Roman"/>
                <w:b/>
                <w:bCs/>
                <w:noProof/>
                <w:color w:val="000000"/>
                <w:sz w:val="20"/>
                <w:szCs w:val="20"/>
                <w:lang w:eastAsia="en-IE"/>
              </w:rPr>
            </w:pPr>
          </w:p>
        </w:tc>
      </w:tr>
      <w:tr w:rsidR="00F303D5" w:rsidRPr="00557C2A" w14:paraId="7CEB6151" w14:textId="77777777" w:rsidTr="00B37C03">
        <w:trPr>
          <w:trHeight w:val="617"/>
        </w:trPr>
        <w:tc>
          <w:tcPr>
            <w:tcW w:w="704" w:type="pct"/>
            <w:vMerge w:val="restart"/>
            <w:tcBorders>
              <w:top w:val="single" w:sz="8" w:space="0" w:color="auto"/>
              <w:left w:val="single" w:sz="8" w:space="0" w:color="auto"/>
              <w:bottom w:val="single" w:sz="8" w:space="0" w:color="000000"/>
              <w:right w:val="single" w:sz="8" w:space="0" w:color="auto"/>
            </w:tcBorders>
            <w:vAlign w:val="center"/>
            <w:hideMark/>
          </w:tcPr>
          <w:p w14:paraId="34900A3E" w14:textId="77777777" w:rsidR="0051718E" w:rsidRPr="00557C2A" w:rsidRDefault="0051718E">
            <w:pPr>
              <w:spacing w:before="0" w:after="0"/>
              <w:rPr>
                <w:rFonts w:ascii="Calibri" w:eastAsia="Times New Roman" w:hAnsi="Calibri" w:cs="Calibri"/>
                <w:noProof/>
                <w:color w:val="000000"/>
                <w:sz w:val="21"/>
                <w:szCs w:val="21"/>
              </w:rPr>
            </w:pPr>
            <w:r w:rsidRPr="00557C2A">
              <w:rPr>
                <w:rFonts w:ascii="Calibri" w:hAnsi="Calibri"/>
                <w:noProof/>
                <w:color w:val="000000"/>
                <w:sz w:val="21"/>
              </w:rPr>
              <w:t>•</w:t>
            </w:r>
            <w:r w:rsidRPr="00557C2A">
              <w:rPr>
                <w:noProof/>
                <w:color w:val="000000"/>
                <w:sz w:val="21"/>
              </w:rPr>
              <w:t xml:space="preserve"> TOTAAL beleidskredieten (alle beleidsrubrieken)</w:t>
            </w:r>
          </w:p>
        </w:tc>
        <w:tc>
          <w:tcPr>
            <w:tcW w:w="537" w:type="pct"/>
            <w:gridSpan w:val="3"/>
            <w:tcBorders>
              <w:top w:val="single" w:sz="8" w:space="0" w:color="auto"/>
              <w:left w:val="nil"/>
              <w:bottom w:val="single" w:sz="8" w:space="0" w:color="auto"/>
              <w:right w:val="single" w:sz="8" w:space="0" w:color="auto"/>
            </w:tcBorders>
            <w:vAlign w:val="center"/>
            <w:hideMark/>
          </w:tcPr>
          <w:p w14:paraId="14E5B369" w14:textId="77777777" w:rsidR="0051718E" w:rsidRPr="00557C2A" w:rsidRDefault="0051718E">
            <w:pPr>
              <w:spacing w:before="0" w:after="0"/>
              <w:rPr>
                <w:rFonts w:eastAsia="Times New Roman"/>
                <w:noProof/>
                <w:color w:val="000000"/>
                <w:sz w:val="18"/>
                <w:szCs w:val="18"/>
              </w:rPr>
            </w:pPr>
            <w:r w:rsidRPr="00557C2A">
              <w:rPr>
                <w:noProof/>
                <w:color w:val="000000"/>
                <w:sz w:val="18"/>
              </w:rPr>
              <w:t>Vastleggingen</w:t>
            </w:r>
          </w:p>
        </w:tc>
        <w:tc>
          <w:tcPr>
            <w:tcW w:w="834" w:type="pct"/>
            <w:gridSpan w:val="6"/>
            <w:tcBorders>
              <w:top w:val="single" w:sz="8" w:space="0" w:color="auto"/>
              <w:left w:val="nil"/>
              <w:bottom w:val="single" w:sz="8" w:space="0" w:color="auto"/>
              <w:right w:val="single" w:sz="8" w:space="0" w:color="000000"/>
            </w:tcBorders>
            <w:vAlign w:val="center"/>
            <w:hideMark/>
          </w:tcPr>
          <w:p w14:paraId="4B20702D" w14:textId="77777777" w:rsidR="0051718E" w:rsidRPr="00557C2A" w:rsidRDefault="0051718E">
            <w:pPr>
              <w:spacing w:before="0" w:after="0"/>
              <w:jc w:val="center"/>
              <w:rPr>
                <w:rFonts w:eastAsia="Times New Roman"/>
                <w:noProof/>
                <w:color w:val="000000"/>
                <w:sz w:val="14"/>
                <w:szCs w:val="14"/>
              </w:rPr>
            </w:pPr>
            <w:r w:rsidRPr="00557C2A">
              <w:rPr>
                <w:noProof/>
                <w:color w:val="000000"/>
                <w:sz w:val="14"/>
              </w:rPr>
              <w:t>(4)</w:t>
            </w:r>
          </w:p>
        </w:tc>
        <w:tc>
          <w:tcPr>
            <w:tcW w:w="360" w:type="pct"/>
            <w:gridSpan w:val="3"/>
            <w:tcBorders>
              <w:top w:val="nil"/>
              <w:left w:val="nil"/>
              <w:bottom w:val="single" w:sz="8" w:space="0" w:color="auto"/>
              <w:right w:val="single" w:sz="8" w:space="0" w:color="auto"/>
            </w:tcBorders>
            <w:shd w:val="clear" w:color="000000" w:fill="D9D9D9"/>
            <w:vAlign w:val="center"/>
            <w:hideMark/>
          </w:tcPr>
          <w:p w14:paraId="367C4E8E" w14:textId="77777777" w:rsidR="0051718E" w:rsidRPr="00557C2A" w:rsidRDefault="0051718E">
            <w:pPr>
              <w:spacing w:before="0" w:after="0"/>
              <w:jc w:val="center"/>
              <w:rPr>
                <w:rFonts w:eastAsia="Times New Roman"/>
                <w:b/>
                <w:bCs/>
                <w:noProof/>
                <w:color w:val="000000"/>
                <w:sz w:val="20"/>
                <w:szCs w:val="20"/>
              </w:rPr>
            </w:pPr>
            <w:r w:rsidRPr="00557C2A">
              <w:rPr>
                <w:b/>
                <w:noProof/>
                <w:color w:val="000000"/>
                <w:sz w:val="20"/>
              </w:rPr>
              <w:t>0,350</w:t>
            </w:r>
          </w:p>
        </w:tc>
        <w:tc>
          <w:tcPr>
            <w:tcW w:w="360" w:type="pct"/>
            <w:gridSpan w:val="3"/>
            <w:tcBorders>
              <w:top w:val="nil"/>
              <w:left w:val="nil"/>
              <w:bottom w:val="single" w:sz="8" w:space="0" w:color="auto"/>
              <w:right w:val="single" w:sz="8" w:space="0" w:color="auto"/>
            </w:tcBorders>
            <w:shd w:val="clear" w:color="000000" w:fill="D9D9D9"/>
            <w:vAlign w:val="center"/>
            <w:hideMark/>
          </w:tcPr>
          <w:p w14:paraId="59DE801E" w14:textId="77777777" w:rsidR="0051718E" w:rsidRPr="00557C2A" w:rsidRDefault="0051718E">
            <w:pPr>
              <w:spacing w:before="0" w:after="0"/>
              <w:jc w:val="center"/>
              <w:rPr>
                <w:rFonts w:eastAsia="Times New Roman"/>
                <w:b/>
                <w:bCs/>
                <w:noProof/>
                <w:color w:val="000000"/>
                <w:sz w:val="20"/>
                <w:szCs w:val="20"/>
              </w:rPr>
            </w:pPr>
            <w:r w:rsidRPr="00557C2A">
              <w:rPr>
                <w:b/>
                <w:noProof/>
                <w:color w:val="000000"/>
                <w:sz w:val="20"/>
              </w:rPr>
              <w:t>0</w:t>
            </w:r>
          </w:p>
        </w:tc>
        <w:tc>
          <w:tcPr>
            <w:tcW w:w="361" w:type="pct"/>
            <w:gridSpan w:val="4"/>
            <w:tcBorders>
              <w:top w:val="nil"/>
              <w:left w:val="nil"/>
              <w:bottom w:val="single" w:sz="8" w:space="0" w:color="auto"/>
              <w:right w:val="single" w:sz="8" w:space="0" w:color="auto"/>
            </w:tcBorders>
            <w:shd w:val="clear" w:color="000000" w:fill="D9D9D9"/>
            <w:vAlign w:val="center"/>
            <w:hideMark/>
          </w:tcPr>
          <w:p w14:paraId="47E5D344" w14:textId="77777777" w:rsidR="0051718E" w:rsidRPr="00557C2A" w:rsidRDefault="0051718E">
            <w:pPr>
              <w:spacing w:before="0" w:after="0"/>
              <w:jc w:val="center"/>
              <w:rPr>
                <w:rFonts w:eastAsia="Times New Roman"/>
                <w:b/>
                <w:bCs/>
                <w:noProof/>
                <w:color w:val="000000"/>
                <w:sz w:val="20"/>
                <w:szCs w:val="20"/>
              </w:rPr>
            </w:pPr>
            <w:r w:rsidRPr="00557C2A">
              <w:rPr>
                <w:b/>
                <w:noProof/>
                <w:color w:val="000000"/>
                <w:sz w:val="20"/>
              </w:rPr>
              <w:t>0</w:t>
            </w:r>
          </w:p>
        </w:tc>
        <w:tc>
          <w:tcPr>
            <w:tcW w:w="361" w:type="pct"/>
            <w:gridSpan w:val="3"/>
            <w:tcBorders>
              <w:top w:val="nil"/>
              <w:left w:val="nil"/>
              <w:bottom w:val="single" w:sz="8" w:space="0" w:color="auto"/>
              <w:right w:val="single" w:sz="8" w:space="0" w:color="auto"/>
            </w:tcBorders>
            <w:shd w:val="clear" w:color="000000" w:fill="D9D9D9"/>
            <w:vAlign w:val="center"/>
            <w:hideMark/>
          </w:tcPr>
          <w:p w14:paraId="56E6C5C6" w14:textId="77777777" w:rsidR="0051718E" w:rsidRPr="00557C2A" w:rsidRDefault="0051718E">
            <w:pPr>
              <w:spacing w:before="0" w:after="0"/>
              <w:jc w:val="center"/>
              <w:rPr>
                <w:rFonts w:eastAsia="Times New Roman"/>
                <w:b/>
                <w:bCs/>
                <w:noProof/>
                <w:color w:val="000000"/>
                <w:sz w:val="20"/>
                <w:szCs w:val="20"/>
              </w:rPr>
            </w:pPr>
            <w:r w:rsidRPr="00557C2A">
              <w:rPr>
                <w:b/>
                <w:noProof/>
                <w:color w:val="000000"/>
                <w:sz w:val="20"/>
              </w:rPr>
              <w:t>0</w:t>
            </w:r>
          </w:p>
        </w:tc>
        <w:tc>
          <w:tcPr>
            <w:tcW w:w="361" w:type="pct"/>
            <w:gridSpan w:val="3"/>
            <w:tcBorders>
              <w:top w:val="nil"/>
              <w:left w:val="nil"/>
              <w:bottom w:val="single" w:sz="8" w:space="0" w:color="auto"/>
              <w:right w:val="single" w:sz="8" w:space="0" w:color="auto"/>
            </w:tcBorders>
            <w:shd w:val="clear" w:color="000000" w:fill="D9D9D9"/>
            <w:vAlign w:val="center"/>
            <w:hideMark/>
          </w:tcPr>
          <w:p w14:paraId="6E3E103F" w14:textId="77777777" w:rsidR="0051718E" w:rsidRPr="00557C2A" w:rsidRDefault="0051718E">
            <w:pPr>
              <w:spacing w:before="0" w:after="0"/>
              <w:jc w:val="center"/>
              <w:rPr>
                <w:rFonts w:eastAsia="Times New Roman"/>
                <w:b/>
                <w:bCs/>
                <w:noProof/>
                <w:color w:val="000000"/>
                <w:sz w:val="20"/>
                <w:szCs w:val="20"/>
              </w:rPr>
            </w:pPr>
            <w:r w:rsidRPr="00557C2A">
              <w:rPr>
                <w:b/>
                <w:noProof/>
                <w:color w:val="000000"/>
                <w:sz w:val="20"/>
              </w:rPr>
              <w:t>0</w:t>
            </w:r>
          </w:p>
        </w:tc>
        <w:tc>
          <w:tcPr>
            <w:tcW w:w="361" w:type="pct"/>
            <w:gridSpan w:val="3"/>
            <w:tcBorders>
              <w:top w:val="nil"/>
              <w:left w:val="nil"/>
              <w:bottom w:val="single" w:sz="8" w:space="0" w:color="auto"/>
              <w:right w:val="single" w:sz="8" w:space="0" w:color="auto"/>
            </w:tcBorders>
            <w:shd w:val="clear" w:color="000000" w:fill="D9D9D9"/>
            <w:vAlign w:val="center"/>
            <w:hideMark/>
          </w:tcPr>
          <w:p w14:paraId="5E02407D" w14:textId="77777777" w:rsidR="0051718E" w:rsidRPr="00557C2A" w:rsidRDefault="0051718E">
            <w:pPr>
              <w:spacing w:before="0" w:after="0"/>
              <w:jc w:val="center"/>
              <w:rPr>
                <w:rFonts w:eastAsia="Times New Roman"/>
                <w:b/>
                <w:bCs/>
                <w:noProof/>
                <w:color w:val="000000"/>
                <w:sz w:val="20"/>
                <w:szCs w:val="20"/>
              </w:rPr>
            </w:pPr>
            <w:r w:rsidRPr="00557C2A">
              <w:rPr>
                <w:b/>
                <w:noProof/>
                <w:color w:val="000000"/>
                <w:sz w:val="20"/>
              </w:rPr>
              <w:t>0</w:t>
            </w:r>
          </w:p>
        </w:tc>
        <w:tc>
          <w:tcPr>
            <w:tcW w:w="361" w:type="pct"/>
            <w:gridSpan w:val="2"/>
            <w:tcBorders>
              <w:top w:val="nil"/>
              <w:left w:val="nil"/>
              <w:bottom w:val="single" w:sz="8" w:space="0" w:color="auto"/>
              <w:right w:val="single" w:sz="8" w:space="0" w:color="auto"/>
            </w:tcBorders>
            <w:shd w:val="clear" w:color="000000" w:fill="D9D9D9"/>
            <w:vAlign w:val="center"/>
            <w:hideMark/>
          </w:tcPr>
          <w:p w14:paraId="1770E224" w14:textId="77777777" w:rsidR="0051718E" w:rsidRPr="00557C2A" w:rsidRDefault="0051718E">
            <w:pPr>
              <w:spacing w:before="0" w:after="0"/>
              <w:jc w:val="center"/>
              <w:rPr>
                <w:rFonts w:eastAsia="Times New Roman"/>
                <w:b/>
                <w:bCs/>
                <w:noProof/>
                <w:color w:val="000000"/>
                <w:sz w:val="20"/>
                <w:szCs w:val="20"/>
              </w:rPr>
            </w:pPr>
            <w:r w:rsidRPr="00557C2A">
              <w:rPr>
                <w:b/>
                <w:noProof/>
                <w:color w:val="000000"/>
                <w:sz w:val="20"/>
              </w:rPr>
              <w:t>0</w:t>
            </w:r>
          </w:p>
        </w:tc>
        <w:tc>
          <w:tcPr>
            <w:tcW w:w="400" w:type="pct"/>
            <w:tcBorders>
              <w:top w:val="nil"/>
              <w:left w:val="nil"/>
              <w:bottom w:val="single" w:sz="8" w:space="0" w:color="auto"/>
              <w:right w:val="single" w:sz="8" w:space="0" w:color="auto"/>
            </w:tcBorders>
            <w:shd w:val="clear" w:color="000000" w:fill="D9D9D9"/>
            <w:vAlign w:val="center"/>
            <w:hideMark/>
          </w:tcPr>
          <w:p w14:paraId="60A033AD" w14:textId="77777777" w:rsidR="0051718E" w:rsidRPr="00557C2A" w:rsidRDefault="0051718E">
            <w:pPr>
              <w:spacing w:before="0" w:after="0"/>
              <w:jc w:val="center"/>
              <w:rPr>
                <w:rFonts w:eastAsia="Times New Roman"/>
                <w:b/>
                <w:bCs/>
                <w:noProof/>
                <w:color w:val="000000"/>
                <w:sz w:val="20"/>
                <w:szCs w:val="20"/>
              </w:rPr>
            </w:pPr>
            <w:r w:rsidRPr="00557C2A">
              <w:rPr>
                <w:b/>
                <w:noProof/>
                <w:color w:val="000000"/>
                <w:sz w:val="20"/>
              </w:rPr>
              <w:t>0,350</w:t>
            </w:r>
          </w:p>
        </w:tc>
      </w:tr>
      <w:tr w:rsidR="00F303D5" w:rsidRPr="00557C2A" w14:paraId="068565E4" w14:textId="77777777" w:rsidTr="00B37C03">
        <w:trPr>
          <w:trHeight w:val="300"/>
        </w:trPr>
        <w:tc>
          <w:tcPr>
            <w:tcW w:w="704" w:type="pct"/>
            <w:vMerge/>
            <w:tcBorders>
              <w:top w:val="single" w:sz="8" w:space="0" w:color="auto"/>
              <w:left w:val="single" w:sz="8" w:space="0" w:color="auto"/>
              <w:bottom w:val="single" w:sz="8" w:space="0" w:color="000000"/>
              <w:right w:val="single" w:sz="8" w:space="0" w:color="auto"/>
            </w:tcBorders>
            <w:vAlign w:val="center"/>
            <w:hideMark/>
          </w:tcPr>
          <w:p w14:paraId="6D0148B9" w14:textId="77777777" w:rsidR="0051718E" w:rsidRPr="00557C2A" w:rsidRDefault="0051718E">
            <w:pPr>
              <w:spacing w:before="0" w:after="0"/>
              <w:jc w:val="left"/>
              <w:rPr>
                <w:rFonts w:ascii="Calibri" w:eastAsia="Times New Roman" w:hAnsi="Calibri" w:cs="Calibri"/>
                <w:noProof/>
                <w:color w:val="000000"/>
                <w:sz w:val="21"/>
                <w:szCs w:val="21"/>
                <w:lang w:eastAsia="en-IE"/>
              </w:rPr>
            </w:pPr>
          </w:p>
        </w:tc>
        <w:tc>
          <w:tcPr>
            <w:tcW w:w="537" w:type="pct"/>
            <w:gridSpan w:val="3"/>
            <w:tcBorders>
              <w:top w:val="nil"/>
              <w:left w:val="nil"/>
              <w:bottom w:val="single" w:sz="8" w:space="0" w:color="auto"/>
              <w:right w:val="single" w:sz="8" w:space="0" w:color="auto"/>
            </w:tcBorders>
            <w:vAlign w:val="center"/>
            <w:hideMark/>
          </w:tcPr>
          <w:p w14:paraId="654FDB6A" w14:textId="77777777" w:rsidR="0051718E" w:rsidRPr="00557C2A" w:rsidRDefault="0051718E">
            <w:pPr>
              <w:spacing w:before="0" w:after="0"/>
              <w:rPr>
                <w:rFonts w:eastAsia="Times New Roman"/>
                <w:noProof/>
                <w:color w:val="000000"/>
                <w:sz w:val="18"/>
                <w:szCs w:val="18"/>
              </w:rPr>
            </w:pPr>
            <w:r w:rsidRPr="00557C2A">
              <w:rPr>
                <w:noProof/>
                <w:color w:val="000000"/>
                <w:sz w:val="18"/>
              </w:rPr>
              <w:t>Betalingen</w:t>
            </w:r>
          </w:p>
        </w:tc>
        <w:tc>
          <w:tcPr>
            <w:tcW w:w="834" w:type="pct"/>
            <w:gridSpan w:val="6"/>
            <w:tcBorders>
              <w:top w:val="single" w:sz="8" w:space="0" w:color="auto"/>
              <w:left w:val="nil"/>
              <w:bottom w:val="single" w:sz="8" w:space="0" w:color="auto"/>
              <w:right w:val="single" w:sz="8" w:space="0" w:color="000000"/>
            </w:tcBorders>
            <w:vAlign w:val="center"/>
            <w:hideMark/>
          </w:tcPr>
          <w:p w14:paraId="43A1553D" w14:textId="77777777" w:rsidR="0051718E" w:rsidRPr="00557C2A" w:rsidRDefault="0051718E">
            <w:pPr>
              <w:spacing w:before="0" w:after="0"/>
              <w:jc w:val="center"/>
              <w:rPr>
                <w:rFonts w:eastAsia="Times New Roman"/>
                <w:noProof/>
                <w:color w:val="000000"/>
                <w:sz w:val="14"/>
                <w:szCs w:val="14"/>
              </w:rPr>
            </w:pPr>
            <w:r w:rsidRPr="00557C2A">
              <w:rPr>
                <w:noProof/>
                <w:color w:val="000000"/>
                <w:sz w:val="14"/>
              </w:rPr>
              <w:t>(5)</w:t>
            </w:r>
          </w:p>
        </w:tc>
        <w:tc>
          <w:tcPr>
            <w:tcW w:w="360" w:type="pct"/>
            <w:gridSpan w:val="3"/>
            <w:tcBorders>
              <w:top w:val="nil"/>
              <w:left w:val="nil"/>
              <w:bottom w:val="single" w:sz="8" w:space="0" w:color="auto"/>
              <w:right w:val="single" w:sz="8" w:space="0" w:color="auto"/>
            </w:tcBorders>
            <w:shd w:val="clear" w:color="000000" w:fill="D9D9D9"/>
            <w:vAlign w:val="center"/>
            <w:hideMark/>
          </w:tcPr>
          <w:p w14:paraId="1F4FD5EF" w14:textId="77777777" w:rsidR="0051718E" w:rsidRPr="00557C2A" w:rsidRDefault="0051718E">
            <w:pPr>
              <w:spacing w:before="0" w:after="0"/>
              <w:jc w:val="center"/>
              <w:rPr>
                <w:rFonts w:eastAsia="Times New Roman"/>
                <w:b/>
                <w:bCs/>
                <w:noProof/>
                <w:color w:val="000000"/>
                <w:sz w:val="20"/>
                <w:szCs w:val="20"/>
              </w:rPr>
            </w:pPr>
            <w:r w:rsidRPr="00557C2A">
              <w:rPr>
                <w:b/>
                <w:noProof/>
                <w:color w:val="000000"/>
                <w:sz w:val="20"/>
              </w:rPr>
              <w:t>0</w:t>
            </w:r>
          </w:p>
        </w:tc>
        <w:tc>
          <w:tcPr>
            <w:tcW w:w="360" w:type="pct"/>
            <w:gridSpan w:val="3"/>
            <w:tcBorders>
              <w:top w:val="nil"/>
              <w:left w:val="nil"/>
              <w:bottom w:val="single" w:sz="8" w:space="0" w:color="auto"/>
              <w:right w:val="single" w:sz="8" w:space="0" w:color="auto"/>
            </w:tcBorders>
            <w:shd w:val="clear" w:color="000000" w:fill="D9D9D9"/>
            <w:vAlign w:val="center"/>
            <w:hideMark/>
          </w:tcPr>
          <w:p w14:paraId="54CF0452" w14:textId="77777777" w:rsidR="0051718E" w:rsidRPr="00557C2A" w:rsidRDefault="0051718E">
            <w:pPr>
              <w:spacing w:before="0" w:after="0"/>
              <w:jc w:val="center"/>
              <w:rPr>
                <w:rFonts w:eastAsia="Times New Roman"/>
                <w:b/>
                <w:bCs/>
                <w:noProof/>
                <w:color w:val="000000"/>
                <w:sz w:val="20"/>
                <w:szCs w:val="20"/>
              </w:rPr>
            </w:pPr>
            <w:r w:rsidRPr="00557C2A">
              <w:rPr>
                <w:b/>
                <w:noProof/>
                <w:color w:val="000000"/>
                <w:sz w:val="20"/>
              </w:rPr>
              <w:t>0,140</w:t>
            </w:r>
          </w:p>
        </w:tc>
        <w:tc>
          <w:tcPr>
            <w:tcW w:w="361" w:type="pct"/>
            <w:gridSpan w:val="4"/>
            <w:tcBorders>
              <w:top w:val="nil"/>
              <w:left w:val="nil"/>
              <w:bottom w:val="single" w:sz="8" w:space="0" w:color="auto"/>
              <w:right w:val="single" w:sz="8" w:space="0" w:color="auto"/>
            </w:tcBorders>
            <w:shd w:val="clear" w:color="000000" w:fill="D9D9D9"/>
            <w:vAlign w:val="center"/>
            <w:hideMark/>
          </w:tcPr>
          <w:p w14:paraId="24E5971B" w14:textId="77777777" w:rsidR="0051718E" w:rsidRPr="00557C2A" w:rsidRDefault="0051718E">
            <w:pPr>
              <w:spacing w:before="0" w:after="0"/>
              <w:jc w:val="center"/>
              <w:rPr>
                <w:rFonts w:eastAsia="Times New Roman"/>
                <w:b/>
                <w:bCs/>
                <w:noProof/>
                <w:color w:val="000000"/>
                <w:sz w:val="20"/>
                <w:szCs w:val="20"/>
                <w:lang w:eastAsia="en-IE"/>
              </w:rPr>
            </w:pPr>
          </w:p>
        </w:tc>
        <w:tc>
          <w:tcPr>
            <w:tcW w:w="361" w:type="pct"/>
            <w:gridSpan w:val="3"/>
            <w:tcBorders>
              <w:top w:val="nil"/>
              <w:left w:val="nil"/>
              <w:bottom w:val="single" w:sz="8" w:space="0" w:color="auto"/>
              <w:right w:val="single" w:sz="8" w:space="0" w:color="auto"/>
            </w:tcBorders>
            <w:shd w:val="clear" w:color="000000" w:fill="D9D9D9"/>
            <w:vAlign w:val="center"/>
            <w:hideMark/>
          </w:tcPr>
          <w:p w14:paraId="16E2AE11" w14:textId="77777777" w:rsidR="0051718E" w:rsidRPr="00557C2A" w:rsidRDefault="0051718E">
            <w:pPr>
              <w:spacing w:before="0" w:after="0"/>
              <w:jc w:val="center"/>
              <w:rPr>
                <w:rFonts w:eastAsia="Times New Roman"/>
                <w:b/>
                <w:bCs/>
                <w:noProof/>
                <w:color w:val="000000"/>
                <w:sz w:val="20"/>
                <w:szCs w:val="20"/>
              </w:rPr>
            </w:pPr>
            <w:r w:rsidRPr="00557C2A">
              <w:rPr>
                <w:b/>
                <w:noProof/>
                <w:color w:val="000000"/>
                <w:sz w:val="20"/>
              </w:rPr>
              <w:t>0,140</w:t>
            </w:r>
          </w:p>
        </w:tc>
        <w:tc>
          <w:tcPr>
            <w:tcW w:w="361" w:type="pct"/>
            <w:gridSpan w:val="3"/>
            <w:tcBorders>
              <w:top w:val="nil"/>
              <w:left w:val="nil"/>
              <w:bottom w:val="single" w:sz="8" w:space="0" w:color="auto"/>
              <w:right w:val="single" w:sz="8" w:space="0" w:color="auto"/>
            </w:tcBorders>
            <w:shd w:val="clear" w:color="000000" w:fill="D9D9D9"/>
            <w:vAlign w:val="center"/>
            <w:hideMark/>
          </w:tcPr>
          <w:p w14:paraId="113C920D" w14:textId="77777777" w:rsidR="0051718E" w:rsidRPr="00557C2A" w:rsidRDefault="0051718E">
            <w:pPr>
              <w:spacing w:before="0" w:after="0"/>
              <w:jc w:val="center"/>
              <w:rPr>
                <w:rFonts w:eastAsia="Times New Roman"/>
                <w:b/>
                <w:bCs/>
                <w:noProof/>
                <w:color w:val="000000"/>
                <w:sz w:val="20"/>
                <w:szCs w:val="20"/>
              </w:rPr>
            </w:pPr>
            <w:r w:rsidRPr="00557C2A">
              <w:rPr>
                <w:b/>
                <w:noProof/>
                <w:color w:val="000000"/>
                <w:sz w:val="20"/>
              </w:rPr>
              <w:t>0,070</w:t>
            </w:r>
          </w:p>
        </w:tc>
        <w:tc>
          <w:tcPr>
            <w:tcW w:w="361" w:type="pct"/>
            <w:gridSpan w:val="3"/>
            <w:tcBorders>
              <w:top w:val="nil"/>
              <w:left w:val="nil"/>
              <w:bottom w:val="single" w:sz="8" w:space="0" w:color="auto"/>
              <w:right w:val="single" w:sz="8" w:space="0" w:color="auto"/>
            </w:tcBorders>
            <w:shd w:val="clear" w:color="000000" w:fill="D9D9D9"/>
            <w:vAlign w:val="center"/>
            <w:hideMark/>
          </w:tcPr>
          <w:p w14:paraId="5BBBC853" w14:textId="77777777" w:rsidR="0051718E" w:rsidRPr="00557C2A" w:rsidRDefault="0051718E">
            <w:pPr>
              <w:spacing w:before="0" w:after="0"/>
              <w:jc w:val="center"/>
              <w:rPr>
                <w:rFonts w:eastAsia="Times New Roman"/>
                <w:b/>
                <w:bCs/>
                <w:noProof/>
                <w:color w:val="000000"/>
                <w:sz w:val="20"/>
                <w:szCs w:val="20"/>
              </w:rPr>
            </w:pPr>
            <w:r w:rsidRPr="00557C2A">
              <w:rPr>
                <w:b/>
                <w:noProof/>
                <w:color w:val="000000"/>
                <w:sz w:val="20"/>
              </w:rPr>
              <w:t>0</w:t>
            </w:r>
          </w:p>
        </w:tc>
        <w:tc>
          <w:tcPr>
            <w:tcW w:w="361" w:type="pct"/>
            <w:gridSpan w:val="2"/>
            <w:tcBorders>
              <w:top w:val="nil"/>
              <w:left w:val="nil"/>
              <w:bottom w:val="single" w:sz="8" w:space="0" w:color="auto"/>
              <w:right w:val="single" w:sz="8" w:space="0" w:color="auto"/>
            </w:tcBorders>
            <w:shd w:val="clear" w:color="000000" w:fill="D9D9D9"/>
            <w:vAlign w:val="center"/>
            <w:hideMark/>
          </w:tcPr>
          <w:p w14:paraId="4E00FC8E" w14:textId="77777777" w:rsidR="0051718E" w:rsidRPr="00557C2A" w:rsidRDefault="0051718E">
            <w:pPr>
              <w:spacing w:before="0" w:after="0"/>
              <w:jc w:val="center"/>
              <w:rPr>
                <w:rFonts w:eastAsia="Times New Roman"/>
                <w:b/>
                <w:bCs/>
                <w:noProof/>
                <w:color w:val="000000"/>
                <w:sz w:val="20"/>
                <w:szCs w:val="20"/>
              </w:rPr>
            </w:pPr>
            <w:r w:rsidRPr="00557C2A">
              <w:rPr>
                <w:b/>
                <w:noProof/>
                <w:color w:val="000000"/>
                <w:sz w:val="20"/>
              </w:rPr>
              <w:t>0</w:t>
            </w:r>
          </w:p>
        </w:tc>
        <w:tc>
          <w:tcPr>
            <w:tcW w:w="400" w:type="pct"/>
            <w:tcBorders>
              <w:top w:val="nil"/>
              <w:left w:val="nil"/>
              <w:bottom w:val="single" w:sz="8" w:space="0" w:color="auto"/>
              <w:right w:val="single" w:sz="8" w:space="0" w:color="auto"/>
            </w:tcBorders>
            <w:shd w:val="clear" w:color="000000" w:fill="D9D9D9"/>
            <w:vAlign w:val="center"/>
            <w:hideMark/>
          </w:tcPr>
          <w:p w14:paraId="16E5BCB7" w14:textId="77777777" w:rsidR="0051718E" w:rsidRPr="00557C2A" w:rsidRDefault="0051718E">
            <w:pPr>
              <w:spacing w:before="0" w:after="0"/>
              <w:jc w:val="center"/>
              <w:rPr>
                <w:rFonts w:eastAsia="Times New Roman"/>
                <w:b/>
                <w:bCs/>
                <w:noProof/>
                <w:color w:val="000000"/>
                <w:sz w:val="20"/>
                <w:szCs w:val="20"/>
              </w:rPr>
            </w:pPr>
            <w:r w:rsidRPr="00557C2A">
              <w:rPr>
                <w:b/>
                <w:noProof/>
                <w:color w:val="000000"/>
                <w:sz w:val="20"/>
              </w:rPr>
              <w:t>0,350</w:t>
            </w:r>
          </w:p>
        </w:tc>
      </w:tr>
      <w:tr w:rsidR="0051718E" w:rsidRPr="00557C2A" w14:paraId="15AC94F9" w14:textId="77777777" w:rsidTr="00B37C03">
        <w:trPr>
          <w:trHeight w:val="276"/>
        </w:trPr>
        <w:tc>
          <w:tcPr>
            <w:tcW w:w="1240" w:type="pct"/>
            <w:gridSpan w:val="4"/>
            <w:tcBorders>
              <w:top w:val="single" w:sz="8" w:space="0" w:color="auto"/>
              <w:left w:val="single" w:sz="8" w:space="0" w:color="auto"/>
              <w:bottom w:val="single" w:sz="8" w:space="0" w:color="auto"/>
              <w:right w:val="single" w:sz="8" w:space="0" w:color="000000"/>
            </w:tcBorders>
            <w:vAlign w:val="center"/>
            <w:hideMark/>
          </w:tcPr>
          <w:p w14:paraId="46A29227" w14:textId="77777777" w:rsidR="0051718E" w:rsidRPr="00557C2A" w:rsidRDefault="0051718E">
            <w:pPr>
              <w:spacing w:before="0" w:after="0"/>
              <w:rPr>
                <w:rFonts w:ascii="Calibri" w:eastAsia="Times New Roman" w:hAnsi="Calibri" w:cs="Calibri"/>
                <w:noProof/>
                <w:color w:val="000000"/>
                <w:sz w:val="21"/>
                <w:szCs w:val="21"/>
              </w:rPr>
            </w:pPr>
            <w:r w:rsidRPr="00557C2A">
              <w:rPr>
                <w:noProof/>
                <w:color w:val="000000"/>
                <w:sz w:val="21"/>
              </w:rPr>
              <w:t>• TOTAAL uit het budget van specifieke programma’s gefinancierde administratieve kredieten (alle beleidsrubrieken)</w:t>
            </w:r>
          </w:p>
        </w:tc>
        <w:tc>
          <w:tcPr>
            <w:tcW w:w="834" w:type="pct"/>
            <w:gridSpan w:val="6"/>
            <w:tcBorders>
              <w:top w:val="single" w:sz="8" w:space="0" w:color="auto"/>
              <w:left w:val="nil"/>
              <w:bottom w:val="single" w:sz="8" w:space="0" w:color="auto"/>
              <w:right w:val="single" w:sz="8" w:space="0" w:color="000000"/>
            </w:tcBorders>
            <w:vAlign w:val="center"/>
            <w:hideMark/>
          </w:tcPr>
          <w:p w14:paraId="65CDB017" w14:textId="77777777" w:rsidR="0051718E" w:rsidRPr="00557C2A" w:rsidRDefault="0051718E">
            <w:pPr>
              <w:spacing w:before="0" w:after="0"/>
              <w:jc w:val="center"/>
              <w:rPr>
                <w:rFonts w:eastAsia="Times New Roman"/>
                <w:noProof/>
                <w:color w:val="000000"/>
                <w:sz w:val="14"/>
                <w:szCs w:val="14"/>
              </w:rPr>
            </w:pPr>
            <w:r w:rsidRPr="00557C2A">
              <w:rPr>
                <w:noProof/>
                <w:color w:val="000000"/>
                <w:sz w:val="14"/>
              </w:rPr>
              <w:t>(6)</w:t>
            </w:r>
          </w:p>
        </w:tc>
        <w:tc>
          <w:tcPr>
            <w:tcW w:w="360" w:type="pct"/>
            <w:gridSpan w:val="3"/>
            <w:tcBorders>
              <w:top w:val="nil"/>
              <w:left w:val="nil"/>
              <w:bottom w:val="single" w:sz="8" w:space="0" w:color="auto"/>
              <w:right w:val="single" w:sz="8" w:space="0" w:color="auto"/>
            </w:tcBorders>
            <w:shd w:val="clear" w:color="000000" w:fill="D9D9D9"/>
            <w:vAlign w:val="center"/>
            <w:hideMark/>
          </w:tcPr>
          <w:p w14:paraId="1EE95EF7" w14:textId="77777777" w:rsidR="0051718E" w:rsidRPr="00557C2A" w:rsidRDefault="0051718E">
            <w:pPr>
              <w:spacing w:before="0" w:after="0"/>
              <w:jc w:val="right"/>
              <w:rPr>
                <w:rFonts w:eastAsia="Times New Roman"/>
                <w:noProof/>
                <w:color w:val="000000"/>
                <w:sz w:val="20"/>
                <w:szCs w:val="20"/>
              </w:rPr>
            </w:pPr>
            <w:r w:rsidRPr="00557C2A">
              <w:rPr>
                <w:noProof/>
                <w:color w:val="000000"/>
                <w:sz w:val="20"/>
              </w:rPr>
              <w:t>0</w:t>
            </w:r>
          </w:p>
        </w:tc>
        <w:tc>
          <w:tcPr>
            <w:tcW w:w="360" w:type="pct"/>
            <w:gridSpan w:val="3"/>
            <w:tcBorders>
              <w:top w:val="nil"/>
              <w:left w:val="nil"/>
              <w:bottom w:val="single" w:sz="8" w:space="0" w:color="auto"/>
              <w:right w:val="single" w:sz="8" w:space="0" w:color="auto"/>
            </w:tcBorders>
            <w:shd w:val="clear" w:color="000000" w:fill="D9D9D9"/>
            <w:vAlign w:val="center"/>
            <w:hideMark/>
          </w:tcPr>
          <w:p w14:paraId="79ECDFD3" w14:textId="77777777" w:rsidR="0051718E" w:rsidRPr="00557C2A" w:rsidRDefault="0051718E">
            <w:pPr>
              <w:spacing w:before="0" w:after="0"/>
              <w:jc w:val="right"/>
              <w:rPr>
                <w:rFonts w:eastAsia="Times New Roman"/>
                <w:noProof/>
                <w:color w:val="000000"/>
                <w:sz w:val="20"/>
                <w:szCs w:val="20"/>
              </w:rPr>
            </w:pPr>
            <w:r w:rsidRPr="00557C2A">
              <w:rPr>
                <w:noProof/>
                <w:color w:val="000000"/>
                <w:sz w:val="20"/>
              </w:rPr>
              <w:t>0</w:t>
            </w:r>
          </w:p>
        </w:tc>
        <w:tc>
          <w:tcPr>
            <w:tcW w:w="361" w:type="pct"/>
            <w:gridSpan w:val="4"/>
            <w:tcBorders>
              <w:top w:val="nil"/>
              <w:left w:val="nil"/>
              <w:bottom w:val="single" w:sz="8" w:space="0" w:color="auto"/>
              <w:right w:val="single" w:sz="8" w:space="0" w:color="auto"/>
            </w:tcBorders>
            <w:shd w:val="clear" w:color="000000" w:fill="D9D9D9"/>
            <w:vAlign w:val="center"/>
            <w:hideMark/>
          </w:tcPr>
          <w:p w14:paraId="0F53A767" w14:textId="77777777" w:rsidR="0051718E" w:rsidRPr="00557C2A" w:rsidRDefault="0051718E">
            <w:pPr>
              <w:spacing w:before="0" w:after="0"/>
              <w:jc w:val="right"/>
              <w:rPr>
                <w:rFonts w:eastAsia="Times New Roman"/>
                <w:noProof/>
                <w:color w:val="000000"/>
                <w:sz w:val="20"/>
                <w:szCs w:val="20"/>
              </w:rPr>
            </w:pPr>
            <w:r w:rsidRPr="00557C2A">
              <w:rPr>
                <w:noProof/>
                <w:color w:val="000000"/>
                <w:sz w:val="20"/>
              </w:rPr>
              <w:t>0</w:t>
            </w:r>
          </w:p>
        </w:tc>
        <w:tc>
          <w:tcPr>
            <w:tcW w:w="361" w:type="pct"/>
            <w:gridSpan w:val="3"/>
            <w:tcBorders>
              <w:top w:val="nil"/>
              <w:left w:val="nil"/>
              <w:bottom w:val="single" w:sz="8" w:space="0" w:color="auto"/>
              <w:right w:val="single" w:sz="8" w:space="0" w:color="auto"/>
            </w:tcBorders>
            <w:shd w:val="clear" w:color="000000" w:fill="D9D9D9"/>
            <w:vAlign w:val="center"/>
            <w:hideMark/>
          </w:tcPr>
          <w:p w14:paraId="1749D6BD" w14:textId="77777777" w:rsidR="0051718E" w:rsidRPr="00557C2A" w:rsidRDefault="0051718E">
            <w:pPr>
              <w:spacing w:before="0" w:after="0"/>
              <w:jc w:val="right"/>
              <w:rPr>
                <w:rFonts w:eastAsia="Times New Roman"/>
                <w:noProof/>
                <w:color w:val="000000"/>
                <w:sz w:val="20"/>
                <w:szCs w:val="20"/>
              </w:rPr>
            </w:pPr>
            <w:r w:rsidRPr="00557C2A">
              <w:rPr>
                <w:noProof/>
                <w:color w:val="000000"/>
                <w:sz w:val="20"/>
              </w:rPr>
              <w:t>0</w:t>
            </w:r>
          </w:p>
        </w:tc>
        <w:tc>
          <w:tcPr>
            <w:tcW w:w="361" w:type="pct"/>
            <w:gridSpan w:val="3"/>
            <w:tcBorders>
              <w:top w:val="nil"/>
              <w:left w:val="nil"/>
              <w:bottom w:val="single" w:sz="8" w:space="0" w:color="auto"/>
              <w:right w:val="single" w:sz="8" w:space="0" w:color="auto"/>
            </w:tcBorders>
            <w:shd w:val="clear" w:color="000000" w:fill="D9D9D9"/>
            <w:vAlign w:val="center"/>
            <w:hideMark/>
          </w:tcPr>
          <w:p w14:paraId="06BFCC9B" w14:textId="77777777" w:rsidR="0051718E" w:rsidRPr="00557C2A" w:rsidRDefault="0051718E">
            <w:pPr>
              <w:spacing w:before="0" w:after="0"/>
              <w:jc w:val="right"/>
              <w:rPr>
                <w:rFonts w:eastAsia="Times New Roman"/>
                <w:noProof/>
                <w:color w:val="000000"/>
                <w:sz w:val="20"/>
                <w:szCs w:val="20"/>
              </w:rPr>
            </w:pPr>
            <w:r w:rsidRPr="00557C2A">
              <w:rPr>
                <w:noProof/>
                <w:color w:val="000000"/>
                <w:sz w:val="20"/>
              </w:rPr>
              <w:t>0</w:t>
            </w:r>
          </w:p>
        </w:tc>
        <w:tc>
          <w:tcPr>
            <w:tcW w:w="361" w:type="pct"/>
            <w:gridSpan w:val="3"/>
            <w:tcBorders>
              <w:top w:val="nil"/>
              <w:left w:val="nil"/>
              <w:bottom w:val="single" w:sz="8" w:space="0" w:color="auto"/>
              <w:right w:val="single" w:sz="8" w:space="0" w:color="auto"/>
            </w:tcBorders>
            <w:shd w:val="clear" w:color="000000" w:fill="D9D9D9"/>
            <w:vAlign w:val="center"/>
            <w:hideMark/>
          </w:tcPr>
          <w:p w14:paraId="071915C7" w14:textId="77777777" w:rsidR="0051718E" w:rsidRPr="00557C2A" w:rsidRDefault="0051718E">
            <w:pPr>
              <w:spacing w:before="0" w:after="0"/>
              <w:jc w:val="right"/>
              <w:rPr>
                <w:rFonts w:eastAsia="Times New Roman"/>
                <w:noProof/>
                <w:color w:val="000000"/>
                <w:sz w:val="20"/>
                <w:szCs w:val="20"/>
              </w:rPr>
            </w:pPr>
            <w:r w:rsidRPr="00557C2A">
              <w:rPr>
                <w:noProof/>
                <w:color w:val="000000"/>
                <w:sz w:val="20"/>
              </w:rPr>
              <w:t>0</w:t>
            </w:r>
          </w:p>
        </w:tc>
        <w:tc>
          <w:tcPr>
            <w:tcW w:w="361" w:type="pct"/>
            <w:gridSpan w:val="2"/>
            <w:tcBorders>
              <w:top w:val="nil"/>
              <w:left w:val="nil"/>
              <w:bottom w:val="single" w:sz="8" w:space="0" w:color="auto"/>
              <w:right w:val="single" w:sz="8" w:space="0" w:color="auto"/>
            </w:tcBorders>
            <w:shd w:val="clear" w:color="000000" w:fill="D9D9D9"/>
            <w:vAlign w:val="center"/>
            <w:hideMark/>
          </w:tcPr>
          <w:p w14:paraId="686520FF" w14:textId="77777777" w:rsidR="0051718E" w:rsidRPr="00557C2A" w:rsidRDefault="0051718E">
            <w:pPr>
              <w:spacing w:before="0" w:after="0"/>
              <w:jc w:val="right"/>
              <w:rPr>
                <w:rFonts w:eastAsia="Times New Roman"/>
                <w:noProof/>
                <w:color w:val="000000"/>
                <w:sz w:val="20"/>
                <w:szCs w:val="20"/>
              </w:rPr>
            </w:pPr>
            <w:r w:rsidRPr="00557C2A">
              <w:rPr>
                <w:noProof/>
                <w:color w:val="000000"/>
                <w:sz w:val="20"/>
              </w:rPr>
              <w:t>0</w:t>
            </w:r>
          </w:p>
        </w:tc>
        <w:tc>
          <w:tcPr>
            <w:tcW w:w="400" w:type="pct"/>
            <w:tcBorders>
              <w:top w:val="nil"/>
              <w:left w:val="nil"/>
              <w:bottom w:val="single" w:sz="8" w:space="0" w:color="auto"/>
              <w:right w:val="single" w:sz="8" w:space="0" w:color="auto"/>
            </w:tcBorders>
            <w:shd w:val="clear" w:color="000000" w:fill="D9D9D9"/>
            <w:vAlign w:val="center"/>
            <w:hideMark/>
          </w:tcPr>
          <w:p w14:paraId="0AAFCF33" w14:textId="77777777" w:rsidR="0051718E" w:rsidRPr="00557C2A" w:rsidRDefault="0051718E">
            <w:pPr>
              <w:spacing w:before="0" w:after="0"/>
              <w:jc w:val="right"/>
              <w:rPr>
                <w:rFonts w:eastAsia="Times New Roman"/>
                <w:b/>
                <w:bCs/>
                <w:noProof/>
                <w:color w:val="000000"/>
                <w:sz w:val="20"/>
                <w:szCs w:val="20"/>
              </w:rPr>
            </w:pPr>
            <w:r w:rsidRPr="00557C2A">
              <w:rPr>
                <w:b/>
                <w:noProof/>
                <w:color w:val="000000"/>
                <w:sz w:val="20"/>
              </w:rPr>
              <w:t>0</w:t>
            </w:r>
          </w:p>
        </w:tc>
      </w:tr>
      <w:tr w:rsidR="00F303D5" w:rsidRPr="00557C2A" w14:paraId="57F5FE31" w14:textId="77777777" w:rsidTr="00B37C03">
        <w:trPr>
          <w:trHeight w:val="154"/>
        </w:trPr>
        <w:tc>
          <w:tcPr>
            <w:tcW w:w="704" w:type="pct"/>
            <w:tcBorders>
              <w:top w:val="nil"/>
              <w:left w:val="single" w:sz="8" w:space="0" w:color="auto"/>
              <w:bottom w:val="nil"/>
              <w:right w:val="single" w:sz="8" w:space="0" w:color="auto"/>
            </w:tcBorders>
            <w:shd w:val="thinDiagStripe" w:color="C0C0C0" w:fill="E6E6E6"/>
            <w:vAlign w:val="center"/>
            <w:hideMark/>
          </w:tcPr>
          <w:p w14:paraId="18DBC5D6" w14:textId="77777777" w:rsidR="0051718E" w:rsidRPr="00557C2A" w:rsidRDefault="0051718E">
            <w:pPr>
              <w:spacing w:before="0" w:after="0"/>
              <w:jc w:val="center"/>
              <w:rPr>
                <w:rFonts w:eastAsia="Times New Roman"/>
                <w:b/>
                <w:bCs/>
                <w:noProof/>
                <w:color w:val="000000"/>
                <w:sz w:val="22"/>
              </w:rPr>
            </w:pPr>
            <w:r w:rsidRPr="00557C2A">
              <w:rPr>
                <w:b/>
                <w:noProof/>
                <w:color w:val="000000"/>
                <w:sz w:val="22"/>
              </w:rPr>
              <w:t>TOTAAL kredieten onder de rubrieken 1 tot en met 3</w:t>
            </w:r>
          </w:p>
        </w:tc>
        <w:tc>
          <w:tcPr>
            <w:tcW w:w="537" w:type="pct"/>
            <w:gridSpan w:val="3"/>
            <w:tcBorders>
              <w:top w:val="nil"/>
              <w:left w:val="nil"/>
              <w:bottom w:val="nil"/>
              <w:right w:val="single" w:sz="8" w:space="0" w:color="auto"/>
            </w:tcBorders>
            <w:vAlign w:val="center"/>
            <w:hideMark/>
          </w:tcPr>
          <w:p w14:paraId="4241711E" w14:textId="77777777" w:rsidR="0051718E" w:rsidRPr="00557C2A" w:rsidRDefault="0051718E">
            <w:pPr>
              <w:spacing w:before="0" w:after="0"/>
              <w:rPr>
                <w:rFonts w:eastAsia="Times New Roman"/>
                <w:noProof/>
                <w:color w:val="000000"/>
                <w:sz w:val="18"/>
                <w:szCs w:val="18"/>
              </w:rPr>
            </w:pPr>
            <w:r w:rsidRPr="00557C2A">
              <w:rPr>
                <w:noProof/>
                <w:color w:val="000000"/>
                <w:sz w:val="18"/>
              </w:rPr>
              <w:t>Vastleggingen</w:t>
            </w:r>
          </w:p>
        </w:tc>
        <w:tc>
          <w:tcPr>
            <w:tcW w:w="834" w:type="pct"/>
            <w:gridSpan w:val="6"/>
            <w:tcBorders>
              <w:top w:val="single" w:sz="8" w:space="0" w:color="auto"/>
              <w:left w:val="nil"/>
              <w:bottom w:val="single" w:sz="8" w:space="0" w:color="auto"/>
              <w:right w:val="single" w:sz="8" w:space="0" w:color="000000"/>
            </w:tcBorders>
            <w:vAlign w:val="center"/>
            <w:hideMark/>
          </w:tcPr>
          <w:p w14:paraId="639D6596" w14:textId="77777777" w:rsidR="0051718E" w:rsidRPr="00557C2A" w:rsidRDefault="0051718E">
            <w:pPr>
              <w:spacing w:before="0" w:after="0"/>
              <w:jc w:val="center"/>
              <w:rPr>
                <w:rFonts w:eastAsia="Times New Roman"/>
                <w:noProof/>
                <w:color w:val="000000"/>
                <w:sz w:val="14"/>
                <w:szCs w:val="14"/>
              </w:rPr>
            </w:pPr>
            <w:r w:rsidRPr="00557C2A">
              <w:rPr>
                <w:noProof/>
                <w:color w:val="000000"/>
                <w:sz w:val="14"/>
              </w:rPr>
              <w:t>=4+6</w:t>
            </w:r>
          </w:p>
        </w:tc>
        <w:tc>
          <w:tcPr>
            <w:tcW w:w="360" w:type="pct"/>
            <w:gridSpan w:val="3"/>
            <w:tcBorders>
              <w:top w:val="nil"/>
              <w:left w:val="nil"/>
              <w:bottom w:val="single" w:sz="8" w:space="0" w:color="auto"/>
              <w:right w:val="single" w:sz="8" w:space="0" w:color="auto"/>
            </w:tcBorders>
            <w:shd w:val="clear" w:color="000000" w:fill="D9D9D9"/>
            <w:vAlign w:val="center"/>
            <w:hideMark/>
          </w:tcPr>
          <w:p w14:paraId="284F1598" w14:textId="77777777" w:rsidR="0051718E" w:rsidRPr="00557C2A" w:rsidRDefault="0051718E">
            <w:pPr>
              <w:spacing w:before="0" w:after="0"/>
              <w:jc w:val="center"/>
              <w:rPr>
                <w:rFonts w:eastAsia="Times New Roman"/>
                <w:b/>
                <w:bCs/>
                <w:noProof/>
                <w:color w:val="000000"/>
                <w:sz w:val="20"/>
                <w:szCs w:val="20"/>
              </w:rPr>
            </w:pPr>
            <w:r w:rsidRPr="00557C2A">
              <w:rPr>
                <w:b/>
                <w:noProof/>
                <w:color w:val="000000"/>
                <w:sz w:val="20"/>
              </w:rPr>
              <w:t>0,350</w:t>
            </w:r>
          </w:p>
        </w:tc>
        <w:tc>
          <w:tcPr>
            <w:tcW w:w="360" w:type="pct"/>
            <w:gridSpan w:val="3"/>
            <w:tcBorders>
              <w:top w:val="nil"/>
              <w:left w:val="nil"/>
              <w:bottom w:val="single" w:sz="8" w:space="0" w:color="auto"/>
              <w:right w:val="single" w:sz="8" w:space="0" w:color="auto"/>
            </w:tcBorders>
            <w:shd w:val="clear" w:color="000000" w:fill="D9D9D9"/>
            <w:vAlign w:val="center"/>
            <w:hideMark/>
          </w:tcPr>
          <w:p w14:paraId="7CFC237C" w14:textId="77777777" w:rsidR="0051718E" w:rsidRPr="00557C2A" w:rsidRDefault="0051718E">
            <w:pPr>
              <w:spacing w:before="0" w:after="0"/>
              <w:jc w:val="center"/>
              <w:rPr>
                <w:rFonts w:eastAsia="Times New Roman"/>
                <w:b/>
                <w:bCs/>
                <w:noProof/>
                <w:color w:val="000000"/>
                <w:sz w:val="20"/>
                <w:szCs w:val="20"/>
              </w:rPr>
            </w:pPr>
            <w:r w:rsidRPr="00557C2A">
              <w:rPr>
                <w:b/>
                <w:noProof/>
                <w:color w:val="000000"/>
                <w:sz w:val="20"/>
              </w:rPr>
              <w:t>0</w:t>
            </w:r>
          </w:p>
        </w:tc>
        <w:tc>
          <w:tcPr>
            <w:tcW w:w="361" w:type="pct"/>
            <w:gridSpan w:val="4"/>
            <w:tcBorders>
              <w:top w:val="nil"/>
              <w:left w:val="nil"/>
              <w:bottom w:val="single" w:sz="8" w:space="0" w:color="auto"/>
              <w:right w:val="single" w:sz="8" w:space="0" w:color="auto"/>
            </w:tcBorders>
            <w:shd w:val="clear" w:color="000000" w:fill="D9D9D9"/>
            <w:vAlign w:val="center"/>
            <w:hideMark/>
          </w:tcPr>
          <w:p w14:paraId="6FEA3FE2" w14:textId="77777777" w:rsidR="0051718E" w:rsidRPr="00557C2A" w:rsidRDefault="0051718E">
            <w:pPr>
              <w:spacing w:before="0" w:after="0"/>
              <w:jc w:val="center"/>
              <w:rPr>
                <w:rFonts w:eastAsia="Times New Roman"/>
                <w:b/>
                <w:bCs/>
                <w:noProof/>
                <w:color w:val="000000"/>
                <w:sz w:val="20"/>
                <w:szCs w:val="20"/>
              </w:rPr>
            </w:pPr>
            <w:r w:rsidRPr="00557C2A">
              <w:rPr>
                <w:b/>
                <w:noProof/>
                <w:color w:val="000000"/>
                <w:sz w:val="20"/>
              </w:rPr>
              <w:t>0</w:t>
            </w:r>
          </w:p>
        </w:tc>
        <w:tc>
          <w:tcPr>
            <w:tcW w:w="361" w:type="pct"/>
            <w:gridSpan w:val="3"/>
            <w:tcBorders>
              <w:top w:val="nil"/>
              <w:left w:val="nil"/>
              <w:bottom w:val="single" w:sz="8" w:space="0" w:color="auto"/>
              <w:right w:val="single" w:sz="8" w:space="0" w:color="auto"/>
            </w:tcBorders>
            <w:shd w:val="clear" w:color="000000" w:fill="D9D9D9"/>
            <w:vAlign w:val="center"/>
            <w:hideMark/>
          </w:tcPr>
          <w:p w14:paraId="08A1BA6A" w14:textId="77777777" w:rsidR="0051718E" w:rsidRPr="00557C2A" w:rsidRDefault="0051718E">
            <w:pPr>
              <w:spacing w:before="0" w:after="0"/>
              <w:jc w:val="center"/>
              <w:rPr>
                <w:rFonts w:eastAsia="Times New Roman"/>
                <w:b/>
                <w:bCs/>
                <w:noProof/>
                <w:color w:val="000000"/>
                <w:sz w:val="20"/>
                <w:szCs w:val="20"/>
              </w:rPr>
            </w:pPr>
            <w:r w:rsidRPr="00557C2A">
              <w:rPr>
                <w:b/>
                <w:noProof/>
                <w:color w:val="000000"/>
                <w:sz w:val="20"/>
              </w:rPr>
              <w:t>0</w:t>
            </w:r>
          </w:p>
        </w:tc>
        <w:tc>
          <w:tcPr>
            <w:tcW w:w="361" w:type="pct"/>
            <w:gridSpan w:val="3"/>
            <w:tcBorders>
              <w:top w:val="nil"/>
              <w:left w:val="nil"/>
              <w:bottom w:val="single" w:sz="8" w:space="0" w:color="auto"/>
              <w:right w:val="single" w:sz="8" w:space="0" w:color="auto"/>
            </w:tcBorders>
            <w:shd w:val="clear" w:color="000000" w:fill="D9D9D9"/>
            <w:vAlign w:val="center"/>
            <w:hideMark/>
          </w:tcPr>
          <w:p w14:paraId="3F792AFB" w14:textId="77777777" w:rsidR="0051718E" w:rsidRPr="00557C2A" w:rsidRDefault="0051718E">
            <w:pPr>
              <w:spacing w:before="0" w:after="0"/>
              <w:jc w:val="center"/>
              <w:rPr>
                <w:rFonts w:eastAsia="Times New Roman"/>
                <w:b/>
                <w:bCs/>
                <w:noProof/>
                <w:color w:val="000000"/>
                <w:sz w:val="20"/>
                <w:szCs w:val="20"/>
              </w:rPr>
            </w:pPr>
            <w:r w:rsidRPr="00557C2A">
              <w:rPr>
                <w:b/>
                <w:noProof/>
                <w:color w:val="000000"/>
                <w:sz w:val="20"/>
              </w:rPr>
              <w:t>0</w:t>
            </w:r>
          </w:p>
        </w:tc>
        <w:tc>
          <w:tcPr>
            <w:tcW w:w="361" w:type="pct"/>
            <w:gridSpan w:val="3"/>
            <w:tcBorders>
              <w:top w:val="nil"/>
              <w:left w:val="nil"/>
              <w:bottom w:val="single" w:sz="8" w:space="0" w:color="auto"/>
              <w:right w:val="single" w:sz="8" w:space="0" w:color="auto"/>
            </w:tcBorders>
            <w:shd w:val="clear" w:color="000000" w:fill="D9D9D9"/>
            <w:vAlign w:val="center"/>
            <w:hideMark/>
          </w:tcPr>
          <w:p w14:paraId="2672BB0C" w14:textId="77777777" w:rsidR="0051718E" w:rsidRPr="00557C2A" w:rsidRDefault="0051718E">
            <w:pPr>
              <w:spacing w:before="0" w:after="0"/>
              <w:jc w:val="center"/>
              <w:rPr>
                <w:rFonts w:eastAsia="Times New Roman"/>
                <w:b/>
                <w:bCs/>
                <w:noProof/>
                <w:color w:val="000000"/>
                <w:sz w:val="20"/>
                <w:szCs w:val="20"/>
              </w:rPr>
            </w:pPr>
            <w:r w:rsidRPr="00557C2A">
              <w:rPr>
                <w:b/>
                <w:noProof/>
                <w:color w:val="000000"/>
                <w:sz w:val="20"/>
              </w:rPr>
              <w:t>0</w:t>
            </w:r>
          </w:p>
        </w:tc>
        <w:tc>
          <w:tcPr>
            <w:tcW w:w="361" w:type="pct"/>
            <w:gridSpan w:val="2"/>
            <w:tcBorders>
              <w:top w:val="nil"/>
              <w:left w:val="nil"/>
              <w:bottom w:val="single" w:sz="8" w:space="0" w:color="auto"/>
              <w:right w:val="single" w:sz="8" w:space="0" w:color="auto"/>
            </w:tcBorders>
            <w:shd w:val="clear" w:color="000000" w:fill="D9D9D9"/>
            <w:vAlign w:val="center"/>
            <w:hideMark/>
          </w:tcPr>
          <w:p w14:paraId="1A7E895D" w14:textId="77777777" w:rsidR="0051718E" w:rsidRPr="00557C2A" w:rsidRDefault="0051718E">
            <w:pPr>
              <w:spacing w:before="0" w:after="0"/>
              <w:jc w:val="center"/>
              <w:rPr>
                <w:rFonts w:eastAsia="Times New Roman"/>
                <w:b/>
                <w:bCs/>
                <w:noProof/>
                <w:color w:val="000000"/>
                <w:sz w:val="20"/>
                <w:szCs w:val="20"/>
              </w:rPr>
            </w:pPr>
            <w:r w:rsidRPr="00557C2A">
              <w:rPr>
                <w:b/>
                <w:noProof/>
                <w:color w:val="000000"/>
                <w:sz w:val="20"/>
              </w:rPr>
              <w:t>0</w:t>
            </w:r>
          </w:p>
        </w:tc>
        <w:tc>
          <w:tcPr>
            <w:tcW w:w="400" w:type="pct"/>
            <w:tcBorders>
              <w:top w:val="nil"/>
              <w:left w:val="nil"/>
              <w:bottom w:val="single" w:sz="8" w:space="0" w:color="auto"/>
              <w:right w:val="single" w:sz="8" w:space="0" w:color="auto"/>
            </w:tcBorders>
            <w:shd w:val="clear" w:color="000000" w:fill="D9D9D9"/>
            <w:vAlign w:val="center"/>
            <w:hideMark/>
          </w:tcPr>
          <w:p w14:paraId="03686BA3" w14:textId="77777777" w:rsidR="0051718E" w:rsidRPr="00557C2A" w:rsidRDefault="0051718E">
            <w:pPr>
              <w:spacing w:before="0" w:after="0"/>
              <w:jc w:val="center"/>
              <w:rPr>
                <w:rFonts w:eastAsia="Times New Roman"/>
                <w:b/>
                <w:bCs/>
                <w:noProof/>
                <w:color w:val="000000"/>
                <w:sz w:val="20"/>
                <w:szCs w:val="20"/>
              </w:rPr>
            </w:pPr>
            <w:r w:rsidRPr="00557C2A">
              <w:rPr>
                <w:b/>
                <w:noProof/>
                <w:color w:val="000000"/>
                <w:sz w:val="20"/>
              </w:rPr>
              <w:t>0,350</w:t>
            </w:r>
          </w:p>
        </w:tc>
      </w:tr>
      <w:tr w:rsidR="00F303D5" w:rsidRPr="00557C2A" w14:paraId="64B3E21E" w14:textId="77777777" w:rsidTr="00B37C03">
        <w:trPr>
          <w:trHeight w:val="1040"/>
        </w:trPr>
        <w:tc>
          <w:tcPr>
            <w:tcW w:w="704" w:type="pct"/>
            <w:tcBorders>
              <w:top w:val="nil"/>
              <w:left w:val="single" w:sz="8" w:space="0" w:color="auto"/>
              <w:bottom w:val="nil"/>
              <w:right w:val="single" w:sz="8" w:space="0" w:color="auto"/>
            </w:tcBorders>
            <w:shd w:val="thinDiagStripe" w:color="C0C0C0" w:fill="E6E6E6"/>
            <w:vAlign w:val="center"/>
            <w:hideMark/>
          </w:tcPr>
          <w:p w14:paraId="13257D90" w14:textId="77777777" w:rsidR="0051718E" w:rsidRPr="00557C2A" w:rsidRDefault="0051718E">
            <w:pPr>
              <w:spacing w:before="0" w:after="0"/>
              <w:jc w:val="center"/>
              <w:rPr>
                <w:rFonts w:eastAsia="Times New Roman"/>
                <w:noProof/>
                <w:color w:val="000000"/>
                <w:sz w:val="20"/>
                <w:szCs w:val="20"/>
              </w:rPr>
            </w:pPr>
            <w:r w:rsidRPr="00557C2A">
              <w:rPr>
                <w:noProof/>
                <w:color w:val="000000"/>
                <w:sz w:val="20"/>
              </w:rPr>
              <w:t>van het meerjarig financieel kader</w:t>
            </w:r>
          </w:p>
        </w:tc>
        <w:tc>
          <w:tcPr>
            <w:tcW w:w="537" w:type="pct"/>
            <w:gridSpan w:val="3"/>
            <w:vMerge w:val="restart"/>
            <w:tcBorders>
              <w:top w:val="nil"/>
              <w:left w:val="single" w:sz="8" w:space="0" w:color="auto"/>
              <w:bottom w:val="single" w:sz="8" w:space="0" w:color="000000"/>
              <w:right w:val="single" w:sz="8" w:space="0" w:color="auto"/>
            </w:tcBorders>
            <w:vAlign w:val="center"/>
            <w:hideMark/>
          </w:tcPr>
          <w:p w14:paraId="204EB609" w14:textId="77777777" w:rsidR="0051718E" w:rsidRPr="00557C2A" w:rsidRDefault="0051718E">
            <w:pPr>
              <w:spacing w:before="0" w:after="0"/>
              <w:rPr>
                <w:rFonts w:eastAsia="Times New Roman"/>
                <w:noProof/>
                <w:color w:val="000000"/>
                <w:sz w:val="18"/>
                <w:szCs w:val="18"/>
              </w:rPr>
            </w:pPr>
            <w:r w:rsidRPr="00557C2A">
              <w:rPr>
                <w:noProof/>
                <w:color w:val="000000"/>
                <w:sz w:val="18"/>
              </w:rPr>
              <w:t>Betalingen</w:t>
            </w:r>
          </w:p>
        </w:tc>
        <w:tc>
          <w:tcPr>
            <w:tcW w:w="834" w:type="pct"/>
            <w:gridSpan w:val="6"/>
            <w:vMerge w:val="restart"/>
            <w:tcBorders>
              <w:top w:val="single" w:sz="8" w:space="0" w:color="auto"/>
              <w:left w:val="single" w:sz="8" w:space="0" w:color="auto"/>
              <w:bottom w:val="single" w:sz="8" w:space="0" w:color="000000"/>
              <w:right w:val="single" w:sz="8" w:space="0" w:color="000000"/>
            </w:tcBorders>
            <w:vAlign w:val="center"/>
            <w:hideMark/>
          </w:tcPr>
          <w:p w14:paraId="06AA3E01" w14:textId="77777777" w:rsidR="0051718E" w:rsidRPr="00557C2A" w:rsidRDefault="0051718E">
            <w:pPr>
              <w:spacing w:before="0" w:after="0"/>
              <w:jc w:val="center"/>
              <w:rPr>
                <w:rFonts w:eastAsia="Times New Roman"/>
                <w:noProof/>
                <w:color w:val="000000"/>
                <w:sz w:val="14"/>
                <w:szCs w:val="14"/>
              </w:rPr>
            </w:pPr>
            <w:r w:rsidRPr="00557C2A">
              <w:rPr>
                <w:noProof/>
                <w:color w:val="000000"/>
                <w:sz w:val="14"/>
              </w:rPr>
              <w:t>=5+6</w:t>
            </w:r>
          </w:p>
        </w:tc>
        <w:tc>
          <w:tcPr>
            <w:tcW w:w="360" w:type="pct"/>
            <w:gridSpan w:val="3"/>
            <w:vMerge w:val="restart"/>
            <w:tcBorders>
              <w:top w:val="nil"/>
              <w:left w:val="single" w:sz="8" w:space="0" w:color="000000"/>
              <w:bottom w:val="single" w:sz="8" w:space="0" w:color="000000"/>
              <w:right w:val="single" w:sz="8" w:space="0" w:color="auto"/>
            </w:tcBorders>
            <w:shd w:val="clear" w:color="000000" w:fill="D9D9D9"/>
            <w:vAlign w:val="center"/>
            <w:hideMark/>
          </w:tcPr>
          <w:p w14:paraId="4C1971D2" w14:textId="77777777" w:rsidR="0051718E" w:rsidRPr="00557C2A" w:rsidRDefault="0051718E">
            <w:pPr>
              <w:spacing w:before="0" w:after="0"/>
              <w:jc w:val="center"/>
              <w:rPr>
                <w:rFonts w:eastAsia="Times New Roman"/>
                <w:b/>
                <w:bCs/>
                <w:noProof/>
                <w:color w:val="000000"/>
                <w:sz w:val="20"/>
                <w:szCs w:val="20"/>
              </w:rPr>
            </w:pPr>
            <w:r w:rsidRPr="00557C2A">
              <w:rPr>
                <w:b/>
                <w:noProof/>
                <w:color w:val="000000"/>
                <w:sz w:val="20"/>
              </w:rPr>
              <w:t>0</w:t>
            </w:r>
          </w:p>
        </w:tc>
        <w:tc>
          <w:tcPr>
            <w:tcW w:w="360" w:type="pct"/>
            <w:gridSpan w:val="3"/>
            <w:vMerge w:val="restart"/>
            <w:tcBorders>
              <w:top w:val="nil"/>
              <w:left w:val="single" w:sz="8" w:space="0" w:color="auto"/>
              <w:bottom w:val="single" w:sz="8" w:space="0" w:color="000000"/>
              <w:right w:val="single" w:sz="8" w:space="0" w:color="auto"/>
            </w:tcBorders>
            <w:shd w:val="clear" w:color="000000" w:fill="D9D9D9"/>
            <w:vAlign w:val="center"/>
            <w:hideMark/>
          </w:tcPr>
          <w:p w14:paraId="07306DBE" w14:textId="77777777" w:rsidR="0051718E" w:rsidRPr="00557C2A" w:rsidRDefault="0051718E">
            <w:pPr>
              <w:spacing w:before="0" w:after="0"/>
              <w:jc w:val="center"/>
              <w:rPr>
                <w:rFonts w:eastAsia="Times New Roman"/>
                <w:b/>
                <w:bCs/>
                <w:noProof/>
                <w:color w:val="000000"/>
                <w:sz w:val="20"/>
                <w:szCs w:val="20"/>
              </w:rPr>
            </w:pPr>
            <w:r w:rsidRPr="00557C2A">
              <w:rPr>
                <w:b/>
                <w:noProof/>
                <w:color w:val="000000"/>
                <w:sz w:val="20"/>
              </w:rPr>
              <w:t>0,140</w:t>
            </w:r>
          </w:p>
        </w:tc>
        <w:tc>
          <w:tcPr>
            <w:tcW w:w="361" w:type="pct"/>
            <w:gridSpan w:val="4"/>
            <w:vMerge w:val="restart"/>
            <w:tcBorders>
              <w:top w:val="nil"/>
              <w:left w:val="single" w:sz="8" w:space="0" w:color="auto"/>
              <w:bottom w:val="single" w:sz="8" w:space="0" w:color="000000"/>
              <w:right w:val="single" w:sz="8" w:space="0" w:color="auto"/>
            </w:tcBorders>
            <w:shd w:val="clear" w:color="000000" w:fill="D9D9D9"/>
            <w:vAlign w:val="center"/>
            <w:hideMark/>
          </w:tcPr>
          <w:p w14:paraId="67EECD71" w14:textId="77777777" w:rsidR="0051718E" w:rsidRPr="00557C2A" w:rsidRDefault="0051718E">
            <w:pPr>
              <w:spacing w:before="0" w:after="0"/>
              <w:jc w:val="center"/>
              <w:rPr>
                <w:rFonts w:eastAsia="Times New Roman"/>
                <w:b/>
                <w:bCs/>
                <w:noProof/>
                <w:color w:val="000000"/>
                <w:sz w:val="20"/>
                <w:szCs w:val="20"/>
                <w:lang w:eastAsia="en-IE"/>
              </w:rPr>
            </w:pPr>
          </w:p>
        </w:tc>
        <w:tc>
          <w:tcPr>
            <w:tcW w:w="361" w:type="pct"/>
            <w:gridSpan w:val="3"/>
            <w:vMerge w:val="restart"/>
            <w:tcBorders>
              <w:top w:val="nil"/>
              <w:left w:val="single" w:sz="8" w:space="0" w:color="auto"/>
              <w:bottom w:val="single" w:sz="8" w:space="0" w:color="000000"/>
              <w:right w:val="single" w:sz="8" w:space="0" w:color="auto"/>
            </w:tcBorders>
            <w:shd w:val="clear" w:color="000000" w:fill="D9D9D9"/>
            <w:vAlign w:val="center"/>
            <w:hideMark/>
          </w:tcPr>
          <w:p w14:paraId="4F4C4376" w14:textId="77777777" w:rsidR="0051718E" w:rsidRPr="00557C2A" w:rsidRDefault="0051718E">
            <w:pPr>
              <w:spacing w:before="0" w:after="0"/>
              <w:jc w:val="center"/>
              <w:rPr>
                <w:rFonts w:eastAsia="Times New Roman"/>
                <w:b/>
                <w:bCs/>
                <w:noProof/>
                <w:color w:val="000000"/>
                <w:sz w:val="20"/>
                <w:szCs w:val="20"/>
              </w:rPr>
            </w:pPr>
            <w:r w:rsidRPr="00557C2A">
              <w:rPr>
                <w:b/>
                <w:noProof/>
                <w:color w:val="000000"/>
                <w:sz w:val="20"/>
              </w:rPr>
              <w:t>0,140</w:t>
            </w:r>
          </w:p>
        </w:tc>
        <w:tc>
          <w:tcPr>
            <w:tcW w:w="361" w:type="pct"/>
            <w:gridSpan w:val="3"/>
            <w:vMerge w:val="restart"/>
            <w:tcBorders>
              <w:top w:val="nil"/>
              <w:left w:val="single" w:sz="8" w:space="0" w:color="000000"/>
              <w:bottom w:val="single" w:sz="8" w:space="0" w:color="000000"/>
              <w:right w:val="single" w:sz="8" w:space="0" w:color="auto"/>
            </w:tcBorders>
            <w:shd w:val="clear" w:color="000000" w:fill="D9D9D9"/>
            <w:vAlign w:val="center"/>
            <w:hideMark/>
          </w:tcPr>
          <w:p w14:paraId="3BC4F6C9" w14:textId="77777777" w:rsidR="0051718E" w:rsidRPr="00557C2A" w:rsidRDefault="0051718E">
            <w:pPr>
              <w:spacing w:before="0" w:after="0"/>
              <w:jc w:val="center"/>
              <w:rPr>
                <w:rFonts w:eastAsia="Times New Roman"/>
                <w:b/>
                <w:bCs/>
                <w:noProof/>
                <w:color w:val="000000"/>
                <w:sz w:val="20"/>
                <w:szCs w:val="20"/>
              </w:rPr>
            </w:pPr>
            <w:r w:rsidRPr="00557C2A">
              <w:rPr>
                <w:b/>
                <w:noProof/>
                <w:color w:val="000000"/>
                <w:sz w:val="20"/>
              </w:rPr>
              <w:t>0,070</w:t>
            </w:r>
          </w:p>
        </w:tc>
        <w:tc>
          <w:tcPr>
            <w:tcW w:w="361" w:type="pct"/>
            <w:gridSpan w:val="3"/>
            <w:vMerge w:val="restart"/>
            <w:tcBorders>
              <w:top w:val="nil"/>
              <w:left w:val="single" w:sz="8" w:space="0" w:color="auto"/>
              <w:bottom w:val="single" w:sz="8" w:space="0" w:color="000000"/>
              <w:right w:val="single" w:sz="8" w:space="0" w:color="auto"/>
            </w:tcBorders>
            <w:shd w:val="clear" w:color="000000" w:fill="D9D9D9"/>
            <w:vAlign w:val="center"/>
            <w:hideMark/>
          </w:tcPr>
          <w:p w14:paraId="0E3C4C99" w14:textId="77777777" w:rsidR="0051718E" w:rsidRPr="00557C2A" w:rsidRDefault="0051718E">
            <w:pPr>
              <w:spacing w:before="0" w:after="0"/>
              <w:jc w:val="center"/>
              <w:rPr>
                <w:rFonts w:eastAsia="Times New Roman"/>
                <w:b/>
                <w:bCs/>
                <w:noProof/>
                <w:color w:val="000000"/>
                <w:sz w:val="20"/>
                <w:szCs w:val="20"/>
              </w:rPr>
            </w:pPr>
            <w:r w:rsidRPr="00557C2A">
              <w:rPr>
                <w:b/>
                <w:noProof/>
                <w:color w:val="000000"/>
                <w:sz w:val="20"/>
              </w:rPr>
              <w:t>0</w:t>
            </w:r>
          </w:p>
        </w:tc>
        <w:tc>
          <w:tcPr>
            <w:tcW w:w="361" w:type="pct"/>
            <w:gridSpan w:val="2"/>
            <w:vMerge w:val="restart"/>
            <w:tcBorders>
              <w:top w:val="nil"/>
              <w:left w:val="single" w:sz="8" w:space="0" w:color="auto"/>
              <w:bottom w:val="single" w:sz="8" w:space="0" w:color="000000"/>
              <w:right w:val="single" w:sz="8" w:space="0" w:color="auto"/>
            </w:tcBorders>
            <w:shd w:val="clear" w:color="000000" w:fill="D9D9D9"/>
            <w:vAlign w:val="center"/>
            <w:hideMark/>
          </w:tcPr>
          <w:p w14:paraId="3A533950" w14:textId="77777777" w:rsidR="0051718E" w:rsidRPr="00557C2A" w:rsidRDefault="0051718E">
            <w:pPr>
              <w:spacing w:before="0" w:after="0"/>
              <w:jc w:val="center"/>
              <w:rPr>
                <w:rFonts w:eastAsia="Times New Roman"/>
                <w:b/>
                <w:bCs/>
                <w:noProof/>
                <w:color w:val="000000"/>
                <w:sz w:val="20"/>
                <w:szCs w:val="20"/>
              </w:rPr>
            </w:pPr>
            <w:r w:rsidRPr="00557C2A">
              <w:rPr>
                <w:b/>
                <w:noProof/>
                <w:color w:val="000000"/>
                <w:sz w:val="20"/>
              </w:rPr>
              <w:t>0</w:t>
            </w:r>
          </w:p>
        </w:tc>
        <w:tc>
          <w:tcPr>
            <w:tcW w:w="400" w:type="pct"/>
            <w:vMerge w:val="restart"/>
            <w:tcBorders>
              <w:top w:val="nil"/>
              <w:left w:val="single" w:sz="8" w:space="0" w:color="auto"/>
              <w:bottom w:val="single" w:sz="8" w:space="0" w:color="000000"/>
              <w:right w:val="single" w:sz="8" w:space="0" w:color="auto"/>
            </w:tcBorders>
            <w:shd w:val="clear" w:color="000000" w:fill="D9D9D9"/>
            <w:vAlign w:val="center"/>
            <w:hideMark/>
          </w:tcPr>
          <w:p w14:paraId="25CA8097" w14:textId="77777777" w:rsidR="0051718E" w:rsidRPr="00557C2A" w:rsidRDefault="0051718E">
            <w:pPr>
              <w:spacing w:before="0" w:after="0"/>
              <w:jc w:val="center"/>
              <w:rPr>
                <w:rFonts w:eastAsia="Times New Roman"/>
                <w:b/>
                <w:bCs/>
                <w:noProof/>
                <w:color w:val="000000"/>
                <w:sz w:val="20"/>
                <w:szCs w:val="20"/>
              </w:rPr>
            </w:pPr>
            <w:r w:rsidRPr="00557C2A">
              <w:rPr>
                <w:b/>
                <w:noProof/>
                <w:color w:val="000000"/>
                <w:sz w:val="20"/>
              </w:rPr>
              <w:t>0,350</w:t>
            </w:r>
          </w:p>
        </w:tc>
      </w:tr>
      <w:tr w:rsidR="0051718E" w:rsidRPr="00557C2A" w14:paraId="3F43BC02" w14:textId="77777777">
        <w:trPr>
          <w:trHeight w:val="54"/>
        </w:trPr>
        <w:tc>
          <w:tcPr>
            <w:tcW w:w="704" w:type="pct"/>
            <w:tcBorders>
              <w:top w:val="nil"/>
              <w:left w:val="single" w:sz="8" w:space="0" w:color="auto"/>
              <w:bottom w:val="single" w:sz="8" w:space="0" w:color="auto"/>
              <w:right w:val="single" w:sz="8" w:space="0" w:color="auto"/>
            </w:tcBorders>
            <w:shd w:val="thinDiagStripe" w:color="C0C0C0" w:fill="E6E6E6"/>
            <w:vAlign w:val="center"/>
            <w:hideMark/>
          </w:tcPr>
          <w:p w14:paraId="63F67AC1" w14:textId="77777777" w:rsidR="0051718E" w:rsidRPr="00557C2A" w:rsidRDefault="0051718E">
            <w:pPr>
              <w:spacing w:before="0" w:after="0"/>
              <w:jc w:val="center"/>
              <w:rPr>
                <w:rFonts w:eastAsia="Times New Roman"/>
                <w:noProof/>
                <w:color w:val="000000"/>
                <w:sz w:val="20"/>
                <w:szCs w:val="20"/>
              </w:rPr>
            </w:pPr>
            <w:r w:rsidRPr="00557C2A">
              <w:rPr>
                <w:noProof/>
                <w:color w:val="000000"/>
                <w:sz w:val="20"/>
              </w:rPr>
              <w:t>(referentiebedrag)</w:t>
            </w:r>
          </w:p>
        </w:tc>
        <w:tc>
          <w:tcPr>
            <w:tcW w:w="537" w:type="pct"/>
            <w:gridSpan w:val="3"/>
            <w:vMerge/>
            <w:tcBorders>
              <w:top w:val="nil"/>
              <w:left w:val="single" w:sz="8" w:space="0" w:color="auto"/>
              <w:bottom w:val="single" w:sz="8" w:space="0" w:color="000000"/>
              <w:right w:val="single" w:sz="8" w:space="0" w:color="auto"/>
            </w:tcBorders>
            <w:vAlign w:val="center"/>
            <w:hideMark/>
          </w:tcPr>
          <w:p w14:paraId="01D02080" w14:textId="77777777" w:rsidR="0051718E" w:rsidRPr="00557C2A" w:rsidRDefault="0051718E">
            <w:pPr>
              <w:spacing w:before="0" w:after="0"/>
              <w:jc w:val="left"/>
              <w:rPr>
                <w:rFonts w:eastAsia="Times New Roman"/>
                <w:noProof/>
                <w:color w:val="000000"/>
                <w:sz w:val="18"/>
                <w:szCs w:val="18"/>
                <w:lang w:eastAsia="en-IE"/>
              </w:rPr>
            </w:pPr>
          </w:p>
        </w:tc>
        <w:tc>
          <w:tcPr>
            <w:tcW w:w="834" w:type="pct"/>
            <w:gridSpan w:val="6"/>
            <w:vMerge/>
            <w:tcBorders>
              <w:top w:val="single" w:sz="8" w:space="0" w:color="auto"/>
              <w:left w:val="single" w:sz="8" w:space="0" w:color="auto"/>
              <w:bottom w:val="single" w:sz="8" w:space="0" w:color="000000"/>
              <w:right w:val="single" w:sz="8" w:space="0" w:color="000000"/>
            </w:tcBorders>
            <w:vAlign w:val="center"/>
            <w:hideMark/>
          </w:tcPr>
          <w:p w14:paraId="287B6E92" w14:textId="77777777" w:rsidR="0051718E" w:rsidRPr="00557C2A" w:rsidRDefault="0051718E">
            <w:pPr>
              <w:spacing w:before="0" w:after="0"/>
              <w:jc w:val="left"/>
              <w:rPr>
                <w:rFonts w:eastAsia="Times New Roman"/>
                <w:noProof/>
                <w:color w:val="000000"/>
                <w:sz w:val="14"/>
                <w:szCs w:val="14"/>
                <w:lang w:eastAsia="en-IE"/>
              </w:rPr>
            </w:pPr>
          </w:p>
        </w:tc>
        <w:tc>
          <w:tcPr>
            <w:tcW w:w="360" w:type="pct"/>
            <w:gridSpan w:val="3"/>
            <w:vMerge/>
            <w:tcBorders>
              <w:top w:val="nil"/>
              <w:left w:val="single" w:sz="8" w:space="0" w:color="000000"/>
              <w:bottom w:val="single" w:sz="8" w:space="0" w:color="000000"/>
              <w:right w:val="single" w:sz="8" w:space="0" w:color="auto"/>
            </w:tcBorders>
            <w:vAlign w:val="center"/>
            <w:hideMark/>
          </w:tcPr>
          <w:p w14:paraId="224DA6FE" w14:textId="77777777" w:rsidR="0051718E" w:rsidRPr="00557C2A" w:rsidRDefault="0051718E">
            <w:pPr>
              <w:spacing w:before="0" w:after="0"/>
              <w:jc w:val="left"/>
              <w:rPr>
                <w:rFonts w:eastAsia="Times New Roman"/>
                <w:b/>
                <w:bCs/>
                <w:noProof/>
                <w:color w:val="000000"/>
                <w:sz w:val="20"/>
                <w:szCs w:val="20"/>
                <w:lang w:eastAsia="en-IE"/>
              </w:rPr>
            </w:pPr>
          </w:p>
        </w:tc>
        <w:tc>
          <w:tcPr>
            <w:tcW w:w="360" w:type="pct"/>
            <w:gridSpan w:val="3"/>
            <w:vMerge/>
            <w:tcBorders>
              <w:top w:val="nil"/>
              <w:left w:val="single" w:sz="8" w:space="0" w:color="auto"/>
              <w:bottom w:val="single" w:sz="8" w:space="0" w:color="000000"/>
              <w:right w:val="single" w:sz="8" w:space="0" w:color="auto"/>
            </w:tcBorders>
            <w:vAlign w:val="center"/>
            <w:hideMark/>
          </w:tcPr>
          <w:p w14:paraId="180C217D" w14:textId="77777777" w:rsidR="0051718E" w:rsidRPr="00557C2A" w:rsidRDefault="0051718E">
            <w:pPr>
              <w:spacing w:before="0" w:after="0"/>
              <w:jc w:val="left"/>
              <w:rPr>
                <w:rFonts w:eastAsia="Times New Roman"/>
                <w:b/>
                <w:bCs/>
                <w:noProof/>
                <w:color w:val="000000"/>
                <w:sz w:val="20"/>
                <w:szCs w:val="20"/>
                <w:lang w:eastAsia="en-IE"/>
              </w:rPr>
            </w:pPr>
          </w:p>
        </w:tc>
        <w:tc>
          <w:tcPr>
            <w:tcW w:w="361" w:type="pct"/>
            <w:gridSpan w:val="4"/>
            <w:vMerge/>
            <w:tcBorders>
              <w:top w:val="nil"/>
              <w:left w:val="single" w:sz="8" w:space="0" w:color="auto"/>
              <w:bottom w:val="single" w:sz="8" w:space="0" w:color="000000"/>
              <w:right w:val="single" w:sz="8" w:space="0" w:color="auto"/>
            </w:tcBorders>
            <w:vAlign w:val="center"/>
            <w:hideMark/>
          </w:tcPr>
          <w:p w14:paraId="246D6944" w14:textId="77777777" w:rsidR="0051718E" w:rsidRPr="00557C2A" w:rsidRDefault="0051718E">
            <w:pPr>
              <w:spacing w:before="0" w:after="0"/>
              <w:jc w:val="left"/>
              <w:rPr>
                <w:rFonts w:eastAsia="Times New Roman"/>
                <w:b/>
                <w:bCs/>
                <w:noProof/>
                <w:color w:val="000000"/>
                <w:sz w:val="20"/>
                <w:szCs w:val="20"/>
                <w:lang w:eastAsia="en-IE"/>
              </w:rPr>
            </w:pPr>
          </w:p>
        </w:tc>
        <w:tc>
          <w:tcPr>
            <w:tcW w:w="361" w:type="pct"/>
            <w:gridSpan w:val="3"/>
            <w:vMerge/>
            <w:tcBorders>
              <w:top w:val="nil"/>
              <w:left w:val="single" w:sz="8" w:space="0" w:color="auto"/>
              <w:bottom w:val="single" w:sz="8" w:space="0" w:color="000000"/>
              <w:right w:val="single" w:sz="8" w:space="0" w:color="auto"/>
            </w:tcBorders>
            <w:vAlign w:val="center"/>
            <w:hideMark/>
          </w:tcPr>
          <w:p w14:paraId="146C19AB" w14:textId="77777777" w:rsidR="0051718E" w:rsidRPr="00557C2A" w:rsidRDefault="0051718E">
            <w:pPr>
              <w:spacing w:before="0" w:after="0"/>
              <w:jc w:val="left"/>
              <w:rPr>
                <w:rFonts w:eastAsia="Times New Roman"/>
                <w:b/>
                <w:bCs/>
                <w:noProof/>
                <w:color w:val="000000"/>
                <w:sz w:val="20"/>
                <w:szCs w:val="20"/>
                <w:lang w:eastAsia="en-IE"/>
              </w:rPr>
            </w:pPr>
          </w:p>
        </w:tc>
        <w:tc>
          <w:tcPr>
            <w:tcW w:w="361" w:type="pct"/>
            <w:gridSpan w:val="3"/>
            <w:vMerge/>
            <w:tcBorders>
              <w:top w:val="nil"/>
              <w:left w:val="single" w:sz="8" w:space="0" w:color="000000"/>
              <w:bottom w:val="single" w:sz="8" w:space="0" w:color="000000"/>
              <w:right w:val="single" w:sz="8" w:space="0" w:color="auto"/>
            </w:tcBorders>
            <w:vAlign w:val="center"/>
            <w:hideMark/>
          </w:tcPr>
          <w:p w14:paraId="12215EEF" w14:textId="77777777" w:rsidR="0051718E" w:rsidRPr="00557C2A" w:rsidRDefault="0051718E">
            <w:pPr>
              <w:spacing w:before="0" w:after="0"/>
              <w:jc w:val="left"/>
              <w:rPr>
                <w:rFonts w:eastAsia="Times New Roman"/>
                <w:b/>
                <w:bCs/>
                <w:noProof/>
                <w:color w:val="000000"/>
                <w:sz w:val="20"/>
                <w:szCs w:val="20"/>
                <w:lang w:eastAsia="en-IE"/>
              </w:rPr>
            </w:pPr>
          </w:p>
        </w:tc>
        <w:tc>
          <w:tcPr>
            <w:tcW w:w="361" w:type="pct"/>
            <w:gridSpan w:val="3"/>
            <w:vMerge/>
            <w:tcBorders>
              <w:top w:val="nil"/>
              <w:left w:val="single" w:sz="8" w:space="0" w:color="auto"/>
              <w:bottom w:val="single" w:sz="8" w:space="0" w:color="000000"/>
              <w:right w:val="single" w:sz="8" w:space="0" w:color="auto"/>
            </w:tcBorders>
            <w:vAlign w:val="center"/>
            <w:hideMark/>
          </w:tcPr>
          <w:p w14:paraId="2543B7F0" w14:textId="77777777" w:rsidR="0051718E" w:rsidRPr="00557C2A" w:rsidRDefault="0051718E">
            <w:pPr>
              <w:spacing w:before="0" w:after="0"/>
              <w:jc w:val="left"/>
              <w:rPr>
                <w:rFonts w:eastAsia="Times New Roman"/>
                <w:b/>
                <w:bCs/>
                <w:noProof/>
                <w:color w:val="000000"/>
                <w:sz w:val="20"/>
                <w:szCs w:val="20"/>
                <w:lang w:eastAsia="en-IE"/>
              </w:rPr>
            </w:pPr>
          </w:p>
        </w:tc>
        <w:tc>
          <w:tcPr>
            <w:tcW w:w="361" w:type="pct"/>
            <w:gridSpan w:val="2"/>
            <w:vMerge/>
            <w:tcBorders>
              <w:top w:val="nil"/>
              <w:left w:val="single" w:sz="8" w:space="0" w:color="auto"/>
              <w:bottom w:val="single" w:sz="8" w:space="0" w:color="000000"/>
              <w:right w:val="single" w:sz="8" w:space="0" w:color="auto"/>
            </w:tcBorders>
            <w:vAlign w:val="center"/>
            <w:hideMark/>
          </w:tcPr>
          <w:p w14:paraId="31F4461C" w14:textId="77777777" w:rsidR="0051718E" w:rsidRPr="00557C2A" w:rsidRDefault="0051718E">
            <w:pPr>
              <w:spacing w:before="0" w:after="0"/>
              <w:jc w:val="left"/>
              <w:rPr>
                <w:rFonts w:eastAsia="Times New Roman"/>
                <w:b/>
                <w:bCs/>
                <w:noProof/>
                <w:color w:val="000000"/>
                <w:sz w:val="20"/>
                <w:szCs w:val="20"/>
                <w:lang w:eastAsia="en-IE"/>
              </w:rPr>
            </w:pPr>
          </w:p>
        </w:tc>
        <w:tc>
          <w:tcPr>
            <w:tcW w:w="400" w:type="pct"/>
            <w:vMerge/>
            <w:tcBorders>
              <w:top w:val="nil"/>
              <w:left w:val="single" w:sz="8" w:space="0" w:color="auto"/>
              <w:bottom w:val="single" w:sz="8" w:space="0" w:color="000000"/>
              <w:right w:val="single" w:sz="8" w:space="0" w:color="auto"/>
            </w:tcBorders>
            <w:vAlign w:val="center"/>
            <w:hideMark/>
          </w:tcPr>
          <w:p w14:paraId="03326470" w14:textId="77777777" w:rsidR="0051718E" w:rsidRPr="00557C2A" w:rsidRDefault="0051718E">
            <w:pPr>
              <w:spacing w:before="0" w:after="0"/>
              <w:jc w:val="left"/>
              <w:rPr>
                <w:rFonts w:eastAsia="Times New Roman"/>
                <w:b/>
                <w:bCs/>
                <w:noProof/>
                <w:color w:val="000000"/>
                <w:sz w:val="20"/>
                <w:szCs w:val="20"/>
                <w:lang w:eastAsia="en-IE"/>
              </w:rPr>
            </w:pPr>
          </w:p>
        </w:tc>
      </w:tr>
    </w:tbl>
    <w:p w14:paraId="24906FB9" w14:textId="77777777" w:rsidR="0051718E" w:rsidRPr="00557C2A" w:rsidRDefault="0051718E" w:rsidP="0051718E">
      <w:pPr>
        <w:rPr>
          <w:noProof/>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6"/>
        <w:gridCol w:w="2711"/>
        <w:gridCol w:w="249"/>
        <w:gridCol w:w="477"/>
        <w:gridCol w:w="649"/>
        <w:gridCol w:w="77"/>
        <w:gridCol w:w="995"/>
        <w:gridCol w:w="995"/>
        <w:gridCol w:w="995"/>
        <w:gridCol w:w="995"/>
        <w:gridCol w:w="995"/>
        <w:gridCol w:w="995"/>
        <w:gridCol w:w="995"/>
        <w:gridCol w:w="1106"/>
      </w:tblGrid>
      <w:tr w:rsidR="0051718E" w:rsidRPr="00557C2A" w14:paraId="439E644E" w14:textId="77777777" w:rsidTr="1BDB167A">
        <w:trPr>
          <w:jc w:val="center"/>
        </w:trPr>
        <w:tc>
          <w:tcPr>
            <w:tcW w:w="1739" w:type="pct"/>
            <w:gridSpan w:val="3"/>
            <w:vAlign w:val="center"/>
          </w:tcPr>
          <w:p w14:paraId="541AD244" w14:textId="77777777" w:rsidR="0051718E" w:rsidRPr="00557C2A" w:rsidRDefault="0051718E">
            <w:pPr>
              <w:spacing w:before="60" w:after="60"/>
              <w:jc w:val="center"/>
              <w:rPr>
                <w:b/>
                <w:noProof/>
              </w:rPr>
            </w:pPr>
            <w:r w:rsidRPr="00557C2A">
              <w:rPr>
                <w:noProof/>
              </w:rPr>
              <w:br w:type="page"/>
            </w:r>
            <w:r w:rsidRPr="00557C2A">
              <w:rPr>
                <w:b/>
                <w:noProof/>
                <w:sz w:val="22"/>
              </w:rPr>
              <w:t xml:space="preserve">Rubriek van het meerjarig financieel kader </w:t>
            </w:r>
          </w:p>
        </w:tc>
        <w:tc>
          <w:tcPr>
            <w:tcW w:w="396" w:type="pct"/>
            <w:gridSpan w:val="2"/>
            <w:vAlign w:val="center"/>
          </w:tcPr>
          <w:p w14:paraId="24014E2D" w14:textId="77777777" w:rsidR="0051718E" w:rsidRPr="00557C2A" w:rsidRDefault="0051718E">
            <w:pPr>
              <w:spacing w:before="60" w:after="60"/>
              <w:jc w:val="center"/>
              <w:rPr>
                <w:noProof/>
              </w:rPr>
            </w:pPr>
            <w:r w:rsidRPr="00557C2A">
              <w:rPr>
                <w:noProof/>
              </w:rPr>
              <w:t>4</w:t>
            </w:r>
          </w:p>
        </w:tc>
        <w:tc>
          <w:tcPr>
            <w:tcW w:w="2865" w:type="pct"/>
            <w:gridSpan w:val="9"/>
            <w:vAlign w:val="center"/>
          </w:tcPr>
          <w:p w14:paraId="6120D529" w14:textId="77777777" w:rsidR="0051718E" w:rsidRPr="00557C2A" w:rsidRDefault="0051718E">
            <w:pPr>
              <w:spacing w:before="60" w:after="60"/>
              <w:rPr>
                <w:noProof/>
              </w:rPr>
            </w:pPr>
            <w:r w:rsidRPr="00557C2A">
              <w:rPr>
                <w:noProof/>
                <w:sz w:val="22"/>
              </w:rPr>
              <w:t>“Administratieve uitgaven”</w:t>
            </w:r>
            <w:r w:rsidRPr="00557C2A">
              <w:rPr>
                <w:rStyle w:val="FootnoteReference"/>
                <w:noProof/>
                <w:sz w:val="22"/>
              </w:rPr>
              <w:footnoteReference w:id="60"/>
            </w:r>
          </w:p>
        </w:tc>
      </w:tr>
      <w:tr w:rsidR="0051718E" w:rsidRPr="00557C2A" w14:paraId="3A045DBF" w14:textId="77777777" w:rsidTr="00B37C03">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410"/>
        </w:trPr>
        <w:tc>
          <w:tcPr>
            <w:tcW w:w="2161" w:type="pct"/>
            <w:gridSpan w:val="6"/>
            <w:vMerge w:val="restart"/>
            <w:tcBorders>
              <w:top w:val="single" w:sz="8" w:space="0" w:color="auto"/>
              <w:left w:val="single" w:sz="8" w:space="0" w:color="auto"/>
              <w:bottom w:val="single" w:sz="8" w:space="0" w:color="000000"/>
              <w:right w:val="single" w:sz="8" w:space="0" w:color="000000"/>
            </w:tcBorders>
            <w:vAlign w:val="center"/>
            <w:hideMark/>
          </w:tcPr>
          <w:p w14:paraId="39E6BED0" w14:textId="77777777" w:rsidR="0051718E" w:rsidRPr="00557C2A" w:rsidRDefault="0051718E">
            <w:pPr>
              <w:spacing w:before="0" w:after="0"/>
              <w:jc w:val="center"/>
              <w:rPr>
                <w:rFonts w:eastAsia="Times New Roman"/>
                <w:noProof/>
                <w:color w:val="000000"/>
                <w:szCs w:val="24"/>
              </w:rPr>
            </w:pPr>
            <w:r w:rsidRPr="00557C2A">
              <w:rPr>
                <w:noProof/>
                <w:color w:val="000000"/>
              </w:rPr>
              <w:t>DG: &lt;…….&gt;</w:t>
            </w:r>
          </w:p>
        </w:tc>
        <w:tc>
          <w:tcPr>
            <w:tcW w:w="350" w:type="pct"/>
            <w:tcBorders>
              <w:top w:val="single" w:sz="8" w:space="0" w:color="auto"/>
              <w:left w:val="nil"/>
              <w:bottom w:val="nil"/>
              <w:right w:val="single" w:sz="8" w:space="0" w:color="auto"/>
            </w:tcBorders>
            <w:vAlign w:val="center"/>
            <w:hideMark/>
          </w:tcPr>
          <w:p w14:paraId="643316A4" w14:textId="77777777" w:rsidR="0051718E" w:rsidRPr="00557C2A" w:rsidRDefault="0051718E">
            <w:pPr>
              <w:spacing w:before="0" w:after="0"/>
              <w:jc w:val="center"/>
              <w:rPr>
                <w:rFonts w:eastAsia="Times New Roman"/>
                <w:noProof/>
                <w:color w:val="000000"/>
                <w:sz w:val="20"/>
                <w:szCs w:val="20"/>
              </w:rPr>
            </w:pPr>
            <w:r w:rsidRPr="00557C2A">
              <w:rPr>
                <w:noProof/>
                <w:color w:val="000000"/>
                <w:sz w:val="20"/>
              </w:rPr>
              <w:t>Jaar</w:t>
            </w:r>
          </w:p>
        </w:tc>
        <w:tc>
          <w:tcPr>
            <w:tcW w:w="350" w:type="pct"/>
            <w:tcBorders>
              <w:top w:val="single" w:sz="8" w:space="0" w:color="auto"/>
              <w:left w:val="nil"/>
              <w:bottom w:val="nil"/>
              <w:right w:val="single" w:sz="8" w:space="0" w:color="auto"/>
            </w:tcBorders>
            <w:vAlign w:val="center"/>
            <w:hideMark/>
          </w:tcPr>
          <w:p w14:paraId="16F86CB2" w14:textId="77777777" w:rsidR="0051718E" w:rsidRPr="00557C2A" w:rsidRDefault="0051718E">
            <w:pPr>
              <w:spacing w:before="0" w:after="0"/>
              <w:jc w:val="center"/>
              <w:rPr>
                <w:rFonts w:eastAsia="Times New Roman"/>
                <w:noProof/>
                <w:color w:val="000000"/>
                <w:sz w:val="20"/>
                <w:szCs w:val="20"/>
              </w:rPr>
            </w:pPr>
            <w:r w:rsidRPr="00557C2A">
              <w:rPr>
                <w:noProof/>
                <w:color w:val="000000"/>
                <w:sz w:val="20"/>
              </w:rPr>
              <w:t>Jaar</w:t>
            </w:r>
          </w:p>
        </w:tc>
        <w:tc>
          <w:tcPr>
            <w:tcW w:w="350" w:type="pct"/>
            <w:tcBorders>
              <w:top w:val="single" w:sz="8" w:space="0" w:color="auto"/>
              <w:left w:val="nil"/>
              <w:bottom w:val="nil"/>
              <w:right w:val="single" w:sz="8" w:space="0" w:color="auto"/>
            </w:tcBorders>
            <w:vAlign w:val="center"/>
            <w:hideMark/>
          </w:tcPr>
          <w:p w14:paraId="536E9758" w14:textId="77777777" w:rsidR="0051718E" w:rsidRPr="00557C2A" w:rsidRDefault="0051718E">
            <w:pPr>
              <w:spacing w:before="0" w:after="0"/>
              <w:jc w:val="center"/>
              <w:rPr>
                <w:rFonts w:eastAsia="Times New Roman"/>
                <w:noProof/>
                <w:color w:val="000000"/>
                <w:sz w:val="20"/>
                <w:szCs w:val="20"/>
              </w:rPr>
            </w:pPr>
            <w:r w:rsidRPr="00557C2A">
              <w:rPr>
                <w:noProof/>
                <w:color w:val="000000"/>
                <w:sz w:val="20"/>
              </w:rPr>
              <w:t>Jaar</w:t>
            </w:r>
          </w:p>
        </w:tc>
        <w:tc>
          <w:tcPr>
            <w:tcW w:w="350" w:type="pct"/>
            <w:tcBorders>
              <w:top w:val="single" w:sz="8" w:space="0" w:color="auto"/>
              <w:left w:val="nil"/>
              <w:bottom w:val="nil"/>
              <w:right w:val="single" w:sz="8" w:space="0" w:color="auto"/>
            </w:tcBorders>
            <w:vAlign w:val="center"/>
            <w:hideMark/>
          </w:tcPr>
          <w:p w14:paraId="54B0EB07" w14:textId="77777777" w:rsidR="0051718E" w:rsidRPr="00557C2A" w:rsidRDefault="0051718E">
            <w:pPr>
              <w:spacing w:before="0" w:after="0"/>
              <w:jc w:val="center"/>
              <w:rPr>
                <w:rFonts w:eastAsia="Times New Roman"/>
                <w:noProof/>
                <w:color w:val="000000"/>
                <w:sz w:val="20"/>
                <w:szCs w:val="20"/>
              </w:rPr>
            </w:pPr>
            <w:r w:rsidRPr="00557C2A">
              <w:rPr>
                <w:noProof/>
                <w:color w:val="000000"/>
                <w:sz w:val="20"/>
              </w:rPr>
              <w:t>Jaar</w:t>
            </w:r>
          </w:p>
        </w:tc>
        <w:tc>
          <w:tcPr>
            <w:tcW w:w="350" w:type="pct"/>
            <w:tcBorders>
              <w:top w:val="single" w:sz="8" w:space="0" w:color="auto"/>
              <w:left w:val="nil"/>
              <w:bottom w:val="nil"/>
              <w:right w:val="single" w:sz="8" w:space="0" w:color="auto"/>
            </w:tcBorders>
            <w:vAlign w:val="center"/>
            <w:hideMark/>
          </w:tcPr>
          <w:p w14:paraId="22354024" w14:textId="77777777" w:rsidR="0051718E" w:rsidRPr="00557C2A" w:rsidRDefault="0051718E">
            <w:pPr>
              <w:spacing w:before="0" w:after="0"/>
              <w:jc w:val="center"/>
              <w:rPr>
                <w:rFonts w:eastAsia="Times New Roman"/>
                <w:noProof/>
                <w:color w:val="000000"/>
                <w:sz w:val="20"/>
                <w:szCs w:val="20"/>
              </w:rPr>
            </w:pPr>
            <w:r w:rsidRPr="00557C2A">
              <w:rPr>
                <w:noProof/>
                <w:color w:val="000000"/>
                <w:sz w:val="20"/>
              </w:rPr>
              <w:t>Jaar</w:t>
            </w:r>
          </w:p>
        </w:tc>
        <w:tc>
          <w:tcPr>
            <w:tcW w:w="350" w:type="pct"/>
            <w:tcBorders>
              <w:top w:val="single" w:sz="8" w:space="0" w:color="auto"/>
              <w:left w:val="nil"/>
              <w:bottom w:val="nil"/>
              <w:right w:val="single" w:sz="8" w:space="0" w:color="auto"/>
            </w:tcBorders>
            <w:vAlign w:val="center"/>
            <w:hideMark/>
          </w:tcPr>
          <w:p w14:paraId="6FEA5B53" w14:textId="77777777" w:rsidR="0051718E" w:rsidRPr="00557C2A" w:rsidRDefault="0051718E">
            <w:pPr>
              <w:spacing w:before="0" w:after="0"/>
              <w:jc w:val="center"/>
              <w:rPr>
                <w:rFonts w:eastAsia="Times New Roman"/>
                <w:noProof/>
                <w:color w:val="000000"/>
                <w:sz w:val="20"/>
                <w:szCs w:val="20"/>
              </w:rPr>
            </w:pPr>
            <w:r w:rsidRPr="00557C2A">
              <w:rPr>
                <w:noProof/>
                <w:color w:val="000000"/>
                <w:sz w:val="20"/>
              </w:rPr>
              <w:t>Jaar</w:t>
            </w:r>
          </w:p>
        </w:tc>
        <w:tc>
          <w:tcPr>
            <w:tcW w:w="350" w:type="pct"/>
            <w:tcBorders>
              <w:top w:val="single" w:sz="8" w:space="0" w:color="auto"/>
              <w:left w:val="nil"/>
              <w:bottom w:val="nil"/>
              <w:right w:val="single" w:sz="8" w:space="0" w:color="auto"/>
            </w:tcBorders>
            <w:vAlign w:val="center"/>
            <w:hideMark/>
          </w:tcPr>
          <w:p w14:paraId="0CBE6C7A" w14:textId="77777777" w:rsidR="0051718E" w:rsidRPr="00557C2A" w:rsidRDefault="0051718E">
            <w:pPr>
              <w:spacing w:before="0" w:after="0"/>
              <w:jc w:val="center"/>
              <w:rPr>
                <w:rFonts w:eastAsia="Times New Roman"/>
                <w:noProof/>
                <w:color w:val="000000"/>
                <w:sz w:val="20"/>
                <w:szCs w:val="20"/>
              </w:rPr>
            </w:pPr>
            <w:r w:rsidRPr="00557C2A">
              <w:rPr>
                <w:noProof/>
                <w:color w:val="000000"/>
                <w:sz w:val="20"/>
              </w:rPr>
              <w:t>Jaar</w:t>
            </w:r>
          </w:p>
        </w:tc>
        <w:tc>
          <w:tcPr>
            <w:tcW w:w="391" w:type="pct"/>
            <w:vMerge w:val="restart"/>
            <w:tcBorders>
              <w:top w:val="single" w:sz="8" w:space="0" w:color="auto"/>
              <w:left w:val="single" w:sz="8" w:space="0" w:color="auto"/>
              <w:bottom w:val="single" w:sz="8" w:space="0" w:color="000000"/>
              <w:right w:val="single" w:sz="8" w:space="0" w:color="auto"/>
            </w:tcBorders>
            <w:vAlign w:val="center"/>
            <w:hideMark/>
          </w:tcPr>
          <w:p w14:paraId="00543866" w14:textId="77777777" w:rsidR="0051718E" w:rsidRPr="00557C2A" w:rsidRDefault="0051718E">
            <w:pPr>
              <w:spacing w:before="0" w:after="0"/>
              <w:jc w:val="center"/>
              <w:rPr>
                <w:rFonts w:eastAsia="Times New Roman"/>
                <w:b/>
                <w:bCs/>
                <w:noProof/>
                <w:color w:val="000000"/>
                <w:sz w:val="20"/>
                <w:szCs w:val="20"/>
              </w:rPr>
            </w:pPr>
            <w:r w:rsidRPr="00557C2A">
              <w:rPr>
                <w:b/>
                <w:noProof/>
                <w:color w:val="000000"/>
                <w:sz w:val="20"/>
              </w:rPr>
              <w:t>TOTAAL MFK 2028-2034</w:t>
            </w:r>
          </w:p>
        </w:tc>
      </w:tr>
      <w:tr w:rsidR="0051718E" w:rsidRPr="00557C2A" w14:paraId="0E5B1C74" w14:textId="77777777" w:rsidTr="00B37C03">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0"/>
        </w:trPr>
        <w:tc>
          <w:tcPr>
            <w:tcW w:w="2161" w:type="pct"/>
            <w:gridSpan w:val="6"/>
            <w:vMerge/>
            <w:tcBorders>
              <w:top w:val="single" w:sz="8" w:space="0" w:color="auto"/>
              <w:left w:val="single" w:sz="8" w:space="0" w:color="auto"/>
              <w:bottom w:val="single" w:sz="8" w:space="0" w:color="000000"/>
              <w:right w:val="single" w:sz="8" w:space="0" w:color="000000"/>
            </w:tcBorders>
            <w:vAlign w:val="center"/>
            <w:hideMark/>
          </w:tcPr>
          <w:p w14:paraId="548D472C" w14:textId="77777777" w:rsidR="0051718E" w:rsidRPr="00557C2A" w:rsidRDefault="0051718E">
            <w:pPr>
              <w:spacing w:before="0" w:after="0"/>
              <w:jc w:val="left"/>
              <w:rPr>
                <w:rFonts w:eastAsia="Times New Roman"/>
                <w:noProof/>
                <w:color w:val="000000"/>
                <w:szCs w:val="24"/>
                <w:lang w:eastAsia="en-IE"/>
              </w:rPr>
            </w:pPr>
          </w:p>
        </w:tc>
        <w:tc>
          <w:tcPr>
            <w:tcW w:w="350" w:type="pct"/>
            <w:tcBorders>
              <w:top w:val="nil"/>
              <w:left w:val="nil"/>
              <w:bottom w:val="single" w:sz="8" w:space="0" w:color="auto"/>
              <w:right w:val="single" w:sz="8" w:space="0" w:color="auto"/>
            </w:tcBorders>
            <w:vAlign w:val="center"/>
            <w:hideMark/>
          </w:tcPr>
          <w:p w14:paraId="4AF04298" w14:textId="77777777" w:rsidR="0051718E" w:rsidRPr="00557C2A" w:rsidRDefault="0051718E">
            <w:pPr>
              <w:spacing w:before="0" w:after="0"/>
              <w:jc w:val="center"/>
              <w:rPr>
                <w:rFonts w:eastAsia="Times New Roman"/>
                <w:b/>
                <w:bCs/>
                <w:noProof/>
                <w:color w:val="000000"/>
                <w:sz w:val="20"/>
                <w:szCs w:val="20"/>
              </w:rPr>
            </w:pPr>
            <w:r w:rsidRPr="00557C2A">
              <w:rPr>
                <w:b/>
                <w:noProof/>
                <w:color w:val="000000"/>
                <w:sz w:val="20"/>
              </w:rPr>
              <w:t>2028</w:t>
            </w:r>
          </w:p>
        </w:tc>
        <w:tc>
          <w:tcPr>
            <w:tcW w:w="350" w:type="pct"/>
            <w:tcBorders>
              <w:top w:val="nil"/>
              <w:left w:val="nil"/>
              <w:bottom w:val="single" w:sz="8" w:space="0" w:color="auto"/>
              <w:right w:val="single" w:sz="8" w:space="0" w:color="auto"/>
            </w:tcBorders>
            <w:vAlign w:val="center"/>
            <w:hideMark/>
          </w:tcPr>
          <w:p w14:paraId="7E37925D" w14:textId="77777777" w:rsidR="0051718E" w:rsidRPr="00557C2A" w:rsidRDefault="0051718E">
            <w:pPr>
              <w:spacing w:before="0" w:after="0"/>
              <w:jc w:val="center"/>
              <w:rPr>
                <w:rFonts w:eastAsia="Times New Roman"/>
                <w:b/>
                <w:bCs/>
                <w:noProof/>
                <w:color w:val="000000"/>
                <w:sz w:val="20"/>
                <w:szCs w:val="20"/>
              </w:rPr>
            </w:pPr>
            <w:r w:rsidRPr="00557C2A">
              <w:rPr>
                <w:b/>
                <w:noProof/>
                <w:color w:val="000000"/>
                <w:sz w:val="20"/>
              </w:rPr>
              <w:t>2029</w:t>
            </w:r>
          </w:p>
        </w:tc>
        <w:tc>
          <w:tcPr>
            <w:tcW w:w="350" w:type="pct"/>
            <w:tcBorders>
              <w:top w:val="nil"/>
              <w:left w:val="nil"/>
              <w:bottom w:val="single" w:sz="8" w:space="0" w:color="auto"/>
              <w:right w:val="single" w:sz="8" w:space="0" w:color="auto"/>
            </w:tcBorders>
            <w:vAlign w:val="center"/>
            <w:hideMark/>
          </w:tcPr>
          <w:p w14:paraId="34F6EF20" w14:textId="77777777" w:rsidR="0051718E" w:rsidRPr="00557C2A" w:rsidRDefault="0051718E">
            <w:pPr>
              <w:spacing w:before="0" w:after="0"/>
              <w:jc w:val="center"/>
              <w:rPr>
                <w:rFonts w:eastAsia="Times New Roman"/>
                <w:b/>
                <w:bCs/>
                <w:noProof/>
                <w:color w:val="000000"/>
                <w:sz w:val="20"/>
                <w:szCs w:val="20"/>
              </w:rPr>
            </w:pPr>
            <w:r w:rsidRPr="00557C2A">
              <w:rPr>
                <w:b/>
                <w:noProof/>
                <w:color w:val="000000"/>
                <w:sz w:val="20"/>
              </w:rPr>
              <w:t>2030</w:t>
            </w:r>
          </w:p>
        </w:tc>
        <w:tc>
          <w:tcPr>
            <w:tcW w:w="350" w:type="pct"/>
            <w:tcBorders>
              <w:top w:val="nil"/>
              <w:left w:val="nil"/>
              <w:bottom w:val="single" w:sz="8" w:space="0" w:color="auto"/>
              <w:right w:val="single" w:sz="8" w:space="0" w:color="auto"/>
            </w:tcBorders>
            <w:vAlign w:val="center"/>
            <w:hideMark/>
          </w:tcPr>
          <w:p w14:paraId="0040637D" w14:textId="77777777" w:rsidR="0051718E" w:rsidRPr="00557C2A" w:rsidRDefault="0051718E">
            <w:pPr>
              <w:spacing w:before="0" w:after="0"/>
              <w:jc w:val="center"/>
              <w:rPr>
                <w:rFonts w:eastAsia="Times New Roman"/>
                <w:b/>
                <w:bCs/>
                <w:noProof/>
                <w:color w:val="000000"/>
                <w:sz w:val="20"/>
                <w:szCs w:val="20"/>
              </w:rPr>
            </w:pPr>
            <w:r w:rsidRPr="00557C2A">
              <w:rPr>
                <w:b/>
                <w:noProof/>
                <w:color w:val="000000"/>
                <w:sz w:val="20"/>
              </w:rPr>
              <w:t>2031</w:t>
            </w:r>
          </w:p>
        </w:tc>
        <w:tc>
          <w:tcPr>
            <w:tcW w:w="350" w:type="pct"/>
            <w:tcBorders>
              <w:top w:val="nil"/>
              <w:left w:val="nil"/>
              <w:bottom w:val="single" w:sz="8" w:space="0" w:color="auto"/>
              <w:right w:val="single" w:sz="8" w:space="0" w:color="auto"/>
            </w:tcBorders>
            <w:vAlign w:val="center"/>
            <w:hideMark/>
          </w:tcPr>
          <w:p w14:paraId="4135631D" w14:textId="77777777" w:rsidR="0051718E" w:rsidRPr="00557C2A" w:rsidRDefault="0051718E">
            <w:pPr>
              <w:spacing w:before="0" w:after="0"/>
              <w:jc w:val="center"/>
              <w:rPr>
                <w:rFonts w:eastAsia="Times New Roman"/>
                <w:b/>
                <w:bCs/>
                <w:noProof/>
                <w:color w:val="000000"/>
                <w:sz w:val="20"/>
                <w:szCs w:val="20"/>
              </w:rPr>
            </w:pPr>
            <w:r w:rsidRPr="00557C2A">
              <w:rPr>
                <w:b/>
                <w:noProof/>
                <w:color w:val="000000"/>
                <w:sz w:val="20"/>
              </w:rPr>
              <w:t>2032</w:t>
            </w:r>
          </w:p>
        </w:tc>
        <w:tc>
          <w:tcPr>
            <w:tcW w:w="350" w:type="pct"/>
            <w:tcBorders>
              <w:top w:val="nil"/>
              <w:left w:val="nil"/>
              <w:bottom w:val="single" w:sz="8" w:space="0" w:color="auto"/>
              <w:right w:val="single" w:sz="8" w:space="0" w:color="auto"/>
            </w:tcBorders>
            <w:vAlign w:val="center"/>
            <w:hideMark/>
          </w:tcPr>
          <w:p w14:paraId="38282BED" w14:textId="77777777" w:rsidR="0051718E" w:rsidRPr="00557C2A" w:rsidRDefault="0051718E">
            <w:pPr>
              <w:spacing w:before="0" w:after="0"/>
              <w:jc w:val="center"/>
              <w:rPr>
                <w:rFonts w:eastAsia="Times New Roman"/>
                <w:b/>
                <w:bCs/>
                <w:noProof/>
                <w:color w:val="000000"/>
                <w:sz w:val="20"/>
                <w:szCs w:val="20"/>
              </w:rPr>
            </w:pPr>
            <w:r w:rsidRPr="00557C2A">
              <w:rPr>
                <w:b/>
                <w:noProof/>
                <w:color w:val="000000"/>
                <w:sz w:val="20"/>
              </w:rPr>
              <w:t>2033</w:t>
            </w:r>
          </w:p>
        </w:tc>
        <w:tc>
          <w:tcPr>
            <w:tcW w:w="350" w:type="pct"/>
            <w:tcBorders>
              <w:top w:val="nil"/>
              <w:left w:val="nil"/>
              <w:bottom w:val="single" w:sz="8" w:space="0" w:color="auto"/>
              <w:right w:val="single" w:sz="8" w:space="0" w:color="auto"/>
            </w:tcBorders>
            <w:vAlign w:val="center"/>
            <w:hideMark/>
          </w:tcPr>
          <w:p w14:paraId="7829E388" w14:textId="77777777" w:rsidR="0051718E" w:rsidRPr="00557C2A" w:rsidRDefault="0051718E">
            <w:pPr>
              <w:spacing w:before="0" w:after="0"/>
              <w:jc w:val="center"/>
              <w:rPr>
                <w:rFonts w:eastAsia="Times New Roman"/>
                <w:b/>
                <w:bCs/>
                <w:noProof/>
                <w:color w:val="000000"/>
                <w:sz w:val="20"/>
                <w:szCs w:val="20"/>
              </w:rPr>
            </w:pPr>
            <w:r w:rsidRPr="00557C2A">
              <w:rPr>
                <w:b/>
                <w:noProof/>
                <w:color w:val="000000"/>
                <w:sz w:val="20"/>
              </w:rPr>
              <w:t>2034</w:t>
            </w:r>
          </w:p>
        </w:tc>
        <w:tc>
          <w:tcPr>
            <w:tcW w:w="391" w:type="pct"/>
            <w:vMerge/>
            <w:tcBorders>
              <w:top w:val="single" w:sz="8" w:space="0" w:color="auto"/>
              <w:left w:val="single" w:sz="8" w:space="0" w:color="auto"/>
              <w:bottom w:val="single" w:sz="8" w:space="0" w:color="000000"/>
              <w:right w:val="single" w:sz="8" w:space="0" w:color="auto"/>
            </w:tcBorders>
            <w:vAlign w:val="center"/>
            <w:hideMark/>
          </w:tcPr>
          <w:p w14:paraId="7A0AE0B3" w14:textId="77777777" w:rsidR="0051718E" w:rsidRPr="00557C2A" w:rsidRDefault="0051718E">
            <w:pPr>
              <w:spacing w:before="0" w:after="0"/>
              <w:jc w:val="left"/>
              <w:rPr>
                <w:rFonts w:eastAsia="Times New Roman"/>
                <w:b/>
                <w:bCs/>
                <w:noProof/>
                <w:color w:val="000000"/>
                <w:sz w:val="20"/>
                <w:szCs w:val="20"/>
                <w:lang w:eastAsia="en-IE"/>
              </w:rPr>
            </w:pPr>
          </w:p>
        </w:tc>
      </w:tr>
      <w:tr w:rsidR="0051718E" w:rsidRPr="00557C2A" w14:paraId="757573F0" w14:textId="77777777" w:rsidTr="00B37C03">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0"/>
        </w:trPr>
        <w:tc>
          <w:tcPr>
            <w:tcW w:w="2161" w:type="pct"/>
            <w:gridSpan w:val="6"/>
            <w:tcBorders>
              <w:top w:val="single" w:sz="8" w:space="0" w:color="auto"/>
              <w:left w:val="single" w:sz="8" w:space="0" w:color="auto"/>
              <w:bottom w:val="single" w:sz="8" w:space="0" w:color="auto"/>
              <w:right w:val="single" w:sz="8" w:space="0" w:color="000000"/>
            </w:tcBorders>
            <w:vAlign w:val="center"/>
            <w:hideMark/>
          </w:tcPr>
          <w:p w14:paraId="585F577F" w14:textId="77777777" w:rsidR="0051718E" w:rsidRPr="00557C2A" w:rsidRDefault="0051718E">
            <w:pPr>
              <w:spacing w:before="0" w:after="0"/>
              <w:jc w:val="left"/>
              <w:rPr>
                <w:rFonts w:ascii="Wingdings" w:eastAsia="Times New Roman" w:hAnsi="Wingdings"/>
                <w:noProof/>
                <w:color w:val="000000"/>
                <w:sz w:val="22"/>
              </w:rPr>
            </w:pPr>
            <w:r w:rsidRPr="00557C2A">
              <w:rPr>
                <w:rFonts w:ascii="Wingdings" w:hAnsi="Wingdings"/>
                <w:noProof/>
                <w:color w:val="000000"/>
                <w:sz w:val="22"/>
              </w:rPr>
              <w:t></w:t>
            </w:r>
            <w:r w:rsidRPr="00557C2A">
              <w:rPr>
                <w:noProof/>
              </w:rPr>
              <w:t xml:space="preserve"> Personele middelen</w:t>
            </w:r>
            <w:r w:rsidRPr="00557C2A">
              <w:rPr>
                <w:noProof/>
                <w:color w:val="000000"/>
                <w:sz w:val="22"/>
              </w:rPr>
              <w:t xml:space="preserve"> </w:t>
            </w:r>
          </w:p>
        </w:tc>
        <w:tc>
          <w:tcPr>
            <w:tcW w:w="350" w:type="pct"/>
            <w:tcBorders>
              <w:top w:val="nil"/>
              <w:left w:val="nil"/>
              <w:bottom w:val="single" w:sz="8" w:space="0" w:color="auto"/>
              <w:right w:val="single" w:sz="8" w:space="0" w:color="auto"/>
            </w:tcBorders>
            <w:shd w:val="clear" w:color="000000" w:fill="D9D9D9"/>
            <w:vAlign w:val="center"/>
            <w:hideMark/>
          </w:tcPr>
          <w:p w14:paraId="5CAC764E" w14:textId="77777777" w:rsidR="0051718E" w:rsidRPr="00557C2A" w:rsidRDefault="0051718E">
            <w:pPr>
              <w:spacing w:before="0" w:after="0"/>
              <w:jc w:val="right"/>
              <w:rPr>
                <w:rFonts w:eastAsia="Times New Roman"/>
                <w:noProof/>
                <w:color w:val="000000"/>
                <w:sz w:val="20"/>
                <w:szCs w:val="20"/>
              </w:rPr>
            </w:pPr>
            <w:r w:rsidRPr="00557C2A">
              <w:rPr>
                <w:noProof/>
                <w:color w:val="000000"/>
                <w:sz w:val="20"/>
              </w:rPr>
              <w:t>0</w:t>
            </w:r>
          </w:p>
        </w:tc>
        <w:tc>
          <w:tcPr>
            <w:tcW w:w="350" w:type="pct"/>
            <w:tcBorders>
              <w:top w:val="nil"/>
              <w:left w:val="nil"/>
              <w:bottom w:val="single" w:sz="8" w:space="0" w:color="auto"/>
              <w:right w:val="single" w:sz="8" w:space="0" w:color="auto"/>
            </w:tcBorders>
            <w:shd w:val="clear" w:color="000000" w:fill="D9D9D9"/>
            <w:vAlign w:val="center"/>
            <w:hideMark/>
          </w:tcPr>
          <w:p w14:paraId="5F438000" w14:textId="77777777" w:rsidR="0051718E" w:rsidRPr="00557C2A" w:rsidRDefault="0051718E">
            <w:pPr>
              <w:spacing w:before="0" w:after="0"/>
              <w:jc w:val="right"/>
              <w:rPr>
                <w:rFonts w:eastAsia="Times New Roman"/>
                <w:noProof/>
                <w:color w:val="000000"/>
                <w:sz w:val="20"/>
                <w:szCs w:val="20"/>
              </w:rPr>
            </w:pPr>
            <w:r w:rsidRPr="00557C2A">
              <w:rPr>
                <w:noProof/>
                <w:color w:val="000000"/>
                <w:sz w:val="20"/>
              </w:rPr>
              <w:t>0</w:t>
            </w:r>
          </w:p>
        </w:tc>
        <w:tc>
          <w:tcPr>
            <w:tcW w:w="350" w:type="pct"/>
            <w:tcBorders>
              <w:top w:val="nil"/>
              <w:left w:val="nil"/>
              <w:bottom w:val="single" w:sz="8" w:space="0" w:color="auto"/>
              <w:right w:val="single" w:sz="8" w:space="0" w:color="auto"/>
            </w:tcBorders>
            <w:shd w:val="clear" w:color="000000" w:fill="D9D9D9"/>
            <w:vAlign w:val="center"/>
            <w:hideMark/>
          </w:tcPr>
          <w:p w14:paraId="3B926EE5" w14:textId="77777777" w:rsidR="0051718E" w:rsidRPr="00557C2A" w:rsidRDefault="0051718E">
            <w:pPr>
              <w:spacing w:before="0" w:after="0"/>
              <w:jc w:val="right"/>
              <w:rPr>
                <w:rFonts w:eastAsia="Times New Roman"/>
                <w:noProof/>
                <w:color w:val="000000"/>
                <w:sz w:val="20"/>
                <w:szCs w:val="20"/>
              </w:rPr>
            </w:pPr>
            <w:r w:rsidRPr="00557C2A">
              <w:rPr>
                <w:noProof/>
                <w:color w:val="000000"/>
                <w:sz w:val="20"/>
              </w:rPr>
              <w:t>0</w:t>
            </w:r>
          </w:p>
        </w:tc>
        <w:tc>
          <w:tcPr>
            <w:tcW w:w="350" w:type="pct"/>
            <w:tcBorders>
              <w:top w:val="nil"/>
              <w:left w:val="nil"/>
              <w:bottom w:val="single" w:sz="8" w:space="0" w:color="auto"/>
              <w:right w:val="single" w:sz="8" w:space="0" w:color="auto"/>
            </w:tcBorders>
            <w:shd w:val="clear" w:color="000000" w:fill="D9D9D9"/>
            <w:vAlign w:val="center"/>
            <w:hideMark/>
          </w:tcPr>
          <w:p w14:paraId="7BB51A6F" w14:textId="77777777" w:rsidR="0051718E" w:rsidRPr="00557C2A" w:rsidRDefault="0051718E">
            <w:pPr>
              <w:spacing w:before="0" w:after="0"/>
              <w:jc w:val="right"/>
              <w:rPr>
                <w:rFonts w:eastAsia="Times New Roman"/>
                <w:noProof/>
                <w:color w:val="000000"/>
                <w:sz w:val="20"/>
                <w:szCs w:val="20"/>
              </w:rPr>
            </w:pPr>
            <w:r w:rsidRPr="00557C2A">
              <w:rPr>
                <w:noProof/>
                <w:color w:val="000000"/>
                <w:sz w:val="20"/>
              </w:rPr>
              <w:t>0</w:t>
            </w:r>
          </w:p>
        </w:tc>
        <w:tc>
          <w:tcPr>
            <w:tcW w:w="350" w:type="pct"/>
            <w:tcBorders>
              <w:top w:val="nil"/>
              <w:left w:val="nil"/>
              <w:bottom w:val="single" w:sz="8" w:space="0" w:color="auto"/>
              <w:right w:val="single" w:sz="8" w:space="0" w:color="auto"/>
            </w:tcBorders>
            <w:shd w:val="clear" w:color="000000" w:fill="D9D9D9"/>
            <w:vAlign w:val="center"/>
            <w:hideMark/>
          </w:tcPr>
          <w:p w14:paraId="6DC40CF5" w14:textId="77777777" w:rsidR="0051718E" w:rsidRPr="00557C2A" w:rsidRDefault="0051718E">
            <w:pPr>
              <w:spacing w:before="0" w:after="0"/>
              <w:jc w:val="right"/>
              <w:rPr>
                <w:rFonts w:eastAsia="Times New Roman"/>
                <w:noProof/>
                <w:color w:val="000000"/>
                <w:sz w:val="20"/>
                <w:szCs w:val="20"/>
              </w:rPr>
            </w:pPr>
            <w:r w:rsidRPr="00557C2A">
              <w:rPr>
                <w:noProof/>
                <w:color w:val="000000"/>
                <w:sz w:val="20"/>
              </w:rPr>
              <w:t>0</w:t>
            </w:r>
          </w:p>
        </w:tc>
        <w:tc>
          <w:tcPr>
            <w:tcW w:w="350" w:type="pct"/>
            <w:tcBorders>
              <w:top w:val="nil"/>
              <w:left w:val="nil"/>
              <w:bottom w:val="single" w:sz="8" w:space="0" w:color="auto"/>
              <w:right w:val="single" w:sz="8" w:space="0" w:color="auto"/>
            </w:tcBorders>
            <w:shd w:val="clear" w:color="000000" w:fill="D9D9D9"/>
            <w:vAlign w:val="center"/>
            <w:hideMark/>
          </w:tcPr>
          <w:p w14:paraId="1531FDEE" w14:textId="77777777" w:rsidR="0051718E" w:rsidRPr="00557C2A" w:rsidRDefault="0051718E">
            <w:pPr>
              <w:spacing w:before="0" w:after="0"/>
              <w:jc w:val="right"/>
              <w:rPr>
                <w:rFonts w:eastAsia="Times New Roman"/>
                <w:noProof/>
                <w:color w:val="000000"/>
                <w:sz w:val="20"/>
                <w:szCs w:val="20"/>
              </w:rPr>
            </w:pPr>
            <w:r w:rsidRPr="00557C2A">
              <w:rPr>
                <w:noProof/>
                <w:color w:val="000000"/>
                <w:sz w:val="20"/>
              </w:rPr>
              <w:t>0</w:t>
            </w:r>
          </w:p>
        </w:tc>
        <w:tc>
          <w:tcPr>
            <w:tcW w:w="350" w:type="pct"/>
            <w:tcBorders>
              <w:top w:val="nil"/>
              <w:left w:val="nil"/>
              <w:bottom w:val="single" w:sz="8" w:space="0" w:color="auto"/>
              <w:right w:val="single" w:sz="8" w:space="0" w:color="auto"/>
            </w:tcBorders>
            <w:shd w:val="clear" w:color="000000" w:fill="D9D9D9"/>
            <w:vAlign w:val="center"/>
            <w:hideMark/>
          </w:tcPr>
          <w:p w14:paraId="39E74EBB" w14:textId="77777777" w:rsidR="0051718E" w:rsidRPr="00557C2A" w:rsidRDefault="0051718E">
            <w:pPr>
              <w:spacing w:before="0" w:after="0"/>
              <w:jc w:val="right"/>
              <w:rPr>
                <w:rFonts w:eastAsia="Times New Roman"/>
                <w:noProof/>
                <w:color w:val="000000"/>
                <w:sz w:val="20"/>
                <w:szCs w:val="20"/>
              </w:rPr>
            </w:pPr>
            <w:r w:rsidRPr="00557C2A">
              <w:rPr>
                <w:noProof/>
                <w:color w:val="000000"/>
                <w:sz w:val="20"/>
              </w:rPr>
              <w:t>0</w:t>
            </w:r>
          </w:p>
        </w:tc>
        <w:tc>
          <w:tcPr>
            <w:tcW w:w="391" w:type="pct"/>
            <w:tcBorders>
              <w:top w:val="nil"/>
              <w:left w:val="nil"/>
              <w:bottom w:val="single" w:sz="8" w:space="0" w:color="auto"/>
              <w:right w:val="single" w:sz="8" w:space="0" w:color="auto"/>
            </w:tcBorders>
            <w:shd w:val="clear" w:color="000000" w:fill="D9D9D9"/>
            <w:vAlign w:val="center"/>
            <w:hideMark/>
          </w:tcPr>
          <w:p w14:paraId="79C42968" w14:textId="77777777" w:rsidR="0051718E" w:rsidRPr="00557C2A" w:rsidRDefault="0051718E">
            <w:pPr>
              <w:spacing w:before="0" w:after="0"/>
              <w:jc w:val="right"/>
              <w:rPr>
                <w:rFonts w:eastAsia="Times New Roman"/>
                <w:b/>
                <w:bCs/>
                <w:noProof/>
                <w:color w:val="000000"/>
                <w:sz w:val="20"/>
                <w:szCs w:val="20"/>
              </w:rPr>
            </w:pPr>
            <w:r w:rsidRPr="00557C2A">
              <w:rPr>
                <w:b/>
                <w:noProof/>
                <w:color w:val="000000"/>
                <w:sz w:val="20"/>
              </w:rPr>
              <w:t>0</w:t>
            </w:r>
          </w:p>
        </w:tc>
      </w:tr>
      <w:tr w:rsidR="0051718E" w:rsidRPr="00557C2A" w14:paraId="0E8DF3E5" w14:textId="77777777" w:rsidTr="00B37C03">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0"/>
        </w:trPr>
        <w:tc>
          <w:tcPr>
            <w:tcW w:w="2161" w:type="pct"/>
            <w:gridSpan w:val="6"/>
            <w:tcBorders>
              <w:top w:val="single" w:sz="8" w:space="0" w:color="auto"/>
              <w:left w:val="single" w:sz="8" w:space="0" w:color="auto"/>
              <w:bottom w:val="single" w:sz="8" w:space="0" w:color="auto"/>
              <w:right w:val="single" w:sz="8" w:space="0" w:color="000000"/>
            </w:tcBorders>
            <w:vAlign w:val="center"/>
            <w:hideMark/>
          </w:tcPr>
          <w:p w14:paraId="35EDB374" w14:textId="77777777" w:rsidR="0051718E" w:rsidRPr="00557C2A" w:rsidRDefault="0051718E">
            <w:pPr>
              <w:spacing w:before="0" w:after="0"/>
              <w:jc w:val="left"/>
              <w:rPr>
                <w:rFonts w:ascii="Wingdings" w:eastAsia="Times New Roman" w:hAnsi="Wingdings"/>
                <w:noProof/>
                <w:color w:val="000000"/>
                <w:sz w:val="22"/>
              </w:rPr>
            </w:pPr>
            <w:r w:rsidRPr="00557C2A">
              <w:rPr>
                <w:rFonts w:ascii="Wingdings" w:hAnsi="Wingdings"/>
                <w:noProof/>
                <w:color w:val="000000"/>
                <w:sz w:val="22"/>
              </w:rPr>
              <w:t></w:t>
            </w:r>
            <w:r w:rsidRPr="00557C2A">
              <w:rPr>
                <w:noProof/>
              </w:rPr>
              <w:t xml:space="preserve"> </w:t>
            </w:r>
            <w:r w:rsidRPr="00557C2A">
              <w:rPr>
                <w:noProof/>
                <w:color w:val="000000"/>
                <w:sz w:val="22"/>
              </w:rPr>
              <w:t xml:space="preserve">Andere administratieve uitgaven </w:t>
            </w:r>
          </w:p>
        </w:tc>
        <w:tc>
          <w:tcPr>
            <w:tcW w:w="350" w:type="pct"/>
            <w:tcBorders>
              <w:top w:val="nil"/>
              <w:left w:val="nil"/>
              <w:bottom w:val="single" w:sz="8" w:space="0" w:color="auto"/>
              <w:right w:val="single" w:sz="8" w:space="0" w:color="auto"/>
            </w:tcBorders>
            <w:shd w:val="clear" w:color="000000" w:fill="D9D9D9"/>
            <w:vAlign w:val="center"/>
            <w:hideMark/>
          </w:tcPr>
          <w:p w14:paraId="7B0A26F4" w14:textId="77777777" w:rsidR="0051718E" w:rsidRPr="00557C2A" w:rsidRDefault="0051718E">
            <w:pPr>
              <w:spacing w:before="0" w:after="0"/>
              <w:jc w:val="right"/>
              <w:rPr>
                <w:rFonts w:eastAsia="Times New Roman"/>
                <w:noProof/>
                <w:color w:val="000000"/>
                <w:sz w:val="20"/>
                <w:szCs w:val="20"/>
              </w:rPr>
            </w:pPr>
            <w:r w:rsidRPr="00557C2A">
              <w:rPr>
                <w:noProof/>
                <w:color w:val="000000"/>
                <w:sz w:val="20"/>
              </w:rPr>
              <w:t>0</w:t>
            </w:r>
          </w:p>
        </w:tc>
        <w:tc>
          <w:tcPr>
            <w:tcW w:w="350" w:type="pct"/>
            <w:tcBorders>
              <w:top w:val="nil"/>
              <w:left w:val="nil"/>
              <w:bottom w:val="single" w:sz="8" w:space="0" w:color="auto"/>
              <w:right w:val="single" w:sz="8" w:space="0" w:color="auto"/>
            </w:tcBorders>
            <w:shd w:val="clear" w:color="000000" w:fill="D9D9D9"/>
            <w:vAlign w:val="center"/>
            <w:hideMark/>
          </w:tcPr>
          <w:p w14:paraId="4F855939" w14:textId="77777777" w:rsidR="0051718E" w:rsidRPr="00557C2A" w:rsidRDefault="0051718E">
            <w:pPr>
              <w:spacing w:before="0" w:after="0"/>
              <w:jc w:val="right"/>
              <w:rPr>
                <w:rFonts w:eastAsia="Times New Roman"/>
                <w:noProof/>
                <w:color w:val="000000"/>
                <w:sz w:val="20"/>
                <w:szCs w:val="20"/>
              </w:rPr>
            </w:pPr>
            <w:r w:rsidRPr="00557C2A">
              <w:rPr>
                <w:noProof/>
                <w:color w:val="000000"/>
                <w:sz w:val="20"/>
              </w:rPr>
              <w:t>0</w:t>
            </w:r>
          </w:p>
        </w:tc>
        <w:tc>
          <w:tcPr>
            <w:tcW w:w="350" w:type="pct"/>
            <w:tcBorders>
              <w:top w:val="nil"/>
              <w:left w:val="nil"/>
              <w:bottom w:val="single" w:sz="8" w:space="0" w:color="auto"/>
              <w:right w:val="single" w:sz="8" w:space="0" w:color="auto"/>
            </w:tcBorders>
            <w:shd w:val="clear" w:color="000000" w:fill="D9D9D9"/>
            <w:vAlign w:val="center"/>
            <w:hideMark/>
          </w:tcPr>
          <w:p w14:paraId="49BCBFD7" w14:textId="77777777" w:rsidR="0051718E" w:rsidRPr="00557C2A" w:rsidRDefault="0051718E">
            <w:pPr>
              <w:spacing w:before="0" w:after="0"/>
              <w:jc w:val="right"/>
              <w:rPr>
                <w:rFonts w:eastAsia="Times New Roman"/>
                <w:noProof/>
                <w:color w:val="000000"/>
                <w:sz w:val="20"/>
                <w:szCs w:val="20"/>
              </w:rPr>
            </w:pPr>
            <w:r w:rsidRPr="00557C2A">
              <w:rPr>
                <w:noProof/>
                <w:color w:val="000000"/>
                <w:sz w:val="20"/>
              </w:rPr>
              <w:t>0</w:t>
            </w:r>
          </w:p>
        </w:tc>
        <w:tc>
          <w:tcPr>
            <w:tcW w:w="350" w:type="pct"/>
            <w:tcBorders>
              <w:top w:val="nil"/>
              <w:left w:val="nil"/>
              <w:bottom w:val="single" w:sz="8" w:space="0" w:color="auto"/>
              <w:right w:val="single" w:sz="8" w:space="0" w:color="auto"/>
            </w:tcBorders>
            <w:shd w:val="clear" w:color="000000" w:fill="D9D9D9"/>
            <w:vAlign w:val="center"/>
            <w:hideMark/>
          </w:tcPr>
          <w:p w14:paraId="691876AA" w14:textId="77777777" w:rsidR="0051718E" w:rsidRPr="00557C2A" w:rsidRDefault="0051718E">
            <w:pPr>
              <w:spacing w:before="0" w:after="0"/>
              <w:jc w:val="right"/>
              <w:rPr>
                <w:rFonts w:eastAsia="Times New Roman"/>
                <w:noProof/>
                <w:color w:val="000000"/>
                <w:sz w:val="20"/>
                <w:szCs w:val="20"/>
              </w:rPr>
            </w:pPr>
            <w:r w:rsidRPr="00557C2A">
              <w:rPr>
                <w:noProof/>
                <w:color w:val="000000"/>
                <w:sz w:val="20"/>
              </w:rPr>
              <w:t>0</w:t>
            </w:r>
          </w:p>
        </w:tc>
        <w:tc>
          <w:tcPr>
            <w:tcW w:w="350" w:type="pct"/>
            <w:tcBorders>
              <w:top w:val="nil"/>
              <w:left w:val="nil"/>
              <w:bottom w:val="single" w:sz="8" w:space="0" w:color="auto"/>
              <w:right w:val="single" w:sz="8" w:space="0" w:color="auto"/>
            </w:tcBorders>
            <w:shd w:val="clear" w:color="000000" w:fill="D9D9D9"/>
            <w:vAlign w:val="center"/>
            <w:hideMark/>
          </w:tcPr>
          <w:p w14:paraId="6A8D569C" w14:textId="77777777" w:rsidR="0051718E" w:rsidRPr="00557C2A" w:rsidRDefault="0051718E">
            <w:pPr>
              <w:spacing w:before="0" w:after="0"/>
              <w:jc w:val="right"/>
              <w:rPr>
                <w:rFonts w:eastAsia="Times New Roman"/>
                <w:noProof/>
                <w:color w:val="000000"/>
                <w:sz w:val="20"/>
                <w:szCs w:val="20"/>
              </w:rPr>
            </w:pPr>
            <w:r w:rsidRPr="00557C2A">
              <w:rPr>
                <w:noProof/>
                <w:color w:val="000000"/>
                <w:sz w:val="20"/>
              </w:rPr>
              <w:t>0</w:t>
            </w:r>
          </w:p>
        </w:tc>
        <w:tc>
          <w:tcPr>
            <w:tcW w:w="350" w:type="pct"/>
            <w:tcBorders>
              <w:top w:val="nil"/>
              <w:left w:val="nil"/>
              <w:bottom w:val="single" w:sz="8" w:space="0" w:color="auto"/>
              <w:right w:val="single" w:sz="8" w:space="0" w:color="auto"/>
            </w:tcBorders>
            <w:shd w:val="clear" w:color="000000" w:fill="D9D9D9"/>
            <w:vAlign w:val="center"/>
            <w:hideMark/>
          </w:tcPr>
          <w:p w14:paraId="4B408C5E" w14:textId="77777777" w:rsidR="0051718E" w:rsidRPr="00557C2A" w:rsidRDefault="0051718E">
            <w:pPr>
              <w:spacing w:before="0" w:after="0"/>
              <w:jc w:val="right"/>
              <w:rPr>
                <w:rFonts w:eastAsia="Times New Roman"/>
                <w:noProof/>
                <w:color w:val="000000"/>
                <w:sz w:val="20"/>
                <w:szCs w:val="20"/>
              </w:rPr>
            </w:pPr>
            <w:r w:rsidRPr="00557C2A">
              <w:rPr>
                <w:noProof/>
                <w:color w:val="000000"/>
                <w:sz w:val="20"/>
              </w:rPr>
              <w:t>0</w:t>
            </w:r>
          </w:p>
        </w:tc>
        <w:tc>
          <w:tcPr>
            <w:tcW w:w="350" w:type="pct"/>
            <w:tcBorders>
              <w:top w:val="nil"/>
              <w:left w:val="nil"/>
              <w:bottom w:val="single" w:sz="8" w:space="0" w:color="auto"/>
              <w:right w:val="single" w:sz="8" w:space="0" w:color="auto"/>
            </w:tcBorders>
            <w:shd w:val="clear" w:color="000000" w:fill="D9D9D9"/>
            <w:vAlign w:val="center"/>
            <w:hideMark/>
          </w:tcPr>
          <w:p w14:paraId="0655C8FF" w14:textId="77777777" w:rsidR="0051718E" w:rsidRPr="00557C2A" w:rsidRDefault="0051718E">
            <w:pPr>
              <w:spacing w:before="0" w:after="0"/>
              <w:jc w:val="right"/>
              <w:rPr>
                <w:rFonts w:eastAsia="Times New Roman"/>
                <w:noProof/>
                <w:color w:val="000000"/>
                <w:sz w:val="20"/>
                <w:szCs w:val="20"/>
              </w:rPr>
            </w:pPr>
            <w:r w:rsidRPr="00557C2A">
              <w:rPr>
                <w:noProof/>
                <w:color w:val="000000"/>
                <w:sz w:val="20"/>
              </w:rPr>
              <w:t>0</w:t>
            </w:r>
          </w:p>
        </w:tc>
        <w:tc>
          <w:tcPr>
            <w:tcW w:w="391" w:type="pct"/>
            <w:tcBorders>
              <w:top w:val="nil"/>
              <w:left w:val="nil"/>
              <w:bottom w:val="single" w:sz="8" w:space="0" w:color="auto"/>
              <w:right w:val="single" w:sz="8" w:space="0" w:color="auto"/>
            </w:tcBorders>
            <w:shd w:val="clear" w:color="000000" w:fill="D9D9D9"/>
            <w:vAlign w:val="center"/>
            <w:hideMark/>
          </w:tcPr>
          <w:p w14:paraId="240C7FC2" w14:textId="77777777" w:rsidR="0051718E" w:rsidRPr="00557C2A" w:rsidRDefault="0051718E">
            <w:pPr>
              <w:spacing w:before="0" w:after="0"/>
              <w:jc w:val="right"/>
              <w:rPr>
                <w:rFonts w:eastAsia="Times New Roman"/>
                <w:b/>
                <w:bCs/>
                <w:noProof/>
                <w:color w:val="000000"/>
                <w:sz w:val="20"/>
                <w:szCs w:val="20"/>
              </w:rPr>
            </w:pPr>
            <w:r w:rsidRPr="00557C2A">
              <w:rPr>
                <w:b/>
                <w:noProof/>
                <w:color w:val="000000"/>
                <w:sz w:val="20"/>
              </w:rPr>
              <w:t>0</w:t>
            </w:r>
          </w:p>
        </w:tc>
      </w:tr>
      <w:tr w:rsidR="0051718E" w:rsidRPr="00557C2A" w14:paraId="4F29CDA8" w14:textId="77777777" w:rsidTr="00B37C03">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850"/>
        </w:trPr>
        <w:tc>
          <w:tcPr>
            <w:tcW w:w="698" w:type="pct"/>
            <w:tcBorders>
              <w:top w:val="nil"/>
              <w:left w:val="single" w:sz="8" w:space="0" w:color="auto"/>
              <w:bottom w:val="single" w:sz="8" w:space="0" w:color="auto"/>
              <w:right w:val="single" w:sz="8" w:space="0" w:color="auto"/>
            </w:tcBorders>
            <w:vAlign w:val="center"/>
            <w:hideMark/>
          </w:tcPr>
          <w:p w14:paraId="76D2576E" w14:textId="77777777" w:rsidR="0051718E" w:rsidRPr="00557C2A" w:rsidRDefault="0051718E">
            <w:pPr>
              <w:spacing w:before="0" w:after="0"/>
              <w:jc w:val="center"/>
              <w:rPr>
                <w:rFonts w:eastAsia="Times New Roman"/>
                <w:b/>
                <w:bCs/>
                <w:noProof/>
                <w:color w:val="000000"/>
                <w:sz w:val="22"/>
              </w:rPr>
            </w:pPr>
            <w:r w:rsidRPr="00557C2A">
              <w:rPr>
                <w:b/>
                <w:noProof/>
                <w:color w:val="000000"/>
                <w:sz w:val="22"/>
              </w:rPr>
              <w:t>TOTAAL DG</w:t>
            </w:r>
            <w:r w:rsidRPr="00557C2A">
              <w:rPr>
                <w:noProof/>
                <w:color w:val="000000"/>
                <w:sz w:val="22"/>
              </w:rPr>
              <w:t xml:space="preserve"> &lt;…….&gt;</w:t>
            </w:r>
          </w:p>
        </w:tc>
        <w:tc>
          <w:tcPr>
            <w:tcW w:w="1463" w:type="pct"/>
            <w:gridSpan w:val="5"/>
            <w:tcBorders>
              <w:top w:val="single" w:sz="8" w:space="0" w:color="auto"/>
              <w:left w:val="nil"/>
              <w:bottom w:val="single" w:sz="8" w:space="0" w:color="auto"/>
              <w:right w:val="single" w:sz="8" w:space="0" w:color="000000"/>
            </w:tcBorders>
            <w:vAlign w:val="center"/>
            <w:hideMark/>
          </w:tcPr>
          <w:p w14:paraId="7E70FC7C" w14:textId="77777777" w:rsidR="0051718E" w:rsidRPr="00557C2A" w:rsidRDefault="0051718E">
            <w:pPr>
              <w:spacing w:before="0" w:after="0"/>
              <w:jc w:val="left"/>
              <w:rPr>
                <w:rFonts w:eastAsia="Times New Roman"/>
                <w:noProof/>
                <w:color w:val="000000"/>
                <w:sz w:val="18"/>
                <w:szCs w:val="18"/>
              </w:rPr>
            </w:pPr>
            <w:r w:rsidRPr="00557C2A">
              <w:rPr>
                <w:noProof/>
                <w:color w:val="000000"/>
                <w:sz w:val="18"/>
              </w:rPr>
              <w:t xml:space="preserve">Kredieten </w:t>
            </w:r>
          </w:p>
        </w:tc>
        <w:tc>
          <w:tcPr>
            <w:tcW w:w="350" w:type="pct"/>
            <w:tcBorders>
              <w:top w:val="nil"/>
              <w:left w:val="nil"/>
              <w:bottom w:val="single" w:sz="8" w:space="0" w:color="auto"/>
              <w:right w:val="single" w:sz="8" w:space="0" w:color="auto"/>
            </w:tcBorders>
            <w:shd w:val="clear" w:color="000000" w:fill="D9D9D9"/>
            <w:vAlign w:val="center"/>
            <w:hideMark/>
          </w:tcPr>
          <w:p w14:paraId="4F93260B" w14:textId="77777777" w:rsidR="0051718E" w:rsidRPr="00557C2A" w:rsidRDefault="0051718E">
            <w:pPr>
              <w:spacing w:before="0" w:after="0"/>
              <w:jc w:val="right"/>
              <w:rPr>
                <w:rFonts w:eastAsia="Times New Roman"/>
                <w:b/>
                <w:bCs/>
                <w:noProof/>
                <w:color w:val="000000"/>
                <w:sz w:val="20"/>
                <w:szCs w:val="20"/>
              </w:rPr>
            </w:pPr>
            <w:r w:rsidRPr="00557C2A">
              <w:rPr>
                <w:b/>
                <w:noProof/>
                <w:color w:val="000000"/>
                <w:sz w:val="20"/>
              </w:rPr>
              <w:t>0</w:t>
            </w:r>
          </w:p>
        </w:tc>
        <w:tc>
          <w:tcPr>
            <w:tcW w:w="350" w:type="pct"/>
            <w:tcBorders>
              <w:top w:val="nil"/>
              <w:left w:val="nil"/>
              <w:bottom w:val="single" w:sz="8" w:space="0" w:color="auto"/>
              <w:right w:val="single" w:sz="8" w:space="0" w:color="auto"/>
            </w:tcBorders>
            <w:shd w:val="clear" w:color="000000" w:fill="D9D9D9"/>
            <w:vAlign w:val="center"/>
            <w:hideMark/>
          </w:tcPr>
          <w:p w14:paraId="5B275DB8" w14:textId="77777777" w:rsidR="0051718E" w:rsidRPr="00557C2A" w:rsidRDefault="0051718E">
            <w:pPr>
              <w:spacing w:before="0" w:after="0"/>
              <w:jc w:val="right"/>
              <w:rPr>
                <w:rFonts w:eastAsia="Times New Roman"/>
                <w:b/>
                <w:bCs/>
                <w:noProof/>
                <w:color w:val="000000"/>
                <w:sz w:val="20"/>
                <w:szCs w:val="20"/>
              </w:rPr>
            </w:pPr>
            <w:r w:rsidRPr="00557C2A">
              <w:rPr>
                <w:b/>
                <w:noProof/>
                <w:color w:val="000000"/>
                <w:sz w:val="20"/>
              </w:rPr>
              <w:t>0</w:t>
            </w:r>
          </w:p>
        </w:tc>
        <w:tc>
          <w:tcPr>
            <w:tcW w:w="350" w:type="pct"/>
            <w:tcBorders>
              <w:top w:val="nil"/>
              <w:left w:val="nil"/>
              <w:bottom w:val="single" w:sz="8" w:space="0" w:color="auto"/>
              <w:right w:val="single" w:sz="8" w:space="0" w:color="auto"/>
            </w:tcBorders>
            <w:shd w:val="clear" w:color="000000" w:fill="D9D9D9"/>
            <w:vAlign w:val="center"/>
            <w:hideMark/>
          </w:tcPr>
          <w:p w14:paraId="10434100" w14:textId="77777777" w:rsidR="0051718E" w:rsidRPr="00557C2A" w:rsidRDefault="0051718E">
            <w:pPr>
              <w:spacing w:before="0" w:after="0"/>
              <w:jc w:val="right"/>
              <w:rPr>
                <w:rFonts w:eastAsia="Times New Roman"/>
                <w:b/>
                <w:bCs/>
                <w:noProof/>
                <w:color w:val="000000"/>
                <w:sz w:val="20"/>
                <w:szCs w:val="20"/>
              </w:rPr>
            </w:pPr>
            <w:r w:rsidRPr="00557C2A">
              <w:rPr>
                <w:b/>
                <w:noProof/>
                <w:color w:val="000000"/>
                <w:sz w:val="20"/>
              </w:rPr>
              <w:t>0</w:t>
            </w:r>
          </w:p>
        </w:tc>
        <w:tc>
          <w:tcPr>
            <w:tcW w:w="350" w:type="pct"/>
            <w:tcBorders>
              <w:top w:val="nil"/>
              <w:left w:val="nil"/>
              <w:bottom w:val="single" w:sz="8" w:space="0" w:color="auto"/>
              <w:right w:val="single" w:sz="8" w:space="0" w:color="auto"/>
            </w:tcBorders>
            <w:shd w:val="clear" w:color="000000" w:fill="D9D9D9"/>
            <w:vAlign w:val="center"/>
            <w:hideMark/>
          </w:tcPr>
          <w:p w14:paraId="7F2158B7" w14:textId="77777777" w:rsidR="0051718E" w:rsidRPr="00557C2A" w:rsidRDefault="0051718E">
            <w:pPr>
              <w:spacing w:before="0" w:after="0"/>
              <w:jc w:val="right"/>
              <w:rPr>
                <w:rFonts w:eastAsia="Times New Roman"/>
                <w:b/>
                <w:bCs/>
                <w:noProof/>
                <w:color w:val="000000"/>
                <w:sz w:val="20"/>
                <w:szCs w:val="20"/>
              </w:rPr>
            </w:pPr>
            <w:r w:rsidRPr="00557C2A">
              <w:rPr>
                <w:b/>
                <w:noProof/>
                <w:color w:val="000000"/>
                <w:sz w:val="20"/>
              </w:rPr>
              <w:t>0</w:t>
            </w:r>
          </w:p>
        </w:tc>
        <w:tc>
          <w:tcPr>
            <w:tcW w:w="350" w:type="pct"/>
            <w:tcBorders>
              <w:top w:val="nil"/>
              <w:left w:val="nil"/>
              <w:bottom w:val="single" w:sz="8" w:space="0" w:color="auto"/>
              <w:right w:val="single" w:sz="8" w:space="0" w:color="auto"/>
            </w:tcBorders>
            <w:shd w:val="clear" w:color="000000" w:fill="D9D9D9"/>
            <w:vAlign w:val="center"/>
            <w:hideMark/>
          </w:tcPr>
          <w:p w14:paraId="3D555BC4" w14:textId="77777777" w:rsidR="0051718E" w:rsidRPr="00557C2A" w:rsidRDefault="0051718E">
            <w:pPr>
              <w:spacing w:before="0" w:after="0"/>
              <w:jc w:val="right"/>
              <w:rPr>
                <w:rFonts w:eastAsia="Times New Roman"/>
                <w:b/>
                <w:bCs/>
                <w:noProof/>
                <w:color w:val="000000"/>
                <w:sz w:val="20"/>
                <w:szCs w:val="20"/>
              </w:rPr>
            </w:pPr>
            <w:r w:rsidRPr="00557C2A">
              <w:rPr>
                <w:b/>
                <w:noProof/>
                <w:color w:val="000000"/>
                <w:sz w:val="20"/>
              </w:rPr>
              <w:t>0</w:t>
            </w:r>
          </w:p>
        </w:tc>
        <w:tc>
          <w:tcPr>
            <w:tcW w:w="350" w:type="pct"/>
            <w:tcBorders>
              <w:top w:val="nil"/>
              <w:left w:val="nil"/>
              <w:bottom w:val="single" w:sz="8" w:space="0" w:color="auto"/>
              <w:right w:val="single" w:sz="8" w:space="0" w:color="auto"/>
            </w:tcBorders>
            <w:shd w:val="clear" w:color="000000" w:fill="D9D9D9"/>
            <w:vAlign w:val="center"/>
            <w:hideMark/>
          </w:tcPr>
          <w:p w14:paraId="0EAE4EA4" w14:textId="77777777" w:rsidR="0051718E" w:rsidRPr="00557C2A" w:rsidRDefault="0051718E">
            <w:pPr>
              <w:spacing w:before="0" w:after="0"/>
              <w:jc w:val="right"/>
              <w:rPr>
                <w:rFonts w:eastAsia="Times New Roman"/>
                <w:b/>
                <w:bCs/>
                <w:noProof/>
                <w:color w:val="000000"/>
                <w:sz w:val="20"/>
                <w:szCs w:val="20"/>
              </w:rPr>
            </w:pPr>
            <w:r w:rsidRPr="00557C2A">
              <w:rPr>
                <w:b/>
                <w:noProof/>
                <w:color w:val="000000"/>
                <w:sz w:val="20"/>
              </w:rPr>
              <w:t>0</w:t>
            </w:r>
          </w:p>
        </w:tc>
        <w:tc>
          <w:tcPr>
            <w:tcW w:w="350" w:type="pct"/>
            <w:tcBorders>
              <w:top w:val="nil"/>
              <w:left w:val="nil"/>
              <w:bottom w:val="single" w:sz="8" w:space="0" w:color="auto"/>
              <w:right w:val="single" w:sz="8" w:space="0" w:color="auto"/>
            </w:tcBorders>
            <w:shd w:val="clear" w:color="000000" w:fill="D9D9D9"/>
            <w:vAlign w:val="center"/>
            <w:hideMark/>
          </w:tcPr>
          <w:p w14:paraId="500B9449" w14:textId="77777777" w:rsidR="0051718E" w:rsidRPr="00557C2A" w:rsidRDefault="0051718E">
            <w:pPr>
              <w:spacing w:before="0" w:after="0"/>
              <w:jc w:val="right"/>
              <w:rPr>
                <w:rFonts w:eastAsia="Times New Roman"/>
                <w:b/>
                <w:bCs/>
                <w:noProof/>
                <w:color w:val="000000"/>
                <w:sz w:val="20"/>
                <w:szCs w:val="20"/>
              </w:rPr>
            </w:pPr>
            <w:r w:rsidRPr="00557C2A">
              <w:rPr>
                <w:b/>
                <w:noProof/>
                <w:color w:val="000000"/>
                <w:sz w:val="20"/>
              </w:rPr>
              <w:t>0</w:t>
            </w:r>
          </w:p>
        </w:tc>
        <w:tc>
          <w:tcPr>
            <w:tcW w:w="391" w:type="pct"/>
            <w:tcBorders>
              <w:top w:val="nil"/>
              <w:left w:val="nil"/>
              <w:bottom w:val="single" w:sz="8" w:space="0" w:color="auto"/>
              <w:right w:val="single" w:sz="8" w:space="0" w:color="auto"/>
            </w:tcBorders>
            <w:shd w:val="clear" w:color="000000" w:fill="D9D9D9"/>
            <w:vAlign w:val="center"/>
            <w:hideMark/>
          </w:tcPr>
          <w:p w14:paraId="6744A2E3" w14:textId="77777777" w:rsidR="0051718E" w:rsidRPr="00557C2A" w:rsidRDefault="0051718E">
            <w:pPr>
              <w:spacing w:before="0" w:after="0"/>
              <w:jc w:val="right"/>
              <w:rPr>
                <w:rFonts w:eastAsia="Times New Roman"/>
                <w:b/>
                <w:bCs/>
                <w:noProof/>
                <w:color w:val="000000"/>
                <w:sz w:val="20"/>
                <w:szCs w:val="20"/>
              </w:rPr>
            </w:pPr>
            <w:r w:rsidRPr="00557C2A">
              <w:rPr>
                <w:b/>
                <w:noProof/>
                <w:color w:val="000000"/>
                <w:sz w:val="20"/>
              </w:rPr>
              <w:t>0</w:t>
            </w:r>
          </w:p>
        </w:tc>
      </w:tr>
      <w:tr w:rsidR="0051718E" w:rsidRPr="00557C2A" w14:paraId="6B6CF7B4" w14:textId="77777777" w:rsidTr="00B37C03">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0"/>
        </w:trPr>
        <w:tc>
          <w:tcPr>
            <w:tcW w:w="698" w:type="pct"/>
            <w:tcBorders>
              <w:top w:val="nil"/>
              <w:left w:val="nil"/>
              <w:bottom w:val="nil"/>
              <w:right w:val="nil"/>
            </w:tcBorders>
            <w:noWrap/>
            <w:vAlign w:val="bottom"/>
            <w:hideMark/>
          </w:tcPr>
          <w:p w14:paraId="11C39527" w14:textId="77777777" w:rsidR="0051718E" w:rsidRPr="00557C2A" w:rsidRDefault="0051718E">
            <w:pPr>
              <w:spacing w:before="0" w:after="0"/>
              <w:jc w:val="right"/>
              <w:rPr>
                <w:rFonts w:eastAsia="Times New Roman"/>
                <w:b/>
                <w:bCs/>
                <w:noProof/>
                <w:color w:val="000000"/>
                <w:sz w:val="20"/>
                <w:szCs w:val="20"/>
                <w:lang w:eastAsia="en-IE"/>
              </w:rPr>
            </w:pPr>
          </w:p>
        </w:tc>
        <w:tc>
          <w:tcPr>
            <w:tcW w:w="952" w:type="pct"/>
            <w:tcBorders>
              <w:top w:val="nil"/>
              <w:left w:val="nil"/>
              <w:bottom w:val="nil"/>
              <w:right w:val="nil"/>
            </w:tcBorders>
            <w:noWrap/>
            <w:vAlign w:val="bottom"/>
            <w:hideMark/>
          </w:tcPr>
          <w:p w14:paraId="173DBAF5" w14:textId="77777777" w:rsidR="0051718E" w:rsidRPr="00557C2A" w:rsidRDefault="0051718E">
            <w:pPr>
              <w:spacing w:before="0" w:after="0"/>
              <w:jc w:val="left"/>
              <w:rPr>
                <w:rFonts w:eastAsia="Times New Roman"/>
                <w:noProof/>
                <w:sz w:val="20"/>
                <w:szCs w:val="20"/>
                <w:lang w:eastAsia="en-IE"/>
              </w:rPr>
            </w:pPr>
          </w:p>
        </w:tc>
        <w:tc>
          <w:tcPr>
            <w:tcW w:w="255" w:type="pct"/>
            <w:gridSpan w:val="2"/>
            <w:tcBorders>
              <w:top w:val="nil"/>
              <w:left w:val="nil"/>
              <w:bottom w:val="nil"/>
              <w:right w:val="nil"/>
            </w:tcBorders>
            <w:noWrap/>
            <w:vAlign w:val="bottom"/>
            <w:hideMark/>
          </w:tcPr>
          <w:p w14:paraId="363A0EEA" w14:textId="77777777" w:rsidR="0051718E" w:rsidRPr="00557C2A" w:rsidRDefault="0051718E">
            <w:pPr>
              <w:spacing w:before="0" w:after="0"/>
              <w:jc w:val="left"/>
              <w:rPr>
                <w:rFonts w:eastAsia="Times New Roman"/>
                <w:noProof/>
                <w:sz w:val="20"/>
                <w:szCs w:val="20"/>
                <w:lang w:eastAsia="en-IE"/>
              </w:rPr>
            </w:pPr>
          </w:p>
        </w:tc>
        <w:tc>
          <w:tcPr>
            <w:tcW w:w="255" w:type="pct"/>
            <w:gridSpan w:val="2"/>
            <w:tcBorders>
              <w:top w:val="nil"/>
              <w:left w:val="nil"/>
              <w:bottom w:val="nil"/>
              <w:right w:val="nil"/>
            </w:tcBorders>
            <w:noWrap/>
            <w:vAlign w:val="bottom"/>
            <w:hideMark/>
          </w:tcPr>
          <w:p w14:paraId="6C5AEC8A" w14:textId="77777777" w:rsidR="0051718E" w:rsidRPr="00557C2A" w:rsidRDefault="0051718E">
            <w:pPr>
              <w:spacing w:before="0" w:after="0"/>
              <w:jc w:val="left"/>
              <w:rPr>
                <w:rFonts w:eastAsia="Times New Roman"/>
                <w:noProof/>
                <w:sz w:val="20"/>
                <w:szCs w:val="20"/>
                <w:lang w:eastAsia="en-IE"/>
              </w:rPr>
            </w:pPr>
          </w:p>
        </w:tc>
        <w:tc>
          <w:tcPr>
            <w:tcW w:w="350" w:type="pct"/>
            <w:tcBorders>
              <w:top w:val="nil"/>
              <w:left w:val="nil"/>
              <w:bottom w:val="nil"/>
              <w:right w:val="nil"/>
            </w:tcBorders>
            <w:noWrap/>
            <w:vAlign w:val="bottom"/>
            <w:hideMark/>
          </w:tcPr>
          <w:p w14:paraId="7731598C" w14:textId="77777777" w:rsidR="0051718E" w:rsidRPr="00557C2A" w:rsidRDefault="0051718E">
            <w:pPr>
              <w:spacing w:before="0" w:after="0"/>
              <w:jc w:val="left"/>
              <w:rPr>
                <w:rFonts w:eastAsia="Times New Roman"/>
                <w:noProof/>
                <w:sz w:val="20"/>
                <w:szCs w:val="20"/>
                <w:lang w:eastAsia="en-IE"/>
              </w:rPr>
            </w:pPr>
          </w:p>
        </w:tc>
        <w:tc>
          <w:tcPr>
            <w:tcW w:w="350" w:type="pct"/>
            <w:tcBorders>
              <w:top w:val="nil"/>
              <w:left w:val="nil"/>
              <w:bottom w:val="nil"/>
              <w:right w:val="nil"/>
            </w:tcBorders>
            <w:noWrap/>
            <w:vAlign w:val="bottom"/>
            <w:hideMark/>
          </w:tcPr>
          <w:p w14:paraId="3B4553F5" w14:textId="77777777" w:rsidR="0051718E" w:rsidRPr="00557C2A" w:rsidRDefault="0051718E">
            <w:pPr>
              <w:spacing w:before="0" w:after="0"/>
              <w:jc w:val="left"/>
              <w:rPr>
                <w:rFonts w:eastAsia="Times New Roman"/>
                <w:noProof/>
                <w:sz w:val="20"/>
                <w:szCs w:val="20"/>
                <w:lang w:eastAsia="en-IE"/>
              </w:rPr>
            </w:pPr>
          </w:p>
        </w:tc>
        <w:tc>
          <w:tcPr>
            <w:tcW w:w="350" w:type="pct"/>
            <w:tcBorders>
              <w:top w:val="nil"/>
              <w:left w:val="nil"/>
              <w:bottom w:val="nil"/>
              <w:right w:val="nil"/>
            </w:tcBorders>
            <w:noWrap/>
            <w:vAlign w:val="bottom"/>
            <w:hideMark/>
          </w:tcPr>
          <w:p w14:paraId="6DB2C0D5" w14:textId="77777777" w:rsidR="0051718E" w:rsidRPr="00557C2A" w:rsidRDefault="0051718E">
            <w:pPr>
              <w:spacing w:before="0" w:after="0"/>
              <w:jc w:val="left"/>
              <w:rPr>
                <w:rFonts w:eastAsia="Times New Roman"/>
                <w:noProof/>
                <w:sz w:val="20"/>
                <w:szCs w:val="20"/>
                <w:lang w:eastAsia="en-IE"/>
              </w:rPr>
            </w:pPr>
          </w:p>
        </w:tc>
        <w:tc>
          <w:tcPr>
            <w:tcW w:w="350" w:type="pct"/>
            <w:tcBorders>
              <w:top w:val="nil"/>
              <w:left w:val="nil"/>
              <w:bottom w:val="nil"/>
              <w:right w:val="nil"/>
            </w:tcBorders>
            <w:noWrap/>
            <w:vAlign w:val="bottom"/>
            <w:hideMark/>
          </w:tcPr>
          <w:p w14:paraId="7D9C9B9E" w14:textId="77777777" w:rsidR="0051718E" w:rsidRPr="00557C2A" w:rsidRDefault="0051718E">
            <w:pPr>
              <w:spacing w:before="0" w:after="0"/>
              <w:jc w:val="left"/>
              <w:rPr>
                <w:rFonts w:eastAsia="Times New Roman"/>
                <w:noProof/>
                <w:sz w:val="20"/>
                <w:szCs w:val="20"/>
                <w:lang w:eastAsia="en-IE"/>
              </w:rPr>
            </w:pPr>
          </w:p>
        </w:tc>
        <w:tc>
          <w:tcPr>
            <w:tcW w:w="350" w:type="pct"/>
            <w:tcBorders>
              <w:top w:val="nil"/>
              <w:left w:val="nil"/>
              <w:bottom w:val="nil"/>
              <w:right w:val="nil"/>
            </w:tcBorders>
            <w:noWrap/>
            <w:vAlign w:val="bottom"/>
            <w:hideMark/>
          </w:tcPr>
          <w:p w14:paraId="7C0B007E" w14:textId="77777777" w:rsidR="0051718E" w:rsidRPr="00557C2A" w:rsidRDefault="0051718E">
            <w:pPr>
              <w:spacing w:before="0" w:after="0"/>
              <w:jc w:val="left"/>
              <w:rPr>
                <w:rFonts w:eastAsia="Times New Roman"/>
                <w:noProof/>
                <w:sz w:val="20"/>
                <w:szCs w:val="20"/>
                <w:lang w:eastAsia="en-IE"/>
              </w:rPr>
            </w:pPr>
          </w:p>
        </w:tc>
        <w:tc>
          <w:tcPr>
            <w:tcW w:w="350" w:type="pct"/>
            <w:tcBorders>
              <w:top w:val="nil"/>
              <w:left w:val="nil"/>
              <w:bottom w:val="nil"/>
              <w:right w:val="nil"/>
            </w:tcBorders>
            <w:noWrap/>
            <w:vAlign w:val="bottom"/>
            <w:hideMark/>
          </w:tcPr>
          <w:p w14:paraId="4D1EEAF7" w14:textId="77777777" w:rsidR="0051718E" w:rsidRPr="00557C2A" w:rsidRDefault="0051718E">
            <w:pPr>
              <w:spacing w:before="0" w:after="0"/>
              <w:jc w:val="left"/>
              <w:rPr>
                <w:rFonts w:eastAsia="Times New Roman"/>
                <w:noProof/>
                <w:sz w:val="20"/>
                <w:szCs w:val="20"/>
                <w:lang w:eastAsia="en-IE"/>
              </w:rPr>
            </w:pPr>
          </w:p>
        </w:tc>
        <w:tc>
          <w:tcPr>
            <w:tcW w:w="350" w:type="pct"/>
            <w:tcBorders>
              <w:top w:val="nil"/>
              <w:left w:val="nil"/>
              <w:bottom w:val="nil"/>
              <w:right w:val="nil"/>
            </w:tcBorders>
            <w:noWrap/>
            <w:vAlign w:val="bottom"/>
            <w:hideMark/>
          </w:tcPr>
          <w:p w14:paraId="3628F60D" w14:textId="77777777" w:rsidR="0051718E" w:rsidRPr="00557C2A" w:rsidRDefault="0051718E">
            <w:pPr>
              <w:spacing w:before="0" w:after="0"/>
              <w:jc w:val="left"/>
              <w:rPr>
                <w:rFonts w:eastAsia="Times New Roman"/>
                <w:noProof/>
                <w:sz w:val="20"/>
                <w:szCs w:val="20"/>
                <w:lang w:eastAsia="en-IE"/>
              </w:rPr>
            </w:pPr>
          </w:p>
        </w:tc>
        <w:tc>
          <w:tcPr>
            <w:tcW w:w="391" w:type="pct"/>
            <w:tcBorders>
              <w:top w:val="nil"/>
              <w:left w:val="nil"/>
              <w:bottom w:val="nil"/>
              <w:right w:val="nil"/>
            </w:tcBorders>
            <w:noWrap/>
            <w:vAlign w:val="bottom"/>
            <w:hideMark/>
          </w:tcPr>
          <w:p w14:paraId="5C740EE9" w14:textId="77777777" w:rsidR="0051718E" w:rsidRPr="00557C2A" w:rsidRDefault="0051718E">
            <w:pPr>
              <w:spacing w:before="0" w:after="0"/>
              <w:jc w:val="left"/>
              <w:rPr>
                <w:rFonts w:eastAsia="Times New Roman"/>
                <w:noProof/>
                <w:sz w:val="20"/>
                <w:szCs w:val="20"/>
                <w:lang w:eastAsia="en-IE"/>
              </w:rPr>
            </w:pPr>
          </w:p>
        </w:tc>
      </w:tr>
      <w:tr w:rsidR="0051718E" w:rsidRPr="00557C2A" w14:paraId="4BAFB48D" w14:textId="77777777" w:rsidTr="00B37C03">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410"/>
        </w:trPr>
        <w:tc>
          <w:tcPr>
            <w:tcW w:w="2161" w:type="pct"/>
            <w:gridSpan w:val="6"/>
            <w:vMerge w:val="restart"/>
            <w:tcBorders>
              <w:top w:val="single" w:sz="8" w:space="0" w:color="auto"/>
              <w:left w:val="single" w:sz="8" w:space="0" w:color="auto"/>
              <w:bottom w:val="single" w:sz="8" w:space="0" w:color="000000"/>
              <w:right w:val="single" w:sz="8" w:space="0" w:color="000000"/>
            </w:tcBorders>
            <w:vAlign w:val="center"/>
            <w:hideMark/>
          </w:tcPr>
          <w:p w14:paraId="4E67A648" w14:textId="77777777" w:rsidR="0051718E" w:rsidRPr="00557C2A" w:rsidRDefault="0051718E">
            <w:pPr>
              <w:spacing w:before="0" w:after="0"/>
              <w:jc w:val="center"/>
              <w:rPr>
                <w:rFonts w:eastAsia="Times New Roman"/>
                <w:noProof/>
                <w:color w:val="000000"/>
                <w:szCs w:val="24"/>
              </w:rPr>
            </w:pPr>
            <w:r w:rsidRPr="00557C2A">
              <w:rPr>
                <w:noProof/>
                <w:color w:val="000000"/>
              </w:rPr>
              <w:t>DG: &lt;…….&gt;</w:t>
            </w:r>
          </w:p>
        </w:tc>
        <w:tc>
          <w:tcPr>
            <w:tcW w:w="350" w:type="pct"/>
            <w:tcBorders>
              <w:top w:val="single" w:sz="8" w:space="0" w:color="auto"/>
              <w:left w:val="nil"/>
              <w:bottom w:val="nil"/>
              <w:right w:val="single" w:sz="8" w:space="0" w:color="auto"/>
            </w:tcBorders>
            <w:vAlign w:val="center"/>
            <w:hideMark/>
          </w:tcPr>
          <w:p w14:paraId="7962F597" w14:textId="77777777" w:rsidR="0051718E" w:rsidRPr="00557C2A" w:rsidRDefault="0051718E">
            <w:pPr>
              <w:spacing w:before="0" w:after="0"/>
              <w:jc w:val="center"/>
              <w:rPr>
                <w:rFonts w:eastAsia="Times New Roman"/>
                <w:noProof/>
                <w:color w:val="000000"/>
                <w:sz w:val="20"/>
                <w:szCs w:val="20"/>
              </w:rPr>
            </w:pPr>
            <w:r w:rsidRPr="00557C2A">
              <w:rPr>
                <w:noProof/>
                <w:color w:val="000000"/>
                <w:sz w:val="20"/>
              </w:rPr>
              <w:t>Jaar</w:t>
            </w:r>
          </w:p>
        </w:tc>
        <w:tc>
          <w:tcPr>
            <w:tcW w:w="350" w:type="pct"/>
            <w:tcBorders>
              <w:top w:val="single" w:sz="8" w:space="0" w:color="auto"/>
              <w:left w:val="nil"/>
              <w:bottom w:val="nil"/>
              <w:right w:val="single" w:sz="8" w:space="0" w:color="auto"/>
            </w:tcBorders>
            <w:vAlign w:val="center"/>
            <w:hideMark/>
          </w:tcPr>
          <w:p w14:paraId="64748F19" w14:textId="77777777" w:rsidR="0051718E" w:rsidRPr="00557C2A" w:rsidRDefault="0051718E">
            <w:pPr>
              <w:spacing w:before="0" w:after="0"/>
              <w:jc w:val="center"/>
              <w:rPr>
                <w:rFonts w:eastAsia="Times New Roman"/>
                <w:noProof/>
                <w:color w:val="000000"/>
                <w:sz w:val="20"/>
                <w:szCs w:val="20"/>
              </w:rPr>
            </w:pPr>
            <w:r w:rsidRPr="00557C2A">
              <w:rPr>
                <w:noProof/>
                <w:color w:val="000000"/>
                <w:sz w:val="20"/>
              </w:rPr>
              <w:t>Jaar</w:t>
            </w:r>
          </w:p>
        </w:tc>
        <w:tc>
          <w:tcPr>
            <w:tcW w:w="350" w:type="pct"/>
            <w:tcBorders>
              <w:top w:val="single" w:sz="8" w:space="0" w:color="auto"/>
              <w:left w:val="nil"/>
              <w:bottom w:val="nil"/>
              <w:right w:val="single" w:sz="8" w:space="0" w:color="auto"/>
            </w:tcBorders>
            <w:vAlign w:val="center"/>
            <w:hideMark/>
          </w:tcPr>
          <w:p w14:paraId="66A2ABFD" w14:textId="77777777" w:rsidR="0051718E" w:rsidRPr="00557C2A" w:rsidRDefault="0051718E">
            <w:pPr>
              <w:spacing w:before="0" w:after="0"/>
              <w:jc w:val="center"/>
              <w:rPr>
                <w:rFonts w:eastAsia="Times New Roman"/>
                <w:noProof/>
                <w:color w:val="000000"/>
                <w:sz w:val="20"/>
                <w:szCs w:val="20"/>
              </w:rPr>
            </w:pPr>
            <w:r w:rsidRPr="00557C2A">
              <w:rPr>
                <w:noProof/>
                <w:color w:val="000000"/>
                <w:sz w:val="20"/>
              </w:rPr>
              <w:t>Jaar</w:t>
            </w:r>
          </w:p>
        </w:tc>
        <w:tc>
          <w:tcPr>
            <w:tcW w:w="350" w:type="pct"/>
            <w:tcBorders>
              <w:top w:val="single" w:sz="8" w:space="0" w:color="auto"/>
              <w:left w:val="nil"/>
              <w:bottom w:val="nil"/>
              <w:right w:val="single" w:sz="8" w:space="0" w:color="auto"/>
            </w:tcBorders>
            <w:vAlign w:val="center"/>
            <w:hideMark/>
          </w:tcPr>
          <w:p w14:paraId="09ACF70F" w14:textId="77777777" w:rsidR="0051718E" w:rsidRPr="00557C2A" w:rsidRDefault="0051718E">
            <w:pPr>
              <w:spacing w:before="0" w:after="0"/>
              <w:jc w:val="center"/>
              <w:rPr>
                <w:rFonts w:eastAsia="Times New Roman"/>
                <w:noProof/>
                <w:color w:val="000000"/>
                <w:sz w:val="20"/>
                <w:szCs w:val="20"/>
              </w:rPr>
            </w:pPr>
            <w:r w:rsidRPr="00557C2A">
              <w:rPr>
                <w:noProof/>
                <w:color w:val="000000"/>
                <w:sz w:val="20"/>
              </w:rPr>
              <w:t>Jaar</w:t>
            </w:r>
          </w:p>
        </w:tc>
        <w:tc>
          <w:tcPr>
            <w:tcW w:w="350" w:type="pct"/>
            <w:tcBorders>
              <w:top w:val="single" w:sz="8" w:space="0" w:color="auto"/>
              <w:left w:val="nil"/>
              <w:bottom w:val="nil"/>
              <w:right w:val="single" w:sz="8" w:space="0" w:color="auto"/>
            </w:tcBorders>
            <w:vAlign w:val="center"/>
            <w:hideMark/>
          </w:tcPr>
          <w:p w14:paraId="4B8EAE60" w14:textId="77777777" w:rsidR="0051718E" w:rsidRPr="00557C2A" w:rsidRDefault="0051718E">
            <w:pPr>
              <w:spacing w:before="0" w:after="0"/>
              <w:jc w:val="center"/>
              <w:rPr>
                <w:rFonts w:eastAsia="Times New Roman"/>
                <w:noProof/>
                <w:color w:val="000000"/>
                <w:sz w:val="20"/>
                <w:szCs w:val="20"/>
              </w:rPr>
            </w:pPr>
            <w:r w:rsidRPr="00557C2A">
              <w:rPr>
                <w:noProof/>
                <w:color w:val="000000"/>
                <w:sz w:val="20"/>
              </w:rPr>
              <w:t>Jaar</w:t>
            </w:r>
          </w:p>
        </w:tc>
        <w:tc>
          <w:tcPr>
            <w:tcW w:w="350" w:type="pct"/>
            <w:tcBorders>
              <w:top w:val="single" w:sz="8" w:space="0" w:color="auto"/>
              <w:left w:val="nil"/>
              <w:bottom w:val="nil"/>
              <w:right w:val="single" w:sz="8" w:space="0" w:color="auto"/>
            </w:tcBorders>
            <w:vAlign w:val="center"/>
            <w:hideMark/>
          </w:tcPr>
          <w:p w14:paraId="3BC46DFE" w14:textId="77777777" w:rsidR="0051718E" w:rsidRPr="00557C2A" w:rsidRDefault="0051718E">
            <w:pPr>
              <w:spacing w:before="0" w:after="0"/>
              <w:jc w:val="center"/>
              <w:rPr>
                <w:rFonts w:eastAsia="Times New Roman"/>
                <w:noProof/>
                <w:color w:val="000000"/>
                <w:sz w:val="20"/>
                <w:szCs w:val="20"/>
              </w:rPr>
            </w:pPr>
            <w:r w:rsidRPr="00557C2A">
              <w:rPr>
                <w:noProof/>
                <w:color w:val="000000"/>
                <w:sz w:val="20"/>
              </w:rPr>
              <w:t>Jaar</w:t>
            </w:r>
          </w:p>
        </w:tc>
        <w:tc>
          <w:tcPr>
            <w:tcW w:w="350" w:type="pct"/>
            <w:tcBorders>
              <w:top w:val="single" w:sz="8" w:space="0" w:color="auto"/>
              <w:left w:val="nil"/>
              <w:bottom w:val="nil"/>
              <w:right w:val="single" w:sz="8" w:space="0" w:color="auto"/>
            </w:tcBorders>
            <w:vAlign w:val="center"/>
            <w:hideMark/>
          </w:tcPr>
          <w:p w14:paraId="79BC904C" w14:textId="77777777" w:rsidR="0051718E" w:rsidRPr="00557C2A" w:rsidRDefault="0051718E">
            <w:pPr>
              <w:spacing w:before="0" w:after="0"/>
              <w:jc w:val="center"/>
              <w:rPr>
                <w:rFonts w:eastAsia="Times New Roman"/>
                <w:noProof/>
                <w:color w:val="000000"/>
                <w:sz w:val="20"/>
                <w:szCs w:val="20"/>
              </w:rPr>
            </w:pPr>
            <w:r w:rsidRPr="00557C2A">
              <w:rPr>
                <w:noProof/>
                <w:color w:val="000000"/>
                <w:sz w:val="20"/>
              </w:rPr>
              <w:t>Jaar</w:t>
            </w:r>
          </w:p>
        </w:tc>
        <w:tc>
          <w:tcPr>
            <w:tcW w:w="391" w:type="pct"/>
            <w:vMerge w:val="restart"/>
            <w:tcBorders>
              <w:top w:val="single" w:sz="8" w:space="0" w:color="auto"/>
              <w:left w:val="single" w:sz="8" w:space="0" w:color="auto"/>
              <w:bottom w:val="single" w:sz="8" w:space="0" w:color="000000"/>
              <w:right w:val="single" w:sz="8" w:space="0" w:color="auto"/>
            </w:tcBorders>
            <w:vAlign w:val="center"/>
            <w:hideMark/>
          </w:tcPr>
          <w:p w14:paraId="51F8AA72" w14:textId="77777777" w:rsidR="0051718E" w:rsidRPr="00557C2A" w:rsidRDefault="0051718E">
            <w:pPr>
              <w:spacing w:before="0" w:after="0"/>
              <w:jc w:val="center"/>
              <w:rPr>
                <w:rFonts w:eastAsia="Times New Roman"/>
                <w:b/>
                <w:bCs/>
                <w:noProof/>
                <w:color w:val="000000"/>
                <w:sz w:val="20"/>
                <w:szCs w:val="20"/>
              </w:rPr>
            </w:pPr>
            <w:r w:rsidRPr="00557C2A">
              <w:rPr>
                <w:b/>
                <w:noProof/>
                <w:color w:val="000000"/>
                <w:sz w:val="20"/>
              </w:rPr>
              <w:t>TOTAAL MFK 2028-2034</w:t>
            </w:r>
          </w:p>
        </w:tc>
      </w:tr>
      <w:tr w:rsidR="0051718E" w:rsidRPr="00557C2A" w14:paraId="1F5EFDEB" w14:textId="77777777" w:rsidTr="00B37C03">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0"/>
        </w:trPr>
        <w:tc>
          <w:tcPr>
            <w:tcW w:w="2161" w:type="pct"/>
            <w:gridSpan w:val="6"/>
            <w:vMerge/>
            <w:tcBorders>
              <w:top w:val="single" w:sz="8" w:space="0" w:color="auto"/>
              <w:left w:val="single" w:sz="8" w:space="0" w:color="auto"/>
              <w:bottom w:val="single" w:sz="8" w:space="0" w:color="000000"/>
              <w:right w:val="single" w:sz="8" w:space="0" w:color="000000"/>
            </w:tcBorders>
            <w:vAlign w:val="center"/>
            <w:hideMark/>
          </w:tcPr>
          <w:p w14:paraId="2EAE5699" w14:textId="77777777" w:rsidR="0051718E" w:rsidRPr="00557C2A" w:rsidRDefault="0051718E">
            <w:pPr>
              <w:spacing w:before="0" w:after="0"/>
              <w:jc w:val="left"/>
              <w:rPr>
                <w:rFonts w:eastAsia="Times New Roman"/>
                <w:noProof/>
                <w:color w:val="000000"/>
                <w:szCs w:val="24"/>
                <w:lang w:eastAsia="en-IE"/>
              </w:rPr>
            </w:pPr>
          </w:p>
        </w:tc>
        <w:tc>
          <w:tcPr>
            <w:tcW w:w="350" w:type="pct"/>
            <w:tcBorders>
              <w:top w:val="nil"/>
              <w:left w:val="nil"/>
              <w:bottom w:val="single" w:sz="8" w:space="0" w:color="auto"/>
              <w:right w:val="single" w:sz="8" w:space="0" w:color="auto"/>
            </w:tcBorders>
            <w:vAlign w:val="center"/>
            <w:hideMark/>
          </w:tcPr>
          <w:p w14:paraId="713CE918" w14:textId="77777777" w:rsidR="0051718E" w:rsidRPr="00557C2A" w:rsidRDefault="0051718E">
            <w:pPr>
              <w:spacing w:before="0" w:after="0"/>
              <w:jc w:val="center"/>
              <w:rPr>
                <w:rFonts w:eastAsia="Times New Roman"/>
                <w:b/>
                <w:bCs/>
                <w:noProof/>
                <w:color w:val="000000"/>
                <w:sz w:val="20"/>
                <w:szCs w:val="20"/>
              </w:rPr>
            </w:pPr>
            <w:r w:rsidRPr="00557C2A">
              <w:rPr>
                <w:b/>
                <w:noProof/>
                <w:color w:val="000000"/>
                <w:sz w:val="20"/>
              </w:rPr>
              <w:t>2028</w:t>
            </w:r>
          </w:p>
        </w:tc>
        <w:tc>
          <w:tcPr>
            <w:tcW w:w="350" w:type="pct"/>
            <w:tcBorders>
              <w:top w:val="nil"/>
              <w:left w:val="nil"/>
              <w:bottom w:val="single" w:sz="8" w:space="0" w:color="auto"/>
              <w:right w:val="single" w:sz="8" w:space="0" w:color="auto"/>
            </w:tcBorders>
            <w:vAlign w:val="center"/>
            <w:hideMark/>
          </w:tcPr>
          <w:p w14:paraId="48C742CB" w14:textId="77777777" w:rsidR="0051718E" w:rsidRPr="00557C2A" w:rsidRDefault="0051718E">
            <w:pPr>
              <w:spacing w:before="0" w:after="0"/>
              <w:jc w:val="center"/>
              <w:rPr>
                <w:rFonts w:eastAsia="Times New Roman"/>
                <w:b/>
                <w:bCs/>
                <w:noProof/>
                <w:color w:val="000000"/>
                <w:sz w:val="20"/>
                <w:szCs w:val="20"/>
              </w:rPr>
            </w:pPr>
            <w:r w:rsidRPr="00557C2A">
              <w:rPr>
                <w:b/>
                <w:noProof/>
                <w:color w:val="000000"/>
                <w:sz w:val="20"/>
              </w:rPr>
              <w:t>2029</w:t>
            </w:r>
          </w:p>
        </w:tc>
        <w:tc>
          <w:tcPr>
            <w:tcW w:w="350" w:type="pct"/>
            <w:tcBorders>
              <w:top w:val="nil"/>
              <w:left w:val="nil"/>
              <w:bottom w:val="single" w:sz="8" w:space="0" w:color="auto"/>
              <w:right w:val="single" w:sz="8" w:space="0" w:color="auto"/>
            </w:tcBorders>
            <w:vAlign w:val="center"/>
            <w:hideMark/>
          </w:tcPr>
          <w:p w14:paraId="1F5A3001" w14:textId="77777777" w:rsidR="0051718E" w:rsidRPr="00557C2A" w:rsidRDefault="0051718E">
            <w:pPr>
              <w:spacing w:before="0" w:after="0"/>
              <w:jc w:val="center"/>
              <w:rPr>
                <w:rFonts w:eastAsia="Times New Roman"/>
                <w:b/>
                <w:bCs/>
                <w:noProof/>
                <w:color w:val="000000"/>
                <w:sz w:val="20"/>
                <w:szCs w:val="20"/>
              </w:rPr>
            </w:pPr>
            <w:r w:rsidRPr="00557C2A">
              <w:rPr>
                <w:b/>
                <w:noProof/>
                <w:color w:val="000000"/>
                <w:sz w:val="20"/>
              </w:rPr>
              <w:t>2030</w:t>
            </w:r>
          </w:p>
        </w:tc>
        <w:tc>
          <w:tcPr>
            <w:tcW w:w="350" w:type="pct"/>
            <w:tcBorders>
              <w:top w:val="nil"/>
              <w:left w:val="nil"/>
              <w:bottom w:val="single" w:sz="8" w:space="0" w:color="auto"/>
              <w:right w:val="single" w:sz="8" w:space="0" w:color="auto"/>
            </w:tcBorders>
            <w:vAlign w:val="center"/>
            <w:hideMark/>
          </w:tcPr>
          <w:p w14:paraId="61F04A10" w14:textId="77777777" w:rsidR="0051718E" w:rsidRPr="00557C2A" w:rsidRDefault="0051718E">
            <w:pPr>
              <w:spacing w:before="0" w:after="0"/>
              <w:jc w:val="center"/>
              <w:rPr>
                <w:rFonts w:eastAsia="Times New Roman"/>
                <w:b/>
                <w:bCs/>
                <w:noProof/>
                <w:color w:val="000000"/>
                <w:sz w:val="20"/>
                <w:szCs w:val="20"/>
              </w:rPr>
            </w:pPr>
            <w:r w:rsidRPr="00557C2A">
              <w:rPr>
                <w:b/>
                <w:noProof/>
                <w:color w:val="000000"/>
                <w:sz w:val="20"/>
              </w:rPr>
              <w:t>2031</w:t>
            </w:r>
          </w:p>
        </w:tc>
        <w:tc>
          <w:tcPr>
            <w:tcW w:w="350" w:type="pct"/>
            <w:tcBorders>
              <w:top w:val="nil"/>
              <w:left w:val="nil"/>
              <w:bottom w:val="single" w:sz="8" w:space="0" w:color="auto"/>
              <w:right w:val="single" w:sz="8" w:space="0" w:color="auto"/>
            </w:tcBorders>
            <w:vAlign w:val="center"/>
            <w:hideMark/>
          </w:tcPr>
          <w:p w14:paraId="5A562E63" w14:textId="77777777" w:rsidR="0051718E" w:rsidRPr="00557C2A" w:rsidRDefault="0051718E">
            <w:pPr>
              <w:spacing w:before="0" w:after="0"/>
              <w:jc w:val="center"/>
              <w:rPr>
                <w:rFonts w:eastAsia="Times New Roman"/>
                <w:b/>
                <w:bCs/>
                <w:noProof/>
                <w:color w:val="000000"/>
                <w:sz w:val="20"/>
                <w:szCs w:val="20"/>
              </w:rPr>
            </w:pPr>
            <w:r w:rsidRPr="00557C2A">
              <w:rPr>
                <w:b/>
                <w:noProof/>
                <w:color w:val="000000"/>
                <w:sz w:val="20"/>
              </w:rPr>
              <w:t>2032</w:t>
            </w:r>
          </w:p>
        </w:tc>
        <w:tc>
          <w:tcPr>
            <w:tcW w:w="350" w:type="pct"/>
            <w:tcBorders>
              <w:top w:val="nil"/>
              <w:left w:val="nil"/>
              <w:bottom w:val="single" w:sz="8" w:space="0" w:color="auto"/>
              <w:right w:val="single" w:sz="8" w:space="0" w:color="auto"/>
            </w:tcBorders>
            <w:vAlign w:val="center"/>
            <w:hideMark/>
          </w:tcPr>
          <w:p w14:paraId="373E7F5B" w14:textId="77777777" w:rsidR="0051718E" w:rsidRPr="00557C2A" w:rsidRDefault="0051718E">
            <w:pPr>
              <w:spacing w:before="0" w:after="0"/>
              <w:jc w:val="center"/>
              <w:rPr>
                <w:rFonts w:eastAsia="Times New Roman"/>
                <w:b/>
                <w:bCs/>
                <w:noProof/>
                <w:color w:val="000000"/>
                <w:sz w:val="20"/>
                <w:szCs w:val="20"/>
              </w:rPr>
            </w:pPr>
            <w:r w:rsidRPr="00557C2A">
              <w:rPr>
                <w:b/>
                <w:noProof/>
                <w:color w:val="000000"/>
                <w:sz w:val="20"/>
              </w:rPr>
              <w:t>2033</w:t>
            </w:r>
          </w:p>
        </w:tc>
        <w:tc>
          <w:tcPr>
            <w:tcW w:w="350" w:type="pct"/>
            <w:tcBorders>
              <w:top w:val="nil"/>
              <w:left w:val="nil"/>
              <w:bottom w:val="single" w:sz="8" w:space="0" w:color="auto"/>
              <w:right w:val="single" w:sz="8" w:space="0" w:color="auto"/>
            </w:tcBorders>
            <w:vAlign w:val="center"/>
            <w:hideMark/>
          </w:tcPr>
          <w:p w14:paraId="73A89568" w14:textId="77777777" w:rsidR="0051718E" w:rsidRPr="00557C2A" w:rsidRDefault="0051718E">
            <w:pPr>
              <w:spacing w:before="0" w:after="0"/>
              <w:jc w:val="center"/>
              <w:rPr>
                <w:rFonts w:eastAsia="Times New Roman"/>
                <w:b/>
                <w:bCs/>
                <w:noProof/>
                <w:color w:val="000000"/>
                <w:sz w:val="20"/>
                <w:szCs w:val="20"/>
              </w:rPr>
            </w:pPr>
            <w:r w:rsidRPr="00557C2A">
              <w:rPr>
                <w:b/>
                <w:noProof/>
                <w:color w:val="000000"/>
                <w:sz w:val="20"/>
              </w:rPr>
              <w:t>2034</w:t>
            </w:r>
          </w:p>
        </w:tc>
        <w:tc>
          <w:tcPr>
            <w:tcW w:w="391" w:type="pct"/>
            <w:vMerge/>
            <w:tcBorders>
              <w:top w:val="single" w:sz="8" w:space="0" w:color="auto"/>
              <w:left w:val="single" w:sz="8" w:space="0" w:color="auto"/>
              <w:bottom w:val="single" w:sz="8" w:space="0" w:color="000000"/>
              <w:right w:val="single" w:sz="8" w:space="0" w:color="auto"/>
            </w:tcBorders>
            <w:vAlign w:val="center"/>
            <w:hideMark/>
          </w:tcPr>
          <w:p w14:paraId="25789E56" w14:textId="77777777" w:rsidR="0051718E" w:rsidRPr="00557C2A" w:rsidRDefault="0051718E">
            <w:pPr>
              <w:spacing w:before="0" w:after="0"/>
              <w:jc w:val="left"/>
              <w:rPr>
                <w:rFonts w:eastAsia="Times New Roman"/>
                <w:b/>
                <w:bCs/>
                <w:noProof/>
                <w:color w:val="000000"/>
                <w:sz w:val="20"/>
                <w:szCs w:val="20"/>
                <w:lang w:eastAsia="en-IE"/>
              </w:rPr>
            </w:pPr>
          </w:p>
        </w:tc>
      </w:tr>
      <w:tr w:rsidR="0051718E" w:rsidRPr="00557C2A" w14:paraId="6CF12A8D" w14:textId="77777777" w:rsidTr="00B37C03">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0"/>
        </w:trPr>
        <w:tc>
          <w:tcPr>
            <w:tcW w:w="2161" w:type="pct"/>
            <w:gridSpan w:val="6"/>
            <w:tcBorders>
              <w:top w:val="single" w:sz="8" w:space="0" w:color="auto"/>
              <w:left w:val="single" w:sz="8" w:space="0" w:color="auto"/>
              <w:bottom w:val="single" w:sz="8" w:space="0" w:color="auto"/>
              <w:right w:val="single" w:sz="8" w:space="0" w:color="000000"/>
            </w:tcBorders>
            <w:vAlign w:val="center"/>
            <w:hideMark/>
          </w:tcPr>
          <w:p w14:paraId="1A3FEE73" w14:textId="77777777" w:rsidR="0051718E" w:rsidRPr="00557C2A" w:rsidRDefault="0051718E">
            <w:pPr>
              <w:spacing w:before="0" w:after="0"/>
              <w:jc w:val="left"/>
              <w:rPr>
                <w:rFonts w:ascii="Wingdings" w:eastAsia="Times New Roman" w:hAnsi="Wingdings"/>
                <w:noProof/>
                <w:color w:val="000000"/>
                <w:sz w:val="22"/>
              </w:rPr>
            </w:pPr>
            <w:r w:rsidRPr="00557C2A">
              <w:rPr>
                <w:rFonts w:ascii="Wingdings" w:hAnsi="Wingdings"/>
                <w:noProof/>
                <w:color w:val="000000"/>
                <w:sz w:val="22"/>
              </w:rPr>
              <w:t></w:t>
            </w:r>
            <w:r w:rsidRPr="00557C2A">
              <w:rPr>
                <w:noProof/>
              </w:rPr>
              <w:t xml:space="preserve"> Personele middelen</w:t>
            </w:r>
            <w:r w:rsidRPr="00557C2A">
              <w:rPr>
                <w:noProof/>
                <w:color w:val="000000"/>
                <w:sz w:val="22"/>
              </w:rPr>
              <w:t xml:space="preserve"> </w:t>
            </w:r>
          </w:p>
        </w:tc>
        <w:tc>
          <w:tcPr>
            <w:tcW w:w="350" w:type="pct"/>
            <w:tcBorders>
              <w:top w:val="nil"/>
              <w:left w:val="nil"/>
              <w:bottom w:val="single" w:sz="8" w:space="0" w:color="auto"/>
              <w:right w:val="single" w:sz="8" w:space="0" w:color="auto"/>
            </w:tcBorders>
            <w:shd w:val="clear" w:color="000000" w:fill="D9D9D9"/>
            <w:vAlign w:val="center"/>
            <w:hideMark/>
          </w:tcPr>
          <w:p w14:paraId="21AB6F98" w14:textId="77777777" w:rsidR="0051718E" w:rsidRPr="00557C2A" w:rsidRDefault="0051718E">
            <w:pPr>
              <w:spacing w:before="0" w:after="0"/>
              <w:jc w:val="right"/>
              <w:rPr>
                <w:rFonts w:eastAsia="Times New Roman"/>
                <w:noProof/>
                <w:color w:val="000000"/>
                <w:sz w:val="20"/>
                <w:szCs w:val="20"/>
              </w:rPr>
            </w:pPr>
            <w:r w:rsidRPr="00557C2A">
              <w:rPr>
                <w:noProof/>
                <w:color w:val="000000"/>
                <w:sz w:val="20"/>
              </w:rPr>
              <w:t>0</w:t>
            </w:r>
          </w:p>
        </w:tc>
        <w:tc>
          <w:tcPr>
            <w:tcW w:w="350" w:type="pct"/>
            <w:tcBorders>
              <w:top w:val="nil"/>
              <w:left w:val="nil"/>
              <w:bottom w:val="single" w:sz="8" w:space="0" w:color="auto"/>
              <w:right w:val="single" w:sz="8" w:space="0" w:color="auto"/>
            </w:tcBorders>
            <w:shd w:val="clear" w:color="000000" w:fill="D9D9D9"/>
            <w:vAlign w:val="center"/>
            <w:hideMark/>
          </w:tcPr>
          <w:p w14:paraId="48E4EE70" w14:textId="77777777" w:rsidR="0051718E" w:rsidRPr="00557C2A" w:rsidRDefault="0051718E">
            <w:pPr>
              <w:spacing w:before="0" w:after="0"/>
              <w:jc w:val="right"/>
              <w:rPr>
                <w:rFonts w:eastAsia="Times New Roman"/>
                <w:noProof/>
                <w:color w:val="000000"/>
                <w:sz w:val="20"/>
                <w:szCs w:val="20"/>
              </w:rPr>
            </w:pPr>
            <w:r w:rsidRPr="00557C2A">
              <w:rPr>
                <w:noProof/>
                <w:color w:val="000000"/>
                <w:sz w:val="20"/>
              </w:rPr>
              <w:t>0</w:t>
            </w:r>
          </w:p>
        </w:tc>
        <w:tc>
          <w:tcPr>
            <w:tcW w:w="350" w:type="pct"/>
            <w:tcBorders>
              <w:top w:val="nil"/>
              <w:left w:val="nil"/>
              <w:bottom w:val="single" w:sz="8" w:space="0" w:color="auto"/>
              <w:right w:val="single" w:sz="8" w:space="0" w:color="auto"/>
            </w:tcBorders>
            <w:shd w:val="clear" w:color="000000" w:fill="D9D9D9"/>
            <w:vAlign w:val="center"/>
            <w:hideMark/>
          </w:tcPr>
          <w:p w14:paraId="119C1ED3" w14:textId="77777777" w:rsidR="0051718E" w:rsidRPr="00557C2A" w:rsidRDefault="0051718E">
            <w:pPr>
              <w:spacing w:before="0" w:after="0"/>
              <w:jc w:val="right"/>
              <w:rPr>
                <w:rFonts w:eastAsia="Times New Roman"/>
                <w:noProof/>
                <w:color w:val="000000"/>
                <w:sz w:val="20"/>
                <w:szCs w:val="20"/>
              </w:rPr>
            </w:pPr>
            <w:r w:rsidRPr="00557C2A">
              <w:rPr>
                <w:noProof/>
                <w:color w:val="000000"/>
                <w:sz w:val="20"/>
              </w:rPr>
              <w:t>0</w:t>
            </w:r>
          </w:p>
        </w:tc>
        <w:tc>
          <w:tcPr>
            <w:tcW w:w="350" w:type="pct"/>
            <w:tcBorders>
              <w:top w:val="nil"/>
              <w:left w:val="nil"/>
              <w:bottom w:val="single" w:sz="8" w:space="0" w:color="auto"/>
              <w:right w:val="single" w:sz="8" w:space="0" w:color="auto"/>
            </w:tcBorders>
            <w:shd w:val="clear" w:color="000000" w:fill="D9D9D9"/>
            <w:vAlign w:val="center"/>
            <w:hideMark/>
          </w:tcPr>
          <w:p w14:paraId="2D5739DA" w14:textId="77777777" w:rsidR="0051718E" w:rsidRPr="00557C2A" w:rsidRDefault="0051718E">
            <w:pPr>
              <w:spacing w:before="0" w:after="0"/>
              <w:jc w:val="right"/>
              <w:rPr>
                <w:rFonts w:eastAsia="Times New Roman"/>
                <w:noProof/>
                <w:color w:val="000000"/>
                <w:sz w:val="20"/>
                <w:szCs w:val="20"/>
              </w:rPr>
            </w:pPr>
            <w:r w:rsidRPr="00557C2A">
              <w:rPr>
                <w:noProof/>
                <w:color w:val="000000"/>
                <w:sz w:val="20"/>
              </w:rPr>
              <w:t>0</w:t>
            </w:r>
          </w:p>
        </w:tc>
        <w:tc>
          <w:tcPr>
            <w:tcW w:w="350" w:type="pct"/>
            <w:tcBorders>
              <w:top w:val="nil"/>
              <w:left w:val="nil"/>
              <w:bottom w:val="single" w:sz="8" w:space="0" w:color="auto"/>
              <w:right w:val="single" w:sz="8" w:space="0" w:color="auto"/>
            </w:tcBorders>
            <w:shd w:val="clear" w:color="000000" w:fill="D9D9D9"/>
            <w:vAlign w:val="center"/>
            <w:hideMark/>
          </w:tcPr>
          <w:p w14:paraId="065338B1" w14:textId="77777777" w:rsidR="0051718E" w:rsidRPr="00557C2A" w:rsidRDefault="0051718E">
            <w:pPr>
              <w:spacing w:before="0" w:after="0"/>
              <w:jc w:val="right"/>
              <w:rPr>
                <w:rFonts w:eastAsia="Times New Roman"/>
                <w:noProof/>
                <w:color w:val="000000"/>
                <w:sz w:val="20"/>
                <w:szCs w:val="20"/>
              </w:rPr>
            </w:pPr>
            <w:r w:rsidRPr="00557C2A">
              <w:rPr>
                <w:noProof/>
                <w:color w:val="000000"/>
                <w:sz w:val="20"/>
              </w:rPr>
              <w:t>0</w:t>
            </w:r>
          </w:p>
        </w:tc>
        <w:tc>
          <w:tcPr>
            <w:tcW w:w="350" w:type="pct"/>
            <w:tcBorders>
              <w:top w:val="nil"/>
              <w:left w:val="nil"/>
              <w:bottom w:val="single" w:sz="8" w:space="0" w:color="auto"/>
              <w:right w:val="single" w:sz="8" w:space="0" w:color="auto"/>
            </w:tcBorders>
            <w:shd w:val="clear" w:color="000000" w:fill="D9D9D9"/>
            <w:vAlign w:val="center"/>
            <w:hideMark/>
          </w:tcPr>
          <w:p w14:paraId="41B27F45" w14:textId="77777777" w:rsidR="0051718E" w:rsidRPr="00557C2A" w:rsidRDefault="0051718E">
            <w:pPr>
              <w:spacing w:before="0" w:after="0"/>
              <w:jc w:val="right"/>
              <w:rPr>
                <w:rFonts w:eastAsia="Times New Roman"/>
                <w:noProof/>
                <w:color w:val="000000"/>
                <w:sz w:val="20"/>
                <w:szCs w:val="20"/>
              </w:rPr>
            </w:pPr>
            <w:r w:rsidRPr="00557C2A">
              <w:rPr>
                <w:noProof/>
                <w:color w:val="000000"/>
                <w:sz w:val="20"/>
              </w:rPr>
              <w:t>0</w:t>
            </w:r>
          </w:p>
        </w:tc>
        <w:tc>
          <w:tcPr>
            <w:tcW w:w="350" w:type="pct"/>
            <w:tcBorders>
              <w:top w:val="nil"/>
              <w:left w:val="nil"/>
              <w:bottom w:val="single" w:sz="8" w:space="0" w:color="auto"/>
              <w:right w:val="single" w:sz="8" w:space="0" w:color="auto"/>
            </w:tcBorders>
            <w:shd w:val="clear" w:color="000000" w:fill="D9D9D9"/>
            <w:vAlign w:val="center"/>
            <w:hideMark/>
          </w:tcPr>
          <w:p w14:paraId="77C950E8" w14:textId="77777777" w:rsidR="0051718E" w:rsidRPr="00557C2A" w:rsidRDefault="0051718E">
            <w:pPr>
              <w:spacing w:before="0" w:after="0"/>
              <w:jc w:val="right"/>
              <w:rPr>
                <w:rFonts w:eastAsia="Times New Roman"/>
                <w:noProof/>
                <w:color w:val="000000"/>
                <w:sz w:val="20"/>
                <w:szCs w:val="20"/>
              </w:rPr>
            </w:pPr>
            <w:r w:rsidRPr="00557C2A">
              <w:rPr>
                <w:noProof/>
                <w:color w:val="000000"/>
                <w:sz w:val="20"/>
              </w:rPr>
              <w:t>0</w:t>
            </w:r>
          </w:p>
        </w:tc>
        <w:tc>
          <w:tcPr>
            <w:tcW w:w="391" w:type="pct"/>
            <w:tcBorders>
              <w:top w:val="nil"/>
              <w:left w:val="nil"/>
              <w:bottom w:val="single" w:sz="8" w:space="0" w:color="auto"/>
              <w:right w:val="single" w:sz="8" w:space="0" w:color="auto"/>
            </w:tcBorders>
            <w:shd w:val="clear" w:color="000000" w:fill="D9D9D9"/>
            <w:vAlign w:val="center"/>
            <w:hideMark/>
          </w:tcPr>
          <w:p w14:paraId="0131C221" w14:textId="77777777" w:rsidR="0051718E" w:rsidRPr="00557C2A" w:rsidRDefault="0051718E">
            <w:pPr>
              <w:spacing w:before="0" w:after="0"/>
              <w:jc w:val="right"/>
              <w:rPr>
                <w:rFonts w:eastAsia="Times New Roman"/>
                <w:b/>
                <w:bCs/>
                <w:noProof/>
                <w:color w:val="000000"/>
                <w:sz w:val="20"/>
                <w:szCs w:val="20"/>
              </w:rPr>
            </w:pPr>
            <w:r w:rsidRPr="00557C2A">
              <w:rPr>
                <w:b/>
                <w:noProof/>
                <w:color w:val="000000"/>
                <w:sz w:val="20"/>
              </w:rPr>
              <w:t>0</w:t>
            </w:r>
          </w:p>
        </w:tc>
      </w:tr>
      <w:tr w:rsidR="0051718E" w:rsidRPr="00557C2A" w14:paraId="43C8265E" w14:textId="77777777" w:rsidTr="00B37C03">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0"/>
        </w:trPr>
        <w:tc>
          <w:tcPr>
            <w:tcW w:w="2161" w:type="pct"/>
            <w:gridSpan w:val="6"/>
            <w:tcBorders>
              <w:top w:val="single" w:sz="8" w:space="0" w:color="auto"/>
              <w:left w:val="single" w:sz="8" w:space="0" w:color="auto"/>
              <w:bottom w:val="single" w:sz="8" w:space="0" w:color="auto"/>
              <w:right w:val="single" w:sz="8" w:space="0" w:color="000000"/>
            </w:tcBorders>
            <w:vAlign w:val="center"/>
            <w:hideMark/>
          </w:tcPr>
          <w:p w14:paraId="7AFA56C3" w14:textId="77777777" w:rsidR="0051718E" w:rsidRPr="00557C2A" w:rsidRDefault="0051718E">
            <w:pPr>
              <w:spacing w:before="0" w:after="0"/>
              <w:jc w:val="left"/>
              <w:rPr>
                <w:rFonts w:ascii="Wingdings" w:eastAsia="Times New Roman" w:hAnsi="Wingdings"/>
                <w:noProof/>
                <w:color w:val="000000"/>
                <w:sz w:val="22"/>
              </w:rPr>
            </w:pPr>
            <w:r w:rsidRPr="00557C2A">
              <w:rPr>
                <w:rFonts w:ascii="Wingdings" w:hAnsi="Wingdings"/>
                <w:noProof/>
                <w:color w:val="000000"/>
                <w:sz w:val="22"/>
              </w:rPr>
              <w:t></w:t>
            </w:r>
            <w:r w:rsidRPr="00557C2A">
              <w:rPr>
                <w:noProof/>
              </w:rPr>
              <w:t xml:space="preserve"> </w:t>
            </w:r>
            <w:r w:rsidRPr="00557C2A">
              <w:rPr>
                <w:noProof/>
                <w:color w:val="000000"/>
                <w:sz w:val="22"/>
              </w:rPr>
              <w:t xml:space="preserve">Andere administratieve uitgaven </w:t>
            </w:r>
          </w:p>
        </w:tc>
        <w:tc>
          <w:tcPr>
            <w:tcW w:w="350" w:type="pct"/>
            <w:tcBorders>
              <w:top w:val="nil"/>
              <w:left w:val="nil"/>
              <w:bottom w:val="single" w:sz="8" w:space="0" w:color="auto"/>
              <w:right w:val="single" w:sz="8" w:space="0" w:color="auto"/>
            </w:tcBorders>
            <w:shd w:val="clear" w:color="000000" w:fill="D9D9D9"/>
            <w:vAlign w:val="center"/>
            <w:hideMark/>
          </w:tcPr>
          <w:p w14:paraId="70DF5FA9" w14:textId="77777777" w:rsidR="0051718E" w:rsidRPr="00557C2A" w:rsidRDefault="0051718E">
            <w:pPr>
              <w:spacing w:before="0" w:after="0"/>
              <w:jc w:val="right"/>
              <w:rPr>
                <w:rFonts w:eastAsia="Times New Roman"/>
                <w:noProof/>
                <w:color w:val="000000"/>
                <w:sz w:val="20"/>
                <w:szCs w:val="20"/>
              </w:rPr>
            </w:pPr>
            <w:r w:rsidRPr="00557C2A">
              <w:rPr>
                <w:noProof/>
                <w:color w:val="000000"/>
                <w:sz w:val="20"/>
              </w:rPr>
              <w:t>0</w:t>
            </w:r>
          </w:p>
        </w:tc>
        <w:tc>
          <w:tcPr>
            <w:tcW w:w="350" w:type="pct"/>
            <w:tcBorders>
              <w:top w:val="nil"/>
              <w:left w:val="nil"/>
              <w:bottom w:val="single" w:sz="8" w:space="0" w:color="auto"/>
              <w:right w:val="single" w:sz="8" w:space="0" w:color="auto"/>
            </w:tcBorders>
            <w:shd w:val="clear" w:color="000000" w:fill="D9D9D9"/>
            <w:vAlign w:val="center"/>
            <w:hideMark/>
          </w:tcPr>
          <w:p w14:paraId="4465DB18" w14:textId="77777777" w:rsidR="0051718E" w:rsidRPr="00557C2A" w:rsidRDefault="0051718E">
            <w:pPr>
              <w:spacing w:before="0" w:after="0"/>
              <w:jc w:val="right"/>
              <w:rPr>
                <w:rFonts w:eastAsia="Times New Roman"/>
                <w:noProof/>
                <w:color w:val="000000"/>
                <w:sz w:val="20"/>
                <w:szCs w:val="20"/>
              </w:rPr>
            </w:pPr>
            <w:r w:rsidRPr="00557C2A">
              <w:rPr>
                <w:noProof/>
                <w:color w:val="000000"/>
                <w:sz w:val="20"/>
              </w:rPr>
              <w:t>0</w:t>
            </w:r>
          </w:p>
        </w:tc>
        <w:tc>
          <w:tcPr>
            <w:tcW w:w="350" w:type="pct"/>
            <w:tcBorders>
              <w:top w:val="nil"/>
              <w:left w:val="nil"/>
              <w:bottom w:val="single" w:sz="8" w:space="0" w:color="auto"/>
              <w:right w:val="single" w:sz="8" w:space="0" w:color="auto"/>
            </w:tcBorders>
            <w:shd w:val="clear" w:color="000000" w:fill="D9D9D9"/>
            <w:vAlign w:val="center"/>
            <w:hideMark/>
          </w:tcPr>
          <w:p w14:paraId="1292F593" w14:textId="77777777" w:rsidR="0051718E" w:rsidRPr="00557C2A" w:rsidRDefault="0051718E">
            <w:pPr>
              <w:spacing w:before="0" w:after="0"/>
              <w:jc w:val="right"/>
              <w:rPr>
                <w:rFonts w:eastAsia="Times New Roman"/>
                <w:noProof/>
                <w:color w:val="000000"/>
                <w:sz w:val="20"/>
                <w:szCs w:val="20"/>
              </w:rPr>
            </w:pPr>
            <w:r w:rsidRPr="00557C2A">
              <w:rPr>
                <w:noProof/>
                <w:color w:val="000000"/>
                <w:sz w:val="20"/>
              </w:rPr>
              <w:t>0</w:t>
            </w:r>
          </w:p>
        </w:tc>
        <w:tc>
          <w:tcPr>
            <w:tcW w:w="350" w:type="pct"/>
            <w:tcBorders>
              <w:top w:val="nil"/>
              <w:left w:val="nil"/>
              <w:bottom w:val="single" w:sz="8" w:space="0" w:color="auto"/>
              <w:right w:val="single" w:sz="8" w:space="0" w:color="auto"/>
            </w:tcBorders>
            <w:shd w:val="clear" w:color="000000" w:fill="D9D9D9"/>
            <w:vAlign w:val="center"/>
            <w:hideMark/>
          </w:tcPr>
          <w:p w14:paraId="2AE3B151" w14:textId="77777777" w:rsidR="0051718E" w:rsidRPr="00557C2A" w:rsidRDefault="0051718E">
            <w:pPr>
              <w:spacing w:before="0" w:after="0"/>
              <w:jc w:val="right"/>
              <w:rPr>
                <w:rFonts w:eastAsia="Times New Roman"/>
                <w:noProof/>
                <w:color w:val="000000"/>
                <w:sz w:val="20"/>
                <w:szCs w:val="20"/>
              </w:rPr>
            </w:pPr>
            <w:r w:rsidRPr="00557C2A">
              <w:rPr>
                <w:noProof/>
                <w:color w:val="000000"/>
                <w:sz w:val="20"/>
              </w:rPr>
              <w:t>0</w:t>
            </w:r>
          </w:p>
        </w:tc>
        <w:tc>
          <w:tcPr>
            <w:tcW w:w="350" w:type="pct"/>
            <w:tcBorders>
              <w:top w:val="nil"/>
              <w:left w:val="nil"/>
              <w:bottom w:val="single" w:sz="8" w:space="0" w:color="auto"/>
              <w:right w:val="single" w:sz="8" w:space="0" w:color="auto"/>
            </w:tcBorders>
            <w:shd w:val="clear" w:color="000000" w:fill="D9D9D9"/>
            <w:vAlign w:val="center"/>
            <w:hideMark/>
          </w:tcPr>
          <w:p w14:paraId="7C162AA4" w14:textId="77777777" w:rsidR="0051718E" w:rsidRPr="00557C2A" w:rsidRDefault="0051718E">
            <w:pPr>
              <w:spacing w:before="0" w:after="0"/>
              <w:jc w:val="right"/>
              <w:rPr>
                <w:rFonts w:eastAsia="Times New Roman"/>
                <w:noProof/>
                <w:color w:val="000000"/>
                <w:sz w:val="20"/>
                <w:szCs w:val="20"/>
              </w:rPr>
            </w:pPr>
            <w:r w:rsidRPr="00557C2A">
              <w:rPr>
                <w:noProof/>
                <w:color w:val="000000"/>
                <w:sz w:val="20"/>
              </w:rPr>
              <w:t>0</w:t>
            </w:r>
          </w:p>
        </w:tc>
        <w:tc>
          <w:tcPr>
            <w:tcW w:w="350" w:type="pct"/>
            <w:tcBorders>
              <w:top w:val="nil"/>
              <w:left w:val="nil"/>
              <w:bottom w:val="single" w:sz="8" w:space="0" w:color="auto"/>
              <w:right w:val="single" w:sz="8" w:space="0" w:color="auto"/>
            </w:tcBorders>
            <w:shd w:val="clear" w:color="000000" w:fill="D9D9D9"/>
            <w:vAlign w:val="center"/>
            <w:hideMark/>
          </w:tcPr>
          <w:p w14:paraId="796EDAF3" w14:textId="77777777" w:rsidR="0051718E" w:rsidRPr="00557C2A" w:rsidRDefault="0051718E">
            <w:pPr>
              <w:spacing w:before="0" w:after="0"/>
              <w:jc w:val="right"/>
              <w:rPr>
                <w:rFonts w:eastAsia="Times New Roman"/>
                <w:noProof/>
                <w:color w:val="000000"/>
                <w:sz w:val="20"/>
                <w:szCs w:val="20"/>
              </w:rPr>
            </w:pPr>
            <w:r w:rsidRPr="00557C2A">
              <w:rPr>
                <w:noProof/>
                <w:color w:val="000000"/>
                <w:sz w:val="20"/>
              </w:rPr>
              <w:t>0</w:t>
            </w:r>
          </w:p>
        </w:tc>
        <w:tc>
          <w:tcPr>
            <w:tcW w:w="350" w:type="pct"/>
            <w:tcBorders>
              <w:top w:val="nil"/>
              <w:left w:val="nil"/>
              <w:bottom w:val="single" w:sz="8" w:space="0" w:color="auto"/>
              <w:right w:val="single" w:sz="8" w:space="0" w:color="auto"/>
            </w:tcBorders>
            <w:shd w:val="clear" w:color="000000" w:fill="D9D9D9"/>
            <w:vAlign w:val="center"/>
            <w:hideMark/>
          </w:tcPr>
          <w:p w14:paraId="2CD28268" w14:textId="77777777" w:rsidR="0051718E" w:rsidRPr="00557C2A" w:rsidRDefault="0051718E">
            <w:pPr>
              <w:spacing w:before="0" w:after="0"/>
              <w:jc w:val="right"/>
              <w:rPr>
                <w:rFonts w:eastAsia="Times New Roman"/>
                <w:noProof/>
                <w:color w:val="000000"/>
                <w:sz w:val="20"/>
                <w:szCs w:val="20"/>
              </w:rPr>
            </w:pPr>
            <w:r w:rsidRPr="00557C2A">
              <w:rPr>
                <w:noProof/>
                <w:color w:val="000000"/>
                <w:sz w:val="20"/>
              </w:rPr>
              <w:t>0</w:t>
            </w:r>
          </w:p>
        </w:tc>
        <w:tc>
          <w:tcPr>
            <w:tcW w:w="391" w:type="pct"/>
            <w:tcBorders>
              <w:top w:val="nil"/>
              <w:left w:val="nil"/>
              <w:bottom w:val="single" w:sz="8" w:space="0" w:color="auto"/>
              <w:right w:val="single" w:sz="8" w:space="0" w:color="auto"/>
            </w:tcBorders>
            <w:shd w:val="clear" w:color="000000" w:fill="D9D9D9"/>
            <w:vAlign w:val="center"/>
            <w:hideMark/>
          </w:tcPr>
          <w:p w14:paraId="22E19970" w14:textId="77777777" w:rsidR="0051718E" w:rsidRPr="00557C2A" w:rsidRDefault="0051718E">
            <w:pPr>
              <w:spacing w:before="0" w:after="0"/>
              <w:jc w:val="right"/>
              <w:rPr>
                <w:rFonts w:eastAsia="Times New Roman"/>
                <w:b/>
                <w:bCs/>
                <w:noProof/>
                <w:color w:val="000000"/>
                <w:sz w:val="20"/>
                <w:szCs w:val="20"/>
              </w:rPr>
            </w:pPr>
            <w:r w:rsidRPr="00557C2A">
              <w:rPr>
                <w:b/>
                <w:noProof/>
                <w:color w:val="000000"/>
                <w:sz w:val="20"/>
              </w:rPr>
              <w:t>0</w:t>
            </w:r>
          </w:p>
        </w:tc>
      </w:tr>
      <w:tr w:rsidR="0051718E" w:rsidRPr="00557C2A" w14:paraId="2E691E02" w14:textId="77777777" w:rsidTr="00B37C03">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850"/>
        </w:trPr>
        <w:tc>
          <w:tcPr>
            <w:tcW w:w="698" w:type="pct"/>
            <w:tcBorders>
              <w:top w:val="nil"/>
              <w:left w:val="single" w:sz="8" w:space="0" w:color="auto"/>
              <w:bottom w:val="single" w:sz="8" w:space="0" w:color="auto"/>
              <w:right w:val="single" w:sz="8" w:space="0" w:color="auto"/>
            </w:tcBorders>
            <w:vAlign w:val="center"/>
            <w:hideMark/>
          </w:tcPr>
          <w:p w14:paraId="7074C554" w14:textId="77777777" w:rsidR="0051718E" w:rsidRPr="00557C2A" w:rsidRDefault="0051718E">
            <w:pPr>
              <w:spacing w:before="0" w:after="0"/>
              <w:jc w:val="center"/>
              <w:rPr>
                <w:rFonts w:eastAsia="Times New Roman"/>
                <w:b/>
                <w:bCs/>
                <w:noProof/>
                <w:color w:val="000000"/>
                <w:sz w:val="22"/>
              </w:rPr>
            </w:pPr>
            <w:r w:rsidRPr="00557C2A">
              <w:rPr>
                <w:b/>
                <w:noProof/>
                <w:color w:val="000000"/>
                <w:sz w:val="22"/>
              </w:rPr>
              <w:t>TOTAAL DG</w:t>
            </w:r>
            <w:r w:rsidRPr="00557C2A">
              <w:rPr>
                <w:noProof/>
                <w:color w:val="000000"/>
                <w:sz w:val="22"/>
              </w:rPr>
              <w:t xml:space="preserve"> &lt;…….&gt;</w:t>
            </w:r>
          </w:p>
        </w:tc>
        <w:tc>
          <w:tcPr>
            <w:tcW w:w="1463" w:type="pct"/>
            <w:gridSpan w:val="5"/>
            <w:tcBorders>
              <w:top w:val="single" w:sz="8" w:space="0" w:color="auto"/>
              <w:left w:val="nil"/>
              <w:bottom w:val="single" w:sz="8" w:space="0" w:color="auto"/>
              <w:right w:val="single" w:sz="8" w:space="0" w:color="000000"/>
            </w:tcBorders>
            <w:vAlign w:val="center"/>
            <w:hideMark/>
          </w:tcPr>
          <w:p w14:paraId="4AC317E8" w14:textId="77777777" w:rsidR="0051718E" w:rsidRPr="00557C2A" w:rsidRDefault="0051718E">
            <w:pPr>
              <w:spacing w:before="0" w:after="0"/>
              <w:jc w:val="left"/>
              <w:rPr>
                <w:rFonts w:eastAsia="Times New Roman"/>
                <w:noProof/>
                <w:color w:val="000000"/>
                <w:sz w:val="18"/>
                <w:szCs w:val="18"/>
              </w:rPr>
            </w:pPr>
            <w:r w:rsidRPr="00557C2A">
              <w:rPr>
                <w:noProof/>
                <w:color w:val="000000"/>
                <w:sz w:val="18"/>
              </w:rPr>
              <w:t xml:space="preserve">Kredieten </w:t>
            </w:r>
          </w:p>
        </w:tc>
        <w:tc>
          <w:tcPr>
            <w:tcW w:w="350" w:type="pct"/>
            <w:tcBorders>
              <w:top w:val="nil"/>
              <w:left w:val="nil"/>
              <w:bottom w:val="single" w:sz="8" w:space="0" w:color="auto"/>
              <w:right w:val="single" w:sz="8" w:space="0" w:color="auto"/>
            </w:tcBorders>
            <w:shd w:val="clear" w:color="000000" w:fill="D9D9D9"/>
            <w:vAlign w:val="center"/>
            <w:hideMark/>
          </w:tcPr>
          <w:p w14:paraId="39790ACE" w14:textId="77777777" w:rsidR="0051718E" w:rsidRPr="00557C2A" w:rsidRDefault="0051718E">
            <w:pPr>
              <w:spacing w:before="0" w:after="0"/>
              <w:jc w:val="right"/>
              <w:rPr>
                <w:rFonts w:eastAsia="Times New Roman"/>
                <w:b/>
                <w:bCs/>
                <w:noProof/>
                <w:color w:val="000000"/>
                <w:sz w:val="20"/>
                <w:szCs w:val="20"/>
              </w:rPr>
            </w:pPr>
            <w:r w:rsidRPr="00557C2A">
              <w:rPr>
                <w:b/>
                <w:noProof/>
                <w:color w:val="000000"/>
                <w:sz w:val="20"/>
              </w:rPr>
              <w:t>0</w:t>
            </w:r>
          </w:p>
        </w:tc>
        <w:tc>
          <w:tcPr>
            <w:tcW w:w="350" w:type="pct"/>
            <w:tcBorders>
              <w:top w:val="nil"/>
              <w:left w:val="nil"/>
              <w:bottom w:val="single" w:sz="8" w:space="0" w:color="auto"/>
              <w:right w:val="single" w:sz="8" w:space="0" w:color="auto"/>
            </w:tcBorders>
            <w:shd w:val="clear" w:color="000000" w:fill="D9D9D9"/>
            <w:vAlign w:val="center"/>
            <w:hideMark/>
          </w:tcPr>
          <w:p w14:paraId="73A04D69" w14:textId="77777777" w:rsidR="0051718E" w:rsidRPr="00557C2A" w:rsidRDefault="0051718E">
            <w:pPr>
              <w:spacing w:before="0" w:after="0"/>
              <w:jc w:val="right"/>
              <w:rPr>
                <w:rFonts w:eastAsia="Times New Roman"/>
                <w:b/>
                <w:bCs/>
                <w:noProof/>
                <w:color w:val="000000"/>
                <w:sz w:val="20"/>
                <w:szCs w:val="20"/>
              </w:rPr>
            </w:pPr>
            <w:r w:rsidRPr="00557C2A">
              <w:rPr>
                <w:b/>
                <w:noProof/>
                <w:color w:val="000000"/>
                <w:sz w:val="20"/>
              </w:rPr>
              <w:t>0</w:t>
            </w:r>
          </w:p>
        </w:tc>
        <w:tc>
          <w:tcPr>
            <w:tcW w:w="350" w:type="pct"/>
            <w:tcBorders>
              <w:top w:val="nil"/>
              <w:left w:val="nil"/>
              <w:bottom w:val="single" w:sz="8" w:space="0" w:color="auto"/>
              <w:right w:val="single" w:sz="8" w:space="0" w:color="auto"/>
            </w:tcBorders>
            <w:shd w:val="clear" w:color="000000" w:fill="D9D9D9"/>
            <w:vAlign w:val="center"/>
            <w:hideMark/>
          </w:tcPr>
          <w:p w14:paraId="67C6A768" w14:textId="77777777" w:rsidR="0051718E" w:rsidRPr="00557C2A" w:rsidRDefault="0051718E">
            <w:pPr>
              <w:spacing w:before="0" w:after="0"/>
              <w:jc w:val="right"/>
              <w:rPr>
                <w:rFonts w:eastAsia="Times New Roman"/>
                <w:b/>
                <w:bCs/>
                <w:noProof/>
                <w:color w:val="000000"/>
                <w:sz w:val="20"/>
                <w:szCs w:val="20"/>
              </w:rPr>
            </w:pPr>
            <w:r w:rsidRPr="00557C2A">
              <w:rPr>
                <w:b/>
                <w:noProof/>
                <w:color w:val="000000"/>
                <w:sz w:val="20"/>
              </w:rPr>
              <w:t>0</w:t>
            </w:r>
          </w:p>
        </w:tc>
        <w:tc>
          <w:tcPr>
            <w:tcW w:w="350" w:type="pct"/>
            <w:tcBorders>
              <w:top w:val="nil"/>
              <w:left w:val="nil"/>
              <w:bottom w:val="single" w:sz="8" w:space="0" w:color="auto"/>
              <w:right w:val="single" w:sz="8" w:space="0" w:color="auto"/>
            </w:tcBorders>
            <w:shd w:val="clear" w:color="000000" w:fill="D9D9D9"/>
            <w:vAlign w:val="center"/>
            <w:hideMark/>
          </w:tcPr>
          <w:p w14:paraId="4B114122" w14:textId="77777777" w:rsidR="0051718E" w:rsidRPr="00557C2A" w:rsidRDefault="0051718E">
            <w:pPr>
              <w:spacing w:before="0" w:after="0"/>
              <w:jc w:val="right"/>
              <w:rPr>
                <w:rFonts w:eastAsia="Times New Roman"/>
                <w:b/>
                <w:bCs/>
                <w:noProof/>
                <w:color w:val="000000"/>
                <w:sz w:val="20"/>
                <w:szCs w:val="20"/>
              </w:rPr>
            </w:pPr>
            <w:r w:rsidRPr="00557C2A">
              <w:rPr>
                <w:b/>
                <w:noProof/>
                <w:color w:val="000000"/>
                <w:sz w:val="20"/>
              </w:rPr>
              <w:t>0</w:t>
            </w:r>
          </w:p>
        </w:tc>
        <w:tc>
          <w:tcPr>
            <w:tcW w:w="350" w:type="pct"/>
            <w:tcBorders>
              <w:top w:val="nil"/>
              <w:left w:val="nil"/>
              <w:bottom w:val="single" w:sz="8" w:space="0" w:color="auto"/>
              <w:right w:val="single" w:sz="8" w:space="0" w:color="auto"/>
            </w:tcBorders>
            <w:shd w:val="clear" w:color="000000" w:fill="D9D9D9"/>
            <w:vAlign w:val="center"/>
            <w:hideMark/>
          </w:tcPr>
          <w:p w14:paraId="6FFC94F5" w14:textId="77777777" w:rsidR="0051718E" w:rsidRPr="00557C2A" w:rsidRDefault="0051718E">
            <w:pPr>
              <w:spacing w:before="0" w:after="0"/>
              <w:jc w:val="right"/>
              <w:rPr>
                <w:rFonts w:eastAsia="Times New Roman"/>
                <w:b/>
                <w:bCs/>
                <w:noProof/>
                <w:color w:val="000000"/>
                <w:sz w:val="20"/>
                <w:szCs w:val="20"/>
              </w:rPr>
            </w:pPr>
            <w:r w:rsidRPr="00557C2A">
              <w:rPr>
                <w:b/>
                <w:noProof/>
                <w:color w:val="000000"/>
                <w:sz w:val="20"/>
              </w:rPr>
              <w:t>0</w:t>
            </w:r>
          </w:p>
        </w:tc>
        <w:tc>
          <w:tcPr>
            <w:tcW w:w="350" w:type="pct"/>
            <w:tcBorders>
              <w:top w:val="nil"/>
              <w:left w:val="nil"/>
              <w:bottom w:val="single" w:sz="8" w:space="0" w:color="auto"/>
              <w:right w:val="single" w:sz="8" w:space="0" w:color="auto"/>
            </w:tcBorders>
            <w:shd w:val="clear" w:color="000000" w:fill="D9D9D9"/>
            <w:vAlign w:val="center"/>
            <w:hideMark/>
          </w:tcPr>
          <w:p w14:paraId="47EB7284" w14:textId="77777777" w:rsidR="0051718E" w:rsidRPr="00557C2A" w:rsidRDefault="0051718E">
            <w:pPr>
              <w:spacing w:before="0" w:after="0"/>
              <w:jc w:val="right"/>
              <w:rPr>
                <w:rFonts w:eastAsia="Times New Roman"/>
                <w:b/>
                <w:bCs/>
                <w:noProof/>
                <w:color w:val="000000"/>
                <w:sz w:val="20"/>
                <w:szCs w:val="20"/>
              </w:rPr>
            </w:pPr>
            <w:r w:rsidRPr="00557C2A">
              <w:rPr>
                <w:b/>
                <w:noProof/>
                <w:color w:val="000000"/>
                <w:sz w:val="20"/>
              </w:rPr>
              <w:t>0</w:t>
            </w:r>
          </w:p>
        </w:tc>
        <w:tc>
          <w:tcPr>
            <w:tcW w:w="350" w:type="pct"/>
            <w:tcBorders>
              <w:top w:val="nil"/>
              <w:left w:val="nil"/>
              <w:bottom w:val="single" w:sz="8" w:space="0" w:color="auto"/>
              <w:right w:val="single" w:sz="8" w:space="0" w:color="auto"/>
            </w:tcBorders>
            <w:shd w:val="clear" w:color="000000" w:fill="D9D9D9"/>
            <w:vAlign w:val="center"/>
            <w:hideMark/>
          </w:tcPr>
          <w:p w14:paraId="2E950101" w14:textId="77777777" w:rsidR="0051718E" w:rsidRPr="00557C2A" w:rsidRDefault="0051718E">
            <w:pPr>
              <w:spacing w:before="0" w:after="0"/>
              <w:jc w:val="right"/>
              <w:rPr>
                <w:rFonts w:eastAsia="Times New Roman"/>
                <w:b/>
                <w:bCs/>
                <w:noProof/>
                <w:color w:val="000000"/>
                <w:sz w:val="20"/>
                <w:szCs w:val="20"/>
              </w:rPr>
            </w:pPr>
            <w:r w:rsidRPr="00557C2A">
              <w:rPr>
                <w:b/>
                <w:noProof/>
                <w:color w:val="000000"/>
                <w:sz w:val="20"/>
              </w:rPr>
              <w:t>0</w:t>
            </w:r>
          </w:p>
        </w:tc>
        <w:tc>
          <w:tcPr>
            <w:tcW w:w="391" w:type="pct"/>
            <w:tcBorders>
              <w:top w:val="nil"/>
              <w:left w:val="nil"/>
              <w:bottom w:val="single" w:sz="8" w:space="0" w:color="auto"/>
              <w:right w:val="single" w:sz="8" w:space="0" w:color="auto"/>
            </w:tcBorders>
            <w:shd w:val="clear" w:color="000000" w:fill="D9D9D9"/>
            <w:vAlign w:val="center"/>
            <w:hideMark/>
          </w:tcPr>
          <w:p w14:paraId="25544F0B" w14:textId="77777777" w:rsidR="0051718E" w:rsidRPr="00557C2A" w:rsidRDefault="0051718E">
            <w:pPr>
              <w:spacing w:before="0" w:after="0"/>
              <w:jc w:val="right"/>
              <w:rPr>
                <w:rFonts w:eastAsia="Times New Roman"/>
                <w:b/>
                <w:bCs/>
                <w:noProof/>
                <w:color w:val="000000"/>
                <w:sz w:val="20"/>
                <w:szCs w:val="20"/>
              </w:rPr>
            </w:pPr>
            <w:r w:rsidRPr="00557C2A">
              <w:rPr>
                <w:b/>
                <w:noProof/>
                <w:color w:val="000000"/>
                <w:sz w:val="20"/>
              </w:rPr>
              <w:t>0</w:t>
            </w:r>
          </w:p>
        </w:tc>
      </w:tr>
      <w:tr w:rsidR="0051718E" w:rsidRPr="00557C2A" w14:paraId="6E2C390C" w14:textId="77777777" w:rsidTr="00B37C03">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0"/>
        </w:trPr>
        <w:tc>
          <w:tcPr>
            <w:tcW w:w="698" w:type="pct"/>
            <w:tcBorders>
              <w:top w:val="nil"/>
              <w:left w:val="nil"/>
              <w:bottom w:val="nil"/>
              <w:right w:val="nil"/>
            </w:tcBorders>
            <w:noWrap/>
            <w:vAlign w:val="bottom"/>
            <w:hideMark/>
          </w:tcPr>
          <w:p w14:paraId="11B0F15F" w14:textId="77777777" w:rsidR="0051718E" w:rsidRPr="00557C2A" w:rsidRDefault="0051718E">
            <w:pPr>
              <w:spacing w:before="0" w:after="0"/>
              <w:jc w:val="right"/>
              <w:rPr>
                <w:rFonts w:eastAsia="Times New Roman"/>
                <w:b/>
                <w:bCs/>
                <w:noProof/>
                <w:color w:val="000000"/>
                <w:sz w:val="20"/>
                <w:szCs w:val="20"/>
                <w:lang w:eastAsia="en-IE"/>
              </w:rPr>
            </w:pPr>
          </w:p>
        </w:tc>
        <w:tc>
          <w:tcPr>
            <w:tcW w:w="952" w:type="pct"/>
            <w:tcBorders>
              <w:top w:val="nil"/>
              <w:left w:val="nil"/>
              <w:bottom w:val="nil"/>
              <w:right w:val="nil"/>
            </w:tcBorders>
            <w:noWrap/>
            <w:vAlign w:val="bottom"/>
            <w:hideMark/>
          </w:tcPr>
          <w:p w14:paraId="4C28774B" w14:textId="77777777" w:rsidR="0051718E" w:rsidRPr="00557C2A" w:rsidRDefault="0051718E">
            <w:pPr>
              <w:spacing w:before="0" w:after="0"/>
              <w:jc w:val="left"/>
              <w:rPr>
                <w:rFonts w:eastAsia="Times New Roman"/>
                <w:noProof/>
                <w:sz w:val="20"/>
                <w:szCs w:val="20"/>
                <w:lang w:eastAsia="en-IE"/>
              </w:rPr>
            </w:pPr>
          </w:p>
        </w:tc>
        <w:tc>
          <w:tcPr>
            <w:tcW w:w="255" w:type="pct"/>
            <w:gridSpan w:val="2"/>
            <w:tcBorders>
              <w:top w:val="nil"/>
              <w:left w:val="nil"/>
              <w:bottom w:val="nil"/>
              <w:right w:val="nil"/>
            </w:tcBorders>
            <w:noWrap/>
            <w:vAlign w:val="bottom"/>
            <w:hideMark/>
          </w:tcPr>
          <w:p w14:paraId="47755169" w14:textId="77777777" w:rsidR="0051718E" w:rsidRPr="00557C2A" w:rsidRDefault="0051718E">
            <w:pPr>
              <w:spacing w:before="0" w:after="0"/>
              <w:jc w:val="left"/>
              <w:rPr>
                <w:rFonts w:eastAsia="Times New Roman"/>
                <w:noProof/>
                <w:sz w:val="20"/>
                <w:szCs w:val="20"/>
                <w:lang w:eastAsia="en-IE"/>
              </w:rPr>
            </w:pPr>
          </w:p>
        </w:tc>
        <w:tc>
          <w:tcPr>
            <w:tcW w:w="255" w:type="pct"/>
            <w:gridSpan w:val="2"/>
            <w:tcBorders>
              <w:top w:val="nil"/>
              <w:left w:val="nil"/>
              <w:bottom w:val="nil"/>
              <w:right w:val="nil"/>
            </w:tcBorders>
            <w:noWrap/>
            <w:vAlign w:val="bottom"/>
            <w:hideMark/>
          </w:tcPr>
          <w:p w14:paraId="7AC108D3" w14:textId="77777777" w:rsidR="0051718E" w:rsidRPr="00557C2A" w:rsidRDefault="0051718E">
            <w:pPr>
              <w:spacing w:before="0" w:after="0"/>
              <w:jc w:val="left"/>
              <w:rPr>
                <w:rFonts w:eastAsia="Times New Roman"/>
                <w:noProof/>
                <w:sz w:val="20"/>
                <w:szCs w:val="20"/>
                <w:lang w:eastAsia="en-IE"/>
              </w:rPr>
            </w:pPr>
          </w:p>
        </w:tc>
        <w:tc>
          <w:tcPr>
            <w:tcW w:w="350" w:type="pct"/>
            <w:tcBorders>
              <w:top w:val="nil"/>
              <w:left w:val="nil"/>
              <w:bottom w:val="nil"/>
              <w:right w:val="nil"/>
            </w:tcBorders>
            <w:noWrap/>
            <w:vAlign w:val="bottom"/>
            <w:hideMark/>
          </w:tcPr>
          <w:p w14:paraId="5A7C8521" w14:textId="77777777" w:rsidR="0051718E" w:rsidRPr="00557C2A" w:rsidRDefault="0051718E">
            <w:pPr>
              <w:spacing w:before="0" w:after="0"/>
              <w:jc w:val="left"/>
              <w:rPr>
                <w:rFonts w:eastAsia="Times New Roman"/>
                <w:noProof/>
                <w:sz w:val="20"/>
                <w:szCs w:val="20"/>
                <w:lang w:eastAsia="en-IE"/>
              </w:rPr>
            </w:pPr>
          </w:p>
        </w:tc>
        <w:tc>
          <w:tcPr>
            <w:tcW w:w="350" w:type="pct"/>
            <w:tcBorders>
              <w:top w:val="nil"/>
              <w:left w:val="nil"/>
              <w:bottom w:val="nil"/>
              <w:right w:val="nil"/>
            </w:tcBorders>
            <w:noWrap/>
            <w:vAlign w:val="bottom"/>
            <w:hideMark/>
          </w:tcPr>
          <w:p w14:paraId="760C3434" w14:textId="77777777" w:rsidR="0051718E" w:rsidRPr="00557C2A" w:rsidRDefault="0051718E">
            <w:pPr>
              <w:spacing w:before="0" w:after="0"/>
              <w:jc w:val="left"/>
              <w:rPr>
                <w:rFonts w:eastAsia="Times New Roman"/>
                <w:noProof/>
                <w:sz w:val="20"/>
                <w:szCs w:val="20"/>
                <w:lang w:eastAsia="en-IE"/>
              </w:rPr>
            </w:pPr>
          </w:p>
        </w:tc>
        <w:tc>
          <w:tcPr>
            <w:tcW w:w="350" w:type="pct"/>
            <w:tcBorders>
              <w:top w:val="nil"/>
              <w:left w:val="nil"/>
              <w:bottom w:val="nil"/>
              <w:right w:val="nil"/>
            </w:tcBorders>
            <w:noWrap/>
            <w:vAlign w:val="bottom"/>
            <w:hideMark/>
          </w:tcPr>
          <w:p w14:paraId="4D3B9A56" w14:textId="77777777" w:rsidR="0051718E" w:rsidRPr="00557C2A" w:rsidRDefault="0051718E">
            <w:pPr>
              <w:spacing w:before="0" w:after="0"/>
              <w:jc w:val="left"/>
              <w:rPr>
                <w:rFonts w:eastAsia="Times New Roman"/>
                <w:noProof/>
                <w:sz w:val="20"/>
                <w:szCs w:val="20"/>
                <w:lang w:eastAsia="en-IE"/>
              </w:rPr>
            </w:pPr>
          </w:p>
        </w:tc>
        <w:tc>
          <w:tcPr>
            <w:tcW w:w="350" w:type="pct"/>
            <w:tcBorders>
              <w:top w:val="nil"/>
              <w:left w:val="nil"/>
              <w:bottom w:val="nil"/>
              <w:right w:val="nil"/>
            </w:tcBorders>
            <w:noWrap/>
            <w:vAlign w:val="bottom"/>
            <w:hideMark/>
          </w:tcPr>
          <w:p w14:paraId="029CC15E" w14:textId="77777777" w:rsidR="0051718E" w:rsidRPr="00557C2A" w:rsidRDefault="0051718E">
            <w:pPr>
              <w:spacing w:before="0" w:after="0"/>
              <w:jc w:val="left"/>
              <w:rPr>
                <w:rFonts w:eastAsia="Times New Roman"/>
                <w:noProof/>
                <w:sz w:val="20"/>
                <w:szCs w:val="20"/>
                <w:lang w:eastAsia="en-IE"/>
              </w:rPr>
            </w:pPr>
          </w:p>
        </w:tc>
        <w:tc>
          <w:tcPr>
            <w:tcW w:w="350" w:type="pct"/>
            <w:tcBorders>
              <w:top w:val="nil"/>
              <w:left w:val="nil"/>
              <w:bottom w:val="nil"/>
              <w:right w:val="nil"/>
            </w:tcBorders>
            <w:noWrap/>
            <w:vAlign w:val="bottom"/>
            <w:hideMark/>
          </w:tcPr>
          <w:p w14:paraId="52B2EABF" w14:textId="77777777" w:rsidR="0051718E" w:rsidRPr="00557C2A" w:rsidRDefault="0051718E">
            <w:pPr>
              <w:spacing w:before="0" w:after="0"/>
              <w:jc w:val="left"/>
              <w:rPr>
                <w:rFonts w:eastAsia="Times New Roman"/>
                <w:noProof/>
                <w:sz w:val="20"/>
                <w:szCs w:val="20"/>
                <w:lang w:eastAsia="en-IE"/>
              </w:rPr>
            </w:pPr>
          </w:p>
        </w:tc>
        <w:tc>
          <w:tcPr>
            <w:tcW w:w="350" w:type="pct"/>
            <w:tcBorders>
              <w:top w:val="nil"/>
              <w:left w:val="nil"/>
              <w:bottom w:val="nil"/>
              <w:right w:val="nil"/>
            </w:tcBorders>
            <w:noWrap/>
            <w:vAlign w:val="bottom"/>
            <w:hideMark/>
          </w:tcPr>
          <w:p w14:paraId="34E472B0" w14:textId="77777777" w:rsidR="0051718E" w:rsidRPr="00557C2A" w:rsidRDefault="0051718E">
            <w:pPr>
              <w:spacing w:before="0" w:after="0"/>
              <w:jc w:val="left"/>
              <w:rPr>
                <w:rFonts w:eastAsia="Times New Roman"/>
                <w:noProof/>
                <w:sz w:val="20"/>
                <w:szCs w:val="20"/>
                <w:lang w:eastAsia="en-IE"/>
              </w:rPr>
            </w:pPr>
          </w:p>
        </w:tc>
        <w:tc>
          <w:tcPr>
            <w:tcW w:w="350" w:type="pct"/>
            <w:tcBorders>
              <w:top w:val="nil"/>
              <w:left w:val="nil"/>
              <w:bottom w:val="nil"/>
              <w:right w:val="nil"/>
            </w:tcBorders>
            <w:noWrap/>
            <w:vAlign w:val="bottom"/>
            <w:hideMark/>
          </w:tcPr>
          <w:p w14:paraId="3B10977D" w14:textId="77777777" w:rsidR="0051718E" w:rsidRPr="00557C2A" w:rsidRDefault="0051718E">
            <w:pPr>
              <w:spacing w:before="0" w:after="0"/>
              <w:jc w:val="left"/>
              <w:rPr>
                <w:rFonts w:eastAsia="Times New Roman"/>
                <w:noProof/>
                <w:sz w:val="20"/>
                <w:szCs w:val="20"/>
                <w:lang w:eastAsia="en-IE"/>
              </w:rPr>
            </w:pPr>
          </w:p>
        </w:tc>
        <w:tc>
          <w:tcPr>
            <w:tcW w:w="391" w:type="pct"/>
            <w:tcBorders>
              <w:top w:val="nil"/>
              <w:left w:val="nil"/>
              <w:bottom w:val="nil"/>
              <w:right w:val="nil"/>
            </w:tcBorders>
            <w:noWrap/>
            <w:vAlign w:val="bottom"/>
            <w:hideMark/>
          </w:tcPr>
          <w:p w14:paraId="0690702E" w14:textId="77777777" w:rsidR="0051718E" w:rsidRPr="00557C2A" w:rsidRDefault="0051718E">
            <w:pPr>
              <w:spacing w:before="0" w:after="0"/>
              <w:jc w:val="left"/>
              <w:rPr>
                <w:rFonts w:eastAsia="Times New Roman"/>
                <w:noProof/>
                <w:sz w:val="20"/>
                <w:szCs w:val="20"/>
                <w:lang w:eastAsia="en-IE"/>
              </w:rPr>
            </w:pPr>
          </w:p>
        </w:tc>
      </w:tr>
      <w:tr w:rsidR="0051718E" w:rsidRPr="00557C2A" w14:paraId="3585CF64" w14:textId="77777777" w:rsidTr="00B37C03">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1430"/>
        </w:trPr>
        <w:tc>
          <w:tcPr>
            <w:tcW w:w="1651" w:type="pct"/>
            <w:gridSpan w:val="2"/>
            <w:tcBorders>
              <w:top w:val="single" w:sz="8" w:space="0" w:color="auto"/>
              <w:left w:val="single" w:sz="8" w:space="0" w:color="auto"/>
              <w:bottom w:val="single" w:sz="8" w:space="0" w:color="auto"/>
              <w:right w:val="single" w:sz="8" w:space="0" w:color="000000"/>
            </w:tcBorders>
            <w:shd w:val="thinDiagStripe" w:color="C0C0C0" w:fill="E6E6E6"/>
            <w:vAlign w:val="center"/>
            <w:hideMark/>
          </w:tcPr>
          <w:p w14:paraId="3195853C" w14:textId="77777777" w:rsidR="0051718E" w:rsidRPr="00557C2A" w:rsidRDefault="0051718E">
            <w:pPr>
              <w:spacing w:before="0" w:after="0"/>
              <w:jc w:val="center"/>
              <w:rPr>
                <w:rFonts w:eastAsia="Times New Roman"/>
                <w:b/>
                <w:bCs/>
                <w:noProof/>
                <w:color w:val="000000"/>
                <w:sz w:val="22"/>
              </w:rPr>
            </w:pPr>
            <w:r w:rsidRPr="00557C2A">
              <w:rPr>
                <w:b/>
                <w:noProof/>
                <w:color w:val="000000"/>
                <w:sz w:val="22"/>
              </w:rPr>
              <w:t xml:space="preserve">TOTAAL kredieten onder RUBRIEK 4 van het meerjarig financieel kader </w:t>
            </w:r>
          </w:p>
        </w:tc>
        <w:tc>
          <w:tcPr>
            <w:tcW w:w="510" w:type="pct"/>
            <w:gridSpan w:val="4"/>
            <w:tcBorders>
              <w:top w:val="single" w:sz="8" w:space="0" w:color="auto"/>
              <w:left w:val="nil"/>
              <w:bottom w:val="single" w:sz="8" w:space="0" w:color="auto"/>
              <w:right w:val="single" w:sz="8" w:space="0" w:color="000000"/>
            </w:tcBorders>
            <w:vAlign w:val="center"/>
            <w:hideMark/>
          </w:tcPr>
          <w:p w14:paraId="50251CA6" w14:textId="77777777" w:rsidR="0051718E" w:rsidRPr="00557C2A" w:rsidRDefault="0051718E">
            <w:pPr>
              <w:spacing w:before="0" w:after="0"/>
              <w:jc w:val="center"/>
              <w:rPr>
                <w:rFonts w:eastAsia="Times New Roman"/>
                <w:noProof/>
                <w:color w:val="000000"/>
                <w:sz w:val="18"/>
                <w:szCs w:val="18"/>
              </w:rPr>
            </w:pPr>
            <w:r w:rsidRPr="00557C2A">
              <w:rPr>
                <w:noProof/>
                <w:color w:val="000000"/>
                <w:sz w:val="18"/>
              </w:rPr>
              <w:t>(totaal vastleggingen = totaal betalingen)</w:t>
            </w:r>
          </w:p>
        </w:tc>
        <w:tc>
          <w:tcPr>
            <w:tcW w:w="350" w:type="pct"/>
            <w:tcBorders>
              <w:top w:val="single" w:sz="8" w:space="0" w:color="auto"/>
              <w:left w:val="nil"/>
              <w:bottom w:val="single" w:sz="8" w:space="0" w:color="auto"/>
              <w:right w:val="single" w:sz="8" w:space="0" w:color="auto"/>
            </w:tcBorders>
            <w:shd w:val="clear" w:color="000000" w:fill="D9D9D9"/>
            <w:vAlign w:val="center"/>
            <w:hideMark/>
          </w:tcPr>
          <w:p w14:paraId="3AC8DB94" w14:textId="77777777" w:rsidR="0051718E" w:rsidRPr="00557C2A" w:rsidRDefault="0051718E">
            <w:pPr>
              <w:spacing w:before="0" w:after="0"/>
              <w:jc w:val="right"/>
              <w:rPr>
                <w:rFonts w:eastAsia="Times New Roman"/>
                <w:b/>
                <w:bCs/>
                <w:noProof/>
                <w:color w:val="000000"/>
                <w:sz w:val="20"/>
                <w:szCs w:val="20"/>
              </w:rPr>
            </w:pPr>
            <w:r w:rsidRPr="00557C2A">
              <w:rPr>
                <w:b/>
                <w:noProof/>
                <w:color w:val="000000"/>
                <w:sz w:val="20"/>
              </w:rPr>
              <w:t>0</w:t>
            </w:r>
          </w:p>
        </w:tc>
        <w:tc>
          <w:tcPr>
            <w:tcW w:w="350" w:type="pct"/>
            <w:tcBorders>
              <w:top w:val="single" w:sz="8" w:space="0" w:color="auto"/>
              <w:left w:val="nil"/>
              <w:bottom w:val="single" w:sz="8" w:space="0" w:color="auto"/>
              <w:right w:val="single" w:sz="8" w:space="0" w:color="auto"/>
            </w:tcBorders>
            <w:shd w:val="clear" w:color="000000" w:fill="D9D9D9"/>
            <w:vAlign w:val="center"/>
            <w:hideMark/>
          </w:tcPr>
          <w:p w14:paraId="469C9D59" w14:textId="77777777" w:rsidR="0051718E" w:rsidRPr="00557C2A" w:rsidRDefault="0051718E">
            <w:pPr>
              <w:spacing w:before="0" w:after="0"/>
              <w:jc w:val="right"/>
              <w:rPr>
                <w:rFonts w:eastAsia="Times New Roman"/>
                <w:b/>
                <w:bCs/>
                <w:noProof/>
                <w:color w:val="000000"/>
                <w:sz w:val="20"/>
                <w:szCs w:val="20"/>
              </w:rPr>
            </w:pPr>
            <w:r w:rsidRPr="00557C2A">
              <w:rPr>
                <w:b/>
                <w:noProof/>
                <w:color w:val="000000"/>
                <w:sz w:val="20"/>
              </w:rPr>
              <w:t>0</w:t>
            </w:r>
          </w:p>
        </w:tc>
        <w:tc>
          <w:tcPr>
            <w:tcW w:w="350" w:type="pct"/>
            <w:tcBorders>
              <w:top w:val="single" w:sz="8" w:space="0" w:color="auto"/>
              <w:left w:val="nil"/>
              <w:bottom w:val="single" w:sz="8" w:space="0" w:color="auto"/>
              <w:right w:val="single" w:sz="8" w:space="0" w:color="auto"/>
            </w:tcBorders>
            <w:shd w:val="clear" w:color="000000" w:fill="D9D9D9"/>
            <w:vAlign w:val="center"/>
            <w:hideMark/>
          </w:tcPr>
          <w:p w14:paraId="014D3E58" w14:textId="77777777" w:rsidR="0051718E" w:rsidRPr="00557C2A" w:rsidRDefault="0051718E">
            <w:pPr>
              <w:spacing w:before="0" w:after="0"/>
              <w:jc w:val="right"/>
              <w:rPr>
                <w:rFonts w:eastAsia="Times New Roman"/>
                <w:b/>
                <w:bCs/>
                <w:noProof/>
                <w:color w:val="000000"/>
                <w:sz w:val="20"/>
                <w:szCs w:val="20"/>
              </w:rPr>
            </w:pPr>
            <w:r w:rsidRPr="00557C2A">
              <w:rPr>
                <w:b/>
                <w:noProof/>
                <w:color w:val="000000"/>
                <w:sz w:val="20"/>
              </w:rPr>
              <w:t>0</w:t>
            </w:r>
          </w:p>
        </w:tc>
        <w:tc>
          <w:tcPr>
            <w:tcW w:w="350" w:type="pct"/>
            <w:tcBorders>
              <w:top w:val="single" w:sz="8" w:space="0" w:color="auto"/>
              <w:left w:val="nil"/>
              <w:bottom w:val="single" w:sz="8" w:space="0" w:color="auto"/>
              <w:right w:val="single" w:sz="8" w:space="0" w:color="auto"/>
            </w:tcBorders>
            <w:shd w:val="clear" w:color="000000" w:fill="D9D9D9"/>
            <w:vAlign w:val="center"/>
            <w:hideMark/>
          </w:tcPr>
          <w:p w14:paraId="0B5D75BC" w14:textId="77777777" w:rsidR="0051718E" w:rsidRPr="00557C2A" w:rsidRDefault="0051718E">
            <w:pPr>
              <w:spacing w:before="0" w:after="0"/>
              <w:jc w:val="right"/>
              <w:rPr>
                <w:rFonts w:eastAsia="Times New Roman"/>
                <w:b/>
                <w:bCs/>
                <w:noProof/>
                <w:color w:val="000000"/>
                <w:sz w:val="20"/>
                <w:szCs w:val="20"/>
              </w:rPr>
            </w:pPr>
            <w:r w:rsidRPr="00557C2A">
              <w:rPr>
                <w:b/>
                <w:noProof/>
                <w:color w:val="000000"/>
                <w:sz w:val="20"/>
              </w:rPr>
              <w:t>0</w:t>
            </w:r>
          </w:p>
        </w:tc>
        <w:tc>
          <w:tcPr>
            <w:tcW w:w="350" w:type="pct"/>
            <w:tcBorders>
              <w:top w:val="single" w:sz="8" w:space="0" w:color="auto"/>
              <w:left w:val="nil"/>
              <w:bottom w:val="single" w:sz="8" w:space="0" w:color="auto"/>
              <w:right w:val="single" w:sz="8" w:space="0" w:color="auto"/>
            </w:tcBorders>
            <w:shd w:val="clear" w:color="000000" w:fill="D9D9D9"/>
            <w:vAlign w:val="center"/>
            <w:hideMark/>
          </w:tcPr>
          <w:p w14:paraId="1B7A76E1" w14:textId="77777777" w:rsidR="0051718E" w:rsidRPr="00557C2A" w:rsidRDefault="0051718E">
            <w:pPr>
              <w:spacing w:before="0" w:after="0"/>
              <w:jc w:val="right"/>
              <w:rPr>
                <w:rFonts w:eastAsia="Times New Roman"/>
                <w:b/>
                <w:bCs/>
                <w:noProof/>
                <w:color w:val="000000"/>
                <w:sz w:val="20"/>
                <w:szCs w:val="20"/>
              </w:rPr>
            </w:pPr>
            <w:r w:rsidRPr="00557C2A">
              <w:rPr>
                <w:b/>
                <w:noProof/>
                <w:color w:val="000000"/>
                <w:sz w:val="20"/>
              </w:rPr>
              <w:t>0</w:t>
            </w:r>
          </w:p>
        </w:tc>
        <w:tc>
          <w:tcPr>
            <w:tcW w:w="350" w:type="pct"/>
            <w:tcBorders>
              <w:top w:val="single" w:sz="8" w:space="0" w:color="auto"/>
              <w:left w:val="nil"/>
              <w:bottom w:val="single" w:sz="8" w:space="0" w:color="auto"/>
              <w:right w:val="single" w:sz="8" w:space="0" w:color="auto"/>
            </w:tcBorders>
            <w:shd w:val="clear" w:color="000000" w:fill="D9D9D9"/>
            <w:vAlign w:val="center"/>
            <w:hideMark/>
          </w:tcPr>
          <w:p w14:paraId="442F62F4" w14:textId="77777777" w:rsidR="0051718E" w:rsidRPr="00557C2A" w:rsidRDefault="0051718E">
            <w:pPr>
              <w:spacing w:before="0" w:after="0"/>
              <w:jc w:val="right"/>
              <w:rPr>
                <w:rFonts w:eastAsia="Times New Roman"/>
                <w:b/>
                <w:bCs/>
                <w:noProof/>
                <w:color w:val="000000"/>
                <w:sz w:val="20"/>
                <w:szCs w:val="20"/>
              </w:rPr>
            </w:pPr>
            <w:r w:rsidRPr="00557C2A">
              <w:rPr>
                <w:b/>
                <w:noProof/>
                <w:color w:val="000000"/>
                <w:sz w:val="20"/>
              </w:rPr>
              <w:t>0</w:t>
            </w:r>
          </w:p>
        </w:tc>
        <w:tc>
          <w:tcPr>
            <w:tcW w:w="350" w:type="pct"/>
            <w:tcBorders>
              <w:top w:val="single" w:sz="8" w:space="0" w:color="auto"/>
              <w:left w:val="nil"/>
              <w:bottom w:val="single" w:sz="8" w:space="0" w:color="auto"/>
              <w:right w:val="single" w:sz="8" w:space="0" w:color="auto"/>
            </w:tcBorders>
            <w:shd w:val="clear" w:color="000000" w:fill="D9D9D9"/>
            <w:vAlign w:val="center"/>
            <w:hideMark/>
          </w:tcPr>
          <w:p w14:paraId="68F3F83A" w14:textId="77777777" w:rsidR="0051718E" w:rsidRPr="00557C2A" w:rsidRDefault="0051718E">
            <w:pPr>
              <w:spacing w:before="0" w:after="0"/>
              <w:jc w:val="right"/>
              <w:rPr>
                <w:rFonts w:eastAsia="Times New Roman"/>
                <w:b/>
                <w:bCs/>
                <w:noProof/>
                <w:color w:val="000000"/>
                <w:sz w:val="20"/>
                <w:szCs w:val="20"/>
              </w:rPr>
            </w:pPr>
            <w:r w:rsidRPr="00557C2A">
              <w:rPr>
                <w:b/>
                <w:noProof/>
                <w:color w:val="000000"/>
                <w:sz w:val="20"/>
              </w:rPr>
              <w:t>0</w:t>
            </w:r>
          </w:p>
        </w:tc>
        <w:tc>
          <w:tcPr>
            <w:tcW w:w="391" w:type="pct"/>
            <w:tcBorders>
              <w:top w:val="single" w:sz="8" w:space="0" w:color="auto"/>
              <w:left w:val="nil"/>
              <w:bottom w:val="single" w:sz="8" w:space="0" w:color="auto"/>
              <w:right w:val="single" w:sz="8" w:space="0" w:color="auto"/>
            </w:tcBorders>
            <w:shd w:val="clear" w:color="000000" w:fill="D9D9D9"/>
            <w:vAlign w:val="center"/>
            <w:hideMark/>
          </w:tcPr>
          <w:p w14:paraId="7286B976" w14:textId="77777777" w:rsidR="0051718E" w:rsidRPr="00557C2A" w:rsidRDefault="0051718E">
            <w:pPr>
              <w:spacing w:before="0" w:after="0"/>
              <w:jc w:val="right"/>
              <w:rPr>
                <w:rFonts w:eastAsia="Times New Roman"/>
                <w:b/>
                <w:bCs/>
                <w:noProof/>
                <w:color w:val="000000"/>
                <w:sz w:val="20"/>
                <w:szCs w:val="20"/>
              </w:rPr>
            </w:pPr>
            <w:r w:rsidRPr="00557C2A">
              <w:rPr>
                <w:b/>
                <w:noProof/>
                <w:color w:val="000000"/>
                <w:sz w:val="20"/>
              </w:rPr>
              <w:t>0</w:t>
            </w:r>
          </w:p>
        </w:tc>
      </w:tr>
    </w:tbl>
    <w:p w14:paraId="6971FBFA" w14:textId="77777777" w:rsidR="0051718E" w:rsidRPr="00557C2A" w:rsidRDefault="0051718E" w:rsidP="0051718E">
      <w:pPr>
        <w:jc w:val="right"/>
        <w:rPr>
          <w:noProof/>
          <w:sz w:val="20"/>
        </w:rPr>
      </w:pPr>
      <w:r w:rsidRPr="00557C2A">
        <w:rPr>
          <w:noProof/>
          <w:sz w:val="20"/>
        </w:rPr>
        <w:t>in miljoenen euro’s (tot op drie decimalen)</w:t>
      </w:r>
    </w:p>
    <w:tbl>
      <w:tblPr>
        <w:tblW w:w="5000" w:type="pct"/>
        <w:tblLook w:val="04A0" w:firstRow="1" w:lastRow="0" w:firstColumn="1" w:lastColumn="0" w:noHBand="0" w:noVBand="1"/>
      </w:tblPr>
      <w:tblGrid>
        <w:gridCol w:w="2404"/>
        <w:gridCol w:w="1838"/>
        <w:gridCol w:w="1229"/>
        <w:gridCol w:w="1229"/>
        <w:gridCol w:w="1231"/>
        <w:gridCol w:w="1231"/>
        <w:gridCol w:w="1231"/>
        <w:gridCol w:w="1231"/>
        <w:gridCol w:w="1231"/>
        <w:gridCol w:w="1365"/>
      </w:tblGrid>
      <w:tr w:rsidR="0051718E" w:rsidRPr="00557C2A" w14:paraId="1657AD65" w14:textId="77777777" w:rsidTr="00B37C03">
        <w:trPr>
          <w:trHeight w:val="410"/>
        </w:trPr>
        <w:tc>
          <w:tcPr>
            <w:tcW w:w="1491" w:type="pct"/>
            <w:gridSpan w:val="2"/>
            <w:vMerge w:val="restart"/>
            <w:tcBorders>
              <w:top w:val="single" w:sz="8" w:space="0" w:color="auto"/>
              <w:left w:val="single" w:sz="8" w:space="0" w:color="auto"/>
              <w:bottom w:val="single" w:sz="8" w:space="0" w:color="000000"/>
              <w:right w:val="single" w:sz="8" w:space="0" w:color="000000"/>
            </w:tcBorders>
            <w:vAlign w:val="center"/>
            <w:hideMark/>
          </w:tcPr>
          <w:p w14:paraId="54DC9F0E" w14:textId="77777777" w:rsidR="0051718E" w:rsidRPr="00557C2A" w:rsidRDefault="0051718E">
            <w:pPr>
              <w:spacing w:before="0" w:after="0"/>
              <w:jc w:val="center"/>
              <w:rPr>
                <w:rFonts w:eastAsia="Times New Roman"/>
                <w:noProof/>
                <w:color w:val="000000"/>
                <w:szCs w:val="24"/>
              </w:rPr>
            </w:pPr>
            <w:r w:rsidRPr="00557C2A">
              <w:rPr>
                <w:noProof/>
                <w:color w:val="000000"/>
              </w:rPr>
              <w:t xml:space="preserve"> </w:t>
            </w:r>
          </w:p>
        </w:tc>
        <w:tc>
          <w:tcPr>
            <w:tcW w:w="432" w:type="pct"/>
            <w:tcBorders>
              <w:top w:val="single" w:sz="8" w:space="0" w:color="auto"/>
              <w:left w:val="nil"/>
              <w:bottom w:val="nil"/>
              <w:right w:val="single" w:sz="8" w:space="0" w:color="auto"/>
            </w:tcBorders>
            <w:vAlign w:val="center"/>
            <w:hideMark/>
          </w:tcPr>
          <w:p w14:paraId="2ECEB1E1" w14:textId="77777777" w:rsidR="0051718E" w:rsidRPr="00557C2A" w:rsidRDefault="0051718E">
            <w:pPr>
              <w:spacing w:before="0" w:after="0"/>
              <w:jc w:val="center"/>
              <w:rPr>
                <w:rFonts w:eastAsia="Times New Roman"/>
                <w:noProof/>
                <w:color w:val="000000"/>
                <w:sz w:val="20"/>
                <w:szCs w:val="20"/>
              </w:rPr>
            </w:pPr>
            <w:r w:rsidRPr="00557C2A">
              <w:rPr>
                <w:noProof/>
                <w:color w:val="000000"/>
                <w:sz w:val="20"/>
              </w:rPr>
              <w:t>Jaar</w:t>
            </w:r>
          </w:p>
        </w:tc>
        <w:tc>
          <w:tcPr>
            <w:tcW w:w="432" w:type="pct"/>
            <w:tcBorders>
              <w:top w:val="single" w:sz="8" w:space="0" w:color="auto"/>
              <w:left w:val="nil"/>
              <w:bottom w:val="nil"/>
              <w:right w:val="single" w:sz="8" w:space="0" w:color="auto"/>
            </w:tcBorders>
            <w:vAlign w:val="center"/>
            <w:hideMark/>
          </w:tcPr>
          <w:p w14:paraId="4A8ADDC1" w14:textId="77777777" w:rsidR="0051718E" w:rsidRPr="00557C2A" w:rsidRDefault="0051718E">
            <w:pPr>
              <w:spacing w:before="0" w:after="0"/>
              <w:jc w:val="center"/>
              <w:rPr>
                <w:rFonts w:eastAsia="Times New Roman"/>
                <w:noProof/>
                <w:color w:val="000000"/>
                <w:sz w:val="20"/>
                <w:szCs w:val="20"/>
              </w:rPr>
            </w:pPr>
            <w:r w:rsidRPr="00557C2A">
              <w:rPr>
                <w:noProof/>
                <w:color w:val="000000"/>
                <w:sz w:val="20"/>
              </w:rPr>
              <w:t>Jaar</w:t>
            </w:r>
          </w:p>
        </w:tc>
        <w:tc>
          <w:tcPr>
            <w:tcW w:w="433" w:type="pct"/>
            <w:tcBorders>
              <w:top w:val="single" w:sz="8" w:space="0" w:color="auto"/>
              <w:left w:val="nil"/>
              <w:bottom w:val="nil"/>
              <w:right w:val="single" w:sz="8" w:space="0" w:color="auto"/>
            </w:tcBorders>
            <w:vAlign w:val="center"/>
            <w:hideMark/>
          </w:tcPr>
          <w:p w14:paraId="4C6A06DC" w14:textId="77777777" w:rsidR="0051718E" w:rsidRPr="00557C2A" w:rsidRDefault="0051718E">
            <w:pPr>
              <w:spacing w:before="0" w:after="0"/>
              <w:jc w:val="center"/>
              <w:rPr>
                <w:rFonts w:eastAsia="Times New Roman"/>
                <w:noProof/>
                <w:color w:val="000000"/>
                <w:sz w:val="20"/>
                <w:szCs w:val="20"/>
              </w:rPr>
            </w:pPr>
            <w:r w:rsidRPr="00557C2A">
              <w:rPr>
                <w:noProof/>
                <w:color w:val="000000"/>
                <w:sz w:val="20"/>
              </w:rPr>
              <w:t>Jaar</w:t>
            </w:r>
          </w:p>
        </w:tc>
        <w:tc>
          <w:tcPr>
            <w:tcW w:w="433" w:type="pct"/>
            <w:tcBorders>
              <w:top w:val="single" w:sz="8" w:space="0" w:color="auto"/>
              <w:left w:val="nil"/>
              <w:bottom w:val="nil"/>
              <w:right w:val="single" w:sz="8" w:space="0" w:color="auto"/>
            </w:tcBorders>
            <w:vAlign w:val="center"/>
            <w:hideMark/>
          </w:tcPr>
          <w:p w14:paraId="1A960648" w14:textId="77777777" w:rsidR="0051718E" w:rsidRPr="00557C2A" w:rsidRDefault="0051718E">
            <w:pPr>
              <w:spacing w:before="0" w:after="0"/>
              <w:jc w:val="center"/>
              <w:rPr>
                <w:rFonts w:eastAsia="Times New Roman"/>
                <w:noProof/>
                <w:color w:val="000000"/>
                <w:sz w:val="20"/>
                <w:szCs w:val="20"/>
              </w:rPr>
            </w:pPr>
            <w:r w:rsidRPr="00557C2A">
              <w:rPr>
                <w:noProof/>
                <w:color w:val="000000"/>
                <w:sz w:val="20"/>
              </w:rPr>
              <w:t>Jaar</w:t>
            </w:r>
          </w:p>
        </w:tc>
        <w:tc>
          <w:tcPr>
            <w:tcW w:w="433" w:type="pct"/>
            <w:tcBorders>
              <w:top w:val="single" w:sz="8" w:space="0" w:color="auto"/>
              <w:left w:val="nil"/>
              <w:bottom w:val="nil"/>
              <w:right w:val="single" w:sz="8" w:space="0" w:color="auto"/>
            </w:tcBorders>
            <w:vAlign w:val="center"/>
            <w:hideMark/>
          </w:tcPr>
          <w:p w14:paraId="087BC244" w14:textId="77777777" w:rsidR="0051718E" w:rsidRPr="00557C2A" w:rsidRDefault="0051718E">
            <w:pPr>
              <w:spacing w:before="0" w:after="0"/>
              <w:jc w:val="center"/>
              <w:rPr>
                <w:rFonts w:eastAsia="Times New Roman"/>
                <w:noProof/>
                <w:color w:val="000000"/>
                <w:sz w:val="20"/>
                <w:szCs w:val="20"/>
              </w:rPr>
            </w:pPr>
            <w:r w:rsidRPr="00557C2A">
              <w:rPr>
                <w:noProof/>
                <w:color w:val="000000"/>
                <w:sz w:val="20"/>
              </w:rPr>
              <w:t>Jaar</w:t>
            </w:r>
          </w:p>
        </w:tc>
        <w:tc>
          <w:tcPr>
            <w:tcW w:w="433" w:type="pct"/>
            <w:tcBorders>
              <w:top w:val="single" w:sz="8" w:space="0" w:color="auto"/>
              <w:left w:val="nil"/>
              <w:bottom w:val="nil"/>
              <w:right w:val="single" w:sz="8" w:space="0" w:color="auto"/>
            </w:tcBorders>
            <w:vAlign w:val="center"/>
            <w:hideMark/>
          </w:tcPr>
          <w:p w14:paraId="0ED85078" w14:textId="77777777" w:rsidR="0051718E" w:rsidRPr="00557C2A" w:rsidRDefault="0051718E">
            <w:pPr>
              <w:spacing w:before="0" w:after="0"/>
              <w:jc w:val="center"/>
              <w:rPr>
                <w:rFonts w:eastAsia="Times New Roman"/>
                <w:noProof/>
                <w:color w:val="000000"/>
                <w:sz w:val="20"/>
                <w:szCs w:val="20"/>
              </w:rPr>
            </w:pPr>
            <w:r w:rsidRPr="00557C2A">
              <w:rPr>
                <w:noProof/>
                <w:color w:val="000000"/>
                <w:sz w:val="20"/>
              </w:rPr>
              <w:t>Jaar</w:t>
            </w:r>
          </w:p>
        </w:tc>
        <w:tc>
          <w:tcPr>
            <w:tcW w:w="433" w:type="pct"/>
            <w:tcBorders>
              <w:top w:val="single" w:sz="8" w:space="0" w:color="auto"/>
              <w:left w:val="nil"/>
              <w:bottom w:val="nil"/>
              <w:right w:val="single" w:sz="8" w:space="0" w:color="auto"/>
            </w:tcBorders>
            <w:vAlign w:val="center"/>
            <w:hideMark/>
          </w:tcPr>
          <w:p w14:paraId="1B93D40D" w14:textId="77777777" w:rsidR="0051718E" w:rsidRPr="00557C2A" w:rsidRDefault="0051718E">
            <w:pPr>
              <w:spacing w:before="0" w:after="0"/>
              <w:jc w:val="center"/>
              <w:rPr>
                <w:rFonts w:eastAsia="Times New Roman"/>
                <w:noProof/>
                <w:color w:val="000000"/>
                <w:sz w:val="20"/>
                <w:szCs w:val="20"/>
              </w:rPr>
            </w:pPr>
            <w:r w:rsidRPr="00557C2A">
              <w:rPr>
                <w:noProof/>
                <w:color w:val="000000"/>
                <w:sz w:val="20"/>
              </w:rPr>
              <w:t>Jaar</w:t>
            </w:r>
          </w:p>
        </w:tc>
        <w:tc>
          <w:tcPr>
            <w:tcW w:w="481" w:type="pct"/>
            <w:vMerge w:val="restart"/>
            <w:tcBorders>
              <w:top w:val="single" w:sz="8" w:space="0" w:color="auto"/>
              <w:left w:val="single" w:sz="8" w:space="0" w:color="auto"/>
              <w:bottom w:val="single" w:sz="8" w:space="0" w:color="000000"/>
              <w:right w:val="single" w:sz="8" w:space="0" w:color="auto"/>
            </w:tcBorders>
            <w:vAlign w:val="center"/>
            <w:hideMark/>
          </w:tcPr>
          <w:p w14:paraId="113AC301" w14:textId="77777777" w:rsidR="0051718E" w:rsidRPr="00557C2A" w:rsidRDefault="0051718E">
            <w:pPr>
              <w:spacing w:before="0" w:after="0"/>
              <w:jc w:val="center"/>
              <w:rPr>
                <w:rFonts w:eastAsia="Times New Roman"/>
                <w:b/>
                <w:bCs/>
                <w:noProof/>
                <w:color w:val="000000"/>
                <w:sz w:val="20"/>
                <w:szCs w:val="20"/>
              </w:rPr>
            </w:pPr>
            <w:r w:rsidRPr="00557C2A">
              <w:rPr>
                <w:b/>
                <w:noProof/>
                <w:color w:val="000000"/>
                <w:sz w:val="20"/>
              </w:rPr>
              <w:t>TOTAAL MFK 2028-2034</w:t>
            </w:r>
          </w:p>
        </w:tc>
      </w:tr>
      <w:tr w:rsidR="0051718E" w:rsidRPr="00557C2A" w14:paraId="5F0E6A0C" w14:textId="77777777" w:rsidTr="00B37C03">
        <w:trPr>
          <w:trHeight w:val="300"/>
        </w:trPr>
        <w:tc>
          <w:tcPr>
            <w:tcW w:w="1491" w:type="pct"/>
            <w:gridSpan w:val="2"/>
            <w:vMerge/>
            <w:tcBorders>
              <w:top w:val="single" w:sz="8" w:space="0" w:color="auto"/>
              <w:left w:val="single" w:sz="8" w:space="0" w:color="auto"/>
              <w:bottom w:val="single" w:sz="8" w:space="0" w:color="000000"/>
              <w:right w:val="single" w:sz="8" w:space="0" w:color="000000"/>
            </w:tcBorders>
            <w:vAlign w:val="center"/>
            <w:hideMark/>
          </w:tcPr>
          <w:p w14:paraId="3CA3BFBA" w14:textId="77777777" w:rsidR="0051718E" w:rsidRPr="00557C2A" w:rsidRDefault="0051718E">
            <w:pPr>
              <w:spacing w:before="0" w:after="0"/>
              <w:jc w:val="left"/>
              <w:rPr>
                <w:rFonts w:eastAsia="Times New Roman"/>
                <w:noProof/>
                <w:color w:val="000000"/>
                <w:szCs w:val="24"/>
                <w:lang w:eastAsia="en-IE"/>
              </w:rPr>
            </w:pPr>
          </w:p>
        </w:tc>
        <w:tc>
          <w:tcPr>
            <w:tcW w:w="432" w:type="pct"/>
            <w:tcBorders>
              <w:top w:val="nil"/>
              <w:left w:val="nil"/>
              <w:bottom w:val="single" w:sz="8" w:space="0" w:color="auto"/>
              <w:right w:val="single" w:sz="8" w:space="0" w:color="auto"/>
            </w:tcBorders>
            <w:vAlign w:val="center"/>
            <w:hideMark/>
          </w:tcPr>
          <w:p w14:paraId="70FF19B6" w14:textId="77777777" w:rsidR="0051718E" w:rsidRPr="00557C2A" w:rsidRDefault="0051718E">
            <w:pPr>
              <w:spacing w:before="0" w:after="0"/>
              <w:jc w:val="center"/>
              <w:rPr>
                <w:rFonts w:eastAsia="Times New Roman"/>
                <w:b/>
                <w:bCs/>
                <w:noProof/>
                <w:color w:val="000000"/>
                <w:sz w:val="20"/>
                <w:szCs w:val="20"/>
              </w:rPr>
            </w:pPr>
            <w:r w:rsidRPr="00557C2A">
              <w:rPr>
                <w:b/>
                <w:noProof/>
                <w:color w:val="000000"/>
                <w:sz w:val="20"/>
              </w:rPr>
              <w:t>2028</w:t>
            </w:r>
          </w:p>
        </w:tc>
        <w:tc>
          <w:tcPr>
            <w:tcW w:w="432" w:type="pct"/>
            <w:tcBorders>
              <w:top w:val="nil"/>
              <w:left w:val="nil"/>
              <w:bottom w:val="single" w:sz="8" w:space="0" w:color="auto"/>
              <w:right w:val="single" w:sz="8" w:space="0" w:color="auto"/>
            </w:tcBorders>
            <w:vAlign w:val="center"/>
            <w:hideMark/>
          </w:tcPr>
          <w:p w14:paraId="058A3E7A" w14:textId="77777777" w:rsidR="0051718E" w:rsidRPr="00557C2A" w:rsidRDefault="0051718E">
            <w:pPr>
              <w:spacing w:before="0" w:after="0"/>
              <w:jc w:val="center"/>
              <w:rPr>
                <w:rFonts w:eastAsia="Times New Roman"/>
                <w:b/>
                <w:bCs/>
                <w:noProof/>
                <w:color w:val="000000"/>
                <w:sz w:val="20"/>
                <w:szCs w:val="20"/>
              </w:rPr>
            </w:pPr>
            <w:r w:rsidRPr="00557C2A">
              <w:rPr>
                <w:b/>
                <w:noProof/>
                <w:color w:val="000000"/>
                <w:sz w:val="20"/>
              </w:rPr>
              <w:t>2029</w:t>
            </w:r>
          </w:p>
        </w:tc>
        <w:tc>
          <w:tcPr>
            <w:tcW w:w="433" w:type="pct"/>
            <w:tcBorders>
              <w:top w:val="nil"/>
              <w:left w:val="nil"/>
              <w:bottom w:val="single" w:sz="8" w:space="0" w:color="auto"/>
              <w:right w:val="single" w:sz="8" w:space="0" w:color="auto"/>
            </w:tcBorders>
            <w:vAlign w:val="center"/>
            <w:hideMark/>
          </w:tcPr>
          <w:p w14:paraId="238B7C67" w14:textId="77777777" w:rsidR="0051718E" w:rsidRPr="00557C2A" w:rsidRDefault="0051718E">
            <w:pPr>
              <w:spacing w:before="0" w:after="0"/>
              <w:jc w:val="center"/>
              <w:rPr>
                <w:rFonts w:eastAsia="Times New Roman"/>
                <w:b/>
                <w:bCs/>
                <w:noProof/>
                <w:color w:val="000000"/>
                <w:sz w:val="20"/>
                <w:szCs w:val="20"/>
              </w:rPr>
            </w:pPr>
            <w:r w:rsidRPr="00557C2A">
              <w:rPr>
                <w:b/>
                <w:noProof/>
                <w:color w:val="000000"/>
                <w:sz w:val="20"/>
              </w:rPr>
              <w:t>2030</w:t>
            </w:r>
          </w:p>
        </w:tc>
        <w:tc>
          <w:tcPr>
            <w:tcW w:w="433" w:type="pct"/>
            <w:tcBorders>
              <w:top w:val="nil"/>
              <w:left w:val="nil"/>
              <w:bottom w:val="single" w:sz="8" w:space="0" w:color="auto"/>
              <w:right w:val="single" w:sz="8" w:space="0" w:color="auto"/>
            </w:tcBorders>
            <w:vAlign w:val="center"/>
            <w:hideMark/>
          </w:tcPr>
          <w:p w14:paraId="39304A18" w14:textId="77777777" w:rsidR="0051718E" w:rsidRPr="00557C2A" w:rsidRDefault="0051718E">
            <w:pPr>
              <w:spacing w:before="0" w:after="0"/>
              <w:jc w:val="center"/>
              <w:rPr>
                <w:rFonts w:eastAsia="Times New Roman"/>
                <w:b/>
                <w:bCs/>
                <w:noProof/>
                <w:color w:val="000000"/>
                <w:sz w:val="20"/>
                <w:szCs w:val="20"/>
              </w:rPr>
            </w:pPr>
            <w:r w:rsidRPr="00557C2A">
              <w:rPr>
                <w:b/>
                <w:noProof/>
                <w:color w:val="000000"/>
                <w:sz w:val="20"/>
              </w:rPr>
              <w:t>2031</w:t>
            </w:r>
          </w:p>
        </w:tc>
        <w:tc>
          <w:tcPr>
            <w:tcW w:w="433" w:type="pct"/>
            <w:tcBorders>
              <w:top w:val="nil"/>
              <w:left w:val="nil"/>
              <w:bottom w:val="single" w:sz="8" w:space="0" w:color="auto"/>
              <w:right w:val="single" w:sz="8" w:space="0" w:color="auto"/>
            </w:tcBorders>
            <w:vAlign w:val="center"/>
            <w:hideMark/>
          </w:tcPr>
          <w:p w14:paraId="0C9749EC" w14:textId="77777777" w:rsidR="0051718E" w:rsidRPr="00557C2A" w:rsidRDefault="0051718E">
            <w:pPr>
              <w:spacing w:before="0" w:after="0"/>
              <w:jc w:val="center"/>
              <w:rPr>
                <w:rFonts w:eastAsia="Times New Roman"/>
                <w:b/>
                <w:bCs/>
                <w:noProof/>
                <w:color w:val="000000"/>
                <w:sz w:val="20"/>
                <w:szCs w:val="20"/>
              </w:rPr>
            </w:pPr>
            <w:r w:rsidRPr="00557C2A">
              <w:rPr>
                <w:b/>
                <w:noProof/>
                <w:color w:val="000000"/>
                <w:sz w:val="20"/>
              </w:rPr>
              <w:t>2032</w:t>
            </w:r>
          </w:p>
        </w:tc>
        <w:tc>
          <w:tcPr>
            <w:tcW w:w="433" w:type="pct"/>
            <w:tcBorders>
              <w:top w:val="nil"/>
              <w:left w:val="nil"/>
              <w:bottom w:val="single" w:sz="8" w:space="0" w:color="auto"/>
              <w:right w:val="single" w:sz="8" w:space="0" w:color="auto"/>
            </w:tcBorders>
            <w:vAlign w:val="center"/>
            <w:hideMark/>
          </w:tcPr>
          <w:p w14:paraId="22FB95FD" w14:textId="77777777" w:rsidR="0051718E" w:rsidRPr="00557C2A" w:rsidRDefault="0051718E">
            <w:pPr>
              <w:spacing w:before="0" w:after="0"/>
              <w:jc w:val="center"/>
              <w:rPr>
                <w:rFonts w:eastAsia="Times New Roman"/>
                <w:b/>
                <w:bCs/>
                <w:noProof/>
                <w:color w:val="000000"/>
                <w:sz w:val="20"/>
                <w:szCs w:val="20"/>
              </w:rPr>
            </w:pPr>
            <w:r w:rsidRPr="00557C2A">
              <w:rPr>
                <w:b/>
                <w:noProof/>
                <w:color w:val="000000"/>
                <w:sz w:val="20"/>
              </w:rPr>
              <w:t>2033</w:t>
            </w:r>
          </w:p>
        </w:tc>
        <w:tc>
          <w:tcPr>
            <w:tcW w:w="433" w:type="pct"/>
            <w:tcBorders>
              <w:top w:val="nil"/>
              <w:left w:val="nil"/>
              <w:bottom w:val="single" w:sz="8" w:space="0" w:color="auto"/>
              <w:right w:val="single" w:sz="8" w:space="0" w:color="auto"/>
            </w:tcBorders>
            <w:vAlign w:val="center"/>
            <w:hideMark/>
          </w:tcPr>
          <w:p w14:paraId="28B5C7AE" w14:textId="77777777" w:rsidR="0051718E" w:rsidRPr="00557C2A" w:rsidRDefault="0051718E">
            <w:pPr>
              <w:spacing w:before="0" w:after="0"/>
              <w:jc w:val="center"/>
              <w:rPr>
                <w:rFonts w:eastAsia="Times New Roman"/>
                <w:b/>
                <w:bCs/>
                <w:noProof/>
                <w:color w:val="000000"/>
                <w:sz w:val="20"/>
                <w:szCs w:val="20"/>
              </w:rPr>
            </w:pPr>
            <w:r w:rsidRPr="00557C2A">
              <w:rPr>
                <w:b/>
                <w:noProof/>
                <w:color w:val="000000"/>
                <w:sz w:val="20"/>
              </w:rPr>
              <w:t>2034</w:t>
            </w:r>
          </w:p>
        </w:tc>
        <w:tc>
          <w:tcPr>
            <w:tcW w:w="481" w:type="pct"/>
            <w:vMerge/>
            <w:tcBorders>
              <w:top w:val="single" w:sz="8" w:space="0" w:color="auto"/>
              <w:left w:val="single" w:sz="8" w:space="0" w:color="auto"/>
              <w:bottom w:val="single" w:sz="8" w:space="0" w:color="000000"/>
              <w:right w:val="single" w:sz="8" w:space="0" w:color="auto"/>
            </w:tcBorders>
            <w:vAlign w:val="center"/>
            <w:hideMark/>
          </w:tcPr>
          <w:p w14:paraId="60BA1D99" w14:textId="77777777" w:rsidR="0051718E" w:rsidRPr="00557C2A" w:rsidRDefault="0051718E">
            <w:pPr>
              <w:spacing w:before="0" w:after="0"/>
              <w:jc w:val="left"/>
              <w:rPr>
                <w:rFonts w:eastAsia="Times New Roman"/>
                <w:b/>
                <w:bCs/>
                <w:noProof/>
                <w:color w:val="000000"/>
                <w:sz w:val="20"/>
                <w:szCs w:val="20"/>
                <w:lang w:eastAsia="en-IE"/>
              </w:rPr>
            </w:pPr>
          </w:p>
        </w:tc>
      </w:tr>
      <w:tr w:rsidR="0051718E" w:rsidRPr="00557C2A" w14:paraId="00BAF30F" w14:textId="77777777" w:rsidTr="00B37C03">
        <w:trPr>
          <w:trHeight w:val="321"/>
        </w:trPr>
        <w:tc>
          <w:tcPr>
            <w:tcW w:w="845" w:type="pct"/>
            <w:tcBorders>
              <w:top w:val="nil"/>
              <w:left w:val="single" w:sz="8" w:space="0" w:color="auto"/>
              <w:bottom w:val="single" w:sz="8" w:space="0" w:color="auto"/>
              <w:right w:val="single" w:sz="8" w:space="0" w:color="000000"/>
            </w:tcBorders>
            <w:shd w:val="clear" w:color="000000" w:fill="C0C0C0"/>
            <w:vAlign w:val="center"/>
            <w:hideMark/>
          </w:tcPr>
          <w:p w14:paraId="470724AD" w14:textId="77777777" w:rsidR="0051718E" w:rsidRPr="00557C2A" w:rsidRDefault="0051718E">
            <w:pPr>
              <w:spacing w:before="0" w:after="0"/>
              <w:jc w:val="center"/>
              <w:rPr>
                <w:rFonts w:eastAsia="Times New Roman"/>
                <w:b/>
                <w:bCs/>
                <w:noProof/>
                <w:color w:val="000000"/>
                <w:sz w:val="22"/>
              </w:rPr>
            </w:pPr>
            <w:r w:rsidRPr="00557C2A">
              <w:rPr>
                <w:b/>
                <w:noProof/>
                <w:color w:val="000000"/>
                <w:sz w:val="22"/>
              </w:rPr>
              <w:t>TOTAAL kredieten onder de RUBRIEKEN 1 tot en met 4</w:t>
            </w:r>
          </w:p>
        </w:tc>
        <w:tc>
          <w:tcPr>
            <w:tcW w:w="645" w:type="pct"/>
            <w:tcBorders>
              <w:top w:val="nil"/>
              <w:left w:val="nil"/>
              <w:bottom w:val="single" w:sz="8" w:space="0" w:color="auto"/>
              <w:right w:val="single" w:sz="8" w:space="0" w:color="auto"/>
            </w:tcBorders>
            <w:vAlign w:val="center"/>
            <w:hideMark/>
          </w:tcPr>
          <w:p w14:paraId="7816E446" w14:textId="77777777" w:rsidR="0051718E" w:rsidRPr="00557C2A" w:rsidRDefault="0051718E">
            <w:pPr>
              <w:spacing w:before="0" w:after="0"/>
              <w:rPr>
                <w:rFonts w:eastAsia="Times New Roman"/>
                <w:noProof/>
                <w:color w:val="000000"/>
                <w:sz w:val="18"/>
                <w:szCs w:val="18"/>
              </w:rPr>
            </w:pPr>
            <w:r w:rsidRPr="00557C2A">
              <w:rPr>
                <w:noProof/>
                <w:color w:val="000000"/>
                <w:sz w:val="18"/>
              </w:rPr>
              <w:t>Vastleggingen</w:t>
            </w:r>
          </w:p>
        </w:tc>
        <w:tc>
          <w:tcPr>
            <w:tcW w:w="432" w:type="pct"/>
            <w:tcBorders>
              <w:top w:val="nil"/>
              <w:left w:val="nil"/>
              <w:bottom w:val="single" w:sz="8" w:space="0" w:color="auto"/>
              <w:right w:val="single" w:sz="8" w:space="0" w:color="auto"/>
            </w:tcBorders>
            <w:shd w:val="clear" w:color="000000" w:fill="D9D9D9"/>
            <w:vAlign w:val="center"/>
            <w:hideMark/>
          </w:tcPr>
          <w:p w14:paraId="2140530F" w14:textId="77777777" w:rsidR="0051718E" w:rsidRPr="00557C2A" w:rsidRDefault="0051718E">
            <w:pPr>
              <w:spacing w:before="0" w:after="0"/>
              <w:jc w:val="center"/>
              <w:rPr>
                <w:rFonts w:eastAsia="Times New Roman"/>
                <w:b/>
                <w:bCs/>
                <w:noProof/>
                <w:color w:val="000000"/>
                <w:sz w:val="20"/>
                <w:szCs w:val="20"/>
              </w:rPr>
            </w:pPr>
            <w:r w:rsidRPr="00557C2A">
              <w:rPr>
                <w:b/>
                <w:noProof/>
                <w:color w:val="000000"/>
                <w:sz w:val="20"/>
              </w:rPr>
              <w:t>0,350</w:t>
            </w:r>
          </w:p>
        </w:tc>
        <w:tc>
          <w:tcPr>
            <w:tcW w:w="432" w:type="pct"/>
            <w:tcBorders>
              <w:top w:val="nil"/>
              <w:left w:val="nil"/>
              <w:bottom w:val="single" w:sz="8" w:space="0" w:color="auto"/>
              <w:right w:val="single" w:sz="8" w:space="0" w:color="auto"/>
            </w:tcBorders>
            <w:shd w:val="clear" w:color="000000" w:fill="D9D9D9"/>
            <w:vAlign w:val="center"/>
            <w:hideMark/>
          </w:tcPr>
          <w:p w14:paraId="3BBF2337" w14:textId="77777777" w:rsidR="0051718E" w:rsidRPr="00557C2A" w:rsidRDefault="0051718E">
            <w:pPr>
              <w:spacing w:before="0" w:after="0"/>
              <w:jc w:val="center"/>
              <w:rPr>
                <w:rFonts w:eastAsia="Times New Roman"/>
                <w:b/>
                <w:bCs/>
                <w:noProof/>
                <w:color w:val="000000"/>
                <w:sz w:val="20"/>
                <w:szCs w:val="20"/>
              </w:rPr>
            </w:pPr>
            <w:r w:rsidRPr="00557C2A">
              <w:rPr>
                <w:b/>
                <w:noProof/>
                <w:color w:val="000000"/>
                <w:sz w:val="20"/>
              </w:rPr>
              <w:t>0</w:t>
            </w:r>
          </w:p>
        </w:tc>
        <w:tc>
          <w:tcPr>
            <w:tcW w:w="433" w:type="pct"/>
            <w:tcBorders>
              <w:top w:val="nil"/>
              <w:left w:val="nil"/>
              <w:bottom w:val="single" w:sz="8" w:space="0" w:color="auto"/>
              <w:right w:val="single" w:sz="8" w:space="0" w:color="auto"/>
            </w:tcBorders>
            <w:shd w:val="clear" w:color="000000" w:fill="D9D9D9"/>
            <w:vAlign w:val="center"/>
            <w:hideMark/>
          </w:tcPr>
          <w:p w14:paraId="2EB6DABC" w14:textId="77777777" w:rsidR="0051718E" w:rsidRPr="00557C2A" w:rsidRDefault="0051718E">
            <w:pPr>
              <w:spacing w:before="0" w:after="0"/>
              <w:jc w:val="center"/>
              <w:rPr>
                <w:rFonts w:eastAsia="Times New Roman"/>
                <w:b/>
                <w:bCs/>
                <w:noProof/>
                <w:color w:val="000000"/>
                <w:sz w:val="20"/>
                <w:szCs w:val="20"/>
              </w:rPr>
            </w:pPr>
            <w:r w:rsidRPr="00557C2A">
              <w:rPr>
                <w:b/>
                <w:noProof/>
                <w:color w:val="000000"/>
                <w:sz w:val="20"/>
              </w:rPr>
              <w:t>0</w:t>
            </w:r>
          </w:p>
        </w:tc>
        <w:tc>
          <w:tcPr>
            <w:tcW w:w="433" w:type="pct"/>
            <w:tcBorders>
              <w:top w:val="nil"/>
              <w:left w:val="nil"/>
              <w:bottom w:val="single" w:sz="8" w:space="0" w:color="auto"/>
              <w:right w:val="single" w:sz="8" w:space="0" w:color="auto"/>
            </w:tcBorders>
            <w:shd w:val="clear" w:color="000000" w:fill="D9D9D9"/>
            <w:vAlign w:val="center"/>
            <w:hideMark/>
          </w:tcPr>
          <w:p w14:paraId="37F22B66" w14:textId="77777777" w:rsidR="0051718E" w:rsidRPr="00557C2A" w:rsidRDefault="0051718E">
            <w:pPr>
              <w:spacing w:before="0" w:after="0"/>
              <w:jc w:val="center"/>
              <w:rPr>
                <w:rFonts w:eastAsia="Times New Roman"/>
                <w:b/>
                <w:bCs/>
                <w:noProof/>
                <w:color w:val="000000"/>
                <w:sz w:val="20"/>
                <w:szCs w:val="20"/>
              </w:rPr>
            </w:pPr>
            <w:r w:rsidRPr="00557C2A">
              <w:rPr>
                <w:b/>
                <w:noProof/>
                <w:color w:val="000000"/>
                <w:sz w:val="20"/>
              </w:rPr>
              <w:t>0</w:t>
            </w:r>
          </w:p>
        </w:tc>
        <w:tc>
          <w:tcPr>
            <w:tcW w:w="433" w:type="pct"/>
            <w:tcBorders>
              <w:top w:val="nil"/>
              <w:left w:val="nil"/>
              <w:bottom w:val="single" w:sz="8" w:space="0" w:color="auto"/>
              <w:right w:val="single" w:sz="8" w:space="0" w:color="auto"/>
            </w:tcBorders>
            <w:shd w:val="clear" w:color="000000" w:fill="D9D9D9"/>
            <w:vAlign w:val="center"/>
            <w:hideMark/>
          </w:tcPr>
          <w:p w14:paraId="6077BE5F" w14:textId="77777777" w:rsidR="0051718E" w:rsidRPr="00557C2A" w:rsidRDefault="0051718E">
            <w:pPr>
              <w:spacing w:before="0" w:after="0"/>
              <w:jc w:val="center"/>
              <w:rPr>
                <w:rFonts w:eastAsia="Times New Roman"/>
                <w:b/>
                <w:bCs/>
                <w:noProof/>
                <w:color w:val="000000"/>
                <w:sz w:val="20"/>
                <w:szCs w:val="20"/>
              </w:rPr>
            </w:pPr>
            <w:r w:rsidRPr="00557C2A">
              <w:rPr>
                <w:b/>
                <w:noProof/>
                <w:color w:val="000000"/>
                <w:sz w:val="20"/>
              </w:rPr>
              <w:t>0</w:t>
            </w:r>
          </w:p>
        </w:tc>
        <w:tc>
          <w:tcPr>
            <w:tcW w:w="433" w:type="pct"/>
            <w:tcBorders>
              <w:top w:val="nil"/>
              <w:left w:val="nil"/>
              <w:bottom w:val="single" w:sz="8" w:space="0" w:color="auto"/>
              <w:right w:val="single" w:sz="8" w:space="0" w:color="auto"/>
            </w:tcBorders>
            <w:shd w:val="clear" w:color="000000" w:fill="D9D9D9"/>
            <w:vAlign w:val="center"/>
            <w:hideMark/>
          </w:tcPr>
          <w:p w14:paraId="6CCF25F0" w14:textId="77777777" w:rsidR="0051718E" w:rsidRPr="00557C2A" w:rsidRDefault="0051718E">
            <w:pPr>
              <w:spacing w:before="0" w:after="0"/>
              <w:jc w:val="center"/>
              <w:rPr>
                <w:rFonts w:eastAsia="Times New Roman"/>
                <w:b/>
                <w:bCs/>
                <w:noProof/>
                <w:color w:val="000000"/>
                <w:sz w:val="20"/>
                <w:szCs w:val="20"/>
              </w:rPr>
            </w:pPr>
            <w:r w:rsidRPr="00557C2A">
              <w:rPr>
                <w:b/>
                <w:noProof/>
                <w:color w:val="000000"/>
                <w:sz w:val="20"/>
              </w:rPr>
              <w:t>0</w:t>
            </w:r>
          </w:p>
        </w:tc>
        <w:tc>
          <w:tcPr>
            <w:tcW w:w="433" w:type="pct"/>
            <w:tcBorders>
              <w:top w:val="nil"/>
              <w:left w:val="nil"/>
              <w:bottom w:val="single" w:sz="8" w:space="0" w:color="auto"/>
              <w:right w:val="single" w:sz="8" w:space="0" w:color="auto"/>
            </w:tcBorders>
            <w:shd w:val="clear" w:color="000000" w:fill="D9D9D9"/>
            <w:vAlign w:val="center"/>
            <w:hideMark/>
          </w:tcPr>
          <w:p w14:paraId="61EF69D0" w14:textId="77777777" w:rsidR="0051718E" w:rsidRPr="00557C2A" w:rsidRDefault="0051718E">
            <w:pPr>
              <w:spacing w:before="0" w:after="0"/>
              <w:jc w:val="center"/>
              <w:rPr>
                <w:rFonts w:eastAsia="Times New Roman"/>
                <w:b/>
                <w:bCs/>
                <w:noProof/>
                <w:color w:val="000000"/>
                <w:sz w:val="20"/>
                <w:szCs w:val="20"/>
              </w:rPr>
            </w:pPr>
            <w:r w:rsidRPr="00557C2A">
              <w:rPr>
                <w:b/>
                <w:noProof/>
                <w:color w:val="000000"/>
                <w:sz w:val="20"/>
              </w:rPr>
              <w:t>0</w:t>
            </w:r>
          </w:p>
        </w:tc>
        <w:tc>
          <w:tcPr>
            <w:tcW w:w="481" w:type="pct"/>
            <w:tcBorders>
              <w:top w:val="nil"/>
              <w:left w:val="nil"/>
              <w:bottom w:val="single" w:sz="8" w:space="0" w:color="auto"/>
              <w:right w:val="single" w:sz="8" w:space="0" w:color="auto"/>
            </w:tcBorders>
            <w:shd w:val="clear" w:color="000000" w:fill="D9D9D9"/>
            <w:vAlign w:val="center"/>
            <w:hideMark/>
          </w:tcPr>
          <w:p w14:paraId="38BB33B2" w14:textId="77777777" w:rsidR="0051718E" w:rsidRPr="00557C2A" w:rsidRDefault="0051718E">
            <w:pPr>
              <w:spacing w:before="0" w:after="0"/>
              <w:jc w:val="center"/>
              <w:rPr>
                <w:rFonts w:eastAsia="Times New Roman"/>
                <w:b/>
                <w:bCs/>
                <w:noProof/>
                <w:color w:val="000000"/>
                <w:sz w:val="20"/>
                <w:szCs w:val="20"/>
              </w:rPr>
            </w:pPr>
            <w:r w:rsidRPr="00557C2A">
              <w:rPr>
                <w:b/>
                <w:noProof/>
                <w:color w:val="000000"/>
                <w:sz w:val="20"/>
              </w:rPr>
              <w:t>0,350</w:t>
            </w:r>
          </w:p>
        </w:tc>
      </w:tr>
      <w:tr w:rsidR="0051718E" w:rsidRPr="00557C2A" w14:paraId="47BFD46B" w14:textId="77777777" w:rsidTr="00B37C03">
        <w:trPr>
          <w:trHeight w:val="247"/>
        </w:trPr>
        <w:tc>
          <w:tcPr>
            <w:tcW w:w="845" w:type="pct"/>
            <w:tcBorders>
              <w:top w:val="nil"/>
              <w:left w:val="single" w:sz="8" w:space="0" w:color="auto"/>
              <w:bottom w:val="single" w:sz="8" w:space="0" w:color="auto"/>
              <w:right w:val="single" w:sz="8" w:space="0" w:color="000000"/>
            </w:tcBorders>
            <w:shd w:val="clear" w:color="000000" w:fill="C0C0C0"/>
            <w:vAlign w:val="center"/>
            <w:hideMark/>
          </w:tcPr>
          <w:p w14:paraId="1F0B2D31" w14:textId="77777777" w:rsidR="0051718E" w:rsidRPr="00557C2A" w:rsidRDefault="0051718E">
            <w:pPr>
              <w:spacing w:before="0" w:after="0"/>
              <w:jc w:val="center"/>
              <w:rPr>
                <w:rFonts w:eastAsia="Times New Roman"/>
                <w:noProof/>
                <w:color w:val="000000"/>
                <w:sz w:val="22"/>
              </w:rPr>
            </w:pPr>
            <w:r w:rsidRPr="00557C2A">
              <w:rPr>
                <w:noProof/>
                <w:color w:val="000000"/>
                <w:sz w:val="22"/>
              </w:rPr>
              <w:t>van het meerjarig financieel kader</w:t>
            </w:r>
            <w:r w:rsidRPr="00557C2A">
              <w:rPr>
                <w:b/>
                <w:noProof/>
                <w:color w:val="000000"/>
                <w:sz w:val="22"/>
              </w:rPr>
              <w:t xml:space="preserve"> </w:t>
            </w:r>
          </w:p>
        </w:tc>
        <w:tc>
          <w:tcPr>
            <w:tcW w:w="645" w:type="pct"/>
            <w:tcBorders>
              <w:top w:val="nil"/>
              <w:left w:val="nil"/>
              <w:bottom w:val="single" w:sz="8" w:space="0" w:color="auto"/>
              <w:right w:val="single" w:sz="8" w:space="0" w:color="auto"/>
            </w:tcBorders>
            <w:vAlign w:val="center"/>
            <w:hideMark/>
          </w:tcPr>
          <w:p w14:paraId="0AD160C2" w14:textId="77777777" w:rsidR="0051718E" w:rsidRPr="00557C2A" w:rsidRDefault="0051718E">
            <w:pPr>
              <w:spacing w:before="0" w:after="0"/>
              <w:rPr>
                <w:rFonts w:eastAsia="Times New Roman"/>
                <w:noProof/>
                <w:color w:val="000000"/>
                <w:sz w:val="18"/>
                <w:szCs w:val="18"/>
              </w:rPr>
            </w:pPr>
            <w:r w:rsidRPr="00557C2A">
              <w:rPr>
                <w:noProof/>
                <w:color w:val="000000"/>
                <w:sz w:val="18"/>
              </w:rPr>
              <w:t>Betalingen</w:t>
            </w:r>
          </w:p>
        </w:tc>
        <w:tc>
          <w:tcPr>
            <w:tcW w:w="432" w:type="pct"/>
            <w:tcBorders>
              <w:top w:val="nil"/>
              <w:left w:val="nil"/>
              <w:bottom w:val="single" w:sz="8" w:space="0" w:color="auto"/>
              <w:right w:val="single" w:sz="8" w:space="0" w:color="auto"/>
            </w:tcBorders>
            <w:shd w:val="clear" w:color="000000" w:fill="D9D9D9"/>
            <w:vAlign w:val="center"/>
            <w:hideMark/>
          </w:tcPr>
          <w:p w14:paraId="1D79BB0C" w14:textId="77777777" w:rsidR="0051718E" w:rsidRPr="00557C2A" w:rsidRDefault="0051718E">
            <w:pPr>
              <w:spacing w:before="0" w:after="0"/>
              <w:jc w:val="center"/>
              <w:rPr>
                <w:rFonts w:eastAsia="Times New Roman"/>
                <w:b/>
                <w:bCs/>
                <w:noProof/>
                <w:color w:val="000000"/>
                <w:sz w:val="20"/>
                <w:szCs w:val="20"/>
              </w:rPr>
            </w:pPr>
            <w:r w:rsidRPr="00557C2A">
              <w:rPr>
                <w:b/>
                <w:noProof/>
                <w:color w:val="000000"/>
                <w:sz w:val="20"/>
              </w:rPr>
              <w:t>0</w:t>
            </w:r>
          </w:p>
        </w:tc>
        <w:tc>
          <w:tcPr>
            <w:tcW w:w="432" w:type="pct"/>
            <w:tcBorders>
              <w:top w:val="nil"/>
              <w:left w:val="nil"/>
              <w:bottom w:val="single" w:sz="8" w:space="0" w:color="auto"/>
              <w:right w:val="single" w:sz="8" w:space="0" w:color="auto"/>
            </w:tcBorders>
            <w:shd w:val="clear" w:color="000000" w:fill="D9D9D9"/>
            <w:vAlign w:val="center"/>
            <w:hideMark/>
          </w:tcPr>
          <w:p w14:paraId="62097EE8" w14:textId="77777777" w:rsidR="0051718E" w:rsidRPr="00557C2A" w:rsidRDefault="0051718E">
            <w:pPr>
              <w:spacing w:before="0" w:after="0"/>
              <w:jc w:val="center"/>
              <w:rPr>
                <w:rFonts w:eastAsia="Times New Roman"/>
                <w:b/>
                <w:bCs/>
                <w:noProof/>
                <w:color w:val="000000"/>
                <w:sz w:val="20"/>
                <w:szCs w:val="20"/>
              </w:rPr>
            </w:pPr>
            <w:r w:rsidRPr="00557C2A">
              <w:rPr>
                <w:b/>
                <w:noProof/>
                <w:color w:val="000000"/>
                <w:sz w:val="20"/>
              </w:rPr>
              <w:t>0,140</w:t>
            </w:r>
          </w:p>
        </w:tc>
        <w:tc>
          <w:tcPr>
            <w:tcW w:w="433" w:type="pct"/>
            <w:tcBorders>
              <w:top w:val="nil"/>
              <w:left w:val="nil"/>
              <w:bottom w:val="single" w:sz="8" w:space="0" w:color="auto"/>
              <w:right w:val="single" w:sz="8" w:space="0" w:color="auto"/>
            </w:tcBorders>
            <w:shd w:val="clear" w:color="000000" w:fill="D9D9D9"/>
            <w:vAlign w:val="center"/>
            <w:hideMark/>
          </w:tcPr>
          <w:p w14:paraId="21566DAD" w14:textId="77777777" w:rsidR="0051718E" w:rsidRPr="00557C2A" w:rsidRDefault="0051718E">
            <w:pPr>
              <w:spacing w:before="0" w:after="0"/>
              <w:jc w:val="center"/>
              <w:rPr>
                <w:rFonts w:eastAsia="Times New Roman"/>
                <w:b/>
                <w:bCs/>
                <w:noProof/>
                <w:color w:val="000000"/>
                <w:sz w:val="20"/>
                <w:szCs w:val="20"/>
                <w:lang w:eastAsia="en-IE"/>
              </w:rPr>
            </w:pPr>
          </w:p>
        </w:tc>
        <w:tc>
          <w:tcPr>
            <w:tcW w:w="433" w:type="pct"/>
            <w:tcBorders>
              <w:top w:val="nil"/>
              <w:left w:val="nil"/>
              <w:bottom w:val="single" w:sz="8" w:space="0" w:color="auto"/>
              <w:right w:val="single" w:sz="8" w:space="0" w:color="auto"/>
            </w:tcBorders>
            <w:shd w:val="clear" w:color="000000" w:fill="D9D9D9"/>
            <w:vAlign w:val="center"/>
            <w:hideMark/>
          </w:tcPr>
          <w:p w14:paraId="0BBA4A7C" w14:textId="77777777" w:rsidR="0051718E" w:rsidRPr="00557C2A" w:rsidRDefault="0051718E">
            <w:pPr>
              <w:spacing w:before="0" w:after="0"/>
              <w:jc w:val="center"/>
              <w:rPr>
                <w:rFonts w:eastAsia="Times New Roman"/>
                <w:b/>
                <w:bCs/>
                <w:noProof/>
                <w:color w:val="000000"/>
                <w:sz w:val="20"/>
                <w:szCs w:val="20"/>
              </w:rPr>
            </w:pPr>
            <w:r w:rsidRPr="00557C2A">
              <w:rPr>
                <w:b/>
                <w:noProof/>
                <w:color w:val="000000"/>
                <w:sz w:val="20"/>
              </w:rPr>
              <w:t>0,140</w:t>
            </w:r>
          </w:p>
        </w:tc>
        <w:tc>
          <w:tcPr>
            <w:tcW w:w="433" w:type="pct"/>
            <w:tcBorders>
              <w:top w:val="nil"/>
              <w:left w:val="nil"/>
              <w:bottom w:val="single" w:sz="8" w:space="0" w:color="auto"/>
              <w:right w:val="single" w:sz="8" w:space="0" w:color="auto"/>
            </w:tcBorders>
            <w:shd w:val="clear" w:color="000000" w:fill="D9D9D9"/>
            <w:vAlign w:val="center"/>
            <w:hideMark/>
          </w:tcPr>
          <w:p w14:paraId="04C83936" w14:textId="77777777" w:rsidR="0051718E" w:rsidRPr="00557C2A" w:rsidRDefault="0051718E">
            <w:pPr>
              <w:spacing w:before="0" w:after="0"/>
              <w:jc w:val="center"/>
              <w:rPr>
                <w:rFonts w:eastAsia="Times New Roman"/>
                <w:b/>
                <w:bCs/>
                <w:noProof/>
                <w:color w:val="000000"/>
                <w:sz w:val="20"/>
                <w:szCs w:val="20"/>
              </w:rPr>
            </w:pPr>
            <w:r w:rsidRPr="00557C2A">
              <w:rPr>
                <w:b/>
                <w:noProof/>
                <w:color w:val="000000"/>
                <w:sz w:val="20"/>
              </w:rPr>
              <w:t>0,070</w:t>
            </w:r>
          </w:p>
        </w:tc>
        <w:tc>
          <w:tcPr>
            <w:tcW w:w="433" w:type="pct"/>
            <w:tcBorders>
              <w:top w:val="nil"/>
              <w:left w:val="nil"/>
              <w:bottom w:val="single" w:sz="8" w:space="0" w:color="auto"/>
              <w:right w:val="single" w:sz="8" w:space="0" w:color="auto"/>
            </w:tcBorders>
            <w:shd w:val="clear" w:color="000000" w:fill="D9D9D9"/>
            <w:vAlign w:val="center"/>
            <w:hideMark/>
          </w:tcPr>
          <w:p w14:paraId="10478F02" w14:textId="77777777" w:rsidR="0051718E" w:rsidRPr="00557C2A" w:rsidRDefault="0051718E">
            <w:pPr>
              <w:spacing w:before="0" w:after="0"/>
              <w:jc w:val="center"/>
              <w:rPr>
                <w:rFonts w:eastAsia="Times New Roman"/>
                <w:b/>
                <w:bCs/>
                <w:noProof/>
                <w:color w:val="000000"/>
                <w:sz w:val="20"/>
                <w:szCs w:val="20"/>
              </w:rPr>
            </w:pPr>
            <w:r w:rsidRPr="00557C2A">
              <w:rPr>
                <w:b/>
                <w:noProof/>
                <w:color w:val="000000"/>
                <w:sz w:val="20"/>
              </w:rPr>
              <w:t>0</w:t>
            </w:r>
          </w:p>
        </w:tc>
        <w:tc>
          <w:tcPr>
            <w:tcW w:w="433" w:type="pct"/>
            <w:tcBorders>
              <w:top w:val="nil"/>
              <w:left w:val="nil"/>
              <w:bottom w:val="single" w:sz="8" w:space="0" w:color="auto"/>
              <w:right w:val="single" w:sz="8" w:space="0" w:color="auto"/>
            </w:tcBorders>
            <w:shd w:val="clear" w:color="000000" w:fill="D9D9D9"/>
            <w:vAlign w:val="center"/>
            <w:hideMark/>
          </w:tcPr>
          <w:p w14:paraId="2445F0A8" w14:textId="77777777" w:rsidR="0051718E" w:rsidRPr="00557C2A" w:rsidRDefault="0051718E">
            <w:pPr>
              <w:spacing w:before="0" w:after="0"/>
              <w:jc w:val="center"/>
              <w:rPr>
                <w:rFonts w:eastAsia="Times New Roman"/>
                <w:b/>
                <w:bCs/>
                <w:noProof/>
                <w:color w:val="000000"/>
                <w:sz w:val="20"/>
                <w:szCs w:val="20"/>
              </w:rPr>
            </w:pPr>
            <w:r w:rsidRPr="00557C2A">
              <w:rPr>
                <w:b/>
                <w:noProof/>
                <w:color w:val="000000"/>
                <w:sz w:val="20"/>
              </w:rPr>
              <w:t>0</w:t>
            </w:r>
          </w:p>
        </w:tc>
        <w:tc>
          <w:tcPr>
            <w:tcW w:w="481" w:type="pct"/>
            <w:tcBorders>
              <w:top w:val="nil"/>
              <w:left w:val="nil"/>
              <w:bottom w:val="single" w:sz="8" w:space="0" w:color="auto"/>
              <w:right w:val="single" w:sz="8" w:space="0" w:color="auto"/>
            </w:tcBorders>
            <w:shd w:val="clear" w:color="000000" w:fill="D9D9D9"/>
            <w:vAlign w:val="center"/>
            <w:hideMark/>
          </w:tcPr>
          <w:p w14:paraId="2A2E27F6" w14:textId="77777777" w:rsidR="0051718E" w:rsidRPr="00557C2A" w:rsidRDefault="0051718E">
            <w:pPr>
              <w:spacing w:before="0" w:after="0"/>
              <w:jc w:val="center"/>
              <w:rPr>
                <w:rFonts w:eastAsia="Times New Roman"/>
                <w:b/>
                <w:bCs/>
                <w:noProof/>
                <w:color w:val="000000"/>
                <w:sz w:val="20"/>
                <w:szCs w:val="20"/>
              </w:rPr>
            </w:pPr>
            <w:r w:rsidRPr="00557C2A">
              <w:rPr>
                <w:b/>
                <w:noProof/>
                <w:color w:val="000000"/>
                <w:sz w:val="20"/>
              </w:rPr>
              <w:t>0,350</w:t>
            </w:r>
          </w:p>
        </w:tc>
      </w:tr>
    </w:tbl>
    <w:p w14:paraId="616D2D9A" w14:textId="77777777" w:rsidR="0051718E" w:rsidRPr="00557C2A" w:rsidRDefault="0051718E" w:rsidP="0051718E">
      <w:pPr>
        <w:pStyle w:val="ManualHeading3"/>
        <w:rPr>
          <w:bCs/>
          <w:noProof/>
          <w:szCs w:val="24"/>
        </w:rPr>
      </w:pPr>
      <w:bookmarkStart w:id="146" w:name="_Toc514938054"/>
      <w:bookmarkStart w:id="147" w:name="_Toc520485053"/>
      <w:bookmarkStart w:id="148" w:name="_Toc160804597"/>
      <w:bookmarkStart w:id="149" w:name="_Toc167220289"/>
      <w:bookmarkStart w:id="150" w:name="_Toc177549022"/>
      <w:r w:rsidRPr="00557C2A">
        <w:rPr>
          <w:noProof/>
        </w:rPr>
        <w:t>3.2.2.</w:t>
      </w:r>
      <w:r w:rsidRPr="00557C2A">
        <w:rPr>
          <w:noProof/>
        </w:rPr>
        <w:tab/>
        <w:t>Geraamde output, gefinancierd uit beleidskredieten</w:t>
      </w:r>
      <w:bookmarkEnd w:id="146"/>
      <w:bookmarkEnd w:id="147"/>
      <w:r w:rsidRPr="00557C2A">
        <w:rPr>
          <w:noProof/>
        </w:rPr>
        <w:t xml:space="preserve"> (niet invullen voor gedecentraliseerde agentschappen)</w:t>
      </w:r>
      <w:bookmarkEnd w:id="148"/>
      <w:bookmarkEnd w:id="149"/>
      <w:bookmarkEnd w:id="150"/>
    </w:p>
    <w:p w14:paraId="347B6954" w14:textId="77777777" w:rsidR="0051718E" w:rsidRPr="00557C2A" w:rsidRDefault="0051718E" w:rsidP="0051718E">
      <w:pPr>
        <w:jc w:val="right"/>
        <w:rPr>
          <w:noProof/>
          <w:sz w:val="20"/>
        </w:rPr>
      </w:pPr>
      <w:r w:rsidRPr="00557C2A">
        <w:rPr>
          <w:noProof/>
          <w:sz w:val="20"/>
        </w:rPr>
        <w:t>Vastleggingskredieten, in miljoenen euro’s (tot op drie decimalen)</w:t>
      </w:r>
    </w:p>
    <w:tbl>
      <w:tblPr>
        <w:tblW w:w="136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23"/>
        <w:gridCol w:w="720"/>
        <w:gridCol w:w="701"/>
        <w:gridCol w:w="504"/>
        <w:gridCol w:w="720"/>
        <w:gridCol w:w="540"/>
        <w:gridCol w:w="720"/>
        <w:gridCol w:w="720"/>
        <w:gridCol w:w="720"/>
        <w:gridCol w:w="900"/>
        <w:gridCol w:w="51"/>
        <w:gridCol w:w="588"/>
        <w:gridCol w:w="621"/>
        <w:gridCol w:w="648"/>
        <w:gridCol w:w="432"/>
        <w:gridCol w:w="720"/>
        <w:gridCol w:w="540"/>
        <w:gridCol w:w="720"/>
        <w:gridCol w:w="720"/>
        <w:gridCol w:w="900"/>
      </w:tblGrid>
      <w:tr w:rsidR="0051718E" w:rsidRPr="00557C2A" w14:paraId="794BBB2E" w14:textId="77777777">
        <w:trPr>
          <w:jc w:val="center"/>
        </w:trPr>
        <w:tc>
          <w:tcPr>
            <w:tcW w:w="1423" w:type="dxa"/>
            <w:vMerge w:val="restart"/>
            <w:vAlign w:val="center"/>
          </w:tcPr>
          <w:p w14:paraId="7D848312" w14:textId="77777777" w:rsidR="0051718E" w:rsidRPr="00557C2A" w:rsidRDefault="0051718E">
            <w:pPr>
              <w:ind w:right="-29"/>
              <w:jc w:val="center"/>
              <w:rPr>
                <w:b/>
                <w:noProof/>
                <w:sz w:val="18"/>
                <w:szCs w:val="18"/>
              </w:rPr>
            </w:pPr>
            <w:r w:rsidRPr="00557C2A">
              <w:rPr>
                <w:b/>
                <w:noProof/>
                <w:sz w:val="18"/>
              </w:rPr>
              <w:t xml:space="preserve">Vermeld doelstellingen en outputs </w:t>
            </w:r>
          </w:p>
          <w:p w14:paraId="5FA53549" w14:textId="77777777" w:rsidR="0051718E" w:rsidRPr="00557C2A" w:rsidRDefault="0051718E">
            <w:pPr>
              <w:ind w:right="-29"/>
              <w:jc w:val="center"/>
              <w:rPr>
                <w:b/>
                <w:noProof/>
                <w:sz w:val="18"/>
                <w:szCs w:val="18"/>
              </w:rPr>
            </w:pPr>
          </w:p>
          <w:p w14:paraId="5FFA1326" w14:textId="77777777" w:rsidR="0051718E" w:rsidRPr="00557C2A" w:rsidRDefault="0051718E">
            <w:pPr>
              <w:ind w:right="-29"/>
              <w:jc w:val="center"/>
              <w:rPr>
                <w:noProof/>
                <w:sz w:val="18"/>
                <w:szCs w:val="18"/>
              </w:rPr>
            </w:pPr>
            <w:r w:rsidRPr="00557C2A">
              <w:rPr>
                <w:rFonts w:ascii="Wingdings" w:hAnsi="Wingdings"/>
                <w:noProof/>
                <w:sz w:val="18"/>
              </w:rPr>
              <w:t></w:t>
            </w:r>
          </w:p>
        </w:tc>
        <w:tc>
          <w:tcPr>
            <w:tcW w:w="720" w:type="dxa"/>
            <w:vAlign w:val="center"/>
          </w:tcPr>
          <w:p w14:paraId="17BD8CA6" w14:textId="77777777" w:rsidR="0051718E" w:rsidRPr="00557C2A" w:rsidRDefault="0051718E">
            <w:pPr>
              <w:ind w:right="-29"/>
              <w:jc w:val="center"/>
              <w:rPr>
                <w:noProof/>
                <w:sz w:val="18"/>
                <w:szCs w:val="18"/>
              </w:rPr>
            </w:pPr>
          </w:p>
        </w:tc>
        <w:tc>
          <w:tcPr>
            <w:tcW w:w="701" w:type="dxa"/>
            <w:vAlign w:val="center"/>
          </w:tcPr>
          <w:p w14:paraId="5DC968BC" w14:textId="77777777" w:rsidR="0051718E" w:rsidRPr="00557C2A" w:rsidRDefault="0051718E">
            <w:pPr>
              <w:ind w:right="-29"/>
              <w:jc w:val="center"/>
              <w:rPr>
                <w:noProof/>
                <w:sz w:val="18"/>
                <w:szCs w:val="18"/>
              </w:rPr>
            </w:pPr>
          </w:p>
        </w:tc>
        <w:tc>
          <w:tcPr>
            <w:tcW w:w="1224" w:type="dxa"/>
            <w:gridSpan w:val="2"/>
            <w:tcBorders>
              <w:left w:val="nil"/>
            </w:tcBorders>
            <w:vAlign w:val="center"/>
          </w:tcPr>
          <w:p w14:paraId="12C3E97D" w14:textId="77777777" w:rsidR="0051718E" w:rsidRPr="00557C2A" w:rsidRDefault="0051718E">
            <w:pPr>
              <w:ind w:right="-29"/>
              <w:jc w:val="center"/>
              <w:rPr>
                <w:noProof/>
                <w:sz w:val="18"/>
                <w:szCs w:val="18"/>
              </w:rPr>
            </w:pPr>
            <w:r w:rsidRPr="00557C2A">
              <w:rPr>
                <w:noProof/>
              </w:rPr>
              <w:t xml:space="preserve">Jaar  </w:t>
            </w:r>
            <w:r w:rsidRPr="00557C2A">
              <w:rPr>
                <w:noProof/>
              </w:rPr>
              <w:br/>
            </w:r>
            <w:r w:rsidRPr="00557C2A">
              <w:rPr>
                <w:b/>
                <w:bCs/>
                <w:noProof/>
              </w:rPr>
              <w:t>2028</w:t>
            </w:r>
          </w:p>
        </w:tc>
        <w:tc>
          <w:tcPr>
            <w:tcW w:w="1260" w:type="dxa"/>
            <w:gridSpan w:val="2"/>
            <w:vAlign w:val="center"/>
          </w:tcPr>
          <w:p w14:paraId="00E11730" w14:textId="77777777" w:rsidR="0051718E" w:rsidRPr="00557C2A" w:rsidRDefault="0051718E">
            <w:pPr>
              <w:ind w:right="-29"/>
              <w:jc w:val="center"/>
              <w:rPr>
                <w:noProof/>
                <w:sz w:val="18"/>
                <w:szCs w:val="18"/>
              </w:rPr>
            </w:pPr>
            <w:r w:rsidRPr="00557C2A">
              <w:rPr>
                <w:noProof/>
              </w:rPr>
              <w:t xml:space="preserve">Jaar  </w:t>
            </w:r>
            <w:r w:rsidRPr="00557C2A">
              <w:rPr>
                <w:noProof/>
              </w:rPr>
              <w:br/>
            </w:r>
            <w:r w:rsidRPr="00557C2A">
              <w:rPr>
                <w:b/>
                <w:bCs/>
                <w:noProof/>
              </w:rPr>
              <w:t>2029</w:t>
            </w:r>
          </w:p>
        </w:tc>
        <w:tc>
          <w:tcPr>
            <w:tcW w:w="1440" w:type="dxa"/>
            <w:gridSpan w:val="2"/>
            <w:vAlign w:val="center"/>
          </w:tcPr>
          <w:p w14:paraId="56433772" w14:textId="77777777" w:rsidR="0051718E" w:rsidRPr="00557C2A" w:rsidRDefault="0051718E">
            <w:pPr>
              <w:ind w:right="-29"/>
              <w:jc w:val="center"/>
              <w:rPr>
                <w:noProof/>
                <w:sz w:val="18"/>
                <w:szCs w:val="18"/>
              </w:rPr>
            </w:pPr>
            <w:r w:rsidRPr="00557C2A">
              <w:rPr>
                <w:noProof/>
              </w:rPr>
              <w:t xml:space="preserve">Jaar  </w:t>
            </w:r>
            <w:r w:rsidRPr="00557C2A">
              <w:rPr>
                <w:noProof/>
              </w:rPr>
              <w:br/>
            </w:r>
            <w:r w:rsidRPr="00557C2A">
              <w:rPr>
                <w:b/>
                <w:bCs/>
                <w:noProof/>
              </w:rPr>
              <w:t>2030</w:t>
            </w:r>
          </w:p>
        </w:tc>
        <w:tc>
          <w:tcPr>
            <w:tcW w:w="1539" w:type="dxa"/>
            <w:gridSpan w:val="3"/>
            <w:vAlign w:val="center"/>
          </w:tcPr>
          <w:p w14:paraId="6BB2F44B" w14:textId="77777777" w:rsidR="0051718E" w:rsidRPr="00557C2A" w:rsidRDefault="0051718E">
            <w:pPr>
              <w:ind w:right="-29"/>
              <w:jc w:val="center"/>
              <w:rPr>
                <w:noProof/>
                <w:sz w:val="18"/>
                <w:szCs w:val="18"/>
              </w:rPr>
            </w:pPr>
            <w:r w:rsidRPr="00557C2A">
              <w:rPr>
                <w:noProof/>
              </w:rPr>
              <w:t xml:space="preserve">Jaar  </w:t>
            </w:r>
            <w:r w:rsidRPr="00557C2A">
              <w:rPr>
                <w:noProof/>
              </w:rPr>
              <w:br/>
            </w:r>
            <w:r w:rsidRPr="00557C2A">
              <w:rPr>
                <w:b/>
                <w:bCs/>
                <w:noProof/>
              </w:rPr>
              <w:t>2031</w:t>
            </w:r>
          </w:p>
        </w:tc>
        <w:tc>
          <w:tcPr>
            <w:tcW w:w="3681" w:type="dxa"/>
            <w:gridSpan w:val="6"/>
            <w:vAlign w:val="center"/>
          </w:tcPr>
          <w:p w14:paraId="4B52CB6B" w14:textId="77777777" w:rsidR="0051718E" w:rsidRPr="00557C2A" w:rsidRDefault="0051718E">
            <w:pPr>
              <w:jc w:val="center"/>
              <w:rPr>
                <w:noProof/>
                <w:sz w:val="18"/>
                <w:szCs w:val="18"/>
              </w:rPr>
            </w:pPr>
            <w:r w:rsidRPr="00557C2A">
              <w:rPr>
                <w:noProof/>
                <w:sz w:val="18"/>
              </w:rPr>
              <w:t>Vul zoveel jaren in als nodig om de duur van de gevolgen weer te geven (zie punt 1.6)</w:t>
            </w:r>
          </w:p>
        </w:tc>
        <w:tc>
          <w:tcPr>
            <w:tcW w:w="1620" w:type="dxa"/>
            <w:gridSpan w:val="2"/>
            <w:tcBorders>
              <w:left w:val="nil"/>
              <w:bottom w:val="nil"/>
            </w:tcBorders>
            <w:vAlign w:val="center"/>
          </w:tcPr>
          <w:p w14:paraId="4252B08C" w14:textId="77777777" w:rsidR="0051718E" w:rsidRPr="00557C2A" w:rsidRDefault="0051718E">
            <w:pPr>
              <w:ind w:right="-29"/>
              <w:jc w:val="center"/>
              <w:rPr>
                <w:noProof/>
                <w:sz w:val="18"/>
                <w:szCs w:val="18"/>
              </w:rPr>
            </w:pPr>
            <w:r w:rsidRPr="00557C2A">
              <w:rPr>
                <w:b/>
                <w:noProof/>
                <w:sz w:val="18"/>
              </w:rPr>
              <w:t>TOTAAL</w:t>
            </w:r>
          </w:p>
        </w:tc>
      </w:tr>
      <w:tr w:rsidR="0051718E" w:rsidRPr="00557C2A" w14:paraId="47040137" w14:textId="77777777">
        <w:trPr>
          <w:jc w:val="center"/>
        </w:trPr>
        <w:tc>
          <w:tcPr>
            <w:tcW w:w="1423" w:type="dxa"/>
            <w:vMerge/>
            <w:vAlign w:val="center"/>
          </w:tcPr>
          <w:p w14:paraId="6958C91F" w14:textId="77777777" w:rsidR="0051718E" w:rsidRPr="00557C2A" w:rsidRDefault="0051718E">
            <w:pPr>
              <w:ind w:right="-29"/>
              <w:jc w:val="center"/>
              <w:rPr>
                <w:noProof/>
                <w:sz w:val="18"/>
                <w:szCs w:val="18"/>
              </w:rPr>
            </w:pPr>
          </w:p>
        </w:tc>
        <w:tc>
          <w:tcPr>
            <w:tcW w:w="12185" w:type="dxa"/>
            <w:gridSpan w:val="19"/>
            <w:vAlign w:val="center"/>
          </w:tcPr>
          <w:p w14:paraId="0E289C62" w14:textId="77777777" w:rsidR="0051718E" w:rsidRPr="00557C2A" w:rsidRDefault="0051718E">
            <w:pPr>
              <w:spacing w:before="60" w:after="60"/>
              <w:ind w:right="-29"/>
              <w:jc w:val="center"/>
              <w:rPr>
                <w:noProof/>
                <w:sz w:val="18"/>
                <w:szCs w:val="18"/>
              </w:rPr>
            </w:pPr>
            <w:r w:rsidRPr="00557C2A">
              <w:rPr>
                <w:b/>
                <w:noProof/>
                <w:sz w:val="18"/>
              </w:rPr>
              <w:t>OUTPUTS</w:t>
            </w:r>
          </w:p>
        </w:tc>
      </w:tr>
      <w:tr w:rsidR="006A3F1E" w:rsidRPr="00557C2A" w14:paraId="3E1F34DC" w14:textId="77777777" w:rsidTr="1BDB167A">
        <w:trPr>
          <w:cantSplit/>
          <w:trHeight w:val="1134"/>
          <w:jc w:val="center"/>
        </w:trPr>
        <w:tc>
          <w:tcPr>
            <w:tcW w:w="1423" w:type="dxa"/>
            <w:vMerge/>
            <w:vAlign w:val="center"/>
          </w:tcPr>
          <w:p w14:paraId="7FAF7BDC" w14:textId="77777777" w:rsidR="0051718E" w:rsidRPr="00557C2A" w:rsidRDefault="0051718E">
            <w:pPr>
              <w:rPr>
                <w:noProof/>
                <w:sz w:val="18"/>
                <w:szCs w:val="18"/>
              </w:rPr>
            </w:pPr>
          </w:p>
        </w:tc>
        <w:tc>
          <w:tcPr>
            <w:tcW w:w="720" w:type="dxa"/>
            <w:vAlign w:val="center"/>
          </w:tcPr>
          <w:p w14:paraId="0A2FA1CF" w14:textId="77777777" w:rsidR="0051718E" w:rsidRPr="00557C2A" w:rsidRDefault="0051718E">
            <w:pPr>
              <w:jc w:val="center"/>
              <w:rPr>
                <w:noProof/>
                <w:sz w:val="18"/>
                <w:szCs w:val="18"/>
              </w:rPr>
            </w:pPr>
            <w:r w:rsidRPr="00557C2A">
              <w:rPr>
                <w:noProof/>
                <w:sz w:val="18"/>
              </w:rPr>
              <w:t>Soort</w:t>
            </w:r>
            <w:r w:rsidRPr="00557C2A">
              <w:rPr>
                <w:rStyle w:val="FootnoteReference"/>
                <w:noProof/>
                <w:sz w:val="18"/>
                <w:szCs w:val="18"/>
              </w:rPr>
              <w:footnoteReference w:id="61"/>
            </w:r>
          </w:p>
          <w:p w14:paraId="605F317A" w14:textId="77777777" w:rsidR="0051718E" w:rsidRPr="00557C2A" w:rsidRDefault="0051718E">
            <w:pPr>
              <w:spacing w:before="0" w:after="0"/>
              <w:jc w:val="center"/>
              <w:rPr>
                <w:noProof/>
                <w:sz w:val="18"/>
                <w:szCs w:val="18"/>
              </w:rPr>
            </w:pPr>
          </w:p>
        </w:tc>
        <w:tc>
          <w:tcPr>
            <w:tcW w:w="701" w:type="dxa"/>
            <w:vAlign w:val="center"/>
          </w:tcPr>
          <w:p w14:paraId="3EFA06C3" w14:textId="77777777" w:rsidR="0051718E" w:rsidRPr="00557C2A" w:rsidRDefault="0051718E">
            <w:pPr>
              <w:jc w:val="center"/>
              <w:rPr>
                <w:noProof/>
                <w:sz w:val="18"/>
                <w:szCs w:val="18"/>
              </w:rPr>
            </w:pPr>
            <w:r w:rsidRPr="00557C2A">
              <w:rPr>
                <w:noProof/>
                <w:sz w:val="18"/>
              </w:rPr>
              <w:t>Gem. kosten</w:t>
            </w:r>
          </w:p>
        </w:tc>
        <w:tc>
          <w:tcPr>
            <w:tcW w:w="504" w:type="dxa"/>
            <w:tcBorders>
              <w:left w:val="nil"/>
              <w:right w:val="dashSmallGap" w:sz="4" w:space="0" w:color="auto"/>
            </w:tcBorders>
            <w:textDirection w:val="btLr"/>
            <w:vAlign w:val="center"/>
          </w:tcPr>
          <w:p w14:paraId="18E240D5" w14:textId="77777777" w:rsidR="0051718E" w:rsidRPr="00557C2A" w:rsidRDefault="0051718E">
            <w:pPr>
              <w:ind w:left="113" w:right="113"/>
              <w:jc w:val="center"/>
              <w:rPr>
                <w:noProof/>
                <w:sz w:val="18"/>
                <w:szCs w:val="18"/>
              </w:rPr>
            </w:pPr>
            <w:r w:rsidRPr="00557C2A">
              <w:rPr>
                <w:noProof/>
                <w:sz w:val="18"/>
              </w:rPr>
              <w:t>Aantal</w:t>
            </w:r>
          </w:p>
        </w:tc>
        <w:tc>
          <w:tcPr>
            <w:tcW w:w="720" w:type="dxa"/>
            <w:tcBorders>
              <w:left w:val="dashSmallGap" w:sz="4" w:space="0" w:color="auto"/>
            </w:tcBorders>
            <w:vAlign w:val="center"/>
          </w:tcPr>
          <w:p w14:paraId="3ADDE4A0" w14:textId="77777777" w:rsidR="0051718E" w:rsidRPr="00557C2A" w:rsidRDefault="0051718E">
            <w:pPr>
              <w:jc w:val="center"/>
              <w:rPr>
                <w:noProof/>
                <w:sz w:val="18"/>
                <w:szCs w:val="18"/>
              </w:rPr>
            </w:pPr>
            <w:r w:rsidRPr="00557C2A">
              <w:rPr>
                <w:noProof/>
                <w:sz w:val="18"/>
              </w:rPr>
              <w:t>Kosten</w:t>
            </w:r>
          </w:p>
        </w:tc>
        <w:tc>
          <w:tcPr>
            <w:tcW w:w="540" w:type="dxa"/>
            <w:tcBorders>
              <w:right w:val="dashSmallGap" w:sz="4" w:space="0" w:color="auto"/>
            </w:tcBorders>
            <w:textDirection w:val="btLr"/>
            <w:vAlign w:val="center"/>
          </w:tcPr>
          <w:p w14:paraId="6D989F45" w14:textId="77777777" w:rsidR="0051718E" w:rsidRPr="00557C2A" w:rsidRDefault="0051718E">
            <w:pPr>
              <w:ind w:left="113" w:right="113"/>
              <w:jc w:val="center"/>
              <w:rPr>
                <w:noProof/>
                <w:sz w:val="18"/>
                <w:szCs w:val="18"/>
              </w:rPr>
            </w:pPr>
            <w:r w:rsidRPr="00557C2A">
              <w:rPr>
                <w:noProof/>
                <w:sz w:val="18"/>
              </w:rPr>
              <w:t>Aantal</w:t>
            </w:r>
          </w:p>
        </w:tc>
        <w:tc>
          <w:tcPr>
            <w:tcW w:w="720" w:type="dxa"/>
            <w:tcBorders>
              <w:left w:val="dashSmallGap" w:sz="4" w:space="0" w:color="auto"/>
            </w:tcBorders>
            <w:vAlign w:val="center"/>
          </w:tcPr>
          <w:p w14:paraId="13230F68" w14:textId="77777777" w:rsidR="0051718E" w:rsidRPr="00557C2A" w:rsidRDefault="0051718E">
            <w:pPr>
              <w:jc w:val="center"/>
              <w:rPr>
                <w:noProof/>
                <w:sz w:val="18"/>
                <w:szCs w:val="18"/>
              </w:rPr>
            </w:pPr>
            <w:r w:rsidRPr="00557C2A">
              <w:rPr>
                <w:noProof/>
                <w:sz w:val="18"/>
              </w:rPr>
              <w:t>Kosten</w:t>
            </w:r>
          </w:p>
        </w:tc>
        <w:tc>
          <w:tcPr>
            <w:tcW w:w="720" w:type="dxa"/>
            <w:tcBorders>
              <w:right w:val="dashSmallGap" w:sz="4" w:space="0" w:color="auto"/>
            </w:tcBorders>
            <w:textDirection w:val="btLr"/>
            <w:vAlign w:val="center"/>
          </w:tcPr>
          <w:p w14:paraId="4312CDA4" w14:textId="77777777" w:rsidR="0051718E" w:rsidRPr="00557C2A" w:rsidRDefault="0051718E">
            <w:pPr>
              <w:ind w:left="113" w:right="113"/>
              <w:jc w:val="center"/>
              <w:rPr>
                <w:noProof/>
                <w:sz w:val="18"/>
                <w:szCs w:val="18"/>
              </w:rPr>
            </w:pPr>
            <w:r w:rsidRPr="00557C2A">
              <w:rPr>
                <w:noProof/>
                <w:sz w:val="18"/>
              </w:rPr>
              <w:t>Aantal</w:t>
            </w:r>
          </w:p>
        </w:tc>
        <w:tc>
          <w:tcPr>
            <w:tcW w:w="720" w:type="dxa"/>
            <w:tcBorders>
              <w:left w:val="dashSmallGap" w:sz="4" w:space="0" w:color="auto"/>
            </w:tcBorders>
            <w:vAlign w:val="center"/>
          </w:tcPr>
          <w:p w14:paraId="4367E3A5" w14:textId="77777777" w:rsidR="0051718E" w:rsidRPr="00557C2A" w:rsidRDefault="0051718E">
            <w:pPr>
              <w:jc w:val="center"/>
              <w:rPr>
                <w:noProof/>
                <w:sz w:val="18"/>
                <w:szCs w:val="18"/>
              </w:rPr>
            </w:pPr>
            <w:r w:rsidRPr="00557C2A">
              <w:rPr>
                <w:noProof/>
                <w:sz w:val="18"/>
              </w:rPr>
              <w:t>Kosten</w:t>
            </w:r>
          </w:p>
        </w:tc>
        <w:tc>
          <w:tcPr>
            <w:tcW w:w="900" w:type="dxa"/>
            <w:tcBorders>
              <w:right w:val="dashSmallGap" w:sz="4" w:space="0" w:color="auto"/>
            </w:tcBorders>
            <w:textDirection w:val="btLr"/>
            <w:vAlign w:val="center"/>
          </w:tcPr>
          <w:p w14:paraId="03950D55" w14:textId="77777777" w:rsidR="0051718E" w:rsidRPr="00557C2A" w:rsidRDefault="0051718E">
            <w:pPr>
              <w:ind w:left="113" w:right="113"/>
              <w:jc w:val="center"/>
              <w:rPr>
                <w:noProof/>
                <w:sz w:val="18"/>
                <w:szCs w:val="18"/>
              </w:rPr>
            </w:pPr>
            <w:r w:rsidRPr="00557C2A">
              <w:rPr>
                <w:noProof/>
                <w:sz w:val="18"/>
              </w:rPr>
              <w:t>Aantal</w:t>
            </w:r>
          </w:p>
        </w:tc>
        <w:tc>
          <w:tcPr>
            <w:tcW w:w="639" w:type="dxa"/>
            <w:gridSpan w:val="2"/>
            <w:tcBorders>
              <w:left w:val="dashSmallGap" w:sz="4" w:space="0" w:color="auto"/>
            </w:tcBorders>
            <w:vAlign w:val="center"/>
          </w:tcPr>
          <w:p w14:paraId="082D27EF" w14:textId="77777777" w:rsidR="0051718E" w:rsidRPr="00557C2A" w:rsidRDefault="0051718E">
            <w:pPr>
              <w:jc w:val="center"/>
              <w:rPr>
                <w:noProof/>
                <w:sz w:val="18"/>
                <w:szCs w:val="18"/>
              </w:rPr>
            </w:pPr>
            <w:r w:rsidRPr="00557C2A">
              <w:rPr>
                <w:noProof/>
                <w:sz w:val="18"/>
              </w:rPr>
              <w:t>Kosten</w:t>
            </w:r>
          </w:p>
        </w:tc>
        <w:tc>
          <w:tcPr>
            <w:tcW w:w="621" w:type="dxa"/>
            <w:tcBorders>
              <w:right w:val="dashSmallGap" w:sz="4" w:space="0" w:color="auto"/>
            </w:tcBorders>
            <w:textDirection w:val="btLr"/>
            <w:vAlign w:val="center"/>
          </w:tcPr>
          <w:p w14:paraId="4761BC30" w14:textId="77777777" w:rsidR="0051718E" w:rsidRPr="00557C2A" w:rsidRDefault="0051718E">
            <w:pPr>
              <w:ind w:left="113" w:right="113"/>
              <w:jc w:val="center"/>
              <w:rPr>
                <w:noProof/>
                <w:sz w:val="18"/>
                <w:szCs w:val="18"/>
              </w:rPr>
            </w:pPr>
            <w:r w:rsidRPr="00557C2A">
              <w:rPr>
                <w:noProof/>
                <w:sz w:val="18"/>
              </w:rPr>
              <w:t>Aantal</w:t>
            </w:r>
          </w:p>
        </w:tc>
        <w:tc>
          <w:tcPr>
            <w:tcW w:w="648" w:type="dxa"/>
            <w:tcBorders>
              <w:left w:val="dashSmallGap" w:sz="4" w:space="0" w:color="auto"/>
            </w:tcBorders>
            <w:vAlign w:val="center"/>
          </w:tcPr>
          <w:p w14:paraId="0B7D5867" w14:textId="77777777" w:rsidR="0051718E" w:rsidRPr="00557C2A" w:rsidRDefault="0051718E">
            <w:pPr>
              <w:jc w:val="center"/>
              <w:rPr>
                <w:noProof/>
                <w:sz w:val="18"/>
                <w:szCs w:val="18"/>
              </w:rPr>
            </w:pPr>
            <w:r w:rsidRPr="00557C2A">
              <w:rPr>
                <w:noProof/>
                <w:sz w:val="18"/>
              </w:rPr>
              <w:t>Kosten</w:t>
            </w:r>
          </w:p>
        </w:tc>
        <w:tc>
          <w:tcPr>
            <w:tcW w:w="432" w:type="dxa"/>
            <w:tcBorders>
              <w:right w:val="dashSmallGap" w:sz="4" w:space="0" w:color="auto"/>
            </w:tcBorders>
            <w:textDirection w:val="btLr"/>
            <w:vAlign w:val="center"/>
          </w:tcPr>
          <w:p w14:paraId="62B52E86" w14:textId="77777777" w:rsidR="0051718E" w:rsidRPr="00557C2A" w:rsidRDefault="0051718E">
            <w:pPr>
              <w:ind w:left="113" w:right="113"/>
              <w:jc w:val="center"/>
              <w:rPr>
                <w:noProof/>
                <w:sz w:val="18"/>
                <w:szCs w:val="18"/>
              </w:rPr>
            </w:pPr>
            <w:r w:rsidRPr="00557C2A">
              <w:rPr>
                <w:noProof/>
                <w:sz w:val="18"/>
              </w:rPr>
              <w:t>Aantal</w:t>
            </w:r>
          </w:p>
        </w:tc>
        <w:tc>
          <w:tcPr>
            <w:tcW w:w="720" w:type="dxa"/>
            <w:tcBorders>
              <w:left w:val="dashSmallGap" w:sz="4" w:space="0" w:color="auto"/>
            </w:tcBorders>
            <w:vAlign w:val="center"/>
          </w:tcPr>
          <w:p w14:paraId="5BC6B2FA" w14:textId="77777777" w:rsidR="0051718E" w:rsidRPr="00557C2A" w:rsidRDefault="0051718E">
            <w:pPr>
              <w:jc w:val="center"/>
              <w:rPr>
                <w:noProof/>
                <w:sz w:val="18"/>
                <w:szCs w:val="18"/>
              </w:rPr>
            </w:pPr>
            <w:r w:rsidRPr="00557C2A">
              <w:rPr>
                <w:noProof/>
                <w:sz w:val="18"/>
              </w:rPr>
              <w:t>Kosten</w:t>
            </w:r>
          </w:p>
        </w:tc>
        <w:tc>
          <w:tcPr>
            <w:tcW w:w="540" w:type="dxa"/>
            <w:tcBorders>
              <w:right w:val="dashSmallGap" w:sz="4" w:space="0" w:color="auto"/>
            </w:tcBorders>
            <w:textDirection w:val="btLr"/>
            <w:vAlign w:val="center"/>
          </w:tcPr>
          <w:p w14:paraId="70CD1B07" w14:textId="77777777" w:rsidR="0051718E" w:rsidRPr="00557C2A" w:rsidRDefault="0051718E">
            <w:pPr>
              <w:ind w:left="113" w:right="113"/>
              <w:jc w:val="center"/>
              <w:rPr>
                <w:noProof/>
                <w:sz w:val="18"/>
                <w:szCs w:val="18"/>
              </w:rPr>
            </w:pPr>
            <w:r w:rsidRPr="00557C2A">
              <w:rPr>
                <w:noProof/>
                <w:sz w:val="18"/>
              </w:rPr>
              <w:t>Aantal</w:t>
            </w:r>
          </w:p>
        </w:tc>
        <w:tc>
          <w:tcPr>
            <w:tcW w:w="720" w:type="dxa"/>
            <w:tcBorders>
              <w:left w:val="dashSmallGap" w:sz="4" w:space="0" w:color="auto"/>
            </w:tcBorders>
            <w:vAlign w:val="center"/>
          </w:tcPr>
          <w:p w14:paraId="0792BF34" w14:textId="77777777" w:rsidR="0051718E" w:rsidRPr="00557C2A" w:rsidRDefault="0051718E">
            <w:pPr>
              <w:jc w:val="center"/>
              <w:rPr>
                <w:noProof/>
                <w:sz w:val="18"/>
                <w:szCs w:val="18"/>
              </w:rPr>
            </w:pPr>
            <w:r w:rsidRPr="00557C2A">
              <w:rPr>
                <w:noProof/>
                <w:sz w:val="18"/>
              </w:rPr>
              <w:t>Kosten</w:t>
            </w:r>
          </w:p>
        </w:tc>
        <w:tc>
          <w:tcPr>
            <w:tcW w:w="720" w:type="dxa"/>
            <w:tcBorders>
              <w:right w:val="dashSmallGap" w:sz="4" w:space="0" w:color="auto"/>
            </w:tcBorders>
            <w:vAlign w:val="center"/>
          </w:tcPr>
          <w:p w14:paraId="23BDD17C" w14:textId="77777777" w:rsidR="0051718E" w:rsidRPr="00557C2A" w:rsidRDefault="0051718E">
            <w:pPr>
              <w:jc w:val="center"/>
              <w:rPr>
                <w:noProof/>
                <w:sz w:val="18"/>
                <w:szCs w:val="18"/>
              </w:rPr>
            </w:pPr>
            <w:r w:rsidRPr="00557C2A">
              <w:rPr>
                <w:noProof/>
                <w:sz w:val="18"/>
              </w:rPr>
              <w:t>Totaal aantal</w:t>
            </w:r>
          </w:p>
        </w:tc>
        <w:tc>
          <w:tcPr>
            <w:tcW w:w="900" w:type="dxa"/>
            <w:tcBorders>
              <w:left w:val="dashSmallGap" w:sz="4" w:space="0" w:color="auto"/>
            </w:tcBorders>
            <w:vAlign w:val="center"/>
          </w:tcPr>
          <w:p w14:paraId="441A403D" w14:textId="77777777" w:rsidR="0051718E" w:rsidRPr="00557C2A" w:rsidRDefault="0051718E">
            <w:pPr>
              <w:jc w:val="center"/>
              <w:rPr>
                <w:noProof/>
                <w:sz w:val="18"/>
                <w:szCs w:val="18"/>
              </w:rPr>
            </w:pPr>
            <w:r w:rsidRPr="00557C2A">
              <w:rPr>
                <w:noProof/>
                <w:sz w:val="18"/>
              </w:rPr>
              <w:t>Totale kosten</w:t>
            </w:r>
          </w:p>
        </w:tc>
      </w:tr>
      <w:tr w:rsidR="0051718E" w:rsidRPr="00557C2A" w14:paraId="400F5FFC" w14:textId="77777777">
        <w:trPr>
          <w:jc w:val="center"/>
        </w:trPr>
        <w:tc>
          <w:tcPr>
            <w:tcW w:w="2844" w:type="dxa"/>
            <w:gridSpan w:val="3"/>
            <w:vAlign w:val="center"/>
          </w:tcPr>
          <w:p w14:paraId="4E3BA773" w14:textId="77777777" w:rsidR="0051718E" w:rsidRPr="00557C2A" w:rsidRDefault="0051718E">
            <w:pPr>
              <w:spacing w:before="60" w:after="60"/>
              <w:ind w:right="-29"/>
              <w:jc w:val="center"/>
              <w:rPr>
                <w:noProof/>
                <w:sz w:val="18"/>
                <w:szCs w:val="18"/>
              </w:rPr>
            </w:pPr>
            <w:r w:rsidRPr="00557C2A">
              <w:rPr>
                <w:noProof/>
                <w:sz w:val="18"/>
              </w:rPr>
              <w:t>SPECIFIEKE DOELSTELLING NR. 1</w:t>
            </w:r>
            <w:r w:rsidRPr="00557C2A">
              <w:rPr>
                <w:rStyle w:val="FootnoteReference"/>
                <w:noProof/>
                <w:sz w:val="18"/>
                <w:szCs w:val="18"/>
              </w:rPr>
              <w:footnoteReference w:id="62"/>
            </w:r>
            <w:r w:rsidRPr="00557C2A">
              <w:rPr>
                <w:noProof/>
                <w:sz w:val="18"/>
              </w:rPr>
              <w:t>…</w:t>
            </w:r>
          </w:p>
        </w:tc>
        <w:tc>
          <w:tcPr>
            <w:tcW w:w="504" w:type="dxa"/>
            <w:tcBorders>
              <w:top w:val="nil"/>
              <w:left w:val="nil"/>
              <w:bottom w:val="nil"/>
              <w:right w:val="nil"/>
            </w:tcBorders>
          </w:tcPr>
          <w:p w14:paraId="6193C436" w14:textId="77777777" w:rsidR="0051718E" w:rsidRPr="00557C2A" w:rsidRDefault="0051718E">
            <w:pPr>
              <w:spacing w:before="60" w:after="60"/>
              <w:ind w:right="-29"/>
              <w:jc w:val="center"/>
              <w:rPr>
                <w:noProof/>
                <w:sz w:val="18"/>
                <w:szCs w:val="18"/>
              </w:rPr>
            </w:pPr>
          </w:p>
        </w:tc>
        <w:tc>
          <w:tcPr>
            <w:tcW w:w="720" w:type="dxa"/>
            <w:tcBorders>
              <w:top w:val="nil"/>
              <w:left w:val="nil"/>
              <w:bottom w:val="nil"/>
              <w:right w:val="nil"/>
            </w:tcBorders>
          </w:tcPr>
          <w:p w14:paraId="7CDB38DC" w14:textId="77777777" w:rsidR="0051718E" w:rsidRPr="00557C2A" w:rsidRDefault="0051718E">
            <w:pPr>
              <w:spacing w:before="60" w:after="60"/>
              <w:ind w:right="-29"/>
              <w:jc w:val="center"/>
              <w:rPr>
                <w:noProof/>
                <w:sz w:val="18"/>
                <w:szCs w:val="18"/>
              </w:rPr>
            </w:pPr>
          </w:p>
        </w:tc>
        <w:tc>
          <w:tcPr>
            <w:tcW w:w="540" w:type="dxa"/>
            <w:tcBorders>
              <w:top w:val="nil"/>
              <w:left w:val="nil"/>
              <w:bottom w:val="nil"/>
              <w:right w:val="nil"/>
            </w:tcBorders>
          </w:tcPr>
          <w:p w14:paraId="012149AF" w14:textId="77777777" w:rsidR="0051718E" w:rsidRPr="00557C2A" w:rsidRDefault="0051718E">
            <w:pPr>
              <w:spacing w:before="60" w:after="60"/>
              <w:ind w:right="-29"/>
              <w:jc w:val="center"/>
              <w:rPr>
                <w:noProof/>
                <w:sz w:val="18"/>
                <w:szCs w:val="18"/>
              </w:rPr>
            </w:pPr>
          </w:p>
        </w:tc>
        <w:tc>
          <w:tcPr>
            <w:tcW w:w="720" w:type="dxa"/>
            <w:tcBorders>
              <w:top w:val="nil"/>
              <w:left w:val="nil"/>
              <w:bottom w:val="nil"/>
              <w:right w:val="nil"/>
            </w:tcBorders>
          </w:tcPr>
          <w:p w14:paraId="7514787E" w14:textId="77777777" w:rsidR="0051718E" w:rsidRPr="00557C2A" w:rsidRDefault="0051718E">
            <w:pPr>
              <w:spacing w:before="60" w:after="60"/>
              <w:ind w:right="-29"/>
              <w:jc w:val="center"/>
              <w:rPr>
                <w:noProof/>
                <w:sz w:val="18"/>
                <w:szCs w:val="18"/>
              </w:rPr>
            </w:pPr>
          </w:p>
        </w:tc>
        <w:tc>
          <w:tcPr>
            <w:tcW w:w="720" w:type="dxa"/>
            <w:tcBorders>
              <w:top w:val="nil"/>
              <w:left w:val="nil"/>
              <w:bottom w:val="nil"/>
              <w:right w:val="nil"/>
            </w:tcBorders>
          </w:tcPr>
          <w:p w14:paraId="2D5F6346" w14:textId="77777777" w:rsidR="0051718E" w:rsidRPr="00557C2A" w:rsidRDefault="0051718E">
            <w:pPr>
              <w:spacing w:before="60" w:after="60"/>
              <w:ind w:right="-29"/>
              <w:jc w:val="center"/>
              <w:rPr>
                <w:noProof/>
                <w:sz w:val="18"/>
                <w:szCs w:val="18"/>
              </w:rPr>
            </w:pPr>
          </w:p>
        </w:tc>
        <w:tc>
          <w:tcPr>
            <w:tcW w:w="720" w:type="dxa"/>
            <w:tcBorders>
              <w:top w:val="nil"/>
              <w:left w:val="nil"/>
              <w:bottom w:val="nil"/>
              <w:right w:val="nil"/>
            </w:tcBorders>
          </w:tcPr>
          <w:p w14:paraId="3F705038" w14:textId="77777777" w:rsidR="0051718E" w:rsidRPr="00557C2A" w:rsidRDefault="0051718E">
            <w:pPr>
              <w:spacing w:before="60" w:after="60"/>
              <w:ind w:right="-29"/>
              <w:jc w:val="center"/>
              <w:rPr>
                <w:noProof/>
                <w:sz w:val="18"/>
                <w:szCs w:val="18"/>
              </w:rPr>
            </w:pPr>
          </w:p>
        </w:tc>
        <w:tc>
          <w:tcPr>
            <w:tcW w:w="900" w:type="dxa"/>
            <w:tcBorders>
              <w:top w:val="nil"/>
              <w:left w:val="nil"/>
              <w:bottom w:val="nil"/>
              <w:right w:val="nil"/>
            </w:tcBorders>
          </w:tcPr>
          <w:p w14:paraId="52C23B60" w14:textId="77777777" w:rsidR="0051718E" w:rsidRPr="00557C2A" w:rsidRDefault="0051718E">
            <w:pPr>
              <w:spacing w:before="60" w:after="60"/>
              <w:ind w:right="-29"/>
              <w:jc w:val="center"/>
              <w:rPr>
                <w:noProof/>
                <w:sz w:val="18"/>
                <w:szCs w:val="18"/>
              </w:rPr>
            </w:pPr>
          </w:p>
        </w:tc>
        <w:tc>
          <w:tcPr>
            <w:tcW w:w="639" w:type="dxa"/>
            <w:gridSpan w:val="2"/>
            <w:tcBorders>
              <w:top w:val="nil"/>
              <w:left w:val="nil"/>
              <w:bottom w:val="nil"/>
              <w:right w:val="nil"/>
            </w:tcBorders>
          </w:tcPr>
          <w:p w14:paraId="006CB336" w14:textId="77777777" w:rsidR="0051718E" w:rsidRPr="00557C2A" w:rsidRDefault="0051718E">
            <w:pPr>
              <w:spacing w:before="60" w:after="60"/>
              <w:ind w:right="-29"/>
              <w:jc w:val="center"/>
              <w:rPr>
                <w:noProof/>
                <w:sz w:val="18"/>
                <w:szCs w:val="18"/>
              </w:rPr>
            </w:pPr>
          </w:p>
        </w:tc>
        <w:tc>
          <w:tcPr>
            <w:tcW w:w="621" w:type="dxa"/>
            <w:tcBorders>
              <w:top w:val="nil"/>
              <w:left w:val="nil"/>
              <w:bottom w:val="nil"/>
              <w:right w:val="nil"/>
            </w:tcBorders>
          </w:tcPr>
          <w:p w14:paraId="6523D038" w14:textId="77777777" w:rsidR="0051718E" w:rsidRPr="00557C2A" w:rsidRDefault="0051718E">
            <w:pPr>
              <w:spacing w:before="60" w:after="60"/>
              <w:ind w:right="-29"/>
              <w:jc w:val="center"/>
              <w:rPr>
                <w:noProof/>
                <w:sz w:val="18"/>
                <w:szCs w:val="18"/>
              </w:rPr>
            </w:pPr>
          </w:p>
        </w:tc>
        <w:tc>
          <w:tcPr>
            <w:tcW w:w="648" w:type="dxa"/>
            <w:tcBorders>
              <w:top w:val="nil"/>
              <w:left w:val="nil"/>
              <w:bottom w:val="nil"/>
              <w:right w:val="nil"/>
            </w:tcBorders>
          </w:tcPr>
          <w:p w14:paraId="29F7D7A0" w14:textId="77777777" w:rsidR="0051718E" w:rsidRPr="00557C2A" w:rsidRDefault="0051718E">
            <w:pPr>
              <w:spacing w:before="60" w:after="60"/>
              <w:ind w:right="-29"/>
              <w:jc w:val="center"/>
              <w:rPr>
                <w:noProof/>
                <w:sz w:val="18"/>
                <w:szCs w:val="18"/>
              </w:rPr>
            </w:pPr>
          </w:p>
        </w:tc>
        <w:tc>
          <w:tcPr>
            <w:tcW w:w="432" w:type="dxa"/>
            <w:tcBorders>
              <w:top w:val="nil"/>
              <w:left w:val="nil"/>
              <w:bottom w:val="nil"/>
              <w:right w:val="nil"/>
            </w:tcBorders>
          </w:tcPr>
          <w:p w14:paraId="2417EDEB" w14:textId="77777777" w:rsidR="0051718E" w:rsidRPr="00557C2A" w:rsidRDefault="0051718E">
            <w:pPr>
              <w:spacing w:before="60" w:after="60"/>
              <w:ind w:right="-29"/>
              <w:jc w:val="center"/>
              <w:rPr>
                <w:noProof/>
                <w:sz w:val="18"/>
                <w:szCs w:val="18"/>
              </w:rPr>
            </w:pPr>
          </w:p>
        </w:tc>
        <w:tc>
          <w:tcPr>
            <w:tcW w:w="720" w:type="dxa"/>
            <w:tcBorders>
              <w:top w:val="nil"/>
              <w:left w:val="nil"/>
              <w:bottom w:val="nil"/>
              <w:right w:val="nil"/>
            </w:tcBorders>
          </w:tcPr>
          <w:p w14:paraId="450F0D36" w14:textId="77777777" w:rsidR="0051718E" w:rsidRPr="00557C2A" w:rsidRDefault="0051718E">
            <w:pPr>
              <w:spacing w:before="60" w:after="60"/>
              <w:ind w:right="-29"/>
              <w:jc w:val="center"/>
              <w:rPr>
                <w:noProof/>
                <w:sz w:val="18"/>
                <w:szCs w:val="18"/>
              </w:rPr>
            </w:pPr>
          </w:p>
        </w:tc>
        <w:tc>
          <w:tcPr>
            <w:tcW w:w="540" w:type="dxa"/>
            <w:tcBorders>
              <w:top w:val="nil"/>
              <w:left w:val="nil"/>
              <w:bottom w:val="nil"/>
              <w:right w:val="nil"/>
            </w:tcBorders>
          </w:tcPr>
          <w:p w14:paraId="6D7ABD56" w14:textId="77777777" w:rsidR="0051718E" w:rsidRPr="00557C2A" w:rsidRDefault="0051718E">
            <w:pPr>
              <w:spacing w:before="60" w:after="60"/>
              <w:ind w:right="-29"/>
              <w:jc w:val="center"/>
              <w:rPr>
                <w:noProof/>
                <w:sz w:val="18"/>
                <w:szCs w:val="18"/>
              </w:rPr>
            </w:pPr>
          </w:p>
        </w:tc>
        <w:tc>
          <w:tcPr>
            <w:tcW w:w="720" w:type="dxa"/>
            <w:tcBorders>
              <w:top w:val="nil"/>
              <w:left w:val="nil"/>
              <w:bottom w:val="nil"/>
              <w:right w:val="nil"/>
            </w:tcBorders>
          </w:tcPr>
          <w:p w14:paraId="18BE7B97" w14:textId="77777777" w:rsidR="0051718E" w:rsidRPr="00557C2A" w:rsidRDefault="0051718E">
            <w:pPr>
              <w:spacing w:before="60" w:after="60"/>
              <w:ind w:right="-29"/>
              <w:jc w:val="center"/>
              <w:rPr>
                <w:noProof/>
                <w:sz w:val="18"/>
                <w:szCs w:val="18"/>
              </w:rPr>
            </w:pPr>
          </w:p>
        </w:tc>
        <w:tc>
          <w:tcPr>
            <w:tcW w:w="720" w:type="dxa"/>
            <w:tcBorders>
              <w:top w:val="nil"/>
              <w:left w:val="nil"/>
              <w:bottom w:val="nil"/>
              <w:right w:val="nil"/>
            </w:tcBorders>
          </w:tcPr>
          <w:p w14:paraId="5E980055" w14:textId="77777777" w:rsidR="0051718E" w:rsidRPr="00557C2A" w:rsidRDefault="0051718E">
            <w:pPr>
              <w:spacing w:before="60" w:after="60"/>
              <w:ind w:right="-29"/>
              <w:jc w:val="center"/>
              <w:rPr>
                <w:noProof/>
                <w:sz w:val="18"/>
                <w:szCs w:val="18"/>
              </w:rPr>
            </w:pPr>
          </w:p>
        </w:tc>
        <w:tc>
          <w:tcPr>
            <w:tcW w:w="900" w:type="dxa"/>
            <w:tcBorders>
              <w:top w:val="nil"/>
              <w:left w:val="nil"/>
              <w:bottom w:val="nil"/>
              <w:right w:val="nil"/>
            </w:tcBorders>
          </w:tcPr>
          <w:p w14:paraId="0851AABA" w14:textId="77777777" w:rsidR="0051718E" w:rsidRPr="00557C2A" w:rsidRDefault="0051718E">
            <w:pPr>
              <w:spacing w:before="60" w:after="60"/>
              <w:ind w:right="-29"/>
              <w:jc w:val="center"/>
              <w:rPr>
                <w:noProof/>
                <w:sz w:val="18"/>
                <w:szCs w:val="18"/>
              </w:rPr>
            </w:pPr>
          </w:p>
        </w:tc>
      </w:tr>
      <w:tr w:rsidR="0051718E" w:rsidRPr="00557C2A" w14:paraId="37033E07" w14:textId="77777777">
        <w:trPr>
          <w:trHeight w:hRule="exact" w:val="369"/>
          <w:jc w:val="center"/>
        </w:trPr>
        <w:tc>
          <w:tcPr>
            <w:tcW w:w="1423" w:type="dxa"/>
          </w:tcPr>
          <w:p w14:paraId="28E22C27" w14:textId="77777777" w:rsidR="0051718E" w:rsidRPr="00557C2A" w:rsidRDefault="0051718E">
            <w:pPr>
              <w:ind w:right="-29"/>
              <w:jc w:val="center"/>
              <w:rPr>
                <w:noProof/>
                <w:sz w:val="18"/>
                <w:szCs w:val="18"/>
              </w:rPr>
            </w:pPr>
            <w:r w:rsidRPr="00557C2A">
              <w:rPr>
                <w:noProof/>
                <w:sz w:val="18"/>
              </w:rPr>
              <w:t>— Output</w:t>
            </w:r>
          </w:p>
        </w:tc>
        <w:tc>
          <w:tcPr>
            <w:tcW w:w="720" w:type="dxa"/>
          </w:tcPr>
          <w:p w14:paraId="07C49356" w14:textId="77777777" w:rsidR="0051718E" w:rsidRPr="00557C2A" w:rsidRDefault="0051718E">
            <w:pPr>
              <w:ind w:right="-29"/>
              <w:jc w:val="center"/>
              <w:rPr>
                <w:noProof/>
                <w:sz w:val="18"/>
                <w:szCs w:val="18"/>
              </w:rPr>
            </w:pPr>
          </w:p>
        </w:tc>
        <w:tc>
          <w:tcPr>
            <w:tcW w:w="701" w:type="dxa"/>
          </w:tcPr>
          <w:p w14:paraId="1B550271" w14:textId="77777777" w:rsidR="0051718E" w:rsidRPr="00557C2A" w:rsidRDefault="0051718E">
            <w:pPr>
              <w:ind w:right="-29"/>
              <w:jc w:val="center"/>
              <w:rPr>
                <w:noProof/>
                <w:sz w:val="18"/>
                <w:szCs w:val="18"/>
              </w:rPr>
            </w:pPr>
          </w:p>
        </w:tc>
        <w:tc>
          <w:tcPr>
            <w:tcW w:w="504" w:type="dxa"/>
            <w:tcBorders>
              <w:right w:val="dashSmallGap" w:sz="4" w:space="0" w:color="auto"/>
            </w:tcBorders>
          </w:tcPr>
          <w:p w14:paraId="274B655F" w14:textId="77777777" w:rsidR="0051718E" w:rsidRPr="00557C2A" w:rsidRDefault="0051718E">
            <w:pPr>
              <w:ind w:right="-29"/>
              <w:jc w:val="center"/>
              <w:rPr>
                <w:noProof/>
                <w:sz w:val="18"/>
                <w:szCs w:val="18"/>
              </w:rPr>
            </w:pPr>
          </w:p>
        </w:tc>
        <w:tc>
          <w:tcPr>
            <w:tcW w:w="720" w:type="dxa"/>
            <w:tcBorders>
              <w:left w:val="dashSmallGap" w:sz="4" w:space="0" w:color="auto"/>
            </w:tcBorders>
          </w:tcPr>
          <w:p w14:paraId="127CA975" w14:textId="77777777" w:rsidR="0051718E" w:rsidRPr="00557C2A" w:rsidRDefault="0051718E">
            <w:pPr>
              <w:ind w:right="-29"/>
              <w:jc w:val="center"/>
              <w:rPr>
                <w:noProof/>
                <w:sz w:val="18"/>
                <w:szCs w:val="18"/>
              </w:rPr>
            </w:pPr>
          </w:p>
        </w:tc>
        <w:tc>
          <w:tcPr>
            <w:tcW w:w="540" w:type="dxa"/>
            <w:tcBorders>
              <w:right w:val="dashSmallGap" w:sz="4" w:space="0" w:color="auto"/>
            </w:tcBorders>
          </w:tcPr>
          <w:p w14:paraId="537DACF8" w14:textId="77777777" w:rsidR="0051718E" w:rsidRPr="00557C2A" w:rsidRDefault="0051718E">
            <w:pPr>
              <w:ind w:right="-29"/>
              <w:jc w:val="center"/>
              <w:rPr>
                <w:noProof/>
                <w:sz w:val="18"/>
                <w:szCs w:val="18"/>
              </w:rPr>
            </w:pPr>
          </w:p>
        </w:tc>
        <w:tc>
          <w:tcPr>
            <w:tcW w:w="720" w:type="dxa"/>
            <w:tcBorders>
              <w:left w:val="dashSmallGap" w:sz="4" w:space="0" w:color="auto"/>
            </w:tcBorders>
          </w:tcPr>
          <w:p w14:paraId="17617A2B" w14:textId="77777777" w:rsidR="0051718E" w:rsidRPr="00557C2A" w:rsidRDefault="0051718E">
            <w:pPr>
              <w:ind w:right="-29"/>
              <w:jc w:val="center"/>
              <w:rPr>
                <w:noProof/>
                <w:sz w:val="18"/>
                <w:szCs w:val="18"/>
              </w:rPr>
            </w:pPr>
          </w:p>
        </w:tc>
        <w:tc>
          <w:tcPr>
            <w:tcW w:w="720" w:type="dxa"/>
            <w:tcBorders>
              <w:right w:val="dashSmallGap" w:sz="4" w:space="0" w:color="auto"/>
            </w:tcBorders>
          </w:tcPr>
          <w:p w14:paraId="11986F75" w14:textId="77777777" w:rsidR="0051718E" w:rsidRPr="00557C2A" w:rsidRDefault="0051718E">
            <w:pPr>
              <w:ind w:right="-29"/>
              <w:jc w:val="center"/>
              <w:rPr>
                <w:noProof/>
                <w:sz w:val="18"/>
                <w:szCs w:val="18"/>
              </w:rPr>
            </w:pPr>
          </w:p>
        </w:tc>
        <w:tc>
          <w:tcPr>
            <w:tcW w:w="720" w:type="dxa"/>
            <w:tcBorders>
              <w:left w:val="dashSmallGap" w:sz="4" w:space="0" w:color="auto"/>
            </w:tcBorders>
          </w:tcPr>
          <w:p w14:paraId="1FF898F3" w14:textId="77777777" w:rsidR="0051718E" w:rsidRPr="00557C2A" w:rsidRDefault="0051718E">
            <w:pPr>
              <w:ind w:right="-29"/>
              <w:jc w:val="center"/>
              <w:rPr>
                <w:noProof/>
                <w:sz w:val="18"/>
                <w:szCs w:val="18"/>
              </w:rPr>
            </w:pPr>
          </w:p>
        </w:tc>
        <w:tc>
          <w:tcPr>
            <w:tcW w:w="900" w:type="dxa"/>
            <w:tcBorders>
              <w:right w:val="dashSmallGap" w:sz="4" w:space="0" w:color="auto"/>
            </w:tcBorders>
          </w:tcPr>
          <w:p w14:paraId="1F1053A8" w14:textId="77777777" w:rsidR="0051718E" w:rsidRPr="00557C2A" w:rsidRDefault="0051718E">
            <w:pPr>
              <w:ind w:right="-29"/>
              <w:jc w:val="center"/>
              <w:rPr>
                <w:noProof/>
                <w:sz w:val="18"/>
                <w:szCs w:val="18"/>
              </w:rPr>
            </w:pPr>
          </w:p>
        </w:tc>
        <w:tc>
          <w:tcPr>
            <w:tcW w:w="639" w:type="dxa"/>
            <w:gridSpan w:val="2"/>
            <w:tcBorders>
              <w:left w:val="dashSmallGap" w:sz="4" w:space="0" w:color="auto"/>
            </w:tcBorders>
          </w:tcPr>
          <w:p w14:paraId="50662268" w14:textId="77777777" w:rsidR="0051718E" w:rsidRPr="00557C2A" w:rsidRDefault="0051718E">
            <w:pPr>
              <w:ind w:right="-29"/>
              <w:jc w:val="center"/>
              <w:rPr>
                <w:noProof/>
                <w:sz w:val="18"/>
                <w:szCs w:val="18"/>
              </w:rPr>
            </w:pPr>
          </w:p>
        </w:tc>
        <w:tc>
          <w:tcPr>
            <w:tcW w:w="621" w:type="dxa"/>
            <w:tcBorders>
              <w:right w:val="dashSmallGap" w:sz="4" w:space="0" w:color="auto"/>
            </w:tcBorders>
          </w:tcPr>
          <w:p w14:paraId="7942C978" w14:textId="77777777" w:rsidR="0051718E" w:rsidRPr="00557C2A" w:rsidRDefault="0051718E">
            <w:pPr>
              <w:ind w:right="-29"/>
              <w:jc w:val="center"/>
              <w:rPr>
                <w:noProof/>
                <w:sz w:val="18"/>
                <w:szCs w:val="18"/>
              </w:rPr>
            </w:pPr>
          </w:p>
        </w:tc>
        <w:tc>
          <w:tcPr>
            <w:tcW w:w="648" w:type="dxa"/>
            <w:tcBorders>
              <w:left w:val="dashSmallGap" w:sz="4" w:space="0" w:color="auto"/>
            </w:tcBorders>
          </w:tcPr>
          <w:p w14:paraId="1237EAB2" w14:textId="77777777" w:rsidR="0051718E" w:rsidRPr="00557C2A" w:rsidRDefault="0051718E">
            <w:pPr>
              <w:ind w:right="-29"/>
              <w:jc w:val="center"/>
              <w:rPr>
                <w:noProof/>
                <w:sz w:val="18"/>
                <w:szCs w:val="18"/>
              </w:rPr>
            </w:pPr>
          </w:p>
        </w:tc>
        <w:tc>
          <w:tcPr>
            <w:tcW w:w="432" w:type="dxa"/>
            <w:tcBorders>
              <w:right w:val="dashSmallGap" w:sz="4" w:space="0" w:color="auto"/>
            </w:tcBorders>
          </w:tcPr>
          <w:p w14:paraId="063369F0" w14:textId="77777777" w:rsidR="0051718E" w:rsidRPr="00557C2A" w:rsidRDefault="0051718E">
            <w:pPr>
              <w:ind w:right="-29"/>
              <w:jc w:val="center"/>
              <w:rPr>
                <w:noProof/>
                <w:sz w:val="18"/>
                <w:szCs w:val="18"/>
              </w:rPr>
            </w:pPr>
          </w:p>
        </w:tc>
        <w:tc>
          <w:tcPr>
            <w:tcW w:w="720" w:type="dxa"/>
            <w:tcBorders>
              <w:left w:val="dashSmallGap" w:sz="4" w:space="0" w:color="auto"/>
            </w:tcBorders>
          </w:tcPr>
          <w:p w14:paraId="7D73C34C" w14:textId="77777777" w:rsidR="0051718E" w:rsidRPr="00557C2A" w:rsidRDefault="0051718E">
            <w:pPr>
              <w:ind w:right="-29"/>
              <w:jc w:val="center"/>
              <w:rPr>
                <w:noProof/>
                <w:sz w:val="18"/>
                <w:szCs w:val="18"/>
              </w:rPr>
            </w:pPr>
          </w:p>
        </w:tc>
        <w:tc>
          <w:tcPr>
            <w:tcW w:w="540" w:type="dxa"/>
            <w:tcBorders>
              <w:right w:val="dashSmallGap" w:sz="4" w:space="0" w:color="auto"/>
            </w:tcBorders>
          </w:tcPr>
          <w:p w14:paraId="5D1833C4" w14:textId="77777777" w:rsidR="0051718E" w:rsidRPr="00557C2A" w:rsidRDefault="0051718E">
            <w:pPr>
              <w:ind w:right="-29"/>
              <w:jc w:val="center"/>
              <w:rPr>
                <w:noProof/>
                <w:sz w:val="18"/>
                <w:szCs w:val="18"/>
              </w:rPr>
            </w:pPr>
          </w:p>
        </w:tc>
        <w:tc>
          <w:tcPr>
            <w:tcW w:w="720" w:type="dxa"/>
            <w:tcBorders>
              <w:left w:val="dashSmallGap" w:sz="4" w:space="0" w:color="auto"/>
            </w:tcBorders>
          </w:tcPr>
          <w:p w14:paraId="0486DB78" w14:textId="77777777" w:rsidR="0051718E" w:rsidRPr="00557C2A" w:rsidRDefault="0051718E">
            <w:pPr>
              <w:ind w:right="-29"/>
              <w:jc w:val="center"/>
              <w:rPr>
                <w:noProof/>
                <w:sz w:val="18"/>
                <w:szCs w:val="18"/>
              </w:rPr>
            </w:pPr>
          </w:p>
        </w:tc>
        <w:tc>
          <w:tcPr>
            <w:tcW w:w="720" w:type="dxa"/>
          </w:tcPr>
          <w:p w14:paraId="449E4856" w14:textId="77777777" w:rsidR="0051718E" w:rsidRPr="00557C2A" w:rsidRDefault="0051718E">
            <w:pPr>
              <w:ind w:right="-29"/>
              <w:jc w:val="center"/>
              <w:rPr>
                <w:noProof/>
                <w:sz w:val="18"/>
                <w:szCs w:val="18"/>
              </w:rPr>
            </w:pPr>
          </w:p>
        </w:tc>
        <w:tc>
          <w:tcPr>
            <w:tcW w:w="900" w:type="dxa"/>
          </w:tcPr>
          <w:p w14:paraId="0749D87F" w14:textId="77777777" w:rsidR="0051718E" w:rsidRPr="00557C2A" w:rsidRDefault="0051718E">
            <w:pPr>
              <w:ind w:right="-29"/>
              <w:jc w:val="center"/>
              <w:rPr>
                <w:noProof/>
                <w:sz w:val="18"/>
                <w:szCs w:val="18"/>
              </w:rPr>
            </w:pPr>
          </w:p>
        </w:tc>
      </w:tr>
      <w:tr w:rsidR="0051718E" w:rsidRPr="00557C2A" w14:paraId="041F6ED1" w14:textId="77777777">
        <w:trPr>
          <w:trHeight w:hRule="exact" w:val="369"/>
          <w:jc w:val="center"/>
        </w:trPr>
        <w:tc>
          <w:tcPr>
            <w:tcW w:w="1423" w:type="dxa"/>
          </w:tcPr>
          <w:p w14:paraId="126F6DBC" w14:textId="77777777" w:rsidR="0051718E" w:rsidRPr="00557C2A" w:rsidRDefault="0051718E">
            <w:pPr>
              <w:ind w:right="-29"/>
              <w:jc w:val="center"/>
              <w:rPr>
                <w:noProof/>
                <w:sz w:val="18"/>
                <w:szCs w:val="18"/>
              </w:rPr>
            </w:pPr>
            <w:r w:rsidRPr="00557C2A">
              <w:rPr>
                <w:noProof/>
                <w:sz w:val="18"/>
              </w:rPr>
              <w:t>— Output</w:t>
            </w:r>
          </w:p>
        </w:tc>
        <w:tc>
          <w:tcPr>
            <w:tcW w:w="720" w:type="dxa"/>
          </w:tcPr>
          <w:p w14:paraId="57D17AF2" w14:textId="77777777" w:rsidR="0051718E" w:rsidRPr="00557C2A" w:rsidRDefault="0051718E">
            <w:pPr>
              <w:ind w:right="-29"/>
              <w:jc w:val="center"/>
              <w:rPr>
                <w:noProof/>
                <w:sz w:val="18"/>
                <w:szCs w:val="18"/>
              </w:rPr>
            </w:pPr>
          </w:p>
        </w:tc>
        <w:tc>
          <w:tcPr>
            <w:tcW w:w="701" w:type="dxa"/>
          </w:tcPr>
          <w:p w14:paraId="1A6671DB" w14:textId="77777777" w:rsidR="0051718E" w:rsidRPr="00557C2A" w:rsidRDefault="0051718E">
            <w:pPr>
              <w:ind w:right="-29"/>
              <w:jc w:val="center"/>
              <w:rPr>
                <w:noProof/>
                <w:sz w:val="18"/>
                <w:szCs w:val="18"/>
              </w:rPr>
            </w:pPr>
          </w:p>
        </w:tc>
        <w:tc>
          <w:tcPr>
            <w:tcW w:w="504" w:type="dxa"/>
            <w:tcBorders>
              <w:right w:val="dashSmallGap" w:sz="4" w:space="0" w:color="auto"/>
            </w:tcBorders>
          </w:tcPr>
          <w:p w14:paraId="672A8D29" w14:textId="77777777" w:rsidR="0051718E" w:rsidRPr="00557C2A" w:rsidRDefault="0051718E">
            <w:pPr>
              <w:ind w:right="-29"/>
              <w:jc w:val="center"/>
              <w:rPr>
                <w:noProof/>
                <w:sz w:val="18"/>
                <w:szCs w:val="18"/>
              </w:rPr>
            </w:pPr>
          </w:p>
        </w:tc>
        <w:tc>
          <w:tcPr>
            <w:tcW w:w="720" w:type="dxa"/>
            <w:tcBorders>
              <w:left w:val="dashSmallGap" w:sz="4" w:space="0" w:color="auto"/>
            </w:tcBorders>
          </w:tcPr>
          <w:p w14:paraId="66765D58" w14:textId="77777777" w:rsidR="0051718E" w:rsidRPr="00557C2A" w:rsidRDefault="0051718E">
            <w:pPr>
              <w:ind w:right="-29"/>
              <w:jc w:val="center"/>
              <w:rPr>
                <w:noProof/>
                <w:sz w:val="18"/>
                <w:szCs w:val="18"/>
              </w:rPr>
            </w:pPr>
          </w:p>
        </w:tc>
        <w:tc>
          <w:tcPr>
            <w:tcW w:w="540" w:type="dxa"/>
            <w:tcBorders>
              <w:right w:val="dashSmallGap" w:sz="4" w:space="0" w:color="auto"/>
            </w:tcBorders>
          </w:tcPr>
          <w:p w14:paraId="65E7F80C" w14:textId="77777777" w:rsidR="0051718E" w:rsidRPr="00557C2A" w:rsidRDefault="0051718E">
            <w:pPr>
              <w:ind w:right="-29"/>
              <w:jc w:val="center"/>
              <w:rPr>
                <w:noProof/>
                <w:sz w:val="18"/>
                <w:szCs w:val="18"/>
              </w:rPr>
            </w:pPr>
          </w:p>
        </w:tc>
        <w:tc>
          <w:tcPr>
            <w:tcW w:w="720" w:type="dxa"/>
            <w:tcBorders>
              <w:left w:val="dashSmallGap" w:sz="4" w:space="0" w:color="auto"/>
            </w:tcBorders>
          </w:tcPr>
          <w:p w14:paraId="0F23C099" w14:textId="77777777" w:rsidR="0051718E" w:rsidRPr="00557C2A" w:rsidRDefault="0051718E">
            <w:pPr>
              <w:ind w:right="-29"/>
              <w:jc w:val="center"/>
              <w:rPr>
                <w:noProof/>
                <w:sz w:val="18"/>
                <w:szCs w:val="18"/>
              </w:rPr>
            </w:pPr>
          </w:p>
        </w:tc>
        <w:tc>
          <w:tcPr>
            <w:tcW w:w="720" w:type="dxa"/>
            <w:tcBorders>
              <w:right w:val="dashSmallGap" w:sz="4" w:space="0" w:color="auto"/>
            </w:tcBorders>
          </w:tcPr>
          <w:p w14:paraId="69A0780F" w14:textId="77777777" w:rsidR="0051718E" w:rsidRPr="00557C2A" w:rsidRDefault="0051718E">
            <w:pPr>
              <w:ind w:right="-29"/>
              <w:jc w:val="center"/>
              <w:rPr>
                <w:noProof/>
                <w:sz w:val="18"/>
                <w:szCs w:val="18"/>
              </w:rPr>
            </w:pPr>
          </w:p>
        </w:tc>
        <w:tc>
          <w:tcPr>
            <w:tcW w:w="720" w:type="dxa"/>
            <w:tcBorders>
              <w:left w:val="dashSmallGap" w:sz="4" w:space="0" w:color="auto"/>
            </w:tcBorders>
          </w:tcPr>
          <w:p w14:paraId="4C2AC66B" w14:textId="77777777" w:rsidR="0051718E" w:rsidRPr="00557C2A" w:rsidRDefault="0051718E">
            <w:pPr>
              <w:ind w:right="-29"/>
              <w:jc w:val="center"/>
              <w:rPr>
                <w:noProof/>
                <w:sz w:val="18"/>
                <w:szCs w:val="18"/>
              </w:rPr>
            </w:pPr>
          </w:p>
        </w:tc>
        <w:tc>
          <w:tcPr>
            <w:tcW w:w="900" w:type="dxa"/>
            <w:tcBorders>
              <w:right w:val="dashSmallGap" w:sz="4" w:space="0" w:color="auto"/>
            </w:tcBorders>
          </w:tcPr>
          <w:p w14:paraId="200AD116" w14:textId="77777777" w:rsidR="0051718E" w:rsidRPr="00557C2A" w:rsidRDefault="0051718E">
            <w:pPr>
              <w:ind w:right="-29"/>
              <w:jc w:val="center"/>
              <w:rPr>
                <w:noProof/>
                <w:sz w:val="18"/>
                <w:szCs w:val="18"/>
              </w:rPr>
            </w:pPr>
          </w:p>
        </w:tc>
        <w:tc>
          <w:tcPr>
            <w:tcW w:w="639" w:type="dxa"/>
            <w:gridSpan w:val="2"/>
            <w:tcBorders>
              <w:left w:val="dashSmallGap" w:sz="4" w:space="0" w:color="auto"/>
            </w:tcBorders>
          </w:tcPr>
          <w:p w14:paraId="5A040724" w14:textId="77777777" w:rsidR="0051718E" w:rsidRPr="00557C2A" w:rsidRDefault="0051718E">
            <w:pPr>
              <w:ind w:right="-29"/>
              <w:jc w:val="center"/>
              <w:rPr>
                <w:noProof/>
                <w:sz w:val="18"/>
                <w:szCs w:val="18"/>
              </w:rPr>
            </w:pPr>
          </w:p>
        </w:tc>
        <w:tc>
          <w:tcPr>
            <w:tcW w:w="621" w:type="dxa"/>
            <w:tcBorders>
              <w:right w:val="dashSmallGap" w:sz="4" w:space="0" w:color="auto"/>
            </w:tcBorders>
          </w:tcPr>
          <w:p w14:paraId="6792DB39" w14:textId="77777777" w:rsidR="0051718E" w:rsidRPr="00557C2A" w:rsidRDefault="0051718E">
            <w:pPr>
              <w:ind w:right="-29"/>
              <w:jc w:val="center"/>
              <w:rPr>
                <w:noProof/>
                <w:sz w:val="18"/>
                <w:szCs w:val="18"/>
              </w:rPr>
            </w:pPr>
          </w:p>
        </w:tc>
        <w:tc>
          <w:tcPr>
            <w:tcW w:w="648" w:type="dxa"/>
            <w:tcBorders>
              <w:left w:val="dashSmallGap" w:sz="4" w:space="0" w:color="auto"/>
            </w:tcBorders>
          </w:tcPr>
          <w:p w14:paraId="07F1102C" w14:textId="77777777" w:rsidR="0051718E" w:rsidRPr="00557C2A" w:rsidRDefault="0051718E">
            <w:pPr>
              <w:ind w:right="-29"/>
              <w:jc w:val="center"/>
              <w:rPr>
                <w:noProof/>
                <w:sz w:val="18"/>
                <w:szCs w:val="18"/>
              </w:rPr>
            </w:pPr>
          </w:p>
        </w:tc>
        <w:tc>
          <w:tcPr>
            <w:tcW w:w="432" w:type="dxa"/>
            <w:tcBorders>
              <w:right w:val="dashSmallGap" w:sz="4" w:space="0" w:color="auto"/>
            </w:tcBorders>
          </w:tcPr>
          <w:p w14:paraId="46062221" w14:textId="77777777" w:rsidR="0051718E" w:rsidRPr="00557C2A" w:rsidRDefault="0051718E">
            <w:pPr>
              <w:ind w:right="-29"/>
              <w:jc w:val="center"/>
              <w:rPr>
                <w:noProof/>
                <w:sz w:val="18"/>
                <w:szCs w:val="18"/>
              </w:rPr>
            </w:pPr>
          </w:p>
        </w:tc>
        <w:tc>
          <w:tcPr>
            <w:tcW w:w="720" w:type="dxa"/>
            <w:tcBorders>
              <w:left w:val="dashSmallGap" w:sz="4" w:space="0" w:color="auto"/>
            </w:tcBorders>
          </w:tcPr>
          <w:p w14:paraId="74582407" w14:textId="77777777" w:rsidR="0051718E" w:rsidRPr="00557C2A" w:rsidRDefault="0051718E">
            <w:pPr>
              <w:ind w:right="-29"/>
              <w:jc w:val="center"/>
              <w:rPr>
                <w:noProof/>
                <w:sz w:val="18"/>
                <w:szCs w:val="18"/>
              </w:rPr>
            </w:pPr>
          </w:p>
        </w:tc>
        <w:tc>
          <w:tcPr>
            <w:tcW w:w="540" w:type="dxa"/>
            <w:tcBorders>
              <w:right w:val="dashSmallGap" w:sz="4" w:space="0" w:color="auto"/>
            </w:tcBorders>
          </w:tcPr>
          <w:p w14:paraId="746B0ACA" w14:textId="77777777" w:rsidR="0051718E" w:rsidRPr="00557C2A" w:rsidRDefault="0051718E">
            <w:pPr>
              <w:ind w:right="-29"/>
              <w:jc w:val="center"/>
              <w:rPr>
                <w:noProof/>
                <w:sz w:val="18"/>
                <w:szCs w:val="18"/>
              </w:rPr>
            </w:pPr>
          </w:p>
        </w:tc>
        <w:tc>
          <w:tcPr>
            <w:tcW w:w="720" w:type="dxa"/>
            <w:tcBorders>
              <w:left w:val="dashSmallGap" w:sz="4" w:space="0" w:color="auto"/>
            </w:tcBorders>
          </w:tcPr>
          <w:p w14:paraId="4989D71A" w14:textId="77777777" w:rsidR="0051718E" w:rsidRPr="00557C2A" w:rsidRDefault="0051718E">
            <w:pPr>
              <w:ind w:right="-29"/>
              <w:jc w:val="center"/>
              <w:rPr>
                <w:noProof/>
                <w:sz w:val="18"/>
                <w:szCs w:val="18"/>
              </w:rPr>
            </w:pPr>
          </w:p>
        </w:tc>
        <w:tc>
          <w:tcPr>
            <w:tcW w:w="720" w:type="dxa"/>
          </w:tcPr>
          <w:p w14:paraId="480DD3B1" w14:textId="77777777" w:rsidR="0051718E" w:rsidRPr="00557C2A" w:rsidRDefault="0051718E">
            <w:pPr>
              <w:ind w:right="-29"/>
              <w:jc w:val="center"/>
              <w:rPr>
                <w:noProof/>
                <w:sz w:val="18"/>
                <w:szCs w:val="18"/>
              </w:rPr>
            </w:pPr>
          </w:p>
        </w:tc>
        <w:tc>
          <w:tcPr>
            <w:tcW w:w="900" w:type="dxa"/>
          </w:tcPr>
          <w:p w14:paraId="557EFF92" w14:textId="77777777" w:rsidR="0051718E" w:rsidRPr="00557C2A" w:rsidRDefault="0051718E">
            <w:pPr>
              <w:ind w:right="-29"/>
              <w:jc w:val="center"/>
              <w:rPr>
                <w:noProof/>
                <w:sz w:val="18"/>
                <w:szCs w:val="18"/>
              </w:rPr>
            </w:pPr>
          </w:p>
        </w:tc>
      </w:tr>
      <w:tr w:rsidR="0051718E" w:rsidRPr="00557C2A" w14:paraId="37B55321" w14:textId="77777777">
        <w:trPr>
          <w:trHeight w:hRule="exact" w:val="369"/>
          <w:jc w:val="center"/>
        </w:trPr>
        <w:tc>
          <w:tcPr>
            <w:tcW w:w="1423" w:type="dxa"/>
          </w:tcPr>
          <w:p w14:paraId="44EAF52F" w14:textId="77777777" w:rsidR="0051718E" w:rsidRPr="00557C2A" w:rsidRDefault="0051718E">
            <w:pPr>
              <w:ind w:right="-29"/>
              <w:jc w:val="center"/>
              <w:rPr>
                <w:noProof/>
                <w:sz w:val="18"/>
                <w:szCs w:val="18"/>
              </w:rPr>
            </w:pPr>
            <w:r w:rsidRPr="00557C2A">
              <w:rPr>
                <w:noProof/>
                <w:sz w:val="18"/>
              </w:rPr>
              <w:t>— Output</w:t>
            </w:r>
          </w:p>
        </w:tc>
        <w:tc>
          <w:tcPr>
            <w:tcW w:w="720" w:type="dxa"/>
          </w:tcPr>
          <w:p w14:paraId="04CCDAD4" w14:textId="77777777" w:rsidR="0051718E" w:rsidRPr="00557C2A" w:rsidRDefault="0051718E">
            <w:pPr>
              <w:ind w:right="-29"/>
              <w:jc w:val="center"/>
              <w:rPr>
                <w:noProof/>
                <w:sz w:val="18"/>
                <w:szCs w:val="18"/>
              </w:rPr>
            </w:pPr>
          </w:p>
        </w:tc>
        <w:tc>
          <w:tcPr>
            <w:tcW w:w="701" w:type="dxa"/>
          </w:tcPr>
          <w:p w14:paraId="41F3A6D2" w14:textId="77777777" w:rsidR="0051718E" w:rsidRPr="00557C2A" w:rsidRDefault="0051718E">
            <w:pPr>
              <w:ind w:right="-29"/>
              <w:jc w:val="center"/>
              <w:rPr>
                <w:noProof/>
                <w:sz w:val="18"/>
                <w:szCs w:val="18"/>
              </w:rPr>
            </w:pPr>
          </w:p>
        </w:tc>
        <w:tc>
          <w:tcPr>
            <w:tcW w:w="504" w:type="dxa"/>
          </w:tcPr>
          <w:p w14:paraId="3B539BC8" w14:textId="77777777" w:rsidR="0051718E" w:rsidRPr="00557C2A" w:rsidRDefault="0051718E">
            <w:pPr>
              <w:ind w:right="-29"/>
              <w:jc w:val="center"/>
              <w:rPr>
                <w:noProof/>
                <w:sz w:val="18"/>
                <w:szCs w:val="18"/>
              </w:rPr>
            </w:pPr>
          </w:p>
        </w:tc>
        <w:tc>
          <w:tcPr>
            <w:tcW w:w="720" w:type="dxa"/>
          </w:tcPr>
          <w:p w14:paraId="118C2B2A" w14:textId="77777777" w:rsidR="0051718E" w:rsidRPr="00557C2A" w:rsidRDefault="0051718E">
            <w:pPr>
              <w:ind w:right="-29"/>
              <w:jc w:val="center"/>
              <w:rPr>
                <w:noProof/>
                <w:sz w:val="18"/>
                <w:szCs w:val="18"/>
              </w:rPr>
            </w:pPr>
          </w:p>
        </w:tc>
        <w:tc>
          <w:tcPr>
            <w:tcW w:w="540" w:type="dxa"/>
          </w:tcPr>
          <w:p w14:paraId="4960A620" w14:textId="77777777" w:rsidR="0051718E" w:rsidRPr="00557C2A" w:rsidRDefault="0051718E">
            <w:pPr>
              <w:ind w:right="-29"/>
              <w:jc w:val="center"/>
              <w:rPr>
                <w:noProof/>
                <w:sz w:val="18"/>
                <w:szCs w:val="18"/>
              </w:rPr>
            </w:pPr>
          </w:p>
        </w:tc>
        <w:tc>
          <w:tcPr>
            <w:tcW w:w="720" w:type="dxa"/>
          </w:tcPr>
          <w:p w14:paraId="1BD1F87D" w14:textId="77777777" w:rsidR="0051718E" w:rsidRPr="00557C2A" w:rsidRDefault="0051718E">
            <w:pPr>
              <w:ind w:right="-29"/>
              <w:jc w:val="center"/>
              <w:rPr>
                <w:noProof/>
                <w:sz w:val="18"/>
                <w:szCs w:val="18"/>
              </w:rPr>
            </w:pPr>
          </w:p>
        </w:tc>
        <w:tc>
          <w:tcPr>
            <w:tcW w:w="720" w:type="dxa"/>
          </w:tcPr>
          <w:p w14:paraId="6136853C" w14:textId="77777777" w:rsidR="0051718E" w:rsidRPr="00557C2A" w:rsidRDefault="0051718E">
            <w:pPr>
              <w:ind w:right="-29"/>
              <w:jc w:val="center"/>
              <w:rPr>
                <w:noProof/>
                <w:sz w:val="18"/>
                <w:szCs w:val="18"/>
              </w:rPr>
            </w:pPr>
          </w:p>
        </w:tc>
        <w:tc>
          <w:tcPr>
            <w:tcW w:w="720" w:type="dxa"/>
          </w:tcPr>
          <w:p w14:paraId="03A246FC" w14:textId="77777777" w:rsidR="0051718E" w:rsidRPr="00557C2A" w:rsidRDefault="0051718E">
            <w:pPr>
              <w:ind w:right="-29"/>
              <w:jc w:val="center"/>
              <w:rPr>
                <w:noProof/>
                <w:sz w:val="18"/>
                <w:szCs w:val="18"/>
              </w:rPr>
            </w:pPr>
          </w:p>
        </w:tc>
        <w:tc>
          <w:tcPr>
            <w:tcW w:w="900" w:type="dxa"/>
          </w:tcPr>
          <w:p w14:paraId="0389F284" w14:textId="77777777" w:rsidR="0051718E" w:rsidRPr="00557C2A" w:rsidRDefault="0051718E">
            <w:pPr>
              <w:ind w:right="-29"/>
              <w:jc w:val="center"/>
              <w:rPr>
                <w:noProof/>
                <w:sz w:val="18"/>
                <w:szCs w:val="18"/>
              </w:rPr>
            </w:pPr>
          </w:p>
        </w:tc>
        <w:tc>
          <w:tcPr>
            <w:tcW w:w="639" w:type="dxa"/>
            <w:gridSpan w:val="2"/>
          </w:tcPr>
          <w:p w14:paraId="5E295192" w14:textId="77777777" w:rsidR="0051718E" w:rsidRPr="00557C2A" w:rsidRDefault="0051718E">
            <w:pPr>
              <w:ind w:right="-29"/>
              <w:jc w:val="center"/>
              <w:rPr>
                <w:noProof/>
                <w:sz w:val="18"/>
                <w:szCs w:val="18"/>
              </w:rPr>
            </w:pPr>
          </w:p>
        </w:tc>
        <w:tc>
          <w:tcPr>
            <w:tcW w:w="621" w:type="dxa"/>
          </w:tcPr>
          <w:p w14:paraId="722B40E7" w14:textId="77777777" w:rsidR="0051718E" w:rsidRPr="00557C2A" w:rsidRDefault="0051718E">
            <w:pPr>
              <w:ind w:right="-29"/>
              <w:jc w:val="center"/>
              <w:rPr>
                <w:noProof/>
                <w:sz w:val="18"/>
                <w:szCs w:val="18"/>
              </w:rPr>
            </w:pPr>
          </w:p>
        </w:tc>
        <w:tc>
          <w:tcPr>
            <w:tcW w:w="648" w:type="dxa"/>
          </w:tcPr>
          <w:p w14:paraId="0065C938" w14:textId="77777777" w:rsidR="0051718E" w:rsidRPr="00557C2A" w:rsidRDefault="0051718E">
            <w:pPr>
              <w:ind w:right="-29"/>
              <w:jc w:val="center"/>
              <w:rPr>
                <w:noProof/>
                <w:sz w:val="18"/>
                <w:szCs w:val="18"/>
              </w:rPr>
            </w:pPr>
          </w:p>
        </w:tc>
        <w:tc>
          <w:tcPr>
            <w:tcW w:w="432" w:type="dxa"/>
          </w:tcPr>
          <w:p w14:paraId="5BE52104" w14:textId="77777777" w:rsidR="0051718E" w:rsidRPr="00557C2A" w:rsidRDefault="0051718E">
            <w:pPr>
              <w:ind w:right="-29"/>
              <w:jc w:val="center"/>
              <w:rPr>
                <w:noProof/>
                <w:sz w:val="18"/>
                <w:szCs w:val="18"/>
              </w:rPr>
            </w:pPr>
          </w:p>
        </w:tc>
        <w:tc>
          <w:tcPr>
            <w:tcW w:w="720" w:type="dxa"/>
          </w:tcPr>
          <w:p w14:paraId="00306EB9" w14:textId="77777777" w:rsidR="0051718E" w:rsidRPr="00557C2A" w:rsidRDefault="0051718E">
            <w:pPr>
              <w:ind w:right="-29"/>
              <w:jc w:val="center"/>
              <w:rPr>
                <w:noProof/>
                <w:sz w:val="18"/>
                <w:szCs w:val="18"/>
              </w:rPr>
            </w:pPr>
          </w:p>
        </w:tc>
        <w:tc>
          <w:tcPr>
            <w:tcW w:w="540" w:type="dxa"/>
          </w:tcPr>
          <w:p w14:paraId="5D147005" w14:textId="77777777" w:rsidR="0051718E" w:rsidRPr="00557C2A" w:rsidRDefault="0051718E">
            <w:pPr>
              <w:ind w:right="-29"/>
              <w:jc w:val="center"/>
              <w:rPr>
                <w:noProof/>
                <w:sz w:val="18"/>
                <w:szCs w:val="18"/>
              </w:rPr>
            </w:pPr>
          </w:p>
        </w:tc>
        <w:tc>
          <w:tcPr>
            <w:tcW w:w="720" w:type="dxa"/>
          </w:tcPr>
          <w:p w14:paraId="741A4E3A" w14:textId="77777777" w:rsidR="0051718E" w:rsidRPr="00557C2A" w:rsidRDefault="0051718E">
            <w:pPr>
              <w:ind w:right="-29"/>
              <w:jc w:val="center"/>
              <w:rPr>
                <w:noProof/>
                <w:sz w:val="18"/>
                <w:szCs w:val="18"/>
              </w:rPr>
            </w:pPr>
          </w:p>
        </w:tc>
        <w:tc>
          <w:tcPr>
            <w:tcW w:w="720" w:type="dxa"/>
          </w:tcPr>
          <w:p w14:paraId="3037EA34" w14:textId="77777777" w:rsidR="0051718E" w:rsidRPr="00557C2A" w:rsidRDefault="0051718E">
            <w:pPr>
              <w:ind w:right="-29"/>
              <w:jc w:val="center"/>
              <w:rPr>
                <w:noProof/>
                <w:sz w:val="18"/>
                <w:szCs w:val="18"/>
              </w:rPr>
            </w:pPr>
          </w:p>
        </w:tc>
        <w:tc>
          <w:tcPr>
            <w:tcW w:w="900" w:type="dxa"/>
          </w:tcPr>
          <w:p w14:paraId="6C208C5A" w14:textId="77777777" w:rsidR="0051718E" w:rsidRPr="00557C2A" w:rsidRDefault="0051718E">
            <w:pPr>
              <w:ind w:right="-29"/>
              <w:jc w:val="center"/>
              <w:rPr>
                <w:noProof/>
                <w:sz w:val="18"/>
                <w:szCs w:val="18"/>
              </w:rPr>
            </w:pPr>
          </w:p>
        </w:tc>
      </w:tr>
      <w:tr w:rsidR="0051718E" w:rsidRPr="00557C2A" w14:paraId="03829DF7" w14:textId="77777777">
        <w:trPr>
          <w:trHeight w:val="77"/>
          <w:jc w:val="center"/>
        </w:trPr>
        <w:tc>
          <w:tcPr>
            <w:tcW w:w="2844" w:type="dxa"/>
            <w:gridSpan w:val="3"/>
            <w:tcBorders>
              <w:bottom w:val="single" w:sz="12" w:space="0" w:color="auto"/>
            </w:tcBorders>
            <w:vAlign w:val="center"/>
          </w:tcPr>
          <w:p w14:paraId="4242EB56" w14:textId="77777777" w:rsidR="0051718E" w:rsidRPr="00557C2A" w:rsidRDefault="0051718E">
            <w:pPr>
              <w:ind w:right="-29"/>
              <w:jc w:val="center"/>
              <w:rPr>
                <w:noProof/>
                <w:sz w:val="18"/>
                <w:szCs w:val="18"/>
              </w:rPr>
            </w:pPr>
            <w:r w:rsidRPr="00557C2A">
              <w:rPr>
                <w:noProof/>
                <w:sz w:val="18"/>
              </w:rPr>
              <w:t>Subtotaal voor specifieke doelstelling nr. 1</w:t>
            </w:r>
          </w:p>
        </w:tc>
        <w:tc>
          <w:tcPr>
            <w:tcW w:w="504" w:type="dxa"/>
            <w:tcBorders>
              <w:bottom w:val="single" w:sz="12" w:space="0" w:color="auto"/>
            </w:tcBorders>
          </w:tcPr>
          <w:p w14:paraId="1C4B0D9F" w14:textId="77777777" w:rsidR="0051718E" w:rsidRPr="00557C2A" w:rsidRDefault="0051718E">
            <w:pPr>
              <w:ind w:right="-29"/>
              <w:jc w:val="center"/>
              <w:rPr>
                <w:noProof/>
                <w:sz w:val="18"/>
                <w:szCs w:val="18"/>
              </w:rPr>
            </w:pPr>
          </w:p>
        </w:tc>
        <w:tc>
          <w:tcPr>
            <w:tcW w:w="720" w:type="dxa"/>
            <w:tcBorders>
              <w:bottom w:val="single" w:sz="12" w:space="0" w:color="auto"/>
            </w:tcBorders>
          </w:tcPr>
          <w:p w14:paraId="06565C44" w14:textId="77777777" w:rsidR="0051718E" w:rsidRPr="00557C2A" w:rsidRDefault="0051718E">
            <w:pPr>
              <w:ind w:right="-29"/>
              <w:jc w:val="center"/>
              <w:rPr>
                <w:noProof/>
                <w:sz w:val="18"/>
                <w:szCs w:val="18"/>
              </w:rPr>
            </w:pPr>
          </w:p>
        </w:tc>
        <w:tc>
          <w:tcPr>
            <w:tcW w:w="540" w:type="dxa"/>
            <w:tcBorders>
              <w:bottom w:val="single" w:sz="12" w:space="0" w:color="auto"/>
            </w:tcBorders>
          </w:tcPr>
          <w:p w14:paraId="3A1E4577" w14:textId="77777777" w:rsidR="0051718E" w:rsidRPr="00557C2A" w:rsidRDefault="0051718E">
            <w:pPr>
              <w:ind w:right="-29"/>
              <w:jc w:val="center"/>
              <w:rPr>
                <w:noProof/>
                <w:sz w:val="18"/>
                <w:szCs w:val="18"/>
              </w:rPr>
            </w:pPr>
          </w:p>
        </w:tc>
        <w:tc>
          <w:tcPr>
            <w:tcW w:w="720" w:type="dxa"/>
            <w:tcBorders>
              <w:bottom w:val="single" w:sz="12" w:space="0" w:color="auto"/>
            </w:tcBorders>
          </w:tcPr>
          <w:p w14:paraId="365BB8E1" w14:textId="77777777" w:rsidR="0051718E" w:rsidRPr="00557C2A" w:rsidRDefault="0051718E">
            <w:pPr>
              <w:ind w:right="-29"/>
              <w:jc w:val="center"/>
              <w:rPr>
                <w:noProof/>
                <w:sz w:val="18"/>
                <w:szCs w:val="18"/>
              </w:rPr>
            </w:pPr>
          </w:p>
        </w:tc>
        <w:tc>
          <w:tcPr>
            <w:tcW w:w="720" w:type="dxa"/>
            <w:tcBorders>
              <w:bottom w:val="single" w:sz="12" w:space="0" w:color="auto"/>
            </w:tcBorders>
          </w:tcPr>
          <w:p w14:paraId="77D050A0" w14:textId="77777777" w:rsidR="0051718E" w:rsidRPr="00557C2A" w:rsidRDefault="0051718E">
            <w:pPr>
              <w:ind w:right="-29"/>
              <w:jc w:val="center"/>
              <w:rPr>
                <w:noProof/>
                <w:sz w:val="18"/>
                <w:szCs w:val="18"/>
              </w:rPr>
            </w:pPr>
          </w:p>
        </w:tc>
        <w:tc>
          <w:tcPr>
            <w:tcW w:w="720" w:type="dxa"/>
            <w:tcBorders>
              <w:bottom w:val="single" w:sz="12" w:space="0" w:color="auto"/>
            </w:tcBorders>
          </w:tcPr>
          <w:p w14:paraId="0DB1EF82" w14:textId="77777777" w:rsidR="0051718E" w:rsidRPr="00557C2A" w:rsidRDefault="0051718E">
            <w:pPr>
              <w:ind w:right="-29"/>
              <w:jc w:val="center"/>
              <w:rPr>
                <w:noProof/>
                <w:sz w:val="18"/>
                <w:szCs w:val="18"/>
              </w:rPr>
            </w:pPr>
          </w:p>
        </w:tc>
        <w:tc>
          <w:tcPr>
            <w:tcW w:w="900" w:type="dxa"/>
            <w:tcBorders>
              <w:bottom w:val="single" w:sz="12" w:space="0" w:color="auto"/>
            </w:tcBorders>
          </w:tcPr>
          <w:p w14:paraId="7E3DF88F" w14:textId="77777777" w:rsidR="0051718E" w:rsidRPr="00557C2A" w:rsidRDefault="0051718E">
            <w:pPr>
              <w:ind w:right="-29"/>
              <w:jc w:val="center"/>
              <w:rPr>
                <w:noProof/>
                <w:sz w:val="18"/>
                <w:szCs w:val="18"/>
              </w:rPr>
            </w:pPr>
          </w:p>
        </w:tc>
        <w:tc>
          <w:tcPr>
            <w:tcW w:w="639" w:type="dxa"/>
            <w:gridSpan w:val="2"/>
            <w:tcBorders>
              <w:bottom w:val="single" w:sz="12" w:space="0" w:color="auto"/>
            </w:tcBorders>
          </w:tcPr>
          <w:p w14:paraId="2A7577D8" w14:textId="77777777" w:rsidR="0051718E" w:rsidRPr="00557C2A" w:rsidRDefault="0051718E">
            <w:pPr>
              <w:ind w:right="-29"/>
              <w:jc w:val="center"/>
              <w:rPr>
                <w:noProof/>
                <w:sz w:val="18"/>
                <w:szCs w:val="18"/>
              </w:rPr>
            </w:pPr>
          </w:p>
        </w:tc>
        <w:tc>
          <w:tcPr>
            <w:tcW w:w="621" w:type="dxa"/>
            <w:tcBorders>
              <w:bottom w:val="single" w:sz="12" w:space="0" w:color="auto"/>
            </w:tcBorders>
          </w:tcPr>
          <w:p w14:paraId="7783508A" w14:textId="77777777" w:rsidR="0051718E" w:rsidRPr="00557C2A" w:rsidRDefault="0051718E">
            <w:pPr>
              <w:ind w:right="-29"/>
              <w:jc w:val="center"/>
              <w:rPr>
                <w:noProof/>
                <w:sz w:val="18"/>
                <w:szCs w:val="18"/>
              </w:rPr>
            </w:pPr>
          </w:p>
        </w:tc>
        <w:tc>
          <w:tcPr>
            <w:tcW w:w="648" w:type="dxa"/>
            <w:tcBorders>
              <w:bottom w:val="single" w:sz="12" w:space="0" w:color="auto"/>
            </w:tcBorders>
          </w:tcPr>
          <w:p w14:paraId="03B5AB62" w14:textId="77777777" w:rsidR="0051718E" w:rsidRPr="00557C2A" w:rsidRDefault="0051718E">
            <w:pPr>
              <w:ind w:right="-29"/>
              <w:jc w:val="center"/>
              <w:rPr>
                <w:noProof/>
                <w:sz w:val="18"/>
                <w:szCs w:val="18"/>
              </w:rPr>
            </w:pPr>
          </w:p>
        </w:tc>
        <w:tc>
          <w:tcPr>
            <w:tcW w:w="432" w:type="dxa"/>
            <w:tcBorders>
              <w:bottom w:val="single" w:sz="12" w:space="0" w:color="auto"/>
            </w:tcBorders>
          </w:tcPr>
          <w:p w14:paraId="6B7C7BC8" w14:textId="77777777" w:rsidR="0051718E" w:rsidRPr="00557C2A" w:rsidRDefault="0051718E">
            <w:pPr>
              <w:ind w:right="-29"/>
              <w:jc w:val="center"/>
              <w:rPr>
                <w:noProof/>
                <w:sz w:val="18"/>
                <w:szCs w:val="18"/>
              </w:rPr>
            </w:pPr>
          </w:p>
        </w:tc>
        <w:tc>
          <w:tcPr>
            <w:tcW w:w="720" w:type="dxa"/>
            <w:tcBorders>
              <w:bottom w:val="single" w:sz="12" w:space="0" w:color="auto"/>
            </w:tcBorders>
          </w:tcPr>
          <w:p w14:paraId="21A595CE" w14:textId="77777777" w:rsidR="0051718E" w:rsidRPr="00557C2A" w:rsidRDefault="0051718E">
            <w:pPr>
              <w:ind w:right="-29"/>
              <w:jc w:val="center"/>
              <w:rPr>
                <w:noProof/>
                <w:sz w:val="18"/>
                <w:szCs w:val="18"/>
              </w:rPr>
            </w:pPr>
          </w:p>
        </w:tc>
        <w:tc>
          <w:tcPr>
            <w:tcW w:w="540" w:type="dxa"/>
            <w:tcBorders>
              <w:bottom w:val="single" w:sz="12" w:space="0" w:color="auto"/>
            </w:tcBorders>
          </w:tcPr>
          <w:p w14:paraId="6870B3E9" w14:textId="77777777" w:rsidR="0051718E" w:rsidRPr="00557C2A" w:rsidRDefault="0051718E">
            <w:pPr>
              <w:ind w:right="-29"/>
              <w:jc w:val="center"/>
              <w:rPr>
                <w:noProof/>
                <w:sz w:val="18"/>
                <w:szCs w:val="18"/>
              </w:rPr>
            </w:pPr>
          </w:p>
        </w:tc>
        <w:tc>
          <w:tcPr>
            <w:tcW w:w="720" w:type="dxa"/>
            <w:tcBorders>
              <w:bottom w:val="single" w:sz="12" w:space="0" w:color="auto"/>
            </w:tcBorders>
          </w:tcPr>
          <w:p w14:paraId="46B2D4B3" w14:textId="77777777" w:rsidR="0051718E" w:rsidRPr="00557C2A" w:rsidRDefault="0051718E">
            <w:pPr>
              <w:ind w:right="-29"/>
              <w:jc w:val="center"/>
              <w:rPr>
                <w:noProof/>
                <w:sz w:val="18"/>
                <w:szCs w:val="18"/>
              </w:rPr>
            </w:pPr>
          </w:p>
        </w:tc>
        <w:tc>
          <w:tcPr>
            <w:tcW w:w="720" w:type="dxa"/>
            <w:tcBorders>
              <w:bottom w:val="single" w:sz="12" w:space="0" w:color="auto"/>
            </w:tcBorders>
          </w:tcPr>
          <w:p w14:paraId="5596B5D0" w14:textId="77777777" w:rsidR="0051718E" w:rsidRPr="00557C2A" w:rsidRDefault="0051718E">
            <w:pPr>
              <w:ind w:right="-29"/>
              <w:jc w:val="center"/>
              <w:rPr>
                <w:noProof/>
                <w:sz w:val="18"/>
                <w:szCs w:val="18"/>
              </w:rPr>
            </w:pPr>
          </w:p>
        </w:tc>
        <w:tc>
          <w:tcPr>
            <w:tcW w:w="900" w:type="dxa"/>
            <w:tcBorders>
              <w:bottom w:val="single" w:sz="12" w:space="0" w:color="auto"/>
            </w:tcBorders>
          </w:tcPr>
          <w:p w14:paraId="11C9BDCA" w14:textId="77777777" w:rsidR="0051718E" w:rsidRPr="00557C2A" w:rsidRDefault="0051718E">
            <w:pPr>
              <w:ind w:right="-29"/>
              <w:jc w:val="center"/>
              <w:rPr>
                <w:noProof/>
                <w:sz w:val="18"/>
                <w:szCs w:val="18"/>
              </w:rPr>
            </w:pPr>
          </w:p>
        </w:tc>
      </w:tr>
      <w:tr w:rsidR="0051718E" w:rsidRPr="00557C2A" w14:paraId="1319F8FC" w14:textId="77777777">
        <w:trPr>
          <w:jc w:val="center"/>
        </w:trPr>
        <w:tc>
          <w:tcPr>
            <w:tcW w:w="2844" w:type="dxa"/>
            <w:gridSpan w:val="3"/>
            <w:vAlign w:val="center"/>
          </w:tcPr>
          <w:p w14:paraId="44F2CD52" w14:textId="77777777" w:rsidR="0051718E" w:rsidRPr="00557C2A" w:rsidRDefault="0051718E">
            <w:pPr>
              <w:spacing w:before="60" w:after="60"/>
              <w:ind w:right="-29"/>
              <w:jc w:val="center"/>
              <w:rPr>
                <w:noProof/>
                <w:sz w:val="18"/>
                <w:szCs w:val="18"/>
              </w:rPr>
            </w:pPr>
            <w:r w:rsidRPr="00557C2A">
              <w:rPr>
                <w:noProof/>
                <w:sz w:val="18"/>
              </w:rPr>
              <w:t>SPECIFIEKE DOELSTELLING NR. 2…</w:t>
            </w:r>
          </w:p>
        </w:tc>
        <w:tc>
          <w:tcPr>
            <w:tcW w:w="504" w:type="dxa"/>
            <w:tcBorders>
              <w:top w:val="nil"/>
              <w:left w:val="nil"/>
              <w:bottom w:val="nil"/>
              <w:right w:val="nil"/>
            </w:tcBorders>
          </w:tcPr>
          <w:p w14:paraId="31BB8C4B" w14:textId="77777777" w:rsidR="0051718E" w:rsidRPr="00557C2A" w:rsidRDefault="0051718E">
            <w:pPr>
              <w:spacing w:before="60" w:after="60"/>
              <w:ind w:right="-29"/>
              <w:jc w:val="center"/>
              <w:rPr>
                <w:noProof/>
                <w:sz w:val="18"/>
                <w:szCs w:val="18"/>
              </w:rPr>
            </w:pPr>
          </w:p>
        </w:tc>
        <w:tc>
          <w:tcPr>
            <w:tcW w:w="720" w:type="dxa"/>
            <w:tcBorders>
              <w:top w:val="nil"/>
              <w:left w:val="nil"/>
              <w:bottom w:val="nil"/>
              <w:right w:val="nil"/>
            </w:tcBorders>
          </w:tcPr>
          <w:p w14:paraId="0301FA5B" w14:textId="77777777" w:rsidR="0051718E" w:rsidRPr="00557C2A" w:rsidRDefault="0051718E">
            <w:pPr>
              <w:spacing w:before="60" w:after="60"/>
              <w:ind w:right="-29"/>
              <w:jc w:val="center"/>
              <w:rPr>
                <w:noProof/>
                <w:sz w:val="18"/>
                <w:szCs w:val="18"/>
              </w:rPr>
            </w:pPr>
          </w:p>
        </w:tc>
        <w:tc>
          <w:tcPr>
            <w:tcW w:w="540" w:type="dxa"/>
            <w:tcBorders>
              <w:top w:val="nil"/>
              <w:left w:val="nil"/>
              <w:bottom w:val="nil"/>
              <w:right w:val="nil"/>
            </w:tcBorders>
          </w:tcPr>
          <w:p w14:paraId="7DEE381E" w14:textId="77777777" w:rsidR="0051718E" w:rsidRPr="00557C2A" w:rsidRDefault="0051718E">
            <w:pPr>
              <w:spacing w:before="60" w:after="60"/>
              <w:ind w:right="-29"/>
              <w:jc w:val="center"/>
              <w:rPr>
                <w:noProof/>
                <w:sz w:val="18"/>
                <w:szCs w:val="18"/>
              </w:rPr>
            </w:pPr>
          </w:p>
        </w:tc>
        <w:tc>
          <w:tcPr>
            <w:tcW w:w="720" w:type="dxa"/>
            <w:tcBorders>
              <w:top w:val="nil"/>
              <w:left w:val="nil"/>
              <w:bottom w:val="nil"/>
              <w:right w:val="nil"/>
            </w:tcBorders>
          </w:tcPr>
          <w:p w14:paraId="36EBC68B" w14:textId="77777777" w:rsidR="0051718E" w:rsidRPr="00557C2A" w:rsidRDefault="0051718E">
            <w:pPr>
              <w:spacing w:before="60" w:after="60"/>
              <w:ind w:right="-29"/>
              <w:jc w:val="center"/>
              <w:rPr>
                <w:noProof/>
                <w:sz w:val="18"/>
                <w:szCs w:val="18"/>
              </w:rPr>
            </w:pPr>
          </w:p>
        </w:tc>
        <w:tc>
          <w:tcPr>
            <w:tcW w:w="720" w:type="dxa"/>
            <w:tcBorders>
              <w:top w:val="nil"/>
              <w:left w:val="nil"/>
              <w:bottom w:val="nil"/>
              <w:right w:val="nil"/>
            </w:tcBorders>
          </w:tcPr>
          <w:p w14:paraId="0E2CA5C8" w14:textId="77777777" w:rsidR="0051718E" w:rsidRPr="00557C2A" w:rsidRDefault="0051718E">
            <w:pPr>
              <w:spacing w:before="60" w:after="60"/>
              <w:ind w:right="-29"/>
              <w:jc w:val="center"/>
              <w:rPr>
                <w:noProof/>
                <w:sz w:val="18"/>
                <w:szCs w:val="18"/>
              </w:rPr>
            </w:pPr>
          </w:p>
        </w:tc>
        <w:tc>
          <w:tcPr>
            <w:tcW w:w="720" w:type="dxa"/>
            <w:tcBorders>
              <w:top w:val="nil"/>
              <w:left w:val="nil"/>
              <w:bottom w:val="nil"/>
              <w:right w:val="nil"/>
            </w:tcBorders>
          </w:tcPr>
          <w:p w14:paraId="61E0909E" w14:textId="77777777" w:rsidR="0051718E" w:rsidRPr="00557C2A" w:rsidRDefault="0051718E">
            <w:pPr>
              <w:spacing w:before="60" w:after="60"/>
              <w:ind w:right="-29"/>
              <w:jc w:val="center"/>
              <w:rPr>
                <w:noProof/>
                <w:sz w:val="18"/>
                <w:szCs w:val="18"/>
              </w:rPr>
            </w:pPr>
          </w:p>
        </w:tc>
        <w:tc>
          <w:tcPr>
            <w:tcW w:w="900" w:type="dxa"/>
            <w:tcBorders>
              <w:top w:val="nil"/>
              <w:left w:val="nil"/>
              <w:bottom w:val="nil"/>
              <w:right w:val="nil"/>
            </w:tcBorders>
          </w:tcPr>
          <w:p w14:paraId="7F18E89E" w14:textId="77777777" w:rsidR="0051718E" w:rsidRPr="00557C2A" w:rsidRDefault="0051718E">
            <w:pPr>
              <w:spacing w:before="60" w:after="60"/>
              <w:ind w:right="-29"/>
              <w:jc w:val="center"/>
              <w:rPr>
                <w:noProof/>
                <w:sz w:val="18"/>
                <w:szCs w:val="18"/>
              </w:rPr>
            </w:pPr>
          </w:p>
        </w:tc>
        <w:tc>
          <w:tcPr>
            <w:tcW w:w="639" w:type="dxa"/>
            <w:gridSpan w:val="2"/>
            <w:tcBorders>
              <w:top w:val="nil"/>
              <w:left w:val="nil"/>
              <w:bottom w:val="nil"/>
              <w:right w:val="nil"/>
            </w:tcBorders>
          </w:tcPr>
          <w:p w14:paraId="79A0F2D3" w14:textId="77777777" w:rsidR="0051718E" w:rsidRPr="00557C2A" w:rsidRDefault="0051718E">
            <w:pPr>
              <w:spacing w:before="60" w:after="60"/>
              <w:ind w:right="-29"/>
              <w:jc w:val="center"/>
              <w:rPr>
                <w:noProof/>
                <w:sz w:val="18"/>
                <w:szCs w:val="18"/>
              </w:rPr>
            </w:pPr>
          </w:p>
        </w:tc>
        <w:tc>
          <w:tcPr>
            <w:tcW w:w="621" w:type="dxa"/>
            <w:tcBorders>
              <w:top w:val="nil"/>
              <w:left w:val="nil"/>
              <w:bottom w:val="nil"/>
              <w:right w:val="nil"/>
            </w:tcBorders>
          </w:tcPr>
          <w:p w14:paraId="2E908B8E" w14:textId="77777777" w:rsidR="0051718E" w:rsidRPr="00557C2A" w:rsidRDefault="0051718E">
            <w:pPr>
              <w:spacing w:before="60" w:after="60"/>
              <w:ind w:right="-29"/>
              <w:jc w:val="center"/>
              <w:rPr>
                <w:noProof/>
                <w:sz w:val="18"/>
                <w:szCs w:val="18"/>
              </w:rPr>
            </w:pPr>
          </w:p>
        </w:tc>
        <w:tc>
          <w:tcPr>
            <w:tcW w:w="648" w:type="dxa"/>
            <w:tcBorders>
              <w:top w:val="nil"/>
              <w:left w:val="nil"/>
              <w:bottom w:val="nil"/>
              <w:right w:val="nil"/>
            </w:tcBorders>
          </w:tcPr>
          <w:p w14:paraId="7A4686A5" w14:textId="77777777" w:rsidR="0051718E" w:rsidRPr="00557C2A" w:rsidRDefault="0051718E">
            <w:pPr>
              <w:spacing w:before="60" w:after="60"/>
              <w:ind w:right="-29"/>
              <w:jc w:val="center"/>
              <w:rPr>
                <w:noProof/>
                <w:sz w:val="18"/>
                <w:szCs w:val="18"/>
              </w:rPr>
            </w:pPr>
          </w:p>
        </w:tc>
        <w:tc>
          <w:tcPr>
            <w:tcW w:w="432" w:type="dxa"/>
            <w:tcBorders>
              <w:top w:val="nil"/>
              <w:left w:val="nil"/>
              <w:bottom w:val="nil"/>
              <w:right w:val="nil"/>
            </w:tcBorders>
          </w:tcPr>
          <w:p w14:paraId="7EA873C1" w14:textId="77777777" w:rsidR="0051718E" w:rsidRPr="00557C2A" w:rsidRDefault="0051718E">
            <w:pPr>
              <w:spacing w:before="60" w:after="60"/>
              <w:ind w:right="-29"/>
              <w:jc w:val="center"/>
              <w:rPr>
                <w:noProof/>
                <w:sz w:val="18"/>
                <w:szCs w:val="18"/>
              </w:rPr>
            </w:pPr>
          </w:p>
        </w:tc>
        <w:tc>
          <w:tcPr>
            <w:tcW w:w="720" w:type="dxa"/>
            <w:tcBorders>
              <w:top w:val="nil"/>
              <w:left w:val="nil"/>
              <w:bottom w:val="nil"/>
              <w:right w:val="nil"/>
            </w:tcBorders>
          </w:tcPr>
          <w:p w14:paraId="1F6DB138" w14:textId="77777777" w:rsidR="0051718E" w:rsidRPr="00557C2A" w:rsidRDefault="0051718E">
            <w:pPr>
              <w:spacing w:before="60" w:after="60"/>
              <w:ind w:right="-29"/>
              <w:jc w:val="center"/>
              <w:rPr>
                <w:noProof/>
                <w:sz w:val="18"/>
                <w:szCs w:val="18"/>
              </w:rPr>
            </w:pPr>
          </w:p>
        </w:tc>
        <w:tc>
          <w:tcPr>
            <w:tcW w:w="540" w:type="dxa"/>
            <w:tcBorders>
              <w:top w:val="nil"/>
              <w:left w:val="nil"/>
              <w:bottom w:val="nil"/>
              <w:right w:val="nil"/>
            </w:tcBorders>
          </w:tcPr>
          <w:p w14:paraId="4E347FCB" w14:textId="77777777" w:rsidR="0051718E" w:rsidRPr="00557C2A" w:rsidRDefault="0051718E">
            <w:pPr>
              <w:spacing w:before="60" w:after="60"/>
              <w:ind w:right="-29"/>
              <w:jc w:val="center"/>
              <w:rPr>
                <w:noProof/>
                <w:sz w:val="18"/>
                <w:szCs w:val="18"/>
              </w:rPr>
            </w:pPr>
          </w:p>
        </w:tc>
        <w:tc>
          <w:tcPr>
            <w:tcW w:w="720" w:type="dxa"/>
            <w:tcBorders>
              <w:top w:val="nil"/>
              <w:left w:val="nil"/>
              <w:bottom w:val="nil"/>
              <w:right w:val="nil"/>
            </w:tcBorders>
          </w:tcPr>
          <w:p w14:paraId="4F176F67" w14:textId="77777777" w:rsidR="0051718E" w:rsidRPr="00557C2A" w:rsidRDefault="0051718E">
            <w:pPr>
              <w:spacing w:before="60" w:after="60"/>
              <w:ind w:right="-29"/>
              <w:jc w:val="center"/>
              <w:rPr>
                <w:noProof/>
                <w:sz w:val="18"/>
                <w:szCs w:val="18"/>
              </w:rPr>
            </w:pPr>
          </w:p>
        </w:tc>
        <w:tc>
          <w:tcPr>
            <w:tcW w:w="720" w:type="dxa"/>
            <w:tcBorders>
              <w:top w:val="nil"/>
              <w:left w:val="nil"/>
              <w:bottom w:val="nil"/>
              <w:right w:val="nil"/>
            </w:tcBorders>
          </w:tcPr>
          <w:p w14:paraId="5119A865" w14:textId="77777777" w:rsidR="0051718E" w:rsidRPr="00557C2A" w:rsidRDefault="0051718E">
            <w:pPr>
              <w:spacing w:before="60" w:after="60"/>
              <w:ind w:right="-29"/>
              <w:jc w:val="center"/>
              <w:rPr>
                <w:noProof/>
                <w:sz w:val="18"/>
                <w:szCs w:val="18"/>
              </w:rPr>
            </w:pPr>
          </w:p>
        </w:tc>
        <w:tc>
          <w:tcPr>
            <w:tcW w:w="900" w:type="dxa"/>
            <w:tcBorders>
              <w:top w:val="nil"/>
              <w:left w:val="nil"/>
              <w:bottom w:val="nil"/>
              <w:right w:val="nil"/>
            </w:tcBorders>
          </w:tcPr>
          <w:p w14:paraId="605E0CB2" w14:textId="77777777" w:rsidR="0051718E" w:rsidRPr="00557C2A" w:rsidRDefault="0051718E">
            <w:pPr>
              <w:spacing w:before="60" w:after="60"/>
              <w:ind w:right="-29"/>
              <w:jc w:val="center"/>
              <w:rPr>
                <w:noProof/>
                <w:sz w:val="18"/>
                <w:szCs w:val="18"/>
              </w:rPr>
            </w:pPr>
          </w:p>
        </w:tc>
      </w:tr>
      <w:tr w:rsidR="0051718E" w:rsidRPr="00557C2A" w14:paraId="3480A154" w14:textId="77777777">
        <w:trPr>
          <w:trHeight w:hRule="exact" w:val="369"/>
          <w:jc w:val="center"/>
        </w:trPr>
        <w:tc>
          <w:tcPr>
            <w:tcW w:w="1423" w:type="dxa"/>
          </w:tcPr>
          <w:p w14:paraId="667199BC" w14:textId="77777777" w:rsidR="0051718E" w:rsidRPr="00557C2A" w:rsidRDefault="0051718E">
            <w:pPr>
              <w:ind w:right="-29"/>
              <w:jc w:val="center"/>
              <w:rPr>
                <w:noProof/>
                <w:sz w:val="18"/>
                <w:szCs w:val="18"/>
              </w:rPr>
            </w:pPr>
            <w:r w:rsidRPr="00557C2A">
              <w:rPr>
                <w:noProof/>
                <w:sz w:val="18"/>
              </w:rPr>
              <w:t>— Output</w:t>
            </w:r>
          </w:p>
        </w:tc>
        <w:tc>
          <w:tcPr>
            <w:tcW w:w="720" w:type="dxa"/>
          </w:tcPr>
          <w:p w14:paraId="2F23B85C" w14:textId="77777777" w:rsidR="0051718E" w:rsidRPr="00557C2A" w:rsidRDefault="0051718E">
            <w:pPr>
              <w:ind w:right="-29"/>
              <w:jc w:val="center"/>
              <w:rPr>
                <w:noProof/>
                <w:sz w:val="18"/>
                <w:szCs w:val="18"/>
              </w:rPr>
            </w:pPr>
          </w:p>
        </w:tc>
        <w:tc>
          <w:tcPr>
            <w:tcW w:w="701" w:type="dxa"/>
          </w:tcPr>
          <w:p w14:paraId="08646CF4" w14:textId="77777777" w:rsidR="0051718E" w:rsidRPr="00557C2A" w:rsidRDefault="0051718E">
            <w:pPr>
              <w:ind w:right="-29"/>
              <w:jc w:val="center"/>
              <w:rPr>
                <w:noProof/>
                <w:sz w:val="18"/>
                <w:szCs w:val="18"/>
              </w:rPr>
            </w:pPr>
          </w:p>
        </w:tc>
        <w:tc>
          <w:tcPr>
            <w:tcW w:w="504" w:type="dxa"/>
          </w:tcPr>
          <w:p w14:paraId="0FB483B7" w14:textId="77777777" w:rsidR="0051718E" w:rsidRPr="00557C2A" w:rsidRDefault="0051718E">
            <w:pPr>
              <w:ind w:right="-29"/>
              <w:jc w:val="center"/>
              <w:rPr>
                <w:noProof/>
                <w:sz w:val="18"/>
                <w:szCs w:val="18"/>
              </w:rPr>
            </w:pPr>
          </w:p>
        </w:tc>
        <w:tc>
          <w:tcPr>
            <w:tcW w:w="720" w:type="dxa"/>
          </w:tcPr>
          <w:p w14:paraId="1B2DCA5D" w14:textId="77777777" w:rsidR="0051718E" w:rsidRPr="00557C2A" w:rsidRDefault="0051718E">
            <w:pPr>
              <w:ind w:right="-29"/>
              <w:jc w:val="center"/>
              <w:rPr>
                <w:noProof/>
                <w:sz w:val="18"/>
                <w:szCs w:val="18"/>
              </w:rPr>
            </w:pPr>
          </w:p>
        </w:tc>
        <w:tc>
          <w:tcPr>
            <w:tcW w:w="540" w:type="dxa"/>
          </w:tcPr>
          <w:p w14:paraId="46B9252E" w14:textId="77777777" w:rsidR="0051718E" w:rsidRPr="00557C2A" w:rsidRDefault="0051718E">
            <w:pPr>
              <w:ind w:right="-29"/>
              <w:jc w:val="center"/>
              <w:rPr>
                <w:noProof/>
                <w:sz w:val="18"/>
                <w:szCs w:val="18"/>
              </w:rPr>
            </w:pPr>
          </w:p>
        </w:tc>
        <w:tc>
          <w:tcPr>
            <w:tcW w:w="720" w:type="dxa"/>
          </w:tcPr>
          <w:p w14:paraId="47D435EB" w14:textId="77777777" w:rsidR="0051718E" w:rsidRPr="00557C2A" w:rsidRDefault="0051718E">
            <w:pPr>
              <w:ind w:right="-29"/>
              <w:jc w:val="center"/>
              <w:rPr>
                <w:noProof/>
                <w:sz w:val="18"/>
                <w:szCs w:val="18"/>
              </w:rPr>
            </w:pPr>
          </w:p>
        </w:tc>
        <w:tc>
          <w:tcPr>
            <w:tcW w:w="720" w:type="dxa"/>
          </w:tcPr>
          <w:p w14:paraId="33255AE7" w14:textId="77777777" w:rsidR="0051718E" w:rsidRPr="00557C2A" w:rsidRDefault="0051718E">
            <w:pPr>
              <w:ind w:right="-29"/>
              <w:jc w:val="center"/>
              <w:rPr>
                <w:noProof/>
                <w:sz w:val="18"/>
                <w:szCs w:val="18"/>
              </w:rPr>
            </w:pPr>
          </w:p>
        </w:tc>
        <w:tc>
          <w:tcPr>
            <w:tcW w:w="720" w:type="dxa"/>
          </w:tcPr>
          <w:p w14:paraId="3B1D244A" w14:textId="77777777" w:rsidR="0051718E" w:rsidRPr="00557C2A" w:rsidRDefault="0051718E">
            <w:pPr>
              <w:ind w:right="-29"/>
              <w:jc w:val="center"/>
              <w:rPr>
                <w:noProof/>
                <w:sz w:val="18"/>
                <w:szCs w:val="18"/>
              </w:rPr>
            </w:pPr>
          </w:p>
        </w:tc>
        <w:tc>
          <w:tcPr>
            <w:tcW w:w="900" w:type="dxa"/>
          </w:tcPr>
          <w:p w14:paraId="6805F296" w14:textId="77777777" w:rsidR="0051718E" w:rsidRPr="00557C2A" w:rsidRDefault="0051718E">
            <w:pPr>
              <w:ind w:right="-29"/>
              <w:jc w:val="center"/>
              <w:rPr>
                <w:noProof/>
                <w:sz w:val="18"/>
                <w:szCs w:val="18"/>
              </w:rPr>
            </w:pPr>
          </w:p>
        </w:tc>
        <w:tc>
          <w:tcPr>
            <w:tcW w:w="639" w:type="dxa"/>
            <w:gridSpan w:val="2"/>
          </w:tcPr>
          <w:p w14:paraId="47385E2D" w14:textId="77777777" w:rsidR="0051718E" w:rsidRPr="00557C2A" w:rsidRDefault="0051718E">
            <w:pPr>
              <w:ind w:right="-29"/>
              <w:jc w:val="center"/>
              <w:rPr>
                <w:noProof/>
                <w:sz w:val="18"/>
                <w:szCs w:val="18"/>
              </w:rPr>
            </w:pPr>
          </w:p>
        </w:tc>
        <w:tc>
          <w:tcPr>
            <w:tcW w:w="621" w:type="dxa"/>
          </w:tcPr>
          <w:p w14:paraId="5881BD96" w14:textId="77777777" w:rsidR="0051718E" w:rsidRPr="00557C2A" w:rsidRDefault="0051718E">
            <w:pPr>
              <w:ind w:right="-29"/>
              <w:jc w:val="center"/>
              <w:rPr>
                <w:noProof/>
                <w:sz w:val="18"/>
                <w:szCs w:val="18"/>
              </w:rPr>
            </w:pPr>
          </w:p>
        </w:tc>
        <w:tc>
          <w:tcPr>
            <w:tcW w:w="648" w:type="dxa"/>
          </w:tcPr>
          <w:p w14:paraId="04530A26" w14:textId="77777777" w:rsidR="0051718E" w:rsidRPr="00557C2A" w:rsidRDefault="0051718E">
            <w:pPr>
              <w:ind w:right="-29"/>
              <w:jc w:val="center"/>
              <w:rPr>
                <w:noProof/>
                <w:sz w:val="18"/>
                <w:szCs w:val="18"/>
              </w:rPr>
            </w:pPr>
          </w:p>
        </w:tc>
        <w:tc>
          <w:tcPr>
            <w:tcW w:w="432" w:type="dxa"/>
          </w:tcPr>
          <w:p w14:paraId="00B90171" w14:textId="77777777" w:rsidR="0051718E" w:rsidRPr="00557C2A" w:rsidRDefault="0051718E">
            <w:pPr>
              <w:ind w:right="-29"/>
              <w:jc w:val="center"/>
              <w:rPr>
                <w:noProof/>
                <w:sz w:val="18"/>
                <w:szCs w:val="18"/>
              </w:rPr>
            </w:pPr>
          </w:p>
        </w:tc>
        <w:tc>
          <w:tcPr>
            <w:tcW w:w="720" w:type="dxa"/>
          </w:tcPr>
          <w:p w14:paraId="5478F0EA" w14:textId="77777777" w:rsidR="0051718E" w:rsidRPr="00557C2A" w:rsidRDefault="0051718E">
            <w:pPr>
              <w:ind w:right="-29"/>
              <w:jc w:val="center"/>
              <w:rPr>
                <w:noProof/>
                <w:sz w:val="18"/>
                <w:szCs w:val="18"/>
              </w:rPr>
            </w:pPr>
          </w:p>
        </w:tc>
        <w:tc>
          <w:tcPr>
            <w:tcW w:w="540" w:type="dxa"/>
          </w:tcPr>
          <w:p w14:paraId="3EBF28EF" w14:textId="77777777" w:rsidR="0051718E" w:rsidRPr="00557C2A" w:rsidRDefault="0051718E">
            <w:pPr>
              <w:ind w:right="-29"/>
              <w:jc w:val="center"/>
              <w:rPr>
                <w:noProof/>
                <w:sz w:val="18"/>
                <w:szCs w:val="18"/>
              </w:rPr>
            </w:pPr>
          </w:p>
        </w:tc>
        <w:tc>
          <w:tcPr>
            <w:tcW w:w="720" w:type="dxa"/>
          </w:tcPr>
          <w:p w14:paraId="46923BA8" w14:textId="77777777" w:rsidR="0051718E" w:rsidRPr="00557C2A" w:rsidRDefault="0051718E">
            <w:pPr>
              <w:ind w:right="-29"/>
              <w:jc w:val="center"/>
              <w:rPr>
                <w:noProof/>
                <w:sz w:val="18"/>
                <w:szCs w:val="18"/>
              </w:rPr>
            </w:pPr>
          </w:p>
        </w:tc>
        <w:tc>
          <w:tcPr>
            <w:tcW w:w="720" w:type="dxa"/>
          </w:tcPr>
          <w:p w14:paraId="730765E8" w14:textId="77777777" w:rsidR="0051718E" w:rsidRPr="00557C2A" w:rsidRDefault="0051718E">
            <w:pPr>
              <w:ind w:right="-29"/>
              <w:jc w:val="center"/>
              <w:rPr>
                <w:noProof/>
                <w:sz w:val="18"/>
                <w:szCs w:val="18"/>
              </w:rPr>
            </w:pPr>
          </w:p>
        </w:tc>
        <w:tc>
          <w:tcPr>
            <w:tcW w:w="900" w:type="dxa"/>
          </w:tcPr>
          <w:p w14:paraId="7DDD793A" w14:textId="77777777" w:rsidR="0051718E" w:rsidRPr="00557C2A" w:rsidRDefault="0051718E">
            <w:pPr>
              <w:ind w:right="-29"/>
              <w:jc w:val="center"/>
              <w:rPr>
                <w:noProof/>
                <w:sz w:val="18"/>
                <w:szCs w:val="18"/>
              </w:rPr>
            </w:pPr>
          </w:p>
        </w:tc>
      </w:tr>
      <w:tr w:rsidR="0051718E" w:rsidRPr="00557C2A" w14:paraId="10A2F9C5" w14:textId="77777777">
        <w:trPr>
          <w:jc w:val="center"/>
        </w:trPr>
        <w:tc>
          <w:tcPr>
            <w:tcW w:w="2844" w:type="dxa"/>
            <w:gridSpan w:val="3"/>
            <w:tcBorders>
              <w:bottom w:val="single" w:sz="12" w:space="0" w:color="auto"/>
            </w:tcBorders>
            <w:vAlign w:val="center"/>
          </w:tcPr>
          <w:p w14:paraId="45B9E5B6" w14:textId="77777777" w:rsidR="0051718E" w:rsidRPr="00557C2A" w:rsidRDefault="0051718E">
            <w:pPr>
              <w:jc w:val="center"/>
              <w:rPr>
                <w:noProof/>
                <w:sz w:val="18"/>
                <w:szCs w:val="18"/>
              </w:rPr>
            </w:pPr>
            <w:r w:rsidRPr="00557C2A">
              <w:rPr>
                <w:noProof/>
                <w:sz w:val="18"/>
              </w:rPr>
              <w:t>Subtotaal voor specifieke doelstelling nr. 2</w:t>
            </w:r>
          </w:p>
        </w:tc>
        <w:tc>
          <w:tcPr>
            <w:tcW w:w="504" w:type="dxa"/>
            <w:tcBorders>
              <w:bottom w:val="single" w:sz="12" w:space="0" w:color="auto"/>
            </w:tcBorders>
          </w:tcPr>
          <w:p w14:paraId="07AE5AED" w14:textId="77777777" w:rsidR="0051718E" w:rsidRPr="00557C2A" w:rsidRDefault="0051718E">
            <w:pPr>
              <w:ind w:right="-29"/>
              <w:jc w:val="center"/>
              <w:rPr>
                <w:noProof/>
                <w:sz w:val="18"/>
                <w:szCs w:val="18"/>
              </w:rPr>
            </w:pPr>
          </w:p>
        </w:tc>
        <w:tc>
          <w:tcPr>
            <w:tcW w:w="720" w:type="dxa"/>
            <w:tcBorders>
              <w:bottom w:val="single" w:sz="12" w:space="0" w:color="auto"/>
            </w:tcBorders>
          </w:tcPr>
          <w:p w14:paraId="46E2E77A" w14:textId="77777777" w:rsidR="0051718E" w:rsidRPr="00557C2A" w:rsidRDefault="0051718E">
            <w:pPr>
              <w:ind w:right="-29"/>
              <w:jc w:val="center"/>
              <w:rPr>
                <w:noProof/>
                <w:sz w:val="18"/>
                <w:szCs w:val="18"/>
              </w:rPr>
            </w:pPr>
          </w:p>
        </w:tc>
        <w:tc>
          <w:tcPr>
            <w:tcW w:w="540" w:type="dxa"/>
            <w:tcBorders>
              <w:bottom w:val="single" w:sz="12" w:space="0" w:color="auto"/>
            </w:tcBorders>
          </w:tcPr>
          <w:p w14:paraId="09D701B3" w14:textId="77777777" w:rsidR="0051718E" w:rsidRPr="00557C2A" w:rsidRDefault="0051718E">
            <w:pPr>
              <w:ind w:right="-29"/>
              <w:jc w:val="center"/>
              <w:rPr>
                <w:noProof/>
                <w:sz w:val="18"/>
                <w:szCs w:val="18"/>
              </w:rPr>
            </w:pPr>
          </w:p>
        </w:tc>
        <w:tc>
          <w:tcPr>
            <w:tcW w:w="720" w:type="dxa"/>
            <w:tcBorders>
              <w:bottom w:val="single" w:sz="12" w:space="0" w:color="auto"/>
            </w:tcBorders>
          </w:tcPr>
          <w:p w14:paraId="1868E35B" w14:textId="77777777" w:rsidR="0051718E" w:rsidRPr="00557C2A" w:rsidRDefault="0051718E">
            <w:pPr>
              <w:ind w:right="-29"/>
              <w:jc w:val="center"/>
              <w:rPr>
                <w:noProof/>
                <w:sz w:val="18"/>
                <w:szCs w:val="18"/>
              </w:rPr>
            </w:pPr>
          </w:p>
        </w:tc>
        <w:tc>
          <w:tcPr>
            <w:tcW w:w="720" w:type="dxa"/>
            <w:tcBorders>
              <w:bottom w:val="single" w:sz="12" w:space="0" w:color="auto"/>
            </w:tcBorders>
          </w:tcPr>
          <w:p w14:paraId="0AE6DDCC" w14:textId="77777777" w:rsidR="0051718E" w:rsidRPr="00557C2A" w:rsidRDefault="0051718E">
            <w:pPr>
              <w:ind w:right="-29"/>
              <w:jc w:val="center"/>
              <w:rPr>
                <w:noProof/>
                <w:sz w:val="18"/>
                <w:szCs w:val="18"/>
              </w:rPr>
            </w:pPr>
          </w:p>
        </w:tc>
        <w:tc>
          <w:tcPr>
            <w:tcW w:w="720" w:type="dxa"/>
            <w:tcBorders>
              <w:bottom w:val="single" w:sz="12" w:space="0" w:color="auto"/>
            </w:tcBorders>
          </w:tcPr>
          <w:p w14:paraId="55D79660" w14:textId="77777777" w:rsidR="0051718E" w:rsidRPr="00557C2A" w:rsidRDefault="0051718E">
            <w:pPr>
              <w:ind w:right="-29"/>
              <w:jc w:val="center"/>
              <w:rPr>
                <w:noProof/>
                <w:sz w:val="18"/>
                <w:szCs w:val="18"/>
              </w:rPr>
            </w:pPr>
          </w:p>
        </w:tc>
        <w:tc>
          <w:tcPr>
            <w:tcW w:w="951" w:type="dxa"/>
            <w:gridSpan w:val="2"/>
            <w:tcBorders>
              <w:bottom w:val="single" w:sz="12" w:space="0" w:color="auto"/>
            </w:tcBorders>
          </w:tcPr>
          <w:p w14:paraId="4AB0D4B7" w14:textId="77777777" w:rsidR="0051718E" w:rsidRPr="00557C2A" w:rsidRDefault="0051718E">
            <w:pPr>
              <w:ind w:right="-29"/>
              <w:jc w:val="center"/>
              <w:rPr>
                <w:noProof/>
                <w:sz w:val="18"/>
                <w:szCs w:val="18"/>
              </w:rPr>
            </w:pPr>
          </w:p>
        </w:tc>
        <w:tc>
          <w:tcPr>
            <w:tcW w:w="588" w:type="dxa"/>
            <w:tcBorders>
              <w:bottom w:val="single" w:sz="12" w:space="0" w:color="auto"/>
            </w:tcBorders>
          </w:tcPr>
          <w:p w14:paraId="7CDD4346" w14:textId="77777777" w:rsidR="0051718E" w:rsidRPr="00557C2A" w:rsidRDefault="0051718E">
            <w:pPr>
              <w:ind w:right="-29"/>
              <w:jc w:val="center"/>
              <w:rPr>
                <w:noProof/>
                <w:sz w:val="18"/>
                <w:szCs w:val="18"/>
              </w:rPr>
            </w:pPr>
          </w:p>
        </w:tc>
        <w:tc>
          <w:tcPr>
            <w:tcW w:w="621" w:type="dxa"/>
            <w:tcBorders>
              <w:bottom w:val="single" w:sz="12" w:space="0" w:color="auto"/>
            </w:tcBorders>
          </w:tcPr>
          <w:p w14:paraId="4F6AC99E" w14:textId="77777777" w:rsidR="0051718E" w:rsidRPr="00557C2A" w:rsidRDefault="0051718E">
            <w:pPr>
              <w:ind w:right="-29"/>
              <w:jc w:val="center"/>
              <w:rPr>
                <w:noProof/>
                <w:sz w:val="18"/>
                <w:szCs w:val="18"/>
              </w:rPr>
            </w:pPr>
          </w:p>
        </w:tc>
        <w:tc>
          <w:tcPr>
            <w:tcW w:w="648" w:type="dxa"/>
            <w:tcBorders>
              <w:bottom w:val="single" w:sz="12" w:space="0" w:color="auto"/>
            </w:tcBorders>
          </w:tcPr>
          <w:p w14:paraId="4EC58F89" w14:textId="77777777" w:rsidR="0051718E" w:rsidRPr="00557C2A" w:rsidRDefault="0051718E">
            <w:pPr>
              <w:ind w:right="-29"/>
              <w:jc w:val="center"/>
              <w:rPr>
                <w:noProof/>
                <w:sz w:val="18"/>
                <w:szCs w:val="18"/>
              </w:rPr>
            </w:pPr>
          </w:p>
        </w:tc>
        <w:tc>
          <w:tcPr>
            <w:tcW w:w="432" w:type="dxa"/>
            <w:tcBorders>
              <w:bottom w:val="single" w:sz="12" w:space="0" w:color="auto"/>
            </w:tcBorders>
          </w:tcPr>
          <w:p w14:paraId="0C204C25" w14:textId="77777777" w:rsidR="0051718E" w:rsidRPr="00557C2A" w:rsidRDefault="0051718E">
            <w:pPr>
              <w:ind w:right="-29"/>
              <w:jc w:val="center"/>
              <w:rPr>
                <w:noProof/>
                <w:sz w:val="18"/>
                <w:szCs w:val="18"/>
              </w:rPr>
            </w:pPr>
          </w:p>
        </w:tc>
        <w:tc>
          <w:tcPr>
            <w:tcW w:w="720" w:type="dxa"/>
            <w:tcBorders>
              <w:bottom w:val="single" w:sz="12" w:space="0" w:color="auto"/>
            </w:tcBorders>
          </w:tcPr>
          <w:p w14:paraId="4E15E4F5" w14:textId="77777777" w:rsidR="0051718E" w:rsidRPr="00557C2A" w:rsidRDefault="0051718E">
            <w:pPr>
              <w:ind w:right="-29"/>
              <w:jc w:val="center"/>
              <w:rPr>
                <w:noProof/>
                <w:sz w:val="18"/>
                <w:szCs w:val="18"/>
              </w:rPr>
            </w:pPr>
          </w:p>
        </w:tc>
        <w:tc>
          <w:tcPr>
            <w:tcW w:w="540" w:type="dxa"/>
            <w:tcBorders>
              <w:bottom w:val="single" w:sz="12" w:space="0" w:color="auto"/>
            </w:tcBorders>
          </w:tcPr>
          <w:p w14:paraId="38FD69B7" w14:textId="77777777" w:rsidR="0051718E" w:rsidRPr="00557C2A" w:rsidRDefault="0051718E">
            <w:pPr>
              <w:ind w:right="-29"/>
              <w:jc w:val="center"/>
              <w:rPr>
                <w:noProof/>
                <w:sz w:val="18"/>
                <w:szCs w:val="18"/>
              </w:rPr>
            </w:pPr>
          </w:p>
        </w:tc>
        <w:tc>
          <w:tcPr>
            <w:tcW w:w="720" w:type="dxa"/>
            <w:tcBorders>
              <w:bottom w:val="single" w:sz="12" w:space="0" w:color="auto"/>
            </w:tcBorders>
          </w:tcPr>
          <w:p w14:paraId="6CCD5BBB" w14:textId="77777777" w:rsidR="0051718E" w:rsidRPr="00557C2A" w:rsidRDefault="0051718E">
            <w:pPr>
              <w:ind w:right="-29"/>
              <w:jc w:val="center"/>
              <w:rPr>
                <w:noProof/>
                <w:sz w:val="18"/>
                <w:szCs w:val="18"/>
              </w:rPr>
            </w:pPr>
          </w:p>
        </w:tc>
        <w:tc>
          <w:tcPr>
            <w:tcW w:w="720" w:type="dxa"/>
            <w:tcBorders>
              <w:bottom w:val="single" w:sz="12" w:space="0" w:color="auto"/>
            </w:tcBorders>
          </w:tcPr>
          <w:p w14:paraId="1D45155D" w14:textId="77777777" w:rsidR="0051718E" w:rsidRPr="00557C2A" w:rsidRDefault="0051718E">
            <w:pPr>
              <w:ind w:right="-29"/>
              <w:jc w:val="center"/>
              <w:rPr>
                <w:noProof/>
                <w:sz w:val="18"/>
                <w:szCs w:val="18"/>
              </w:rPr>
            </w:pPr>
          </w:p>
        </w:tc>
        <w:tc>
          <w:tcPr>
            <w:tcW w:w="900" w:type="dxa"/>
            <w:tcBorders>
              <w:bottom w:val="single" w:sz="12" w:space="0" w:color="auto"/>
            </w:tcBorders>
          </w:tcPr>
          <w:p w14:paraId="7E515125" w14:textId="77777777" w:rsidR="0051718E" w:rsidRPr="00557C2A" w:rsidRDefault="0051718E">
            <w:pPr>
              <w:ind w:right="-29"/>
              <w:jc w:val="center"/>
              <w:rPr>
                <w:noProof/>
                <w:sz w:val="18"/>
                <w:szCs w:val="18"/>
              </w:rPr>
            </w:pPr>
          </w:p>
        </w:tc>
      </w:tr>
      <w:tr w:rsidR="0051718E" w:rsidRPr="00557C2A" w14:paraId="47A90E73" w14:textId="77777777">
        <w:trPr>
          <w:jc w:val="center"/>
        </w:trPr>
        <w:tc>
          <w:tcPr>
            <w:tcW w:w="2844" w:type="dxa"/>
            <w:gridSpan w:val="3"/>
            <w:tcBorders>
              <w:top w:val="single" w:sz="12" w:space="0" w:color="auto"/>
              <w:left w:val="single" w:sz="12" w:space="0" w:color="auto"/>
              <w:bottom w:val="single" w:sz="12" w:space="0" w:color="auto"/>
            </w:tcBorders>
            <w:vAlign w:val="center"/>
          </w:tcPr>
          <w:p w14:paraId="5754C1D2" w14:textId="77777777" w:rsidR="0051718E" w:rsidRPr="00557C2A" w:rsidRDefault="0051718E">
            <w:pPr>
              <w:ind w:right="-29"/>
              <w:jc w:val="center"/>
              <w:rPr>
                <w:noProof/>
                <w:sz w:val="18"/>
                <w:szCs w:val="18"/>
              </w:rPr>
            </w:pPr>
            <w:r w:rsidRPr="00557C2A">
              <w:rPr>
                <w:b/>
                <w:noProof/>
                <w:sz w:val="18"/>
              </w:rPr>
              <w:t>TOTAAL</w:t>
            </w:r>
          </w:p>
        </w:tc>
        <w:tc>
          <w:tcPr>
            <w:tcW w:w="504" w:type="dxa"/>
            <w:tcBorders>
              <w:top w:val="single" w:sz="12" w:space="0" w:color="auto"/>
              <w:bottom w:val="single" w:sz="12" w:space="0" w:color="auto"/>
            </w:tcBorders>
          </w:tcPr>
          <w:p w14:paraId="699C8B86" w14:textId="77777777" w:rsidR="0051718E" w:rsidRPr="00557C2A" w:rsidRDefault="0051718E">
            <w:pPr>
              <w:spacing w:before="180" w:after="180"/>
              <w:ind w:right="-29"/>
              <w:jc w:val="center"/>
              <w:rPr>
                <w:noProof/>
                <w:sz w:val="18"/>
                <w:szCs w:val="18"/>
              </w:rPr>
            </w:pPr>
          </w:p>
        </w:tc>
        <w:tc>
          <w:tcPr>
            <w:tcW w:w="720" w:type="dxa"/>
            <w:tcBorders>
              <w:top w:val="single" w:sz="12" w:space="0" w:color="auto"/>
              <w:bottom w:val="single" w:sz="12" w:space="0" w:color="auto"/>
            </w:tcBorders>
          </w:tcPr>
          <w:p w14:paraId="35A185A6" w14:textId="77777777" w:rsidR="0051718E" w:rsidRPr="00557C2A" w:rsidRDefault="0051718E">
            <w:pPr>
              <w:spacing w:before="180" w:after="180"/>
              <w:ind w:right="-29"/>
              <w:jc w:val="center"/>
              <w:rPr>
                <w:noProof/>
                <w:sz w:val="18"/>
                <w:szCs w:val="18"/>
              </w:rPr>
            </w:pPr>
          </w:p>
        </w:tc>
        <w:tc>
          <w:tcPr>
            <w:tcW w:w="540" w:type="dxa"/>
            <w:tcBorders>
              <w:top w:val="single" w:sz="12" w:space="0" w:color="auto"/>
              <w:bottom w:val="single" w:sz="12" w:space="0" w:color="auto"/>
            </w:tcBorders>
          </w:tcPr>
          <w:p w14:paraId="1090EF59" w14:textId="77777777" w:rsidR="0051718E" w:rsidRPr="00557C2A" w:rsidRDefault="0051718E">
            <w:pPr>
              <w:spacing w:before="180" w:after="180"/>
              <w:ind w:right="-29"/>
              <w:jc w:val="center"/>
              <w:rPr>
                <w:noProof/>
                <w:sz w:val="18"/>
                <w:szCs w:val="18"/>
              </w:rPr>
            </w:pPr>
          </w:p>
        </w:tc>
        <w:tc>
          <w:tcPr>
            <w:tcW w:w="720" w:type="dxa"/>
            <w:tcBorders>
              <w:top w:val="single" w:sz="12" w:space="0" w:color="auto"/>
              <w:bottom w:val="single" w:sz="12" w:space="0" w:color="auto"/>
            </w:tcBorders>
          </w:tcPr>
          <w:p w14:paraId="233AEC18" w14:textId="77777777" w:rsidR="0051718E" w:rsidRPr="00557C2A" w:rsidRDefault="0051718E">
            <w:pPr>
              <w:spacing w:before="180" w:after="180"/>
              <w:ind w:right="-29"/>
              <w:jc w:val="center"/>
              <w:rPr>
                <w:noProof/>
                <w:sz w:val="18"/>
                <w:szCs w:val="18"/>
              </w:rPr>
            </w:pPr>
          </w:p>
        </w:tc>
        <w:tc>
          <w:tcPr>
            <w:tcW w:w="720" w:type="dxa"/>
            <w:tcBorders>
              <w:top w:val="single" w:sz="12" w:space="0" w:color="auto"/>
              <w:bottom w:val="single" w:sz="12" w:space="0" w:color="auto"/>
            </w:tcBorders>
          </w:tcPr>
          <w:p w14:paraId="2680287E" w14:textId="77777777" w:rsidR="0051718E" w:rsidRPr="00557C2A" w:rsidRDefault="0051718E">
            <w:pPr>
              <w:spacing w:before="180" w:after="180"/>
              <w:ind w:right="-29"/>
              <w:jc w:val="center"/>
              <w:rPr>
                <w:noProof/>
                <w:sz w:val="18"/>
                <w:szCs w:val="18"/>
              </w:rPr>
            </w:pPr>
          </w:p>
        </w:tc>
        <w:tc>
          <w:tcPr>
            <w:tcW w:w="720" w:type="dxa"/>
            <w:tcBorders>
              <w:top w:val="single" w:sz="12" w:space="0" w:color="auto"/>
              <w:bottom w:val="single" w:sz="12" w:space="0" w:color="auto"/>
            </w:tcBorders>
          </w:tcPr>
          <w:p w14:paraId="1D9E2019" w14:textId="77777777" w:rsidR="0051718E" w:rsidRPr="00557C2A" w:rsidRDefault="0051718E">
            <w:pPr>
              <w:spacing w:before="180" w:after="180"/>
              <w:ind w:right="-29"/>
              <w:jc w:val="center"/>
              <w:rPr>
                <w:noProof/>
                <w:sz w:val="18"/>
                <w:szCs w:val="18"/>
              </w:rPr>
            </w:pPr>
          </w:p>
        </w:tc>
        <w:tc>
          <w:tcPr>
            <w:tcW w:w="900" w:type="dxa"/>
            <w:tcBorders>
              <w:top w:val="single" w:sz="12" w:space="0" w:color="auto"/>
              <w:bottom w:val="single" w:sz="12" w:space="0" w:color="auto"/>
            </w:tcBorders>
          </w:tcPr>
          <w:p w14:paraId="56422D02" w14:textId="77777777" w:rsidR="0051718E" w:rsidRPr="00557C2A" w:rsidRDefault="0051718E">
            <w:pPr>
              <w:spacing w:before="180" w:after="180"/>
              <w:ind w:right="-29"/>
              <w:jc w:val="center"/>
              <w:rPr>
                <w:noProof/>
                <w:sz w:val="18"/>
                <w:szCs w:val="18"/>
              </w:rPr>
            </w:pPr>
          </w:p>
        </w:tc>
        <w:tc>
          <w:tcPr>
            <w:tcW w:w="639" w:type="dxa"/>
            <w:gridSpan w:val="2"/>
            <w:tcBorders>
              <w:top w:val="single" w:sz="12" w:space="0" w:color="auto"/>
              <w:bottom w:val="single" w:sz="12" w:space="0" w:color="auto"/>
            </w:tcBorders>
          </w:tcPr>
          <w:p w14:paraId="43C57BF8" w14:textId="77777777" w:rsidR="0051718E" w:rsidRPr="00557C2A" w:rsidRDefault="0051718E">
            <w:pPr>
              <w:spacing w:before="180" w:after="180"/>
              <w:ind w:right="-29"/>
              <w:jc w:val="center"/>
              <w:rPr>
                <w:noProof/>
                <w:sz w:val="18"/>
                <w:szCs w:val="18"/>
              </w:rPr>
            </w:pPr>
          </w:p>
        </w:tc>
        <w:tc>
          <w:tcPr>
            <w:tcW w:w="621" w:type="dxa"/>
            <w:tcBorders>
              <w:top w:val="single" w:sz="12" w:space="0" w:color="auto"/>
              <w:bottom w:val="single" w:sz="12" w:space="0" w:color="auto"/>
            </w:tcBorders>
          </w:tcPr>
          <w:p w14:paraId="0A31B58F" w14:textId="77777777" w:rsidR="0051718E" w:rsidRPr="00557C2A" w:rsidRDefault="0051718E">
            <w:pPr>
              <w:spacing w:before="180" w:after="180"/>
              <w:ind w:right="-29"/>
              <w:jc w:val="center"/>
              <w:rPr>
                <w:noProof/>
                <w:sz w:val="18"/>
                <w:szCs w:val="18"/>
              </w:rPr>
            </w:pPr>
          </w:p>
        </w:tc>
        <w:tc>
          <w:tcPr>
            <w:tcW w:w="648" w:type="dxa"/>
            <w:tcBorders>
              <w:top w:val="single" w:sz="12" w:space="0" w:color="auto"/>
              <w:bottom w:val="single" w:sz="12" w:space="0" w:color="auto"/>
            </w:tcBorders>
          </w:tcPr>
          <w:p w14:paraId="300EE7F9" w14:textId="77777777" w:rsidR="0051718E" w:rsidRPr="00557C2A" w:rsidRDefault="0051718E">
            <w:pPr>
              <w:spacing w:before="180" w:after="180"/>
              <w:ind w:right="-29"/>
              <w:jc w:val="center"/>
              <w:rPr>
                <w:noProof/>
                <w:sz w:val="18"/>
                <w:szCs w:val="18"/>
              </w:rPr>
            </w:pPr>
          </w:p>
        </w:tc>
        <w:tc>
          <w:tcPr>
            <w:tcW w:w="432" w:type="dxa"/>
            <w:tcBorders>
              <w:top w:val="single" w:sz="12" w:space="0" w:color="auto"/>
              <w:bottom w:val="single" w:sz="12" w:space="0" w:color="auto"/>
            </w:tcBorders>
          </w:tcPr>
          <w:p w14:paraId="46E5F7B3" w14:textId="77777777" w:rsidR="0051718E" w:rsidRPr="00557C2A" w:rsidRDefault="0051718E">
            <w:pPr>
              <w:spacing w:before="180" w:after="180"/>
              <w:ind w:right="-29"/>
              <w:jc w:val="center"/>
              <w:rPr>
                <w:noProof/>
                <w:sz w:val="18"/>
                <w:szCs w:val="18"/>
              </w:rPr>
            </w:pPr>
          </w:p>
        </w:tc>
        <w:tc>
          <w:tcPr>
            <w:tcW w:w="720" w:type="dxa"/>
            <w:tcBorders>
              <w:top w:val="single" w:sz="12" w:space="0" w:color="auto"/>
              <w:bottom w:val="single" w:sz="12" w:space="0" w:color="auto"/>
            </w:tcBorders>
          </w:tcPr>
          <w:p w14:paraId="7F5C695D" w14:textId="77777777" w:rsidR="0051718E" w:rsidRPr="00557C2A" w:rsidRDefault="0051718E">
            <w:pPr>
              <w:spacing w:before="180" w:after="180"/>
              <w:ind w:right="-29"/>
              <w:jc w:val="center"/>
              <w:rPr>
                <w:noProof/>
                <w:sz w:val="18"/>
                <w:szCs w:val="18"/>
              </w:rPr>
            </w:pPr>
          </w:p>
        </w:tc>
        <w:tc>
          <w:tcPr>
            <w:tcW w:w="540" w:type="dxa"/>
            <w:tcBorders>
              <w:top w:val="single" w:sz="12" w:space="0" w:color="auto"/>
              <w:bottom w:val="single" w:sz="12" w:space="0" w:color="auto"/>
            </w:tcBorders>
          </w:tcPr>
          <w:p w14:paraId="1742FEBD" w14:textId="77777777" w:rsidR="0051718E" w:rsidRPr="00557C2A" w:rsidRDefault="0051718E">
            <w:pPr>
              <w:spacing w:before="180" w:after="180"/>
              <w:ind w:right="-29"/>
              <w:jc w:val="center"/>
              <w:rPr>
                <w:noProof/>
                <w:sz w:val="18"/>
                <w:szCs w:val="18"/>
              </w:rPr>
            </w:pPr>
          </w:p>
        </w:tc>
        <w:tc>
          <w:tcPr>
            <w:tcW w:w="720" w:type="dxa"/>
            <w:tcBorders>
              <w:top w:val="single" w:sz="12" w:space="0" w:color="auto"/>
              <w:bottom w:val="single" w:sz="12" w:space="0" w:color="auto"/>
            </w:tcBorders>
          </w:tcPr>
          <w:p w14:paraId="00334625" w14:textId="77777777" w:rsidR="0051718E" w:rsidRPr="00557C2A" w:rsidRDefault="0051718E">
            <w:pPr>
              <w:spacing w:before="180" w:after="180"/>
              <w:ind w:right="-29"/>
              <w:jc w:val="center"/>
              <w:rPr>
                <w:noProof/>
                <w:sz w:val="18"/>
                <w:szCs w:val="18"/>
              </w:rPr>
            </w:pPr>
          </w:p>
        </w:tc>
        <w:tc>
          <w:tcPr>
            <w:tcW w:w="720" w:type="dxa"/>
            <w:tcBorders>
              <w:top w:val="single" w:sz="12" w:space="0" w:color="auto"/>
              <w:bottom w:val="single" w:sz="12" w:space="0" w:color="auto"/>
            </w:tcBorders>
          </w:tcPr>
          <w:p w14:paraId="4A16B6BC" w14:textId="77777777" w:rsidR="0051718E" w:rsidRPr="00557C2A" w:rsidRDefault="0051718E">
            <w:pPr>
              <w:spacing w:before="180" w:after="180"/>
              <w:ind w:right="-29"/>
              <w:jc w:val="center"/>
              <w:rPr>
                <w:noProof/>
                <w:sz w:val="18"/>
                <w:szCs w:val="18"/>
              </w:rPr>
            </w:pPr>
          </w:p>
        </w:tc>
        <w:tc>
          <w:tcPr>
            <w:tcW w:w="900" w:type="dxa"/>
            <w:tcBorders>
              <w:top w:val="single" w:sz="12" w:space="0" w:color="auto"/>
              <w:bottom w:val="single" w:sz="12" w:space="0" w:color="auto"/>
              <w:right w:val="single" w:sz="12" w:space="0" w:color="auto"/>
            </w:tcBorders>
          </w:tcPr>
          <w:p w14:paraId="646D141A" w14:textId="77777777" w:rsidR="0051718E" w:rsidRPr="00557C2A" w:rsidRDefault="0051718E">
            <w:pPr>
              <w:spacing w:before="180" w:after="180"/>
              <w:ind w:right="-29"/>
              <w:jc w:val="center"/>
              <w:rPr>
                <w:noProof/>
                <w:sz w:val="18"/>
                <w:szCs w:val="18"/>
              </w:rPr>
            </w:pPr>
          </w:p>
        </w:tc>
      </w:tr>
    </w:tbl>
    <w:p w14:paraId="3B9C25EC" w14:textId="77777777" w:rsidR="0051718E" w:rsidRPr="00557C2A" w:rsidRDefault="0051718E" w:rsidP="0051718E">
      <w:pPr>
        <w:rPr>
          <w:noProof/>
        </w:rPr>
        <w:sectPr w:rsidR="0051718E" w:rsidRPr="00557C2A" w:rsidSect="009832A3">
          <w:headerReference w:type="default" r:id="rId17"/>
          <w:footerReference w:type="default" r:id="rId18"/>
          <w:pgSz w:w="16840" w:h="11907" w:orient="landscape" w:code="9"/>
          <w:pgMar w:top="1134" w:right="1418" w:bottom="567" w:left="1418" w:header="709" w:footer="709" w:gutter="0"/>
          <w:cols w:space="708"/>
          <w:docGrid w:linePitch="360"/>
        </w:sectPr>
      </w:pPr>
    </w:p>
    <w:p w14:paraId="7067A7E5" w14:textId="77777777" w:rsidR="0051718E" w:rsidRPr="00557C2A" w:rsidRDefault="0051718E" w:rsidP="0051718E">
      <w:pPr>
        <w:pStyle w:val="ManualHeading3"/>
        <w:rPr>
          <w:bCs/>
          <w:noProof/>
          <w:szCs w:val="24"/>
        </w:rPr>
      </w:pPr>
      <w:bookmarkStart w:id="151" w:name="_Toc514938055"/>
      <w:bookmarkStart w:id="152" w:name="_Toc520485054"/>
      <w:bookmarkStart w:id="153" w:name="_Toc160804598"/>
      <w:bookmarkStart w:id="154" w:name="_Toc167220290"/>
      <w:bookmarkStart w:id="155" w:name="_Toc177549023"/>
      <w:r w:rsidRPr="00557C2A">
        <w:rPr>
          <w:noProof/>
        </w:rPr>
        <w:t>3.2.3.</w:t>
      </w:r>
      <w:r w:rsidRPr="00557C2A">
        <w:rPr>
          <w:noProof/>
        </w:rPr>
        <w:tab/>
        <w:t>Samenvatting van de geraamde gevolgen voor de administratieve kredieten</w:t>
      </w:r>
      <w:bookmarkEnd w:id="151"/>
      <w:bookmarkEnd w:id="152"/>
      <w:bookmarkEnd w:id="153"/>
      <w:bookmarkEnd w:id="154"/>
      <w:bookmarkEnd w:id="155"/>
      <w:r w:rsidRPr="00557C2A">
        <w:rPr>
          <w:noProof/>
        </w:rPr>
        <w:t xml:space="preserve"> </w:t>
      </w:r>
    </w:p>
    <w:p w14:paraId="53A1023D" w14:textId="77777777" w:rsidR="0051718E" w:rsidRPr="00557C2A" w:rsidRDefault="0051718E" w:rsidP="0051718E">
      <w:pPr>
        <w:pStyle w:val="ListDash1"/>
        <w:rPr>
          <w:noProof/>
        </w:rPr>
      </w:pPr>
      <w:r w:rsidRPr="00557C2A">
        <w:rPr>
          <w:rFonts w:ascii="Wingdings" w:hAnsi="Wingdings"/>
          <w:noProof/>
        </w:rPr>
        <w:t></w:t>
      </w:r>
      <w:r w:rsidRPr="00557C2A">
        <w:rPr>
          <w:noProof/>
        </w:rPr>
        <w:tab/>
        <w:t xml:space="preserve">Voor het voorstel/initiatief zijn geen administratieve kredieten nodig </w:t>
      </w:r>
    </w:p>
    <w:p w14:paraId="62DFB659" w14:textId="77777777" w:rsidR="0051718E" w:rsidRPr="00557C2A" w:rsidRDefault="0051718E" w:rsidP="0051718E">
      <w:pPr>
        <w:pStyle w:val="ListDash1"/>
        <w:rPr>
          <w:noProof/>
        </w:rPr>
      </w:pPr>
      <w:r w:rsidRPr="00557C2A">
        <w:rPr>
          <w:rFonts w:ascii="Wingdings" w:hAnsi="Wingdings"/>
          <w:noProof/>
        </w:rPr>
        <w:t></w:t>
      </w:r>
      <w:r w:rsidRPr="00557C2A">
        <w:rPr>
          <w:noProof/>
        </w:rPr>
        <w:tab/>
        <w:t>Voor het voorstel/initiatief zijn administratieve kredieten nodig, zoals hieronder nader wordt beschreven</w:t>
      </w:r>
    </w:p>
    <w:p w14:paraId="3B636C85" w14:textId="77777777" w:rsidR="0051718E" w:rsidRPr="00557C2A" w:rsidRDefault="0051718E" w:rsidP="0051718E">
      <w:pPr>
        <w:pStyle w:val="ManualHeading3"/>
        <w:rPr>
          <w:noProof/>
        </w:rPr>
      </w:pPr>
      <w:bookmarkStart w:id="156" w:name="_Toc167220291"/>
      <w:bookmarkStart w:id="157" w:name="_Toc177549024"/>
      <w:r w:rsidRPr="00557C2A">
        <w:rPr>
          <w:noProof/>
        </w:rPr>
        <w:t>3.2.3.1. Kredieten uit goedgekeurde begroting</w:t>
      </w:r>
      <w:bookmarkEnd w:id="156"/>
      <w:bookmarkEnd w:id="157"/>
    </w:p>
    <w:tbl>
      <w:tblPr>
        <w:tblW w:w="5000" w:type="pct"/>
        <w:tblLook w:val="04A0" w:firstRow="1" w:lastRow="0" w:firstColumn="1" w:lastColumn="0" w:noHBand="0" w:noVBand="1"/>
      </w:tblPr>
      <w:tblGrid>
        <w:gridCol w:w="2908"/>
        <w:gridCol w:w="735"/>
        <w:gridCol w:w="733"/>
        <w:gridCol w:w="733"/>
        <w:gridCol w:w="733"/>
        <w:gridCol w:w="826"/>
        <w:gridCol w:w="822"/>
        <w:gridCol w:w="822"/>
        <w:gridCol w:w="977"/>
      </w:tblGrid>
      <w:tr w:rsidR="0051718E" w:rsidRPr="00557C2A" w14:paraId="742624C9" w14:textId="77777777" w:rsidTr="00B37C03">
        <w:trPr>
          <w:trHeight w:val="300"/>
        </w:trPr>
        <w:tc>
          <w:tcPr>
            <w:tcW w:w="1574" w:type="pct"/>
            <w:vMerge w:val="restart"/>
            <w:tcBorders>
              <w:top w:val="single" w:sz="8" w:space="0" w:color="auto"/>
              <w:left w:val="single" w:sz="8" w:space="0" w:color="auto"/>
              <w:bottom w:val="single" w:sz="8" w:space="0" w:color="auto"/>
              <w:right w:val="single" w:sz="8" w:space="0" w:color="auto"/>
            </w:tcBorders>
            <w:vAlign w:val="center"/>
            <w:hideMark/>
          </w:tcPr>
          <w:p w14:paraId="7046EB47" w14:textId="77777777" w:rsidR="0051718E" w:rsidRPr="00557C2A" w:rsidRDefault="0051718E">
            <w:pPr>
              <w:spacing w:before="0" w:after="0"/>
              <w:jc w:val="center"/>
              <w:rPr>
                <w:b/>
                <w:bCs/>
                <w:noProof/>
                <w:color w:val="000000"/>
                <w:sz w:val="18"/>
                <w:szCs w:val="18"/>
              </w:rPr>
            </w:pPr>
            <w:r w:rsidRPr="00557C2A">
              <w:rPr>
                <w:b/>
                <w:noProof/>
                <w:color w:val="000000"/>
                <w:sz w:val="18"/>
              </w:rPr>
              <w:t>GOEDGEKEURDE KREDIETEN</w:t>
            </w:r>
          </w:p>
        </w:tc>
        <w:tc>
          <w:tcPr>
            <w:tcW w:w="404" w:type="pct"/>
            <w:tcBorders>
              <w:top w:val="single" w:sz="8" w:space="0" w:color="auto"/>
              <w:left w:val="nil"/>
              <w:bottom w:val="single" w:sz="8" w:space="0" w:color="auto"/>
              <w:right w:val="single" w:sz="8" w:space="0" w:color="auto"/>
            </w:tcBorders>
            <w:vAlign w:val="center"/>
            <w:hideMark/>
          </w:tcPr>
          <w:p w14:paraId="6BBCEF23" w14:textId="77777777" w:rsidR="0051718E" w:rsidRPr="00557C2A" w:rsidRDefault="0051718E">
            <w:pPr>
              <w:spacing w:before="0" w:after="0"/>
              <w:jc w:val="center"/>
              <w:rPr>
                <w:noProof/>
                <w:color w:val="000000"/>
                <w:sz w:val="18"/>
                <w:szCs w:val="18"/>
              </w:rPr>
            </w:pPr>
            <w:r w:rsidRPr="00557C2A">
              <w:rPr>
                <w:noProof/>
                <w:color w:val="000000"/>
                <w:sz w:val="18"/>
              </w:rPr>
              <w:t>Jaar</w:t>
            </w:r>
          </w:p>
        </w:tc>
        <w:tc>
          <w:tcPr>
            <w:tcW w:w="403" w:type="pct"/>
            <w:tcBorders>
              <w:top w:val="single" w:sz="8" w:space="0" w:color="auto"/>
              <w:left w:val="nil"/>
              <w:bottom w:val="single" w:sz="8" w:space="0" w:color="auto"/>
              <w:right w:val="single" w:sz="8" w:space="0" w:color="auto"/>
            </w:tcBorders>
            <w:vAlign w:val="center"/>
            <w:hideMark/>
          </w:tcPr>
          <w:p w14:paraId="4A2F04BB" w14:textId="77777777" w:rsidR="0051718E" w:rsidRPr="00557C2A" w:rsidRDefault="0051718E">
            <w:pPr>
              <w:spacing w:before="0" w:after="0"/>
              <w:jc w:val="center"/>
              <w:rPr>
                <w:noProof/>
                <w:color w:val="000000"/>
                <w:sz w:val="18"/>
                <w:szCs w:val="18"/>
              </w:rPr>
            </w:pPr>
            <w:r w:rsidRPr="00557C2A">
              <w:rPr>
                <w:noProof/>
                <w:color w:val="000000"/>
                <w:sz w:val="18"/>
              </w:rPr>
              <w:t>Jaar</w:t>
            </w:r>
          </w:p>
        </w:tc>
        <w:tc>
          <w:tcPr>
            <w:tcW w:w="403" w:type="pct"/>
            <w:tcBorders>
              <w:top w:val="single" w:sz="8" w:space="0" w:color="auto"/>
              <w:left w:val="nil"/>
              <w:bottom w:val="single" w:sz="8" w:space="0" w:color="auto"/>
              <w:right w:val="single" w:sz="8" w:space="0" w:color="auto"/>
            </w:tcBorders>
            <w:vAlign w:val="center"/>
            <w:hideMark/>
          </w:tcPr>
          <w:p w14:paraId="08D54CE2" w14:textId="77777777" w:rsidR="0051718E" w:rsidRPr="00557C2A" w:rsidRDefault="0051718E">
            <w:pPr>
              <w:spacing w:before="0" w:after="0"/>
              <w:jc w:val="center"/>
              <w:rPr>
                <w:noProof/>
                <w:color w:val="000000"/>
                <w:sz w:val="18"/>
                <w:szCs w:val="18"/>
              </w:rPr>
            </w:pPr>
            <w:r w:rsidRPr="00557C2A">
              <w:rPr>
                <w:noProof/>
                <w:color w:val="000000"/>
                <w:sz w:val="18"/>
              </w:rPr>
              <w:t>Jaar</w:t>
            </w:r>
          </w:p>
        </w:tc>
        <w:tc>
          <w:tcPr>
            <w:tcW w:w="403" w:type="pct"/>
            <w:tcBorders>
              <w:top w:val="single" w:sz="8" w:space="0" w:color="auto"/>
              <w:left w:val="nil"/>
              <w:bottom w:val="single" w:sz="8" w:space="0" w:color="auto"/>
              <w:right w:val="single" w:sz="8" w:space="0" w:color="auto"/>
            </w:tcBorders>
            <w:vAlign w:val="center"/>
            <w:hideMark/>
          </w:tcPr>
          <w:p w14:paraId="79F3307F" w14:textId="77777777" w:rsidR="0051718E" w:rsidRPr="00557C2A" w:rsidRDefault="0051718E">
            <w:pPr>
              <w:spacing w:before="0" w:after="0"/>
              <w:jc w:val="center"/>
              <w:rPr>
                <w:noProof/>
                <w:color w:val="000000"/>
                <w:sz w:val="18"/>
                <w:szCs w:val="18"/>
              </w:rPr>
            </w:pPr>
            <w:r w:rsidRPr="00557C2A">
              <w:rPr>
                <w:noProof/>
                <w:color w:val="000000"/>
                <w:sz w:val="18"/>
              </w:rPr>
              <w:t>Jaar</w:t>
            </w:r>
          </w:p>
        </w:tc>
        <w:tc>
          <w:tcPr>
            <w:tcW w:w="453" w:type="pct"/>
            <w:tcBorders>
              <w:top w:val="single" w:sz="8" w:space="0" w:color="auto"/>
              <w:left w:val="single" w:sz="8" w:space="0" w:color="auto"/>
              <w:bottom w:val="single" w:sz="8" w:space="0" w:color="auto"/>
              <w:right w:val="single" w:sz="8" w:space="0" w:color="auto"/>
            </w:tcBorders>
            <w:vAlign w:val="center"/>
          </w:tcPr>
          <w:p w14:paraId="01987366" w14:textId="77777777" w:rsidR="0051718E" w:rsidRPr="00557C2A" w:rsidRDefault="0051718E">
            <w:pPr>
              <w:spacing w:before="0" w:after="0"/>
              <w:jc w:val="center"/>
              <w:rPr>
                <w:noProof/>
                <w:color w:val="000000"/>
                <w:sz w:val="18"/>
                <w:szCs w:val="18"/>
              </w:rPr>
            </w:pPr>
            <w:r w:rsidRPr="00557C2A">
              <w:rPr>
                <w:noProof/>
                <w:color w:val="000000"/>
                <w:sz w:val="18"/>
              </w:rPr>
              <w:t>Jaar</w:t>
            </w:r>
          </w:p>
        </w:tc>
        <w:tc>
          <w:tcPr>
            <w:tcW w:w="451" w:type="pct"/>
            <w:tcBorders>
              <w:top w:val="single" w:sz="8" w:space="0" w:color="auto"/>
              <w:left w:val="single" w:sz="8" w:space="0" w:color="auto"/>
              <w:bottom w:val="single" w:sz="8" w:space="0" w:color="auto"/>
              <w:right w:val="single" w:sz="8" w:space="0" w:color="auto"/>
            </w:tcBorders>
            <w:vAlign w:val="center"/>
          </w:tcPr>
          <w:p w14:paraId="508FBBE3" w14:textId="77777777" w:rsidR="0051718E" w:rsidRPr="00557C2A" w:rsidRDefault="0051718E">
            <w:pPr>
              <w:spacing w:before="0" w:after="0"/>
              <w:jc w:val="center"/>
              <w:rPr>
                <w:noProof/>
                <w:color w:val="000000"/>
                <w:sz w:val="18"/>
                <w:szCs w:val="18"/>
              </w:rPr>
            </w:pPr>
            <w:r w:rsidRPr="00557C2A">
              <w:rPr>
                <w:noProof/>
                <w:color w:val="000000"/>
                <w:sz w:val="18"/>
              </w:rPr>
              <w:t>Jaar</w:t>
            </w:r>
          </w:p>
        </w:tc>
        <w:tc>
          <w:tcPr>
            <w:tcW w:w="451" w:type="pct"/>
            <w:tcBorders>
              <w:top w:val="single" w:sz="8" w:space="0" w:color="auto"/>
              <w:left w:val="single" w:sz="8" w:space="0" w:color="auto"/>
              <w:bottom w:val="single" w:sz="8" w:space="0" w:color="auto"/>
              <w:right w:val="single" w:sz="8" w:space="0" w:color="auto"/>
            </w:tcBorders>
            <w:vAlign w:val="center"/>
          </w:tcPr>
          <w:p w14:paraId="3527D745" w14:textId="77777777" w:rsidR="0051718E" w:rsidRPr="00557C2A" w:rsidRDefault="0051718E">
            <w:pPr>
              <w:spacing w:before="0" w:after="0"/>
              <w:jc w:val="center"/>
              <w:rPr>
                <w:noProof/>
                <w:color w:val="000000"/>
                <w:sz w:val="18"/>
                <w:szCs w:val="18"/>
              </w:rPr>
            </w:pPr>
            <w:r w:rsidRPr="00557C2A">
              <w:rPr>
                <w:noProof/>
                <w:color w:val="000000"/>
                <w:sz w:val="18"/>
              </w:rPr>
              <w:t>Jaar</w:t>
            </w:r>
          </w:p>
        </w:tc>
        <w:tc>
          <w:tcPr>
            <w:tcW w:w="457" w:type="pct"/>
            <w:vMerge w:val="restart"/>
            <w:tcBorders>
              <w:top w:val="single" w:sz="8" w:space="0" w:color="auto"/>
              <w:left w:val="single" w:sz="8" w:space="0" w:color="auto"/>
              <w:bottom w:val="single" w:sz="8" w:space="0" w:color="auto"/>
              <w:right w:val="single" w:sz="8" w:space="0" w:color="auto"/>
            </w:tcBorders>
            <w:vAlign w:val="center"/>
            <w:hideMark/>
          </w:tcPr>
          <w:p w14:paraId="547A5545" w14:textId="77777777" w:rsidR="0051718E" w:rsidRPr="00557C2A" w:rsidRDefault="0051718E">
            <w:pPr>
              <w:spacing w:before="0" w:after="0"/>
              <w:jc w:val="center"/>
              <w:rPr>
                <w:b/>
                <w:bCs/>
                <w:noProof/>
                <w:color w:val="000000"/>
                <w:sz w:val="18"/>
                <w:szCs w:val="18"/>
              </w:rPr>
            </w:pPr>
            <w:r w:rsidRPr="00557C2A">
              <w:rPr>
                <w:b/>
                <w:noProof/>
                <w:color w:val="000000"/>
                <w:sz w:val="18"/>
              </w:rPr>
              <w:t>TOTAAL 2028-2034</w:t>
            </w:r>
          </w:p>
        </w:tc>
      </w:tr>
      <w:tr w:rsidR="0051718E" w:rsidRPr="00557C2A" w14:paraId="2F54F110" w14:textId="77777777" w:rsidTr="00B37C03">
        <w:trPr>
          <w:trHeight w:val="300"/>
        </w:trPr>
        <w:tc>
          <w:tcPr>
            <w:tcW w:w="1574" w:type="pct"/>
            <w:vMerge/>
            <w:tcBorders>
              <w:top w:val="single" w:sz="8" w:space="0" w:color="auto"/>
              <w:left w:val="single" w:sz="8" w:space="0" w:color="auto"/>
              <w:bottom w:val="single" w:sz="8" w:space="0" w:color="auto"/>
              <w:right w:val="single" w:sz="8" w:space="0" w:color="auto"/>
            </w:tcBorders>
            <w:vAlign w:val="center"/>
            <w:hideMark/>
          </w:tcPr>
          <w:p w14:paraId="765E225C" w14:textId="77777777" w:rsidR="0051718E" w:rsidRPr="00557C2A" w:rsidRDefault="0051718E">
            <w:pPr>
              <w:spacing w:before="0" w:after="0"/>
              <w:jc w:val="left"/>
              <w:rPr>
                <w:b/>
                <w:bCs/>
                <w:noProof/>
                <w:color w:val="000000"/>
                <w:sz w:val="18"/>
                <w:szCs w:val="18"/>
                <w:lang w:eastAsia="en-IE"/>
              </w:rPr>
            </w:pPr>
          </w:p>
        </w:tc>
        <w:tc>
          <w:tcPr>
            <w:tcW w:w="404" w:type="pct"/>
            <w:tcBorders>
              <w:top w:val="nil"/>
              <w:left w:val="nil"/>
              <w:bottom w:val="single" w:sz="8" w:space="0" w:color="auto"/>
              <w:right w:val="single" w:sz="8" w:space="0" w:color="auto"/>
            </w:tcBorders>
            <w:vAlign w:val="center"/>
            <w:hideMark/>
          </w:tcPr>
          <w:p w14:paraId="145920A1" w14:textId="77777777" w:rsidR="0051718E" w:rsidRPr="00557C2A" w:rsidRDefault="0051718E">
            <w:pPr>
              <w:spacing w:before="0" w:after="0"/>
              <w:jc w:val="center"/>
              <w:rPr>
                <w:b/>
                <w:bCs/>
                <w:noProof/>
                <w:color w:val="000000"/>
                <w:sz w:val="18"/>
                <w:szCs w:val="18"/>
              </w:rPr>
            </w:pPr>
            <w:r w:rsidRPr="00557C2A">
              <w:rPr>
                <w:b/>
                <w:noProof/>
                <w:color w:val="000000"/>
                <w:sz w:val="18"/>
              </w:rPr>
              <w:t>2028</w:t>
            </w:r>
          </w:p>
        </w:tc>
        <w:tc>
          <w:tcPr>
            <w:tcW w:w="403" w:type="pct"/>
            <w:tcBorders>
              <w:top w:val="nil"/>
              <w:left w:val="nil"/>
              <w:bottom w:val="single" w:sz="8" w:space="0" w:color="auto"/>
              <w:right w:val="single" w:sz="8" w:space="0" w:color="auto"/>
            </w:tcBorders>
            <w:vAlign w:val="center"/>
            <w:hideMark/>
          </w:tcPr>
          <w:p w14:paraId="3A45880C" w14:textId="77777777" w:rsidR="0051718E" w:rsidRPr="00557C2A" w:rsidRDefault="0051718E">
            <w:pPr>
              <w:spacing w:before="0" w:after="0"/>
              <w:jc w:val="center"/>
              <w:rPr>
                <w:b/>
                <w:bCs/>
                <w:noProof/>
                <w:color w:val="000000"/>
                <w:sz w:val="18"/>
                <w:szCs w:val="18"/>
              </w:rPr>
            </w:pPr>
            <w:r w:rsidRPr="00557C2A">
              <w:rPr>
                <w:b/>
                <w:noProof/>
                <w:color w:val="000000"/>
                <w:sz w:val="18"/>
              </w:rPr>
              <w:t>2029</w:t>
            </w:r>
          </w:p>
        </w:tc>
        <w:tc>
          <w:tcPr>
            <w:tcW w:w="403" w:type="pct"/>
            <w:tcBorders>
              <w:top w:val="nil"/>
              <w:left w:val="nil"/>
              <w:bottom w:val="single" w:sz="8" w:space="0" w:color="auto"/>
              <w:right w:val="single" w:sz="8" w:space="0" w:color="auto"/>
            </w:tcBorders>
            <w:vAlign w:val="center"/>
            <w:hideMark/>
          </w:tcPr>
          <w:p w14:paraId="1880F9BF" w14:textId="77777777" w:rsidR="0051718E" w:rsidRPr="00557C2A" w:rsidRDefault="0051718E">
            <w:pPr>
              <w:spacing w:before="0" w:after="0"/>
              <w:jc w:val="center"/>
              <w:rPr>
                <w:b/>
                <w:bCs/>
                <w:noProof/>
                <w:color w:val="000000"/>
                <w:sz w:val="18"/>
                <w:szCs w:val="18"/>
              </w:rPr>
            </w:pPr>
            <w:r w:rsidRPr="00557C2A">
              <w:rPr>
                <w:b/>
                <w:noProof/>
                <w:color w:val="000000"/>
                <w:sz w:val="18"/>
              </w:rPr>
              <w:t>2030</w:t>
            </w:r>
          </w:p>
        </w:tc>
        <w:tc>
          <w:tcPr>
            <w:tcW w:w="403" w:type="pct"/>
            <w:tcBorders>
              <w:top w:val="nil"/>
              <w:left w:val="nil"/>
              <w:bottom w:val="single" w:sz="8" w:space="0" w:color="auto"/>
              <w:right w:val="single" w:sz="8" w:space="0" w:color="auto"/>
            </w:tcBorders>
            <w:vAlign w:val="center"/>
            <w:hideMark/>
          </w:tcPr>
          <w:p w14:paraId="26F9CF82" w14:textId="77777777" w:rsidR="0051718E" w:rsidRPr="00557C2A" w:rsidRDefault="0051718E">
            <w:pPr>
              <w:spacing w:before="0" w:after="0"/>
              <w:jc w:val="center"/>
              <w:rPr>
                <w:b/>
                <w:bCs/>
                <w:noProof/>
                <w:color w:val="000000"/>
                <w:sz w:val="18"/>
                <w:szCs w:val="18"/>
              </w:rPr>
            </w:pPr>
            <w:r w:rsidRPr="00557C2A">
              <w:rPr>
                <w:b/>
                <w:noProof/>
                <w:color w:val="000000"/>
                <w:sz w:val="18"/>
              </w:rPr>
              <w:t>2031</w:t>
            </w:r>
          </w:p>
        </w:tc>
        <w:tc>
          <w:tcPr>
            <w:tcW w:w="453" w:type="pct"/>
            <w:tcBorders>
              <w:top w:val="single" w:sz="8" w:space="0" w:color="auto"/>
              <w:left w:val="single" w:sz="8" w:space="0" w:color="auto"/>
              <w:bottom w:val="single" w:sz="8" w:space="0" w:color="auto"/>
              <w:right w:val="single" w:sz="8" w:space="0" w:color="auto"/>
            </w:tcBorders>
            <w:vAlign w:val="center"/>
          </w:tcPr>
          <w:p w14:paraId="589A6DC4" w14:textId="77777777" w:rsidR="0051718E" w:rsidRPr="00557C2A" w:rsidRDefault="0051718E">
            <w:pPr>
              <w:spacing w:before="0" w:after="0"/>
              <w:jc w:val="center"/>
              <w:rPr>
                <w:b/>
                <w:bCs/>
                <w:noProof/>
                <w:color w:val="000000"/>
                <w:sz w:val="18"/>
                <w:szCs w:val="18"/>
              </w:rPr>
            </w:pPr>
            <w:r w:rsidRPr="00557C2A">
              <w:rPr>
                <w:b/>
                <w:noProof/>
                <w:color w:val="000000"/>
                <w:sz w:val="18"/>
              </w:rPr>
              <w:t>2032</w:t>
            </w:r>
          </w:p>
        </w:tc>
        <w:tc>
          <w:tcPr>
            <w:tcW w:w="451" w:type="pct"/>
            <w:tcBorders>
              <w:top w:val="single" w:sz="8" w:space="0" w:color="auto"/>
              <w:left w:val="single" w:sz="8" w:space="0" w:color="auto"/>
              <w:bottom w:val="single" w:sz="8" w:space="0" w:color="auto"/>
              <w:right w:val="single" w:sz="8" w:space="0" w:color="auto"/>
            </w:tcBorders>
            <w:vAlign w:val="center"/>
          </w:tcPr>
          <w:p w14:paraId="3771D33E" w14:textId="77777777" w:rsidR="0051718E" w:rsidRPr="00557C2A" w:rsidRDefault="0051718E">
            <w:pPr>
              <w:spacing w:before="0" w:after="0"/>
              <w:jc w:val="center"/>
              <w:rPr>
                <w:b/>
                <w:bCs/>
                <w:noProof/>
                <w:color w:val="000000"/>
                <w:sz w:val="18"/>
                <w:szCs w:val="18"/>
              </w:rPr>
            </w:pPr>
            <w:r w:rsidRPr="00557C2A">
              <w:rPr>
                <w:b/>
                <w:noProof/>
                <w:color w:val="000000"/>
                <w:sz w:val="18"/>
              </w:rPr>
              <w:t>2033</w:t>
            </w:r>
          </w:p>
        </w:tc>
        <w:tc>
          <w:tcPr>
            <w:tcW w:w="451" w:type="pct"/>
            <w:tcBorders>
              <w:top w:val="single" w:sz="8" w:space="0" w:color="auto"/>
              <w:left w:val="single" w:sz="8" w:space="0" w:color="auto"/>
              <w:bottom w:val="single" w:sz="8" w:space="0" w:color="auto"/>
              <w:right w:val="single" w:sz="8" w:space="0" w:color="auto"/>
            </w:tcBorders>
            <w:vAlign w:val="center"/>
          </w:tcPr>
          <w:p w14:paraId="24C1BF9A" w14:textId="77777777" w:rsidR="0051718E" w:rsidRPr="00557C2A" w:rsidRDefault="0051718E">
            <w:pPr>
              <w:spacing w:before="0" w:after="0"/>
              <w:jc w:val="center"/>
              <w:rPr>
                <w:b/>
                <w:bCs/>
                <w:noProof/>
                <w:color w:val="000000"/>
                <w:sz w:val="18"/>
                <w:szCs w:val="18"/>
              </w:rPr>
            </w:pPr>
            <w:r w:rsidRPr="00557C2A">
              <w:rPr>
                <w:b/>
                <w:noProof/>
                <w:color w:val="000000"/>
                <w:sz w:val="18"/>
              </w:rPr>
              <w:t>2034</w:t>
            </w:r>
          </w:p>
        </w:tc>
        <w:tc>
          <w:tcPr>
            <w:tcW w:w="457" w:type="pct"/>
            <w:vMerge/>
            <w:tcBorders>
              <w:top w:val="single" w:sz="8" w:space="0" w:color="auto"/>
              <w:left w:val="single" w:sz="8" w:space="0" w:color="auto"/>
              <w:bottom w:val="single" w:sz="8" w:space="0" w:color="auto"/>
              <w:right w:val="single" w:sz="8" w:space="0" w:color="auto"/>
            </w:tcBorders>
            <w:vAlign w:val="center"/>
            <w:hideMark/>
          </w:tcPr>
          <w:p w14:paraId="37E034C3" w14:textId="77777777" w:rsidR="0051718E" w:rsidRPr="00557C2A" w:rsidRDefault="0051718E">
            <w:pPr>
              <w:spacing w:before="0" w:after="0"/>
              <w:jc w:val="left"/>
              <w:rPr>
                <w:b/>
                <w:bCs/>
                <w:noProof/>
                <w:color w:val="000000"/>
                <w:sz w:val="18"/>
                <w:szCs w:val="18"/>
                <w:lang w:eastAsia="en-IE"/>
              </w:rPr>
            </w:pPr>
          </w:p>
        </w:tc>
      </w:tr>
      <w:tr w:rsidR="0051718E" w:rsidRPr="00557C2A" w14:paraId="5CD9ABB1" w14:textId="77777777">
        <w:trPr>
          <w:trHeight w:val="300"/>
        </w:trPr>
        <w:tc>
          <w:tcPr>
            <w:tcW w:w="5000" w:type="pct"/>
            <w:gridSpan w:val="9"/>
            <w:tcBorders>
              <w:top w:val="single" w:sz="8" w:space="0" w:color="auto"/>
              <w:left w:val="single" w:sz="8" w:space="0" w:color="auto"/>
              <w:bottom w:val="single" w:sz="8" w:space="0" w:color="auto"/>
              <w:right w:val="single" w:sz="4" w:space="0" w:color="auto"/>
            </w:tcBorders>
            <w:vAlign w:val="center"/>
          </w:tcPr>
          <w:p w14:paraId="68B0AC94" w14:textId="77777777" w:rsidR="0051718E" w:rsidRPr="00557C2A" w:rsidRDefault="0051718E">
            <w:pPr>
              <w:spacing w:before="0" w:after="0"/>
              <w:jc w:val="center"/>
              <w:rPr>
                <w:b/>
                <w:bCs/>
                <w:noProof/>
                <w:sz w:val="16"/>
                <w:szCs w:val="16"/>
              </w:rPr>
            </w:pPr>
            <w:r w:rsidRPr="00557C2A">
              <w:rPr>
                <w:b/>
                <w:noProof/>
                <w:sz w:val="16"/>
              </w:rPr>
              <w:t>RUBRIEK 4</w:t>
            </w:r>
          </w:p>
        </w:tc>
      </w:tr>
      <w:tr w:rsidR="0051718E" w:rsidRPr="00557C2A" w14:paraId="45A4A126" w14:textId="77777777" w:rsidTr="00B37C03">
        <w:trPr>
          <w:trHeight w:val="300"/>
        </w:trPr>
        <w:tc>
          <w:tcPr>
            <w:tcW w:w="1574" w:type="pct"/>
            <w:tcBorders>
              <w:top w:val="nil"/>
              <w:left w:val="single" w:sz="8" w:space="0" w:color="auto"/>
              <w:bottom w:val="single" w:sz="8" w:space="0" w:color="auto"/>
              <w:right w:val="single" w:sz="8" w:space="0" w:color="auto"/>
            </w:tcBorders>
            <w:vAlign w:val="center"/>
            <w:hideMark/>
          </w:tcPr>
          <w:p w14:paraId="259C7DCB" w14:textId="77777777" w:rsidR="0051718E" w:rsidRPr="00557C2A" w:rsidRDefault="0051718E">
            <w:pPr>
              <w:spacing w:before="0" w:after="0"/>
              <w:jc w:val="left"/>
              <w:rPr>
                <w:noProof/>
                <w:color w:val="000000"/>
                <w:sz w:val="16"/>
                <w:szCs w:val="16"/>
              </w:rPr>
            </w:pPr>
            <w:r w:rsidRPr="00557C2A">
              <w:rPr>
                <w:noProof/>
                <w:color w:val="000000"/>
                <w:sz w:val="16"/>
              </w:rPr>
              <w:t xml:space="preserve">Personele middelen </w:t>
            </w:r>
          </w:p>
        </w:tc>
        <w:tc>
          <w:tcPr>
            <w:tcW w:w="404" w:type="pct"/>
            <w:tcBorders>
              <w:top w:val="nil"/>
              <w:left w:val="nil"/>
              <w:bottom w:val="single" w:sz="8" w:space="0" w:color="auto"/>
              <w:right w:val="single" w:sz="8" w:space="0" w:color="auto"/>
            </w:tcBorders>
            <w:shd w:val="clear" w:color="000000" w:fill="D9D9D9"/>
            <w:vAlign w:val="center"/>
            <w:hideMark/>
          </w:tcPr>
          <w:p w14:paraId="7F929C13" w14:textId="77777777" w:rsidR="0051718E" w:rsidRPr="00557C2A" w:rsidRDefault="0051718E">
            <w:pPr>
              <w:spacing w:before="0" w:after="0"/>
              <w:jc w:val="right"/>
              <w:rPr>
                <w:noProof/>
                <w:color w:val="000000"/>
                <w:sz w:val="16"/>
                <w:szCs w:val="16"/>
              </w:rPr>
            </w:pPr>
            <w:r w:rsidRPr="00557C2A">
              <w:rPr>
                <w:noProof/>
                <w:color w:val="000000"/>
                <w:sz w:val="16"/>
              </w:rPr>
              <w:t>0,000</w:t>
            </w:r>
          </w:p>
        </w:tc>
        <w:tc>
          <w:tcPr>
            <w:tcW w:w="403" w:type="pct"/>
            <w:tcBorders>
              <w:top w:val="nil"/>
              <w:left w:val="nil"/>
              <w:bottom w:val="single" w:sz="8" w:space="0" w:color="auto"/>
              <w:right w:val="single" w:sz="8" w:space="0" w:color="auto"/>
            </w:tcBorders>
            <w:shd w:val="clear" w:color="000000" w:fill="D9D9D9"/>
            <w:vAlign w:val="center"/>
            <w:hideMark/>
          </w:tcPr>
          <w:p w14:paraId="367A821C" w14:textId="77777777" w:rsidR="0051718E" w:rsidRPr="00557C2A" w:rsidRDefault="0051718E">
            <w:pPr>
              <w:spacing w:before="0" w:after="0"/>
              <w:jc w:val="right"/>
              <w:rPr>
                <w:noProof/>
                <w:color w:val="000000"/>
                <w:sz w:val="16"/>
                <w:szCs w:val="16"/>
              </w:rPr>
            </w:pPr>
            <w:r w:rsidRPr="00557C2A">
              <w:rPr>
                <w:noProof/>
                <w:color w:val="000000"/>
                <w:sz w:val="16"/>
              </w:rPr>
              <w:t>0,000</w:t>
            </w:r>
          </w:p>
        </w:tc>
        <w:tc>
          <w:tcPr>
            <w:tcW w:w="403" w:type="pct"/>
            <w:tcBorders>
              <w:top w:val="nil"/>
              <w:left w:val="nil"/>
              <w:bottom w:val="single" w:sz="8" w:space="0" w:color="auto"/>
              <w:right w:val="single" w:sz="8" w:space="0" w:color="auto"/>
            </w:tcBorders>
            <w:shd w:val="clear" w:color="000000" w:fill="D9D9D9"/>
            <w:vAlign w:val="center"/>
            <w:hideMark/>
          </w:tcPr>
          <w:p w14:paraId="14DE33BB" w14:textId="77777777" w:rsidR="0051718E" w:rsidRPr="00557C2A" w:rsidRDefault="0051718E">
            <w:pPr>
              <w:spacing w:before="0" w:after="0"/>
              <w:jc w:val="right"/>
              <w:rPr>
                <w:noProof/>
                <w:color w:val="000000"/>
                <w:sz w:val="16"/>
                <w:szCs w:val="16"/>
              </w:rPr>
            </w:pPr>
            <w:r w:rsidRPr="00557C2A">
              <w:rPr>
                <w:noProof/>
                <w:color w:val="000000"/>
                <w:sz w:val="16"/>
              </w:rPr>
              <w:t>0,000</w:t>
            </w:r>
          </w:p>
        </w:tc>
        <w:tc>
          <w:tcPr>
            <w:tcW w:w="403" w:type="pct"/>
            <w:tcBorders>
              <w:top w:val="nil"/>
              <w:left w:val="nil"/>
              <w:bottom w:val="single" w:sz="8" w:space="0" w:color="auto"/>
              <w:right w:val="single" w:sz="8" w:space="0" w:color="auto"/>
            </w:tcBorders>
            <w:shd w:val="clear" w:color="000000" w:fill="D9D9D9"/>
            <w:vAlign w:val="center"/>
            <w:hideMark/>
          </w:tcPr>
          <w:p w14:paraId="2B735252" w14:textId="77777777" w:rsidR="0051718E" w:rsidRPr="00557C2A" w:rsidRDefault="0051718E">
            <w:pPr>
              <w:spacing w:before="0" w:after="0"/>
              <w:jc w:val="right"/>
              <w:rPr>
                <w:noProof/>
                <w:color w:val="000000"/>
                <w:sz w:val="16"/>
                <w:szCs w:val="16"/>
              </w:rPr>
            </w:pPr>
            <w:r w:rsidRPr="00557C2A">
              <w:rPr>
                <w:noProof/>
                <w:color w:val="000000"/>
                <w:sz w:val="16"/>
              </w:rPr>
              <w:t>0,000</w:t>
            </w:r>
          </w:p>
        </w:tc>
        <w:tc>
          <w:tcPr>
            <w:tcW w:w="453" w:type="pct"/>
            <w:tcBorders>
              <w:top w:val="nil"/>
              <w:left w:val="nil"/>
              <w:bottom w:val="single" w:sz="8" w:space="0" w:color="auto"/>
              <w:right w:val="single" w:sz="4" w:space="0" w:color="auto"/>
            </w:tcBorders>
            <w:shd w:val="clear" w:color="000000" w:fill="D9D9D9"/>
            <w:vAlign w:val="center"/>
          </w:tcPr>
          <w:p w14:paraId="0229CEE9" w14:textId="77777777" w:rsidR="0051718E" w:rsidRPr="00557C2A" w:rsidRDefault="0051718E">
            <w:pPr>
              <w:spacing w:before="0" w:after="0"/>
              <w:jc w:val="center"/>
              <w:rPr>
                <w:b/>
                <w:bCs/>
                <w:noProof/>
                <w:color w:val="000000"/>
                <w:sz w:val="16"/>
                <w:szCs w:val="16"/>
              </w:rPr>
            </w:pPr>
            <w:r w:rsidRPr="00557C2A">
              <w:rPr>
                <w:noProof/>
                <w:color w:val="000000"/>
                <w:sz w:val="16"/>
              </w:rPr>
              <w:t>0,000</w:t>
            </w:r>
          </w:p>
        </w:tc>
        <w:tc>
          <w:tcPr>
            <w:tcW w:w="451" w:type="pct"/>
            <w:tcBorders>
              <w:top w:val="nil"/>
              <w:left w:val="single" w:sz="4" w:space="0" w:color="auto"/>
              <w:bottom w:val="single" w:sz="8" w:space="0" w:color="auto"/>
              <w:right w:val="single" w:sz="4" w:space="0" w:color="auto"/>
            </w:tcBorders>
            <w:shd w:val="clear" w:color="000000" w:fill="D9D9D9"/>
            <w:vAlign w:val="center"/>
          </w:tcPr>
          <w:p w14:paraId="18F38030" w14:textId="77777777" w:rsidR="0051718E" w:rsidRPr="00557C2A" w:rsidRDefault="0051718E">
            <w:pPr>
              <w:spacing w:before="0" w:after="0"/>
              <w:jc w:val="center"/>
              <w:rPr>
                <w:b/>
                <w:bCs/>
                <w:noProof/>
                <w:color w:val="000000"/>
                <w:sz w:val="16"/>
                <w:szCs w:val="16"/>
              </w:rPr>
            </w:pPr>
            <w:r w:rsidRPr="00557C2A">
              <w:rPr>
                <w:noProof/>
                <w:color w:val="000000"/>
                <w:sz w:val="16"/>
              </w:rPr>
              <w:t>0,000</w:t>
            </w:r>
          </w:p>
        </w:tc>
        <w:tc>
          <w:tcPr>
            <w:tcW w:w="451" w:type="pct"/>
            <w:tcBorders>
              <w:top w:val="nil"/>
              <w:left w:val="single" w:sz="4" w:space="0" w:color="auto"/>
              <w:bottom w:val="single" w:sz="8" w:space="0" w:color="auto"/>
              <w:right w:val="single" w:sz="4" w:space="0" w:color="auto"/>
            </w:tcBorders>
            <w:shd w:val="clear" w:color="000000" w:fill="D9D9D9"/>
            <w:vAlign w:val="center"/>
          </w:tcPr>
          <w:p w14:paraId="5089661D" w14:textId="77777777" w:rsidR="0051718E" w:rsidRPr="00557C2A" w:rsidRDefault="0051718E">
            <w:pPr>
              <w:spacing w:before="0" w:after="0"/>
              <w:jc w:val="center"/>
              <w:rPr>
                <w:b/>
                <w:bCs/>
                <w:noProof/>
                <w:color w:val="000000"/>
                <w:sz w:val="16"/>
                <w:szCs w:val="16"/>
              </w:rPr>
            </w:pPr>
            <w:r w:rsidRPr="00557C2A">
              <w:rPr>
                <w:noProof/>
                <w:color w:val="000000"/>
                <w:sz w:val="16"/>
              </w:rPr>
              <w:t>0,000</w:t>
            </w:r>
          </w:p>
        </w:tc>
        <w:tc>
          <w:tcPr>
            <w:tcW w:w="457" w:type="pct"/>
            <w:tcBorders>
              <w:top w:val="nil"/>
              <w:left w:val="single" w:sz="4" w:space="0" w:color="auto"/>
              <w:bottom w:val="single" w:sz="8" w:space="0" w:color="auto"/>
              <w:right w:val="single" w:sz="8" w:space="0" w:color="auto"/>
            </w:tcBorders>
            <w:shd w:val="clear" w:color="000000" w:fill="D9D9D9"/>
            <w:vAlign w:val="center"/>
            <w:hideMark/>
          </w:tcPr>
          <w:p w14:paraId="421F4B9D" w14:textId="77777777" w:rsidR="0051718E" w:rsidRPr="00557C2A" w:rsidRDefault="0051718E">
            <w:pPr>
              <w:spacing w:before="0" w:after="0"/>
              <w:jc w:val="right"/>
              <w:rPr>
                <w:b/>
                <w:bCs/>
                <w:noProof/>
                <w:color w:val="000000"/>
                <w:sz w:val="16"/>
                <w:szCs w:val="16"/>
              </w:rPr>
            </w:pPr>
            <w:r w:rsidRPr="00557C2A">
              <w:rPr>
                <w:b/>
                <w:noProof/>
                <w:color w:val="000000"/>
                <w:sz w:val="16"/>
              </w:rPr>
              <w:t>0,000</w:t>
            </w:r>
          </w:p>
        </w:tc>
      </w:tr>
      <w:tr w:rsidR="0051718E" w:rsidRPr="00557C2A" w14:paraId="4699D0B5" w14:textId="77777777" w:rsidTr="00B37C03">
        <w:trPr>
          <w:trHeight w:val="300"/>
        </w:trPr>
        <w:tc>
          <w:tcPr>
            <w:tcW w:w="1574" w:type="pct"/>
            <w:tcBorders>
              <w:top w:val="nil"/>
              <w:left w:val="single" w:sz="8" w:space="0" w:color="auto"/>
              <w:bottom w:val="single" w:sz="8" w:space="0" w:color="auto"/>
              <w:right w:val="single" w:sz="8" w:space="0" w:color="auto"/>
            </w:tcBorders>
            <w:vAlign w:val="center"/>
            <w:hideMark/>
          </w:tcPr>
          <w:p w14:paraId="57C703D9" w14:textId="77777777" w:rsidR="0051718E" w:rsidRPr="00557C2A" w:rsidRDefault="0051718E">
            <w:pPr>
              <w:spacing w:before="0" w:after="0"/>
              <w:jc w:val="left"/>
              <w:rPr>
                <w:noProof/>
                <w:color w:val="000000"/>
                <w:sz w:val="16"/>
                <w:szCs w:val="16"/>
              </w:rPr>
            </w:pPr>
            <w:r w:rsidRPr="00557C2A">
              <w:rPr>
                <w:noProof/>
                <w:color w:val="000000"/>
                <w:sz w:val="16"/>
              </w:rPr>
              <w:t xml:space="preserve">Andere administratieve uitgaven </w:t>
            </w:r>
          </w:p>
        </w:tc>
        <w:tc>
          <w:tcPr>
            <w:tcW w:w="404" w:type="pct"/>
            <w:tcBorders>
              <w:top w:val="nil"/>
              <w:left w:val="nil"/>
              <w:bottom w:val="single" w:sz="8" w:space="0" w:color="auto"/>
              <w:right w:val="single" w:sz="8" w:space="0" w:color="auto"/>
            </w:tcBorders>
            <w:shd w:val="clear" w:color="000000" w:fill="D9D9D9"/>
            <w:vAlign w:val="center"/>
            <w:hideMark/>
          </w:tcPr>
          <w:p w14:paraId="08EB7BE5" w14:textId="77777777" w:rsidR="0051718E" w:rsidRPr="00557C2A" w:rsidRDefault="0051718E">
            <w:pPr>
              <w:spacing w:before="0" w:after="0"/>
              <w:jc w:val="right"/>
              <w:rPr>
                <w:noProof/>
                <w:color w:val="000000"/>
                <w:sz w:val="16"/>
                <w:szCs w:val="16"/>
              </w:rPr>
            </w:pPr>
            <w:r w:rsidRPr="00557C2A">
              <w:rPr>
                <w:noProof/>
                <w:color w:val="000000"/>
                <w:sz w:val="16"/>
              </w:rPr>
              <w:t>0,000</w:t>
            </w:r>
          </w:p>
        </w:tc>
        <w:tc>
          <w:tcPr>
            <w:tcW w:w="403" w:type="pct"/>
            <w:tcBorders>
              <w:top w:val="nil"/>
              <w:left w:val="nil"/>
              <w:bottom w:val="single" w:sz="8" w:space="0" w:color="auto"/>
              <w:right w:val="single" w:sz="8" w:space="0" w:color="auto"/>
            </w:tcBorders>
            <w:shd w:val="clear" w:color="000000" w:fill="D9D9D9"/>
            <w:vAlign w:val="center"/>
            <w:hideMark/>
          </w:tcPr>
          <w:p w14:paraId="4CFCAE6C" w14:textId="77777777" w:rsidR="0051718E" w:rsidRPr="00557C2A" w:rsidRDefault="0051718E">
            <w:pPr>
              <w:spacing w:before="0" w:after="0"/>
              <w:jc w:val="right"/>
              <w:rPr>
                <w:noProof/>
                <w:color w:val="000000"/>
                <w:sz w:val="16"/>
                <w:szCs w:val="16"/>
              </w:rPr>
            </w:pPr>
            <w:r w:rsidRPr="00557C2A">
              <w:rPr>
                <w:noProof/>
                <w:color w:val="000000"/>
                <w:sz w:val="16"/>
              </w:rPr>
              <w:t>0,000</w:t>
            </w:r>
          </w:p>
        </w:tc>
        <w:tc>
          <w:tcPr>
            <w:tcW w:w="403" w:type="pct"/>
            <w:tcBorders>
              <w:top w:val="nil"/>
              <w:left w:val="nil"/>
              <w:bottom w:val="single" w:sz="8" w:space="0" w:color="auto"/>
              <w:right w:val="single" w:sz="8" w:space="0" w:color="auto"/>
            </w:tcBorders>
            <w:shd w:val="clear" w:color="000000" w:fill="D9D9D9"/>
            <w:vAlign w:val="center"/>
            <w:hideMark/>
          </w:tcPr>
          <w:p w14:paraId="14BC41D9" w14:textId="77777777" w:rsidR="0051718E" w:rsidRPr="00557C2A" w:rsidRDefault="0051718E">
            <w:pPr>
              <w:spacing w:before="0" w:after="0"/>
              <w:jc w:val="right"/>
              <w:rPr>
                <w:noProof/>
                <w:color w:val="000000"/>
                <w:sz w:val="16"/>
                <w:szCs w:val="16"/>
              </w:rPr>
            </w:pPr>
            <w:r w:rsidRPr="00557C2A">
              <w:rPr>
                <w:noProof/>
                <w:color w:val="000000"/>
                <w:sz w:val="16"/>
              </w:rPr>
              <w:t>0,000</w:t>
            </w:r>
          </w:p>
        </w:tc>
        <w:tc>
          <w:tcPr>
            <w:tcW w:w="403" w:type="pct"/>
            <w:tcBorders>
              <w:top w:val="nil"/>
              <w:left w:val="nil"/>
              <w:bottom w:val="single" w:sz="8" w:space="0" w:color="auto"/>
              <w:right w:val="single" w:sz="8" w:space="0" w:color="auto"/>
            </w:tcBorders>
            <w:shd w:val="clear" w:color="000000" w:fill="D9D9D9"/>
            <w:vAlign w:val="center"/>
            <w:hideMark/>
          </w:tcPr>
          <w:p w14:paraId="1536E8CB" w14:textId="77777777" w:rsidR="0051718E" w:rsidRPr="00557C2A" w:rsidRDefault="0051718E">
            <w:pPr>
              <w:spacing w:before="0" w:after="0"/>
              <w:jc w:val="right"/>
              <w:rPr>
                <w:noProof/>
                <w:color w:val="000000"/>
                <w:sz w:val="16"/>
                <w:szCs w:val="16"/>
              </w:rPr>
            </w:pPr>
            <w:r w:rsidRPr="00557C2A">
              <w:rPr>
                <w:noProof/>
                <w:color w:val="000000"/>
                <w:sz w:val="16"/>
              </w:rPr>
              <w:t>0,000</w:t>
            </w:r>
          </w:p>
        </w:tc>
        <w:tc>
          <w:tcPr>
            <w:tcW w:w="453" w:type="pct"/>
            <w:tcBorders>
              <w:top w:val="nil"/>
              <w:left w:val="nil"/>
              <w:bottom w:val="single" w:sz="8" w:space="0" w:color="auto"/>
              <w:right w:val="single" w:sz="4" w:space="0" w:color="auto"/>
            </w:tcBorders>
            <w:shd w:val="clear" w:color="000000" w:fill="D9D9D9"/>
            <w:vAlign w:val="center"/>
          </w:tcPr>
          <w:p w14:paraId="768D67BE" w14:textId="77777777" w:rsidR="0051718E" w:rsidRPr="00557C2A" w:rsidRDefault="0051718E">
            <w:pPr>
              <w:spacing w:before="0" w:after="0"/>
              <w:jc w:val="center"/>
              <w:rPr>
                <w:b/>
                <w:bCs/>
                <w:noProof/>
                <w:color w:val="000000"/>
                <w:sz w:val="16"/>
                <w:szCs w:val="16"/>
              </w:rPr>
            </w:pPr>
            <w:r w:rsidRPr="00557C2A">
              <w:rPr>
                <w:noProof/>
                <w:color w:val="000000"/>
                <w:sz w:val="16"/>
              </w:rPr>
              <w:t>0,000</w:t>
            </w:r>
          </w:p>
        </w:tc>
        <w:tc>
          <w:tcPr>
            <w:tcW w:w="451" w:type="pct"/>
            <w:tcBorders>
              <w:top w:val="nil"/>
              <w:left w:val="single" w:sz="4" w:space="0" w:color="auto"/>
              <w:bottom w:val="single" w:sz="8" w:space="0" w:color="auto"/>
              <w:right w:val="single" w:sz="4" w:space="0" w:color="auto"/>
            </w:tcBorders>
            <w:shd w:val="clear" w:color="000000" w:fill="D9D9D9"/>
            <w:vAlign w:val="center"/>
          </w:tcPr>
          <w:p w14:paraId="29D1E67A" w14:textId="77777777" w:rsidR="0051718E" w:rsidRPr="00557C2A" w:rsidRDefault="0051718E">
            <w:pPr>
              <w:spacing w:before="0" w:after="0"/>
              <w:jc w:val="center"/>
              <w:rPr>
                <w:b/>
                <w:bCs/>
                <w:noProof/>
                <w:color w:val="000000"/>
                <w:sz w:val="16"/>
                <w:szCs w:val="16"/>
              </w:rPr>
            </w:pPr>
            <w:r w:rsidRPr="00557C2A">
              <w:rPr>
                <w:noProof/>
                <w:color w:val="000000"/>
                <w:sz w:val="16"/>
              </w:rPr>
              <w:t>0,000</w:t>
            </w:r>
          </w:p>
        </w:tc>
        <w:tc>
          <w:tcPr>
            <w:tcW w:w="451" w:type="pct"/>
            <w:tcBorders>
              <w:top w:val="nil"/>
              <w:left w:val="single" w:sz="4" w:space="0" w:color="auto"/>
              <w:bottom w:val="single" w:sz="8" w:space="0" w:color="auto"/>
              <w:right w:val="single" w:sz="4" w:space="0" w:color="auto"/>
            </w:tcBorders>
            <w:shd w:val="clear" w:color="000000" w:fill="D9D9D9"/>
            <w:vAlign w:val="center"/>
          </w:tcPr>
          <w:p w14:paraId="748392EF" w14:textId="77777777" w:rsidR="0051718E" w:rsidRPr="00557C2A" w:rsidRDefault="0051718E">
            <w:pPr>
              <w:spacing w:before="0" w:after="0"/>
              <w:jc w:val="center"/>
              <w:rPr>
                <w:b/>
                <w:bCs/>
                <w:noProof/>
                <w:color w:val="000000"/>
                <w:sz w:val="16"/>
                <w:szCs w:val="16"/>
              </w:rPr>
            </w:pPr>
            <w:r w:rsidRPr="00557C2A">
              <w:rPr>
                <w:noProof/>
                <w:color w:val="000000"/>
                <w:sz w:val="16"/>
              </w:rPr>
              <w:t>0,000</w:t>
            </w:r>
          </w:p>
        </w:tc>
        <w:tc>
          <w:tcPr>
            <w:tcW w:w="457" w:type="pct"/>
            <w:tcBorders>
              <w:top w:val="nil"/>
              <w:left w:val="single" w:sz="4" w:space="0" w:color="auto"/>
              <w:bottom w:val="single" w:sz="8" w:space="0" w:color="auto"/>
              <w:right w:val="single" w:sz="8" w:space="0" w:color="auto"/>
            </w:tcBorders>
            <w:shd w:val="clear" w:color="000000" w:fill="D9D9D9"/>
            <w:vAlign w:val="center"/>
            <w:hideMark/>
          </w:tcPr>
          <w:p w14:paraId="76A8D900" w14:textId="77777777" w:rsidR="0051718E" w:rsidRPr="00557C2A" w:rsidRDefault="0051718E">
            <w:pPr>
              <w:spacing w:before="0" w:after="0"/>
              <w:jc w:val="right"/>
              <w:rPr>
                <w:b/>
                <w:bCs/>
                <w:noProof/>
                <w:color w:val="000000"/>
                <w:sz w:val="16"/>
                <w:szCs w:val="16"/>
              </w:rPr>
            </w:pPr>
            <w:r w:rsidRPr="00557C2A">
              <w:rPr>
                <w:b/>
                <w:noProof/>
                <w:color w:val="000000"/>
                <w:sz w:val="16"/>
              </w:rPr>
              <w:t>0,000</w:t>
            </w:r>
          </w:p>
        </w:tc>
      </w:tr>
      <w:tr w:rsidR="0051718E" w:rsidRPr="00557C2A" w14:paraId="0DCF0946" w14:textId="77777777">
        <w:trPr>
          <w:trHeight w:val="300"/>
        </w:trPr>
        <w:tc>
          <w:tcPr>
            <w:tcW w:w="1574" w:type="pct"/>
            <w:tcBorders>
              <w:top w:val="nil"/>
              <w:left w:val="single" w:sz="8" w:space="0" w:color="auto"/>
              <w:bottom w:val="single" w:sz="8" w:space="0" w:color="auto"/>
              <w:right w:val="single" w:sz="8" w:space="0" w:color="auto"/>
            </w:tcBorders>
            <w:shd w:val="clear" w:color="000000" w:fill="CCCCCC"/>
            <w:vAlign w:val="center"/>
            <w:hideMark/>
          </w:tcPr>
          <w:p w14:paraId="15E88566" w14:textId="77777777" w:rsidR="0051718E" w:rsidRPr="00557C2A" w:rsidRDefault="0051718E">
            <w:pPr>
              <w:spacing w:before="0" w:after="0"/>
              <w:jc w:val="center"/>
              <w:rPr>
                <w:b/>
                <w:bCs/>
                <w:noProof/>
                <w:color w:val="000000"/>
                <w:sz w:val="16"/>
                <w:szCs w:val="16"/>
              </w:rPr>
            </w:pPr>
            <w:r w:rsidRPr="00557C2A">
              <w:rPr>
                <w:b/>
                <w:noProof/>
                <w:color w:val="000000"/>
                <w:sz w:val="16"/>
              </w:rPr>
              <w:t>Subtotaal RUBRIEK 4</w:t>
            </w:r>
          </w:p>
        </w:tc>
        <w:tc>
          <w:tcPr>
            <w:tcW w:w="404" w:type="pct"/>
            <w:tcBorders>
              <w:top w:val="nil"/>
              <w:left w:val="nil"/>
              <w:bottom w:val="single" w:sz="8" w:space="0" w:color="auto"/>
              <w:right w:val="single" w:sz="8" w:space="0" w:color="auto"/>
            </w:tcBorders>
            <w:shd w:val="clear" w:color="000000" w:fill="D9D9D9"/>
            <w:vAlign w:val="center"/>
            <w:hideMark/>
          </w:tcPr>
          <w:p w14:paraId="14526523" w14:textId="77777777" w:rsidR="0051718E" w:rsidRPr="00557C2A" w:rsidRDefault="0051718E">
            <w:pPr>
              <w:spacing w:before="0" w:after="0"/>
              <w:jc w:val="right"/>
              <w:rPr>
                <w:b/>
                <w:bCs/>
                <w:noProof/>
                <w:color w:val="000000"/>
                <w:sz w:val="16"/>
                <w:szCs w:val="16"/>
              </w:rPr>
            </w:pPr>
            <w:r w:rsidRPr="00557C2A">
              <w:rPr>
                <w:b/>
                <w:noProof/>
                <w:color w:val="000000"/>
                <w:sz w:val="16"/>
              </w:rPr>
              <w:t>0,000</w:t>
            </w:r>
          </w:p>
        </w:tc>
        <w:tc>
          <w:tcPr>
            <w:tcW w:w="403" w:type="pct"/>
            <w:tcBorders>
              <w:top w:val="nil"/>
              <w:left w:val="nil"/>
              <w:bottom w:val="single" w:sz="8" w:space="0" w:color="auto"/>
              <w:right w:val="single" w:sz="8" w:space="0" w:color="auto"/>
            </w:tcBorders>
            <w:shd w:val="clear" w:color="000000" w:fill="D9D9D9"/>
            <w:vAlign w:val="center"/>
            <w:hideMark/>
          </w:tcPr>
          <w:p w14:paraId="37FEA357" w14:textId="77777777" w:rsidR="0051718E" w:rsidRPr="00557C2A" w:rsidRDefault="0051718E">
            <w:pPr>
              <w:spacing w:before="0" w:after="0"/>
              <w:jc w:val="right"/>
              <w:rPr>
                <w:b/>
                <w:bCs/>
                <w:noProof/>
                <w:color w:val="000000"/>
                <w:sz w:val="16"/>
                <w:szCs w:val="16"/>
              </w:rPr>
            </w:pPr>
            <w:r w:rsidRPr="00557C2A">
              <w:rPr>
                <w:b/>
                <w:noProof/>
                <w:color w:val="000000"/>
                <w:sz w:val="16"/>
              </w:rPr>
              <w:t>0,000</w:t>
            </w:r>
          </w:p>
        </w:tc>
        <w:tc>
          <w:tcPr>
            <w:tcW w:w="403" w:type="pct"/>
            <w:tcBorders>
              <w:top w:val="nil"/>
              <w:left w:val="nil"/>
              <w:bottom w:val="single" w:sz="8" w:space="0" w:color="auto"/>
              <w:right w:val="single" w:sz="8" w:space="0" w:color="auto"/>
            </w:tcBorders>
            <w:shd w:val="clear" w:color="000000" w:fill="D9D9D9"/>
            <w:vAlign w:val="center"/>
            <w:hideMark/>
          </w:tcPr>
          <w:p w14:paraId="3ECD2037" w14:textId="77777777" w:rsidR="0051718E" w:rsidRPr="00557C2A" w:rsidRDefault="0051718E">
            <w:pPr>
              <w:spacing w:before="0" w:after="0"/>
              <w:jc w:val="right"/>
              <w:rPr>
                <w:b/>
                <w:bCs/>
                <w:noProof/>
                <w:color w:val="000000"/>
                <w:sz w:val="16"/>
                <w:szCs w:val="16"/>
              </w:rPr>
            </w:pPr>
            <w:r w:rsidRPr="00557C2A">
              <w:rPr>
                <w:b/>
                <w:noProof/>
                <w:color w:val="000000"/>
                <w:sz w:val="16"/>
              </w:rPr>
              <w:t>0,000</w:t>
            </w:r>
          </w:p>
        </w:tc>
        <w:tc>
          <w:tcPr>
            <w:tcW w:w="403" w:type="pct"/>
            <w:tcBorders>
              <w:top w:val="nil"/>
              <w:left w:val="nil"/>
              <w:bottom w:val="single" w:sz="8" w:space="0" w:color="auto"/>
              <w:right w:val="single" w:sz="8" w:space="0" w:color="auto"/>
            </w:tcBorders>
            <w:shd w:val="clear" w:color="000000" w:fill="D9D9D9"/>
            <w:vAlign w:val="center"/>
            <w:hideMark/>
          </w:tcPr>
          <w:p w14:paraId="5E59AF20" w14:textId="77777777" w:rsidR="0051718E" w:rsidRPr="00557C2A" w:rsidRDefault="0051718E">
            <w:pPr>
              <w:spacing w:before="0" w:after="0"/>
              <w:jc w:val="right"/>
              <w:rPr>
                <w:b/>
                <w:bCs/>
                <w:noProof/>
                <w:color w:val="000000"/>
                <w:sz w:val="16"/>
                <w:szCs w:val="16"/>
              </w:rPr>
            </w:pPr>
            <w:r w:rsidRPr="00557C2A">
              <w:rPr>
                <w:b/>
                <w:noProof/>
                <w:color w:val="000000"/>
                <w:sz w:val="16"/>
              </w:rPr>
              <w:t>0,000</w:t>
            </w:r>
          </w:p>
        </w:tc>
        <w:tc>
          <w:tcPr>
            <w:tcW w:w="453" w:type="pct"/>
            <w:tcBorders>
              <w:top w:val="nil"/>
              <w:left w:val="nil"/>
              <w:bottom w:val="single" w:sz="8" w:space="0" w:color="auto"/>
              <w:right w:val="single" w:sz="4" w:space="0" w:color="auto"/>
            </w:tcBorders>
            <w:shd w:val="clear" w:color="000000" w:fill="D9D9D9"/>
            <w:vAlign w:val="center"/>
          </w:tcPr>
          <w:p w14:paraId="31A053F7" w14:textId="77777777" w:rsidR="0051718E" w:rsidRPr="00557C2A" w:rsidRDefault="0051718E">
            <w:pPr>
              <w:spacing w:before="0" w:after="0"/>
              <w:jc w:val="center"/>
              <w:rPr>
                <w:b/>
                <w:bCs/>
                <w:noProof/>
                <w:color w:val="000000"/>
                <w:sz w:val="16"/>
                <w:szCs w:val="16"/>
              </w:rPr>
            </w:pPr>
            <w:r w:rsidRPr="00557C2A">
              <w:rPr>
                <w:b/>
                <w:noProof/>
                <w:color w:val="000000"/>
                <w:sz w:val="16"/>
              </w:rPr>
              <w:t>0,000</w:t>
            </w:r>
          </w:p>
        </w:tc>
        <w:tc>
          <w:tcPr>
            <w:tcW w:w="451" w:type="pct"/>
            <w:tcBorders>
              <w:top w:val="nil"/>
              <w:left w:val="single" w:sz="4" w:space="0" w:color="auto"/>
              <w:bottom w:val="single" w:sz="8" w:space="0" w:color="auto"/>
              <w:right w:val="single" w:sz="4" w:space="0" w:color="auto"/>
            </w:tcBorders>
            <w:shd w:val="clear" w:color="000000" w:fill="D9D9D9"/>
            <w:vAlign w:val="center"/>
          </w:tcPr>
          <w:p w14:paraId="6EC1EF70" w14:textId="77777777" w:rsidR="0051718E" w:rsidRPr="00557C2A" w:rsidRDefault="0051718E">
            <w:pPr>
              <w:spacing w:before="0" w:after="0"/>
              <w:jc w:val="center"/>
              <w:rPr>
                <w:b/>
                <w:bCs/>
                <w:noProof/>
                <w:color w:val="000000"/>
                <w:sz w:val="16"/>
                <w:szCs w:val="16"/>
              </w:rPr>
            </w:pPr>
            <w:r w:rsidRPr="00557C2A">
              <w:rPr>
                <w:b/>
                <w:noProof/>
                <w:color w:val="000000"/>
                <w:sz w:val="16"/>
              </w:rPr>
              <w:t>0,000</w:t>
            </w:r>
          </w:p>
        </w:tc>
        <w:tc>
          <w:tcPr>
            <w:tcW w:w="451" w:type="pct"/>
            <w:tcBorders>
              <w:top w:val="nil"/>
              <w:left w:val="single" w:sz="4" w:space="0" w:color="auto"/>
              <w:bottom w:val="single" w:sz="8" w:space="0" w:color="auto"/>
              <w:right w:val="single" w:sz="4" w:space="0" w:color="auto"/>
            </w:tcBorders>
            <w:shd w:val="clear" w:color="000000" w:fill="D9D9D9"/>
            <w:vAlign w:val="center"/>
          </w:tcPr>
          <w:p w14:paraId="210B8B2F" w14:textId="77777777" w:rsidR="0051718E" w:rsidRPr="00557C2A" w:rsidRDefault="0051718E">
            <w:pPr>
              <w:spacing w:before="0" w:after="0"/>
              <w:jc w:val="center"/>
              <w:rPr>
                <w:b/>
                <w:bCs/>
                <w:noProof/>
                <w:color w:val="000000"/>
                <w:sz w:val="16"/>
                <w:szCs w:val="16"/>
              </w:rPr>
            </w:pPr>
            <w:r w:rsidRPr="00557C2A">
              <w:rPr>
                <w:b/>
                <w:noProof/>
                <w:color w:val="000000"/>
                <w:sz w:val="16"/>
              </w:rPr>
              <w:t>0,000</w:t>
            </w:r>
          </w:p>
        </w:tc>
        <w:tc>
          <w:tcPr>
            <w:tcW w:w="457" w:type="pct"/>
            <w:tcBorders>
              <w:top w:val="nil"/>
              <w:left w:val="single" w:sz="4" w:space="0" w:color="auto"/>
              <w:bottom w:val="single" w:sz="8" w:space="0" w:color="auto"/>
              <w:right w:val="single" w:sz="8" w:space="0" w:color="auto"/>
            </w:tcBorders>
            <w:shd w:val="clear" w:color="000000" w:fill="D9D9D9"/>
            <w:vAlign w:val="center"/>
            <w:hideMark/>
          </w:tcPr>
          <w:p w14:paraId="52E74857" w14:textId="77777777" w:rsidR="0051718E" w:rsidRPr="00557C2A" w:rsidRDefault="0051718E">
            <w:pPr>
              <w:spacing w:before="0" w:after="0"/>
              <w:jc w:val="right"/>
              <w:rPr>
                <w:b/>
                <w:bCs/>
                <w:noProof/>
                <w:color w:val="000000"/>
                <w:sz w:val="16"/>
                <w:szCs w:val="16"/>
              </w:rPr>
            </w:pPr>
            <w:r w:rsidRPr="00557C2A">
              <w:rPr>
                <w:b/>
                <w:noProof/>
                <w:color w:val="000000"/>
                <w:sz w:val="16"/>
              </w:rPr>
              <w:t>0,000</w:t>
            </w:r>
          </w:p>
        </w:tc>
      </w:tr>
      <w:tr w:rsidR="0051718E" w:rsidRPr="00557C2A" w14:paraId="4EEBB48D" w14:textId="77777777">
        <w:trPr>
          <w:trHeight w:val="300"/>
        </w:trPr>
        <w:tc>
          <w:tcPr>
            <w:tcW w:w="5000" w:type="pct"/>
            <w:gridSpan w:val="9"/>
            <w:tcBorders>
              <w:top w:val="single" w:sz="8" w:space="0" w:color="auto"/>
              <w:left w:val="single" w:sz="8" w:space="0" w:color="auto"/>
              <w:bottom w:val="single" w:sz="8" w:space="0" w:color="auto"/>
              <w:right w:val="single" w:sz="4" w:space="0" w:color="auto"/>
            </w:tcBorders>
            <w:vAlign w:val="center"/>
          </w:tcPr>
          <w:p w14:paraId="5AA389D6" w14:textId="77777777" w:rsidR="0051718E" w:rsidRPr="00557C2A" w:rsidRDefault="0051718E">
            <w:pPr>
              <w:spacing w:before="0" w:after="0"/>
              <w:jc w:val="center"/>
              <w:rPr>
                <w:b/>
                <w:bCs/>
                <w:noProof/>
                <w:sz w:val="16"/>
                <w:szCs w:val="16"/>
              </w:rPr>
            </w:pPr>
            <w:r w:rsidRPr="00557C2A">
              <w:rPr>
                <w:b/>
                <w:noProof/>
                <w:sz w:val="16"/>
              </w:rPr>
              <w:t>Buiten RUBRIEK 4</w:t>
            </w:r>
          </w:p>
        </w:tc>
      </w:tr>
      <w:tr w:rsidR="0051718E" w:rsidRPr="00557C2A" w14:paraId="6D059446" w14:textId="77777777" w:rsidTr="00B37C03">
        <w:trPr>
          <w:trHeight w:val="300"/>
        </w:trPr>
        <w:tc>
          <w:tcPr>
            <w:tcW w:w="1574" w:type="pct"/>
            <w:tcBorders>
              <w:top w:val="nil"/>
              <w:left w:val="single" w:sz="8" w:space="0" w:color="auto"/>
              <w:bottom w:val="single" w:sz="8" w:space="0" w:color="auto"/>
              <w:right w:val="single" w:sz="8" w:space="0" w:color="auto"/>
            </w:tcBorders>
            <w:vAlign w:val="center"/>
            <w:hideMark/>
          </w:tcPr>
          <w:p w14:paraId="437A6EF2" w14:textId="77777777" w:rsidR="0051718E" w:rsidRPr="00557C2A" w:rsidRDefault="0051718E">
            <w:pPr>
              <w:spacing w:before="0" w:after="0"/>
              <w:jc w:val="left"/>
              <w:rPr>
                <w:noProof/>
                <w:color w:val="000000"/>
                <w:sz w:val="16"/>
                <w:szCs w:val="16"/>
              </w:rPr>
            </w:pPr>
            <w:r w:rsidRPr="00557C2A">
              <w:rPr>
                <w:noProof/>
                <w:color w:val="000000"/>
                <w:sz w:val="16"/>
              </w:rPr>
              <w:t xml:space="preserve">Personele middelen </w:t>
            </w:r>
          </w:p>
        </w:tc>
        <w:tc>
          <w:tcPr>
            <w:tcW w:w="404" w:type="pct"/>
            <w:tcBorders>
              <w:top w:val="nil"/>
              <w:left w:val="nil"/>
              <w:bottom w:val="single" w:sz="8" w:space="0" w:color="auto"/>
              <w:right w:val="single" w:sz="8" w:space="0" w:color="auto"/>
            </w:tcBorders>
            <w:shd w:val="clear" w:color="000000" w:fill="D9D9D9"/>
            <w:vAlign w:val="center"/>
            <w:hideMark/>
          </w:tcPr>
          <w:p w14:paraId="4AFF1F11" w14:textId="77777777" w:rsidR="0051718E" w:rsidRPr="00557C2A" w:rsidRDefault="0051718E">
            <w:pPr>
              <w:spacing w:before="0" w:after="0"/>
              <w:jc w:val="right"/>
              <w:rPr>
                <w:noProof/>
                <w:color w:val="000000"/>
                <w:sz w:val="16"/>
                <w:szCs w:val="16"/>
              </w:rPr>
            </w:pPr>
            <w:r w:rsidRPr="00557C2A">
              <w:rPr>
                <w:noProof/>
                <w:color w:val="000000"/>
                <w:sz w:val="16"/>
              </w:rPr>
              <w:t>0,000</w:t>
            </w:r>
          </w:p>
        </w:tc>
        <w:tc>
          <w:tcPr>
            <w:tcW w:w="403" w:type="pct"/>
            <w:tcBorders>
              <w:top w:val="nil"/>
              <w:left w:val="nil"/>
              <w:bottom w:val="single" w:sz="8" w:space="0" w:color="auto"/>
              <w:right w:val="single" w:sz="8" w:space="0" w:color="auto"/>
            </w:tcBorders>
            <w:shd w:val="clear" w:color="000000" w:fill="D9D9D9"/>
            <w:vAlign w:val="center"/>
            <w:hideMark/>
          </w:tcPr>
          <w:p w14:paraId="3857B142" w14:textId="77777777" w:rsidR="0051718E" w:rsidRPr="00557C2A" w:rsidRDefault="0051718E">
            <w:pPr>
              <w:spacing w:before="0" w:after="0"/>
              <w:jc w:val="right"/>
              <w:rPr>
                <w:noProof/>
                <w:color w:val="000000"/>
                <w:sz w:val="16"/>
                <w:szCs w:val="16"/>
              </w:rPr>
            </w:pPr>
            <w:r w:rsidRPr="00557C2A">
              <w:rPr>
                <w:noProof/>
                <w:color w:val="000000"/>
                <w:sz w:val="16"/>
              </w:rPr>
              <w:t>0,000</w:t>
            </w:r>
          </w:p>
        </w:tc>
        <w:tc>
          <w:tcPr>
            <w:tcW w:w="403" w:type="pct"/>
            <w:tcBorders>
              <w:top w:val="nil"/>
              <w:left w:val="nil"/>
              <w:bottom w:val="single" w:sz="8" w:space="0" w:color="auto"/>
              <w:right w:val="single" w:sz="8" w:space="0" w:color="auto"/>
            </w:tcBorders>
            <w:shd w:val="clear" w:color="000000" w:fill="D9D9D9"/>
            <w:vAlign w:val="center"/>
            <w:hideMark/>
          </w:tcPr>
          <w:p w14:paraId="173801E7" w14:textId="77777777" w:rsidR="0051718E" w:rsidRPr="00557C2A" w:rsidRDefault="0051718E">
            <w:pPr>
              <w:spacing w:before="0" w:after="0"/>
              <w:jc w:val="right"/>
              <w:rPr>
                <w:noProof/>
                <w:color w:val="000000"/>
                <w:sz w:val="16"/>
                <w:szCs w:val="16"/>
              </w:rPr>
            </w:pPr>
            <w:r w:rsidRPr="00557C2A">
              <w:rPr>
                <w:noProof/>
                <w:color w:val="000000"/>
                <w:sz w:val="16"/>
              </w:rPr>
              <w:t>0,000</w:t>
            </w:r>
          </w:p>
        </w:tc>
        <w:tc>
          <w:tcPr>
            <w:tcW w:w="403" w:type="pct"/>
            <w:tcBorders>
              <w:top w:val="nil"/>
              <w:left w:val="nil"/>
              <w:bottom w:val="single" w:sz="8" w:space="0" w:color="auto"/>
              <w:right w:val="single" w:sz="8" w:space="0" w:color="auto"/>
            </w:tcBorders>
            <w:shd w:val="clear" w:color="000000" w:fill="D9D9D9"/>
            <w:vAlign w:val="center"/>
            <w:hideMark/>
          </w:tcPr>
          <w:p w14:paraId="5AADB4FC" w14:textId="77777777" w:rsidR="0051718E" w:rsidRPr="00557C2A" w:rsidRDefault="0051718E">
            <w:pPr>
              <w:spacing w:before="0" w:after="0"/>
              <w:jc w:val="right"/>
              <w:rPr>
                <w:noProof/>
                <w:color w:val="000000"/>
                <w:sz w:val="16"/>
                <w:szCs w:val="16"/>
              </w:rPr>
            </w:pPr>
            <w:r w:rsidRPr="00557C2A">
              <w:rPr>
                <w:noProof/>
                <w:color w:val="000000"/>
                <w:sz w:val="16"/>
              </w:rPr>
              <w:t>0,000</w:t>
            </w:r>
          </w:p>
        </w:tc>
        <w:tc>
          <w:tcPr>
            <w:tcW w:w="453" w:type="pct"/>
            <w:tcBorders>
              <w:top w:val="nil"/>
              <w:left w:val="nil"/>
              <w:bottom w:val="single" w:sz="8" w:space="0" w:color="auto"/>
              <w:right w:val="single" w:sz="4" w:space="0" w:color="auto"/>
            </w:tcBorders>
            <w:shd w:val="clear" w:color="000000" w:fill="D9D9D9"/>
            <w:vAlign w:val="center"/>
          </w:tcPr>
          <w:p w14:paraId="55051EFB" w14:textId="77777777" w:rsidR="0051718E" w:rsidRPr="00557C2A" w:rsidRDefault="0051718E">
            <w:pPr>
              <w:spacing w:before="0" w:after="0"/>
              <w:jc w:val="center"/>
              <w:rPr>
                <w:b/>
                <w:bCs/>
                <w:noProof/>
                <w:color w:val="000000"/>
                <w:sz w:val="16"/>
                <w:szCs w:val="16"/>
              </w:rPr>
            </w:pPr>
            <w:r w:rsidRPr="00557C2A">
              <w:rPr>
                <w:noProof/>
                <w:color w:val="000000"/>
                <w:sz w:val="16"/>
              </w:rPr>
              <w:t>0,000</w:t>
            </w:r>
          </w:p>
        </w:tc>
        <w:tc>
          <w:tcPr>
            <w:tcW w:w="451" w:type="pct"/>
            <w:tcBorders>
              <w:top w:val="nil"/>
              <w:left w:val="single" w:sz="4" w:space="0" w:color="auto"/>
              <w:bottom w:val="single" w:sz="8" w:space="0" w:color="auto"/>
              <w:right w:val="single" w:sz="4" w:space="0" w:color="auto"/>
            </w:tcBorders>
            <w:shd w:val="clear" w:color="000000" w:fill="D9D9D9"/>
            <w:vAlign w:val="center"/>
          </w:tcPr>
          <w:p w14:paraId="4082718E" w14:textId="77777777" w:rsidR="0051718E" w:rsidRPr="00557C2A" w:rsidRDefault="0051718E">
            <w:pPr>
              <w:spacing w:before="0" w:after="0"/>
              <w:jc w:val="center"/>
              <w:rPr>
                <w:b/>
                <w:bCs/>
                <w:noProof/>
                <w:color w:val="000000"/>
                <w:sz w:val="16"/>
                <w:szCs w:val="16"/>
              </w:rPr>
            </w:pPr>
            <w:r w:rsidRPr="00557C2A">
              <w:rPr>
                <w:noProof/>
                <w:color w:val="000000"/>
                <w:sz w:val="16"/>
              </w:rPr>
              <w:t>0,000</w:t>
            </w:r>
          </w:p>
        </w:tc>
        <w:tc>
          <w:tcPr>
            <w:tcW w:w="451" w:type="pct"/>
            <w:tcBorders>
              <w:top w:val="nil"/>
              <w:left w:val="single" w:sz="4" w:space="0" w:color="auto"/>
              <w:bottom w:val="single" w:sz="8" w:space="0" w:color="auto"/>
              <w:right w:val="single" w:sz="4" w:space="0" w:color="auto"/>
            </w:tcBorders>
            <w:shd w:val="clear" w:color="000000" w:fill="D9D9D9"/>
            <w:vAlign w:val="center"/>
          </w:tcPr>
          <w:p w14:paraId="674B1D6A" w14:textId="77777777" w:rsidR="0051718E" w:rsidRPr="00557C2A" w:rsidRDefault="0051718E">
            <w:pPr>
              <w:spacing w:before="0" w:after="0"/>
              <w:jc w:val="center"/>
              <w:rPr>
                <w:b/>
                <w:bCs/>
                <w:noProof/>
                <w:color w:val="000000"/>
                <w:sz w:val="16"/>
                <w:szCs w:val="16"/>
              </w:rPr>
            </w:pPr>
            <w:r w:rsidRPr="00557C2A">
              <w:rPr>
                <w:noProof/>
                <w:color w:val="000000"/>
                <w:sz w:val="16"/>
              </w:rPr>
              <w:t>0,000</w:t>
            </w:r>
          </w:p>
        </w:tc>
        <w:tc>
          <w:tcPr>
            <w:tcW w:w="457" w:type="pct"/>
            <w:tcBorders>
              <w:top w:val="nil"/>
              <w:left w:val="single" w:sz="4" w:space="0" w:color="auto"/>
              <w:bottom w:val="single" w:sz="8" w:space="0" w:color="auto"/>
              <w:right w:val="single" w:sz="8" w:space="0" w:color="auto"/>
            </w:tcBorders>
            <w:shd w:val="clear" w:color="000000" w:fill="D9D9D9"/>
            <w:vAlign w:val="center"/>
            <w:hideMark/>
          </w:tcPr>
          <w:p w14:paraId="47B45AA0" w14:textId="77777777" w:rsidR="0051718E" w:rsidRPr="00557C2A" w:rsidRDefault="0051718E">
            <w:pPr>
              <w:spacing w:before="0" w:after="0"/>
              <w:jc w:val="right"/>
              <w:rPr>
                <w:b/>
                <w:bCs/>
                <w:noProof/>
                <w:color w:val="000000"/>
                <w:sz w:val="16"/>
                <w:szCs w:val="16"/>
              </w:rPr>
            </w:pPr>
            <w:r w:rsidRPr="00557C2A">
              <w:rPr>
                <w:b/>
                <w:noProof/>
                <w:color w:val="000000"/>
                <w:sz w:val="16"/>
              </w:rPr>
              <w:t>0,000</w:t>
            </w:r>
          </w:p>
        </w:tc>
      </w:tr>
      <w:tr w:rsidR="0051718E" w:rsidRPr="00557C2A" w14:paraId="4565001E" w14:textId="77777777" w:rsidTr="00B37C03">
        <w:trPr>
          <w:trHeight w:val="300"/>
        </w:trPr>
        <w:tc>
          <w:tcPr>
            <w:tcW w:w="1574" w:type="pct"/>
            <w:tcBorders>
              <w:top w:val="nil"/>
              <w:left w:val="single" w:sz="8" w:space="0" w:color="auto"/>
              <w:bottom w:val="single" w:sz="8" w:space="0" w:color="auto"/>
              <w:right w:val="single" w:sz="8" w:space="0" w:color="auto"/>
            </w:tcBorders>
            <w:vAlign w:val="center"/>
            <w:hideMark/>
          </w:tcPr>
          <w:p w14:paraId="0A162DB4" w14:textId="77777777" w:rsidR="0051718E" w:rsidRPr="00557C2A" w:rsidRDefault="0051718E">
            <w:pPr>
              <w:spacing w:before="0" w:after="0"/>
              <w:jc w:val="left"/>
              <w:rPr>
                <w:noProof/>
                <w:color w:val="000000"/>
                <w:sz w:val="16"/>
                <w:szCs w:val="16"/>
              </w:rPr>
            </w:pPr>
            <w:r w:rsidRPr="00557C2A">
              <w:rPr>
                <w:noProof/>
                <w:color w:val="000000"/>
                <w:sz w:val="16"/>
              </w:rPr>
              <w:t>Andere administratieve uitgaven</w:t>
            </w:r>
          </w:p>
        </w:tc>
        <w:tc>
          <w:tcPr>
            <w:tcW w:w="404" w:type="pct"/>
            <w:tcBorders>
              <w:top w:val="nil"/>
              <w:left w:val="nil"/>
              <w:bottom w:val="single" w:sz="8" w:space="0" w:color="auto"/>
              <w:right w:val="single" w:sz="8" w:space="0" w:color="auto"/>
            </w:tcBorders>
            <w:shd w:val="clear" w:color="000000" w:fill="D9D9D9"/>
            <w:vAlign w:val="center"/>
            <w:hideMark/>
          </w:tcPr>
          <w:p w14:paraId="0FE41801" w14:textId="77777777" w:rsidR="0051718E" w:rsidRPr="00557C2A" w:rsidRDefault="0051718E">
            <w:pPr>
              <w:spacing w:before="0" w:after="0"/>
              <w:jc w:val="right"/>
              <w:rPr>
                <w:noProof/>
                <w:color w:val="000000"/>
                <w:sz w:val="16"/>
                <w:szCs w:val="16"/>
              </w:rPr>
            </w:pPr>
            <w:r w:rsidRPr="00557C2A">
              <w:rPr>
                <w:noProof/>
                <w:color w:val="000000"/>
                <w:sz w:val="16"/>
              </w:rPr>
              <w:t>0,000</w:t>
            </w:r>
          </w:p>
        </w:tc>
        <w:tc>
          <w:tcPr>
            <w:tcW w:w="403" w:type="pct"/>
            <w:tcBorders>
              <w:top w:val="nil"/>
              <w:left w:val="nil"/>
              <w:bottom w:val="single" w:sz="8" w:space="0" w:color="auto"/>
              <w:right w:val="single" w:sz="8" w:space="0" w:color="auto"/>
            </w:tcBorders>
            <w:shd w:val="clear" w:color="000000" w:fill="D9D9D9"/>
            <w:vAlign w:val="center"/>
            <w:hideMark/>
          </w:tcPr>
          <w:p w14:paraId="3C798806" w14:textId="77777777" w:rsidR="0051718E" w:rsidRPr="00557C2A" w:rsidRDefault="0051718E">
            <w:pPr>
              <w:spacing w:before="0" w:after="0"/>
              <w:jc w:val="right"/>
              <w:rPr>
                <w:noProof/>
                <w:color w:val="000000"/>
                <w:sz w:val="16"/>
                <w:szCs w:val="16"/>
              </w:rPr>
            </w:pPr>
            <w:r w:rsidRPr="00557C2A">
              <w:rPr>
                <w:noProof/>
                <w:color w:val="000000"/>
                <w:sz w:val="16"/>
              </w:rPr>
              <w:t>0,000</w:t>
            </w:r>
          </w:p>
        </w:tc>
        <w:tc>
          <w:tcPr>
            <w:tcW w:w="403" w:type="pct"/>
            <w:tcBorders>
              <w:top w:val="nil"/>
              <w:left w:val="nil"/>
              <w:bottom w:val="single" w:sz="8" w:space="0" w:color="auto"/>
              <w:right w:val="single" w:sz="8" w:space="0" w:color="auto"/>
            </w:tcBorders>
            <w:shd w:val="clear" w:color="000000" w:fill="D9D9D9"/>
            <w:vAlign w:val="center"/>
            <w:hideMark/>
          </w:tcPr>
          <w:p w14:paraId="1D6427B9" w14:textId="77777777" w:rsidR="0051718E" w:rsidRPr="00557C2A" w:rsidRDefault="0051718E">
            <w:pPr>
              <w:spacing w:before="0" w:after="0"/>
              <w:jc w:val="right"/>
              <w:rPr>
                <w:noProof/>
                <w:color w:val="000000"/>
                <w:sz w:val="16"/>
                <w:szCs w:val="16"/>
              </w:rPr>
            </w:pPr>
            <w:r w:rsidRPr="00557C2A">
              <w:rPr>
                <w:noProof/>
                <w:color w:val="000000"/>
                <w:sz w:val="16"/>
              </w:rPr>
              <w:t>0,000</w:t>
            </w:r>
          </w:p>
        </w:tc>
        <w:tc>
          <w:tcPr>
            <w:tcW w:w="403" w:type="pct"/>
            <w:tcBorders>
              <w:top w:val="nil"/>
              <w:left w:val="nil"/>
              <w:bottom w:val="single" w:sz="8" w:space="0" w:color="auto"/>
              <w:right w:val="single" w:sz="8" w:space="0" w:color="auto"/>
            </w:tcBorders>
            <w:shd w:val="clear" w:color="000000" w:fill="D9D9D9"/>
            <w:vAlign w:val="center"/>
            <w:hideMark/>
          </w:tcPr>
          <w:p w14:paraId="26549A02" w14:textId="77777777" w:rsidR="0051718E" w:rsidRPr="00557C2A" w:rsidRDefault="0051718E">
            <w:pPr>
              <w:spacing w:before="0" w:after="0"/>
              <w:jc w:val="right"/>
              <w:rPr>
                <w:noProof/>
                <w:color w:val="000000"/>
                <w:sz w:val="16"/>
                <w:szCs w:val="16"/>
              </w:rPr>
            </w:pPr>
            <w:r w:rsidRPr="00557C2A">
              <w:rPr>
                <w:noProof/>
                <w:color w:val="000000"/>
                <w:sz w:val="16"/>
              </w:rPr>
              <w:t>0,000</w:t>
            </w:r>
          </w:p>
        </w:tc>
        <w:tc>
          <w:tcPr>
            <w:tcW w:w="453" w:type="pct"/>
            <w:tcBorders>
              <w:top w:val="nil"/>
              <w:left w:val="nil"/>
              <w:bottom w:val="single" w:sz="8" w:space="0" w:color="auto"/>
              <w:right w:val="single" w:sz="4" w:space="0" w:color="auto"/>
            </w:tcBorders>
            <w:shd w:val="clear" w:color="000000" w:fill="D9D9D9"/>
            <w:vAlign w:val="center"/>
          </w:tcPr>
          <w:p w14:paraId="16A5023D" w14:textId="77777777" w:rsidR="0051718E" w:rsidRPr="00557C2A" w:rsidRDefault="0051718E">
            <w:pPr>
              <w:spacing w:before="0" w:after="0"/>
              <w:jc w:val="center"/>
              <w:rPr>
                <w:b/>
                <w:bCs/>
                <w:noProof/>
                <w:color w:val="000000"/>
                <w:sz w:val="16"/>
                <w:szCs w:val="16"/>
              </w:rPr>
            </w:pPr>
            <w:r w:rsidRPr="00557C2A">
              <w:rPr>
                <w:noProof/>
                <w:color w:val="000000"/>
                <w:sz w:val="16"/>
              </w:rPr>
              <w:t>0,000</w:t>
            </w:r>
          </w:p>
        </w:tc>
        <w:tc>
          <w:tcPr>
            <w:tcW w:w="451" w:type="pct"/>
            <w:tcBorders>
              <w:top w:val="nil"/>
              <w:left w:val="single" w:sz="4" w:space="0" w:color="auto"/>
              <w:bottom w:val="single" w:sz="8" w:space="0" w:color="auto"/>
              <w:right w:val="single" w:sz="4" w:space="0" w:color="auto"/>
            </w:tcBorders>
            <w:shd w:val="clear" w:color="000000" w:fill="D9D9D9"/>
            <w:vAlign w:val="center"/>
          </w:tcPr>
          <w:p w14:paraId="5353AAE3" w14:textId="77777777" w:rsidR="0051718E" w:rsidRPr="00557C2A" w:rsidRDefault="0051718E">
            <w:pPr>
              <w:spacing w:before="0" w:after="0"/>
              <w:jc w:val="center"/>
              <w:rPr>
                <w:b/>
                <w:bCs/>
                <w:noProof/>
                <w:color w:val="000000"/>
                <w:sz w:val="16"/>
                <w:szCs w:val="16"/>
              </w:rPr>
            </w:pPr>
            <w:r w:rsidRPr="00557C2A">
              <w:rPr>
                <w:noProof/>
                <w:color w:val="000000"/>
                <w:sz w:val="16"/>
              </w:rPr>
              <w:t>0,000</w:t>
            </w:r>
          </w:p>
        </w:tc>
        <w:tc>
          <w:tcPr>
            <w:tcW w:w="451" w:type="pct"/>
            <w:tcBorders>
              <w:top w:val="nil"/>
              <w:left w:val="single" w:sz="4" w:space="0" w:color="auto"/>
              <w:bottom w:val="single" w:sz="8" w:space="0" w:color="auto"/>
              <w:right w:val="single" w:sz="4" w:space="0" w:color="auto"/>
            </w:tcBorders>
            <w:shd w:val="clear" w:color="000000" w:fill="D9D9D9"/>
            <w:vAlign w:val="center"/>
          </w:tcPr>
          <w:p w14:paraId="4BCFA04E" w14:textId="77777777" w:rsidR="0051718E" w:rsidRPr="00557C2A" w:rsidRDefault="0051718E">
            <w:pPr>
              <w:spacing w:before="0" w:after="0"/>
              <w:jc w:val="center"/>
              <w:rPr>
                <w:b/>
                <w:bCs/>
                <w:noProof/>
                <w:color w:val="000000"/>
                <w:sz w:val="16"/>
                <w:szCs w:val="16"/>
              </w:rPr>
            </w:pPr>
            <w:r w:rsidRPr="00557C2A">
              <w:rPr>
                <w:noProof/>
                <w:color w:val="000000"/>
                <w:sz w:val="16"/>
              </w:rPr>
              <w:t>0,000</w:t>
            </w:r>
          </w:p>
        </w:tc>
        <w:tc>
          <w:tcPr>
            <w:tcW w:w="457" w:type="pct"/>
            <w:tcBorders>
              <w:top w:val="nil"/>
              <w:left w:val="single" w:sz="4" w:space="0" w:color="auto"/>
              <w:bottom w:val="single" w:sz="8" w:space="0" w:color="auto"/>
              <w:right w:val="single" w:sz="8" w:space="0" w:color="auto"/>
            </w:tcBorders>
            <w:shd w:val="clear" w:color="000000" w:fill="D9D9D9"/>
            <w:vAlign w:val="center"/>
            <w:hideMark/>
          </w:tcPr>
          <w:p w14:paraId="7745A201" w14:textId="77777777" w:rsidR="0051718E" w:rsidRPr="00557C2A" w:rsidRDefault="0051718E">
            <w:pPr>
              <w:spacing w:before="0" w:after="0"/>
              <w:jc w:val="right"/>
              <w:rPr>
                <w:b/>
                <w:bCs/>
                <w:noProof/>
                <w:color w:val="000000"/>
                <w:sz w:val="16"/>
                <w:szCs w:val="16"/>
              </w:rPr>
            </w:pPr>
            <w:r w:rsidRPr="00557C2A">
              <w:rPr>
                <w:b/>
                <w:noProof/>
                <w:color w:val="000000"/>
                <w:sz w:val="16"/>
              </w:rPr>
              <w:t>0,000</w:t>
            </w:r>
          </w:p>
        </w:tc>
      </w:tr>
      <w:tr w:rsidR="0051718E" w:rsidRPr="00557C2A" w14:paraId="685F9F7D" w14:textId="77777777">
        <w:trPr>
          <w:trHeight w:val="300"/>
        </w:trPr>
        <w:tc>
          <w:tcPr>
            <w:tcW w:w="1574" w:type="pct"/>
            <w:tcBorders>
              <w:top w:val="nil"/>
              <w:left w:val="single" w:sz="8" w:space="0" w:color="auto"/>
              <w:bottom w:val="single" w:sz="8" w:space="0" w:color="auto"/>
              <w:right w:val="single" w:sz="8" w:space="0" w:color="auto"/>
            </w:tcBorders>
            <w:shd w:val="clear" w:color="000000" w:fill="CCCCCC"/>
            <w:vAlign w:val="center"/>
            <w:hideMark/>
          </w:tcPr>
          <w:p w14:paraId="4EC24D33" w14:textId="77777777" w:rsidR="0051718E" w:rsidRPr="00557C2A" w:rsidRDefault="0051718E">
            <w:pPr>
              <w:spacing w:before="0" w:after="0"/>
              <w:jc w:val="center"/>
              <w:rPr>
                <w:b/>
                <w:bCs/>
                <w:noProof/>
                <w:color w:val="000000"/>
                <w:sz w:val="16"/>
                <w:szCs w:val="16"/>
              </w:rPr>
            </w:pPr>
            <w:r w:rsidRPr="00557C2A">
              <w:rPr>
                <w:b/>
                <w:noProof/>
                <w:color w:val="000000"/>
                <w:sz w:val="16"/>
              </w:rPr>
              <w:t>Subtotaal buiten RUBRIEK 4</w:t>
            </w:r>
          </w:p>
        </w:tc>
        <w:tc>
          <w:tcPr>
            <w:tcW w:w="404" w:type="pct"/>
            <w:tcBorders>
              <w:top w:val="nil"/>
              <w:left w:val="nil"/>
              <w:bottom w:val="single" w:sz="8" w:space="0" w:color="auto"/>
              <w:right w:val="single" w:sz="8" w:space="0" w:color="auto"/>
            </w:tcBorders>
            <w:shd w:val="clear" w:color="000000" w:fill="D9D9D9"/>
            <w:vAlign w:val="center"/>
            <w:hideMark/>
          </w:tcPr>
          <w:p w14:paraId="0F187040" w14:textId="77777777" w:rsidR="0051718E" w:rsidRPr="00557C2A" w:rsidRDefault="0051718E">
            <w:pPr>
              <w:spacing w:before="0" w:after="0"/>
              <w:jc w:val="right"/>
              <w:rPr>
                <w:b/>
                <w:bCs/>
                <w:noProof/>
                <w:color w:val="000000"/>
                <w:sz w:val="16"/>
                <w:szCs w:val="16"/>
              </w:rPr>
            </w:pPr>
            <w:r w:rsidRPr="00557C2A">
              <w:rPr>
                <w:b/>
                <w:noProof/>
                <w:color w:val="000000"/>
                <w:sz w:val="16"/>
              </w:rPr>
              <w:t>0,000</w:t>
            </w:r>
          </w:p>
        </w:tc>
        <w:tc>
          <w:tcPr>
            <w:tcW w:w="403" w:type="pct"/>
            <w:tcBorders>
              <w:top w:val="nil"/>
              <w:left w:val="nil"/>
              <w:bottom w:val="single" w:sz="8" w:space="0" w:color="auto"/>
              <w:right w:val="single" w:sz="8" w:space="0" w:color="auto"/>
            </w:tcBorders>
            <w:shd w:val="clear" w:color="000000" w:fill="D9D9D9"/>
            <w:vAlign w:val="center"/>
            <w:hideMark/>
          </w:tcPr>
          <w:p w14:paraId="37970F1B" w14:textId="77777777" w:rsidR="0051718E" w:rsidRPr="00557C2A" w:rsidRDefault="0051718E">
            <w:pPr>
              <w:spacing w:before="0" w:after="0"/>
              <w:jc w:val="right"/>
              <w:rPr>
                <w:b/>
                <w:bCs/>
                <w:noProof/>
                <w:color w:val="000000"/>
                <w:sz w:val="16"/>
                <w:szCs w:val="16"/>
              </w:rPr>
            </w:pPr>
            <w:r w:rsidRPr="00557C2A">
              <w:rPr>
                <w:b/>
                <w:noProof/>
                <w:color w:val="000000"/>
                <w:sz w:val="16"/>
              </w:rPr>
              <w:t>0,000</w:t>
            </w:r>
          </w:p>
        </w:tc>
        <w:tc>
          <w:tcPr>
            <w:tcW w:w="403" w:type="pct"/>
            <w:tcBorders>
              <w:top w:val="nil"/>
              <w:left w:val="nil"/>
              <w:bottom w:val="single" w:sz="8" w:space="0" w:color="auto"/>
              <w:right w:val="single" w:sz="8" w:space="0" w:color="auto"/>
            </w:tcBorders>
            <w:shd w:val="clear" w:color="000000" w:fill="D9D9D9"/>
            <w:vAlign w:val="center"/>
            <w:hideMark/>
          </w:tcPr>
          <w:p w14:paraId="392B6011" w14:textId="77777777" w:rsidR="0051718E" w:rsidRPr="00557C2A" w:rsidRDefault="0051718E">
            <w:pPr>
              <w:spacing w:before="0" w:after="0"/>
              <w:jc w:val="right"/>
              <w:rPr>
                <w:b/>
                <w:bCs/>
                <w:noProof/>
                <w:color w:val="000000"/>
                <w:sz w:val="16"/>
                <w:szCs w:val="16"/>
              </w:rPr>
            </w:pPr>
            <w:r w:rsidRPr="00557C2A">
              <w:rPr>
                <w:b/>
                <w:noProof/>
                <w:color w:val="000000"/>
                <w:sz w:val="16"/>
              </w:rPr>
              <w:t>0,000</w:t>
            </w:r>
          </w:p>
        </w:tc>
        <w:tc>
          <w:tcPr>
            <w:tcW w:w="403" w:type="pct"/>
            <w:tcBorders>
              <w:top w:val="nil"/>
              <w:left w:val="nil"/>
              <w:bottom w:val="single" w:sz="8" w:space="0" w:color="auto"/>
              <w:right w:val="single" w:sz="8" w:space="0" w:color="auto"/>
            </w:tcBorders>
            <w:shd w:val="clear" w:color="000000" w:fill="D9D9D9"/>
            <w:vAlign w:val="center"/>
            <w:hideMark/>
          </w:tcPr>
          <w:p w14:paraId="50113D2C" w14:textId="77777777" w:rsidR="0051718E" w:rsidRPr="00557C2A" w:rsidRDefault="0051718E">
            <w:pPr>
              <w:spacing w:before="0" w:after="0"/>
              <w:jc w:val="right"/>
              <w:rPr>
                <w:b/>
                <w:bCs/>
                <w:noProof/>
                <w:color w:val="000000"/>
                <w:sz w:val="16"/>
                <w:szCs w:val="16"/>
              </w:rPr>
            </w:pPr>
            <w:r w:rsidRPr="00557C2A">
              <w:rPr>
                <w:b/>
                <w:noProof/>
                <w:color w:val="000000"/>
                <w:sz w:val="16"/>
              </w:rPr>
              <w:t>0,000</w:t>
            </w:r>
          </w:p>
        </w:tc>
        <w:tc>
          <w:tcPr>
            <w:tcW w:w="453" w:type="pct"/>
            <w:tcBorders>
              <w:top w:val="nil"/>
              <w:left w:val="nil"/>
              <w:bottom w:val="single" w:sz="8" w:space="0" w:color="auto"/>
              <w:right w:val="single" w:sz="4" w:space="0" w:color="auto"/>
            </w:tcBorders>
            <w:shd w:val="clear" w:color="000000" w:fill="D9D9D9"/>
            <w:vAlign w:val="center"/>
          </w:tcPr>
          <w:p w14:paraId="4064A863" w14:textId="77777777" w:rsidR="0051718E" w:rsidRPr="00557C2A" w:rsidRDefault="0051718E">
            <w:pPr>
              <w:spacing w:before="0" w:after="0"/>
              <w:jc w:val="center"/>
              <w:rPr>
                <w:b/>
                <w:bCs/>
                <w:noProof/>
                <w:color w:val="000000"/>
                <w:sz w:val="16"/>
                <w:szCs w:val="16"/>
              </w:rPr>
            </w:pPr>
            <w:r w:rsidRPr="00557C2A">
              <w:rPr>
                <w:b/>
                <w:noProof/>
                <w:color w:val="000000"/>
                <w:sz w:val="16"/>
              </w:rPr>
              <w:t>0,000</w:t>
            </w:r>
          </w:p>
        </w:tc>
        <w:tc>
          <w:tcPr>
            <w:tcW w:w="451" w:type="pct"/>
            <w:tcBorders>
              <w:top w:val="nil"/>
              <w:left w:val="single" w:sz="4" w:space="0" w:color="auto"/>
              <w:bottom w:val="single" w:sz="8" w:space="0" w:color="auto"/>
              <w:right w:val="single" w:sz="4" w:space="0" w:color="auto"/>
            </w:tcBorders>
            <w:shd w:val="clear" w:color="000000" w:fill="D9D9D9"/>
            <w:vAlign w:val="center"/>
          </w:tcPr>
          <w:p w14:paraId="709CAAEA" w14:textId="77777777" w:rsidR="0051718E" w:rsidRPr="00557C2A" w:rsidRDefault="0051718E">
            <w:pPr>
              <w:spacing w:before="0" w:after="0"/>
              <w:jc w:val="center"/>
              <w:rPr>
                <w:b/>
                <w:bCs/>
                <w:noProof/>
                <w:color w:val="000000"/>
                <w:sz w:val="16"/>
                <w:szCs w:val="16"/>
              </w:rPr>
            </w:pPr>
            <w:r w:rsidRPr="00557C2A">
              <w:rPr>
                <w:b/>
                <w:noProof/>
                <w:color w:val="000000"/>
                <w:sz w:val="16"/>
              </w:rPr>
              <w:t>0,000</w:t>
            </w:r>
          </w:p>
        </w:tc>
        <w:tc>
          <w:tcPr>
            <w:tcW w:w="451" w:type="pct"/>
            <w:tcBorders>
              <w:top w:val="nil"/>
              <w:left w:val="single" w:sz="4" w:space="0" w:color="auto"/>
              <w:bottom w:val="single" w:sz="8" w:space="0" w:color="auto"/>
              <w:right w:val="single" w:sz="4" w:space="0" w:color="auto"/>
            </w:tcBorders>
            <w:shd w:val="clear" w:color="000000" w:fill="D9D9D9"/>
            <w:vAlign w:val="center"/>
          </w:tcPr>
          <w:p w14:paraId="4555C1C0" w14:textId="77777777" w:rsidR="0051718E" w:rsidRPr="00557C2A" w:rsidRDefault="0051718E">
            <w:pPr>
              <w:spacing w:before="0" w:after="0"/>
              <w:jc w:val="center"/>
              <w:rPr>
                <w:b/>
                <w:bCs/>
                <w:noProof/>
                <w:color w:val="000000"/>
                <w:sz w:val="16"/>
                <w:szCs w:val="16"/>
              </w:rPr>
            </w:pPr>
            <w:r w:rsidRPr="00557C2A">
              <w:rPr>
                <w:b/>
                <w:noProof/>
                <w:color w:val="000000"/>
                <w:sz w:val="16"/>
              </w:rPr>
              <w:t>0,000</w:t>
            </w:r>
          </w:p>
        </w:tc>
        <w:tc>
          <w:tcPr>
            <w:tcW w:w="457" w:type="pct"/>
            <w:tcBorders>
              <w:top w:val="nil"/>
              <w:left w:val="single" w:sz="4" w:space="0" w:color="auto"/>
              <w:bottom w:val="single" w:sz="8" w:space="0" w:color="auto"/>
              <w:right w:val="single" w:sz="8" w:space="0" w:color="auto"/>
            </w:tcBorders>
            <w:shd w:val="clear" w:color="000000" w:fill="D9D9D9"/>
            <w:vAlign w:val="center"/>
            <w:hideMark/>
          </w:tcPr>
          <w:p w14:paraId="05F6CE93" w14:textId="77777777" w:rsidR="0051718E" w:rsidRPr="00557C2A" w:rsidRDefault="0051718E">
            <w:pPr>
              <w:spacing w:before="0" w:after="0"/>
              <w:jc w:val="right"/>
              <w:rPr>
                <w:b/>
                <w:bCs/>
                <w:noProof/>
                <w:color w:val="000000"/>
                <w:sz w:val="16"/>
                <w:szCs w:val="16"/>
              </w:rPr>
            </w:pPr>
            <w:r w:rsidRPr="00557C2A">
              <w:rPr>
                <w:b/>
                <w:noProof/>
                <w:color w:val="000000"/>
                <w:sz w:val="16"/>
              </w:rPr>
              <w:t>0,000</w:t>
            </w:r>
          </w:p>
        </w:tc>
      </w:tr>
      <w:tr w:rsidR="0051718E" w:rsidRPr="00557C2A" w14:paraId="53551336" w14:textId="77777777">
        <w:trPr>
          <w:trHeight w:val="300"/>
        </w:trPr>
        <w:tc>
          <w:tcPr>
            <w:tcW w:w="5000" w:type="pct"/>
            <w:gridSpan w:val="9"/>
            <w:tcBorders>
              <w:top w:val="single" w:sz="8" w:space="0" w:color="auto"/>
              <w:left w:val="single" w:sz="8" w:space="0" w:color="auto"/>
              <w:bottom w:val="single" w:sz="8" w:space="0" w:color="auto"/>
              <w:right w:val="single" w:sz="4" w:space="0" w:color="auto"/>
            </w:tcBorders>
          </w:tcPr>
          <w:p w14:paraId="37766031" w14:textId="77777777" w:rsidR="0051718E" w:rsidRPr="00557C2A" w:rsidRDefault="0051718E">
            <w:pPr>
              <w:spacing w:before="0" w:after="0"/>
              <w:jc w:val="center"/>
              <w:rPr>
                <w:noProof/>
                <w:color w:val="000000"/>
                <w:sz w:val="16"/>
                <w:szCs w:val="16"/>
                <w:lang w:eastAsia="en-IE"/>
              </w:rPr>
            </w:pPr>
          </w:p>
        </w:tc>
      </w:tr>
      <w:tr w:rsidR="0051718E" w:rsidRPr="00557C2A" w14:paraId="1925328F" w14:textId="77777777" w:rsidTr="00B37C03">
        <w:trPr>
          <w:trHeight w:val="300"/>
        </w:trPr>
        <w:tc>
          <w:tcPr>
            <w:tcW w:w="1574" w:type="pct"/>
            <w:tcBorders>
              <w:top w:val="nil"/>
              <w:left w:val="single" w:sz="8" w:space="0" w:color="auto"/>
              <w:bottom w:val="single" w:sz="8" w:space="0" w:color="auto"/>
              <w:right w:val="single" w:sz="8" w:space="0" w:color="auto"/>
            </w:tcBorders>
            <w:vAlign w:val="center"/>
            <w:hideMark/>
          </w:tcPr>
          <w:p w14:paraId="01CEEF8A" w14:textId="77777777" w:rsidR="0051718E" w:rsidRPr="00557C2A" w:rsidRDefault="0051718E">
            <w:pPr>
              <w:spacing w:before="0" w:after="0"/>
              <w:jc w:val="center"/>
              <w:rPr>
                <w:b/>
                <w:bCs/>
                <w:noProof/>
                <w:color w:val="000000"/>
                <w:sz w:val="16"/>
                <w:szCs w:val="16"/>
              </w:rPr>
            </w:pPr>
            <w:r w:rsidRPr="00557C2A">
              <w:rPr>
                <w:b/>
                <w:noProof/>
                <w:color w:val="000000"/>
                <w:sz w:val="16"/>
              </w:rPr>
              <w:t>TOTAAL</w:t>
            </w:r>
          </w:p>
        </w:tc>
        <w:tc>
          <w:tcPr>
            <w:tcW w:w="404" w:type="pct"/>
            <w:tcBorders>
              <w:top w:val="nil"/>
              <w:left w:val="nil"/>
              <w:bottom w:val="single" w:sz="8" w:space="0" w:color="auto"/>
              <w:right w:val="single" w:sz="8" w:space="0" w:color="auto"/>
            </w:tcBorders>
            <w:shd w:val="clear" w:color="000000" w:fill="D9D9D9"/>
            <w:vAlign w:val="center"/>
            <w:hideMark/>
          </w:tcPr>
          <w:p w14:paraId="7AC82A57" w14:textId="77777777" w:rsidR="0051718E" w:rsidRPr="00557C2A" w:rsidRDefault="0051718E">
            <w:pPr>
              <w:spacing w:before="0" w:after="0"/>
              <w:jc w:val="right"/>
              <w:rPr>
                <w:b/>
                <w:bCs/>
                <w:noProof/>
                <w:color w:val="000000"/>
                <w:sz w:val="16"/>
                <w:szCs w:val="16"/>
              </w:rPr>
            </w:pPr>
            <w:r w:rsidRPr="00557C2A">
              <w:rPr>
                <w:b/>
                <w:noProof/>
                <w:color w:val="000000"/>
                <w:sz w:val="16"/>
              </w:rPr>
              <w:t>0,000</w:t>
            </w:r>
          </w:p>
        </w:tc>
        <w:tc>
          <w:tcPr>
            <w:tcW w:w="403" w:type="pct"/>
            <w:tcBorders>
              <w:top w:val="nil"/>
              <w:left w:val="nil"/>
              <w:bottom w:val="single" w:sz="8" w:space="0" w:color="auto"/>
              <w:right w:val="single" w:sz="8" w:space="0" w:color="auto"/>
            </w:tcBorders>
            <w:shd w:val="clear" w:color="000000" w:fill="D9D9D9"/>
            <w:vAlign w:val="center"/>
            <w:hideMark/>
          </w:tcPr>
          <w:p w14:paraId="6C0D4810" w14:textId="77777777" w:rsidR="0051718E" w:rsidRPr="00557C2A" w:rsidRDefault="0051718E">
            <w:pPr>
              <w:spacing w:before="0" w:after="0"/>
              <w:jc w:val="right"/>
              <w:rPr>
                <w:b/>
                <w:bCs/>
                <w:noProof/>
                <w:color w:val="000000"/>
                <w:sz w:val="16"/>
                <w:szCs w:val="16"/>
              </w:rPr>
            </w:pPr>
            <w:r w:rsidRPr="00557C2A">
              <w:rPr>
                <w:b/>
                <w:noProof/>
                <w:color w:val="000000"/>
                <w:sz w:val="16"/>
              </w:rPr>
              <w:t>0,000</w:t>
            </w:r>
          </w:p>
        </w:tc>
        <w:tc>
          <w:tcPr>
            <w:tcW w:w="403" w:type="pct"/>
            <w:tcBorders>
              <w:top w:val="nil"/>
              <w:left w:val="nil"/>
              <w:bottom w:val="single" w:sz="8" w:space="0" w:color="auto"/>
              <w:right w:val="single" w:sz="8" w:space="0" w:color="auto"/>
            </w:tcBorders>
            <w:shd w:val="clear" w:color="000000" w:fill="D9D9D9"/>
            <w:vAlign w:val="center"/>
            <w:hideMark/>
          </w:tcPr>
          <w:p w14:paraId="54927357" w14:textId="77777777" w:rsidR="0051718E" w:rsidRPr="00557C2A" w:rsidRDefault="0051718E">
            <w:pPr>
              <w:spacing w:before="0" w:after="0"/>
              <w:jc w:val="right"/>
              <w:rPr>
                <w:b/>
                <w:bCs/>
                <w:noProof/>
                <w:color w:val="000000"/>
                <w:sz w:val="16"/>
                <w:szCs w:val="16"/>
              </w:rPr>
            </w:pPr>
            <w:r w:rsidRPr="00557C2A">
              <w:rPr>
                <w:b/>
                <w:noProof/>
                <w:color w:val="000000"/>
                <w:sz w:val="16"/>
              </w:rPr>
              <w:t>0,000</w:t>
            </w:r>
          </w:p>
        </w:tc>
        <w:tc>
          <w:tcPr>
            <w:tcW w:w="403" w:type="pct"/>
            <w:tcBorders>
              <w:top w:val="nil"/>
              <w:left w:val="nil"/>
              <w:bottom w:val="single" w:sz="8" w:space="0" w:color="auto"/>
              <w:right w:val="single" w:sz="8" w:space="0" w:color="auto"/>
            </w:tcBorders>
            <w:shd w:val="clear" w:color="000000" w:fill="D9D9D9"/>
            <w:vAlign w:val="center"/>
            <w:hideMark/>
          </w:tcPr>
          <w:p w14:paraId="115FAF3E" w14:textId="77777777" w:rsidR="0051718E" w:rsidRPr="00557C2A" w:rsidRDefault="0051718E">
            <w:pPr>
              <w:spacing w:before="0" w:after="0"/>
              <w:jc w:val="right"/>
              <w:rPr>
                <w:b/>
                <w:bCs/>
                <w:noProof/>
                <w:color w:val="000000"/>
                <w:sz w:val="16"/>
                <w:szCs w:val="16"/>
              </w:rPr>
            </w:pPr>
            <w:r w:rsidRPr="00557C2A">
              <w:rPr>
                <w:b/>
                <w:noProof/>
                <w:color w:val="000000"/>
                <w:sz w:val="16"/>
              </w:rPr>
              <w:t>0,000</w:t>
            </w:r>
          </w:p>
        </w:tc>
        <w:tc>
          <w:tcPr>
            <w:tcW w:w="453" w:type="pct"/>
            <w:tcBorders>
              <w:top w:val="nil"/>
              <w:left w:val="nil"/>
              <w:bottom w:val="single" w:sz="8" w:space="0" w:color="auto"/>
              <w:right w:val="single" w:sz="4" w:space="0" w:color="auto"/>
            </w:tcBorders>
            <w:shd w:val="clear" w:color="000000" w:fill="D9D9D9"/>
            <w:vAlign w:val="center"/>
          </w:tcPr>
          <w:p w14:paraId="1ED2A0D0" w14:textId="77777777" w:rsidR="0051718E" w:rsidRPr="00557C2A" w:rsidRDefault="0051718E">
            <w:pPr>
              <w:spacing w:before="0" w:after="0"/>
              <w:jc w:val="center"/>
              <w:rPr>
                <w:b/>
                <w:bCs/>
                <w:noProof/>
                <w:color w:val="000000"/>
                <w:sz w:val="16"/>
                <w:szCs w:val="16"/>
              </w:rPr>
            </w:pPr>
            <w:r w:rsidRPr="00557C2A">
              <w:rPr>
                <w:b/>
                <w:noProof/>
                <w:color w:val="000000"/>
                <w:sz w:val="16"/>
              </w:rPr>
              <w:t>0,000</w:t>
            </w:r>
          </w:p>
        </w:tc>
        <w:tc>
          <w:tcPr>
            <w:tcW w:w="451" w:type="pct"/>
            <w:tcBorders>
              <w:top w:val="nil"/>
              <w:left w:val="single" w:sz="4" w:space="0" w:color="auto"/>
              <w:bottom w:val="single" w:sz="8" w:space="0" w:color="auto"/>
              <w:right w:val="single" w:sz="4" w:space="0" w:color="auto"/>
            </w:tcBorders>
            <w:shd w:val="clear" w:color="000000" w:fill="D9D9D9"/>
            <w:vAlign w:val="center"/>
          </w:tcPr>
          <w:p w14:paraId="11700363" w14:textId="77777777" w:rsidR="0051718E" w:rsidRPr="00557C2A" w:rsidRDefault="0051718E">
            <w:pPr>
              <w:spacing w:before="0" w:after="0"/>
              <w:jc w:val="center"/>
              <w:rPr>
                <w:b/>
                <w:bCs/>
                <w:noProof/>
                <w:color w:val="000000"/>
                <w:sz w:val="16"/>
                <w:szCs w:val="16"/>
              </w:rPr>
            </w:pPr>
            <w:r w:rsidRPr="00557C2A">
              <w:rPr>
                <w:b/>
                <w:noProof/>
                <w:color w:val="000000"/>
                <w:sz w:val="16"/>
              </w:rPr>
              <w:t>0,000</w:t>
            </w:r>
          </w:p>
        </w:tc>
        <w:tc>
          <w:tcPr>
            <w:tcW w:w="451" w:type="pct"/>
            <w:tcBorders>
              <w:top w:val="nil"/>
              <w:left w:val="single" w:sz="4" w:space="0" w:color="auto"/>
              <w:bottom w:val="single" w:sz="8" w:space="0" w:color="auto"/>
              <w:right w:val="single" w:sz="4" w:space="0" w:color="auto"/>
            </w:tcBorders>
            <w:shd w:val="clear" w:color="000000" w:fill="D9D9D9"/>
            <w:vAlign w:val="center"/>
          </w:tcPr>
          <w:p w14:paraId="113EACCF" w14:textId="77777777" w:rsidR="0051718E" w:rsidRPr="00557C2A" w:rsidRDefault="0051718E">
            <w:pPr>
              <w:spacing w:before="0" w:after="0"/>
              <w:jc w:val="center"/>
              <w:rPr>
                <w:b/>
                <w:bCs/>
                <w:noProof/>
                <w:color w:val="000000"/>
                <w:sz w:val="16"/>
                <w:szCs w:val="16"/>
              </w:rPr>
            </w:pPr>
            <w:r w:rsidRPr="00557C2A">
              <w:rPr>
                <w:b/>
                <w:noProof/>
                <w:color w:val="000000"/>
                <w:sz w:val="16"/>
              </w:rPr>
              <w:t>0,000</w:t>
            </w:r>
          </w:p>
        </w:tc>
        <w:tc>
          <w:tcPr>
            <w:tcW w:w="457" w:type="pct"/>
            <w:tcBorders>
              <w:top w:val="nil"/>
              <w:left w:val="single" w:sz="4" w:space="0" w:color="auto"/>
              <w:bottom w:val="single" w:sz="8" w:space="0" w:color="auto"/>
              <w:right w:val="single" w:sz="8" w:space="0" w:color="auto"/>
            </w:tcBorders>
            <w:shd w:val="clear" w:color="000000" w:fill="D9D9D9"/>
            <w:vAlign w:val="center"/>
            <w:hideMark/>
          </w:tcPr>
          <w:p w14:paraId="2C782B63" w14:textId="77777777" w:rsidR="0051718E" w:rsidRPr="00557C2A" w:rsidRDefault="0051718E">
            <w:pPr>
              <w:spacing w:before="0" w:after="0"/>
              <w:jc w:val="right"/>
              <w:rPr>
                <w:b/>
                <w:bCs/>
                <w:noProof/>
                <w:color w:val="000000"/>
                <w:sz w:val="16"/>
                <w:szCs w:val="16"/>
              </w:rPr>
            </w:pPr>
            <w:r w:rsidRPr="00557C2A">
              <w:rPr>
                <w:b/>
                <w:noProof/>
                <w:color w:val="000000"/>
                <w:sz w:val="16"/>
              </w:rPr>
              <w:t>0,000</w:t>
            </w:r>
          </w:p>
        </w:tc>
      </w:tr>
    </w:tbl>
    <w:p w14:paraId="43115744" w14:textId="77777777" w:rsidR="0051718E" w:rsidRPr="00557C2A" w:rsidRDefault="0051718E" w:rsidP="0051718E">
      <w:pPr>
        <w:rPr>
          <w:noProof/>
          <w:sz w:val="22"/>
          <w:szCs w:val="28"/>
        </w:rPr>
      </w:pPr>
      <w:r w:rsidRPr="00557C2A">
        <w:rPr>
          <w:noProof/>
          <w:sz w:val="22"/>
        </w:rPr>
        <w:t>De benodigde kredieten voor personeel en andere administratieve uitgaven zullen worden gefinancierd uit de kredieten van het DG die reeds voor het beheer van deze actie zijn toegewezen en/of binnen het DG zijn herverdeeld, eventueel aangevuld met middelen die in het kader van de jaarlijkse toewijzingsprocedure met inachtneming van de budgettaire beperkingen aan het beherende DG kunnen worden toegewezen.</w:t>
      </w:r>
    </w:p>
    <w:p w14:paraId="0B4D91D7" w14:textId="77777777" w:rsidR="0051718E" w:rsidRPr="00557C2A" w:rsidRDefault="0051718E" w:rsidP="0051718E">
      <w:pPr>
        <w:rPr>
          <w:noProof/>
          <w:sz w:val="22"/>
          <w:szCs w:val="28"/>
        </w:rPr>
      </w:pPr>
    </w:p>
    <w:p w14:paraId="39E0992E" w14:textId="77777777" w:rsidR="0051718E" w:rsidRPr="00557C2A" w:rsidRDefault="0051718E" w:rsidP="0051718E">
      <w:pPr>
        <w:pStyle w:val="ManualHeading3"/>
        <w:rPr>
          <w:bCs/>
          <w:noProof/>
          <w:szCs w:val="24"/>
        </w:rPr>
      </w:pPr>
      <w:bookmarkStart w:id="158" w:name="_Toc167220294"/>
      <w:bookmarkStart w:id="159" w:name="_Toc177549027"/>
      <w:r w:rsidRPr="00557C2A">
        <w:rPr>
          <w:noProof/>
        </w:rPr>
        <w:t>3.2.4.</w:t>
      </w:r>
      <w:r w:rsidRPr="00557C2A">
        <w:rPr>
          <w:noProof/>
        </w:rPr>
        <w:tab/>
        <w:t>Geraamde personeelsbehoeften</w:t>
      </w:r>
      <w:bookmarkEnd w:id="158"/>
      <w:bookmarkEnd w:id="159"/>
      <w:r w:rsidRPr="00557C2A">
        <w:rPr>
          <w:noProof/>
        </w:rPr>
        <w:t xml:space="preserve"> </w:t>
      </w:r>
    </w:p>
    <w:p w14:paraId="78615CC3" w14:textId="77777777" w:rsidR="0051718E" w:rsidRPr="00557C2A" w:rsidRDefault="0051718E" w:rsidP="0051718E">
      <w:pPr>
        <w:pStyle w:val="ListDash1"/>
        <w:rPr>
          <w:noProof/>
        </w:rPr>
      </w:pPr>
      <w:r w:rsidRPr="00557C2A">
        <w:rPr>
          <w:rFonts w:ascii="Wingdings" w:hAnsi="Wingdings"/>
          <w:noProof/>
        </w:rPr>
        <w:t></w:t>
      </w:r>
      <w:r w:rsidRPr="00557C2A">
        <w:rPr>
          <w:noProof/>
        </w:rPr>
        <w:tab/>
        <w:t xml:space="preserve">Voor het voorstel/initiatief zijn geen personele middelen nodig </w:t>
      </w:r>
    </w:p>
    <w:p w14:paraId="4A30A9FD" w14:textId="77777777" w:rsidR="0051718E" w:rsidRPr="00557C2A" w:rsidRDefault="0051718E" w:rsidP="0051718E">
      <w:pPr>
        <w:pStyle w:val="ListDash1"/>
        <w:rPr>
          <w:noProof/>
        </w:rPr>
      </w:pPr>
      <w:r w:rsidRPr="00557C2A">
        <w:rPr>
          <w:rFonts w:ascii="Wingdings" w:hAnsi="Wingdings"/>
          <w:noProof/>
        </w:rPr>
        <w:t></w:t>
      </w:r>
      <w:r w:rsidRPr="00557C2A">
        <w:rPr>
          <w:noProof/>
        </w:rPr>
        <w:tab/>
        <w:t>Voor het voorstel/initiatief zijn personele middelen nodig, zoals hieronder nader wordt beschreven</w:t>
      </w:r>
    </w:p>
    <w:p w14:paraId="47F62035" w14:textId="77777777" w:rsidR="0051718E" w:rsidRPr="00557C2A" w:rsidRDefault="0051718E" w:rsidP="0051718E">
      <w:pPr>
        <w:pStyle w:val="ManualHeading3"/>
        <w:rPr>
          <w:noProof/>
        </w:rPr>
      </w:pPr>
      <w:bookmarkStart w:id="160" w:name="_Toc167220295"/>
      <w:bookmarkStart w:id="161" w:name="_Toc177549028"/>
      <w:r w:rsidRPr="00557C2A">
        <w:rPr>
          <w:noProof/>
        </w:rPr>
        <w:t>3.2.4.1.</w:t>
      </w:r>
      <w:r w:rsidRPr="00557C2A">
        <w:rPr>
          <w:noProof/>
        </w:rPr>
        <w:tab/>
        <w:t>Gefinancierd uit goedgekeurde begroting</w:t>
      </w:r>
      <w:bookmarkEnd w:id="160"/>
      <w:bookmarkEnd w:id="161"/>
    </w:p>
    <w:p w14:paraId="483E6E2A" w14:textId="77777777" w:rsidR="0051718E" w:rsidRPr="00557C2A" w:rsidRDefault="0051718E" w:rsidP="0051718E">
      <w:pPr>
        <w:spacing w:after="60"/>
        <w:jc w:val="right"/>
        <w:rPr>
          <w:i/>
          <w:noProof/>
          <w:sz w:val="20"/>
        </w:rPr>
      </w:pPr>
      <w:r w:rsidRPr="00557C2A">
        <w:rPr>
          <w:i/>
          <w:noProof/>
          <w:sz w:val="20"/>
        </w:rPr>
        <w:t>Raming in voltijdequivalenten (vte’s)</w:t>
      </w:r>
      <w:r w:rsidRPr="00557C2A">
        <w:rPr>
          <w:rStyle w:val="FootnoteReference"/>
          <w:i/>
          <w:noProof/>
          <w:sz w:val="20"/>
          <w:szCs w:val="20"/>
        </w:rPr>
        <w:footnoteReference w:id="63"/>
      </w:r>
    </w:p>
    <w:p w14:paraId="1E152417" w14:textId="77777777" w:rsidR="0051718E" w:rsidRPr="00557C2A" w:rsidRDefault="0051718E" w:rsidP="0051718E">
      <w:pPr>
        <w:pStyle w:val="Text1"/>
        <w:spacing w:before="60" w:after="60"/>
        <w:ind w:left="-426" w:right="-427"/>
        <w:rPr>
          <w:b/>
          <w:noProof/>
          <w:sz w:val="18"/>
          <w:szCs w:val="18"/>
        </w:rPr>
      </w:pPr>
      <w:bookmarkStart w:id="162" w:name="_Hlk156979231"/>
    </w:p>
    <w:tbl>
      <w:tblPr>
        <w:tblW w:w="5000" w:type="pct"/>
        <w:tblLook w:val="04A0" w:firstRow="1" w:lastRow="0" w:firstColumn="1" w:lastColumn="0" w:noHBand="0" w:noVBand="1"/>
      </w:tblPr>
      <w:tblGrid>
        <w:gridCol w:w="1396"/>
        <w:gridCol w:w="1150"/>
        <w:gridCol w:w="964"/>
        <w:gridCol w:w="964"/>
        <w:gridCol w:w="964"/>
        <w:gridCol w:w="964"/>
        <w:gridCol w:w="964"/>
        <w:gridCol w:w="964"/>
        <w:gridCol w:w="959"/>
      </w:tblGrid>
      <w:tr w:rsidR="0051718E" w:rsidRPr="00557C2A" w14:paraId="4A01F82C" w14:textId="77777777" w:rsidTr="00B37C03">
        <w:trPr>
          <w:trHeight w:val="290"/>
        </w:trPr>
        <w:tc>
          <w:tcPr>
            <w:tcW w:w="1370" w:type="pct"/>
            <w:gridSpan w:val="2"/>
            <w:vMerge w:val="restart"/>
            <w:tcBorders>
              <w:top w:val="single" w:sz="8" w:space="0" w:color="auto"/>
              <w:left w:val="single" w:sz="8" w:space="0" w:color="auto"/>
              <w:bottom w:val="single" w:sz="8" w:space="0" w:color="000000"/>
              <w:right w:val="single" w:sz="8" w:space="0" w:color="000000"/>
            </w:tcBorders>
            <w:vAlign w:val="center"/>
            <w:hideMark/>
          </w:tcPr>
          <w:p w14:paraId="2C16503C" w14:textId="77777777" w:rsidR="0051718E" w:rsidRPr="00557C2A" w:rsidRDefault="0051718E">
            <w:pPr>
              <w:spacing w:before="0" w:after="0"/>
              <w:jc w:val="center"/>
              <w:rPr>
                <w:rFonts w:eastAsia="Times New Roman"/>
                <w:b/>
                <w:bCs/>
                <w:noProof/>
                <w:color w:val="000000"/>
                <w:sz w:val="18"/>
                <w:szCs w:val="18"/>
              </w:rPr>
            </w:pPr>
            <w:r w:rsidRPr="00557C2A">
              <w:rPr>
                <w:b/>
                <w:noProof/>
                <w:color w:val="000000"/>
                <w:sz w:val="18"/>
              </w:rPr>
              <w:t>GOEDGEKEURDE KREDIETEN</w:t>
            </w:r>
          </w:p>
        </w:tc>
        <w:tc>
          <w:tcPr>
            <w:tcW w:w="519" w:type="pct"/>
            <w:tcBorders>
              <w:top w:val="single" w:sz="8" w:space="0" w:color="auto"/>
              <w:left w:val="nil"/>
              <w:bottom w:val="nil"/>
              <w:right w:val="single" w:sz="8" w:space="0" w:color="auto"/>
            </w:tcBorders>
            <w:vAlign w:val="center"/>
            <w:hideMark/>
          </w:tcPr>
          <w:p w14:paraId="6F10EB61" w14:textId="77777777" w:rsidR="0051718E" w:rsidRPr="00557C2A" w:rsidRDefault="0051718E">
            <w:pPr>
              <w:spacing w:before="0" w:after="0"/>
              <w:jc w:val="center"/>
              <w:rPr>
                <w:rFonts w:eastAsia="Times New Roman"/>
                <w:noProof/>
                <w:color w:val="000000"/>
                <w:sz w:val="20"/>
                <w:szCs w:val="20"/>
              </w:rPr>
            </w:pPr>
            <w:r w:rsidRPr="00557C2A">
              <w:rPr>
                <w:noProof/>
                <w:color w:val="000000"/>
                <w:sz w:val="20"/>
              </w:rPr>
              <w:t>Jaar</w:t>
            </w:r>
          </w:p>
        </w:tc>
        <w:tc>
          <w:tcPr>
            <w:tcW w:w="519" w:type="pct"/>
            <w:tcBorders>
              <w:top w:val="single" w:sz="8" w:space="0" w:color="auto"/>
              <w:left w:val="nil"/>
              <w:bottom w:val="nil"/>
              <w:right w:val="single" w:sz="8" w:space="0" w:color="auto"/>
            </w:tcBorders>
            <w:vAlign w:val="center"/>
            <w:hideMark/>
          </w:tcPr>
          <w:p w14:paraId="7722E36B" w14:textId="77777777" w:rsidR="0051718E" w:rsidRPr="00557C2A" w:rsidRDefault="0051718E">
            <w:pPr>
              <w:spacing w:before="0" w:after="0"/>
              <w:jc w:val="center"/>
              <w:rPr>
                <w:rFonts w:eastAsia="Times New Roman"/>
                <w:noProof/>
                <w:color w:val="000000"/>
                <w:sz w:val="20"/>
                <w:szCs w:val="20"/>
              </w:rPr>
            </w:pPr>
            <w:r w:rsidRPr="00557C2A">
              <w:rPr>
                <w:noProof/>
                <w:color w:val="000000"/>
                <w:sz w:val="20"/>
              </w:rPr>
              <w:t>Jaar</w:t>
            </w:r>
          </w:p>
        </w:tc>
        <w:tc>
          <w:tcPr>
            <w:tcW w:w="519" w:type="pct"/>
            <w:tcBorders>
              <w:top w:val="single" w:sz="8" w:space="0" w:color="auto"/>
              <w:left w:val="nil"/>
              <w:bottom w:val="nil"/>
              <w:right w:val="single" w:sz="8" w:space="0" w:color="auto"/>
            </w:tcBorders>
            <w:vAlign w:val="center"/>
            <w:hideMark/>
          </w:tcPr>
          <w:p w14:paraId="107B7164" w14:textId="77777777" w:rsidR="0051718E" w:rsidRPr="00557C2A" w:rsidRDefault="0051718E">
            <w:pPr>
              <w:spacing w:before="0" w:after="0"/>
              <w:jc w:val="center"/>
              <w:rPr>
                <w:rFonts w:eastAsia="Times New Roman"/>
                <w:noProof/>
                <w:color w:val="000000"/>
                <w:sz w:val="20"/>
                <w:szCs w:val="20"/>
              </w:rPr>
            </w:pPr>
            <w:r w:rsidRPr="00557C2A">
              <w:rPr>
                <w:noProof/>
                <w:color w:val="000000"/>
                <w:sz w:val="20"/>
              </w:rPr>
              <w:t>Jaar</w:t>
            </w:r>
          </w:p>
        </w:tc>
        <w:tc>
          <w:tcPr>
            <w:tcW w:w="519" w:type="pct"/>
            <w:tcBorders>
              <w:top w:val="single" w:sz="8" w:space="0" w:color="auto"/>
              <w:left w:val="nil"/>
              <w:bottom w:val="nil"/>
              <w:right w:val="single" w:sz="8" w:space="0" w:color="auto"/>
            </w:tcBorders>
            <w:vAlign w:val="center"/>
            <w:hideMark/>
          </w:tcPr>
          <w:p w14:paraId="6AB9C3FF" w14:textId="77777777" w:rsidR="0051718E" w:rsidRPr="00557C2A" w:rsidRDefault="0051718E">
            <w:pPr>
              <w:spacing w:before="0" w:after="0"/>
              <w:jc w:val="center"/>
              <w:rPr>
                <w:rFonts w:eastAsia="Times New Roman"/>
                <w:noProof/>
                <w:color w:val="000000"/>
                <w:sz w:val="20"/>
                <w:szCs w:val="20"/>
              </w:rPr>
            </w:pPr>
            <w:r w:rsidRPr="00557C2A">
              <w:rPr>
                <w:noProof/>
                <w:color w:val="000000"/>
                <w:sz w:val="20"/>
              </w:rPr>
              <w:t>Jaar</w:t>
            </w:r>
          </w:p>
        </w:tc>
        <w:tc>
          <w:tcPr>
            <w:tcW w:w="519" w:type="pct"/>
            <w:tcBorders>
              <w:top w:val="single" w:sz="8" w:space="0" w:color="auto"/>
              <w:left w:val="nil"/>
              <w:bottom w:val="nil"/>
              <w:right w:val="single" w:sz="8" w:space="0" w:color="auto"/>
            </w:tcBorders>
            <w:vAlign w:val="center"/>
            <w:hideMark/>
          </w:tcPr>
          <w:p w14:paraId="73A0F017" w14:textId="77777777" w:rsidR="0051718E" w:rsidRPr="00557C2A" w:rsidRDefault="0051718E">
            <w:pPr>
              <w:spacing w:before="0" w:after="0"/>
              <w:jc w:val="center"/>
              <w:rPr>
                <w:rFonts w:eastAsia="Times New Roman"/>
                <w:noProof/>
                <w:color w:val="000000"/>
                <w:sz w:val="20"/>
                <w:szCs w:val="20"/>
              </w:rPr>
            </w:pPr>
            <w:r w:rsidRPr="00557C2A">
              <w:rPr>
                <w:noProof/>
                <w:color w:val="000000"/>
                <w:sz w:val="20"/>
              </w:rPr>
              <w:t>Jaar</w:t>
            </w:r>
          </w:p>
        </w:tc>
        <w:tc>
          <w:tcPr>
            <w:tcW w:w="519" w:type="pct"/>
            <w:tcBorders>
              <w:top w:val="single" w:sz="8" w:space="0" w:color="auto"/>
              <w:left w:val="nil"/>
              <w:bottom w:val="nil"/>
              <w:right w:val="single" w:sz="8" w:space="0" w:color="auto"/>
            </w:tcBorders>
            <w:vAlign w:val="center"/>
            <w:hideMark/>
          </w:tcPr>
          <w:p w14:paraId="00279620" w14:textId="77777777" w:rsidR="0051718E" w:rsidRPr="00557C2A" w:rsidRDefault="0051718E">
            <w:pPr>
              <w:spacing w:before="0" w:after="0"/>
              <w:jc w:val="center"/>
              <w:rPr>
                <w:rFonts w:eastAsia="Times New Roman"/>
                <w:noProof/>
                <w:color w:val="000000"/>
                <w:sz w:val="20"/>
                <w:szCs w:val="20"/>
              </w:rPr>
            </w:pPr>
            <w:r w:rsidRPr="00557C2A">
              <w:rPr>
                <w:noProof/>
                <w:color w:val="000000"/>
                <w:sz w:val="20"/>
              </w:rPr>
              <w:t>Jaar</w:t>
            </w:r>
          </w:p>
        </w:tc>
        <w:tc>
          <w:tcPr>
            <w:tcW w:w="519" w:type="pct"/>
            <w:tcBorders>
              <w:top w:val="single" w:sz="8" w:space="0" w:color="auto"/>
              <w:left w:val="nil"/>
              <w:bottom w:val="nil"/>
              <w:right w:val="single" w:sz="8" w:space="0" w:color="auto"/>
            </w:tcBorders>
            <w:vAlign w:val="center"/>
            <w:hideMark/>
          </w:tcPr>
          <w:p w14:paraId="09B6EF2B" w14:textId="77777777" w:rsidR="0051718E" w:rsidRPr="00557C2A" w:rsidRDefault="0051718E">
            <w:pPr>
              <w:spacing w:before="0" w:after="0"/>
              <w:jc w:val="center"/>
              <w:rPr>
                <w:rFonts w:eastAsia="Times New Roman"/>
                <w:noProof/>
                <w:color w:val="000000"/>
                <w:sz w:val="20"/>
                <w:szCs w:val="20"/>
              </w:rPr>
            </w:pPr>
            <w:r w:rsidRPr="00557C2A">
              <w:rPr>
                <w:noProof/>
                <w:color w:val="000000"/>
                <w:sz w:val="20"/>
              </w:rPr>
              <w:t>Jaar</w:t>
            </w:r>
          </w:p>
        </w:tc>
      </w:tr>
      <w:tr w:rsidR="0051718E" w:rsidRPr="00557C2A" w14:paraId="6BF33BE0" w14:textId="77777777" w:rsidTr="00B37C03">
        <w:trPr>
          <w:trHeight w:val="300"/>
        </w:trPr>
        <w:tc>
          <w:tcPr>
            <w:tcW w:w="1370" w:type="pct"/>
            <w:gridSpan w:val="2"/>
            <w:vMerge/>
            <w:tcBorders>
              <w:top w:val="single" w:sz="8" w:space="0" w:color="auto"/>
              <w:left w:val="single" w:sz="8" w:space="0" w:color="auto"/>
              <w:bottom w:val="single" w:sz="8" w:space="0" w:color="000000"/>
              <w:right w:val="single" w:sz="8" w:space="0" w:color="000000"/>
            </w:tcBorders>
            <w:vAlign w:val="center"/>
            <w:hideMark/>
          </w:tcPr>
          <w:p w14:paraId="489A9700" w14:textId="77777777" w:rsidR="0051718E" w:rsidRPr="00557C2A" w:rsidRDefault="0051718E">
            <w:pPr>
              <w:spacing w:before="0" w:after="0"/>
              <w:jc w:val="left"/>
              <w:rPr>
                <w:rFonts w:eastAsia="Times New Roman"/>
                <w:b/>
                <w:bCs/>
                <w:noProof/>
                <w:color w:val="000000"/>
                <w:sz w:val="18"/>
                <w:szCs w:val="18"/>
                <w:lang w:eastAsia="en-IE"/>
              </w:rPr>
            </w:pPr>
          </w:p>
        </w:tc>
        <w:tc>
          <w:tcPr>
            <w:tcW w:w="519" w:type="pct"/>
            <w:tcBorders>
              <w:top w:val="nil"/>
              <w:left w:val="nil"/>
              <w:bottom w:val="single" w:sz="8" w:space="0" w:color="auto"/>
              <w:right w:val="single" w:sz="8" w:space="0" w:color="auto"/>
            </w:tcBorders>
            <w:vAlign w:val="center"/>
            <w:hideMark/>
          </w:tcPr>
          <w:p w14:paraId="6D9FC28C" w14:textId="77777777" w:rsidR="0051718E" w:rsidRPr="00557C2A" w:rsidRDefault="0051718E">
            <w:pPr>
              <w:spacing w:before="0" w:after="0"/>
              <w:jc w:val="center"/>
              <w:rPr>
                <w:rFonts w:eastAsia="Times New Roman"/>
                <w:b/>
                <w:bCs/>
                <w:noProof/>
                <w:color w:val="000000"/>
                <w:sz w:val="20"/>
                <w:szCs w:val="20"/>
              </w:rPr>
            </w:pPr>
            <w:r w:rsidRPr="00557C2A">
              <w:rPr>
                <w:b/>
                <w:noProof/>
                <w:color w:val="000000"/>
                <w:sz w:val="20"/>
              </w:rPr>
              <w:t>2028</w:t>
            </w:r>
          </w:p>
        </w:tc>
        <w:tc>
          <w:tcPr>
            <w:tcW w:w="519" w:type="pct"/>
            <w:tcBorders>
              <w:top w:val="nil"/>
              <w:left w:val="nil"/>
              <w:bottom w:val="single" w:sz="8" w:space="0" w:color="auto"/>
              <w:right w:val="single" w:sz="8" w:space="0" w:color="auto"/>
            </w:tcBorders>
            <w:vAlign w:val="center"/>
            <w:hideMark/>
          </w:tcPr>
          <w:p w14:paraId="24F7761D" w14:textId="77777777" w:rsidR="0051718E" w:rsidRPr="00557C2A" w:rsidRDefault="0051718E">
            <w:pPr>
              <w:spacing w:before="0" w:after="0"/>
              <w:jc w:val="center"/>
              <w:rPr>
                <w:rFonts w:eastAsia="Times New Roman"/>
                <w:b/>
                <w:bCs/>
                <w:noProof/>
                <w:color w:val="000000"/>
                <w:sz w:val="20"/>
                <w:szCs w:val="20"/>
              </w:rPr>
            </w:pPr>
            <w:r w:rsidRPr="00557C2A">
              <w:rPr>
                <w:b/>
                <w:noProof/>
                <w:color w:val="000000"/>
                <w:sz w:val="20"/>
              </w:rPr>
              <w:t>2029</w:t>
            </w:r>
          </w:p>
        </w:tc>
        <w:tc>
          <w:tcPr>
            <w:tcW w:w="519" w:type="pct"/>
            <w:tcBorders>
              <w:top w:val="nil"/>
              <w:left w:val="nil"/>
              <w:bottom w:val="single" w:sz="8" w:space="0" w:color="auto"/>
              <w:right w:val="single" w:sz="8" w:space="0" w:color="auto"/>
            </w:tcBorders>
            <w:vAlign w:val="center"/>
            <w:hideMark/>
          </w:tcPr>
          <w:p w14:paraId="447AF6C0" w14:textId="77777777" w:rsidR="0051718E" w:rsidRPr="00557C2A" w:rsidRDefault="0051718E">
            <w:pPr>
              <w:spacing w:before="0" w:after="0"/>
              <w:jc w:val="center"/>
              <w:rPr>
                <w:rFonts w:eastAsia="Times New Roman"/>
                <w:b/>
                <w:bCs/>
                <w:noProof/>
                <w:color w:val="000000"/>
                <w:sz w:val="20"/>
                <w:szCs w:val="20"/>
              </w:rPr>
            </w:pPr>
            <w:r w:rsidRPr="00557C2A">
              <w:rPr>
                <w:b/>
                <w:noProof/>
                <w:color w:val="000000"/>
                <w:sz w:val="20"/>
              </w:rPr>
              <w:t>2030</w:t>
            </w:r>
          </w:p>
        </w:tc>
        <w:tc>
          <w:tcPr>
            <w:tcW w:w="519" w:type="pct"/>
            <w:tcBorders>
              <w:top w:val="nil"/>
              <w:left w:val="nil"/>
              <w:bottom w:val="single" w:sz="8" w:space="0" w:color="auto"/>
              <w:right w:val="single" w:sz="8" w:space="0" w:color="auto"/>
            </w:tcBorders>
            <w:vAlign w:val="center"/>
            <w:hideMark/>
          </w:tcPr>
          <w:p w14:paraId="3C58F0C7" w14:textId="77777777" w:rsidR="0051718E" w:rsidRPr="00557C2A" w:rsidRDefault="0051718E">
            <w:pPr>
              <w:spacing w:before="0" w:after="0"/>
              <w:jc w:val="center"/>
              <w:rPr>
                <w:rFonts w:eastAsia="Times New Roman"/>
                <w:b/>
                <w:bCs/>
                <w:noProof/>
                <w:color w:val="000000"/>
                <w:sz w:val="20"/>
                <w:szCs w:val="20"/>
              </w:rPr>
            </w:pPr>
            <w:r w:rsidRPr="00557C2A">
              <w:rPr>
                <w:b/>
                <w:noProof/>
                <w:color w:val="000000"/>
                <w:sz w:val="20"/>
              </w:rPr>
              <w:t>2031</w:t>
            </w:r>
          </w:p>
        </w:tc>
        <w:tc>
          <w:tcPr>
            <w:tcW w:w="519" w:type="pct"/>
            <w:tcBorders>
              <w:top w:val="nil"/>
              <w:left w:val="nil"/>
              <w:bottom w:val="single" w:sz="8" w:space="0" w:color="auto"/>
              <w:right w:val="single" w:sz="8" w:space="0" w:color="auto"/>
            </w:tcBorders>
            <w:vAlign w:val="center"/>
            <w:hideMark/>
          </w:tcPr>
          <w:p w14:paraId="3B19D1A5" w14:textId="77777777" w:rsidR="0051718E" w:rsidRPr="00557C2A" w:rsidRDefault="0051718E">
            <w:pPr>
              <w:spacing w:before="0" w:after="0"/>
              <w:jc w:val="center"/>
              <w:rPr>
                <w:rFonts w:eastAsia="Times New Roman"/>
                <w:b/>
                <w:bCs/>
                <w:noProof/>
                <w:color w:val="000000"/>
                <w:sz w:val="20"/>
                <w:szCs w:val="20"/>
              </w:rPr>
            </w:pPr>
            <w:r w:rsidRPr="00557C2A">
              <w:rPr>
                <w:b/>
                <w:noProof/>
                <w:color w:val="000000"/>
                <w:sz w:val="20"/>
              </w:rPr>
              <w:t>2032</w:t>
            </w:r>
          </w:p>
        </w:tc>
        <w:tc>
          <w:tcPr>
            <w:tcW w:w="519" w:type="pct"/>
            <w:tcBorders>
              <w:top w:val="nil"/>
              <w:left w:val="nil"/>
              <w:bottom w:val="single" w:sz="8" w:space="0" w:color="auto"/>
              <w:right w:val="single" w:sz="8" w:space="0" w:color="auto"/>
            </w:tcBorders>
            <w:vAlign w:val="center"/>
            <w:hideMark/>
          </w:tcPr>
          <w:p w14:paraId="688C6820" w14:textId="77777777" w:rsidR="0051718E" w:rsidRPr="00557C2A" w:rsidRDefault="0051718E">
            <w:pPr>
              <w:spacing w:before="0" w:after="0"/>
              <w:jc w:val="center"/>
              <w:rPr>
                <w:rFonts w:eastAsia="Times New Roman"/>
                <w:b/>
                <w:bCs/>
                <w:noProof/>
                <w:color w:val="000000"/>
                <w:sz w:val="20"/>
                <w:szCs w:val="20"/>
              </w:rPr>
            </w:pPr>
            <w:r w:rsidRPr="00557C2A">
              <w:rPr>
                <w:b/>
                <w:noProof/>
                <w:color w:val="000000"/>
                <w:sz w:val="20"/>
              </w:rPr>
              <w:t>2033</w:t>
            </w:r>
          </w:p>
        </w:tc>
        <w:tc>
          <w:tcPr>
            <w:tcW w:w="519" w:type="pct"/>
            <w:tcBorders>
              <w:top w:val="nil"/>
              <w:left w:val="nil"/>
              <w:bottom w:val="single" w:sz="8" w:space="0" w:color="auto"/>
              <w:right w:val="single" w:sz="8" w:space="0" w:color="auto"/>
            </w:tcBorders>
            <w:vAlign w:val="center"/>
            <w:hideMark/>
          </w:tcPr>
          <w:p w14:paraId="6D8394E0" w14:textId="77777777" w:rsidR="0051718E" w:rsidRPr="00557C2A" w:rsidRDefault="0051718E">
            <w:pPr>
              <w:spacing w:before="0" w:after="0"/>
              <w:jc w:val="center"/>
              <w:rPr>
                <w:rFonts w:eastAsia="Times New Roman"/>
                <w:b/>
                <w:bCs/>
                <w:noProof/>
                <w:color w:val="000000"/>
                <w:sz w:val="20"/>
                <w:szCs w:val="20"/>
              </w:rPr>
            </w:pPr>
            <w:r w:rsidRPr="00557C2A">
              <w:rPr>
                <w:b/>
                <w:noProof/>
                <w:color w:val="000000"/>
                <w:sz w:val="20"/>
              </w:rPr>
              <w:t>2034</w:t>
            </w:r>
          </w:p>
        </w:tc>
      </w:tr>
      <w:tr w:rsidR="0051718E" w:rsidRPr="00557C2A" w14:paraId="3B2521A8" w14:textId="77777777" w:rsidTr="00B37C03">
        <w:trPr>
          <w:trHeight w:val="300"/>
        </w:trPr>
        <w:tc>
          <w:tcPr>
            <w:tcW w:w="5000" w:type="pct"/>
            <w:gridSpan w:val="9"/>
            <w:tcBorders>
              <w:top w:val="single" w:sz="8" w:space="0" w:color="auto"/>
              <w:left w:val="single" w:sz="8" w:space="0" w:color="auto"/>
              <w:bottom w:val="nil"/>
              <w:right w:val="nil"/>
            </w:tcBorders>
            <w:vAlign w:val="center"/>
            <w:hideMark/>
          </w:tcPr>
          <w:p w14:paraId="6D4CECCB" w14:textId="77777777" w:rsidR="0051718E" w:rsidRPr="00557C2A" w:rsidRDefault="0051718E">
            <w:pPr>
              <w:spacing w:before="0" w:after="0"/>
              <w:jc w:val="center"/>
              <w:rPr>
                <w:rFonts w:ascii="Wingdings" w:eastAsia="Times New Roman" w:hAnsi="Wingdings"/>
                <w:b/>
                <w:bCs/>
                <w:noProof/>
                <w:color w:val="000000"/>
                <w:sz w:val="16"/>
                <w:szCs w:val="16"/>
              </w:rPr>
            </w:pPr>
            <w:r w:rsidRPr="00557C2A">
              <w:rPr>
                <w:rFonts w:ascii="Wingdings" w:hAnsi="Wingdings"/>
                <w:b/>
                <w:noProof/>
                <w:color w:val="000000"/>
                <w:sz w:val="16"/>
              </w:rPr>
              <w:t></w:t>
            </w:r>
            <w:r w:rsidRPr="00557C2A">
              <w:rPr>
                <w:noProof/>
              </w:rPr>
              <w:t xml:space="preserve"> </w:t>
            </w:r>
            <w:r w:rsidRPr="00557C2A">
              <w:rPr>
                <w:b/>
                <w:noProof/>
                <w:color w:val="000000"/>
                <w:sz w:val="16"/>
              </w:rPr>
              <w:t>Posten opgenomen in de lijst van het aantal ambten (ambtenaren en tijdelijke functionarissen)</w:t>
            </w:r>
          </w:p>
        </w:tc>
      </w:tr>
      <w:tr w:rsidR="0051718E" w:rsidRPr="00557C2A" w14:paraId="3F3BFC23" w14:textId="77777777" w:rsidTr="00B37C03">
        <w:trPr>
          <w:trHeight w:val="55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14:paraId="1A88F1E4" w14:textId="77777777" w:rsidR="0051718E" w:rsidRPr="007346B5" w:rsidRDefault="0051718E" w:rsidP="007346B5">
            <w:pPr>
              <w:spacing w:before="0" w:after="0"/>
              <w:ind w:firstLineChars="100" w:firstLine="160"/>
              <w:jc w:val="left"/>
              <w:rPr>
                <w:noProof/>
                <w:color w:val="000000"/>
                <w:sz w:val="16"/>
              </w:rPr>
            </w:pPr>
            <w:r w:rsidRPr="007346B5">
              <w:rPr>
                <w:noProof/>
                <w:color w:val="000000"/>
                <w:sz w:val="16"/>
              </w:rPr>
              <w:t>20 01 02 01 (centrale diensten en vertegenwoordigingen van de Commissie)</w:t>
            </w:r>
          </w:p>
        </w:tc>
        <w:tc>
          <w:tcPr>
            <w:tcW w:w="519" w:type="pct"/>
            <w:tcBorders>
              <w:top w:val="nil"/>
              <w:left w:val="nil"/>
              <w:bottom w:val="single" w:sz="8" w:space="0" w:color="auto"/>
              <w:right w:val="single" w:sz="8" w:space="0" w:color="auto"/>
            </w:tcBorders>
            <w:shd w:val="clear" w:color="000000" w:fill="D9D9D9"/>
            <w:vAlign w:val="center"/>
            <w:hideMark/>
          </w:tcPr>
          <w:p w14:paraId="12B472BA" w14:textId="77777777" w:rsidR="0051718E" w:rsidRPr="00557C2A" w:rsidRDefault="0051718E">
            <w:pPr>
              <w:spacing w:before="0" w:after="0"/>
              <w:jc w:val="center"/>
              <w:rPr>
                <w:rFonts w:eastAsia="Times New Roman"/>
                <w:noProof/>
                <w:color w:val="000000"/>
                <w:sz w:val="16"/>
                <w:szCs w:val="16"/>
              </w:rPr>
            </w:pPr>
            <w:r w:rsidRPr="00557C2A">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2FA1F435" w14:textId="77777777" w:rsidR="0051718E" w:rsidRPr="00557C2A" w:rsidRDefault="0051718E">
            <w:pPr>
              <w:spacing w:before="0" w:after="0"/>
              <w:jc w:val="center"/>
              <w:rPr>
                <w:rFonts w:eastAsia="Times New Roman"/>
                <w:noProof/>
                <w:color w:val="000000"/>
                <w:sz w:val="16"/>
                <w:szCs w:val="16"/>
              </w:rPr>
            </w:pPr>
            <w:r w:rsidRPr="00557C2A">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7322564A" w14:textId="77777777" w:rsidR="0051718E" w:rsidRPr="00557C2A" w:rsidRDefault="0051718E">
            <w:pPr>
              <w:spacing w:before="0" w:after="0"/>
              <w:jc w:val="center"/>
              <w:rPr>
                <w:rFonts w:eastAsia="Times New Roman"/>
                <w:noProof/>
                <w:color w:val="000000"/>
                <w:sz w:val="16"/>
                <w:szCs w:val="16"/>
              </w:rPr>
            </w:pPr>
            <w:r w:rsidRPr="00557C2A">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07554834" w14:textId="77777777" w:rsidR="0051718E" w:rsidRPr="00557C2A" w:rsidRDefault="0051718E">
            <w:pPr>
              <w:spacing w:before="0" w:after="0"/>
              <w:jc w:val="center"/>
              <w:rPr>
                <w:rFonts w:eastAsia="Times New Roman"/>
                <w:noProof/>
                <w:color w:val="000000"/>
                <w:sz w:val="16"/>
                <w:szCs w:val="16"/>
              </w:rPr>
            </w:pPr>
            <w:r w:rsidRPr="00557C2A">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6DBF94FB" w14:textId="77777777" w:rsidR="0051718E" w:rsidRPr="00557C2A" w:rsidRDefault="0051718E">
            <w:pPr>
              <w:spacing w:before="0" w:after="0"/>
              <w:jc w:val="center"/>
              <w:rPr>
                <w:rFonts w:eastAsia="Times New Roman"/>
                <w:noProof/>
                <w:color w:val="000000"/>
                <w:sz w:val="16"/>
                <w:szCs w:val="16"/>
              </w:rPr>
            </w:pPr>
            <w:r w:rsidRPr="00557C2A">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69C353D2" w14:textId="77777777" w:rsidR="0051718E" w:rsidRPr="00557C2A" w:rsidRDefault="0051718E">
            <w:pPr>
              <w:spacing w:before="0" w:after="0"/>
              <w:jc w:val="center"/>
              <w:rPr>
                <w:rFonts w:eastAsia="Times New Roman"/>
                <w:noProof/>
                <w:color w:val="000000"/>
                <w:sz w:val="16"/>
                <w:szCs w:val="16"/>
              </w:rPr>
            </w:pPr>
            <w:r w:rsidRPr="00557C2A">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05739C33" w14:textId="77777777" w:rsidR="0051718E" w:rsidRPr="00557C2A" w:rsidRDefault="0051718E">
            <w:pPr>
              <w:spacing w:before="0" w:after="0"/>
              <w:jc w:val="center"/>
              <w:rPr>
                <w:rFonts w:eastAsia="Times New Roman"/>
                <w:noProof/>
                <w:color w:val="000000"/>
                <w:sz w:val="16"/>
                <w:szCs w:val="16"/>
              </w:rPr>
            </w:pPr>
            <w:r w:rsidRPr="00557C2A">
              <w:rPr>
                <w:noProof/>
                <w:color w:val="000000"/>
                <w:sz w:val="16"/>
              </w:rPr>
              <w:t>0</w:t>
            </w:r>
          </w:p>
        </w:tc>
      </w:tr>
      <w:tr w:rsidR="0051718E" w:rsidRPr="00557C2A" w14:paraId="6EB2BD72" w14:textId="77777777" w:rsidTr="00B37C03">
        <w:trPr>
          <w:trHeight w:val="38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14:paraId="7B44999C" w14:textId="77777777" w:rsidR="0051718E" w:rsidRPr="00557C2A" w:rsidRDefault="0051718E">
            <w:pPr>
              <w:spacing w:before="0" w:after="0"/>
              <w:ind w:firstLineChars="100" w:firstLine="160"/>
              <w:jc w:val="left"/>
              <w:rPr>
                <w:rFonts w:eastAsia="Times New Roman"/>
                <w:noProof/>
                <w:color w:val="000000"/>
                <w:sz w:val="16"/>
                <w:szCs w:val="16"/>
              </w:rPr>
            </w:pPr>
            <w:r w:rsidRPr="00557C2A">
              <w:rPr>
                <w:noProof/>
                <w:color w:val="000000"/>
                <w:sz w:val="16"/>
              </w:rPr>
              <w:t>20 01 02 03 (EU-delegaties)</w:t>
            </w:r>
          </w:p>
        </w:tc>
        <w:tc>
          <w:tcPr>
            <w:tcW w:w="519" w:type="pct"/>
            <w:tcBorders>
              <w:top w:val="nil"/>
              <w:left w:val="nil"/>
              <w:bottom w:val="single" w:sz="8" w:space="0" w:color="auto"/>
              <w:right w:val="single" w:sz="8" w:space="0" w:color="auto"/>
            </w:tcBorders>
            <w:shd w:val="clear" w:color="000000" w:fill="D9D9D9"/>
            <w:vAlign w:val="center"/>
            <w:hideMark/>
          </w:tcPr>
          <w:p w14:paraId="11C60024" w14:textId="77777777" w:rsidR="0051718E" w:rsidRPr="00557C2A" w:rsidRDefault="0051718E">
            <w:pPr>
              <w:spacing w:before="0" w:after="0"/>
              <w:jc w:val="center"/>
              <w:rPr>
                <w:rFonts w:eastAsia="Times New Roman"/>
                <w:noProof/>
                <w:color w:val="000000"/>
                <w:sz w:val="16"/>
                <w:szCs w:val="16"/>
              </w:rPr>
            </w:pPr>
            <w:r w:rsidRPr="00557C2A">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74003254" w14:textId="77777777" w:rsidR="0051718E" w:rsidRPr="00557C2A" w:rsidRDefault="0051718E">
            <w:pPr>
              <w:spacing w:before="0" w:after="0"/>
              <w:jc w:val="center"/>
              <w:rPr>
                <w:rFonts w:eastAsia="Times New Roman"/>
                <w:noProof/>
                <w:color w:val="000000"/>
                <w:sz w:val="16"/>
                <w:szCs w:val="16"/>
              </w:rPr>
            </w:pPr>
            <w:r w:rsidRPr="00557C2A">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4697A4C5" w14:textId="77777777" w:rsidR="0051718E" w:rsidRPr="00557C2A" w:rsidRDefault="0051718E">
            <w:pPr>
              <w:spacing w:before="0" w:after="0"/>
              <w:jc w:val="center"/>
              <w:rPr>
                <w:rFonts w:eastAsia="Times New Roman"/>
                <w:noProof/>
                <w:color w:val="000000"/>
                <w:sz w:val="16"/>
                <w:szCs w:val="16"/>
              </w:rPr>
            </w:pPr>
            <w:r w:rsidRPr="00557C2A">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4298F4E7" w14:textId="77777777" w:rsidR="0051718E" w:rsidRPr="00557C2A" w:rsidRDefault="0051718E">
            <w:pPr>
              <w:spacing w:before="0" w:after="0"/>
              <w:jc w:val="center"/>
              <w:rPr>
                <w:rFonts w:eastAsia="Times New Roman"/>
                <w:noProof/>
                <w:color w:val="000000"/>
                <w:sz w:val="16"/>
                <w:szCs w:val="16"/>
              </w:rPr>
            </w:pPr>
            <w:r w:rsidRPr="00557C2A">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00F82BDF" w14:textId="77777777" w:rsidR="0051718E" w:rsidRPr="00557C2A" w:rsidRDefault="0051718E">
            <w:pPr>
              <w:spacing w:before="0" w:after="0"/>
              <w:jc w:val="center"/>
              <w:rPr>
                <w:rFonts w:eastAsia="Times New Roman"/>
                <w:noProof/>
                <w:color w:val="000000"/>
                <w:sz w:val="16"/>
                <w:szCs w:val="16"/>
              </w:rPr>
            </w:pPr>
            <w:r w:rsidRPr="00557C2A">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4BB7B758" w14:textId="77777777" w:rsidR="0051718E" w:rsidRPr="00557C2A" w:rsidRDefault="0051718E">
            <w:pPr>
              <w:spacing w:before="0" w:after="0"/>
              <w:jc w:val="center"/>
              <w:rPr>
                <w:rFonts w:eastAsia="Times New Roman"/>
                <w:noProof/>
                <w:color w:val="000000"/>
                <w:sz w:val="16"/>
                <w:szCs w:val="16"/>
              </w:rPr>
            </w:pPr>
            <w:r w:rsidRPr="00557C2A">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620180B0" w14:textId="77777777" w:rsidR="0051718E" w:rsidRPr="00557C2A" w:rsidRDefault="0051718E">
            <w:pPr>
              <w:spacing w:before="0" w:after="0"/>
              <w:jc w:val="center"/>
              <w:rPr>
                <w:rFonts w:eastAsia="Times New Roman"/>
                <w:noProof/>
                <w:color w:val="000000"/>
                <w:sz w:val="16"/>
                <w:szCs w:val="16"/>
              </w:rPr>
            </w:pPr>
            <w:r w:rsidRPr="00557C2A">
              <w:rPr>
                <w:noProof/>
                <w:color w:val="000000"/>
                <w:sz w:val="16"/>
              </w:rPr>
              <w:t>0</w:t>
            </w:r>
          </w:p>
        </w:tc>
      </w:tr>
      <w:tr w:rsidR="0051718E" w:rsidRPr="00557C2A" w14:paraId="21A00324" w14:textId="77777777" w:rsidTr="00B37C03">
        <w:trPr>
          <w:trHeight w:val="41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14:paraId="5A1AB2A0" w14:textId="77777777" w:rsidR="0051718E" w:rsidRPr="00557C2A" w:rsidRDefault="0051718E">
            <w:pPr>
              <w:spacing w:before="0" w:after="0"/>
              <w:ind w:firstLineChars="100" w:firstLine="200"/>
              <w:jc w:val="left"/>
              <w:rPr>
                <w:rFonts w:eastAsia="Times New Roman"/>
                <w:noProof/>
                <w:color w:val="000000"/>
                <w:sz w:val="16"/>
                <w:szCs w:val="16"/>
              </w:rPr>
            </w:pPr>
            <w:r w:rsidRPr="00557C2A">
              <w:rPr>
                <w:rFonts w:ascii="Arial Narrow" w:hAnsi="Arial Narrow"/>
                <w:noProof/>
                <w:color w:val="000000"/>
                <w:sz w:val="20"/>
              </w:rPr>
              <w:t xml:space="preserve"> </w:t>
            </w:r>
            <w:r w:rsidRPr="00557C2A">
              <w:rPr>
                <w:noProof/>
                <w:color w:val="000000"/>
                <w:sz w:val="16"/>
              </w:rPr>
              <w:t>(Onderzoek onder contract)</w:t>
            </w:r>
          </w:p>
        </w:tc>
        <w:tc>
          <w:tcPr>
            <w:tcW w:w="519" w:type="pct"/>
            <w:tcBorders>
              <w:top w:val="nil"/>
              <w:left w:val="nil"/>
              <w:bottom w:val="single" w:sz="8" w:space="0" w:color="auto"/>
              <w:right w:val="single" w:sz="8" w:space="0" w:color="auto"/>
            </w:tcBorders>
            <w:shd w:val="clear" w:color="000000" w:fill="D9D9D9"/>
            <w:vAlign w:val="center"/>
            <w:hideMark/>
          </w:tcPr>
          <w:p w14:paraId="4D4399D6" w14:textId="77777777" w:rsidR="0051718E" w:rsidRPr="00557C2A" w:rsidRDefault="0051718E">
            <w:pPr>
              <w:spacing w:before="0" w:after="0"/>
              <w:jc w:val="center"/>
              <w:rPr>
                <w:rFonts w:eastAsia="Times New Roman"/>
                <w:noProof/>
                <w:color w:val="000000"/>
                <w:sz w:val="16"/>
                <w:szCs w:val="16"/>
              </w:rPr>
            </w:pPr>
            <w:r w:rsidRPr="00557C2A">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35718E4B" w14:textId="77777777" w:rsidR="0051718E" w:rsidRPr="00557C2A" w:rsidRDefault="0051718E">
            <w:pPr>
              <w:spacing w:before="0" w:after="0"/>
              <w:jc w:val="center"/>
              <w:rPr>
                <w:rFonts w:eastAsia="Times New Roman"/>
                <w:noProof/>
                <w:color w:val="000000"/>
                <w:sz w:val="16"/>
                <w:szCs w:val="16"/>
              </w:rPr>
            </w:pPr>
            <w:r w:rsidRPr="00557C2A">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606CAE22" w14:textId="77777777" w:rsidR="0051718E" w:rsidRPr="00557C2A" w:rsidRDefault="0051718E">
            <w:pPr>
              <w:spacing w:before="0" w:after="0"/>
              <w:jc w:val="center"/>
              <w:rPr>
                <w:rFonts w:eastAsia="Times New Roman"/>
                <w:noProof/>
                <w:color w:val="000000"/>
                <w:sz w:val="16"/>
                <w:szCs w:val="16"/>
              </w:rPr>
            </w:pPr>
            <w:r w:rsidRPr="00557C2A">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446134DB" w14:textId="77777777" w:rsidR="0051718E" w:rsidRPr="00557C2A" w:rsidRDefault="0051718E">
            <w:pPr>
              <w:spacing w:before="0" w:after="0"/>
              <w:jc w:val="center"/>
              <w:rPr>
                <w:rFonts w:eastAsia="Times New Roman"/>
                <w:noProof/>
                <w:color w:val="000000"/>
                <w:sz w:val="16"/>
                <w:szCs w:val="16"/>
              </w:rPr>
            </w:pPr>
            <w:r w:rsidRPr="00557C2A">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60357B9D" w14:textId="77777777" w:rsidR="0051718E" w:rsidRPr="00557C2A" w:rsidRDefault="0051718E">
            <w:pPr>
              <w:spacing w:before="0" w:after="0"/>
              <w:jc w:val="center"/>
              <w:rPr>
                <w:rFonts w:eastAsia="Times New Roman"/>
                <w:noProof/>
                <w:color w:val="000000"/>
                <w:sz w:val="16"/>
                <w:szCs w:val="16"/>
              </w:rPr>
            </w:pPr>
            <w:r w:rsidRPr="00557C2A">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7ED42FDD" w14:textId="77777777" w:rsidR="0051718E" w:rsidRPr="00557C2A" w:rsidRDefault="0051718E">
            <w:pPr>
              <w:spacing w:before="0" w:after="0"/>
              <w:jc w:val="center"/>
              <w:rPr>
                <w:rFonts w:eastAsia="Times New Roman"/>
                <w:noProof/>
                <w:color w:val="000000"/>
                <w:sz w:val="16"/>
                <w:szCs w:val="16"/>
              </w:rPr>
            </w:pPr>
            <w:r w:rsidRPr="00557C2A">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2D3D3ED4" w14:textId="77777777" w:rsidR="0051718E" w:rsidRPr="00557C2A" w:rsidRDefault="0051718E">
            <w:pPr>
              <w:spacing w:before="0" w:after="0"/>
              <w:jc w:val="center"/>
              <w:rPr>
                <w:rFonts w:eastAsia="Times New Roman"/>
                <w:noProof/>
                <w:color w:val="000000"/>
                <w:sz w:val="16"/>
                <w:szCs w:val="16"/>
              </w:rPr>
            </w:pPr>
            <w:r w:rsidRPr="00557C2A">
              <w:rPr>
                <w:noProof/>
                <w:color w:val="000000"/>
                <w:sz w:val="16"/>
              </w:rPr>
              <w:t>0</w:t>
            </w:r>
          </w:p>
        </w:tc>
      </w:tr>
      <w:tr w:rsidR="0051718E" w:rsidRPr="00557C2A" w14:paraId="1BB17F24" w14:textId="77777777" w:rsidTr="00B37C03">
        <w:trPr>
          <w:trHeight w:val="38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14:paraId="12A5316E" w14:textId="77777777" w:rsidR="0051718E" w:rsidRPr="00557C2A" w:rsidRDefault="0051718E">
            <w:pPr>
              <w:spacing w:before="0" w:after="0"/>
              <w:ind w:firstLineChars="100" w:firstLine="160"/>
              <w:jc w:val="left"/>
              <w:rPr>
                <w:rFonts w:eastAsia="Times New Roman"/>
                <w:noProof/>
                <w:color w:val="000000"/>
                <w:sz w:val="16"/>
                <w:szCs w:val="16"/>
              </w:rPr>
            </w:pPr>
            <w:r w:rsidRPr="00557C2A">
              <w:rPr>
                <w:noProof/>
                <w:color w:val="000000"/>
                <w:sz w:val="16"/>
              </w:rPr>
              <w:t xml:space="preserve"> (Eigen onderzoek)</w:t>
            </w:r>
          </w:p>
        </w:tc>
        <w:tc>
          <w:tcPr>
            <w:tcW w:w="519" w:type="pct"/>
            <w:tcBorders>
              <w:top w:val="nil"/>
              <w:left w:val="nil"/>
              <w:bottom w:val="single" w:sz="8" w:space="0" w:color="auto"/>
              <w:right w:val="single" w:sz="8" w:space="0" w:color="auto"/>
            </w:tcBorders>
            <w:shd w:val="clear" w:color="000000" w:fill="D9D9D9"/>
            <w:vAlign w:val="center"/>
            <w:hideMark/>
          </w:tcPr>
          <w:p w14:paraId="66660906" w14:textId="77777777" w:rsidR="0051718E" w:rsidRPr="00557C2A" w:rsidRDefault="0051718E">
            <w:pPr>
              <w:spacing w:before="0" w:after="0"/>
              <w:jc w:val="center"/>
              <w:rPr>
                <w:rFonts w:eastAsia="Times New Roman"/>
                <w:noProof/>
                <w:color w:val="000000"/>
                <w:sz w:val="16"/>
                <w:szCs w:val="16"/>
              </w:rPr>
            </w:pPr>
            <w:r w:rsidRPr="00557C2A">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737510A1" w14:textId="77777777" w:rsidR="0051718E" w:rsidRPr="00557C2A" w:rsidRDefault="0051718E">
            <w:pPr>
              <w:spacing w:before="0" w:after="0"/>
              <w:jc w:val="center"/>
              <w:rPr>
                <w:rFonts w:eastAsia="Times New Roman"/>
                <w:noProof/>
                <w:color w:val="000000"/>
                <w:sz w:val="16"/>
                <w:szCs w:val="16"/>
              </w:rPr>
            </w:pPr>
            <w:r w:rsidRPr="00557C2A">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6D0BEE71" w14:textId="77777777" w:rsidR="0051718E" w:rsidRPr="00557C2A" w:rsidRDefault="0051718E">
            <w:pPr>
              <w:spacing w:before="0" w:after="0"/>
              <w:jc w:val="center"/>
              <w:rPr>
                <w:rFonts w:eastAsia="Times New Roman"/>
                <w:noProof/>
                <w:color w:val="000000"/>
                <w:sz w:val="16"/>
                <w:szCs w:val="16"/>
              </w:rPr>
            </w:pPr>
            <w:r w:rsidRPr="00557C2A">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7DC74BED" w14:textId="77777777" w:rsidR="0051718E" w:rsidRPr="00557C2A" w:rsidRDefault="0051718E">
            <w:pPr>
              <w:spacing w:before="0" w:after="0"/>
              <w:jc w:val="center"/>
              <w:rPr>
                <w:rFonts w:eastAsia="Times New Roman"/>
                <w:noProof/>
                <w:color w:val="000000"/>
                <w:sz w:val="16"/>
                <w:szCs w:val="16"/>
              </w:rPr>
            </w:pPr>
            <w:r w:rsidRPr="00557C2A">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61B8AC12" w14:textId="77777777" w:rsidR="0051718E" w:rsidRPr="00557C2A" w:rsidRDefault="0051718E">
            <w:pPr>
              <w:spacing w:before="0" w:after="0"/>
              <w:jc w:val="center"/>
              <w:rPr>
                <w:rFonts w:eastAsia="Times New Roman"/>
                <w:noProof/>
                <w:color w:val="000000"/>
                <w:sz w:val="16"/>
                <w:szCs w:val="16"/>
              </w:rPr>
            </w:pPr>
            <w:r w:rsidRPr="00557C2A">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04AE1AD0" w14:textId="77777777" w:rsidR="0051718E" w:rsidRPr="00557C2A" w:rsidRDefault="0051718E">
            <w:pPr>
              <w:spacing w:before="0" w:after="0"/>
              <w:jc w:val="center"/>
              <w:rPr>
                <w:rFonts w:eastAsia="Times New Roman"/>
                <w:noProof/>
                <w:color w:val="000000"/>
                <w:sz w:val="16"/>
                <w:szCs w:val="16"/>
              </w:rPr>
            </w:pPr>
            <w:r w:rsidRPr="00557C2A">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26476319" w14:textId="77777777" w:rsidR="0051718E" w:rsidRPr="00557C2A" w:rsidRDefault="0051718E">
            <w:pPr>
              <w:spacing w:before="0" w:after="0"/>
              <w:jc w:val="center"/>
              <w:rPr>
                <w:rFonts w:eastAsia="Times New Roman"/>
                <w:noProof/>
                <w:color w:val="000000"/>
                <w:sz w:val="16"/>
                <w:szCs w:val="16"/>
              </w:rPr>
            </w:pPr>
            <w:r w:rsidRPr="00557C2A">
              <w:rPr>
                <w:noProof/>
                <w:color w:val="000000"/>
                <w:sz w:val="16"/>
              </w:rPr>
              <w:t>0</w:t>
            </w:r>
          </w:p>
        </w:tc>
      </w:tr>
      <w:tr w:rsidR="0051718E" w:rsidRPr="00557C2A" w14:paraId="73AF70E5" w14:textId="77777777" w:rsidTr="00B37C03">
        <w:trPr>
          <w:trHeight w:val="38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14:paraId="03673F61" w14:textId="77777777" w:rsidR="0051718E" w:rsidRPr="00557C2A" w:rsidRDefault="0051718E">
            <w:pPr>
              <w:spacing w:before="0" w:after="0"/>
              <w:ind w:firstLineChars="100" w:firstLine="160"/>
              <w:jc w:val="left"/>
              <w:rPr>
                <w:rFonts w:eastAsia="Times New Roman"/>
                <w:noProof/>
                <w:color w:val="000000"/>
                <w:sz w:val="16"/>
                <w:szCs w:val="16"/>
              </w:rPr>
            </w:pPr>
            <w:r w:rsidRPr="00557C2A">
              <w:rPr>
                <w:noProof/>
                <w:color w:val="000000"/>
                <w:sz w:val="16"/>
              </w:rPr>
              <w:t>Andere begrotingsonderdelen (te vermelden)</w:t>
            </w:r>
          </w:p>
        </w:tc>
        <w:tc>
          <w:tcPr>
            <w:tcW w:w="519" w:type="pct"/>
            <w:tcBorders>
              <w:top w:val="nil"/>
              <w:left w:val="nil"/>
              <w:bottom w:val="single" w:sz="8" w:space="0" w:color="auto"/>
              <w:right w:val="single" w:sz="8" w:space="0" w:color="auto"/>
            </w:tcBorders>
            <w:shd w:val="clear" w:color="000000" w:fill="D9D9D9"/>
            <w:vAlign w:val="center"/>
            <w:hideMark/>
          </w:tcPr>
          <w:p w14:paraId="2AF721AA" w14:textId="77777777" w:rsidR="0051718E" w:rsidRPr="00557C2A" w:rsidRDefault="0051718E">
            <w:pPr>
              <w:spacing w:before="0" w:after="0"/>
              <w:jc w:val="center"/>
              <w:rPr>
                <w:rFonts w:eastAsia="Times New Roman"/>
                <w:noProof/>
                <w:color w:val="000000"/>
                <w:sz w:val="16"/>
                <w:szCs w:val="16"/>
              </w:rPr>
            </w:pPr>
            <w:r w:rsidRPr="00557C2A">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65D33DCA" w14:textId="77777777" w:rsidR="0051718E" w:rsidRPr="00557C2A" w:rsidRDefault="0051718E">
            <w:pPr>
              <w:spacing w:before="0" w:after="0"/>
              <w:jc w:val="center"/>
              <w:rPr>
                <w:rFonts w:eastAsia="Times New Roman"/>
                <w:noProof/>
                <w:color w:val="000000"/>
                <w:sz w:val="16"/>
                <w:szCs w:val="16"/>
              </w:rPr>
            </w:pPr>
            <w:r w:rsidRPr="00557C2A">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73F64FB6" w14:textId="77777777" w:rsidR="0051718E" w:rsidRPr="00557C2A" w:rsidRDefault="0051718E">
            <w:pPr>
              <w:spacing w:before="0" w:after="0"/>
              <w:jc w:val="center"/>
              <w:rPr>
                <w:rFonts w:eastAsia="Times New Roman"/>
                <w:noProof/>
                <w:color w:val="000000"/>
                <w:sz w:val="16"/>
                <w:szCs w:val="16"/>
              </w:rPr>
            </w:pPr>
            <w:r w:rsidRPr="00557C2A">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4B5CF772" w14:textId="77777777" w:rsidR="0051718E" w:rsidRPr="00557C2A" w:rsidRDefault="0051718E">
            <w:pPr>
              <w:spacing w:before="0" w:after="0"/>
              <w:jc w:val="center"/>
              <w:rPr>
                <w:rFonts w:eastAsia="Times New Roman"/>
                <w:noProof/>
                <w:color w:val="000000"/>
                <w:sz w:val="16"/>
                <w:szCs w:val="16"/>
              </w:rPr>
            </w:pPr>
            <w:r w:rsidRPr="00557C2A">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488DB3D8" w14:textId="77777777" w:rsidR="0051718E" w:rsidRPr="00557C2A" w:rsidRDefault="0051718E">
            <w:pPr>
              <w:spacing w:before="0" w:after="0"/>
              <w:jc w:val="center"/>
              <w:rPr>
                <w:rFonts w:eastAsia="Times New Roman"/>
                <w:noProof/>
                <w:color w:val="000000"/>
                <w:sz w:val="16"/>
                <w:szCs w:val="16"/>
              </w:rPr>
            </w:pPr>
            <w:r w:rsidRPr="00557C2A">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7F3940BA" w14:textId="77777777" w:rsidR="0051718E" w:rsidRPr="00557C2A" w:rsidRDefault="0051718E">
            <w:pPr>
              <w:spacing w:before="0" w:after="0"/>
              <w:jc w:val="center"/>
              <w:rPr>
                <w:rFonts w:eastAsia="Times New Roman"/>
                <w:noProof/>
                <w:color w:val="000000"/>
                <w:sz w:val="16"/>
                <w:szCs w:val="16"/>
              </w:rPr>
            </w:pPr>
            <w:r w:rsidRPr="00557C2A">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527528EA" w14:textId="77777777" w:rsidR="0051718E" w:rsidRPr="00557C2A" w:rsidRDefault="0051718E">
            <w:pPr>
              <w:spacing w:before="0" w:after="0"/>
              <w:jc w:val="center"/>
              <w:rPr>
                <w:rFonts w:eastAsia="Times New Roman"/>
                <w:noProof/>
                <w:color w:val="000000"/>
                <w:sz w:val="16"/>
                <w:szCs w:val="16"/>
              </w:rPr>
            </w:pPr>
            <w:r w:rsidRPr="00557C2A">
              <w:rPr>
                <w:noProof/>
                <w:color w:val="000000"/>
                <w:sz w:val="16"/>
              </w:rPr>
              <w:t>0</w:t>
            </w:r>
          </w:p>
        </w:tc>
      </w:tr>
      <w:tr w:rsidR="0051718E" w:rsidRPr="00557C2A" w14:paraId="6C202D18" w14:textId="77777777" w:rsidTr="00B37C03">
        <w:trPr>
          <w:trHeight w:val="300"/>
        </w:trPr>
        <w:tc>
          <w:tcPr>
            <w:tcW w:w="5000" w:type="pct"/>
            <w:gridSpan w:val="9"/>
            <w:tcBorders>
              <w:top w:val="single" w:sz="8" w:space="0" w:color="auto"/>
              <w:left w:val="single" w:sz="8" w:space="0" w:color="auto"/>
              <w:bottom w:val="nil"/>
              <w:right w:val="nil"/>
            </w:tcBorders>
            <w:vAlign w:val="center"/>
            <w:hideMark/>
          </w:tcPr>
          <w:p w14:paraId="2C8B03DE" w14:textId="77777777" w:rsidR="0051718E" w:rsidRPr="00557C2A" w:rsidRDefault="0051718E">
            <w:pPr>
              <w:spacing w:before="0" w:after="0"/>
              <w:jc w:val="center"/>
              <w:rPr>
                <w:rFonts w:ascii="Calibri" w:eastAsia="Times New Roman" w:hAnsi="Calibri" w:cs="Calibri"/>
                <w:b/>
                <w:bCs/>
                <w:noProof/>
                <w:color w:val="000000"/>
                <w:sz w:val="16"/>
                <w:szCs w:val="16"/>
              </w:rPr>
            </w:pPr>
            <w:r w:rsidRPr="00557C2A">
              <w:rPr>
                <w:rFonts w:ascii="Calibri" w:hAnsi="Calibri"/>
                <w:b/>
                <w:noProof/>
                <w:color w:val="000000"/>
                <w:sz w:val="16"/>
              </w:rPr>
              <w:t>•</w:t>
            </w:r>
            <w:r w:rsidRPr="00557C2A">
              <w:rPr>
                <w:b/>
                <w:noProof/>
                <w:color w:val="000000"/>
                <w:sz w:val="16"/>
              </w:rPr>
              <w:t xml:space="preserve"> Extern personeel (in vte)</w:t>
            </w:r>
          </w:p>
        </w:tc>
      </w:tr>
      <w:tr w:rsidR="0051718E" w:rsidRPr="00557C2A" w14:paraId="3EAF9AD0" w14:textId="77777777" w:rsidTr="00B37C03">
        <w:trPr>
          <w:trHeight w:val="41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14:paraId="296EDC91" w14:textId="77777777" w:rsidR="0051718E" w:rsidRPr="007346B5" w:rsidRDefault="0051718E" w:rsidP="007346B5">
            <w:pPr>
              <w:spacing w:before="0" w:after="0"/>
              <w:ind w:firstLineChars="100" w:firstLine="160"/>
              <w:jc w:val="left"/>
              <w:rPr>
                <w:noProof/>
                <w:color w:val="000000"/>
                <w:sz w:val="16"/>
              </w:rPr>
            </w:pPr>
            <w:r w:rsidRPr="007346B5">
              <w:rPr>
                <w:noProof/>
                <w:color w:val="000000"/>
                <w:sz w:val="16"/>
              </w:rPr>
              <w:t>20 02 01 (AC, END van de “totale financiële middelen”)</w:t>
            </w:r>
          </w:p>
        </w:tc>
        <w:tc>
          <w:tcPr>
            <w:tcW w:w="519" w:type="pct"/>
            <w:tcBorders>
              <w:top w:val="nil"/>
              <w:left w:val="nil"/>
              <w:bottom w:val="single" w:sz="8" w:space="0" w:color="auto"/>
              <w:right w:val="single" w:sz="8" w:space="0" w:color="auto"/>
            </w:tcBorders>
            <w:shd w:val="clear" w:color="000000" w:fill="D9D9D9"/>
            <w:vAlign w:val="center"/>
            <w:hideMark/>
          </w:tcPr>
          <w:p w14:paraId="1D10816B" w14:textId="77777777" w:rsidR="0051718E" w:rsidRPr="00557C2A" w:rsidRDefault="0051718E">
            <w:pPr>
              <w:spacing w:before="0" w:after="0"/>
              <w:jc w:val="center"/>
              <w:rPr>
                <w:rFonts w:eastAsia="Times New Roman"/>
                <w:noProof/>
                <w:color w:val="000000"/>
                <w:sz w:val="16"/>
                <w:szCs w:val="16"/>
              </w:rPr>
            </w:pPr>
            <w:r w:rsidRPr="00557C2A">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1D419813" w14:textId="77777777" w:rsidR="0051718E" w:rsidRPr="00557C2A" w:rsidRDefault="0051718E">
            <w:pPr>
              <w:spacing w:before="0" w:after="0"/>
              <w:jc w:val="center"/>
              <w:rPr>
                <w:rFonts w:eastAsia="Times New Roman"/>
                <w:noProof/>
                <w:color w:val="000000"/>
                <w:sz w:val="16"/>
                <w:szCs w:val="16"/>
              </w:rPr>
            </w:pPr>
            <w:r w:rsidRPr="00557C2A">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7873DF33" w14:textId="77777777" w:rsidR="0051718E" w:rsidRPr="00557C2A" w:rsidRDefault="0051718E">
            <w:pPr>
              <w:spacing w:before="0" w:after="0"/>
              <w:jc w:val="center"/>
              <w:rPr>
                <w:rFonts w:eastAsia="Times New Roman"/>
                <w:noProof/>
                <w:color w:val="000000"/>
                <w:sz w:val="16"/>
                <w:szCs w:val="16"/>
              </w:rPr>
            </w:pPr>
            <w:r w:rsidRPr="00557C2A">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1046A09D" w14:textId="77777777" w:rsidR="0051718E" w:rsidRPr="00557C2A" w:rsidRDefault="0051718E">
            <w:pPr>
              <w:spacing w:before="0" w:after="0"/>
              <w:jc w:val="center"/>
              <w:rPr>
                <w:rFonts w:eastAsia="Times New Roman"/>
                <w:noProof/>
                <w:color w:val="000000"/>
                <w:sz w:val="16"/>
                <w:szCs w:val="16"/>
              </w:rPr>
            </w:pPr>
            <w:r w:rsidRPr="00557C2A">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008C6EE5" w14:textId="77777777" w:rsidR="0051718E" w:rsidRPr="00557C2A" w:rsidRDefault="0051718E">
            <w:pPr>
              <w:spacing w:before="0" w:after="0"/>
              <w:jc w:val="center"/>
              <w:rPr>
                <w:rFonts w:eastAsia="Times New Roman"/>
                <w:noProof/>
                <w:color w:val="000000"/>
                <w:sz w:val="16"/>
                <w:szCs w:val="16"/>
              </w:rPr>
            </w:pPr>
            <w:r w:rsidRPr="00557C2A">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26870216" w14:textId="77777777" w:rsidR="0051718E" w:rsidRPr="00557C2A" w:rsidRDefault="0051718E">
            <w:pPr>
              <w:spacing w:before="0" w:after="0"/>
              <w:jc w:val="center"/>
              <w:rPr>
                <w:rFonts w:eastAsia="Times New Roman"/>
                <w:noProof/>
                <w:color w:val="000000"/>
                <w:sz w:val="16"/>
                <w:szCs w:val="16"/>
              </w:rPr>
            </w:pPr>
            <w:r w:rsidRPr="00557C2A">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2467D6FE" w14:textId="77777777" w:rsidR="0051718E" w:rsidRPr="00557C2A" w:rsidRDefault="0051718E">
            <w:pPr>
              <w:spacing w:before="0" w:after="0"/>
              <w:jc w:val="center"/>
              <w:rPr>
                <w:rFonts w:eastAsia="Times New Roman"/>
                <w:noProof/>
                <w:color w:val="000000"/>
                <w:sz w:val="16"/>
                <w:szCs w:val="16"/>
              </w:rPr>
            </w:pPr>
            <w:r w:rsidRPr="00557C2A">
              <w:rPr>
                <w:noProof/>
                <w:color w:val="000000"/>
                <w:sz w:val="16"/>
              </w:rPr>
              <w:t>0</w:t>
            </w:r>
          </w:p>
        </w:tc>
      </w:tr>
      <w:tr w:rsidR="0051718E" w:rsidRPr="00557C2A" w14:paraId="225532EA" w14:textId="77777777" w:rsidTr="00B37C03">
        <w:trPr>
          <w:trHeight w:val="52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14:paraId="71D2F929" w14:textId="77777777" w:rsidR="0051718E" w:rsidRPr="00557C2A" w:rsidRDefault="0051718E">
            <w:pPr>
              <w:spacing w:before="0" w:after="0"/>
              <w:ind w:firstLineChars="100" w:firstLine="160"/>
              <w:jc w:val="left"/>
              <w:rPr>
                <w:rFonts w:eastAsia="Times New Roman"/>
                <w:noProof/>
                <w:color w:val="000000"/>
                <w:sz w:val="16"/>
                <w:szCs w:val="16"/>
              </w:rPr>
            </w:pPr>
            <w:r w:rsidRPr="00557C2A">
              <w:rPr>
                <w:noProof/>
                <w:color w:val="000000"/>
                <w:sz w:val="16"/>
              </w:rPr>
              <w:t>20 02 03 (AC, AL, END en JPD in de EU-delegaties)</w:t>
            </w:r>
          </w:p>
        </w:tc>
        <w:tc>
          <w:tcPr>
            <w:tcW w:w="519" w:type="pct"/>
            <w:tcBorders>
              <w:top w:val="nil"/>
              <w:left w:val="nil"/>
              <w:bottom w:val="single" w:sz="8" w:space="0" w:color="auto"/>
              <w:right w:val="single" w:sz="8" w:space="0" w:color="auto"/>
            </w:tcBorders>
            <w:shd w:val="clear" w:color="000000" w:fill="D9D9D9"/>
            <w:vAlign w:val="center"/>
            <w:hideMark/>
          </w:tcPr>
          <w:p w14:paraId="45AD8917" w14:textId="77777777" w:rsidR="0051718E" w:rsidRPr="00557C2A" w:rsidRDefault="0051718E">
            <w:pPr>
              <w:spacing w:before="0" w:after="0"/>
              <w:jc w:val="center"/>
              <w:rPr>
                <w:rFonts w:eastAsia="Times New Roman"/>
                <w:noProof/>
                <w:color w:val="000000"/>
                <w:sz w:val="16"/>
                <w:szCs w:val="16"/>
              </w:rPr>
            </w:pPr>
            <w:r w:rsidRPr="00557C2A">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2D71001D" w14:textId="77777777" w:rsidR="0051718E" w:rsidRPr="00557C2A" w:rsidRDefault="0051718E">
            <w:pPr>
              <w:spacing w:before="0" w:after="0"/>
              <w:jc w:val="center"/>
              <w:rPr>
                <w:rFonts w:eastAsia="Times New Roman"/>
                <w:noProof/>
                <w:color w:val="000000"/>
                <w:sz w:val="16"/>
                <w:szCs w:val="16"/>
              </w:rPr>
            </w:pPr>
            <w:r w:rsidRPr="00557C2A">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631E1A52" w14:textId="77777777" w:rsidR="0051718E" w:rsidRPr="00557C2A" w:rsidRDefault="0051718E">
            <w:pPr>
              <w:spacing w:before="0" w:after="0"/>
              <w:jc w:val="center"/>
              <w:rPr>
                <w:rFonts w:eastAsia="Times New Roman"/>
                <w:noProof/>
                <w:color w:val="000000"/>
                <w:sz w:val="16"/>
                <w:szCs w:val="16"/>
              </w:rPr>
            </w:pPr>
            <w:r w:rsidRPr="00557C2A">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14E4A810" w14:textId="77777777" w:rsidR="0051718E" w:rsidRPr="00557C2A" w:rsidRDefault="0051718E">
            <w:pPr>
              <w:spacing w:before="0" w:after="0"/>
              <w:jc w:val="center"/>
              <w:rPr>
                <w:rFonts w:eastAsia="Times New Roman"/>
                <w:noProof/>
                <w:color w:val="000000"/>
                <w:sz w:val="16"/>
                <w:szCs w:val="16"/>
              </w:rPr>
            </w:pPr>
            <w:r w:rsidRPr="00557C2A">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23103359" w14:textId="77777777" w:rsidR="0051718E" w:rsidRPr="00557C2A" w:rsidRDefault="0051718E">
            <w:pPr>
              <w:spacing w:before="0" w:after="0"/>
              <w:jc w:val="center"/>
              <w:rPr>
                <w:rFonts w:eastAsia="Times New Roman"/>
                <w:noProof/>
                <w:color w:val="000000"/>
                <w:sz w:val="16"/>
                <w:szCs w:val="16"/>
              </w:rPr>
            </w:pPr>
            <w:r w:rsidRPr="00557C2A">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3F8EA663" w14:textId="77777777" w:rsidR="0051718E" w:rsidRPr="00557C2A" w:rsidRDefault="0051718E">
            <w:pPr>
              <w:spacing w:before="0" w:after="0"/>
              <w:jc w:val="center"/>
              <w:rPr>
                <w:rFonts w:eastAsia="Times New Roman"/>
                <w:noProof/>
                <w:color w:val="000000"/>
                <w:sz w:val="16"/>
                <w:szCs w:val="16"/>
              </w:rPr>
            </w:pPr>
            <w:r w:rsidRPr="00557C2A">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5E9201A0" w14:textId="77777777" w:rsidR="0051718E" w:rsidRPr="00557C2A" w:rsidRDefault="0051718E">
            <w:pPr>
              <w:spacing w:before="0" w:after="0"/>
              <w:jc w:val="center"/>
              <w:rPr>
                <w:rFonts w:eastAsia="Times New Roman"/>
                <w:noProof/>
                <w:color w:val="000000"/>
                <w:sz w:val="16"/>
                <w:szCs w:val="16"/>
              </w:rPr>
            </w:pPr>
            <w:r w:rsidRPr="00557C2A">
              <w:rPr>
                <w:noProof/>
                <w:color w:val="000000"/>
                <w:sz w:val="16"/>
              </w:rPr>
              <w:t>0</w:t>
            </w:r>
          </w:p>
        </w:tc>
      </w:tr>
      <w:tr w:rsidR="0051718E" w:rsidRPr="00557C2A" w14:paraId="71605799" w14:textId="77777777" w:rsidTr="00B37C03">
        <w:trPr>
          <w:trHeight w:val="640"/>
        </w:trPr>
        <w:tc>
          <w:tcPr>
            <w:tcW w:w="751" w:type="pct"/>
            <w:tcBorders>
              <w:top w:val="nil"/>
              <w:left w:val="single" w:sz="8" w:space="0" w:color="auto"/>
              <w:bottom w:val="nil"/>
              <w:right w:val="single" w:sz="8" w:space="0" w:color="auto"/>
            </w:tcBorders>
            <w:vAlign w:val="center"/>
            <w:hideMark/>
          </w:tcPr>
          <w:p w14:paraId="398F020A" w14:textId="77777777" w:rsidR="0051718E" w:rsidRPr="00557C2A" w:rsidRDefault="0051718E">
            <w:pPr>
              <w:spacing w:before="0" w:after="0"/>
              <w:jc w:val="center"/>
              <w:rPr>
                <w:rFonts w:eastAsia="Times New Roman"/>
                <w:noProof/>
                <w:color w:val="000000"/>
                <w:sz w:val="16"/>
                <w:szCs w:val="16"/>
              </w:rPr>
            </w:pPr>
            <w:r w:rsidRPr="00557C2A">
              <w:rPr>
                <w:noProof/>
                <w:color w:val="000000"/>
                <w:sz w:val="16"/>
              </w:rPr>
              <w:t>Admin. ondersteuning</w:t>
            </w:r>
          </w:p>
        </w:tc>
        <w:tc>
          <w:tcPr>
            <w:tcW w:w="619" w:type="pct"/>
            <w:tcBorders>
              <w:top w:val="nil"/>
              <w:left w:val="nil"/>
              <w:bottom w:val="single" w:sz="8" w:space="0" w:color="auto"/>
              <w:right w:val="single" w:sz="8" w:space="0" w:color="auto"/>
            </w:tcBorders>
            <w:vAlign w:val="center"/>
            <w:hideMark/>
          </w:tcPr>
          <w:p w14:paraId="3E4E1AF7" w14:textId="77777777" w:rsidR="0051718E" w:rsidRPr="00557C2A" w:rsidRDefault="0051718E">
            <w:pPr>
              <w:spacing w:before="0" w:after="0"/>
              <w:ind w:firstLineChars="100" w:firstLine="160"/>
              <w:jc w:val="left"/>
              <w:rPr>
                <w:rFonts w:eastAsia="Times New Roman"/>
                <w:noProof/>
                <w:color w:val="000000"/>
                <w:sz w:val="16"/>
                <w:szCs w:val="16"/>
              </w:rPr>
            </w:pPr>
            <w:r w:rsidRPr="00557C2A">
              <w:rPr>
                <w:noProof/>
                <w:color w:val="000000"/>
                <w:sz w:val="16"/>
              </w:rPr>
              <w:t>— centrale diensten</w:t>
            </w:r>
          </w:p>
        </w:tc>
        <w:tc>
          <w:tcPr>
            <w:tcW w:w="519" w:type="pct"/>
            <w:tcBorders>
              <w:top w:val="nil"/>
              <w:left w:val="nil"/>
              <w:bottom w:val="single" w:sz="8" w:space="0" w:color="auto"/>
              <w:right w:val="single" w:sz="8" w:space="0" w:color="auto"/>
            </w:tcBorders>
            <w:shd w:val="clear" w:color="000000" w:fill="D9D9D9"/>
            <w:vAlign w:val="center"/>
            <w:hideMark/>
          </w:tcPr>
          <w:p w14:paraId="556D4DB2" w14:textId="77777777" w:rsidR="0051718E" w:rsidRPr="00557C2A" w:rsidRDefault="0051718E">
            <w:pPr>
              <w:spacing w:before="0" w:after="0"/>
              <w:jc w:val="center"/>
              <w:rPr>
                <w:rFonts w:eastAsia="Times New Roman"/>
                <w:noProof/>
                <w:color w:val="000000"/>
                <w:sz w:val="16"/>
                <w:szCs w:val="16"/>
              </w:rPr>
            </w:pPr>
            <w:r w:rsidRPr="00557C2A">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5D4A88F1" w14:textId="77777777" w:rsidR="0051718E" w:rsidRPr="00557C2A" w:rsidRDefault="0051718E">
            <w:pPr>
              <w:spacing w:before="0" w:after="0"/>
              <w:jc w:val="center"/>
              <w:rPr>
                <w:rFonts w:eastAsia="Times New Roman"/>
                <w:noProof/>
                <w:color w:val="000000"/>
                <w:sz w:val="16"/>
                <w:szCs w:val="16"/>
              </w:rPr>
            </w:pPr>
            <w:r w:rsidRPr="00557C2A">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0F74793E" w14:textId="77777777" w:rsidR="0051718E" w:rsidRPr="00557C2A" w:rsidRDefault="0051718E">
            <w:pPr>
              <w:spacing w:before="0" w:after="0"/>
              <w:jc w:val="center"/>
              <w:rPr>
                <w:rFonts w:eastAsia="Times New Roman"/>
                <w:noProof/>
                <w:color w:val="000000"/>
                <w:sz w:val="16"/>
                <w:szCs w:val="16"/>
              </w:rPr>
            </w:pPr>
            <w:r w:rsidRPr="00557C2A">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025C0463" w14:textId="77777777" w:rsidR="0051718E" w:rsidRPr="00557C2A" w:rsidRDefault="0051718E">
            <w:pPr>
              <w:spacing w:before="0" w:after="0"/>
              <w:jc w:val="center"/>
              <w:rPr>
                <w:rFonts w:eastAsia="Times New Roman"/>
                <w:noProof/>
                <w:color w:val="000000"/>
                <w:sz w:val="16"/>
                <w:szCs w:val="16"/>
              </w:rPr>
            </w:pPr>
            <w:r w:rsidRPr="00557C2A">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1F20FAAC" w14:textId="77777777" w:rsidR="0051718E" w:rsidRPr="00557C2A" w:rsidRDefault="0051718E">
            <w:pPr>
              <w:spacing w:before="0" w:after="0"/>
              <w:jc w:val="center"/>
              <w:rPr>
                <w:rFonts w:eastAsia="Times New Roman"/>
                <w:noProof/>
                <w:color w:val="000000"/>
                <w:sz w:val="16"/>
                <w:szCs w:val="16"/>
              </w:rPr>
            </w:pPr>
            <w:r w:rsidRPr="00557C2A">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4F3D4E82" w14:textId="77777777" w:rsidR="0051718E" w:rsidRPr="00557C2A" w:rsidRDefault="0051718E">
            <w:pPr>
              <w:spacing w:before="0" w:after="0"/>
              <w:jc w:val="center"/>
              <w:rPr>
                <w:rFonts w:eastAsia="Times New Roman"/>
                <w:noProof/>
                <w:color w:val="000000"/>
                <w:sz w:val="16"/>
                <w:szCs w:val="16"/>
              </w:rPr>
            </w:pPr>
            <w:r w:rsidRPr="00557C2A">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7DF9C0A4" w14:textId="77777777" w:rsidR="0051718E" w:rsidRPr="00557C2A" w:rsidRDefault="0051718E">
            <w:pPr>
              <w:spacing w:before="0" w:after="0"/>
              <w:jc w:val="center"/>
              <w:rPr>
                <w:rFonts w:eastAsia="Times New Roman"/>
                <w:noProof/>
                <w:color w:val="000000"/>
                <w:sz w:val="16"/>
                <w:szCs w:val="16"/>
              </w:rPr>
            </w:pPr>
            <w:r w:rsidRPr="00557C2A">
              <w:rPr>
                <w:noProof/>
                <w:color w:val="000000"/>
                <w:sz w:val="16"/>
              </w:rPr>
              <w:t>0</w:t>
            </w:r>
          </w:p>
        </w:tc>
      </w:tr>
      <w:tr w:rsidR="0051718E" w:rsidRPr="00557C2A" w14:paraId="32BE99CD" w14:textId="77777777" w:rsidTr="00B37C03">
        <w:trPr>
          <w:trHeight w:val="430"/>
        </w:trPr>
        <w:tc>
          <w:tcPr>
            <w:tcW w:w="751" w:type="pct"/>
            <w:tcBorders>
              <w:top w:val="nil"/>
              <w:left w:val="single" w:sz="8" w:space="0" w:color="auto"/>
              <w:bottom w:val="single" w:sz="8" w:space="0" w:color="auto"/>
              <w:right w:val="single" w:sz="8" w:space="0" w:color="auto"/>
            </w:tcBorders>
            <w:vAlign w:val="center"/>
            <w:hideMark/>
          </w:tcPr>
          <w:p w14:paraId="180D8AE3" w14:textId="77777777" w:rsidR="0051718E" w:rsidRPr="00557C2A" w:rsidRDefault="0051718E">
            <w:pPr>
              <w:spacing w:before="0" w:after="0"/>
              <w:jc w:val="center"/>
              <w:rPr>
                <w:rFonts w:eastAsia="Times New Roman"/>
                <w:noProof/>
                <w:color w:val="000000"/>
                <w:sz w:val="16"/>
                <w:szCs w:val="16"/>
              </w:rPr>
            </w:pPr>
            <w:r w:rsidRPr="00557C2A">
              <w:rPr>
                <w:noProof/>
                <w:color w:val="000000"/>
                <w:sz w:val="16"/>
              </w:rPr>
              <w:t>[XX.01.YY.YY]</w:t>
            </w:r>
          </w:p>
        </w:tc>
        <w:tc>
          <w:tcPr>
            <w:tcW w:w="619" w:type="pct"/>
            <w:tcBorders>
              <w:top w:val="nil"/>
              <w:left w:val="nil"/>
              <w:bottom w:val="single" w:sz="8" w:space="0" w:color="auto"/>
              <w:right w:val="single" w:sz="8" w:space="0" w:color="auto"/>
            </w:tcBorders>
            <w:vAlign w:val="center"/>
            <w:hideMark/>
          </w:tcPr>
          <w:p w14:paraId="5A95D525" w14:textId="77777777" w:rsidR="0051718E" w:rsidRPr="00557C2A" w:rsidRDefault="0051718E">
            <w:pPr>
              <w:spacing w:before="0" w:after="0"/>
              <w:ind w:firstLineChars="100" w:firstLine="160"/>
              <w:jc w:val="left"/>
              <w:rPr>
                <w:rFonts w:eastAsia="Times New Roman"/>
                <w:noProof/>
                <w:color w:val="000000"/>
                <w:sz w:val="16"/>
                <w:szCs w:val="16"/>
              </w:rPr>
            </w:pPr>
            <w:r w:rsidRPr="00557C2A">
              <w:rPr>
                <w:noProof/>
                <w:color w:val="000000"/>
                <w:sz w:val="16"/>
              </w:rPr>
              <w:t xml:space="preserve">— EU-delegaties </w:t>
            </w:r>
          </w:p>
        </w:tc>
        <w:tc>
          <w:tcPr>
            <w:tcW w:w="519" w:type="pct"/>
            <w:tcBorders>
              <w:top w:val="nil"/>
              <w:left w:val="nil"/>
              <w:bottom w:val="single" w:sz="8" w:space="0" w:color="auto"/>
              <w:right w:val="single" w:sz="8" w:space="0" w:color="auto"/>
            </w:tcBorders>
            <w:shd w:val="clear" w:color="000000" w:fill="D9D9D9"/>
            <w:vAlign w:val="center"/>
            <w:hideMark/>
          </w:tcPr>
          <w:p w14:paraId="411ECC80" w14:textId="77777777" w:rsidR="0051718E" w:rsidRPr="00557C2A" w:rsidRDefault="0051718E">
            <w:pPr>
              <w:spacing w:before="0" w:after="0"/>
              <w:jc w:val="center"/>
              <w:rPr>
                <w:rFonts w:eastAsia="Times New Roman"/>
                <w:noProof/>
                <w:color w:val="000000"/>
                <w:sz w:val="16"/>
                <w:szCs w:val="16"/>
              </w:rPr>
            </w:pPr>
            <w:r w:rsidRPr="00557C2A">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55981F18" w14:textId="77777777" w:rsidR="0051718E" w:rsidRPr="00557C2A" w:rsidRDefault="0051718E">
            <w:pPr>
              <w:spacing w:before="0" w:after="0"/>
              <w:jc w:val="center"/>
              <w:rPr>
                <w:rFonts w:eastAsia="Times New Roman"/>
                <w:noProof/>
                <w:color w:val="000000"/>
                <w:sz w:val="16"/>
                <w:szCs w:val="16"/>
              </w:rPr>
            </w:pPr>
            <w:r w:rsidRPr="00557C2A">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47EDB854" w14:textId="77777777" w:rsidR="0051718E" w:rsidRPr="00557C2A" w:rsidRDefault="0051718E">
            <w:pPr>
              <w:spacing w:before="0" w:after="0"/>
              <w:jc w:val="center"/>
              <w:rPr>
                <w:rFonts w:eastAsia="Times New Roman"/>
                <w:noProof/>
                <w:color w:val="000000"/>
                <w:sz w:val="16"/>
                <w:szCs w:val="16"/>
              </w:rPr>
            </w:pPr>
            <w:r w:rsidRPr="00557C2A">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05C55BD7" w14:textId="77777777" w:rsidR="0051718E" w:rsidRPr="00557C2A" w:rsidRDefault="0051718E">
            <w:pPr>
              <w:spacing w:before="0" w:after="0"/>
              <w:jc w:val="center"/>
              <w:rPr>
                <w:rFonts w:eastAsia="Times New Roman"/>
                <w:noProof/>
                <w:color w:val="000000"/>
                <w:sz w:val="16"/>
                <w:szCs w:val="16"/>
              </w:rPr>
            </w:pPr>
            <w:r w:rsidRPr="00557C2A">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7F60FB1A" w14:textId="77777777" w:rsidR="0051718E" w:rsidRPr="00557C2A" w:rsidRDefault="0051718E">
            <w:pPr>
              <w:spacing w:before="0" w:after="0"/>
              <w:jc w:val="center"/>
              <w:rPr>
                <w:rFonts w:eastAsia="Times New Roman"/>
                <w:noProof/>
                <w:color w:val="000000"/>
                <w:sz w:val="16"/>
                <w:szCs w:val="16"/>
              </w:rPr>
            </w:pPr>
            <w:r w:rsidRPr="00557C2A">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468E16E5" w14:textId="77777777" w:rsidR="0051718E" w:rsidRPr="00557C2A" w:rsidRDefault="0051718E">
            <w:pPr>
              <w:spacing w:before="0" w:after="0"/>
              <w:jc w:val="center"/>
              <w:rPr>
                <w:rFonts w:eastAsia="Times New Roman"/>
                <w:noProof/>
                <w:color w:val="000000"/>
                <w:sz w:val="16"/>
                <w:szCs w:val="16"/>
              </w:rPr>
            </w:pPr>
            <w:r w:rsidRPr="00557C2A">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5411322C" w14:textId="77777777" w:rsidR="0051718E" w:rsidRPr="00557C2A" w:rsidRDefault="0051718E">
            <w:pPr>
              <w:spacing w:before="0" w:after="0"/>
              <w:jc w:val="center"/>
              <w:rPr>
                <w:rFonts w:eastAsia="Times New Roman"/>
                <w:noProof/>
                <w:color w:val="000000"/>
                <w:sz w:val="16"/>
                <w:szCs w:val="16"/>
              </w:rPr>
            </w:pPr>
            <w:r w:rsidRPr="00557C2A">
              <w:rPr>
                <w:noProof/>
                <w:color w:val="000000"/>
                <w:sz w:val="16"/>
              </w:rPr>
              <w:t>0</w:t>
            </w:r>
          </w:p>
        </w:tc>
      </w:tr>
      <w:tr w:rsidR="0051718E" w:rsidRPr="00557C2A" w14:paraId="64D821DD" w14:textId="77777777" w:rsidTr="00B37C03">
        <w:trPr>
          <w:trHeight w:val="41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14:paraId="551F22D1" w14:textId="77777777" w:rsidR="0051718E" w:rsidRPr="00557C2A" w:rsidRDefault="0051718E">
            <w:pPr>
              <w:spacing w:before="0" w:after="0"/>
              <w:ind w:firstLineChars="100" w:firstLine="200"/>
              <w:jc w:val="left"/>
              <w:rPr>
                <w:rFonts w:eastAsia="Times New Roman"/>
                <w:noProof/>
                <w:color w:val="000000"/>
                <w:sz w:val="16"/>
                <w:szCs w:val="16"/>
              </w:rPr>
            </w:pPr>
            <w:r w:rsidRPr="00557C2A">
              <w:rPr>
                <w:rFonts w:ascii="Arial Narrow" w:hAnsi="Arial Narrow"/>
                <w:noProof/>
                <w:color w:val="000000"/>
                <w:sz w:val="20"/>
              </w:rPr>
              <w:t xml:space="preserve"> </w:t>
            </w:r>
            <w:r w:rsidRPr="00557C2A">
              <w:rPr>
                <w:noProof/>
                <w:color w:val="000000"/>
                <w:sz w:val="16"/>
              </w:rPr>
              <w:t>(AC, END — onderzoek onder contract)</w:t>
            </w:r>
          </w:p>
        </w:tc>
        <w:tc>
          <w:tcPr>
            <w:tcW w:w="519" w:type="pct"/>
            <w:tcBorders>
              <w:top w:val="nil"/>
              <w:left w:val="nil"/>
              <w:bottom w:val="single" w:sz="8" w:space="0" w:color="auto"/>
              <w:right w:val="single" w:sz="8" w:space="0" w:color="auto"/>
            </w:tcBorders>
            <w:shd w:val="clear" w:color="000000" w:fill="D9D9D9"/>
            <w:vAlign w:val="center"/>
            <w:hideMark/>
          </w:tcPr>
          <w:p w14:paraId="2687817F" w14:textId="77777777" w:rsidR="0051718E" w:rsidRPr="00557C2A" w:rsidRDefault="0051718E">
            <w:pPr>
              <w:spacing w:before="0" w:after="0"/>
              <w:jc w:val="center"/>
              <w:rPr>
                <w:rFonts w:eastAsia="Times New Roman"/>
                <w:noProof/>
                <w:color w:val="000000"/>
                <w:sz w:val="16"/>
                <w:szCs w:val="16"/>
              </w:rPr>
            </w:pPr>
            <w:r w:rsidRPr="00557C2A">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377FA93F" w14:textId="77777777" w:rsidR="0051718E" w:rsidRPr="00557C2A" w:rsidRDefault="0051718E">
            <w:pPr>
              <w:spacing w:before="0" w:after="0"/>
              <w:jc w:val="center"/>
              <w:rPr>
                <w:rFonts w:eastAsia="Times New Roman"/>
                <w:noProof/>
                <w:color w:val="000000"/>
                <w:sz w:val="16"/>
                <w:szCs w:val="16"/>
              </w:rPr>
            </w:pPr>
            <w:r w:rsidRPr="00557C2A">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378CB3FF" w14:textId="77777777" w:rsidR="0051718E" w:rsidRPr="00557C2A" w:rsidRDefault="0051718E">
            <w:pPr>
              <w:spacing w:before="0" w:after="0"/>
              <w:jc w:val="center"/>
              <w:rPr>
                <w:rFonts w:eastAsia="Times New Roman"/>
                <w:noProof/>
                <w:color w:val="000000"/>
                <w:sz w:val="16"/>
                <w:szCs w:val="16"/>
              </w:rPr>
            </w:pPr>
            <w:r w:rsidRPr="00557C2A">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2BE21CDF" w14:textId="77777777" w:rsidR="0051718E" w:rsidRPr="00557C2A" w:rsidRDefault="0051718E">
            <w:pPr>
              <w:spacing w:before="0" w:after="0"/>
              <w:jc w:val="center"/>
              <w:rPr>
                <w:rFonts w:eastAsia="Times New Roman"/>
                <w:noProof/>
                <w:color w:val="000000"/>
                <w:sz w:val="16"/>
                <w:szCs w:val="16"/>
              </w:rPr>
            </w:pPr>
            <w:r w:rsidRPr="00557C2A">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1C7A6BAF" w14:textId="77777777" w:rsidR="0051718E" w:rsidRPr="00557C2A" w:rsidRDefault="0051718E">
            <w:pPr>
              <w:spacing w:before="0" w:after="0"/>
              <w:jc w:val="center"/>
              <w:rPr>
                <w:rFonts w:eastAsia="Times New Roman"/>
                <w:noProof/>
                <w:color w:val="000000"/>
                <w:sz w:val="16"/>
                <w:szCs w:val="16"/>
              </w:rPr>
            </w:pPr>
            <w:r w:rsidRPr="00557C2A">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1F81D5CB" w14:textId="77777777" w:rsidR="0051718E" w:rsidRPr="00557C2A" w:rsidRDefault="0051718E">
            <w:pPr>
              <w:spacing w:before="0" w:after="0"/>
              <w:jc w:val="center"/>
              <w:rPr>
                <w:rFonts w:eastAsia="Times New Roman"/>
                <w:noProof/>
                <w:color w:val="000000"/>
                <w:sz w:val="16"/>
                <w:szCs w:val="16"/>
              </w:rPr>
            </w:pPr>
            <w:r w:rsidRPr="00557C2A">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52F38F95" w14:textId="77777777" w:rsidR="0051718E" w:rsidRPr="00557C2A" w:rsidRDefault="0051718E">
            <w:pPr>
              <w:spacing w:before="0" w:after="0"/>
              <w:jc w:val="center"/>
              <w:rPr>
                <w:rFonts w:eastAsia="Times New Roman"/>
                <w:noProof/>
                <w:color w:val="000000"/>
                <w:sz w:val="16"/>
                <w:szCs w:val="16"/>
              </w:rPr>
            </w:pPr>
            <w:r w:rsidRPr="00557C2A">
              <w:rPr>
                <w:noProof/>
                <w:color w:val="000000"/>
                <w:sz w:val="16"/>
              </w:rPr>
              <w:t>0</w:t>
            </w:r>
          </w:p>
        </w:tc>
      </w:tr>
      <w:tr w:rsidR="0051718E" w:rsidRPr="00557C2A" w14:paraId="4A2F4379" w14:textId="77777777" w:rsidTr="00B37C03">
        <w:trPr>
          <w:trHeight w:val="38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14:paraId="52981A36" w14:textId="77777777" w:rsidR="0051718E" w:rsidRPr="00557C2A" w:rsidRDefault="0051718E">
            <w:pPr>
              <w:spacing w:before="0" w:after="0"/>
              <w:ind w:firstLineChars="100" w:firstLine="160"/>
              <w:jc w:val="left"/>
              <w:rPr>
                <w:rFonts w:eastAsia="Times New Roman"/>
                <w:noProof/>
                <w:color w:val="000000"/>
                <w:sz w:val="16"/>
                <w:szCs w:val="16"/>
              </w:rPr>
            </w:pPr>
            <w:r w:rsidRPr="00557C2A">
              <w:rPr>
                <w:noProof/>
                <w:color w:val="000000"/>
                <w:sz w:val="16"/>
              </w:rPr>
              <w:t xml:space="preserve"> (AC, END — eigen onderzoek)</w:t>
            </w:r>
          </w:p>
        </w:tc>
        <w:tc>
          <w:tcPr>
            <w:tcW w:w="519" w:type="pct"/>
            <w:tcBorders>
              <w:top w:val="nil"/>
              <w:left w:val="nil"/>
              <w:bottom w:val="single" w:sz="8" w:space="0" w:color="auto"/>
              <w:right w:val="single" w:sz="8" w:space="0" w:color="auto"/>
            </w:tcBorders>
            <w:shd w:val="clear" w:color="000000" w:fill="D9D9D9"/>
            <w:vAlign w:val="center"/>
            <w:hideMark/>
          </w:tcPr>
          <w:p w14:paraId="30327E48" w14:textId="77777777" w:rsidR="0051718E" w:rsidRPr="00557C2A" w:rsidRDefault="0051718E">
            <w:pPr>
              <w:spacing w:before="0" w:after="0"/>
              <w:jc w:val="center"/>
              <w:rPr>
                <w:rFonts w:eastAsia="Times New Roman"/>
                <w:noProof/>
                <w:color w:val="000000"/>
                <w:sz w:val="16"/>
                <w:szCs w:val="16"/>
              </w:rPr>
            </w:pPr>
            <w:r w:rsidRPr="00557C2A">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1C2362E1" w14:textId="77777777" w:rsidR="0051718E" w:rsidRPr="00557C2A" w:rsidRDefault="0051718E">
            <w:pPr>
              <w:spacing w:before="0" w:after="0"/>
              <w:jc w:val="center"/>
              <w:rPr>
                <w:rFonts w:eastAsia="Times New Roman"/>
                <w:noProof/>
                <w:color w:val="000000"/>
                <w:sz w:val="16"/>
                <w:szCs w:val="16"/>
              </w:rPr>
            </w:pPr>
            <w:r w:rsidRPr="00557C2A">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14951999" w14:textId="77777777" w:rsidR="0051718E" w:rsidRPr="00557C2A" w:rsidRDefault="0051718E">
            <w:pPr>
              <w:spacing w:before="0" w:after="0"/>
              <w:jc w:val="center"/>
              <w:rPr>
                <w:rFonts w:eastAsia="Times New Roman"/>
                <w:noProof/>
                <w:color w:val="000000"/>
                <w:sz w:val="16"/>
                <w:szCs w:val="16"/>
              </w:rPr>
            </w:pPr>
            <w:r w:rsidRPr="00557C2A">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3703BD7A" w14:textId="77777777" w:rsidR="0051718E" w:rsidRPr="00557C2A" w:rsidRDefault="0051718E">
            <w:pPr>
              <w:spacing w:before="0" w:after="0"/>
              <w:jc w:val="center"/>
              <w:rPr>
                <w:rFonts w:eastAsia="Times New Roman"/>
                <w:noProof/>
                <w:color w:val="000000"/>
                <w:sz w:val="16"/>
                <w:szCs w:val="16"/>
              </w:rPr>
            </w:pPr>
            <w:r w:rsidRPr="00557C2A">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2588C252" w14:textId="77777777" w:rsidR="0051718E" w:rsidRPr="00557C2A" w:rsidRDefault="0051718E">
            <w:pPr>
              <w:spacing w:before="0" w:after="0"/>
              <w:jc w:val="center"/>
              <w:rPr>
                <w:rFonts w:eastAsia="Times New Roman"/>
                <w:noProof/>
                <w:color w:val="000000"/>
                <w:sz w:val="16"/>
                <w:szCs w:val="16"/>
              </w:rPr>
            </w:pPr>
            <w:r w:rsidRPr="00557C2A">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0A9384D5" w14:textId="77777777" w:rsidR="0051718E" w:rsidRPr="00557C2A" w:rsidRDefault="0051718E">
            <w:pPr>
              <w:spacing w:before="0" w:after="0"/>
              <w:jc w:val="center"/>
              <w:rPr>
                <w:rFonts w:eastAsia="Times New Roman"/>
                <w:noProof/>
                <w:color w:val="000000"/>
                <w:sz w:val="16"/>
                <w:szCs w:val="16"/>
              </w:rPr>
            </w:pPr>
            <w:r w:rsidRPr="00557C2A">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585B85F7" w14:textId="77777777" w:rsidR="0051718E" w:rsidRPr="00557C2A" w:rsidRDefault="0051718E">
            <w:pPr>
              <w:spacing w:before="0" w:after="0"/>
              <w:jc w:val="center"/>
              <w:rPr>
                <w:rFonts w:eastAsia="Times New Roman"/>
                <w:noProof/>
                <w:color w:val="000000"/>
                <w:sz w:val="16"/>
                <w:szCs w:val="16"/>
              </w:rPr>
            </w:pPr>
            <w:r w:rsidRPr="00557C2A">
              <w:rPr>
                <w:noProof/>
                <w:color w:val="000000"/>
                <w:sz w:val="16"/>
              </w:rPr>
              <w:t>0</w:t>
            </w:r>
          </w:p>
        </w:tc>
      </w:tr>
      <w:tr w:rsidR="0051718E" w:rsidRPr="00557C2A" w14:paraId="7C652936" w14:textId="77777777" w:rsidTr="00B37C03">
        <w:trPr>
          <w:trHeight w:val="38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14:paraId="123C64A2" w14:textId="77777777" w:rsidR="0051718E" w:rsidRPr="00557C2A" w:rsidRDefault="0051718E">
            <w:pPr>
              <w:spacing w:before="0" w:after="0"/>
              <w:ind w:firstLineChars="100" w:firstLine="160"/>
              <w:jc w:val="left"/>
              <w:rPr>
                <w:rFonts w:eastAsia="Times New Roman"/>
                <w:noProof/>
                <w:color w:val="000000"/>
                <w:sz w:val="16"/>
                <w:szCs w:val="16"/>
              </w:rPr>
            </w:pPr>
            <w:r w:rsidRPr="00557C2A">
              <w:rPr>
                <w:noProof/>
                <w:color w:val="000000"/>
                <w:sz w:val="16"/>
              </w:rPr>
              <w:t>Andere begrotingsonderdelen (te vermelden) — rubriek 4</w:t>
            </w:r>
          </w:p>
        </w:tc>
        <w:tc>
          <w:tcPr>
            <w:tcW w:w="519" w:type="pct"/>
            <w:tcBorders>
              <w:top w:val="nil"/>
              <w:left w:val="nil"/>
              <w:bottom w:val="single" w:sz="8" w:space="0" w:color="auto"/>
              <w:right w:val="single" w:sz="8" w:space="0" w:color="auto"/>
            </w:tcBorders>
            <w:shd w:val="clear" w:color="000000" w:fill="D9D9D9"/>
            <w:vAlign w:val="center"/>
            <w:hideMark/>
          </w:tcPr>
          <w:p w14:paraId="31ED4F01" w14:textId="77777777" w:rsidR="0051718E" w:rsidRPr="00557C2A" w:rsidRDefault="0051718E">
            <w:pPr>
              <w:spacing w:before="0" w:after="0"/>
              <w:jc w:val="center"/>
              <w:rPr>
                <w:rFonts w:eastAsia="Times New Roman"/>
                <w:noProof/>
                <w:color w:val="000000"/>
                <w:sz w:val="16"/>
                <w:szCs w:val="16"/>
              </w:rPr>
            </w:pPr>
            <w:r w:rsidRPr="00557C2A">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77FC9D05" w14:textId="77777777" w:rsidR="0051718E" w:rsidRPr="00557C2A" w:rsidRDefault="0051718E">
            <w:pPr>
              <w:spacing w:before="0" w:after="0"/>
              <w:jc w:val="center"/>
              <w:rPr>
                <w:rFonts w:eastAsia="Times New Roman"/>
                <w:noProof/>
                <w:color w:val="000000"/>
                <w:sz w:val="16"/>
                <w:szCs w:val="16"/>
              </w:rPr>
            </w:pPr>
            <w:r w:rsidRPr="00557C2A">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3120C9D8" w14:textId="77777777" w:rsidR="0051718E" w:rsidRPr="00557C2A" w:rsidRDefault="0051718E">
            <w:pPr>
              <w:spacing w:before="0" w:after="0"/>
              <w:jc w:val="center"/>
              <w:rPr>
                <w:rFonts w:eastAsia="Times New Roman"/>
                <w:noProof/>
                <w:color w:val="000000"/>
                <w:sz w:val="16"/>
                <w:szCs w:val="16"/>
              </w:rPr>
            </w:pPr>
            <w:r w:rsidRPr="00557C2A">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51EC3537" w14:textId="77777777" w:rsidR="0051718E" w:rsidRPr="00557C2A" w:rsidRDefault="0051718E">
            <w:pPr>
              <w:spacing w:before="0" w:after="0"/>
              <w:jc w:val="center"/>
              <w:rPr>
                <w:rFonts w:eastAsia="Times New Roman"/>
                <w:noProof/>
                <w:color w:val="000000"/>
                <w:sz w:val="16"/>
                <w:szCs w:val="16"/>
              </w:rPr>
            </w:pPr>
            <w:r w:rsidRPr="00557C2A">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6DC25F56" w14:textId="77777777" w:rsidR="0051718E" w:rsidRPr="00557C2A" w:rsidRDefault="0051718E">
            <w:pPr>
              <w:spacing w:before="0" w:after="0"/>
              <w:jc w:val="center"/>
              <w:rPr>
                <w:rFonts w:eastAsia="Times New Roman"/>
                <w:noProof/>
                <w:color w:val="000000"/>
                <w:sz w:val="16"/>
                <w:szCs w:val="16"/>
              </w:rPr>
            </w:pPr>
            <w:r w:rsidRPr="00557C2A">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54D056B5" w14:textId="77777777" w:rsidR="0051718E" w:rsidRPr="00557C2A" w:rsidRDefault="0051718E">
            <w:pPr>
              <w:spacing w:before="0" w:after="0"/>
              <w:jc w:val="center"/>
              <w:rPr>
                <w:rFonts w:eastAsia="Times New Roman"/>
                <w:noProof/>
                <w:color w:val="000000"/>
                <w:sz w:val="16"/>
                <w:szCs w:val="16"/>
              </w:rPr>
            </w:pPr>
            <w:r w:rsidRPr="00557C2A">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579B5051" w14:textId="77777777" w:rsidR="0051718E" w:rsidRPr="00557C2A" w:rsidRDefault="0051718E">
            <w:pPr>
              <w:spacing w:before="0" w:after="0"/>
              <w:jc w:val="center"/>
              <w:rPr>
                <w:rFonts w:eastAsia="Times New Roman"/>
                <w:noProof/>
                <w:color w:val="000000"/>
                <w:sz w:val="16"/>
                <w:szCs w:val="16"/>
              </w:rPr>
            </w:pPr>
            <w:r w:rsidRPr="00557C2A">
              <w:rPr>
                <w:noProof/>
                <w:color w:val="000000"/>
                <w:sz w:val="16"/>
              </w:rPr>
              <w:t>0</w:t>
            </w:r>
          </w:p>
        </w:tc>
      </w:tr>
      <w:tr w:rsidR="0051718E" w:rsidRPr="00557C2A" w14:paraId="11750F6A" w14:textId="77777777" w:rsidTr="00B37C03">
        <w:trPr>
          <w:trHeight w:val="52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14:paraId="4FEAEB23" w14:textId="77777777" w:rsidR="0051718E" w:rsidRPr="00557C2A" w:rsidRDefault="0051718E">
            <w:pPr>
              <w:spacing w:before="0" w:after="0"/>
              <w:ind w:firstLineChars="100" w:firstLine="160"/>
              <w:jc w:val="left"/>
              <w:rPr>
                <w:rFonts w:eastAsia="Times New Roman"/>
                <w:noProof/>
                <w:color w:val="000000"/>
                <w:sz w:val="16"/>
                <w:szCs w:val="16"/>
              </w:rPr>
            </w:pPr>
            <w:r w:rsidRPr="00557C2A">
              <w:rPr>
                <w:noProof/>
                <w:color w:val="000000"/>
                <w:sz w:val="16"/>
              </w:rPr>
              <w:t>Andere begrotingsonderdelen (te vermelden) — buiten rubriek 4</w:t>
            </w:r>
          </w:p>
        </w:tc>
        <w:tc>
          <w:tcPr>
            <w:tcW w:w="519" w:type="pct"/>
            <w:tcBorders>
              <w:top w:val="nil"/>
              <w:left w:val="nil"/>
              <w:bottom w:val="single" w:sz="8" w:space="0" w:color="auto"/>
              <w:right w:val="single" w:sz="8" w:space="0" w:color="auto"/>
            </w:tcBorders>
            <w:shd w:val="clear" w:color="000000" w:fill="D9D9D9"/>
            <w:vAlign w:val="center"/>
            <w:hideMark/>
          </w:tcPr>
          <w:p w14:paraId="024B7490" w14:textId="77777777" w:rsidR="0051718E" w:rsidRPr="00557C2A" w:rsidRDefault="0051718E">
            <w:pPr>
              <w:spacing w:before="0" w:after="0"/>
              <w:jc w:val="center"/>
              <w:rPr>
                <w:rFonts w:eastAsia="Times New Roman"/>
                <w:noProof/>
                <w:color w:val="000000"/>
                <w:sz w:val="16"/>
                <w:szCs w:val="16"/>
              </w:rPr>
            </w:pPr>
            <w:r w:rsidRPr="00557C2A">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23C3596F" w14:textId="77777777" w:rsidR="0051718E" w:rsidRPr="00557C2A" w:rsidRDefault="0051718E">
            <w:pPr>
              <w:spacing w:before="0" w:after="0"/>
              <w:jc w:val="center"/>
              <w:rPr>
                <w:rFonts w:eastAsia="Times New Roman"/>
                <w:noProof/>
                <w:color w:val="000000"/>
                <w:sz w:val="16"/>
                <w:szCs w:val="16"/>
              </w:rPr>
            </w:pPr>
            <w:r w:rsidRPr="00557C2A">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184AB5BF" w14:textId="77777777" w:rsidR="0051718E" w:rsidRPr="00557C2A" w:rsidRDefault="0051718E">
            <w:pPr>
              <w:spacing w:before="0" w:after="0"/>
              <w:jc w:val="center"/>
              <w:rPr>
                <w:rFonts w:eastAsia="Times New Roman"/>
                <w:noProof/>
                <w:color w:val="000000"/>
                <w:sz w:val="16"/>
                <w:szCs w:val="16"/>
              </w:rPr>
            </w:pPr>
            <w:r w:rsidRPr="00557C2A">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052B1045" w14:textId="77777777" w:rsidR="0051718E" w:rsidRPr="00557C2A" w:rsidRDefault="0051718E">
            <w:pPr>
              <w:spacing w:before="0" w:after="0"/>
              <w:jc w:val="center"/>
              <w:rPr>
                <w:rFonts w:eastAsia="Times New Roman"/>
                <w:noProof/>
                <w:color w:val="000000"/>
                <w:sz w:val="16"/>
                <w:szCs w:val="16"/>
              </w:rPr>
            </w:pPr>
            <w:r w:rsidRPr="00557C2A">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601BDD2A" w14:textId="77777777" w:rsidR="0051718E" w:rsidRPr="00557C2A" w:rsidRDefault="0051718E">
            <w:pPr>
              <w:spacing w:before="0" w:after="0"/>
              <w:jc w:val="center"/>
              <w:rPr>
                <w:rFonts w:eastAsia="Times New Roman"/>
                <w:noProof/>
                <w:color w:val="000000"/>
                <w:sz w:val="16"/>
                <w:szCs w:val="16"/>
              </w:rPr>
            </w:pPr>
            <w:r w:rsidRPr="00557C2A">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280073A5" w14:textId="77777777" w:rsidR="0051718E" w:rsidRPr="00557C2A" w:rsidRDefault="0051718E">
            <w:pPr>
              <w:spacing w:before="0" w:after="0"/>
              <w:jc w:val="center"/>
              <w:rPr>
                <w:rFonts w:eastAsia="Times New Roman"/>
                <w:noProof/>
                <w:color w:val="000000"/>
                <w:sz w:val="16"/>
                <w:szCs w:val="16"/>
              </w:rPr>
            </w:pPr>
            <w:r w:rsidRPr="00557C2A">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34613D2F" w14:textId="77777777" w:rsidR="0051718E" w:rsidRPr="00557C2A" w:rsidRDefault="0051718E">
            <w:pPr>
              <w:spacing w:before="0" w:after="0"/>
              <w:jc w:val="center"/>
              <w:rPr>
                <w:rFonts w:eastAsia="Times New Roman"/>
                <w:noProof/>
                <w:color w:val="000000"/>
                <w:sz w:val="16"/>
                <w:szCs w:val="16"/>
              </w:rPr>
            </w:pPr>
            <w:r w:rsidRPr="00557C2A">
              <w:rPr>
                <w:noProof/>
                <w:color w:val="000000"/>
                <w:sz w:val="16"/>
              </w:rPr>
              <w:t>0</w:t>
            </w:r>
          </w:p>
        </w:tc>
      </w:tr>
      <w:tr w:rsidR="0051718E" w:rsidRPr="00557C2A" w14:paraId="24430972" w14:textId="77777777" w:rsidTr="00B37C03">
        <w:trPr>
          <w:trHeight w:val="30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14:paraId="52DD1918" w14:textId="77777777" w:rsidR="0051718E" w:rsidRPr="00557C2A" w:rsidRDefault="0051718E">
            <w:pPr>
              <w:spacing w:before="0" w:after="0"/>
              <w:ind w:firstLineChars="100" w:firstLine="160"/>
              <w:jc w:val="left"/>
              <w:rPr>
                <w:rFonts w:eastAsia="Times New Roman"/>
                <w:b/>
                <w:bCs/>
                <w:noProof/>
                <w:color w:val="000000"/>
                <w:sz w:val="16"/>
                <w:szCs w:val="16"/>
              </w:rPr>
            </w:pPr>
            <w:r w:rsidRPr="00557C2A">
              <w:rPr>
                <w:b/>
                <w:noProof/>
                <w:color w:val="000000"/>
                <w:sz w:val="16"/>
              </w:rPr>
              <w:t>TOTAAL</w:t>
            </w:r>
          </w:p>
        </w:tc>
        <w:tc>
          <w:tcPr>
            <w:tcW w:w="519" w:type="pct"/>
            <w:tcBorders>
              <w:top w:val="nil"/>
              <w:left w:val="nil"/>
              <w:bottom w:val="single" w:sz="8" w:space="0" w:color="auto"/>
              <w:right w:val="single" w:sz="8" w:space="0" w:color="auto"/>
            </w:tcBorders>
            <w:shd w:val="clear" w:color="000000" w:fill="D9D9D9"/>
            <w:vAlign w:val="center"/>
            <w:hideMark/>
          </w:tcPr>
          <w:p w14:paraId="0718816B" w14:textId="77777777" w:rsidR="0051718E" w:rsidRPr="00557C2A" w:rsidRDefault="0051718E">
            <w:pPr>
              <w:spacing w:before="0" w:after="0"/>
              <w:jc w:val="center"/>
              <w:rPr>
                <w:rFonts w:eastAsia="Times New Roman"/>
                <w:b/>
                <w:bCs/>
                <w:noProof/>
                <w:color w:val="000000"/>
                <w:sz w:val="16"/>
                <w:szCs w:val="16"/>
              </w:rPr>
            </w:pPr>
            <w:r w:rsidRPr="00557C2A">
              <w:rPr>
                <w:b/>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5229953A" w14:textId="77777777" w:rsidR="0051718E" w:rsidRPr="00557C2A" w:rsidRDefault="0051718E">
            <w:pPr>
              <w:spacing w:before="0" w:after="0"/>
              <w:jc w:val="center"/>
              <w:rPr>
                <w:rFonts w:eastAsia="Times New Roman"/>
                <w:b/>
                <w:bCs/>
                <w:noProof/>
                <w:color w:val="000000"/>
                <w:sz w:val="16"/>
                <w:szCs w:val="16"/>
              </w:rPr>
            </w:pPr>
            <w:r w:rsidRPr="00557C2A">
              <w:rPr>
                <w:b/>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204EA41E" w14:textId="77777777" w:rsidR="0051718E" w:rsidRPr="00557C2A" w:rsidRDefault="0051718E">
            <w:pPr>
              <w:spacing w:before="0" w:after="0"/>
              <w:jc w:val="center"/>
              <w:rPr>
                <w:rFonts w:eastAsia="Times New Roman"/>
                <w:b/>
                <w:bCs/>
                <w:noProof/>
                <w:color w:val="000000"/>
                <w:sz w:val="16"/>
                <w:szCs w:val="16"/>
              </w:rPr>
            </w:pPr>
            <w:r w:rsidRPr="00557C2A">
              <w:rPr>
                <w:b/>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03FAE8C5" w14:textId="77777777" w:rsidR="0051718E" w:rsidRPr="00557C2A" w:rsidRDefault="0051718E">
            <w:pPr>
              <w:spacing w:before="0" w:after="0"/>
              <w:jc w:val="center"/>
              <w:rPr>
                <w:rFonts w:eastAsia="Times New Roman"/>
                <w:b/>
                <w:bCs/>
                <w:noProof/>
                <w:color w:val="000000"/>
                <w:sz w:val="16"/>
                <w:szCs w:val="16"/>
              </w:rPr>
            </w:pPr>
            <w:r w:rsidRPr="00557C2A">
              <w:rPr>
                <w:b/>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4BC08730" w14:textId="77777777" w:rsidR="0051718E" w:rsidRPr="00557C2A" w:rsidRDefault="0051718E">
            <w:pPr>
              <w:spacing w:before="0" w:after="0"/>
              <w:jc w:val="center"/>
              <w:rPr>
                <w:rFonts w:eastAsia="Times New Roman"/>
                <w:b/>
                <w:bCs/>
                <w:noProof/>
                <w:color w:val="000000"/>
                <w:sz w:val="16"/>
                <w:szCs w:val="16"/>
              </w:rPr>
            </w:pPr>
            <w:r w:rsidRPr="00557C2A">
              <w:rPr>
                <w:b/>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340F0A10" w14:textId="77777777" w:rsidR="0051718E" w:rsidRPr="00557C2A" w:rsidRDefault="0051718E">
            <w:pPr>
              <w:spacing w:before="0" w:after="0"/>
              <w:jc w:val="center"/>
              <w:rPr>
                <w:rFonts w:eastAsia="Times New Roman"/>
                <w:b/>
                <w:bCs/>
                <w:noProof/>
                <w:color w:val="000000"/>
                <w:sz w:val="16"/>
                <w:szCs w:val="16"/>
              </w:rPr>
            </w:pPr>
            <w:r w:rsidRPr="00557C2A">
              <w:rPr>
                <w:b/>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4001E88C" w14:textId="77777777" w:rsidR="0051718E" w:rsidRPr="00557C2A" w:rsidRDefault="0051718E">
            <w:pPr>
              <w:spacing w:before="0" w:after="0"/>
              <w:jc w:val="center"/>
              <w:rPr>
                <w:rFonts w:eastAsia="Times New Roman"/>
                <w:b/>
                <w:bCs/>
                <w:noProof/>
                <w:color w:val="000000"/>
                <w:sz w:val="16"/>
                <w:szCs w:val="16"/>
              </w:rPr>
            </w:pPr>
            <w:r w:rsidRPr="00557C2A">
              <w:rPr>
                <w:b/>
                <w:noProof/>
                <w:color w:val="000000"/>
                <w:sz w:val="16"/>
              </w:rPr>
              <w:t>0</w:t>
            </w:r>
          </w:p>
        </w:tc>
      </w:tr>
    </w:tbl>
    <w:p w14:paraId="0E92EE85" w14:textId="77777777" w:rsidR="0051718E" w:rsidRPr="00557C2A" w:rsidRDefault="0051718E" w:rsidP="0051718E">
      <w:pPr>
        <w:pStyle w:val="Text1"/>
        <w:ind w:left="-426"/>
        <w:rPr>
          <w:noProof/>
          <w:color w:val="000000" w:themeColor="text1"/>
        </w:rPr>
      </w:pPr>
      <w:bookmarkStart w:id="163" w:name="_Hlk167692843"/>
      <w:bookmarkEnd w:id="162"/>
      <w:r w:rsidRPr="00557C2A">
        <w:rPr>
          <w:noProof/>
          <w:color w:val="000000" w:themeColor="text1"/>
        </w:rPr>
        <w:t xml:space="preserve">Aantal personeelsleden dat nodig is voor de uitvoering van het voorstel (in vte’s): </w:t>
      </w:r>
    </w:p>
    <w:tbl>
      <w:tblPr>
        <w:tblStyle w:val="TableGrid"/>
        <w:tblW w:w="9487" w:type="dxa"/>
        <w:tblInd w:w="-426" w:type="dxa"/>
        <w:tblLook w:val="04A0" w:firstRow="1" w:lastRow="0" w:firstColumn="1" w:lastColumn="0" w:noHBand="0" w:noVBand="1"/>
      </w:tblPr>
      <w:tblGrid>
        <w:gridCol w:w="2477"/>
        <w:gridCol w:w="1820"/>
        <w:gridCol w:w="1753"/>
        <w:gridCol w:w="1762"/>
        <w:gridCol w:w="1675"/>
      </w:tblGrid>
      <w:tr w:rsidR="0051718E" w:rsidRPr="00557C2A" w14:paraId="3ADC5E08" w14:textId="77777777">
        <w:trPr>
          <w:trHeight w:val="300"/>
        </w:trPr>
        <w:tc>
          <w:tcPr>
            <w:tcW w:w="1845" w:type="dxa"/>
          </w:tcPr>
          <w:p w14:paraId="35D51EFC" w14:textId="77777777" w:rsidR="0051718E" w:rsidRPr="00557C2A" w:rsidRDefault="0051718E">
            <w:pPr>
              <w:pStyle w:val="Text1"/>
              <w:ind w:left="0"/>
              <w:jc w:val="center"/>
              <w:rPr>
                <w:b/>
                <w:bCs/>
                <w:noProof/>
                <w:sz w:val="22"/>
                <w:szCs w:val="28"/>
              </w:rPr>
            </w:pPr>
          </w:p>
        </w:tc>
        <w:tc>
          <w:tcPr>
            <w:tcW w:w="2031" w:type="dxa"/>
          </w:tcPr>
          <w:p w14:paraId="4C128C01" w14:textId="77777777" w:rsidR="0051718E" w:rsidRPr="00557C2A" w:rsidRDefault="0051718E">
            <w:pPr>
              <w:pStyle w:val="Text1"/>
              <w:ind w:left="0"/>
              <w:jc w:val="center"/>
              <w:rPr>
                <w:b/>
                <w:bCs/>
                <w:noProof/>
                <w:sz w:val="22"/>
              </w:rPr>
            </w:pPr>
            <w:r w:rsidRPr="00557C2A">
              <w:rPr>
                <w:b/>
                <w:noProof/>
                <w:sz w:val="22"/>
              </w:rPr>
              <w:t xml:space="preserve">Uit te voeren door bestaand personeel van de diensten van de Commissie </w:t>
            </w:r>
          </w:p>
        </w:tc>
        <w:tc>
          <w:tcPr>
            <w:tcW w:w="5611" w:type="dxa"/>
            <w:gridSpan w:val="3"/>
          </w:tcPr>
          <w:p w14:paraId="7E91CFC3" w14:textId="77777777" w:rsidR="0051718E" w:rsidRPr="00557C2A" w:rsidRDefault="0051718E">
            <w:pPr>
              <w:pStyle w:val="Text1"/>
              <w:ind w:left="0"/>
              <w:jc w:val="center"/>
              <w:rPr>
                <w:b/>
                <w:bCs/>
                <w:noProof/>
                <w:sz w:val="22"/>
              </w:rPr>
            </w:pPr>
            <w:r w:rsidRPr="00557C2A">
              <w:rPr>
                <w:b/>
                <w:noProof/>
                <w:sz w:val="22"/>
              </w:rPr>
              <w:t>Uitzonderlijk aanvullend personeel*</w:t>
            </w:r>
          </w:p>
        </w:tc>
      </w:tr>
      <w:tr w:rsidR="0051718E" w:rsidRPr="00557C2A" w14:paraId="00B12871" w14:textId="77777777">
        <w:trPr>
          <w:trHeight w:val="300"/>
        </w:trPr>
        <w:tc>
          <w:tcPr>
            <w:tcW w:w="1845" w:type="dxa"/>
          </w:tcPr>
          <w:p w14:paraId="33102BDA" w14:textId="77777777" w:rsidR="0051718E" w:rsidRPr="00557C2A" w:rsidRDefault="0051718E">
            <w:pPr>
              <w:pStyle w:val="Text1"/>
              <w:ind w:left="0"/>
              <w:jc w:val="center"/>
              <w:rPr>
                <w:b/>
                <w:bCs/>
                <w:noProof/>
                <w:sz w:val="22"/>
                <w:szCs w:val="28"/>
              </w:rPr>
            </w:pPr>
          </w:p>
        </w:tc>
        <w:tc>
          <w:tcPr>
            <w:tcW w:w="2031" w:type="dxa"/>
          </w:tcPr>
          <w:p w14:paraId="0E6F26F6" w14:textId="77777777" w:rsidR="0051718E" w:rsidRPr="00557C2A" w:rsidRDefault="0051718E">
            <w:pPr>
              <w:pStyle w:val="Text1"/>
              <w:ind w:left="0"/>
              <w:jc w:val="center"/>
              <w:rPr>
                <w:b/>
                <w:bCs/>
                <w:noProof/>
                <w:sz w:val="22"/>
                <w:szCs w:val="28"/>
              </w:rPr>
            </w:pPr>
          </w:p>
        </w:tc>
        <w:tc>
          <w:tcPr>
            <w:tcW w:w="1925" w:type="dxa"/>
          </w:tcPr>
          <w:p w14:paraId="593659E5" w14:textId="77777777" w:rsidR="0051718E" w:rsidRPr="00557C2A" w:rsidRDefault="0051718E">
            <w:pPr>
              <w:pStyle w:val="Text1"/>
              <w:ind w:left="0"/>
              <w:jc w:val="center"/>
              <w:rPr>
                <w:b/>
                <w:bCs/>
                <w:noProof/>
                <w:sz w:val="22"/>
              </w:rPr>
            </w:pPr>
            <w:r w:rsidRPr="00557C2A">
              <w:rPr>
                <w:b/>
                <w:noProof/>
                <w:sz w:val="22"/>
              </w:rPr>
              <w:t>Te financieren uit rubriek 4 of onderzoek</w:t>
            </w:r>
          </w:p>
        </w:tc>
        <w:tc>
          <w:tcPr>
            <w:tcW w:w="1938" w:type="dxa"/>
          </w:tcPr>
          <w:p w14:paraId="15239EAE" w14:textId="77777777" w:rsidR="0051718E" w:rsidRPr="00557C2A" w:rsidRDefault="0051718E">
            <w:pPr>
              <w:pStyle w:val="Text1"/>
              <w:ind w:left="0"/>
              <w:jc w:val="center"/>
              <w:rPr>
                <w:b/>
                <w:bCs/>
                <w:noProof/>
                <w:sz w:val="22"/>
                <w:szCs w:val="28"/>
              </w:rPr>
            </w:pPr>
            <w:r w:rsidRPr="00557C2A">
              <w:rPr>
                <w:b/>
                <w:noProof/>
                <w:sz w:val="22"/>
              </w:rPr>
              <w:t>Te financieren uit BA-onderdeel</w:t>
            </w:r>
          </w:p>
        </w:tc>
        <w:tc>
          <w:tcPr>
            <w:tcW w:w="1748" w:type="dxa"/>
          </w:tcPr>
          <w:p w14:paraId="128B2FB0" w14:textId="77777777" w:rsidR="0051718E" w:rsidRPr="00557C2A" w:rsidRDefault="0051718E">
            <w:pPr>
              <w:pStyle w:val="Text1"/>
              <w:ind w:left="0"/>
              <w:jc w:val="center"/>
              <w:rPr>
                <w:b/>
                <w:bCs/>
                <w:noProof/>
                <w:sz w:val="22"/>
                <w:szCs w:val="28"/>
              </w:rPr>
            </w:pPr>
            <w:r w:rsidRPr="00557C2A">
              <w:rPr>
                <w:b/>
                <w:noProof/>
                <w:sz w:val="22"/>
              </w:rPr>
              <w:t>Te financieren uit vergoedingen</w:t>
            </w:r>
          </w:p>
        </w:tc>
      </w:tr>
      <w:tr w:rsidR="0051718E" w:rsidRPr="00557C2A" w14:paraId="4ED8D3F5" w14:textId="77777777">
        <w:trPr>
          <w:trHeight w:val="300"/>
        </w:trPr>
        <w:tc>
          <w:tcPr>
            <w:tcW w:w="1845" w:type="dxa"/>
          </w:tcPr>
          <w:p w14:paraId="27691EB1" w14:textId="77777777" w:rsidR="0051718E" w:rsidRPr="00557C2A" w:rsidRDefault="0051718E">
            <w:pPr>
              <w:pStyle w:val="Text1"/>
              <w:ind w:left="0"/>
              <w:rPr>
                <w:noProof/>
                <w:sz w:val="22"/>
                <w:szCs w:val="28"/>
              </w:rPr>
            </w:pPr>
            <w:r w:rsidRPr="00557C2A">
              <w:rPr>
                <w:noProof/>
                <w:sz w:val="22"/>
              </w:rPr>
              <w:t>Personeelsformatieposten</w:t>
            </w:r>
          </w:p>
        </w:tc>
        <w:tc>
          <w:tcPr>
            <w:tcW w:w="2031" w:type="dxa"/>
          </w:tcPr>
          <w:p w14:paraId="06CB2327" w14:textId="77777777" w:rsidR="0051718E" w:rsidRPr="00557C2A" w:rsidRDefault="0051718E">
            <w:pPr>
              <w:pStyle w:val="Text1"/>
              <w:ind w:left="0"/>
              <w:rPr>
                <w:noProof/>
                <w:sz w:val="22"/>
                <w:szCs w:val="28"/>
              </w:rPr>
            </w:pPr>
          </w:p>
        </w:tc>
        <w:tc>
          <w:tcPr>
            <w:tcW w:w="1925" w:type="dxa"/>
          </w:tcPr>
          <w:p w14:paraId="3A104CA6" w14:textId="77777777" w:rsidR="0051718E" w:rsidRPr="00557C2A" w:rsidRDefault="0051718E">
            <w:pPr>
              <w:pStyle w:val="Text1"/>
              <w:ind w:left="0"/>
              <w:rPr>
                <w:noProof/>
                <w:sz w:val="22"/>
                <w:szCs w:val="28"/>
              </w:rPr>
            </w:pPr>
          </w:p>
        </w:tc>
        <w:tc>
          <w:tcPr>
            <w:tcW w:w="1938" w:type="dxa"/>
          </w:tcPr>
          <w:p w14:paraId="1E59445A" w14:textId="77777777" w:rsidR="0051718E" w:rsidRPr="00557C2A" w:rsidRDefault="0051718E">
            <w:pPr>
              <w:pStyle w:val="Text1"/>
              <w:ind w:left="0"/>
              <w:rPr>
                <w:noProof/>
                <w:sz w:val="22"/>
                <w:szCs w:val="28"/>
              </w:rPr>
            </w:pPr>
            <w:r w:rsidRPr="00557C2A">
              <w:rPr>
                <w:noProof/>
                <w:sz w:val="22"/>
              </w:rPr>
              <w:t>n.v.t.</w:t>
            </w:r>
          </w:p>
        </w:tc>
        <w:tc>
          <w:tcPr>
            <w:tcW w:w="1748" w:type="dxa"/>
          </w:tcPr>
          <w:p w14:paraId="619FE9CA" w14:textId="77777777" w:rsidR="0051718E" w:rsidRPr="00557C2A" w:rsidRDefault="0051718E">
            <w:pPr>
              <w:pStyle w:val="Text1"/>
              <w:ind w:left="0"/>
              <w:rPr>
                <w:noProof/>
                <w:sz w:val="22"/>
                <w:szCs w:val="28"/>
              </w:rPr>
            </w:pPr>
          </w:p>
        </w:tc>
      </w:tr>
      <w:tr w:rsidR="0051718E" w:rsidRPr="00557C2A" w14:paraId="565B7273" w14:textId="77777777">
        <w:trPr>
          <w:trHeight w:val="300"/>
        </w:trPr>
        <w:tc>
          <w:tcPr>
            <w:tcW w:w="1845" w:type="dxa"/>
          </w:tcPr>
          <w:p w14:paraId="6F483538" w14:textId="77777777" w:rsidR="0051718E" w:rsidRPr="00557C2A" w:rsidRDefault="0051718E">
            <w:pPr>
              <w:pStyle w:val="Text1"/>
              <w:ind w:left="0"/>
              <w:rPr>
                <w:noProof/>
                <w:sz w:val="22"/>
                <w:szCs w:val="28"/>
              </w:rPr>
            </w:pPr>
            <w:r w:rsidRPr="00557C2A">
              <w:rPr>
                <w:noProof/>
                <w:sz w:val="22"/>
              </w:rPr>
              <w:t>Extern personeel (AC, END, INT)</w:t>
            </w:r>
          </w:p>
        </w:tc>
        <w:tc>
          <w:tcPr>
            <w:tcW w:w="2031" w:type="dxa"/>
          </w:tcPr>
          <w:p w14:paraId="402E8FAB" w14:textId="77777777" w:rsidR="0051718E" w:rsidRPr="00557C2A" w:rsidRDefault="0051718E">
            <w:pPr>
              <w:pStyle w:val="Text1"/>
              <w:ind w:left="0"/>
              <w:rPr>
                <w:noProof/>
                <w:sz w:val="22"/>
                <w:szCs w:val="28"/>
              </w:rPr>
            </w:pPr>
          </w:p>
        </w:tc>
        <w:tc>
          <w:tcPr>
            <w:tcW w:w="1925" w:type="dxa"/>
          </w:tcPr>
          <w:p w14:paraId="554A635E" w14:textId="77777777" w:rsidR="0051718E" w:rsidRPr="00557C2A" w:rsidRDefault="0051718E">
            <w:pPr>
              <w:pStyle w:val="Text1"/>
              <w:ind w:left="0"/>
              <w:rPr>
                <w:noProof/>
                <w:sz w:val="22"/>
                <w:szCs w:val="28"/>
              </w:rPr>
            </w:pPr>
          </w:p>
        </w:tc>
        <w:tc>
          <w:tcPr>
            <w:tcW w:w="1938" w:type="dxa"/>
          </w:tcPr>
          <w:p w14:paraId="21D2FB98" w14:textId="77777777" w:rsidR="0051718E" w:rsidRPr="00557C2A" w:rsidRDefault="0051718E">
            <w:pPr>
              <w:pStyle w:val="Text1"/>
              <w:ind w:left="0"/>
              <w:rPr>
                <w:noProof/>
                <w:sz w:val="22"/>
                <w:szCs w:val="28"/>
              </w:rPr>
            </w:pPr>
          </w:p>
        </w:tc>
        <w:tc>
          <w:tcPr>
            <w:tcW w:w="1748" w:type="dxa"/>
          </w:tcPr>
          <w:p w14:paraId="360AC605" w14:textId="77777777" w:rsidR="0051718E" w:rsidRPr="00557C2A" w:rsidRDefault="0051718E">
            <w:pPr>
              <w:pStyle w:val="Text1"/>
              <w:ind w:left="0"/>
              <w:rPr>
                <w:noProof/>
                <w:sz w:val="22"/>
                <w:szCs w:val="28"/>
              </w:rPr>
            </w:pPr>
          </w:p>
        </w:tc>
      </w:tr>
    </w:tbl>
    <w:p w14:paraId="4D5A08B9" w14:textId="77777777" w:rsidR="0051718E" w:rsidRPr="00557C2A" w:rsidRDefault="0051718E" w:rsidP="0051718E">
      <w:pPr>
        <w:pStyle w:val="Text1"/>
        <w:ind w:left="-426" w:right="-427"/>
        <w:rPr>
          <w:noProof/>
        </w:rPr>
      </w:pPr>
      <w:r w:rsidRPr="00557C2A">
        <w:rPr>
          <w:noProof/>
        </w:rPr>
        <w:t>Beschrijving van de uit te voeren taken door:</w:t>
      </w:r>
    </w:p>
    <w:tbl>
      <w:tblPr>
        <w:tblW w:w="10440" w:type="dxa"/>
        <w:tblInd w:w="-43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3240"/>
        <w:gridCol w:w="7200"/>
      </w:tblGrid>
      <w:tr w:rsidR="0051718E" w:rsidRPr="00557C2A" w14:paraId="5ADBF503" w14:textId="77777777">
        <w:tc>
          <w:tcPr>
            <w:tcW w:w="3240" w:type="dxa"/>
          </w:tcPr>
          <w:p w14:paraId="120D7880" w14:textId="77777777" w:rsidR="0051718E" w:rsidRPr="00557C2A" w:rsidRDefault="0051718E">
            <w:pPr>
              <w:rPr>
                <w:noProof/>
                <w:sz w:val="20"/>
              </w:rPr>
            </w:pPr>
            <w:r w:rsidRPr="00557C2A">
              <w:rPr>
                <w:noProof/>
                <w:sz w:val="20"/>
              </w:rPr>
              <w:t>Ambtenaren en tijdelijk personeel</w:t>
            </w:r>
          </w:p>
        </w:tc>
        <w:tc>
          <w:tcPr>
            <w:tcW w:w="7200" w:type="dxa"/>
          </w:tcPr>
          <w:p w14:paraId="29D4916E" w14:textId="77777777" w:rsidR="0051718E" w:rsidRPr="00557C2A" w:rsidRDefault="0051718E">
            <w:pPr>
              <w:rPr>
                <w:noProof/>
                <w:sz w:val="20"/>
              </w:rPr>
            </w:pPr>
          </w:p>
        </w:tc>
      </w:tr>
      <w:tr w:rsidR="0051718E" w:rsidRPr="00557C2A" w14:paraId="0AC6CC4C" w14:textId="77777777">
        <w:tc>
          <w:tcPr>
            <w:tcW w:w="3240" w:type="dxa"/>
          </w:tcPr>
          <w:p w14:paraId="43535BF1" w14:textId="77777777" w:rsidR="0051718E" w:rsidRPr="00557C2A" w:rsidRDefault="0051718E">
            <w:pPr>
              <w:spacing w:before="60" w:after="60"/>
              <w:rPr>
                <w:noProof/>
                <w:sz w:val="20"/>
              </w:rPr>
            </w:pPr>
            <w:r w:rsidRPr="00557C2A">
              <w:rPr>
                <w:noProof/>
                <w:sz w:val="20"/>
              </w:rPr>
              <w:t>Extern personeel</w:t>
            </w:r>
          </w:p>
        </w:tc>
        <w:tc>
          <w:tcPr>
            <w:tcW w:w="7200" w:type="dxa"/>
          </w:tcPr>
          <w:p w14:paraId="6FFAFCF2" w14:textId="77777777" w:rsidR="0051718E" w:rsidRPr="00557C2A" w:rsidRDefault="0051718E">
            <w:pPr>
              <w:rPr>
                <w:noProof/>
                <w:sz w:val="20"/>
              </w:rPr>
            </w:pPr>
          </w:p>
        </w:tc>
      </w:tr>
    </w:tbl>
    <w:p w14:paraId="0798472B" w14:textId="77777777" w:rsidR="0051718E" w:rsidRPr="00557C2A" w:rsidRDefault="0051718E" w:rsidP="0051718E">
      <w:pPr>
        <w:pStyle w:val="ManualHeading3"/>
        <w:rPr>
          <w:noProof/>
        </w:rPr>
      </w:pPr>
      <w:bookmarkStart w:id="164" w:name="_Toc177549031"/>
      <w:r w:rsidRPr="00557C2A">
        <w:rPr>
          <w:noProof/>
        </w:rPr>
        <w:t>3.2.5.</w:t>
      </w:r>
      <w:r w:rsidRPr="00557C2A">
        <w:rPr>
          <w:noProof/>
        </w:rPr>
        <w:tab/>
        <w:t>Overzicht van het geschatte effect op investeringen die met digitale technologie samenhangen</w:t>
      </w:r>
      <w:bookmarkEnd w:id="164"/>
    </w:p>
    <w:p w14:paraId="77EF0200" w14:textId="77777777" w:rsidR="0051718E" w:rsidRPr="00557C2A" w:rsidRDefault="0051718E" w:rsidP="0051718E">
      <w:pPr>
        <w:pStyle w:val="Text1"/>
        <w:spacing w:line="259" w:lineRule="auto"/>
        <w:rPr>
          <w:noProof/>
        </w:rPr>
      </w:pPr>
      <w:r w:rsidRPr="00557C2A">
        <w:rPr>
          <w:noProof/>
        </w:rPr>
        <w:t xml:space="preserve">Verplicht: in onderstaande tabel moet de beste schatting worden gegeven van de met digitale technologie samenhangende investeringen die uit het voorstel/initiatief voortvloeien. </w:t>
      </w:r>
    </w:p>
    <w:p w14:paraId="272CC1D9" w14:textId="77777777" w:rsidR="0051718E" w:rsidRPr="00557C2A" w:rsidRDefault="0051718E" w:rsidP="0051718E">
      <w:pPr>
        <w:pStyle w:val="Text1"/>
        <w:spacing w:line="259" w:lineRule="auto"/>
        <w:rPr>
          <w:noProof/>
        </w:rPr>
      </w:pPr>
      <w:r w:rsidRPr="00557C2A">
        <w:rPr>
          <w:noProof/>
        </w:rPr>
        <w:t xml:space="preserve">De kredieten onder rubriek 4 moeten in uitzonderlijke gevallen in het desbetreffende onderdeel worden opgenomen, indien vereist voor de uitvoering van het voorstel/initiatief. </w:t>
      </w:r>
    </w:p>
    <w:p w14:paraId="7B156171" w14:textId="77777777" w:rsidR="0051718E" w:rsidRPr="00557C2A" w:rsidRDefault="0051718E" w:rsidP="0051718E">
      <w:pPr>
        <w:pStyle w:val="Text1"/>
        <w:spacing w:line="259" w:lineRule="auto"/>
        <w:rPr>
          <w:noProof/>
        </w:rPr>
      </w:pPr>
      <w:r w:rsidRPr="00557C2A">
        <w:rPr>
          <w:noProof/>
        </w:rPr>
        <w:t>De kredieten onder de rubrieken 1 t/m 3 moeten worden weergegeven als “IT-beleidsuitgaven inzake operationele programma’s”. Deze uitgaven betreffen het operationele budget dat gebruikt moet worden voor hergebruik, koop of ontwikkeling van IT-platforms of tools die rechtstreeks verband houden met de uitvoering van het initiatief, alsook daarmee verband houdende investeringen (bv. licenties, studies, gegevensopslag enz.). De in deze tabel vermelde informatie moet in overeenstemming zijn met de gegevens in deel 4, “Digitale dimensies”.</w:t>
      </w:r>
    </w:p>
    <w:tbl>
      <w:tblPr>
        <w:tblW w:w="5000" w:type="pct"/>
        <w:tblLook w:val="04A0" w:firstRow="1" w:lastRow="0" w:firstColumn="1" w:lastColumn="0" w:noHBand="0" w:noVBand="1"/>
      </w:tblPr>
      <w:tblGrid>
        <w:gridCol w:w="1472"/>
        <w:gridCol w:w="974"/>
        <w:gridCol w:w="974"/>
        <w:gridCol w:w="972"/>
        <w:gridCol w:w="973"/>
        <w:gridCol w:w="973"/>
        <w:gridCol w:w="973"/>
        <w:gridCol w:w="973"/>
        <w:gridCol w:w="1005"/>
      </w:tblGrid>
      <w:tr w:rsidR="0051718E" w:rsidRPr="00557C2A" w14:paraId="44B58B71" w14:textId="77777777" w:rsidTr="00B37C03">
        <w:trPr>
          <w:trHeight w:val="650"/>
        </w:trPr>
        <w:tc>
          <w:tcPr>
            <w:tcW w:w="792" w:type="pct"/>
            <w:vMerge w:val="restart"/>
            <w:tcBorders>
              <w:top w:val="single" w:sz="8" w:space="0" w:color="auto"/>
              <w:left w:val="single" w:sz="8" w:space="0" w:color="auto"/>
              <w:bottom w:val="nil"/>
              <w:right w:val="single" w:sz="8" w:space="0" w:color="auto"/>
            </w:tcBorders>
            <w:vAlign w:val="center"/>
            <w:hideMark/>
          </w:tcPr>
          <w:p w14:paraId="7E48346B" w14:textId="77777777" w:rsidR="0051718E" w:rsidRPr="00557C2A" w:rsidRDefault="0051718E">
            <w:pPr>
              <w:spacing w:before="0" w:after="0"/>
              <w:jc w:val="center"/>
              <w:rPr>
                <w:rFonts w:eastAsia="Times New Roman"/>
                <w:b/>
                <w:bCs/>
                <w:noProof/>
                <w:color w:val="000000"/>
                <w:sz w:val="18"/>
                <w:szCs w:val="18"/>
              </w:rPr>
            </w:pPr>
            <w:bookmarkStart w:id="165" w:name="_Toc514938056"/>
            <w:bookmarkStart w:id="166" w:name="_Toc520485055"/>
            <w:bookmarkStart w:id="167" w:name="_Toc160804599"/>
            <w:bookmarkStart w:id="168" w:name="_Toc167220298"/>
            <w:bookmarkStart w:id="169" w:name="_Toc177549032"/>
            <w:bookmarkEnd w:id="163"/>
            <w:r w:rsidRPr="00557C2A">
              <w:rPr>
                <w:b/>
                <w:noProof/>
                <w:color w:val="000000" w:themeColor="text1"/>
                <w:sz w:val="18"/>
              </w:rPr>
              <w:t>TOTAAL Digitale en IT-kredieten</w:t>
            </w:r>
          </w:p>
        </w:tc>
        <w:tc>
          <w:tcPr>
            <w:tcW w:w="524" w:type="pct"/>
            <w:tcBorders>
              <w:top w:val="single" w:sz="8" w:space="0" w:color="auto"/>
              <w:left w:val="nil"/>
              <w:bottom w:val="nil"/>
              <w:right w:val="single" w:sz="8" w:space="0" w:color="auto"/>
            </w:tcBorders>
            <w:vAlign w:val="center"/>
            <w:hideMark/>
          </w:tcPr>
          <w:p w14:paraId="330FDD31" w14:textId="77777777" w:rsidR="0051718E" w:rsidRPr="00557C2A" w:rsidRDefault="0051718E">
            <w:pPr>
              <w:spacing w:before="0" w:after="0"/>
              <w:jc w:val="center"/>
              <w:rPr>
                <w:rFonts w:eastAsia="Times New Roman"/>
                <w:noProof/>
                <w:color w:val="000000"/>
                <w:sz w:val="18"/>
                <w:szCs w:val="18"/>
              </w:rPr>
            </w:pPr>
            <w:r w:rsidRPr="00557C2A">
              <w:rPr>
                <w:noProof/>
                <w:color w:val="000000" w:themeColor="text1"/>
                <w:sz w:val="18"/>
              </w:rPr>
              <w:t>Jaar</w:t>
            </w:r>
          </w:p>
        </w:tc>
        <w:tc>
          <w:tcPr>
            <w:tcW w:w="524" w:type="pct"/>
            <w:tcBorders>
              <w:top w:val="single" w:sz="8" w:space="0" w:color="auto"/>
              <w:left w:val="nil"/>
              <w:bottom w:val="nil"/>
              <w:right w:val="single" w:sz="8" w:space="0" w:color="auto"/>
            </w:tcBorders>
            <w:vAlign w:val="center"/>
            <w:hideMark/>
          </w:tcPr>
          <w:p w14:paraId="02A55F12" w14:textId="77777777" w:rsidR="0051718E" w:rsidRPr="00557C2A" w:rsidRDefault="0051718E">
            <w:pPr>
              <w:spacing w:before="0" w:after="0"/>
              <w:jc w:val="center"/>
              <w:rPr>
                <w:rFonts w:eastAsia="Times New Roman"/>
                <w:noProof/>
                <w:color w:val="000000"/>
                <w:sz w:val="18"/>
                <w:szCs w:val="18"/>
              </w:rPr>
            </w:pPr>
            <w:r w:rsidRPr="00557C2A">
              <w:rPr>
                <w:noProof/>
                <w:color w:val="000000" w:themeColor="text1"/>
                <w:sz w:val="18"/>
              </w:rPr>
              <w:t>Jaar</w:t>
            </w:r>
          </w:p>
        </w:tc>
        <w:tc>
          <w:tcPr>
            <w:tcW w:w="523" w:type="pct"/>
            <w:tcBorders>
              <w:top w:val="single" w:sz="8" w:space="0" w:color="auto"/>
              <w:left w:val="nil"/>
              <w:bottom w:val="nil"/>
              <w:right w:val="single" w:sz="8" w:space="0" w:color="auto"/>
            </w:tcBorders>
            <w:vAlign w:val="center"/>
            <w:hideMark/>
          </w:tcPr>
          <w:p w14:paraId="1D3CE6D8" w14:textId="77777777" w:rsidR="0051718E" w:rsidRPr="00557C2A" w:rsidRDefault="0051718E">
            <w:pPr>
              <w:spacing w:before="0" w:after="0"/>
              <w:jc w:val="center"/>
              <w:rPr>
                <w:rFonts w:eastAsia="Times New Roman"/>
                <w:noProof/>
                <w:color w:val="000000"/>
                <w:sz w:val="18"/>
                <w:szCs w:val="18"/>
              </w:rPr>
            </w:pPr>
            <w:r w:rsidRPr="00557C2A">
              <w:rPr>
                <w:noProof/>
                <w:color w:val="000000" w:themeColor="text1"/>
                <w:sz w:val="18"/>
              </w:rPr>
              <w:t>Jaar</w:t>
            </w:r>
          </w:p>
        </w:tc>
        <w:tc>
          <w:tcPr>
            <w:tcW w:w="524" w:type="pct"/>
            <w:tcBorders>
              <w:top w:val="single" w:sz="8" w:space="0" w:color="auto"/>
              <w:left w:val="nil"/>
              <w:bottom w:val="nil"/>
              <w:right w:val="single" w:sz="8" w:space="0" w:color="auto"/>
            </w:tcBorders>
            <w:vAlign w:val="center"/>
            <w:hideMark/>
          </w:tcPr>
          <w:p w14:paraId="4470B3E1" w14:textId="77777777" w:rsidR="0051718E" w:rsidRPr="00557C2A" w:rsidRDefault="0051718E">
            <w:pPr>
              <w:spacing w:before="0" w:after="0"/>
              <w:jc w:val="center"/>
              <w:rPr>
                <w:rFonts w:eastAsia="Times New Roman"/>
                <w:noProof/>
                <w:color w:val="000000"/>
                <w:sz w:val="18"/>
                <w:szCs w:val="18"/>
              </w:rPr>
            </w:pPr>
            <w:r w:rsidRPr="00557C2A">
              <w:rPr>
                <w:noProof/>
                <w:color w:val="000000" w:themeColor="text1"/>
                <w:sz w:val="18"/>
              </w:rPr>
              <w:t>Jaar</w:t>
            </w:r>
          </w:p>
        </w:tc>
        <w:tc>
          <w:tcPr>
            <w:tcW w:w="524" w:type="pct"/>
            <w:tcBorders>
              <w:top w:val="single" w:sz="8" w:space="0" w:color="auto"/>
              <w:left w:val="nil"/>
              <w:bottom w:val="nil"/>
              <w:right w:val="single" w:sz="8" w:space="0" w:color="auto"/>
            </w:tcBorders>
            <w:vAlign w:val="center"/>
            <w:hideMark/>
          </w:tcPr>
          <w:p w14:paraId="32B18D30" w14:textId="77777777" w:rsidR="0051718E" w:rsidRPr="00557C2A" w:rsidRDefault="0051718E">
            <w:pPr>
              <w:spacing w:before="0" w:after="0"/>
              <w:jc w:val="center"/>
              <w:rPr>
                <w:rFonts w:eastAsia="Times New Roman"/>
                <w:noProof/>
                <w:color w:val="000000"/>
                <w:sz w:val="18"/>
                <w:szCs w:val="18"/>
              </w:rPr>
            </w:pPr>
            <w:r w:rsidRPr="00557C2A">
              <w:rPr>
                <w:noProof/>
                <w:color w:val="000000" w:themeColor="text1"/>
                <w:sz w:val="18"/>
              </w:rPr>
              <w:t>Jaar</w:t>
            </w:r>
          </w:p>
        </w:tc>
        <w:tc>
          <w:tcPr>
            <w:tcW w:w="524" w:type="pct"/>
            <w:tcBorders>
              <w:top w:val="single" w:sz="8" w:space="0" w:color="auto"/>
              <w:left w:val="nil"/>
              <w:bottom w:val="nil"/>
              <w:right w:val="single" w:sz="8" w:space="0" w:color="auto"/>
            </w:tcBorders>
            <w:vAlign w:val="center"/>
            <w:hideMark/>
          </w:tcPr>
          <w:p w14:paraId="60824B18" w14:textId="77777777" w:rsidR="0051718E" w:rsidRPr="00557C2A" w:rsidRDefault="0051718E">
            <w:pPr>
              <w:spacing w:before="0" w:after="0"/>
              <w:jc w:val="center"/>
              <w:rPr>
                <w:rFonts w:eastAsia="Times New Roman"/>
                <w:noProof/>
                <w:color w:val="000000"/>
                <w:sz w:val="18"/>
                <w:szCs w:val="18"/>
              </w:rPr>
            </w:pPr>
            <w:r w:rsidRPr="00557C2A">
              <w:rPr>
                <w:noProof/>
                <w:color w:val="000000" w:themeColor="text1"/>
                <w:sz w:val="18"/>
              </w:rPr>
              <w:t>Jaar</w:t>
            </w:r>
          </w:p>
        </w:tc>
        <w:tc>
          <w:tcPr>
            <w:tcW w:w="524" w:type="pct"/>
            <w:tcBorders>
              <w:top w:val="single" w:sz="8" w:space="0" w:color="auto"/>
              <w:left w:val="nil"/>
              <w:bottom w:val="nil"/>
              <w:right w:val="single" w:sz="8" w:space="0" w:color="auto"/>
            </w:tcBorders>
            <w:vAlign w:val="center"/>
            <w:hideMark/>
          </w:tcPr>
          <w:p w14:paraId="0187BDB3" w14:textId="77777777" w:rsidR="0051718E" w:rsidRPr="00557C2A" w:rsidRDefault="0051718E">
            <w:pPr>
              <w:spacing w:before="0" w:after="0"/>
              <w:jc w:val="center"/>
              <w:rPr>
                <w:rFonts w:eastAsia="Times New Roman"/>
                <w:noProof/>
                <w:color w:val="000000"/>
                <w:sz w:val="18"/>
                <w:szCs w:val="18"/>
              </w:rPr>
            </w:pPr>
            <w:r w:rsidRPr="00557C2A">
              <w:rPr>
                <w:noProof/>
                <w:color w:val="000000" w:themeColor="text1"/>
                <w:sz w:val="18"/>
              </w:rPr>
              <w:t>Jaar</w:t>
            </w:r>
          </w:p>
        </w:tc>
        <w:tc>
          <w:tcPr>
            <w:tcW w:w="543" w:type="pct"/>
            <w:vMerge w:val="restart"/>
            <w:tcBorders>
              <w:top w:val="single" w:sz="8" w:space="0" w:color="auto"/>
              <w:left w:val="single" w:sz="8" w:space="0" w:color="auto"/>
              <w:bottom w:val="single" w:sz="8" w:space="0" w:color="000000"/>
              <w:right w:val="single" w:sz="8" w:space="0" w:color="auto"/>
            </w:tcBorders>
            <w:vAlign w:val="center"/>
            <w:hideMark/>
          </w:tcPr>
          <w:p w14:paraId="4F8537AB" w14:textId="77777777" w:rsidR="0051718E" w:rsidRPr="00557C2A" w:rsidRDefault="0051718E">
            <w:pPr>
              <w:spacing w:before="0" w:after="0"/>
              <w:jc w:val="center"/>
              <w:rPr>
                <w:rFonts w:eastAsia="Times New Roman"/>
                <w:b/>
                <w:bCs/>
                <w:noProof/>
                <w:color w:val="000000"/>
                <w:sz w:val="18"/>
                <w:szCs w:val="18"/>
              </w:rPr>
            </w:pPr>
            <w:r w:rsidRPr="00557C2A">
              <w:rPr>
                <w:b/>
                <w:noProof/>
                <w:color w:val="000000" w:themeColor="text1"/>
                <w:sz w:val="18"/>
              </w:rPr>
              <w:t>TOTAAL MFK 2028-2034</w:t>
            </w:r>
          </w:p>
        </w:tc>
      </w:tr>
      <w:tr w:rsidR="0051718E" w:rsidRPr="00557C2A" w14:paraId="7A47E8B8" w14:textId="77777777" w:rsidTr="00B37C03">
        <w:trPr>
          <w:trHeight w:val="300"/>
        </w:trPr>
        <w:tc>
          <w:tcPr>
            <w:tcW w:w="792" w:type="pct"/>
            <w:vMerge/>
            <w:tcBorders>
              <w:top w:val="single" w:sz="8" w:space="0" w:color="auto"/>
              <w:left w:val="single" w:sz="8" w:space="0" w:color="auto"/>
              <w:bottom w:val="nil"/>
              <w:right w:val="single" w:sz="8" w:space="0" w:color="auto"/>
            </w:tcBorders>
            <w:vAlign w:val="center"/>
            <w:hideMark/>
          </w:tcPr>
          <w:p w14:paraId="03B337B6" w14:textId="77777777" w:rsidR="0051718E" w:rsidRPr="00557C2A" w:rsidRDefault="0051718E">
            <w:pPr>
              <w:spacing w:before="0" w:after="0"/>
              <w:jc w:val="left"/>
              <w:rPr>
                <w:rFonts w:eastAsia="Times New Roman"/>
                <w:b/>
                <w:bCs/>
                <w:noProof/>
                <w:color w:val="000000"/>
                <w:sz w:val="18"/>
                <w:szCs w:val="18"/>
                <w:lang w:eastAsia="en-IE"/>
              </w:rPr>
            </w:pPr>
          </w:p>
        </w:tc>
        <w:tc>
          <w:tcPr>
            <w:tcW w:w="524" w:type="pct"/>
            <w:tcBorders>
              <w:top w:val="nil"/>
              <w:left w:val="nil"/>
              <w:bottom w:val="single" w:sz="8" w:space="0" w:color="auto"/>
              <w:right w:val="single" w:sz="8" w:space="0" w:color="auto"/>
            </w:tcBorders>
            <w:vAlign w:val="center"/>
            <w:hideMark/>
          </w:tcPr>
          <w:p w14:paraId="0D6CE370" w14:textId="77777777" w:rsidR="0051718E" w:rsidRPr="00557C2A" w:rsidRDefault="0051718E">
            <w:pPr>
              <w:spacing w:before="0" w:after="0"/>
              <w:jc w:val="center"/>
              <w:rPr>
                <w:rFonts w:eastAsia="Times New Roman"/>
                <w:b/>
                <w:bCs/>
                <w:noProof/>
                <w:color w:val="000000"/>
                <w:sz w:val="18"/>
                <w:szCs w:val="18"/>
              </w:rPr>
            </w:pPr>
            <w:r w:rsidRPr="00557C2A">
              <w:rPr>
                <w:b/>
                <w:noProof/>
                <w:color w:val="000000" w:themeColor="text1"/>
                <w:sz w:val="18"/>
              </w:rPr>
              <w:t>2028</w:t>
            </w:r>
          </w:p>
        </w:tc>
        <w:tc>
          <w:tcPr>
            <w:tcW w:w="524" w:type="pct"/>
            <w:tcBorders>
              <w:top w:val="nil"/>
              <w:left w:val="nil"/>
              <w:bottom w:val="single" w:sz="8" w:space="0" w:color="auto"/>
              <w:right w:val="single" w:sz="8" w:space="0" w:color="auto"/>
            </w:tcBorders>
            <w:vAlign w:val="center"/>
            <w:hideMark/>
          </w:tcPr>
          <w:p w14:paraId="255DFA82" w14:textId="77777777" w:rsidR="0051718E" w:rsidRPr="00557C2A" w:rsidRDefault="0051718E">
            <w:pPr>
              <w:spacing w:before="0" w:after="0"/>
              <w:jc w:val="center"/>
              <w:rPr>
                <w:rFonts w:eastAsia="Times New Roman"/>
                <w:b/>
                <w:bCs/>
                <w:noProof/>
                <w:color w:val="000000"/>
                <w:sz w:val="18"/>
                <w:szCs w:val="18"/>
              </w:rPr>
            </w:pPr>
            <w:r w:rsidRPr="00557C2A">
              <w:rPr>
                <w:b/>
                <w:noProof/>
                <w:color w:val="000000" w:themeColor="text1"/>
                <w:sz w:val="18"/>
              </w:rPr>
              <w:t>2029</w:t>
            </w:r>
          </w:p>
        </w:tc>
        <w:tc>
          <w:tcPr>
            <w:tcW w:w="523" w:type="pct"/>
            <w:tcBorders>
              <w:top w:val="nil"/>
              <w:left w:val="nil"/>
              <w:bottom w:val="single" w:sz="8" w:space="0" w:color="auto"/>
              <w:right w:val="single" w:sz="8" w:space="0" w:color="auto"/>
            </w:tcBorders>
            <w:vAlign w:val="center"/>
            <w:hideMark/>
          </w:tcPr>
          <w:p w14:paraId="21601742" w14:textId="77777777" w:rsidR="0051718E" w:rsidRPr="00557C2A" w:rsidRDefault="0051718E">
            <w:pPr>
              <w:spacing w:before="0" w:after="0"/>
              <w:jc w:val="center"/>
              <w:rPr>
                <w:rFonts w:eastAsia="Times New Roman"/>
                <w:b/>
                <w:bCs/>
                <w:noProof/>
                <w:color w:val="000000"/>
                <w:sz w:val="18"/>
                <w:szCs w:val="18"/>
              </w:rPr>
            </w:pPr>
            <w:r w:rsidRPr="00557C2A">
              <w:rPr>
                <w:b/>
                <w:noProof/>
                <w:color w:val="000000" w:themeColor="text1"/>
                <w:sz w:val="18"/>
              </w:rPr>
              <w:t>2030</w:t>
            </w:r>
          </w:p>
        </w:tc>
        <w:tc>
          <w:tcPr>
            <w:tcW w:w="524" w:type="pct"/>
            <w:tcBorders>
              <w:top w:val="nil"/>
              <w:left w:val="nil"/>
              <w:bottom w:val="single" w:sz="8" w:space="0" w:color="auto"/>
              <w:right w:val="single" w:sz="8" w:space="0" w:color="auto"/>
            </w:tcBorders>
            <w:vAlign w:val="center"/>
            <w:hideMark/>
          </w:tcPr>
          <w:p w14:paraId="7E690422" w14:textId="77777777" w:rsidR="0051718E" w:rsidRPr="00557C2A" w:rsidRDefault="0051718E">
            <w:pPr>
              <w:spacing w:before="0" w:after="0"/>
              <w:jc w:val="center"/>
              <w:rPr>
                <w:rFonts w:eastAsia="Times New Roman"/>
                <w:b/>
                <w:bCs/>
                <w:noProof/>
                <w:color w:val="000000"/>
                <w:sz w:val="18"/>
                <w:szCs w:val="18"/>
              </w:rPr>
            </w:pPr>
            <w:r w:rsidRPr="00557C2A">
              <w:rPr>
                <w:b/>
                <w:noProof/>
                <w:color w:val="000000" w:themeColor="text1"/>
                <w:sz w:val="18"/>
              </w:rPr>
              <w:t>2031</w:t>
            </w:r>
          </w:p>
        </w:tc>
        <w:tc>
          <w:tcPr>
            <w:tcW w:w="524" w:type="pct"/>
            <w:tcBorders>
              <w:top w:val="nil"/>
              <w:left w:val="nil"/>
              <w:bottom w:val="single" w:sz="8" w:space="0" w:color="auto"/>
              <w:right w:val="single" w:sz="8" w:space="0" w:color="auto"/>
            </w:tcBorders>
            <w:vAlign w:val="center"/>
            <w:hideMark/>
          </w:tcPr>
          <w:p w14:paraId="1DD07F4B" w14:textId="77777777" w:rsidR="0051718E" w:rsidRPr="00557C2A" w:rsidRDefault="0051718E">
            <w:pPr>
              <w:spacing w:before="0" w:after="0"/>
              <w:jc w:val="center"/>
              <w:rPr>
                <w:rFonts w:eastAsia="Times New Roman"/>
                <w:b/>
                <w:bCs/>
                <w:noProof/>
                <w:color w:val="000000"/>
                <w:sz w:val="18"/>
                <w:szCs w:val="18"/>
              </w:rPr>
            </w:pPr>
            <w:r w:rsidRPr="00557C2A">
              <w:rPr>
                <w:b/>
                <w:noProof/>
                <w:color w:val="000000" w:themeColor="text1"/>
                <w:sz w:val="18"/>
              </w:rPr>
              <w:t>2032</w:t>
            </w:r>
          </w:p>
        </w:tc>
        <w:tc>
          <w:tcPr>
            <w:tcW w:w="524" w:type="pct"/>
            <w:tcBorders>
              <w:top w:val="nil"/>
              <w:left w:val="nil"/>
              <w:bottom w:val="single" w:sz="8" w:space="0" w:color="auto"/>
              <w:right w:val="single" w:sz="8" w:space="0" w:color="auto"/>
            </w:tcBorders>
            <w:vAlign w:val="center"/>
            <w:hideMark/>
          </w:tcPr>
          <w:p w14:paraId="62B02C4C" w14:textId="77777777" w:rsidR="0051718E" w:rsidRPr="00557C2A" w:rsidRDefault="0051718E">
            <w:pPr>
              <w:spacing w:before="0" w:after="0"/>
              <w:jc w:val="center"/>
              <w:rPr>
                <w:rFonts w:eastAsia="Times New Roman"/>
                <w:b/>
                <w:bCs/>
                <w:noProof/>
                <w:color w:val="000000"/>
                <w:sz w:val="18"/>
                <w:szCs w:val="18"/>
              </w:rPr>
            </w:pPr>
            <w:r w:rsidRPr="00557C2A">
              <w:rPr>
                <w:b/>
                <w:noProof/>
                <w:color w:val="000000" w:themeColor="text1"/>
                <w:sz w:val="18"/>
              </w:rPr>
              <w:t>2033</w:t>
            </w:r>
          </w:p>
        </w:tc>
        <w:tc>
          <w:tcPr>
            <w:tcW w:w="524" w:type="pct"/>
            <w:tcBorders>
              <w:top w:val="nil"/>
              <w:left w:val="nil"/>
              <w:bottom w:val="single" w:sz="8" w:space="0" w:color="auto"/>
              <w:right w:val="single" w:sz="8" w:space="0" w:color="auto"/>
            </w:tcBorders>
            <w:vAlign w:val="center"/>
            <w:hideMark/>
          </w:tcPr>
          <w:p w14:paraId="1BA04776" w14:textId="77777777" w:rsidR="0051718E" w:rsidRPr="00557C2A" w:rsidRDefault="0051718E">
            <w:pPr>
              <w:spacing w:before="0" w:after="0"/>
              <w:jc w:val="center"/>
              <w:rPr>
                <w:rFonts w:eastAsia="Times New Roman"/>
                <w:b/>
                <w:bCs/>
                <w:noProof/>
                <w:color w:val="000000"/>
                <w:sz w:val="18"/>
                <w:szCs w:val="18"/>
              </w:rPr>
            </w:pPr>
            <w:r w:rsidRPr="00557C2A">
              <w:rPr>
                <w:b/>
                <w:noProof/>
                <w:color w:val="000000" w:themeColor="text1"/>
                <w:sz w:val="18"/>
              </w:rPr>
              <w:t>2034</w:t>
            </w:r>
          </w:p>
        </w:tc>
        <w:tc>
          <w:tcPr>
            <w:tcW w:w="543" w:type="pct"/>
            <w:vMerge/>
            <w:tcBorders>
              <w:top w:val="single" w:sz="8" w:space="0" w:color="auto"/>
              <w:left w:val="single" w:sz="8" w:space="0" w:color="auto"/>
              <w:bottom w:val="single" w:sz="8" w:space="0" w:color="000000"/>
              <w:right w:val="single" w:sz="8" w:space="0" w:color="auto"/>
            </w:tcBorders>
            <w:vAlign w:val="center"/>
            <w:hideMark/>
          </w:tcPr>
          <w:p w14:paraId="6EE24A43" w14:textId="77777777" w:rsidR="0051718E" w:rsidRPr="00557C2A" w:rsidRDefault="0051718E">
            <w:pPr>
              <w:spacing w:before="0" w:after="0"/>
              <w:jc w:val="left"/>
              <w:rPr>
                <w:rFonts w:eastAsia="Times New Roman"/>
                <w:b/>
                <w:bCs/>
                <w:noProof/>
                <w:color w:val="000000"/>
                <w:sz w:val="18"/>
                <w:szCs w:val="18"/>
                <w:lang w:eastAsia="en-IE"/>
              </w:rPr>
            </w:pPr>
          </w:p>
        </w:tc>
      </w:tr>
      <w:tr w:rsidR="0051718E" w:rsidRPr="00557C2A" w14:paraId="2C9DCCAA" w14:textId="77777777" w:rsidTr="00B37C03">
        <w:trPr>
          <w:trHeight w:val="300"/>
        </w:trPr>
        <w:tc>
          <w:tcPr>
            <w:tcW w:w="5000" w:type="pct"/>
            <w:gridSpan w:val="9"/>
            <w:tcBorders>
              <w:top w:val="nil"/>
              <w:left w:val="single" w:sz="8" w:space="0" w:color="auto"/>
              <w:bottom w:val="single" w:sz="8" w:space="0" w:color="auto"/>
              <w:right w:val="single" w:sz="8" w:space="0" w:color="000000"/>
            </w:tcBorders>
            <w:vAlign w:val="center"/>
            <w:hideMark/>
          </w:tcPr>
          <w:p w14:paraId="33B7C8C4" w14:textId="77777777" w:rsidR="0051718E" w:rsidRPr="00557C2A" w:rsidRDefault="0051718E">
            <w:pPr>
              <w:spacing w:before="0" w:after="0"/>
              <w:jc w:val="left"/>
              <w:rPr>
                <w:rFonts w:eastAsia="Times New Roman"/>
                <w:b/>
                <w:bCs/>
                <w:noProof/>
                <w:color w:val="000000"/>
                <w:sz w:val="16"/>
                <w:szCs w:val="16"/>
              </w:rPr>
            </w:pPr>
            <w:r w:rsidRPr="00557C2A">
              <w:rPr>
                <w:b/>
                <w:noProof/>
                <w:color w:val="000000"/>
                <w:sz w:val="16"/>
              </w:rPr>
              <w:t>RUBRIEK 4</w:t>
            </w:r>
          </w:p>
        </w:tc>
      </w:tr>
      <w:tr w:rsidR="0051718E" w:rsidRPr="00557C2A" w14:paraId="5E47C7E1" w14:textId="77777777" w:rsidTr="00B37C03">
        <w:trPr>
          <w:trHeight w:val="790"/>
        </w:trPr>
        <w:tc>
          <w:tcPr>
            <w:tcW w:w="792" w:type="pct"/>
            <w:tcBorders>
              <w:top w:val="nil"/>
              <w:left w:val="single" w:sz="8" w:space="0" w:color="auto"/>
              <w:bottom w:val="single" w:sz="8" w:space="0" w:color="auto"/>
              <w:right w:val="single" w:sz="8" w:space="0" w:color="auto"/>
            </w:tcBorders>
            <w:vAlign w:val="center"/>
            <w:hideMark/>
          </w:tcPr>
          <w:p w14:paraId="3CC157D8" w14:textId="77777777" w:rsidR="0051718E" w:rsidRPr="00557C2A" w:rsidRDefault="0051718E">
            <w:pPr>
              <w:spacing w:before="0" w:after="0"/>
              <w:jc w:val="left"/>
              <w:rPr>
                <w:rFonts w:ascii="Arial Narrow" w:eastAsia="Times New Roman" w:hAnsi="Arial Narrow"/>
                <w:noProof/>
                <w:color w:val="000000"/>
                <w:sz w:val="20"/>
                <w:szCs w:val="20"/>
              </w:rPr>
            </w:pPr>
            <w:r w:rsidRPr="00557C2A">
              <w:rPr>
                <w:rFonts w:ascii="Arial Narrow" w:hAnsi="Arial Narrow"/>
                <w:noProof/>
                <w:color w:val="000000"/>
                <w:sz w:val="20"/>
              </w:rPr>
              <w:t>IT-uitgaven (algemeen)</w:t>
            </w:r>
            <w:r w:rsidRPr="00557C2A">
              <w:rPr>
                <w:noProof/>
                <w:color w:val="000000"/>
                <w:sz w:val="16"/>
              </w:rPr>
              <w:t xml:space="preserve"> </w:t>
            </w:r>
          </w:p>
        </w:tc>
        <w:tc>
          <w:tcPr>
            <w:tcW w:w="524" w:type="pct"/>
            <w:tcBorders>
              <w:top w:val="nil"/>
              <w:left w:val="nil"/>
              <w:bottom w:val="single" w:sz="8" w:space="0" w:color="auto"/>
              <w:right w:val="single" w:sz="8" w:space="0" w:color="auto"/>
            </w:tcBorders>
            <w:shd w:val="clear" w:color="000000" w:fill="D9D9D9"/>
            <w:vAlign w:val="center"/>
            <w:hideMark/>
          </w:tcPr>
          <w:p w14:paraId="6053DB40" w14:textId="77777777" w:rsidR="0051718E" w:rsidRPr="00557C2A" w:rsidRDefault="0051718E">
            <w:pPr>
              <w:spacing w:before="0" w:after="0"/>
              <w:jc w:val="right"/>
              <w:rPr>
                <w:rFonts w:eastAsia="Times New Roman"/>
                <w:noProof/>
                <w:color w:val="000000"/>
                <w:sz w:val="16"/>
                <w:szCs w:val="16"/>
              </w:rPr>
            </w:pPr>
            <w:r w:rsidRPr="00557C2A">
              <w:rPr>
                <w:noProof/>
                <w:color w:val="000000" w:themeColor="text1"/>
                <w:sz w:val="16"/>
              </w:rPr>
              <w:t>0</w:t>
            </w:r>
          </w:p>
        </w:tc>
        <w:tc>
          <w:tcPr>
            <w:tcW w:w="524" w:type="pct"/>
            <w:tcBorders>
              <w:top w:val="nil"/>
              <w:left w:val="nil"/>
              <w:bottom w:val="single" w:sz="8" w:space="0" w:color="auto"/>
              <w:right w:val="single" w:sz="8" w:space="0" w:color="auto"/>
            </w:tcBorders>
            <w:shd w:val="clear" w:color="000000" w:fill="D9D9D9"/>
            <w:vAlign w:val="center"/>
            <w:hideMark/>
          </w:tcPr>
          <w:p w14:paraId="0C0F01AA" w14:textId="77777777" w:rsidR="0051718E" w:rsidRPr="00557C2A" w:rsidRDefault="0051718E">
            <w:pPr>
              <w:spacing w:before="0" w:after="0"/>
              <w:jc w:val="right"/>
              <w:rPr>
                <w:rFonts w:eastAsia="Times New Roman"/>
                <w:noProof/>
                <w:color w:val="000000"/>
                <w:sz w:val="16"/>
                <w:szCs w:val="16"/>
              </w:rPr>
            </w:pPr>
            <w:r w:rsidRPr="00557C2A">
              <w:rPr>
                <w:noProof/>
                <w:color w:val="000000" w:themeColor="text1"/>
                <w:sz w:val="16"/>
              </w:rPr>
              <w:t>0</w:t>
            </w:r>
          </w:p>
        </w:tc>
        <w:tc>
          <w:tcPr>
            <w:tcW w:w="523" w:type="pct"/>
            <w:tcBorders>
              <w:top w:val="nil"/>
              <w:left w:val="nil"/>
              <w:bottom w:val="single" w:sz="8" w:space="0" w:color="auto"/>
              <w:right w:val="single" w:sz="8" w:space="0" w:color="auto"/>
            </w:tcBorders>
            <w:shd w:val="clear" w:color="000000" w:fill="D9D9D9"/>
            <w:vAlign w:val="center"/>
            <w:hideMark/>
          </w:tcPr>
          <w:p w14:paraId="36BFA150" w14:textId="77777777" w:rsidR="0051718E" w:rsidRPr="00557C2A" w:rsidRDefault="0051718E">
            <w:pPr>
              <w:spacing w:before="0" w:after="0"/>
              <w:jc w:val="right"/>
              <w:rPr>
                <w:rFonts w:eastAsia="Times New Roman"/>
                <w:noProof/>
                <w:color w:val="000000"/>
                <w:sz w:val="16"/>
                <w:szCs w:val="16"/>
              </w:rPr>
            </w:pPr>
            <w:r w:rsidRPr="00557C2A">
              <w:rPr>
                <w:noProof/>
                <w:color w:val="000000" w:themeColor="text1"/>
                <w:sz w:val="16"/>
              </w:rPr>
              <w:t>0</w:t>
            </w:r>
          </w:p>
        </w:tc>
        <w:tc>
          <w:tcPr>
            <w:tcW w:w="524" w:type="pct"/>
            <w:tcBorders>
              <w:top w:val="nil"/>
              <w:left w:val="nil"/>
              <w:bottom w:val="single" w:sz="8" w:space="0" w:color="auto"/>
              <w:right w:val="single" w:sz="8" w:space="0" w:color="auto"/>
            </w:tcBorders>
            <w:shd w:val="clear" w:color="000000" w:fill="D9D9D9"/>
            <w:vAlign w:val="center"/>
            <w:hideMark/>
          </w:tcPr>
          <w:p w14:paraId="709C49A2" w14:textId="77777777" w:rsidR="0051718E" w:rsidRPr="00557C2A" w:rsidRDefault="0051718E">
            <w:pPr>
              <w:spacing w:before="0" w:after="0"/>
              <w:jc w:val="right"/>
              <w:rPr>
                <w:rFonts w:eastAsia="Times New Roman"/>
                <w:noProof/>
                <w:color w:val="000000"/>
                <w:sz w:val="16"/>
                <w:szCs w:val="16"/>
              </w:rPr>
            </w:pPr>
            <w:r w:rsidRPr="00557C2A">
              <w:rPr>
                <w:noProof/>
                <w:color w:val="000000" w:themeColor="text1"/>
                <w:sz w:val="16"/>
              </w:rPr>
              <w:t>0</w:t>
            </w:r>
          </w:p>
        </w:tc>
        <w:tc>
          <w:tcPr>
            <w:tcW w:w="524" w:type="pct"/>
            <w:tcBorders>
              <w:top w:val="nil"/>
              <w:left w:val="nil"/>
              <w:bottom w:val="single" w:sz="8" w:space="0" w:color="auto"/>
              <w:right w:val="single" w:sz="8" w:space="0" w:color="auto"/>
            </w:tcBorders>
            <w:shd w:val="clear" w:color="000000" w:fill="D9D9D9"/>
            <w:vAlign w:val="center"/>
            <w:hideMark/>
          </w:tcPr>
          <w:p w14:paraId="36C1C84F" w14:textId="77777777" w:rsidR="0051718E" w:rsidRPr="00557C2A" w:rsidRDefault="0051718E">
            <w:pPr>
              <w:spacing w:before="0" w:after="0"/>
              <w:jc w:val="right"/>
              <w:rPr>
                <w:rFonts w:eastAsia="Times New Roman"/>
                <w:noProof/>
                <w:color w:val="000000"/>
                <w:sz w:val="16"/>
                <w:szCs w:val="16"/>
              </w:rPr>
            </w:pPr>
            <w:r w:rsidRPr="00557C2A">
              <w:rPr>
                <w:noProof/>
                <w:color w:val="000000" w:themeColor="text1"/>
                <w:sz w:val="16"/>
              </w:rPr>
              <w:t>0</w:t>
            </w:r>
          </w:p>
        </w:tc>
        <w:tc>
          <w:tcPr>
            <w:tcW w:w="524" w:type="pct"/>
            <w:tcBorders>
              <w:top w:val="nil"/>
              <w:left w:val="nil"/>
              <w:bottom w:val="single" w:sz="8" w:space="0" w:color="auto"/>
              <w:right w:val="single" w:sz="8" w:space="0" w:color="auto"/>
            </w:tcBorders>
            <w:shd w:val="clear" w:color="000000" w:fill="D9D9D9"/>
            <w:vAlign w:val="center"/>
            <w:hideMark/>
          </w:tcPr>
          <w:p w14:paraId="432E4D4D" w14:textId="77777777" w:rsidR="0051718E" w:rsidRPr="00557C2A" w:rsidRDefault="0051718E">
            <w:pPr>
              <w:spacing w:before="0" w:after="0"/>
              <w:jc w:val="right"/>
              <w:rPr>
                <w:rFonts w:eastAsia="Times New Roman"/>
                <w:noProof/>
                <w:color w:val="000000"/>
                <w:sz w:val="16"/>
                <w:szCs w:val="16"/>
              </w:rPr>
            </w:pPr>
            <w:r w:rsidRPr="00557C2A">
              <w:rPr>
                <w:noProof/>
                <w:color w:val="000000" w:themeColor="text1"/>
                <w:sz w:val="16"/>
              </w:rPr>
              <w:t>0</w:t>
            </w:r>
          </w:p>
        </w:tc>
        <w:tc>
          <w:tcPr>
            <w:tcW w:w="524" w:type="pct"/>
            <w:tcBorders>
              <w:top w:val="nil"/>
              <w:left w:val="nil"/>
              <w:bottom w:val="single" w:sz="8" w:space="0" w:color="auto"/>
              <w:right w:val="single" w:sz="8" w:space="0" w:color="auto"/>
            </w:tcBorders>
            <w:shd w:val="clear" w:color="000000" w:fill="D9D9D9"/>
            <w:vAlign w:val="center"/>
            <w:hideMark/>
          </w:tcPr>
          <w:p w14:paraId="62584B34" w14:textId="77777777" w:rsidR="0051718E" w:rsidRPr="00557C2A" w:rsidRDefault="0051718E">
            <w:pPr>
              <w:spacing w:before="0" w:after="0"/>
              <w:jc w:val="right"/>
              <w:rPr>
                <w:rFonts w:eastAsia="Times New Roman"/>
                <w:noProof/>
                <w:color w:val="000000"/>
                <w:sz w:val="16"/>
                <w:szCs w:val="16"/>
              </w:rPr>
            </w:pPr>
            <w:r w:rsidRPr="00557C2A">
              <w:rPr>
                <w:noProof/>
                <w:color w:val="000000" w:themeColor="text1"/>
                <w:sz w:val="16"/>
              </w:rPr>
              <w:t>0</w:t>
            </w:r>
          </w:p>
        </w:tc>
        <w:tc>
          <w:tcPr>
            <w:tcW w:w="543" w:type="pct"/>
            <w:tcBorders>
              <w:top w:val="nil"/>
              <w:left w:val="nil"/>
              <w:bottom w:val="single" w:sz="8" w:space="0" w:color="auto"/>
              <w:right w:val="single" w:sz="8" w:space="0" w:color="auto"/>
            </w:tcBorders>
            <w:shd w:val="clear" w:color="000000" w:fill="D9D9D9"/>
            <w:vAlign w:val="center"/>
            <w:hideMark/>
          </w:tcPr>
          <w:p w14:paraId="7049E7A0" w14:textId="77777777" w:rsidR="0051718E" w:rsidRPr="00557C2A" w:rsidRDefault="0051718E">
            <w:pPr>
              <w:spacing w:before="0" w:after="0"/>
              <w:jc w:val="right"/>
              <w:rPr>
                <w:rFonts w:eastAsia="Times New Roman"/>
                <w:b/>
                <w:bCs/>
                <w:noProof/>
                <w:color w:val="000000"/>
                <w:sz w:val="16"/>
                <w:szCs w:val="16"/>
              </w:rPr>
            </w:pPr>
            <w:r w:rsidRPr="00557C2A">
              <w:rPr>
                <w:b/>
                <w:noProof/>
                <w:color w:val="000000" w:themeColor="text1"/>
                <w:sz w:val="16"/>
              </w:rPr>
              <w:t>0</w:t>
            </w:r>
          </w:p>
        </w:tc>
      </w:tr>
      <w:tr w:rsidR="0051718E" w:rsidRPr="00557C2A" w14:paraId="30757B65" w14:textId="77777777">
        <w:trPr>
          <w:trHeight w:val="430"/>
        </w:trPr>
        <w:tc>
          <w:tcPr>
            <w:tcW w:w="792" w:type="pct"/>
            <w:tcBorders>
              <w:top w:val="nil"/>
              <w:left w:val="single" w:sz="8" w:space="0" w:color="auto"/>
              <w:bottom w:val="single" w:sz="8" w:space="0" w:color="auto"/>
              <w:right w:val="single" w:sz="8" w:space="0" w:color="auto"/>
            </w:tcBorders>
            <w:shd w:val="clear" w:color="000000" w:fill="CCCCCC"/>
            <w:vAlign w:val="center"/>
            <w:hideMark/>
          </w:tcPr>
          <w:p w14:paraId="02CBEC2B" w14:textId="77777777" w:rsidR="0051718E" w:rsidRPr="00557C2A" w:rsidRDefault="0051718E">
            <w:pPr>
              <w:spacing w:before="0" w:after="0"/>
              <w:jc w:val="center"/>
              <w:rPr>
                <w:rFonts w:eastAsia="Times New Roman"/>
                <w:b/>
                <w:bCs/>
                <w:noProof/>
                <w:color w:val="000000"/>
                <w:sz w:val="16"/>
                <w:szCs w:val="16"/>
              </w:rPr>
            </w:pPr>
            <w:r w:rsidRPr="00557C2A">
              <w:rPr>
                <w:b/>
                <w:noProof/>
                <w:color w:val="000000" w:themeColor="text1"/>
                <w:sz w:val="16"/>
              </w:rPr>
              <w:t>Subtotaal RUBRIEK 4</w:t>
            </w:r>
          </w:p>
        </w:tc>
        <w:tc>
          <w:tcPr>
            <w:tcW w:w="524" w:type="pct"/>
            <w:tcBorders>
              <w:top w:val="nil"/>
              <w:left w:val="nil"/>
              <w:bottom w:val="single" w:sz="8" w:space="0" w:color="auto"/>
              <w:right w:val="single" w:sz="8" w:space="0" w:color="auto"/>
            </w:tcBorders>
            <w:shd w:val="clear" w:color="000000" w:fill="D9D9D9"/>
            <w:vAlign w:val="center"/>
            <w:hideMark/>
          </w:tcPr>
          <w:p w14:paraId="642FD089" w14:textId="77777777" w:rsidR="0051718E" w:rsidRPr="00557C2A" w:rsidRDefault="0051718E">
            <w:pPr>
              <w:spacing w:before="0" w:after="0"/>
              <w:jc w:val="right"/>
              <w:rPr>
                <w:rFonts w:eastAsia="Times New Roman"/>
                <w:b/>
                <w:bCs/>
                <w:noProof/>
                <w:color w:val="000000"/>
                <w:sz w:val="16"/>
                <w:szCs w:val="16"/>
              </w:rPr>
            </w:pPr>
            <w:r w:rsidRPr="00557C2A">
              <w:rPr>
                <w:b/>
                <w:noProof/>
                <w:color w:val="000000" w:themeColor="text1"/>
                <w:sz w:val="16"/>
              </w:rPr>
              <w:t>0</w:t>
            </w:r>
          </w:p>
        </w:tc>
        <w:tc>
          <w:tcPr>
            <w:tcW w:w="524" w:type="pct"/>
            <w:tcBorders>
              <w:top w:val="nil"/>
              <w:left w:val="nil"/>
              <w:bottom w:val="single" w:sz="8" w:space="0" w:color="auto"/>
              <w:right w:val="single" w:sz="8" w:space="0" w:color="auto"/>
            </w:tcBorders>
            <w:shd w:val="clear" w:color="000000" w:fill="D9D9D9"/>
            <w:vAlign w:val="center"/>
            <w:hideMark/>
          </w:tcPr>
          <w:p w14:paraId="19600A57" w14:textId="77777777" w:rsidR="0051718E" w:rsidRPr="00557C2A" w:rsidRDefault="0051718E">
            <w:pPr>
              <w:spacing w:before="0" w:after="0"/>
              <w:jc w:val="right"/>
              <w:rPr>
                <w:rFonts w:eastAsia="Times New Roman"/>
                <w:b/>
                <w:bCs/>
                <w:noProof/>
                <w:color w:val="000000"/>
                <w:sz w:val="16"/>
                <w:szCs w:val="16"/>
              </w:rPr>
            </w:pPr>
            <w:r w:rsidRPr="00557C2A">
              <w:rPr>
                <w:b/>
                <w:noProof/>
                <w:color w:val="000000" w:themeColor="text1"/>
                <w:sz w:val="16"/>
              </w:rPr>
              <w:t>0</w:t>
            </w:r>
          </w:p>
        </w:tc>
        <w:tc>
          <w:tcPr>
            <w:tcW w:w="523" w:type="pct"/>
            <w:tcBorders>
              <w:top w:val="nil"/>
              <w:left w:val="nil"/>
              <w:bottom w:val="single" w:sz="8" w:space="0" w:color="auto"/>
              <w:right w:val="single" w:sz="8" w:space="0" w:color="auto"/>
            </w:tcBorders>
            <w:shd w:val="clear" w:color="000000" w:fill="D9D9D9"/>
            <w:vAlign w:val="center"/>
            <w:hideMark/>
          </w:tcPr>
          <w:p w14:paraId="14796BAC" w14:textId="77777777" w:rsidR="0051718E" w:rsidRPr="00557C2A" w:rsidRDefault="0051718E">
            <w:pPr>
              <w:spacing w:before="0" w:after="0"/>
              <w:jc w:val="right"/>
              <w:rPr>
                <w:rFonts w:eastAsia="Times New Roman"/>
                <w:b/>
                <w:bCs/>
                <w:noProof/>
                <w:color w:val="000000"/>
                <w:sz w:val="16"/>
                <w:szCs w:val="16"/>
              </w:rPr>
            </w:pPr>
            <w:r w:rsidRPr="00557C2A">
              <w:rPr>
                <w:b/>
                <w:noProof/>
                <w:color w:val="000000" w:themeColor="text1"/>
                <w:sz w:val="16"/>
              </w:rPr>
              <w:t>0</w:t>
            </w:r>
          </w:p>
        </w:tc>
        <w:tc>
          <w:tcPr>
            <w:tcW w:w="524" w:type="pct"/>
            <w:tcBorders>
              <w:top w:val="nil"/>
              <w:left w:val="nil"/>
              <w:bottom w:val="single" w:sz="8" w:space="0" w:color="auto"/>
              <w:right w:val="single" w:sz="8" w:space="0" w:color="auto"/>
            </w:tcBorders>
            <w:shd w:val="clear" w:color="000000" w:fill="D9D9D9"/>
            <w:vAlign w:val="center"/>
            <w:hideMark/>
          </w:tcPr>
          <w:p w14:paraId="11246494" w14:textId="77777777" w:rsidR="0051718E" w:rsidRPr="00557C2A" w:rsidRDefault="0051718E">
            <w:pPr>
              <w:spacing w:before="0" w:after="0"/>
              <w:jc w:val="right"/>
              <w:rPr>
                <w:rFonts w:eastAsia="Times New Roman"/>
                <w:b/>
                <w:bCs/>
                <w:noProof/>
                <w:color w:val="000000"/>
                <w:sz w:val="16"/>
                <w:szCs w:val="16"/>
              </w:rPr>
            </w:pPr>
            <w:r w:rsidRPr="00557C2A">
              <w:rPr>
                <w:b/>
                <w:noProof/>
                <w:color w:val="000000" w:themeColor="text1"/>
                <w:sz w:val="16"/>
              </w:rPr>
              <w:t>0</w:t>
            </w:r>
          </w:p>
        </w:tc>
        <w:tc>
          <w:tcPr>
            <w:tcW w:w="524" w:type="pct"/>
            <w:tcBorders>
              <w:top w:val="nil"/>
              <w:left w:val="nil"/>
              <w:bottom w:val="single" w:sz="8" w:space="0" w:color="auto"/>
              <w:right w:val="single" w:sz="8" w:space="0" w:color="auto"/>
            </w:tcBorders>
            <w:shd w:val="clear" w:color="000000" w:fill="D9D9D9"/>
            <w:vAlign w:val="center"/>
            <w:hideMark/>
          </w:tcPr>
          <w:p w14:paraId="3C3332FE" w14:textId="77777777" w:rsidR="0051718E" w:rsidRPr="00557C2A" w:rsidRDefault="0051718E">
            <w:pPr>
              <w:spacing w:before="0" w:after="0"/>
              <w:jc w:val="right"/>
              <w:rPr>
                <w:rFonts w:eastAsia="Times New Roman"/>
                <w:b/>
                <w:bCs/>
                <w:noProof/>
                <w:color w:val="000000"/>
                <w:sz w:val="16"/>
                <w:szCs w:val="16"/>
              </w:rPr>
            </w:pPr>
            <w:r w:rsidRPr="00557C2A">
              <w:rPr>
                <w:b/>
                <w:noProof/>
                <w:color w:val="000000" w:themeColor="text1"/>
                <w:sz w:val="16"/>
              </w:rPr>
              <w:t>0</w:t>
            </w:r>
          </w:p>
        </w:tc>
        <w:tc>
          <w:tcPr>
            <w:tcW w:w="524" w:type="pct"/>
            <w:tcBorders>
              <w:top w:val="nil"/>
              <w:left w:val="nil"/>
              <w:bottom w:val="single" w:sz="8" w:space="0" w:color="auto"/>
              <w:right w:val="single" w:sz="8" w:space="0" w:color="auto"/>
            </w:tcBorders>
            <w:shd w:val="clear" w:color="000000" w:fill="D9D9D9"/>
            <w:vAlign w:val="center"/>
            <w:hideMark/>
          </w:tcPr>
          <w:p w14:paraId="13382114" w14:textId="77777777" w:rsidR="0051718E" w:rsidRPr="00557C2A" w:rsidRDefault="0051718E">
            <w:pPr>
              <w:spacing w:before="0" w:after="0"/>
              <w:jc w:val="right"/>
              <w:rPr>
                <w:rFonts w:eastAsia="Times New Roman"/>
                <w:b/>
                <w:bCs/>
                <w:noProof/>
                <w:color w:val="000000"/>
                <w:sz w:val="16"/>
                <w:szCs w:val="16"/>
              </w:rPr>
            </w:pPr>
            <w:r w:rsidRPr="00557C2A">
              <w:rPr>
                <w:b/>
                <w:noProof/>
                <w:color w:val="000000" w:themeColor="text1"/>
                <w:sz w:val="16"/>
              </w:rPr>
              <w:t>0</w:t>
            </w:r>
          </w:p>
        </w:tc>
        <w:tc>
          <w:tcPr>
            <w:tcW w:w="524" w:type="pct"/>
            <w:tcBorders>
              <w:top w:val="nil"/>
              <w:left w:val="nil"/>
              <w:bottom w:val="single" w:sz="8" w:space="0" w:color="auto"/>
              <w:right w:val="single" w:sz="8" w:space="0" w:color="auto"/>
            </w:tcBorders>
            <w:shd w:val="clear" w:color="000000" w:fill="D9D9D9"/>
            <w:vAlign w:val="center"/>
            <w:hideMark/>
          </w:tcPr>
          <w:p w14:paraId="6B59B7D5" w14:textId="77777777" w:rsidR="0051718E" w:rsidRPr="00557C2A" w:rsidRDefault="0051718E">
            <w:pPr>
              <w:spacing w:before="0" w:after="0"/>
              <w:jc w:val="right"/>
              <w:rPr>
                <w:rFonts w:eastAsia="Times New Roman"/>
                <w:b/>
                <w:bCs/>
                <w:noProof/>
                <w:color w:val="000000"/>
                <w:sz w:val="16"/>
                <w:szCs w:val="16"/>
              </w:rPr>
            </w:pPr>
            <w:r w:rsidRPr="00557C2A">
              <w:rPr>
                <w:b/>
                <w:noProof/>
                <w:color w:val="000000" w:themeColor="text1"/>
                <w:sz w:val="16"/>
              </w:rPr>
              <w:t>0</w:t>
            </w:r>
          </w:p>
        </w:tc>
        <w:tc>
          <w:tcPr>
            <w:tcW w:w="543" w:type="pct"/>
            <w:tcBorders>
              <w:top w:val="nil"/>
              <w:left w:val="nil"/>
              <w:bottom w:val="single" w:sz="8" w:space="0" w:color="auto"/>
              <w:right w:val="single" w:sz="8" w:space="0" w:color="auto"/>
            </w:tcBorders>
            <w:shd w:val="clear" w:color="000000" w:fill="D9D9D9"/>
            <w:vAlign w:val="center"/>
            <w:hideMark/>
          </w:tcPr>
          <w:p w14:paraId="6BEE4FBA" w14:textId="77777777" w:rsidR="0051718E" w:rsidRPr="00557C2A" w:rsidRDefault="0051718E">
            <w:pPr>
              <w:spacing w:before="0" w:after="0"/>
              <w:jc w:val="right"/>
              <w:rPr>
                <w:rFonts w:eastAsia="Times New Roman"/>
                <w:b/>
                <w:bCs/>
                <w:noProof/>
                <w:color w:val="000000"/>
                <w:sz w:val="16"/>
                <w:szCs w:val="16"/>
              </w:rPr>
            </w:pPr>
            <w:r w:rsidRPr="00557C2A">
              <w:rPr>
                <w:b/>
                <w:noProof/>
                <w:color w:val="000000" w:themeColor="text1"/>
                <w:sz w:val="16"/>
              </w:rPr>
              <w:t>0</w:t>
            </w:r>
          </w:p>
        </w:tc>
      </w:tr>
      <w:tr w:rsidR="0051718E" w:rsidRPr="00557C2A" w14:paraId="296CCA52" w14:textId="77777777" w:rsidTr="00B37C03">
        <w:trPr>
          <w:trHeight w:val="300"/>
        </w:trPr>
        <w:tc>
          <w:tcPr>
            <w:tcW w:w="5000" w:type="pct"/>
            <w:gridSpan w:val="9"/>
            <w:tcBorders>
              <w:top w:val="single" w:sz="8" w:space="0" w:color="auto"/>
              <w:left w:val="single" w:sz="8" w:space="0" w:color="auto"/>
              <w:bottom w:val="single" w:sz="8" w:space="0" w:color="auto"/>
              <w:right w:val="single" w:sz="8" w:space="0" w:color="000000"/>
            </w:tcBorders>
            <w:vAlign w:val="center"/>
            <w:hideMark/>
          </w:tcPr>
          <w:p w14:paraId="260BB007" w14:textId="77777777" w:rsidR="0051718E" w:rsidRPr="00557C2A" w:rsidRDefault="0051718E">
            <w:pPr>
              <w:spacing w:before="0" w:after="0"/>
              <w:jc w:val="left"/>
              <w:rPr>
                <w:rFonts w:eastAsia="Times New Roman"/>
                <w:b/>
                <w:bCs/>
                <w:noProof/>
                <w:color w:val="000000"/>
                <w:sz w:val="16"/>
                <w:szCs w:val="16"/>
              </w:rPr>
            </w:pPr>
            <w:r w:rsidRPr="00557C2A">
              <w:rPr>
                <w:b/>
                <w:noProof/>
                <w:color w:val="000000"/>
                <w:sz w:val="16"/>
              </w:rPr>
              <w:t>Buiten RUBRIEK 4</w:t>
            </w:r>
          </w:p>
        </w:tc>
      </w:tr>
      <w:tr w:rsidR="0051718E" w:rsidRPr="00557C2A" w14:paraId="5AAB450B" w14:textId="77777777" w:rsidTr="00B37C03">
        <w:trPr>
          <w:trHeight w:val="1570"/>
        </w:trPr>
        <w:tc>
          <w:tcPr>
            <w:tcW w:w="792" w:type="pct"/>
            <w:tcBorders>
              <w:top w:val="nil"/>
              <w:left w:val="single" w:sz="8" w:space="0" w:color="auto"/>
              <w:bottom w:val="single" w:sz="8" w:space="0" w:color="auto"/>
              <w:right w:val="single" w:sz="8" w:space="0" w:color="auto"/>
            </w:tcBorders>
            <w:vAlign w:val="center"/>
            <w:hideMark/>
          </w:tcPr>
          <w:p w14:paraId="4D9A7418" w14:textId="77777777" w:rsidR="0051718E" w:rsidRPr="00557C2A" w:rsidRDefault="0051718E">
            <w:pPr>
              <w:spacing w:before="0" w:after="0"/>
              <w:jc w:val="left"/>
              <w:rPr>
                <w:rFonts w:ascii="Arial Narrow" w:eastAsia="Times New Roman" w:hAnsi="Arial Narrow"/>
                <w:noProof/>
                <w:color w:val="000000"/>
                <w:sz w:val="20"/>
                <w:szCs w:val="20"/>
              </w:rPr>
            </w:pPr>
            <w:r w:rsidRPr="00557C2A">
              <w:rPr>
                <w:rFonts w:ascii="Arial Narrow" w:hAnsi="Arial Narrow"/>
                <w:noProof/>
                <w:color w:val="000000"/>
                <w:sz w:val="20"/>
              </w:rPr>
              <w:t>IT-beleidsuitgaven inzake operationele programma’s</w:t>
            </w:r>
          </w:p>
        </w:tc>
        <w:tc>
          <w:tcPr>
            <w:tcW w:w="524" w:type="pct"/>
            <w:tcBorders>
              <w:top w:val="nil"/>
              <w:left w:val="nil"/>
              <w:bottom w:val="single" w:sz="8" w:space="0" w:color="auto"/>
              <w:right w:val="single" w:sz="8" w:space="0" w:color="auto"/>
            </w:tcBorders>
            <w:shd w:val="clear" w:color="000000" w:fill="D9D9D9"/>
            <w:vAlign w:val="center"/>
            <w:hideMark/>
          </w:tcPr>
          <w:p w14:paraId="3964A16C" w14:textId="77777777" w:rsidR="0051718E" w:rsidRPr="00557C2A" w:rsidRDefault="0051718E">
            <w:pPr>
              <w:spacing w:before="0" w:after="0"/>
              <w:jc w:val="right"/>
              <w:rPr>
                <w:rFonts w:eastAsia="Times New Roman"/>
                <w:noProof/>
                <w:color w:val="000000"/>
                <w:sz w:val="16"/>
                <w:szCs w:val="16"/>
              </w:rPr>
            </w:pPr>
            <w:r w:rsidRPr="00557C2A">
              <w:rPr>
                <w:noProof/>
                <w:color w:val="000000" w:themeColor="text1"/>
                <w:sz w:val="16"/>
              </w:rPr>
              <w:t>0</w:t>
            </w:r>
          </w:p>
        </w:tc>
        <w:tc>
          <w:tcPr>
            <w:tcW w:w="524" w:type="pct"/>
            <w:tcBorders>
              <w:top w:val="nil"/>
              <w:left w:val="nil"/>
              <w:bottom w:val="single" w:sz="8" w:space="0" w:color="auto"/>
              <w:right w:val="single" w:sz="8" w:space="0" w:color="auto"/>
            </w:tcBorders>
            <w:shd w:val="clear" w:color="000000" w:fill="D9D9D9"/>
            <w:vAlign w:val="center"/>
            <w:hideMark/>
          </w:tcPr>
          <w:p w14:paraId="64918ADE" w14:textId="77777777" w:rsidR="0051718E" w:rsidRPr="00557C2A" w:rsidRDefault="0051718E">
            <w:pPr>
              <w:spacing w:before="0" w:after="0"/>
              <w:jc w:val="right"/>
              <w:rPr>
                <w:rFonts w:eastAsia="Times New Roman"/>
                <w:noProof/>
                <w:color w:val="000000"/>
                <w:sz w:val="16"/>
                <w:szCs w:val="16"/>
              </w:rPr>
            </w:pPr>
            <w:r w:rsidRPr="00557C2A">
              <w:rPr>
                <w:noProof/>
                <w:color w:val="000000" w:themeColor="text1"/>
                <w:sz w:val="16"/>
              </w:rPr>
              <w:t>0</w:t>
            </w:r>
          </w:p>
        </w:tc>
        <w:tc>
          <w:tcPr>
            <w:tcW w:w="523" w:type="pct"/>
            <w:tcBorders>
              <w:top w:val="nil"/>
              <w:left w:val="nil"/>
              <w:bottom w:val="single" w:sz="8" w:space="0" w:color="auto"/>
              <w:right w:val="single" w:sz="8" w:space="0" w:color="auto"/>
            </w:tcBorders>
            <w:shd w:val="clear" w:color="000000" w:fill="D9D9D9"/>
            <w:vAlign w:val="center"/>
            <w:hideMark/>
          </w:tcPr>
          <w:p w14:paraId="3E89504C" w14:textId="77777777" w:rsidR="0051718E" w:rsidRPr="00557C2A" w:rsidRDefault="0051718E">
            <w:pPr>
              <w:spacing w:before="0" w:after="0"/>
              <w:jc w:val="right"/>
              <w:rPr>
                <w:rFonts w:eastAsia="Times New Roman"/>
                <w:noProof/>
                <w:color w:val="000000"/>
                <w:sz w:val="16"/>
                <w:szCs w:val="16"/>
              </w:rPr>
            </w:pPr>
            <w:r w:rsidRPr="00557C2A">
              <w:rPr>
                <w:noProof/>
                <w:color w:val="000000" w:themeColor="text1"/>
                <w:sz w:val="16"/>
              </w:rPr>
              <w:t>0</w:t>
            </w:r>
          </w:p>
        </w:tc>
        <w:tc>
          <w:tcPr>
            <w:tcW w:w="524" w:type="pct"/>
            <w:tcBorders>
              <w:top w:val="nil"/>
              <w:left w:val="nil"/>
              <w:bottom w:val="single" w:sz="8" w:space="0" w:color="auto"/>
              <w:right w:val="single" w:sz="8" w:space="0" w:color="auto"/>
            </w:tcBorders>
            <w:shd w:val="clear" w:color="000000" w:fill="D9D9D9"/>
            <w:vAlign w:val="center"/>
            <w:hideMark/>
          </w:tcPr>
          <w:p w14:paraId="34DA51CC" w14:textId="77777777" w:rsidR="0051718E" w:rsidRPr="00557C2A" w:rsidRDefault="0051718E">
            <w:pPr>
              <w:spacing w:before="0" w:after="0"/>
              <w:jc w:val="right"/>
              <w:rPr>
                <w:rFonts w:eastAsia="Times New Roman"/>
                <w:noProof/>
                <w:color w:val="000000"/>
                <w:sz w:val="16"/>
                <w:szCs w:val="16"/>
              </w:rPr>
            </w:pPr>
            <w:r w:rsidRPr="00557C2A">
              <w:rPr>
                <w:noProof/>
                <w:color w:val="000000" w:themeColor="text1"/>
                <w:sz w:val="16"/>
              </w:rPr>
              <w:t>0</w:t>
            </w:r>
          </w:p>
        </w:tc>
        <w:tc>
          <w:tcPr>
            <w:tcW w:w="524" w:type="pct"/>
            <w:tcBorders>
              <w:top w:val="nil"/>
              <w:left w:val="nil"/>
              <w:bottom w:val="single" w:sz="8" w:space="0" w:color="auto"/>
              <w:right w:val="single" w:sz="8" w:space="0" w:color="auto"/>
            </w:tcBorders>
            <w:shd w:val="clear" w:color="000000" w:fill="D9D9D9"/>
            <w:vAlign w:val="center"/>
            <w:hideMark/>
          </w:tcPr>
          <w:p w14:paraId="3680BEF3" w14:textId="77777777" w:rsidR="0051718E" w:rsidRPr="00557C2A" w:rsidRDefault="0051718E">
            <w:pPr>
              <w:spacing w:before="0" w:after="0"/>
              <w:jc w:val="right"/>
              <w:rPr>
                <w:rFonts w:eastAsia="Times New Roman"/>
                <w:noProof/>
                <w:color w:val="000000"/>
                <w:sz w:val="16"/>
                <w:szCs w:val="16"/>
              </w:rPr>
            </w:pPr>
            <w:r w:rsidRPr="00557C2A">
              <w:rPr>
                <w:noProof/>
                <w:color w:val="000000" w:themeColor="text1"/>
                <w:sz w:val="16"/>
              </w:rPr>
              <w:t>0</w:t>
            </w:r>
          </w:p>
        </w:tc>
        <w:tc>
          <w:tcPr>
            <w:tcW w:w="524" w:type="pct"/>
            <w:tcBorders>
              <w:top w:val="nil"/>
              <w:left w:val="nil"/>
              <w:bottom w:val="single" w:sz="8" w:space="0" w:color="auto"/>
              <w:right w:val="single" w:sz="8" w:space="0" w:color="auto"/>
            </w:tcBorders>
            <w:shd w:val="clear" w:color="000000" w:fill="D9D9D9"/>
            <w:vAlign w:val="center"/>
            <w:hideMark/>
          </w:tcPr>
          <w:p w14:paraId="042A40D4" w14:textId="77777777" w:rsidR="0051718E" w:rsidRPr="00557C2A" w:rsidRDefault="0051718E">
            <w:pPr>
              <w:spacing w:before="0" w:after="0"/>
              <w:jc w:val="right"/>
              <w:rPr>
                <w:rFonts w:eastAsia="Times New Roman"/>
                <w:noProof/>
                <w:color w:val="000000"/>
                <w:sz w:val="16"/>
                <w:szCs w:val="16"/>
              </w:rPr>
            </w:pPr>
            <w:r w:rsidRPr="00557C2A">
              <w:rPr>
                <w:noProof/>
                <w:color w:val="000000" w:themeColor="text1"/>
                <w:sz w:val="16"/>
              </w:rPr>
              <w:t>0</w:t>
            </w:r>
          </w:p>
        </w:tc>
        <w:tc>
          <w:tcPr>
            <w:tcW w:w="524" w:type="pct"/>
            <w:tcBorders>
              <w:top w:val="nil"/>
              <w:left w:val="nil"/>
              <w:bottom w:val="single" w:sz="8" w:space="0" w:color="auto"/>
              <w:right w:val="single" w:sz="8" w:space="0" w:color="auto"/>
            </w:tcBorders>
            <w:shd w:val="clear" w:color="000000" w:fill="D9D9D9"/>
            <w:vAlign w:val="center"/>
            <w:hideMark/>
          </w:tcPr>
          <w:p w14:paraId="6405C29B" w14:textId="77777777" w:rsidR="0051718E" w:rsidRPr="00557C2A" w:rsidRDefault="0051718E">
            <w:pPr>
              <w:spacing w:before="0" w:after="0"/>
              <w:jc w:val="right"/>
              <w:rPr>
                <w:rFonts w:eastAsia="Times New Roman"/>
                <w:noProof/>
                <w:color w:val="000000"/>
                <w:sz w:val="16"/>
                <w:szCs w:val="16"/>
              </w:rPr>
            </w:pPr>
            <w:r w:rsidRPr="00557C2A">
              <w:rPr>
                <w:noProof/>
                <w:color w:val="000000" w:themeColor="text1"/>
                <w:sz w:val="16"/>
              </w:rPr>
              <w:t>0</w:t>
            </w:r>
          </w:p>
        </w:tc>
        <w:tc>
          <w:tcPr>
            <w:tcW w:w="543" w:type="pct"/>
            <w:tcBorders>
              <w:top w:val="nil"/>
              <w:left w:val="nil"/>
              <w:bottom w:val="single" w:sz="8" w:space="0" w:color="auto"/>
              <w:right w:val="single" w:sz="8" w:space="0" w:color="auto"/>
            </w:tcBorders>
            <w:shd w:val="clear" w:color="000000" w:fill="D9D9D9"/>
            <w:vAlign w:val="center"/>
            <w:hideMark/>
          </w:tcPr>
          <w:p w14:paraId="4C0799FC" w14:textId="77777777" w:rsidR="0051718E" w:rsidRPr="00557C2A" w:rsidRDefault="0051718E">
            <w:pPr>
              <w:spacing w:before="0" w:after="0"/>
              <w:jc w:val="right"/>
              <w:rPr>
                <w:rFonts w:eastAsia="Times New Roman"/>
                <w:b/>
                <w:bCs/>
                <w:noProof/>
                <w:color w:val="000000"/>
                <w:sz w:val="16"/>
                <w:szCs w:val="16"/>
              </w:rPr>
            </w:pPr>
            <w:r w:rsidRPr="00557C2A">
              <w:rPr>
                <w:b/>
                <w:noProof/>
                <w:color w:val="000000" w:themeColor="text1"/>
                <w:sz w:val="16"/>
              </w:rPr>
              <w:t>0</w:t>
            </w:r>
          </w:p>
        </w:tc>
      </w:tr>
      <w:tr w:rsidR="0051718E" w:rsidRPr="00557C2A" w14:paraId="62CE44B5" w14:textId="77777777">
        <w:trPr>
          <w:trHeight w:val="640"/>
        </w:trPr>
        <w:tc>
          <w:tcPr>
            <w:tcW w:w="792" w:type="pct"/>
            <w:tcBorders>
              <w:top w:val="nil"/>
              <w:left w:val="single" w:sz="8" w:space="0" w:color="auto"/>
              <w:bottom w:val="single" w:sz="8" w:space="0" w:color="auto"/>
              <w:right w:val="single" w:sz="8" w:space="0" w:color="auto"/>
            </w:tcBorders>
            <w:shd w:val="clear" w:color="000000" w:fill="CCCCCC"/>
            <w:vAlign w:val="center"/>
            <w:hideMark/>
          </w:tcPr>
          <w:p w14:paraId="7784916E" w14:textId="77777777" w:rsidR="0051718E" w:rsidRPr="00557C2A" w:rsidRDefault="0051718E">
            <w:pPr>
              <w:spacing w:before="0" w:after="0"/>
              <w:jc w:val="center"/>
              <w:rPr>
                <w:rFonts w:eastAsia="Times New Roman"/>
                <w:b/>
                <w:bCs/>
                <w:noProof/>
                <w:color w:val="000000"/>
                <w:sz w:val="16"/>
                <w:szCs w:val="16"/>
              </w:rPr>
            </w:pPr>
            <w:r w:rsidRPr="00557C2A">
              <w:rPr>
                <w:b/>
                <w:noProof/>
                <w:color w:val="000000" w:themeColor="text1"/>
                <w:sz w:val="16"/>
              </w:rPr>
              <w:t>Subtotaal buiten RUBRIEK 4</w:t>
            </w:r>
          </w:p>
        </w:tc>
        <w:tc>
          <w:tcPr>
            <w:tcW w:w="524" w:type="pct"/>
            <w:tcBorders>
              <w:top w:val="nil"/>
              <w:left w:val="nil"/>
              <w:bottom w:val="single" w:sz="8" w:space="0" w:color="auto"/>
              <w:right w:val="single" w:sz="8" w:space="0" w:color="auto"/>
            </w:tcBorders>
            <w:shd w:val="clear" w:color="000000" w:fill="D9D9D9"/>
            <w:vAlign w:val="center"/>
            <w:hideMark/>
          </w:tcPr>
          <w:p w14:paraId="33CC3261" w14:textId="77777777" w:rsidR="0051718E" w:rsidRPr="00557C2A" w:rsidRDefault="0051718E">
            <w:pPr>
              <w:spacing w:before="0" w:after="0"/>
              <w:jc w:val="right"/>
              <w:rPr>
                <w:rFonts w:eastAsia="Times New Roman"/>
                <w:b/>
                <w:bCs/>
                <w:noProof/>
                <w:color w:val="000000"/>
                <w:sz w:val="16"/>
                <w:szCs w:val="16"/>
              </w:rPr>
            </w:pPr>
            <w:r w:rsidRPr="00557C2A">
              <w:rPr>
                <w:b/>
                <w:noProof/>
                <w:color w:val="000000" w:themeColor="text1"/>
                <w:sz w:val="16"/>
              </w:rPr>
              <w:t>0</w:t>
            </w:r>
          </w:p>
        </w:tc>
        <w:tc>
          <w:tcPr>
            <w:tcW w:w="524" w:type="pct"/>
            <w:tcBorders>
              <w:top w:val="nil"/>
              <w:left w:val="nil"/>
              <w:bottom w:val="single" w:sz="8" w:space="0" w:color="auto"/>
              <w:right w:val="single" w:sz="8" w:space="0" w:color="auto"/>
            </w:tcBorders>
            <w:shd w:val="clear" w:color="000000" w:fill="D9D9D9"/>
            <w:vAlign w:val="center"/>
            <w:hideMark/>
          </w:tcPr>
          <w:p w14:paraId="3BB5922C" w14:textId="77777777" w:rsidR="0051718E" w:rsidRPr="00557C2A" w:rsidRDefault="0051718E">
            <w:pPr>
              <w:spacing w:before="0" w:after="0"/>
              <w:jc w:val="right"/>
              <w:rPr>
                <w:rFonts w:eastAsia="Times New Roman"/>
                <w:b/>
                <w:bCs/>
                <w:noProof/>
                <w:color w:val="000000"/>
                <w:sz w:val="16"/>
                <w:szCs w:val="16"/>
              </w:rPr>
            </w:pPr>
            <w:r w:rsidRPr="00557C2A">
              <w:rPr>
                <w:b/>
                <w:noProof/>
                <w:color w:val="000000" w:themeColor="text1"/>
                <w:sz w:val="16"/>
              </w:rPr>
              <w:t>0</w:t>
            </w:r>
          </w:p>
        </w:tc>
        <w:tc>
          <w:tcPr>
            <w:tcW w:w="523" w:type="pct"/>
            <w:tcBorders>
              <w:top w:val="nil"/>
              <w:left w:val="nil"/>
              <w:bottom w:val="single" w:sz="8" w:space="0" w:color="auto"/>
              <w:right w:val="single" w:sz="8" w:space="0" w:color="auto"/>
            </w:tcBorders>
            <w:shd w:val="clear" w:color="000000" w:fill="D9D9D9"/>
            <w:vAlign w:val="center"/>
            <w:hideMark/>
          </w:tcPr>
          <w:p w14:paraId="3FB58125" w14:textId="77777777" w:rsidR="0051718E" w:rsidRPr="00557C2A" w:rsidRDefault="0051718E">
            <w:pPr>
              <w:spacing w:before="0" w:after="0"/>
              <w:jc w:val="right"/>
              <w:rPr>
                <w:rFonts w:eastAsia="Times New Roman"/>
                <w:b/>
                <w:bCs/>
                <w:noProof/>
                <w:color w:val="000000"/>
                <w:sz w:val="16"/>
                <w:szCs w:val="16"/>
              </w:rPr>
            </w:pPr>
            <w:r w:rsidRPr="00557C2A">
              <w:rPr>
                <w:b/>
                <w:noProof/>
                <w:color w:val="000000" w:themeColor="text1"/>
                <w:sz w:val="16"/>
              </w:rPr>
              <w:t>0</w:t>
            </w:r>
          </w:p>
        </w:tc>
        <w:tc>
          <w:tcPr>
            <w:tcW w:w="524" w:type="pct"/>
            <w:tcBorders>
              <w:top w:val="nil"/>
              <w:left w:val="nil"/>
              <w:bottom w:val="single" w:sz="8" w:space="0" w:color="auto"/>
              <w:right w:val="single" w:sz="8" w:space="0" w:color="auto"/>
            </w:tcBorders>
            <w:shd w:val="clear" w:color="000000" w:fill="D9D9D9"/>
            <w:vAlign w:val="center"/>
            <w:hideMark/>
          </w:tcPr>
          <w:p w14:paraId="31283625" w14:textId="77777777" w:rsidR="0051718E" w:rsidRPr="00557C2A" w:rsidRDefault="0051718E">
            <w:pPr>
              <w:spacing w:before="0" w:after="0"/>
              <w:jc w:val="right"/>
              <w:rPr>
                <w:rFonts w:eastAsia="Times New Roman"/>
                <w:b/>
                <w:bCs/>
                <w:noProof/>
                <w:color w:val="000000"/>
                <w:sz w:val="16"/>
                <w:szCs w:val="16"/>
              </w:rPr>
            </w:pPr>
            <w:r w:rsidRPr="00557C2A">
              <w:rPr>
                <w:b/>
                <w:noProof/>
                <w:color w:val="000000" w:themeColor="text1"/>
                <w:sz w:val="16"/>
              </w:rPr>
              <w:t>0</w:t>
            </w:r>
          </w:p>
        </w:tc>
        <w:tc>
          <w:tcPr>
            <w:tcW w:w="524" w:type="pct"/>
            <w:tcBorders>
              <w:top w:val="nil"/>
              <w:left w:val="nil"/>
              <w:bottom w:val="single" w:sz="8" w:space="0" w:color="auto"/>
              <w:right w:val="single" w:sz="8" w:space="0" w:color="auto"/>
            </w:tcBorders>
            <w:shd w:val="clear" w:color="000000" w:fill="D9D9D9"/>
            <w:vAlign w:val="center"/>
            <w:hideMark/>
          </w:tcPr>
          <w:p w14:paraId="6EB1EAC7" w14:textId="77777777" w:rsidR="0051718E" w:rsidRPr="00557C2A" w:rsidRDefault="0051718E">
            <w:pPr>
              <w:spacing w:before="0" w:after="0"/>
              <w:jc w:val="right"/>
              <w:rPr>
                <w:rFonts w:eastAsia="Times New Roman"/>
                <w:b/>
                <w:bCs/>
                <w:noProof/>
                <w:color w:val="000000"/>
                <w:sz w:val="16"/>
                <w:szCs w:val="16"/>
              </w:rPr>
            </w:pPr>
            <w:r w:rsidRPr="00557C2A">
              <w:rPr>
                <w:b/>
                <w:noProof/>
                <w:color w:val="000000" w:themeColor="text1"/>
                <w:sz w:val="16"/>
              </w:rPr>
              <w:t>0</w:t>
            </w:r>
          </w:p>
        </w:tc>
        <w:tc>
          <w:tcPr>
            <w:tcW w:w="524" w:type="pct"/>
            <w:tcBorders>
              <w:top w:val="nil"/>
              <w:left w:val="nil"/>
              <w:bottom w:val="single" w:sz="8" w:space="0" w:color="auto"/>
              <w:right w:val="single" w:sz="8" w:space="0" w:color="auto"/>
            </w:tcBorders>
            <w:shd w:val="clear" w:color="000000" w:fill="D9D9D9"/>
            <w:vAlign w:val="center"/>
            <w:hideMark/>
          </w:tcPr>
          <w:p w14:paraId="3A88BD1E" w14:textId="77777777" w:rsidR="0051718E" w:rsidRPr="00557C2A" w:rsidRDefault="0051718E">
            <w:pPr>
              <w:spacing w:before="0" w:after="0"/>
              <w:jc w:val="right"/>
              <w:rPr>
                <w:rFonts w:eastAsia="Times New Roman"/>
                <w:b/>
                <w:bCs/>
                <w:noProof/>
                <w:color w:val="000000"/>
                <w:sz w:val="16"/>
                <w:szCs w:val="16"/>
              </w:rPr>
            </w:pPr>
            <w:r w:rsidRPr="00557C2A">
              <w:rPr>
                <w:b/>
                <w:noProof/>
                <w:color w:val="000000" w:themeColor="text1"/>
                <w:sz w:val="16"/>
              </w:rPr>
              <w:t>0</w:t>
            </w:r>
          </w:p>
        </w:tc>
        <w:tc>
          <w:tcPr>
            <w:tcW w:w="524" w:type="pct"/>
            <w:tcBorders>
              <w:top w:val="nil"/>
              <w:left w:val="nil"/>
              <w:bottom w:val="single" w:sz="8" w:space="0" w:color="auto"/>
              <w:right w:val="single" w:sz="8" w:space="0" w:color="auto"/>
            </w:tcBorders>
            <w:shd w:val="clear" w:color="000000" w:fill="D9D9D9"/>
            <w:vAlign w:val="center"/>
            <w:hideMark/>
          </w:tcPr>
          <w:p w14:paraId="2ACC063C" w14:textId="77777777" w:rsidR="0051718E" w:rsidRPr="00557C2A" w:rsidRDefault="0051718E">
            <w:pPr>
              <w:spacing w:before="0" w:after="0"/>
              <w:jc w:val="right"/>
              <w:rPr>
                <w:rFonts w:eastAsia="Times New Roman"/>
                <w:b/>
                <w:bCs/>
                <w:noProof/>
                <w:color w:val="000000"/>
                <w:sz w:val="16"/>
                <w:szCs w:val="16"/>
              </w:rPr>
            </w:pPr>
            <w:r w:rsidRPr="00557C2A">
              <w:rPr>
                <w:b/>
                <w:noProof/>
                <w:color w:val="000000" w:themeColor="text1"/>
                <w:sz w:val="16"/>
              </w:rPr>
              <w:t>0</w:t>
            </w:r>
          </w:p>
        </w:tc>
        <w:tc>
          <w:tcPr>
            <w:tcW w:w="543" w:type="pct"/>
            <w:tcBorders>
              <w:top w:val="nil"/>
              <w:left w:val="nil"/>
              <w:bottom w:val="single" w:sz="8" w:space="0" w:color="auto"/>
              <w:right w:val="single" w:sz="8" w:space="0" w:color="auto"/>
            </w:tcBorders>
            <w:shd w:val="clear" w:color="000000" w:fill="D9D9D9"/>
            <w:vAlign w:val="center"/>
            <w:hideMark/>
          </w:tcPr>
          <w:p w14:paraId="7017F992" w14:textId="77777777" w:rsidR="0051718E" w:rsidRPr="00557C2A" w:rsidRDefault="0051718E">
            <w:pPr>
              <w:spacing w:before="0" w:after="0"/>
              <w:jc w:val="right"/>
              <w:rPr>
                <w:rFonts w:eastAsia="Times New Roman"/>
                <w:b/>
                <w:bCs/>
                <w:noProof/>
                <w:color w:val="000000"/>
                <w:sz w:val="16"/>
                <w:szCs w:val="16"/>
              </w:rPr>
            </w:pPr>
            <w:r w:rsidRPr="00557C2A">
              <w:rPr>
                <w:b/>
                <w:noProof/>
                <w:color w:val="000000" w:themeColor="text1"/>
                <w:sz w:val="16"/>
              </w:rPr>
              <w:t>0</w:t>
            </w:r>
          </w:p>
        </w:tc>
      </w:tr>
      <w:tr w:rsidR="0051718E" w:rsidRPr="00557C2A" w14:paraId="016A1F03" w14:textId="77777777" w:rsidTr="00B37C03">
        <w:trPr>
          <w:trHeight w:val="300"/>
        </w:trPr>
        <w:tc>
          <w:tcPr>
            <w:tcW w:w="5000" w:type="pct"/>
            <w:gridSpan w:val="9"/>
            <w:tcBorders>
              <w:top w:val="single" w:sz="8" w:space="0" w:color="auto"/>
              <w:left w:val="single" w:sz="8" w:space="0" w:color="auto"/>
              <w:bottom w:val="single" w:sz="8" w:space="0" w:color="auto"/>
              <w:right w:val="single" w:sz="8" w:space="0" w:color="000000"/>
            </w:tcBorders>
            <w:vAlign w:val="center"/>
            <w:hideMark/>
          </w:tcPr>
          <w:p w14:paraId="1E2EB889" w14:textId="77777777" w:rsidR="0051718E" w:rsidRPr="00557C2A" w:rsidRDefault="0051718E">
            <w:pPr>
              <w:spacing w:before="0" w:after="0"/>
              <w:jc w:val="center"/>
              <w:rPr>
                <w:rFonts w:eastAsia="Times New Roman"/>
                <w:noProof/>
                <w:color w:val="000000"/>
                <w:sz w:val="16"/>
                <w:szCs w:val="16"/>
              </w:rPr>
            </w:pPr>
            <w:r w:rsidRPr="00557C2A">
              <w:rPr>
                <w:noProof/>
                <w:color w:val="000000" w:themeColor="text1"/>
                <w:sz w:val="16"/>
              </w:rPr>
              <w:t xml:space="preserve"> </w:t>
            </w:r>
          </w:p>
        </w:tc>
      </w:tr>
      <w:tr w:rsidR="0051718E" w:rsidRPr="00557C2A" w14:paraId="056B2ADF" w14:textId="77777777" w:rsidTr="00B37C03">
        <w:trPr>
          <w:trHeight w:val="300"/>
        </w:trPr>
        <w:tc>
          <w:tcPr>
            <w:tcW w:w="792" w:type="pct"/>
            <w:tcBorders>
              <w:top w:val="nil"/>
              <w:left w:val="single" w:sz="12" w:space="0" w:color="auto"/>
              <w:bottom w:val="single" w:sz="12" w:space="0" w:color="auto"/>
              <w:right w:val="single" w:sz="8" w:space="0" w:color="auto"/>
            </w:tcBorders>
            <w:vAlign w:val="center"/>
            <w:hideMark/>
          </w:tcPr>
          <w:p w14:paraId="5F347541" w14:textId="77777777" w:rsidR="0051718E" w:rsidRPr="00557C2A" w:rsidRDefault="0051718E">
            <w:pPr>
              <w:spacing w:before="0" w:after="0"/>
              <w:jc w:val="center"/>
              <w:rPr>
                <w:rFonts w:eastAsia="Times New Roman"/>
                <w:b/>
                <w:bCs/>
                <w:noProof/>
                <w:color w:val="000000"/>
                <w:sz w:val="16"/>
                <w:szCs w:val="16"/>
              </w:rPr>
            </w:pPr>
            <w:r w:rsidRPr="00557C2A">
              <w:rPr>
                <w:b/>
                <w:noProof/>
                <w:color w:val="000000" w:themeColor="text1"/>
                <w:sz w:val="16"/>
              </w:rPr>
              <w:t>TOTAAL</w:t>
            </w:r>
          </w:p>
        </w:tc>
        <w:tc>
          <w:tcPr>
            <w:tcW w:w="524" w:type="pct"/>
            <w:tcBorders>
              <w:top w:val="nil"/>
              <w:left w:val="nil"/>
              <w:bottom w:val="single" w:sz="12" w:space="0" w:color="auto"/>
              <w:right w:val="single" w:sz="8" w:space="0" w:color="auto"/>
            </w:tcBorders>
            <w:shd w:val="clear" w:color="000000" w:fill="D9D9D9"/>
            <w:vAlign w:val="center"/>
            <w:hideMark/>
          </w:tcPr>
          <w:p w14:paraId="7A831D2C" w14:textId="77777777" w:rsidR="0051718E" w:rsidRPr="00557C2A" w:rsidRDefault="0051718E">
            <w:pPr>
              <w:spacing w:before="0" w:after="0"/>
              <w:jc w:val="right"/>
              <w:rPr>
                <w:rFonts w:eastAsia="Times New Roman"/>
                <w:b/>
                <w:bCs/>
                <w:noProof/>
                <w:color w:val="000000"/>
                <w:sz w:val="16"/>
                <w:szCs w:val="16"/>
              </w:rPr>
            </w:pPr>
            <w:r w:rsidRPr="00557C2A">
              <w:rPr>
                <w:b/>
                <w:noProof/>
                <w:color w:val="000000" w:themeColor="text1"/>
                <w:sz w:val="16"/>
              </w:rPr>
              <w:t>0</w:t>
            </w:r>
          </w:p>
        </w:tc>
        <w:tc>
          <w:tcPr>
            <w:tcW w:w="524" w:type="pct"/>
            <w:tcBorders>
              <w:top w:val="nil"/>
              <w:left w:val="nil"/>
              <w:bottom w:val="single" w:sz="12" w:space="0" w:color="auto"/>
              <w:right w:val="single" w:sz="8" w:space="0" w:color="auto"/>
            </w:tcBorders>
            <w:shd w:val="clear" w:color="000000" w:fill="D9D9D9"/>
            <w:vAlign w:val="center"/>
            <w:hideMark/>
          </w:tcPr>
          <w:p w14:paraId="13030F22" w14:textId="77777777" w:rsidR="0051718E" w:rsidRPr="00557C2A" w:rsidRDefault="0051718E">
            <w:pPr>
              <w:spacing w:before="0" w:after="0"/>
              <w:jc w:val="right"/>
              <w:rPr>
                <w:rFonts w:eastAsia="Times New Roman"/>
                <w:b/>
                <w:bCs/>
                <w:noProof/>
                <w:color w:val="000000"/>
                <w:sz w:val="16"/>
                <w:szCs w:val="16"/>
              </w:rPr>
            </w:pPr>
            <w:r w:rsidRPr="00557C2A">
              <w:rPr>
                <w:b/>
                <w:noProof/>
                <w:color w:val="000000" w:themeColor="text1"/>
                <w:sz w:val="16"/>
              </w:rPr>
              <w:t>0</w:t>
            </w:r>
          </w:p>
        </w:tc>
        <w:tc>
          <w:tcPr>
            <w:tcW w:w="523" w:type="pct"/>
            <w:tcBorders>
              <w:top w:val="nil"/>
              <w:left w:val="nil"/>
              <w:bottom w:val="single" w:sz="12" w:space="0" w:color="auto"/>
              <w:right w:val="single" w:sz="8" w:space="0" w:color="auto"/>
            </w:tcBorders>
            <w:shd w:val="clear" w:color="000000" w:fill="D9D9D9"/>
            <w:vAlign w:val="center"/>
            <w:hideMark/>
          </w:tcPr>
          <w:p w14:paraId="77683F6C" w14:textId="77777777" w:rsidR="0051718E" w:rsidRPr="00557C2A" w:rsidRDefault="0051718E">
            <w:pPr>
              <w:spacing w:before="0" w:after="0"/>
              <w:jc w:val="right"/>
              <w:rPr>
                <w:rFonts w:eastAsia="Times New Roman"/>
                <w:b/>
                <w:bCs/>
                <w:noProof/>
                <w:color w:val="000000"/>
                <w:sz w:val="16"/>
                <w:szCs w:val="16"/>
              </w:rPr>
            </w:pPr>
            <w:r w:rsidRPr="00557C2A">
              <w:rPr>
                <w:b/>
                <w:noProof/>
                <w:color w:val="000000" w:themeColor="text1"/>
                <w:sz w:val="16"/>
              </w:rPr>
              <w:t>0</w:t>
            </w:r>
          </w:p>
        </w:tc>
        <w:tc>
          <w:tcPr>
            <w:tcW w:w="524" w:type="pct"/>
            <w:tcBorders>
              <w:top w:val="nil"/>
              <w:left w:val="nil"/>
              <w:bottom w:val="single" w:sz="12" w:space="0" w:color="auto"/>
              <w:right w:val="single" w:sz="8" w:space="0" w:color="auto"/>
            </w:tcBorders>
            <w:shd w:val="clear" w:color="000000" w:fill="D9D9D9"/>
            <w:vAlign w:val="center"/>
            <w:hideMark/>
          </w:tcPr>
          <w:p w14:paraId="75561BA6" w14:textId="77777777" w:rsidR="0051718E" w:rsidRPr="00557C2A" w:rsidRDefault="0051718E">
            <w:pPr>
              <w:spacing w:before="0" w:after="0"/>
              <w:jc w:val="right"/>
              <w:rPr>
                <w:rFonts w:eastAsia="Times New Roman"/>
                <w:b/>
                <w:bCs/>
                <w:noProof/>
                <w:color w:val="000000"/>
                <w:sz w:val="16"/>
                <w:szCs w:val="16"/>
              </w:rPr>
            </w:pPr>
            <w:r w:rsidRPr="00557C2A">
              <w:rPr>
                <w:b/>
                <w:noProof/>
                <w:color w:val="000000" w:themeColor="text1"/>
                <w:sz w:val="16"/>
              </w:rPr>
              <w:t>0</w:t>
            </w:r>
          </w:p>
        </w:tc>
        <w:tc>
          <w:tcPr>
            <w:tcW w:w="524" w:type="pct"/>
            <w:tcBorders>
              <w:top w:val="nil"/>
              <w:left w:val="nil"/>
              <w:bottom w:val="single" w:sz="12" w:space="0" w:color="auto"/>
              <w:right w:val="single" w:sz="8" w:space="0" w:color="auto"/>
            </w:tcBorders>
            <w:shd w:val="clear" w:color="000000" w:fill="D9D9D9"/>
            <w:vAlign w:val="center"/>
            <w:hideMark/>
          </w:tcPr>
          <w:p w14:paraId="036FB49B" w14:textId="77777777" w:rsidR="0051718E" w:rsidRPr="00557C2A" w:rsidRDefault="0051718E">
            <w:pPr>
              <w:spacing w:before="0" w:after="0"/>
              <w:jc w:val="right"/>
              <w:rPr>
                <w:rFonts w:eastAsia="Times New Roman"/>
                <w:b/>
                <w:bCs/>
                <w:noProof/>
                <w:color w:val="000000"/>
                <w:sz w:val="16"/>
                <w:szCs w:val="16"/>
              </w:rPr>
            </w:pPr>
            <w:r w:rsidRPr="00557C2A">
              <w:rPr>
                <w:b/>
                <w:noProof/>
                <w:color w:val="000000" w:themeColor="text1"/>
                <w:sz w:val="16"/>
              </w:rPr>
              <w:t>0</w:t>
            </w:r>
          </w:p>
        </w:tc>
        <w:tc>
          <w:tcPr>
            <w:tcW w:w="524" w:type="pct"/>
            <w:tcBorders>
              <w:top w:val="nil"/>
              <w:left w:val="nil"/>
              <w:bottom w:val="single" w:sz="12" w:space="0" w:color="auto"/>
              <w:right w:val="single" w:sz="8" w:space="0" w:color="auto"/>
            </w:tcBorders>
            <w:shd w:val="clear" w:color="000000" w:fill="D9D9D9"/>
            <w:vAlign w:val="center"/>
            <w:hideMark/>
          </w:tcPr>
          <w:p w14:paraId="6F70572D" w14:textId="77777777" w:rsidR="0051718E" w:rsidRPr="00557C2A" w:rsidRDefault="0051718E">
            <w:pPr>
              <w:spacing w:before="0" w:after="0"/>
              <w:jc w:val="right"/>
              <w:rPr>
                <w:rFonts w:eastAsia="Times New Roman"/>
                <w:b/>
                <w:bCs/>
                <w:noProof/>
                <w:color w:val="000000"/>
                <w:sz w:val="16"/>
                <w:szCs w:val="16"/>
              </w:rPr>
            </w:pPr>
            <w:r w:rsidRPr="00557C2A">
              <w:rPr>
                <w:b/>
                <w:noProof/>
                <w:color w:val="000000" w:themeColor="text1"/>
                <w:sz w:val="16"/>
              </w:rPr>
              <w:t>0</w:t>
            </w:r>
          </w:p>
        </w:tc>
        <w:tc>
          <w:tcPr>
            <w:tcW w:w="524" w:type="pct"/>
            <w:tcBorders>
              <w:top w:val="nil"/>
              <w:left w:val="nil"/>
              <w:bottom w:val="single" w:sz="12" w:space="0" w:color="auto"/>
              <w:right w:val="single" w:sz="8" w:space="0" w:color="auto"/>
            </w:tcBorders>
            <w:shd w:val="clear" w:color="000000" w:fill="D9D9D9"/>
            <w:vAlign w:val="center"/>
            <w:hideMark/>
          </w:tcPr>
          <w:p w14:paraId="43CD5461" w14:textId="77777777" w:rsidR="0051718E" w:rsidRPr="00557C2A" w:rsidRDefault="0051718E">
            <w:pPr>
              <w:spacing w:before="0" w:after="0"/>
              <w:jc w:val="right"/>
              <w:rPr>
                <w:rFonts w:eastAsia="Times New Roman"/>
                <w:b/>
                <w:bCs/>
                <w:noProof/>
                <w:color w:val="000000"/>
                <w:sz w:val="16"/>
                <w:szCs w:val="16"/>
              </w:rPr>
            </w:pPr>
            <w:r w:rsidRPr="00557C2A">
              <w:rPr>
                <w:b/>
                <w:noProof/>
                <w:color w:val="000000" w:themeColor="text1"/>
                <w:sz w:val="16"/>
              </w:rPr>
              <w:t>0</w:t>
            </w:r>
          </w:p>
        </w:tc>
        <w:tc>
          <w:tcPr>
            <w:tcW w:w="543" w:type="pct"/>
            <w:tcBorders>
              <w:top w:val="nil"/>
              <w:left w:val="nil"/>
              <w:bottom w:val="single" w:sz="12" w:space="0" w:color="auto"/>
              <w:right w:val="single" w:sz="8" w:space="0" w:color="auto"/>
            </w:tcBorders>
            <w:shd w:val="clear" w:color="000000" w:fill="D9D9D9"/>
            <w:vAlign w:val="center"/>
            <w:hideMark/>
          </w:tcPr>
          <w:p w14:paraId="372AF0F8" w14:textId="77777777" w:rsidR="0051718E" w:rsidRPr="00557C2A" w:rsidRDefault="0051718E">
            <w:pPr>
              <w:spacing w:before="0" w:after="0"/>
              <w:jc w:val="right"/>
              <w:rPr>
                <w:rFonts w:eastAsia="Times New Roman"/>
                <w:b/>
                <w:bCs/>
                <w:noProof/>
                <w:color w:val="000000"/>
                <w:sz w:val="16"/>
                <w:szCs w:val="16"/>
              </w:rPr>
            </w:pPr>
            <w:r w:rsidRPr="00557C2A">
              <w:rPr>
                <w:b/>
                <w:noProof/>
                <w:color w:val="000000" w:themeColor="text1"/>
                <w:sz w:val="16"/>
              </w:rPr>
              <w:t>0</w:t>
            </w:r>
          </w:p>
        </w:tc>
      </w:tr>
    </w:tbl>
    <w:p w14:paraId="7B585924" w14:textId="77777777" w:rsidR="0051718E" w:rsidRPr="00557C2A" w:rsidRDefault="0051718E" w:rsidP="0051718E">
      <w:pPr>
        <w:pStyle w:val="ManualHeading3"/>
        <w:rPr>
          <w:noProof/>
        </w:rPr>
      </w:pPr>
      <w:r w:rsidRPr="00557C2A">
        <w:rPr>
          <w:noProof/>
        </w:rPr>
        <w:t>3.2.6.</w:t>
      </w:r>
      <w:r w:rsidRPr="00557C2A">
        <w:rPr>
          <w:noProof/>
        </w:rPr>
        <w:tab/>
        <w:t>Verenigbaarheid met het huidige meerjarig financieel kader</w:t>
      </w:r>
      <w:bookmarkEnd w:id="165"/>
      <w:bookmarkEnd w:id="166"/>
      <w:bookmarkEnd w:id="167"/>
      <w:bookmarkEnd w:id="168"/>
      <w:bookmarkEnd w:id="169"/>
      <w:r w:rsidRPr="00557C2A">
        <w:rPr>
          <w:noProof/>
        </w:rPr>
        <w:t xml:space="preserve"> </w:t>
      </w:r>
    </w:p>
    <w:p w14:paraId="0760B9C2" w14:textId="77777777" w:rsidR="0051718E" w:rsidRPr="00557C2A" w:rsidRDefault="0051718E" w:rsidP="0051718E">
      <w:pPr>
        <w:pStyle w:val="Text1"/>
        <w:rPr>
          <w:noProof/>
        </w:rPr>
      </w:pPr>
      <w:r w:rsidRPr="00557C2A">
        <w:rPr>
          <w:noProof/>
        </w:rPr>
        <w:t>Het voorstel/initiatief:</w:t>
      </w:r>
    </w:p>
    <w:p w14:paraId="24C30EBC" w14:textId="77777777" w:rsidR="0051718E" w:rsidRPr="00557C2A" w:rsidRDefault="0051718E" w:rsidP="0051718E">
      <w:pPr>
        <w:pStyle w:val="ListDash1"/>
        <w:rPr>
          <w:noProof/>
        </w:rPr>
      </w:pPr>
      <w:r w:rsidRPr="00557C2A">
        <w:rPr>
          <w:rFonts w:ascii="Wingdings" w:hAnsi="Wingdings"/>
          <w:noProof/>
        </w:rPr>
        <w:t></w:t>
      </w:r>
      <w:r w:rsidRPr="00557C2A">
        <w:rPr>
          <w:noProof/>
        </w:rPr>
        <w:tab/>
        <w:t>kan volledig worden gefinancierd door middel van herschikking binnen de relevante rubriek van het meerjarig financieel kader (MFK)</w:t>
      </w:r>
    </w:p>
    <w:p w14:paraId="6A19122B" w14:textId="77777777" w:rsidR="0051718E" w:rsidRPr="00557C2A" w:rsidRDefault="0051718E" w:rsidP="0051718E">
      <w:pPr>
        <w:pStyle w:val="ListDash1"/>
        <w:rPr>
          <w:noProof/>
        </w:rPr>
      </w:pPr>
      <w:r w:rsidRPr="00557C2A">
        <w:rPr>
          <w:rFonts w:ascii="Wingdings" w:hAnsi="Wingdings"/>
          <w:noProof/>
        </w:rPr>
        <w:t></w:t>
      </w:r>
      <w:r w:rsidRPr="00557C2A">
        <w:rPr>
          <w:noProof/>
        </w:rPr>
        <w:tab/>
        <w:t>vereist een beroep op de niet-toegewezen marge in de desbetreffende rubriek van het MFK en/of op de speciale instrumenten zoals gedefinieerd in de MFK-verordening</w:t>
      </w:r>
    </w:p>
    <w:p w14:paraId="5EDAED96" w14:textId="77777777" w:rsidR="0051718E" w:rsidRPr="00557C2A" w:rsidRDefault="0051718E" w:rsidP="0051718E">
      <w:pPr>
        <w:pStyle w:val="ListDash1"/>
        <w:rPr>
          <w:noProof/>
        </w:rPr>
      </w:pPr>
      <w:r w:rsidRPr="00557C2A">
        <w:rPr>
          <w:rFonts w:ascii="Wingdings" w:hAnsi="Wingdings"/>
          <w:noProof/>
        </w:rPr>
        <w:t></w:t>
      </w:r>
      <w:r w:rsidRPr="00557C2A">
        <w:rPr>
          <w:noProof/>
        </w:rPr>
        <w:tab/>
        <w:t>vereist een herziening van het MFK</w:t>
      </w:r>
    </w:p>
    <w:p w14:paraId="0FD977E6" w14:textId="77777777" w:rsidR="0051718E" w:rsidRPr="00557C2A" w:rsidRDefault="0051718E" w:rsidP="0051718E">
      <w:pPr>
        <w:pStyle w:val="ManualHeading3"/>
        <w:rPr>
          <w:noProof/>
        </w:rPr>
      </w:pPr>
      <w:bookmarkStart w:id="170" w:name="_Toc514938058"/>
      <w:bookmarkStart w:id="171" w:name="_Toc520485056"/>
      <w:bookmarkStart w:id="172" w:name="_Toc160804600"/>
      <w:bookmarkStart w:id="173" w:name="_Toc167220299"/>
      <w:bookmarkStart w:id="174" w:name="_Toc177549033"/>
      <w:r w:rsidRPr="00557C2A">
        <w:rPr>
          <w:noProof/>
        </w:rPr>
        <w:t>3.2.7.</w:t>
      </w:r>
      <w:r w:rsidRPr="00557C2A">
        <w:rPr>
          <w:noProof/>
        </w:rPr>
        <w:tab/>
        <w:t>Bijdragen van derden</w:t>
      </w:r>
      <w:bookmarkEnd w:id="170"/>
      <w:bookmarkEnd w:id="171"/>
      <w:bookmarkEnd w:id="172"/>
      <w:bookmarkEnd w:id="173"/>
      <w:bookmarkEnd w:id="174"/>
      <w:r w:rsidRPr="00557C2A">
        <w:rPr>
          <w:noProof/>
        </w:rPr>
        <w:t xml:space="preserve"> </w:t>
      </w:r>
    </w:p>
    <w:p w14:paraId="24D97551" w14:textId="77777777" w:rsidR="0051718E" w:rsidRPr="00557C2A" w:rsidRDefault="0051718E" w:rsidP="0051718E">
      <w:pPr>
        <w:pStyle w:val="Text1"/>
        <w:rPr>
          <w:noProof/>
        </w:rPr>
      </w:pPr>
      <w:r w:rsidRPr="00557C2A">
        <w:rPr>
          <w:noProof/>
        </w:rPr>
        <w:t>Het voorstel/initiatief:</w:t>
      </w:r>
    </w:p>
    <w:p w14:paraId="45767832" w14:textId="77777777" w:rsidR="0051718E" w:rsidRPr="00557C2A" w:rsidRDefault="0051718E" w:rsidP="0051718E">
      <w:pPr>
        <w:pStyle w:val="ListDash1"/>
        <w:rPr>
          <w:noProof/>
        </w:rPr>
      </w:pPr>
      <w:r w:rsidRPr="00557C2A">
        <w:rPr>
          <w:rFonts w:ascii="Wingdings" w:hAnsi="Wingdings"/>
          <w:noProof/>
        </w:rPr>
        <w:t></w:t>
      </w:r>
      <w:r w:rsidRPr="00557C2A">
        <w:rPr>
          <w:noProof/>
        </w:rPr>
        <w:tab/>
        <w:t>omvat geen medefinanciering door derden</w:t>
      </w:r>
    </w:p>
    <w:p w14:paraId="6CEDF2D9" w14:textId="77777777" w:rsidR="0051718E" w:rsidRPr="00557C2A" w:rsidRDefault="0051718E" w:rsidP="0051718E">
      <w:pPr>
        <w:pStyle w:val="ListDash1"/>
        <w:rPr>
          <w:noProof/>
        </w:rPr>
      </w:pPr>
      <w:r w:rsidRPr="00557C2A">
        <w:rPr>
          <w:rFonts w:ascii="Wingdings" w:hAnsi="Wingdings"/>
          <w:noProof/>
        </w:rPr>
        <w:t></w:t>
      </w:r>
      <w:r w:rsidRPr="00557C2A">
        <w:rPr>
          <w:noProof/>
        </w:rPr>
        <w:tab/>
        <w:t>omvat medefinanciering door derden, zoals hieronder wordt geraamd:</w:t>
      </w:r>
    </w:p>
    <w:p w14:paraId="7F8A631E" w14:textId="77777777" w:rsidR="0051718E" w:rsidRPr="00557C2A" w:rsidRDefault="0051718E" w:rsidP="0051718E">
      <w:pPr>
        <w:jc w:val="right"/>
        <w:rPr>
          <w:noProof/>
          <w:sz w:val="20"/>
        </w:rPr>
      </w:pPr>
      <w:r w:rsidRPr="00557C2A">
        <w:rPr>
          <w:noProof/>
          <w:sz w:val="20"/>
        </w:rPr>
        <w:t>Kredieten in miljoenen euro’s (tot op drie decimalen)</w:t>
      </w:r>
    </w:p>
    <w:tbl>
      <w:tblPr>
        <w:tblW w:w="5000" w:type="pct"/>
        <w:tblLook w:val="04A0" w:firstRow="1" w:lastRow="0" w:firstColumn="1" w:lastColumn="0" w:noHBand="0" w:noVBand="1"/>
      </w:tblPr>
      <w:tblGrid>
        <w:gridCol w:w="2083"/>
        <w:gridCol w:w="899"/>
        <w:gridCol w:w="899"/>
        <w:gridCol w:w="899"/>
        <w:gridCol w:w="901"/>
        <w:gridCol w:w="901"/>
        <w:gridCol w:w="901"/>
        <w:gridCol w:w="902"/>
        <w:gridCol w:w="904"/>
      </w:tblGrid>
      <w:tr w:rsidR="0051718E" w:rsidRPr="00557C2A" w14:paraId="734C9A4B" w14:textId="77777777" w:rsidTr="00B37C03">
        <w:trPr>
          <w:cantSplit/>
          <w:trHeight w:val="290"/>
        </w:trPr>
        <w:tc>
          <w:tcPr>
            <w:tcW w:w="794" w:type="pct"/>
            <w:vMerge w:val="restart"/>
            <w:tcBorders>
              <w:top w:val="single" w:sz="8" w:space="0" w:color="auto"/>
              <w:left w:val="single" w:sz="8" w:space="0" w:color="auto"/>
              <w:bottom w:val="single" w:sz="8" w:space="0" w:color="000000"/>
              <w:right w:val="single" w:sz="8" w:space="0" w:color="auto"/>
            </w:tcBorders>
            <w:vAlign w:val="center"/>
            <w:hideMark/>
          </w:tcPr>
          <w:p w14:paraId="7B097280" w14:textId="77777777" w:rsidR="0051718E" w:rsidRPr="00557C2A" w:rsidRDefault="0051718E">
            <w:pPr>
              <w:spacing w:before="0" w:after="0"/>
              <w:rPr>
                <w:rFonts w:eastAsia="Times New Roman"/>
                <w:noProof/>
                <w:color w:val="000000"/>
                <w:sz w:val="20"/>
                <w:szCs w:val="20"/>
              </w:rPr>
            </w:pPr>
            <w:r w:rsidRPr="00557C2A">
              <w:rPr>
                <w:noProof/>
                <w:color w:val="000000"/>
                <w:sz w:val="20"/>
              </w:rPr>
              <w:t xml:space="preserve"> </w:t>
            </w:r>
          </w:p>
        </w:tc>
        <w:tc>
          <w:tcPr>
            <w:tcW w:w="525" w:type="pct"/>
            <w:tcBorders>
              <w:top w:val="single" w:sz="8" w:space="0" w:color="auto"/>
              <w:left w:val="nil"/>
              <w:bottom w:val="nil"/>
              <w:right w:val="single" w:sz="8" w:space="0" w:color="auto"/>
            </w:tcBorders>
            <w:vAlign w:val="center"/>
            <w:hideMark/>
          </w:tcPr>
          <w:p w14:paraId="347A9B67" w14:textId="77777777" w:rsidR="0051718E" w:rsidRPr="00557C2A" w:rsidRDefault="0051718E">
            <w:pPr>
              <w:spacing w:before="0" w:after="0"/>
              <w:jc w:val="center"/>
              <w:rPr>
                <w:rFonts w:eastAsia="Times New Roman"/>
                <w:noProof/>
                <w:color w:val="000000"/>
                <w:sz w:val="20"/>
                <w:szCs w:val="20"/>
              </w:rPr>
            </w:pPr>
            <w:r w:rsidRPr="00557C2A">
              <w:rPr>
                <w:noProof/>
                <w:color w:val="000000"/>
                <w:sz w:val="20"/>
              </w:rPr>
              <w:t xml:space="preserve">Jaar </w:t>
            </w:r>
          </w:p>
        </w:tc>
        <w:tc>
          <w:tcPr>
            <w:tcW w:w="525" w:type="pct"/>
            <w:tcBorders>
              <w:top w:val="single" w:sz="8" w:space="0" w:color="auto"/>
              <w:left w:val="nil"/>
              <w:bottom w:val="nil"/>
              <w:right w:val="single" w:sz="8" w:space="0" w:color="auto"/>
            </w:tcBorders>
            <w:vAlign w:val="center"/>
            <w:hideMark/>
          </w:tcPr>
          <w:p w14:paraId="5EA87E7B" w14:textId="77777777" w:rsidR="0051718E" w:rsidRPr="00557C2A" w:rsidRDefault="0051718E">
            <w:pPr>
              <w:spacing w:before="0" w:after="0"/>
              <w:jc w:val="center"/>
              <w:rPr>
                <w:rFonts w:eastAsia="Times New Roman"/>
                <w:noProof/>
                <w:color w:val="000000"/>
                <w:sz w:val="20"/>
                <w:szCs w:val="20"/>
              </w:rPr>
            </w:pPr>
            <w:r w:rsidRPr="00557C2A">
              <w:rPr>
                <w:noProof/>
                <w:color w:val="000000"/>
                <w:sz w:val="20"/>
              </w:rPr>
              <w:t xml:space="preserve">Jaar </w:t>
            </w:r>
          </w:p>
        </w:tc>
        <w:tc>
          <w:tcPr>
            <w:tcW w:w="525" w:type="pct"/>
            <w:tcBorders>
              <w:top w:val="single" w:sz="8" w:space="0" w:color="auto"/>
              <w:left w:val="nil"/>
              <w:bottom w:val="nil"/>
              <w:right w:val="single" w:sz="8" w:space="0" w:color="auto"/>
            </w:tcBorders>
            <w:vAlign w:val="center"/>
            <w:hideMark/>
          </w:tcPr>
          <w:p w14:paraId="01091A24" w14:textId="77777777" w:rsidR="0051718E" w:rsidRPr="00557C2A" w:rsidRDefault="0051718E">
            <w:pPr>
              <w:spacing w:before="0" w:after="0"/>
              <w:jc w:val="center"/>
              <w:rPr>
                <w:rFonts w:eastAsia="Times New Roman"/>
                <w:noProof/>
                <w:color w:val="000000"/>
                <w:sz w:val="20"/>
                <w:szCs w:val="20"/>
              </w:rPr>
            </w:pPr>
            <w:r w:rsidRPr="00557C2A">
              <w:rPr>
                <w:noProof/>
                <w:color w:val="000000"/>
                <w:sz w:val="20"/>
              </w:rPr>
              <w:t xml:space="preserve">Jaar </w:t>
            </w:r>
          </w:p>
        </w:tc>
        <w:tc>
          <w:tcPr>
            <w:tcW w:w="526" w:type="pct"/>
            <w:tcBorders>
              <w:top w:val="single" w:sz="8" w:space="0" w:color="auto"/>
              <w:left w:val="nil"/>
              <w:bottom w:val="nil"/>
              <w:right w:val="single" w:sz="8" w:space="0" w:color="auto"/>
            </w:tcBorders>
            <w:vAlign w:val="center"/>
            <w:hideMark/>
          </w:tcPr>
          <w:p w14:paraId="553C884E" w14:textId="77777777" w:rsidR="0051718E" w:rsidRPr="00557C2A" w:rsidRDefault="0051718E">
            <w:pPr>
              <w:spacing w:before="0" w:after="0"/>
              <w:jc w:val="center"/>
              <w:rPr>
                <w:rFonts w:eastAsia="Times New Roman"/>
                <w:noProof/>
                <w:color w:val="000000"/>
                <w:sz w:val="20"/>
                <w:szCs w:val="20"/>
              </w:rPr>
            </w:pPr>
            <w:r w:rsidRPr="00557C2A">
              <w:rPr>
                <w:noProof/>
                <w:color w:val="000000"/>
                <w:sz w:val="20"/>
              </w:rPr>
              <w:t xml:space="preserve">Jaar </w:t>
            </w:r>
          </w:p>
        </w:tc>
        <w:tc>
          <w:tcPr>
            <w:tcW w:w="526" w:type="pct"/>
            <w:tcBorders>
              <w:top w:val="single" w:sz="8" w:space="0" w:color="auto"/>
              <w:left w:val="nil"/>
              <w:bottom w:val="nil"/>
              <w:right w:val="single" w:sz="8" w:space="0" w:color="auto"/>
            </w:tcBorders>
            <w:vAlign w:val="center"/>
            <w:hideMark/>
          </w:tcPr>
          <w:p w14:paraId="0E45FF24" w14:textId="77777777" w:rsidR="0051718E" w:rsidRPr="00557C2A" w:rsidRDefault="0051718E">
            <w:pPr>
              <w:spacing w:before="0" w:after="0"/>
              <w:jc w:val="center"/>
              <w:rPr>
                <w:rFonts w:eastAsia="Times New Roman"/>
                <w:noProof/>
                <w:color w:val="000000"/>
                <w:sz w:val="20"/>
                <w:szCs w:val="20"/>
              </w:rPr>
            </w:pPr>
            <w:r w:rsidRPr="00557C2A">
              <w:rPr>
                <w:noProof/>
                <w:color w:val="000000"/>
                <w:sz w:val="20"/>
              </w:rPr>
              <w:t xml:space="preserve">Jaar </w:t>
            </w:r>
          </w:p>
        </w:tc>
        <w:tc>
          <w:tcPr>
            <w:tcW w:w="526" w:type="pct"/>
            <w:tcBorders>
              <w:top w:val="single" w:sz="8" w:space="0" w:color="auto"/>
              <w:left w:val="nil"/>
              <w:bottom w:val="nil"/>
              <w:right w:val="single" w:sz="8" w:space="0" w:color="auto"/>
            </w:tcBorders>
            <w:vAlign w:val="center"/>
            <w:hideMark/>
          </w:tcPr>
          <w:p w14:paraId="2E59CF1D" w14:textId="77777777" w:rsidR="0051718E" w:rsidRPr="00557C2A" w:rsidRDefault="0051718E">
            <w:pPr>
              <w:spacing w:before="0" w:after="0"/>
              <w:jc w:val="center"/>
              <w:rPr>
                <w:rFonts w:eastAsia="Times New Roman"/>
                <w:noProof/>
                <w:color w:val="000000"/>
                <w:sz w:val="20"/>
                <w:szCs w:val="20"/>
              </w:rPr>
            </w:pPr>
            <w:r w:rsidRPr="00557C2A">
              <w:rPr>
                <w:noProof/>
                <w:color w:val="000000"/>
                <w:sz w:val="20"/>
              </w:rPr>
              <w:t xml:space="preserve">Jaar </w:t>
            </w:r>
          </w:p>
        </w:tc>
        <w:tc>
          <w:tcPr>
            <w:tcW w:w="526" w:type="pct"/>
            <w:tcBorders>
              <w:top w:val="single" w:sz="8" w:space="0" w:color="auto"/>
              <w:left w:val="nil"/>
              <w:bottom w:val="nil"/>
              <w:right w:val="single" w:sz="8" w:space="0" w:color="auto"/>
            </w:tcBorders>
            <w:vAlign w:val="center"/>
            <w:hideMark/>
          </w:tcPr>
          <w:p w14:paraId="466B4681" w14:textId="77777777" w:rsidR="0051718E" w:rsidRPr="00557C2A" w:rsidRDefault="0051718E">
            <w:pPr>
              <w:spacing w:before="0" w:after="0"/>
              <w:jc w:val="center"/>
              <w:rPr>
                <w:rFonts w:eastAsia="Times New Roman"/>
                <w:noProof/>
                <w:color w:val="000000"/>
                <w:sz w:val="20"/>
                <w:szCs w:val="20"/>
              </w:rPr>
            </w:pPr>
            <w:r w:rsidRPr="00557C2A">
              <w:rPr>
                <w:noProof/>
                <w:color w:val="000000"/>
                <w:sz w:val="20"/>
              </w:rPr>
              <w:t xml:space="preserve">Jaar </w:t>
            </w:r>
          </w:p>
        </w:tc>
        <w:tc>
          <w:tcPr>
            <w:tcW w:w="527" w:type="pct"/>
            <w:vMerge w:val="restart"/>
            <w:tcBorders>
              <w:top w:val="single" w:sz="8" w:space="0" w:color="auto"/>
              <w:left w:val="single" w:sz="8" w:space="0" w:color="auto"/>
              <w:bottom w:val="single" w:sz="8" w:space="0" w:color="000000"/>
              <w:right w:val="single" w:sz="8" w:space="0" w:color="auto"/>
            </w:tcBorders>
            <w:vAlign w:val="center"/>
            <w:hideMark/>
          </w:tcPr>
          <w:p w14:paraId="1C7C9AD5" w14:textId="77777777" w:rsidR="0051718E" w:rsidRPr="00557C2A" w:rsidRDefault="0051718E">
            <w:pPr>
              <w:spacing w:before="0" w:after="0"/>
              <w:jc w:val="center"/>
              <w:rPr>
                <w:rFonts w:eastAsia="Times New Roman"/>
                <w:noProof/>
                <w:color w:val="000000"/>
                <w:sz w:val="20"/>
                <w:szCs w:val="20"/>
              </w:rPr>
            </w:pPr>
            <w:r w:rsidRPr="00557C2A">
              <w:rPr>
                <w:noProof/>
                <w:color w:val="000000"/>
                <w:sz w:val="20"/>
              </w:rPr>
              <w:t>Totaal</w:t>
            </w:r>
          </w:p>
        </w:tc>
      </w:tr>
      <w:tr w:rsidR="0051718E" w:rsidRPr="00557C2A" w14:paraId="0B653838" w14:textId="77777777" w:rsidTr="00B37C03">
        <w:trPr>
          <w:trHeight w:val="300"/>
        </w:trPr>
        <w:tc>
          <w:tcPr>
            <w:tcW w:w="794" w:type="pct"/>
            <w:vMerge/>
            <w:tcBorders>
              <w:top w:val="single" w:sz="8" w:space="0" w:color="auto"/>
              <w:left w:val="single" w:sz="8" w:space="0" w:color="auto"/>
              <w:bottom w:val="single" w:sz="8" w:space="0" w:color="000000"/>
              <w:right w:val="single" w:sz="8" w:space="0" w:color="auto"/>
            </w:tcBorders>
            <w:vAlign w:val="center"/>
            <w:hideMark/>
          </w:tcPr>
          <w:p w14:paraId="5CC822EF" w14:textId="77777777" w:rsidR="0051718E" w:rsidRPr="00557C2A" w:rsidRDefault="0051718E">
            <w:pPr>
              <w:spacing w:before="0" w:after="0"/>
              <w:jc w:val="left"/>
              <w:rPr>
                <w:rFonts w:eastAsia="Times New Roman"/>
                <w:noProof/>
                <w:color w:val="000000"/>
                <w:sz w:val="20"/>
                <w:szCs w:val="20"/>
                <w:lang w:eastAsia="en-IE"/>
              </w:rPr>
            </w:pPr>
          </w:p>
        </w:tc>
        <w:tc>
          <w:tcPr>
            <w:tcW w:w="525" w:type="pct"/>
            <w:tcBorders>
              <w:top w:val="nil"/>
              <w:left w:val="nil"/>
              <w:bottom w:val="single" w:sz="8" w:space="0" w:color="auto"/>
              <w:right w:val="single" w:sz="8" w:space="0" w:color="auto"/>
            </w:tcBorders>
            <w:vAlign w:val="center"/>
            <w:hideMark/>
          </w:tcPr>
          <w:p w14:paraId="04F1160D" w14:textId="77777777" w:rsidR="0051718E" w:rsidRPr="00557C2A" w:rsidRDefault="0051718E">
            <w:pPr>
              <w:spacing w:before="0" w:after="0"/>
              <w:jc w:val="center"/>
              <w:rPr>
                <w:rFonts w:eastAsia="Times New Roman"/>
                <w:b/>
                <w:bCs/>
                <w:noProof/>
                <w:color w:val="000000"/>
                <w:sz w:val="20"/>
                <w:szCs w:val="20"/>
              </w:rPr>
            </w:pPr>
            <w:r w:rsidRPr="00557C2A">
              <w:rPr>
                <w:b/>
                <w:noProof/>
                <w:color w:val="000000"/>
                <w:sz w:val="20"/>
              </w:rPr>
              <w:t>2028</w:t>
            </w:r>
          </w:p>
        </w:tc>
        <w:tc>
          <w:tcPr>
            <w:tcW w:w="525" w:type="pct"/>
            <w:tcBorders>
              <w:top w:val="nil"/>
              <w:left w:val="nil"/>
              <w:bottom w:val="single" w:sz="8" w:space="0" w:color="auto"/>
              <w:right w:val="single" w:sz="8" w:space="0" w:color="auto"/>
            </w:tcBorders>
            <w:vAlign w:val="center"/>
            <w:hideMark/>
          </w:tcPr>
          <w:p w14:paraId="2FE7A16D" w14:textId="77777777" w:rsidR="0051718E" w:rsidRPr="00557C2A" w:rsidRDefault="0051718E">
            <w:pPr>
              <w:spacing w:before="0" w:after="0"/>
              <w:jc w:val="center"/>
              <w:rPr>
                <w:rFonts w:eastAsia="Times New Roman"/>
                <w:b/>
                <w:bCs/>
                <w:noProof/>
                <w:color w:val="000000"/>
                <w:sz w:val="20"/>
                <w:szCs w:val="20"/>
              </w:rPr>
            </w:pPr>
            <w:r w:rsidRPr="00557C2A">
              <w:rPr>
                <w:b/>
                <w:noProof/>
                <w:color w:val="000000"/>
                <w:sz w:val="20"/>
              </w:rPr>
              <w:t>2029</w:t>
            </w:r>
          </w:p>
        </w:tc>
        <w:tc>
          <w:tcPr>
            <w:tcW w:w="525" w:type="pct"/>
            <w:tcBorders>
              <w:top w:val="nil"/>
              <w:left w:val="nil"/>
              <w:bottom w:val="single" w:sz="8" w:space="0" w:color="auto"/>
              <w:right w:val="single" w:sz="8" w:space="0" w:color="auto"/>
            </w:tcBorders>
            <w:vAlign w:val="center"/>
            <w:hideMark/>
          </w:tcPr>
          <w:p w14:paraId="6428AEFB" w14:textId="77777777" w:rsidR="0051718E" w:rsidRPr="00557C2A" w:rsidRDefault="0051718E">
            <w:pPr>
              <w:spacing w:before="0" w:after="0"/>
              <w:jc w:val="center"/>
              <w:rPr>
                <w:rFonts w:eastAsia="Times New Roman"/>
                <w:b/>
                <w:bCs/>
                <w:noProof/>
                <w:color w:val="000000"/>
                <w:sz w:val="20"/>
                <w:szCs w:val="20"/>
              </w:rPr>
            </w:pPr>
            <w:r w:rsidRPr="00557C2A">
              <w:rPr>
                <w:b/>
                <w:noProof/>
                <w:color w:val="000000"/>
                <w:sz w:val="20"/>
              </w:rPr>
              <w:t>2030</w:t>
            </w:r>
          </w:p>
        </w:tc>
        <w:tc>
          <w:tcPr>
            <w:tcW w:w="526" w:type="pct"/>
            <w:tcBorders>
              <w:top w:val="nil"/>
              <w:left w:val="nil"/>
              <w:bottom w:val="single" w:sz="8" w:space="0" w:color="auto"/>
              <w:right w:val="single" w:sz="8" w:space="0" w:color="auto"/>
            </w:tcBorders>
            <w:vAlign w:val="center"/>
            <w:hideMark/>
          </w:tcPr>
          <w:p w14:paraId="07CDD1F7" w14:textId="77777777" w:rsidR="0051718E" w:rsidRPr="00557C2A" w:rsidRDefault="0051718E">
            <w:pPr>
              <w:spacing w:before="0" w:after="0"/>
              <w:jc w:val="center"/>
              <w:rPr>
                <w:rFonts w:eastAsia="Times New Roman"/>
                <w:b/>
                <w:bCs/>
                <w:noProof/>
                <w:color w:val="000000"/>
                <w:sz w:val="20"/>
                <w:szCs w:val="20"/>
              </w:rPr>
            </w:pPr>
            <w:r w:rsidRPr="00557C2A">
              <w:rPr>
                <w:b/>
                <w:noProof/>
                <w:color w:val="000000"/>
                <w:sz w:val="20"/>
              </w:rPr>
              <w:t>2031</w:t>
            </w:r>
          </w:p>
        </w:tc>
        <w:tc>
          <w:tcPr>
            <w:tcW w:w="526" w:type="pct"/>
            <w:tcBorders>
              <w:top w:val="nil"/>
              <w:left w:val="nil"/>
              <w:bottom w:val="single" w:sz="8" w:space="0" w:color="auto"/>
              <w:right w:val="single" w:sz="8" w:space="0" w:color="auto"/>
            </w:tcBorders>
            <w:vAlign w:val="center"/>
            <w:hideMark/>
          </w:tcPr>
          <w:p w14:paraId="7DFCB117" w14:textId="77777777" w:rsidR="0051718E" w:rsidRPr="00557C2A" w:rsidRDefault="0051718E">
            <w:pPr>
              <w:spacing w:before="0" w:after="0"/>
              <w:jc w:val="center"/>
              <w:rPr>
                <w:rFonts w:eastAsia="Times New Roman"/>
                <w:b/>
                <w:bCs/>
                <w:noProof/>
                <w:color w:val="000000"/>
                <w:sz w:val="20"/>
                <w:szCs w:val="20"/>
              </w:rPr>
            </w:pPr>
            <w:r w:rsidRPr="00557C2A">
              <w:rPr>
                <w:b/>
                <w:noProof/>
                <w:color w:val="000000"/>
                <w:sz w:val="20"/>
              </w:rPr>
              <w:t>2032</w:t>
            </w:r>
          </w:p>
        </w:tc>
        <w:tc>
          <w:tcPr>
            <w:tcW w:w="526" w:type="pct"/>
            <w:tcBorders>
              <w:top w:val="nil"/>
              <w:left w:val="nil"/>
              <w:bottom w:val="single" w:sz="8" w:space="0" w:color="auto"/>
              <w:right w:val="single" w:sz="8" w:space="0" w:color="auto"/>
            </w:tcBorders>
            <w:vAlign w:val="center"/>
            <w:hideMark/>
          </w:tcPr>
          <w:p w14:paraId="6222C0AE" w14:textId="77777777" w:rsidR="0051718E" w:rsidRPr="00557C2A" w:rsidRDefault="0051718E">
            <w:pPr>
              <w:spacing w:before="0" w:after="0"/>
              <w:jc w:val="center"/>
              <w:rPr>
                <w:rFonts w:eastAsia="Times New Roman"/>
                <w:b/>
                <w:bCs/>
                <w:noProof/>
                <w:color w:val="000000"/>
                <w:sz w:val="20"/>
                <w:szCs w:val="20"/>
              </w:rPr>
            </w:pPr>
            <w:r w:rsidRPr="00557C2A">
              <w:rPr>
                <w:b/>
                <w:noProof/>
                <w:color w:val="000000"/>
                <w:sz w:val="20"/>
              </w:rPr>
              <w:t>2033</w:t>
            </w:r>
          </w:p>
        </w:tc>
        <w:tc>
          <w:tcPr>
            <w:tcW w:w="526" w:type="pct"/>
            <w:tcBorders>
              <w:top w:val="nil"/>
              <w:left w:val="nil"/>
              <w:bottom w:val="single" w:sz="8" w:space="0" w:color="auto"/>
              <w:right w:val="single" w:sz="8" w:space="0" w:color="auto"/>
            </w:tcBorders>
            <w:vAlign w:val="center"/>
            <w:hideMark/>
          </w:tcPr>
          <w:p w14:paraId="6A46C0D4" w14:textId="77777777" w:rsidR="0051718E" w:rsidRPr="00557C2A" w:rsidRDefault="0051718E">
            <w:pPr>
              <w:spacing w:before="0" w:after="0"/>
              <w:jc w:val="center"/>
              <w:rPr>
                <w:rFonts w:eastAsia="Times New Roman"/>
                <w:b/>
                <w:bCs/>
                <w:noProof/>
                <w:color w:val="000000"/>
                <w:sz w:val="20"/>
                <w:szCs w:val="20"/>
              </w:rPr>
            </w:pPr>
            <w:r w:rsidRPr="00557C2A">
              <w:rPr>
                <w:b/>
                <w:noProof/>
                <w:color w:val="000000"/>
                <w:sz w:val="20"/>
              </w:rPr>
              <w:t>2034</w:t>
            </w:r>
          </w:p>
        </w:tc>
        <w:tc>
          <w:tcPr>
            <w:tcW w:w="527" w:type="pct"/>
            <w:vMerge/>
            <w:tcBorders>
              <w:top w:val="single" w:sz="8" w:space="0" w:color="auto"/>
              <w:left w:val="single" w:sz="8" w:space="0" w:color="auto"/>
              <w:bottom w:val="single" w:sz="8" w:space="0" w:color="000000"/>
              <w:right w:val="single" w:sz="8" w:space="0" w:color="auto"/>
            </w:tcBorders>
            <w:vAlign w:val="center"/>
            <w:hideMark/>
          </w:tcPr>
          <w:p w14:paraId="37607B41" w14:textId="77777777" w:rsidR="0051718E" w:rsidRPr="00557C2A" w:rsidRDefault="0051718E">
            <w:pPr>
              <w:spacing w:before="0" w:after="0"/>
              <w:jc w:val="left"/>
              <w:rPr>
                <w:rFonts w:eastAsia="Times New Roman"/>
                <w:noProof/>
                <w:color w:val="000000"/>
                <w:sz w:val="20"/>
                <w:szCs w:val="20"/>
                <w:lang w:eastAsia="en-IE"/>
              </w:rPr>
            </w:pPr>
          </w:p>
        </w:tc>
      </w:tr>
      <w:tr w:rsidR="0051718E" w:rsidRPr="00557C2A" w14:paraId="53D13D3F" w14:textId="77777777" w:rsidTr="00B37C03">
        <w:trPr>
          <w:cantSplit/>
          <w:trHeight w:val="1050"/>
        </w:trPr>
        <w:tc>
          <w:tcPr>
            <w:tcW w:w="794" w:type="pct"/>
            <w:tcBorders>
              <w:top w:val="nil"/>
              <w:left w:val="single" w:sz="8" w:space="0" w:color="auto"/>
              <w:bottom w:val="single" w:sz="8" w:space="0" w:color="auto"/>
              <w:right w:val="single" w:sz="8" w:space="0" w:color="auto"/>
            </w:tcBorders>
            <w:vAlign w:val="center"/>
            <w:hideMark/>
          </w:tcPr>
          <w:p w14:paraId="452A7A62" w14:textId="77777777" w:rsidR="0051718E" w:rsidRPr="00557C2A" w:rsidRDefault="0051718E">
            <w:pPr>
              <w:spacing w:before="0" w:after="0"/>
              <w:rPr>
                <w:rFonts w:eastAsia="Times New Roman"/>
                <w:noProof/>
                <w:color w:val="000000"/>
                <w:sz w:val="20"/>
                <w:szCs w:val="20"/>
              </w:rPr>
            </w:pPr>
            <w:r w:rsidRPr="00557C2A">
              <w:rPr>
                <w:noProof/>
                <w:color w:val="000000"/>
                <w:sz w:val="20"/>
              </w:rPr>
              <w:t>Medefinancieringsbron</w:t>
            </w:r>
            <w:r w:rsidRPr="00557C2A">
              <w:rPr>
                <w:i/>
                <w:noProof/>
                <w:color w:val="000000"/>
                <w:sz w:val="20"/>
              </w:rPr>
              <w:t xml:space="preserve"> </w:t>
            </w:r>
          </w:p>
        </w:tc>
        <w:tc>
          <w:tcPr>
            <w:tcW w:w="525" w:type="pct"/>
            <w:tcBorders>
              <w:top w:val="nil"/>
              <w:left w:val="nil"/>
              <w:bottom w:val="single" w:sz="8" w:space="0" w:color="auto"/>
              <w:right w:val="single" w:sz="8" w:space="0" w:color="auto"/>
            </w:tcBorders>
            <w:vAlign w:val="center"/>
            <w:hideMark/>
          </w:tcPr>
          <w:p w14:paraId="09A5EABB" w14:textId="77777777" w:rsidR="0051718E" w:rsidRPr="00557C2A" w:rsidRDefault="0051718E">
            <w:pPr>
              <w:spacing w:before="0" w:after="0"/>
              <w:jc w:val="center"/>
              <w:rPr>
                <w:rFonts w:eastAsia="Times New Roman"/>
                <w:noProof/>
                <w:color w:val="000000"/>
                <w:sz w:val="20"/>
                <w:szCs w:val="20"/>
              </w:rPr>
            </w:pPr>
            <w:r w:rsidRPr="00557C2A">
              <w:rPr>
                <w:noProof/>
                <w:color w:val="000000"/>
                <w:sz w:val="20"/>
              </w:rPr>
              <w:t xml:space="preserve"> </w:t>
            </w:r>
          </w:p>
        </w:tc>
        <w:tc>
          <w:tcPr>
            <w:tcW w:w="525" w:type="pct"/>
            <w:tcBorders>
              <w:top w:val="nil"/>
              <w:left w:val="nil"/>
              <w:bottom w:val="single" w:sz="8" w:space="0" w:color="auto"/>
              <w:right w:val="single" w:sz="8" w:space="0" w:color="auto"/>
            </w:tcBorders>
            <w:vAlign w:val="center"/>
            <w:hideMark/>
          </w:tcPr>
          <w:p w14:paraId="3D2AB557" w14:textId="77777777" w:rsidR="0051718E" w:rsidRPr="00557C2A" w:rsidRDefault="0051718E">
            <w:pPr>
              <w:spacing w:before="0" w:after="0"/>
              <w:jc w:val="center"/>
              <w:rPr>
                <w:rFonts w:eastAsia="Times New Roman"/>
                <w:noProof/>
                <w:color w:val="000000"/>
                <w:sz w:val="20"/>
                <w:szCs w:val="20"/>
              </w:rPr>
            </w:pPr>
            <w:r w:rsidRPr="00557C2A">
              <w:rPr>
                <w:noProof/>
                <w:color w:val="000000"/>
                <w:sz w:val="20"/>
              </w:rPr>
              <w:t xml:space="preserve"> </w:t>
            </w:r>
          </w:p>
        </w:tc>
        <w:tc>
          <w:tcPr>
            <w:tcW w:w="525" w:type="pct"/>
            <w:tcBorders>
              <w:top w:val="nil"/>
              <w:left w:val="nil"/>
              <w:bottom w:val="single" w:sz="8" w:space="0" w:color="auto"/>
              <w:right w:val="single" w:sz="8" w:space="0" w:color="auto"/>
            </w:tcBorders>
            <w:vAlign w:val="center"/>
            <w:hideMark/>
          </w:tcPr>
          <w:p w14:paraId="2A7BA74B" w14:textId="77777777" w:rsidR="0051718E" w:rsidRPr="00557C2A" w:rsidRDefault="0051718E">
            <w:pPr>
              <w:spacing w:before="0" w:after="0"/>
              <w:jc w:val="center"/>
              <w:rPr>
                <w:rFonts w:eastAsia="Times New Roman"/>
                <w:noProof/>
                <w:color w:val="000000"/>
                <w:sz w:val="20"/>
                <w:szCs w:val="20"/>
              </w:rPr>
            </w:pPr>
            <w:r w:rsidRPr="00557C2A">
              <w:rPr>
                <w:noProof/>
                <w:color w:val="000000"/>
                <w:sz w:val="20"/>
              </w:rPr>
              <w:t xml:space="preserve"> </w:t>
            </w:r>
          </w:p>
        </w:tc>
        <w:tc>
          <w:tcPr>
            <w:tcW w:w="526" w:type="pct"/>
            <w:tcBorders>
              <w:top w:val="nil"/>
              <w:left w:val="nil"/>
              <w:bottom w:val="single" w:sz="8" w:space="0" w:color="auto"/>
              <w:right w:val="single" w:sz="8" w:space="0" w:color="auto"/>
            </w:tcBorders>
            <w:vAlign w:val="center"/>
            <w:hideMark/>
          </w:tcPr>
          <w:p w14:paraId="64CDB62B" w14:textId="77777777" w:rsidR="0051718E" w:rsidRPr="00557C2A" w:rsidRDefault="0051718E">
            <w:pPr>
              <w:spacing w:before="0" w:after="0"/>
              <w:jc w:val="center"/>
              <w:rPr>
                <w:rFonts w:eastAsia="Times New Roman"/>
                <w:noProof/>
                <w:color w:val="000000"/>
                <w:sz w:val="20"/>
                <w:szCs w:val="20"/>
              </w:rPr>
            </w:pPr>
            <w:r w:rsidRPr="00557C2A">
              <w:rPr>
                <w:noProof/>
                <w:color w:val="000000"/>
                <w:sz w:val="20"/>
              </w:rPr>
              <w:t xml:space="preserve"> </w:t>
            </w:r>
          </w:p>
        </w:tc>
        <w:tc>
          <w:tcPr>
            <w:tcW w:w="526" w:type="pct"/>
            <w:tcBorders>
              <w:top w:val="nil"/>
              <w:left w:val="nil"/>
              <w:bottom w:val="single" w:sz="8" w:space="0" w:color="auto"/>
              <w:right w:val="single" w:sz="8" w:space="0" w:color="auto"/>
            </w:tcBorders>
            <w:vAlign w:val="center"/>
            <w:hideMark/>
          </w:tcPr>
          <w:p w14:paraId="42D28C3A" w14:textId="77777777" w:rsidR="0051718E" w:rsidRPr="00557C2A" w:rsidRDefault="0051718E">
            <w:pPr>
              <w:spacing w:before="0" w:after="0"/>
              <w:jc w:val="center"/>
              <w:rPr>
                <w:rFonts w:eastAsia="Times New Roman"/>
                <w:noProof/>
                <w:color w:val="000000"/>
                <w:sz w:val="20"/>
                <w:szCs w:val="20"/>
              </w:rPr>
            </w:pPr>
            <w:r w:rsidRPr="00557C2A">
              <w:rPr>
                <w:noProof/>
                <w:color w:val="000000"/>
                <w:sz w:val="20"/>
              </w:rPr>
              <w:t xml:space="preserve"> </w:t>
            </w:r>
          </w:p>
        </w:tc>
        <w:tc>
          <w:tcPr>
            <w:tcW w:w="526" w:type="pct"/>
            <w:tcBorders>
              <w:top w:val="nil"/>
              <w:left w:val="nil"/>
              <w:bottom w:val="single" w:sz="8" w:space="0" w:color="auto"/>
              <w:right w:val="single" w:sz="8" w:space="0" w:color="auto"/>
            </w:tcBorders>
            <w:vAlign w:val="center"/>
            <w:hideMark/>
          </w:tcPr>
          <w:p w14:paraId="225A6989" w14:textId="77777777" w:rsidR="0051718E" w:rsidRPr="00557C2A" w:rsidRDefault="0051718E">
            <w:pPr>
              <w:spacing w:before="0" w:after="0"/>
              <w:jc w:val="center"/>
              <w:rPr>
                <w:rFonts w:eastAsia="Times New Roman"/>
                <w:noProof/>
                <w:color w:val="000000"/>
                <w:sz w:val="20"/>
                <w:szCs w:val="20"/>
              </w:rPr>
            </w:pPr>
            <w:r w:rsidRPr="00557C2A">
              <w:rPr>
                <w:noProof/>
                <w:color w:val="000000"/>
                <w:sz w:val="20"/>
              </w:rPr>
              <w:t xml:space="preserve"> </w:t>
            </w:r>
          </w:p>
        </w:tc>
        <w:tc>
          <w:tcPr>
            <w:tcW w:w="526" w:type="pct"/>
            <w:tcBorders>
              <w:top w:val="nil"/>
              <w:left w:val="nil"/>
              <w:bottom w:val="single" w:sz="8" w:space="0" w:color="auto"/>
              <w:right w:val="single" w:sz="8" w:space="0" w:color="auto"/>
            </w:tcBorders>
            <w:vAlign w:val="center"/>
            <w:hideMark/>
          </w:tcPr>
          <w:p w14:paraId="018F65CB" w14:textId="77777777" w:rsidR="0051718E" w:rsidRPr="00557C2A" w:rsidRDefault="0051718E">
            <w:pPr>
              <w:spacing w:before="0" w:after="0"/>
              <w:jc w:val="center"/>
              <w:rPr>
                <w:rFonts w:eastAsia="Times New Roman"/>
                <w:noProof/>
                <w:color w:val="000000"/>
                <w:sz w:val="20"/>
                <w:szCs w:val="20"/>
              </w:rPr>
            </w:pPr>
            <w:r w:rsidRPr="00557C2A">
              <w:rPr>
                <w:noProof/>
                <w:color w:val="000000"/>
                <w:sz w:val="20"/>
              </w:rPr>
              <w:t xml:space="preserve"> </w:t>
            </w:r>
          </w:p>
        </w:tc>
        <w:tc>
          <w:tcPr>
            <w:tcW w:w="527" w:type="pct"/>
            <w:tcBorders>
              <w:top w:val="nil"/>
              <w:left w:val="nil"/>
              <w:bottom w:val="single" w:sz="8" w:space="0" w:color="auto"/>
              <w:right w:val="single" w:sz="8" w:space="0" w:color="auto"/>
            </w:tcBorders>
            <w:vAlign w:val="center"/>
            <w:hideMark/>
          </w:tcPr>
          <w:p w14:paraId="7540D8FC" w14:textId="77777777" w:rsidR="0051718E" w:rsidRPr="00557C2A" w:rsidRDefault="0051718E">
            <w:pPr>
              <w:spacing w:before="0" w:after="0"/>
              <w:jc w:val="center"/>
              <w:rPr>
                <w:rFonts w:eastAsia="Times New Roman"/>
                <w:noProof/>
                <w:color w:val="000000"/>
                <w:sz w:val="20"/>
                <w:szCs w:val="20"/>
              </w:rPr>
            </w:pPr>
            <w:r w:rsidRPr="00557C2A">
              <w:rPr>
                <w:noProof/>
                <w:color w:val="000000"/>
                <w:sz w:val="20"/>
              </w:rPr>
              <w:t xml:space="preserve"> </w:t>
            </w:r>
          </w:p>
        </w:tc>
      </w:tr>
      <w:tr w:rsidR="0051718E" w:rsidRPr="00557C2A" w14:paraId="5943CE66" w14:textId="77777777" w:rsidTr="00B37C03">
        <w:trPr>
          <w:cantSplit/>
          <w:trHeight w:val="1050"/>
        </w:trPr>
        <w:tc>
          <w:tcPr>
            <w:tcW w:w="794" w:type="pct"/>
            <w:tcBorders>
              <w:top w:val="nil"/>
              <w:left w:val="single" w:sz="8" w:space="0" w:color="auto"/>
              <w:bottom w:val="single" w:sz="8" w:space="0" w:color="auto"/>
              <w:right w:val="single" w:sz="8" w:space="0" w:color="auto"/>
            </w:tcBorders>
            <w:vAlign w:val="center"/>
            <w:hideMark/>
          </w:tcPr>
          <w:p w14:paraId="1D278F74" w14:textId="77777777" w:rsidR="0051718E" w:rsidRPr="00557C2A" w:rsidRDefault="0051718E">
            <w:pPr>
              <w:spacing w:before="0" w:after="0"/>
              <w:jc w:val="left"/>
              <w:rPr>
                <w:rFonts w:eastAsia="Times New Roman"/>
                <w:noProof/>
                <w:color w:val="000000"/>
                <w:sz w:val="20"/>
                <w:szCs w:val="20"/>
              </w:rPr>
            </w:pPr>
            <w:r w:rsidRPr="00557C2A">
              <w:rPr>
                <w:noProof/>
                <w:color w:val="000000"/>
                <w:sz w:val="20"/>
              </w:rPr>
              <w:t xml:space="preserve">TOTAAL medegefinancierde kredieten </w:t>
            </w:r>
          </w:p>
        </w:tc>
        <w:tc>
          <w:tcPr>
            <w:tcW w:w="525" w:type="pct"/>
            <w:tcBorders>
              <w:top w:val="nil"/>
              <w:left w:val="nil"/>
              <w:bottom w:val="single" w:sz="8" w:space="0" w:color="auto"/>
              <w:right w:val="single" w:sz="8" w:space="0" w:color="auto"/>
            </w:tcBorders>
            <w:vAlign w:val="center"/>
            <w:hideMark/>
          </w:tcPr>
          <w:p w14:paraId="11B70865" w14:textId="77777777" w:rsidR="0051718E" w:rsidRPr="00557C2A" w:rsidRDefault="0051718E">
            <w:pPr>
              <w:spacing w:before="0" w:after="0"/>
              <w:jc w:val="center"/>
              <w:rPr>
                <w:rFonts w:eastAsia="Times New Roman"/>
                <w:noProof/>
                <w:color w:val="000000"/>
                <w:sz w:val="20"/>
                <w:szCs w:val="20"/>
              </w:rPr>
            </w:pPr>
            <w:r w:rsidRPr="00557C2A">
              <w:rPr>
                <w:noProof/>
                <w:color w:val="000000"/>
                <w:sz w:val="20"/>
              </w:rPr>
              <w:t xml:space="preserve"> </w:t>
            </w:r>
          </w:p>
        </w:tc>
        <w:tc>
          <w:tcPr>
            <w:tcW w:w="525" w:type="pct"/>
            <w:tcBorders>
              <w:top w:val="nil"/>
              <w:left w:val="nil"/>
              <w:bottom w:val="single" w:sz="8" w:space="0" w:color="auto"/>
              <w:right w:val="single" w:sz="8" w:space="0" w:color="auto"/>
            </w:tcBorders>
            <w:vAlign w:val="center"/>
            <w:hideMark/>
          </w:tcPr>
          <w:p w14:paraId="35C9C776" w14:textId="77777777" w:rsidR="0051718E" w:rsidRPr="00557C2A" w:rsidRDefault="0051718E">
            <w:pPr>
              <w:spacing w:before="0" w:after="0"/>
              <w:jc w:val="center"/>
              <w:rPr>
                <w:rFonts w:eastAsia="Times New Roman"/>
                <w:noProof/>
                <w:color w:val="000000"/>
                <w:sz w:val="20"/>
                <w:szCs w:val="20"/>
              </w:rPr>
            </w:pPr>
            <w:r w:rsidRPr="00557C2A">
              <w:rPr>
                <w:noProof/>
                <w:color w:val="000000"/>
                <w:sz w:val="20"/>
              </w:rPr>
              <w:t xml:space="preserve"> </w:t>
            </w:r>
          </w:p>
        </w:tc>
        <w:tc>
          <w:tcPr>
            <w:tcW w:w="525" w:type="pct"/>
            <w:tcBorders>
              <w:top w:val="nil"/>
              <w:left w:val="nil"/>
              <w:bottom w:val="single" w:sz="8" w:space="0" w:color="auto"/>
              <w:right w:val="single" w:sz="8" w:space="0" w:color="auto"/>
            </w:tcBorders>
            <w:vAlign w:val="center"/>
            <w:hideMark/>
          </w:tcPr>
          <w:p w14:paraId="18F5B942" w14:textId="77777777" w:rsidR="0051718E" w:rsidRPr="00557C2A" w:rsidRDefault="0051718E">
            <w:pPr>
              <w:spacing w:before="0" w:after="0"/>
              <w:jc w:val="center"/>
              <w:rPr>
                <w:rFonts w:eastAsia="Times New Roman"/>
                <w:noProof/>
                <w:color w:val="000000"/>
                <w:sz w:val="20"/>
                <w:szCs w:val="20"/>
              </w:rPr>
            </w:pPr>
            <w:r w:rsidRPr="00557C2A">
              <w:rPr>
                <w:noProof/>
                <w:color w:val="000000"/>
                <w:sz w:val="20"/>
              </w:rPr>
              <w:t xml:space="preserve"> </w:t>
            </w:r>
          </w:p>
        </w:tc>
        <w:tc>
          <w:tcPr>
            <w:tcW w:w="526" w:type="pct"/>
            <w:tcBorders>
              <w:top w:val="nil"/>
              <w:left w:val="nil"/>
              <w:bottom w:val="single" w:sz="8" w:space="0" w:color="auto"/>
              <w:right w:val="single" w:sz="8" w:space="0" w:color="auto"/>
            </w:tcBorders>
            <w:vAlign w:val="center"/>
            <w:hideMark/>
          </w:tcPr>
          <w:p w14:paraId="25D0E614" w14:textId="77777777" w:rsidR="0051718E" w:rsidRPr="00557C2A" w:rsidRDefault="0051718E">
            <w:pPr>
              <w:spacing w:before="0" w:after="0"/>
              <w:jc w:val="center"/>
              <w:rPr>
                <w:rFonts w:eastAsia="Times New Roman"/>
                <w:noProof/>
                <w:color w:val="000000"/>
                <w:sz w:val="20"/>
                <w:szCs w:val="20"/>
              </w:rPr>
            </w:pPr>
            <w:r w:rsidRPr="00557C2A">
              <w:rPr>
                <w:noProof/>
                <w:color w:val="000000"/>
                <w:sz w:val="20"/>
              </w:rPr>
              <w:t xml:space="preserve"> </w:t>
            </w:r>
          </w:p>
        </w:tc>
        <w:tc>
          <w:tcPr>
            <w:tcW w:w="526" w:type="pct"/>
            <w:tcBorders>
              <w:top w:val="nil"/>
              <w:left w:val="nil"/>
              <w:bottom w:val="single" w:sz="8" w:space="0" w:color="auto"/>
              <w:right w:val="single" w:sz="8" w:space="0" w:color="auto"/>
            </w:tcBorders>
            <w:vAlign w:val="center"/>
            <w:hideMark/>
          </w:tcPr>
          <w:p w14:paraId="5A176395" w14:textId="77777777" w:rsidR="0051718E" w:rsidRPr="00557C2A" w:rsidRDefault="0051718E">
            <w:pPr>
              <w:spacing w:before="0" w:after="0"/>
              <w:jc w:val="center"/>
              <w:rPr>
                <w:rFonts w:eastAsia="Times New Roman"/>
                <w:noProof/>
                <w:color w:val="000000"/>
                <w:sz w:val="20"/>
                <w:szCs w:val="20"/>
              </w:rPr>
            </w:pPr>
            <w:r w:rsidRPr="00557C2A">
              <w:rPr>
                <w:noProof/>
                <w:color w:val="000000"/>
                <w:sz w:val="20"/>
              </w:rPr>
              <w:t xml:space="preserve"> </w:t>
            </w:r>
          </w:p>
        </w:tc>
        <w:tc>
          <w:tcPr>
            <w:tcW w:w="526" w:type="pct"/>
            <w:tcBorders>
              <w:top w:val="nil"/>
              <w:left w:val="nil"/>
              <w:bottom w:val="single" w:sz="8" w:space="0" w:color="auto"/>
              <w:right w:val="single" w:sz="8" w:space="0" w:color="auto"/>
            </w:tcBorders>
            <w:vAlign w:val="center"/>
            <w:hideMark/>
          </w:tcPr>
          <w:p w14:paraId="4E542E8F" w14:textId="77777777" w:rsidR="0051718E" w:rsidRPr="00557C2A" w:rsidRDefault="0051718E">
            <w:pPr>
              <w:spacing w:before="0" w:after="0"/>
              <w:jc w:val="center"/>
              <w:rPr>
                <w:rFonts w:eastAsia="Times New Roman"/>
                <w:noProof/>
                <w:color w:val="000000"/>
                <w:sz w:val="20"/>
                <w:szCs w:val="20"/>
              </w:rPr>
            </w:pPr>
            <w:r w:rsidRPr="00557C2A">
              <w:rPr>
                <w:noProof/>
                <w:color w:val="000000"/>
                <w:sz w:val="20"/>
              </w:rPr>
              <w:t xml:space="preserve"> </w:t>
            </w:r>
          </w:p>
        </w:tc>
        <w:tc>
          <w:tcPr>
            <w:tcW w:w="526" w:type="pct"/>
            <w:tcBorders>
              <w:top w:val="nil"/>
              <w:left w:val="nil"/>
              <w:bottom w:val="single" w:sz="8" w:space="0" w:color="auto"/>
              <w:right w:val="single" w:sz="8" w:space="0" w:color="auto"/>
            </w:tcBorders>
            <w:vAlign w:val="center"/>
            <w:hideMark/>
          </w:tcPr>
          <w:p w14:paraId="0E8AFF37" w14:textId="77777777" w:rsidR="0051718E" w:rsidRPr="00557C2A" w:rsidRDefault="0051718E">
            <w:pPr>
              <w:spacing w:before="0" w:after="0"/>
              <w:jc w:val="center"/>
              <w:rPr>
                <w:rFonts w:eastAsia="Times New Roman"/>
                <w:noProof/>
                <w:color w:val="000000"/>
                <w:sz w:val="20"/>
                <w:szCs w:val="20"/>
              </w:rPr>
            </w:pPr>
            <w:r w:rsidRPr="00557C2A">
              <w:rPr>
                <w:noProof/>
                <w:color w:val="000000"/>
                <w:sz w:val="20"/>
              </w:rPr>
              <w:t xml:space="preserve"> </w:t>
            </w:r>
          </w:p>
        </w:tc>
        <w:tc>
          <w:tcPr>
            <w:tcW w:w="527" w:type="pct"/>
            <w:tcBorders>
              <w:top w:val="nil"/>
              <w:left w:val="nil"/>
              <w:bottom w:val="single" w:sz="8" w:space="0" w:color="auto"/>
              <w:right w:val="single" w:sz="8" w:space="0" w:color="auto"/>
            </w:tcBorders>
            <w:vAlign w:val="center"/>
            <w:hideMark/>
          </w:tcPr>
          <w:p w14:paraId="056D9D9A" w14:textId="77777777" w:rsidR="0051718E" w:rsidRPr="00557C2A" w:rsidRDefault="0051718E">
            <w:pPr>
              <w:spacing w:before="0" w:after="0"/>
              <w:jc w:val="center"/>
              <w:rPr>
                <w:rFonts w:eastAsia="Times New Roman"/>
                <w:noProof/>
                <w:color w:val="000000"/>
                <w:sz w:val="20"/>
                <w:szCs w:val="20"/>
              </w:rPr>
            </w:pPr>
            <w:r w:rsidRPr="00557C2A">
              <w:rPr>
                <w:noProof/>
                <w:color w:val="000000"/>
                <w:sz w:val="20"/>
              </w:rPr>
              <w:t xml:space="preserve"> </w:t>
            </w:r>
          </w:p>
        </w:tc>
      </w:tr>
    </w:tbl>
    <w:p w14:paraId="1951F467" w14:textId="77777777" w:rsidR="0051718E" w:rsidRPr="00557C2A" w:rsidRDefault="0051718E" w:rsidP="0051718E">
      <w:pPr>
        <w:outlineLvl w:val="1"/>
        <w:rPr>
          <w:noProof/>
          <w:szCs w:val="24"/>
        </w:rPr>
      </w:pPr>
      <w:r w:rsidRPr="00557C2A">
        <w:rPr>
          <w:noProof/>
        </w:rPr>
        <w:t xml:space="preserve"> </w:t>
      </w:r>
      <w:r w:rsidRPr="00557C2A">
        <w:rPr>
          <w:noProof/>
        </w:rPr>
        <w:br/>
      </w:r>
      <w:bookmarkStart w:id="175" w:name="_Toc514938059"/>
      <w:bookmarkStart w:id="176" w:name="_Toc520485057"/>
      <w:bookmarkStart w:id="177" w:name="_Toc160804602"/>
      <w:bookmarkStart w:id="178" w:name="_Toc167220300"/>
      <w:bookmarkStart w:id="179" w:name="_Toc177549034"/>
      <w:bookmarkStart w:id="180" w:name="_Hlk166860179"/>
      <w:r w:rsidRPr="00557C2A">
        <w:rPr>
          <w:noProof/>
        </w:rPr>
        <w:t>3.3.</w:t>
      </w:r>
      <w:r w:rsidRPr="00557C2A">
        <w:rPr>
          <w:noProof/>
        </w:rPr>
        <w:tab/>
        <w:t>Geraamde gevolgen voor de ontvangsten</w:t>
      </w:r>
      <w:bookmarkEnd w:id="175"/>
      <w:bookmarkEnd w:id="176"/>
      <w:bookmarkEnd w:id="177"/>
      <w:bookmarkEnd w:id="178"/>
      <w:bookmarkEnd w:id="179"/>
      <w:r w:rsidRPr="00557C2A">
        <w:rPr>
          <w:noProof/>
        </w:rPr>
        <w:t xml:space="preserve"> </w:t>
      </w:r>
    </w:p>
    <w:bookmarkEnd w:id="180"/>
    <w:p w14:paraId="7819C29F" w14:textId="77777777" w:rsidR="0051718E" w:rsidRPr="00557C2A" w:rsidRDefault="0051718E" w:rsidP="0051718E">
      <w:pPr>
        <w:pStyle w:val="ListDash1"/>
        <w:rPr>
          <w:noProof/>
        </w:rPr>
      </w:pPr>
      <w:r w:rsidRPr="00557C2A">
        <w:rPr>
          <w:rFonts w:ascii="Wingdings" w:hAnsi="Wingdings"/>
          <w:noProof/>
        </w:rPr>
        <w:t></w:t>
      </w:r>
      <w:r w:rsidRPr="00557C2A">
        <w:rPr>
          <w:noProof/>
        </w:rPr>
        <w:tab/>
        <w:t>Het voorstel/initiatief heeft geen financiële gevolgen voor de ontvangsten</w:t>
      </w:r>
    </w:p>
    <w:p w14:paraId="0F4C383D" w14:textId="77777777" w:rsidR="0051718E" w:rsidRPr="00557C2A" w:rsidRDefault="0051718E" w:rsidP="0051718E">
      <w:pPr>
        <w:pStyle w:val="ListDash1"/>
        <w:rPr>
          <w:noProof/>
        </w:rPr>
      </w:pPr>
      <w:r w:rsidRPr="00557C2A">
        <w:rPr>
          <w:rFonts w:ascii="Wingdings" w:hAnsi="Wingdings"/>
          <w:noProof/>
        </w:rPr>
        <w:t></w:t>
      </w:r>
      <w:r w:rsidRPr="00557C2A">
        <w:rPr>
          <w:noProof/>
        </w:rPr>
        <w:tab/>
        <w:t>Het voorstel/initiatief heeft de hieronder beschreven financiële gevolgen:</w:t>
      </w:r>
    </w:p>
    <w:p w14:paraId="7A1633FB" w14:textId="77777777" w:rsidR="0051718E" w:rsidRPr="00557C2A" w:rsidRDefault="0051718E" w:rsidP="0051718E">
      <w:pPr>
        <w:pStyle w:val="ListNumberLevel3"/>
        <w:tabs>
          <w:tab w:val="clear" w:pos="2126"/>
          <w:tab w:val="num" w:pos="1843"/>
        </w:tabs>
        <w:rPr>
          <w:noProof/>
        </w:rPr>
      </w:pPr>
      <w:r w:rsidRPr="00557C2A">
        <w:rPr>
          <w:rFonts w:ascii="Wingdings" w:hAnsi="Wingdings"/>
          <w:noProof/>
        </w:rPr>
        <w:t></w:t>
      </w:r>
      <w:r w:rsidRPr="00557C2A">
        <w:rPr>
          <w:noProof/>
        </w:rPr>
        <w:tab/>
        <w:t xml:space="preserve">voor de eigen middelen </w:t>
      </w:r>
    </w:p>
    <w:p w14:paraId="40D50A63" w14:textId="77777777" w:rsidR="0051718E" w:rsidRPr="00557C2A" w:rsidRDefault="0051718E" w:rsidP="0051718E">
      <w:pPr>
        <w:pStyle w:val="ListNumberLevel3"/>
        <w:tabs>
          <w:tab w:val="clear" w:pos="2126"/>
          <w:tab w:val="num" w:pos="1843"/>
        </w:tabs>
        <w:rPr>
          <w:noProof/>
        </w:rPr>
      </w:pPr>
      <w:r w:rsidRPr="00557C2A">
        <w:rPr>
          <w:rFonts w:ascii="Wingdings" w:hAnsi="Wingdings"/>
          <w:noProof/>
        </w:rPr>
        <w:t></w:t>
      </w:r>
      <w:r w:rsidRPr="00557C2A">
        <w:rPr>
          <w:noProof/>
        </w:rPr>
        <w:tab/>
        <w:t>voor overige ontvangsten</w:t>
      </w:r>
    </w:p>
    <w:p w14:paraId="47FC4883" w14:textId="77777777" w:rsidR="0051718E" w:rsidRPr="00557C2A" w:rsidRDefault="0051718E" w:rsidP="0051718E">
      <w:pPr>
        <w:pStyle w:val="ListNumberLevel3"/>
        <w:tabs>
          <w:tab w:val="clear" w:pos="2126"/>
          <w:tab w:val="num" w:pos="1843"/>
        </w:tabs>
        <w:rPr>
          <w:noProof/>
        </w:rPr>
      </w:pPr>
      <w:r w:rsidRPr="00557C2A">
        <w:rPr>
          <w:rFonts w:ascii="Wingdings" w:hAnsi="Wingdings"/>
          <w:noProof/>
        </w:rPr>
        <w:t></w:t>
      </w:r>
      <w:r w:rsidRPr="00557C2A">
        <w:rPr>
          <w:noProof/>
        </w:rPr>
        <w:tab/>
        <w:t>geef aan of de ontvangsten worden toegewezen aan de begrotingsonderdelen voor uitgaven</w:t>
      </w:r>
    </w:p>
    <w:p w14:paraId="3476AD8C" w14:textId="77777777" w:rsidR="0051718E" w:rsidRPr="00557C2A" w:rsidRDefault="0051718E" w:rsidP="0051718E">
      <w:pPr>
        <w:jc w:val="right"/>
        <w:rPr>
          <w:noProof/>
          <w:sz w:val="20"/>
        </w:rPr>
      </w:pPr>
      <w:r w:rsidRPr="00557C2A">
        <w:rPr>
          <w:noProof/>
          <w:sz w:val="20"/>
        </w:rPr>
        <w:t xml:space="preserve">     in miljoenen euro’s (tot op drie decimalen)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60"/>
        <w:gridCol w:w="1306"/>
        <w:gridCol w:w="910"/>
        <w:gridCol w:w="853"/>
        <w:gridCol w:w="858"/>
        <w:gridCol w:w="877"/>
        <w:gridCol w:w="875"/>
        <w:gridCol w:w="875"/>
        <w:gridCol w:w="875"/>
      </w:tblGrid>
      <w:tr w:rsidR="0051718E" w:rsidRPr="00557C2A" w14:paraId="24829052" w14:textId="77777777">
        <w:trPr>
          <w:trHeight w:val="388"/>
        </w:trPr>
        <w:tc>
          <w:tcPr>
            <w:tcW w:w="1001" w:type="pct"/>
            <w:vMerge w:val="restart"/>
            <w:vAlign w:val="center"/>
          </w:tcPr>
          <w:p w14:paraId="47EC932C" w14:textId="77777777" w:rsidR="0051718E" w:rsidRPr="00557C2A" w:rsidRDefault="0051718E">
            <w:pPr>
              <w:spacing w:before="40" w:after="40"/>
              <w:rPr>
                <w:noProof/>
                <w:sz w:val="18"/>
              </w:rPr>
            </w:pPr>
            <w:r w:rsidRPr="00557C2A">
              <w:rPr>
                <w:noProof/>
                <w:sz w:val="18"/>
              </w:rPr>
              <w:t>Begrotingsonderdeel voor ontvangsten:</w:t>
            </w:r>
          </w:p>
        </w:tc>
        <w:tc>
          <w:tcPr>
            <w:tcW w:w="703" w:type="pct"/>
            <w:vMerge w:val="restart"/>
            <w:vAlign w:val="center"/>
          </w:tcPr>
          <w:p w14:paraId="59D6EB7B" w14:textId="77777777" w:rsidR="0051718E" w:rsidRPr="00557C2A" w:rsidRDefault="0051718E">
            <w:pPr>
              <w:jc w:val="center"/>
              <w:rPr>
                <w:noProof/>
                <w:sz w:val="18"/>
              </w:rPr>
            </w:pPr>
            <w:r w:rsidRPr="00557C2A">
              <w:rPr>
                <w:noProof/>
                <w:sz w:val="18"/>
              </w:rPr>
              <w:t>Voor het lopende begrotingsjaar beschikbare kredieten</w:t>
            </w:r>
          </w:p>
        </w:tc>
        <w:tc>
          <w:tcPr>
            <w:tcW w:w="3296" w:type="pct"/>
            <w:gridSpan w:val="7"/>
            <w:vAlign w:val="center"/>
          </w:tcPr>
          <w:p w14:paraId="2514A820" w14:textId="77777777" w:rsidR="0051718E" w:rsidRPr="00557C2A" w:rsidRDefault="0051718E">
            <w:pPr>
              <w:jc w:val="center"/>
              <w:rPr>
                <w:noProof/>
                <w:sz w:val="18"/>
                <w:szCs w:val="18"/>
              </w:rPr>
            </w:pPr>
            <w:r w:rsidRPr="00557C2A">
              <w:rPr>
                <w:noProof/>
                <w:sz w:val="18"/>
              </w:rPr>
              <w:t>Gevolgen van het voorstel/initiatief</w:t>
            </w:r>
            <w:r w:rsidRPr="00557C2A">
              <w:rPr>
                <w:rStyle w:val="FootnoteReference"/>
                <w:noProof/>
                <w:sz w:val="18"/>
                <w:szCs w:val="18"/>
              </w:rPr>
              <w:footnoteReference w:id="64"/>
            </w:r>
          </w:p>
        </w:tc>
      </w:tr>
      <w:tr w:rsidR="0051718E" w:rsidRPr="00557C2A" w14:paraId="540A5481" w14:textId="77777777">
        <w:trPr>
          <w:trHeight w:val="388"/>
        </w:trPr>
        <w:tc>
          <w:tcPr>
            <w:tcW w:w="1001" w:type="pct"/>
            <w:vMerge/>
          </w:tcPr>
          <w:p w14:paraId="3FE75236" w14:textId="77777777" w:rsidR="0051718E" w:rsidRPr="00557C2A" w:rsidRDefault="0051718E">
            <w:pPr>
              <w:spacing w:before="40" w:after="40"/>
              <w:rPr>
                <w:noProof/>
                <w:sz w:val="18"/>
              </w:rPr>
            </w:pPr>
          </w:p>
        </w:tc>
        <w:tc>
          <w:tcPr>
            <w:tcW w:w="703" w:type="pct"/>
            <w:vMerge/>
          </w:tcPr>
          <w:p w14:paraId="2849B2D7" w14:textId="77777777" w:rsidR="0051718E" w:rsidRPr="00557C2A" w:rsidRDefault="0051718E">
            <w:pPr>
              <w:spacing w:beforeLines="40" w:before="96" w:afterLines="40" w:after="96"/>
              <w:rPr>
                <w:i/>
                <w:noProof/>
                <w:sz w:val="18"/>
              </w:rPr>
            </w:pPr>
          </w:p>
        </w:tc>
        <w:tc>
          <w:tcPr>
            <w:tcW w:w="490" w:type="pct"/>
            <w:vAlign w:val="center"/>
          </w:tcPr>
          <w:p w14:paraId="2E5EB80D" w14:textId="77777777" w:rsidR="0051718E" w:rsidRPr="00557C2A" w:rsidRDefault="0051718E">
            <w:pPr>
              <w:jc w:val="center"/>
              <w:rPr>
                <w:noProof/>
                <w:sz w:val="18"/>
              </w:rPr>
            </w:pPr>
            <w:r w:rsidRPr="00557C2A">
              <w:rPr>
                <w:noProof/>
                <w:sz w:val="18"/>
              </w:rPr>
              <w:t xml:space="preserve">Jaar </w:t>
            </w:r>
            <w:r w:rsidRPr="00557C2A">
              <w:rPr>
                <w:b/>
                <w:bCs/>
                <w:noProof/>
                <w:sz w:val="18"/>
              </w:rPr>
              <w:t>2028</w:t>
            </w:r>
          </w:p>
        </w:tc>
        <w:tc>
          <w:tcPr>
            <w:tcW w:w="459" w:type="pct"/>
            <w:vAlign w:val="center"/>
          </w:tcPr>
          <w:p w14:paraId="02C78B51" w14:textId="77777777" w:rsidR="0051718E" w:rsidRPr="00557C2A" w:rsidRDefault="0051718E">
            <w:pPr>
              <w:jc w:val="center"/>
              <w:rPr>
                <w:noProof/>
                <w:sz w:val="18"/>
              </w:rPr>
            </w:pPr>
            <w:r w:rsidRPr="00557C2A">
              <w:rPr>
                <w:noProof/>
                <w:sz w:val="18"/>
              </w:rPr>
              <w:t xml:space="preserve">Jaar </w:t>
            </w:r>
            <w:r w:rsidRPr="00557C2A">
              <w:rPr>
                <w:b/>
                <w:bCs/>
                <w:noProof/>
                <w:sz w:val="18"/>
              </w:rPr>
              <w:t>2029</w:t>
            </w:r>
          </w:p>
        </w:tc>
        <w:tc>
          <w:tcPr>
            <w:tcW w:w="462" w:type="pct"/>
            <w:vAlign w:val="center"/>
          </w:tcPr>
          <w:p w14:paraId="3C384591" w14:textId="77777777" w:rsidR="0051718E" w:rsidRPr="00557C2A" w:rsidRDefault="0051718E">
            <w:pPr>
              <w:jc w:val="center"/>
              <w:rPr>
                <w:noProof/>
                <w:sz w:val="18"/>
              </w:rPr>
            </w:pPr>
            <w:r w:rsidRPr="00557C2A">
              <w:rPr>
                <w:noProof/>
                <w:sz w:val="18"/>
              </w:rPr>
              <w:t xml:space="preserve">Jaar </w:t>
            </w:r>
            <w:r w:rsidRPr="00557C2A">
              <w:rPr>
                <w:b/>
                <w:bCs/>
                <w:noProof/>
                <w:sz w:val="18"/>
              </w:rPr>
              <w:t>2030</w:t>
            </w:r>
          </w:p>
        </w:tc>
        <w:tc>
          <w:tcPr>
            <w:tcW w:w="472" w:type="pct"/>
            <w:vAlign w:val="center"/>
          </w:tcPr>
          <w:p w14:paraId="55D1ACC9" w14:textId="77777777" w:rsidR="0051718E" w:rsidRPr="00557C2A" w:rsidRDefault="0051718E">
            <w:pPr>
              <w:jc w:val="center"/>
              <w:rPr>
                <w:noProof/>
                <w:sz w:val="18"/>
              </w:rPr>
            </w:pPr>
            <w:r w:rsidRPr="00557C2A">
              <w:rPr>
                <w:noProof/>
                <w:sz w:val="18"/>
              </w:rPr>
              <w:t xml:space="preserve">Jaar </w:t>
            </w:r>
            <w:r w:rsidRPr="00557C2A">
              <w:rPr>
                <w:b/>
                <w:bCs/>
                <w:noProof/>
                <w:sz w:val="18"/>
              </w:rPr>
              <w:t>2031</w:t>
            </w:r>
          </w:p>
        </w:tc>
        <w:tc>
          <w:tcPr>
            <w:tcW w:w="471" w:type="pct"/>
          </w:tcPr>
          <w:p w14:paraId="67DE7515" w14:textId="77777777" w:rsidR="0051718E" w:rsidRPr="00557C2A" w:rsidRDefault="0051718E">
            <w:pPr>
              <w:jc w:val="center"/>
              <w:rPr>
                <w:noProof/>
                <w:sz w:val="18"/>
              </w:rPr>
            </w:pPr>
            <w:r w:rsidRPr="00557C2A">
              <w:rPr>
                <w:noProof/>
                <w:sz w:val="18"/>
              </w:rPr>
              <w:t xml:space="preserve">Jaar </w:t>
            </w:r>
            <w:r w:rsidRPr="00557C2A">
              <w:rPr>
                <w:b/>
                <w:bCs/>
                <w:noProof/>
                <w:sz w:val="18"/>
              </w:rPr>
              <w:t>2032</w:t>
            </w:r>
          </w:p>
        </w:tc>
        <w:tc>
          <w:tcPr>
            <w:tcW w:w="471" w:type="pct"/>
          </w:tcPr>
          <w:p w14:paraId="5C3E8D34" w14:textId="77777777" w:rsidR="0051718E" w:rsidRPr="00557C2A" w:rsidRDefault="0051718E">
            <w:pPr>
              <w:jc w:val="center"/>
              <w:rPr>
                <w:noProof/>
                <w:sz w:val="18"/>
              </w:rPr>
            </w:pPr>
            <w:r w:rsidRPr="00557C2A">
              <w:rPr>
                <w:noProof/>
                <w:sz w:val="18"/>
              </w:rPr>
              <w:t xml:space="preserve">Jaar </w:t>
            </w:r>
            <w:r w:rsidRPr="00557C2A">
              <w:rPr>
                <w:b/>
                <w:bCs/>
                <w:noProof/>
                <w:sz w:val="18"/>
              </w:rPr>
              <w:t>2033</w:t>
            </w:r>
          </w:p>
        </w:tc>
        <w:tc>
          <w:tcPr>
            <w:tcW w:w="471" w:type="pct"/>
          </w:tcPr>
          <w:p w14:paraId="66BBF747" w14:textId="77777777" w:rsidR="0051718E" w:rsidRPr="00557C2A" w:rsidRDefault="0051718E">
            <w:pPr>
              <w:jc w:val="center"/>
              <w:rPr>
                <w:noProof/>
                <w:sz w:val="18"/>
              </w:rPr>
            </w:pPr>
            <w:r w:rsidRPr="00557C2A">
              <w:rPr>
                <w:noProof/>
                <w:sz w:val="18"/>
              </w:rPr>
              <w:t xml:space="preserve">Jaar </w:t>
            </w:r>
            <w:r w:rsidRPr="00557C2A">
              <w:rPr>
                <w:b/>
                <w:bCs/>
                <w:noProof/>
                <w:sz w:val="18"/>
              </w:rPr>
              <w:t>2034</w:t>
            </w:r>
          </w:p>
        </w:tc>
      </w:tr>
      <w:tr w:rsidR="0051718E" w:rsidRPr="00557C2A" w14:paraId="0C9D8FB9" w14:textId="77777777">
        <w:trPr>
          <w:trHeight w:val="388"/>
        </w:trPr>
        <w:tc>
          <w:tcPr>
            <w:tcW w:w="1001" w:type="pct"/>
            <w:vAlign w:val="center"/>
          </w:tcPr>
          <w:p w14:paraId="2B58C06A" w14:textId="77777777" w:rsidR="0051718E" w:rsidRPr="00557C2A" w:rsidRDefault="0051718E">
            <w:pPr>
              <w:spacing w:before="40" w:after="40"/>
              <w:rPr>
                <w:noProof/>
                <w:sz w:val="18"/>
              </w:rPr>
            </w:pPr>
            <w:r w:rsidRPr="00557C2A">
              <w:rPr>
                <w:noProof/>
                <w:sz w:val="18"/>
              </w:rPr>
              <w:t>Artikel ………….</w:t>
            </w:r>
          </w:p>
        </w:tc>
        <w:tc>
          <w:tcPr>
            <w:tcW w:w="703" w:type="pct"/>
          </w:tcPr>
          <w:p w14:paraId="06DA7D66" w14:textId="77777777" w:rsidR="0051718E" w:rsidRPr="00557C2A" w:rsidRDefault="0051718E">
            <w:pPr>
              <w:spacing w:beforeLines="40" w:before="96" w:afterLines="40" w:after="96"/>
              <w:jc w:val="center"/>
              <w:rPr>
                <w:i/>
                <w:noProof/>
                <w:sz w:val="18"/>
              </w:rPr>
            </w:pPr>
          </w:p>
        </w:tc>
        <w:tc>
          <w:tcPr>
            <w:tcW w:w="490" w:type="pct"/>
          </w:tcPr>
          <w:p w14:paraId="07097232" w14:textId="77777777" w:rsidR="0051718E" w:rsidRPr="00557C2A" w:rsidRDefault="0051718E">
            <w:pPr>
              <w:spacing w:beforeLines="40" w:before="96" w:afterLines="40" w:after="96"/>
              <w:jc w:val="center"/>
              <w:rPr>
                <w:noProof/>
                <w:sz w:val="18"/>
              </w:rPr>
            </w:pPr>
          </w:p>
        </w:tc>
        <w:tc>
          <w:tcPr>
            <w:tcW w:w="459" w:type="pct"/>
          </w:tcPr>
          <w:p w14:paraId="106EAE3A" w14:textId="77777777" w:rsidR="0051718E" w:rsidRPr="00557C2A" w:rsidRDefault="0051718E">
            <w:pPr>
              <w:spacing w:beforeLines="40" w:before="96" w:afterLines="40" w:after="96"/>
              <w:jc w:val="center"/>
              <w:rPr>
                <w:noProof/>
                <w:sz w:val="18"/>
              </w:rPr>
            </w:pPr>
          </w:p>
        </w:tc>
        <w:tc>
          <w:tcPr>
            <w:tcW w:w="462" w:type="pct"/>
          </w:tcPr>
          <w:p w14:paraId="011E942E" w14:textId="77777777" w:rsidR="0051718E" w:rsidRPr="00557C2A" w:rsidRDefault="0051718E">
            <w:pPr>
              <w:spacing w:beforeLines="40" w:before="96" w:afterLines="40" w:after="96"/>
              <w:jc w:val="center"/>
              <w:rPr>
                <w:noProof/>
                <w:sz w:val="18"/>
              </w:rPr>
            </w:pPr>
          </w:p>
        </w:tc>
        <w:tc>
          <w:tcPr>
            <w:tcW w:w="472" w:type="pct"/>
          </w:tcPr>
          <w:p w14:paraId="0D276987" w14:textId="77777777" w:rsidR="0051718E" w:rsidRPr="00557C2A" w:rsidRDefault="0051718E">
            <w:pPr>
              <w:spacing w:beforeLines="40" w:before="96" w:afterLines="40" w:after="96"/>
              <w:jc w:val="center"/>
              <w:rPr>
                <w:noProof/>
                <w:sz w:val="18"/>
              </w:rPr>
            </w:pPr>
          </w:p>
        </w:tc>
        <w:tc>
          <w:tcPr>
            <w:tcW w:w="471" w:type="pct"/>
          </w:tcPr>
          <w:p w14:paraId="3C081817" w14:textId="77777777" w:rsidR="0051718E" w:rsidRPr="00557C2A" w:rsidRDefault="0051718E">
            <w:pPr>
              <w:spacing w:beforeLines="40" w:before="96" w:afterLines="40" w:after="96"/>
              <w:jc w:val="center"/>
              <w:rPr>
                <w:noProof/>
                <w:sz w:val="18"/>
              </w:rPr>
            </w:pPr>
          </w:p>
        </w:tc>
        <w:tc>
          <w:tcPr>
            <w:tcW w:w="471" w:type="pct"/>
          </w:tcPr>
          <w:p w14:paraId="1D910A9A" w14:textId="77777777" w:rsidR="0051718E" w:rsidRPr="00557C2A" w:rsidRDefault="0051718E">
            <w:pPr>
              <w:spacing w:beforeLines="40" w:before="96" w:afterLines="40" w:after="96"/>
              <w:jc w:val="center"/>
              <w:rPr>
                <w:noProof/>
                <w:sz w:val="18"/>
              </w:rPr>
            </w:pPr>
          </w:p>
        </w:tc>
        <w:tc>
          <w:tcPr>
            <w:tcW w:w="471" w:type="pct"/>
          </w:tcPr>
          <w:p w14:paraId="605088D0" w14:textId="77777777" w:rsidR="0051718E" w:rsidRPr="00557C2A" w:rsidRDefault="0051718E">
            <w:pPr>
              <w:spacing w:beforeLines="40" w:before="96" w:afterLines="40" w:after="96"/>
              <w:jc w:val="center"/>
              <w:rPr>
                <w:noProof/>
                <w:sz w:val="18"/>
              </w:rPr>
            </w:pPr>
          </w:p>
        </w:tc>
      </w:tr>
    </w:tbl>
    <w:p w14:paraId="139F5EDD" w14:textId="77777777" w:rsidR="0051718E" w:rsidRPr="00557C2A" w:rsidRDefault="0051718E" w:rsidP="0051718E">
      <w:pPr>
        <w:pStyle w:val="Text1"/>
        <w:rPr>
          <w:noProof/>
          <w:szCs w:val="24"/>
        </w:rPr>
      </w:pPr>
      <w:r w:rsidRPr="00557C2A">
        <w:rPr>
          <w:noProof/>
        </w:rPr>
        <w:t>Vermeld voor de toegewezen ontvangsten de betrokken begrotingsonderdelen voor uitgaven.</w:t>
      </w:r>
    </w:p>
    <w:p w14:paraId="6406EFAB" w14:textId="77777777" w:rsidR="0051718E" w:rsidRPr="00557C2A" w:rsidRDefault="0051718E" w:rsidP="0051718E">
      <w:pPr>
        <w:pStyle w:val="Text1"/>
        <w:pBdr>
          <w:top w:val="single" w:sz="4" w:space="1" w:color="auto"/>
          <w:left w:val="single" w:sz="4" w:space="4" w:color="auto"/>
          <w:bottom w:val="single" w:sz="4" w:space="1" w:color="auto"/>
          <w:right w:val="single" w:sz="4" w:space="4" w:color="auto"/>
        </w:pBdr>
        <w:rPr>
          <w:noProof/>
        </w:rPr>
      </w:pPr>
    </w:p>
    <w:p w14:paraId="7925537A" w14:textId="77777777" w:rsidR="0051718E" w:rsidRPr="00557C2A" w:rsidRDefault="0051718E" w:rsidP="0051718E">
      <w:pPr>
        <w:pStyle w:val="Text1"/>
        <w:rPr>
          <w:noProof/>
          <w:szCs w:val="24"/>
        </w:rPr>
      </w:pPr>
      <w:r w:rsidRPr="00557C2A">
        <w:rPr>
          <w:noProof/>
        </w:rPr>
        <w:t>Andere opmerkingen (bv. over de methode/formule voor de berekening van de gevolgen voor de ontvangsten of andere informatie).</w:t>
      </w:r>
    </w:p>
    <w:p w14:paraId="28005FCA" w14:textId="77777777" w:rsidR="0051718E" w:rsidRPr="00557C2A" w:rsidRDefault="0051718E" w:rsidP="0051718E">
      <w:pPr>
        <w:pStyle w:val="Text1"/>
        <w:pBdr>
          <w:top w:val="single" w:sz="4" w:space="1" w:color="auto"/>
          <w:left w:val="single" w:sz="4" w:space="4" w:color="auto"/>
          <w:bottom w:val="single" w:sz="4" w:space="1" w:color="auto"/>
          <w:right w:val="single" w:sz="4" w:space="4" w:color="auto"/>
        </w:pBdr>
        <w:rPr>
          <w:noProof/>
        </w:rPr>
      </w:pPr>
    </w:p>
    <w:p w14:paraId="31679496" w14:textId="77777777" w:rsidR="0051718E" w:rsidRPr="00557C2A" w:rsidRDefault="0051718E" w:rsidP="0051718E">
      <w:pPr>
        <w:pStyle w:val="ManualHeading1"/>
        <w:rPr>
          <w:caps/>
          <w:noProof/>
        </w:rPr>
      </w:pPr>
      <w:bookmarkStart w:id="181" w:name="_Toc167220301"/>
      <w:bookmarkStart w:id="182" w:name="_Toc177549035"/>
      <w:r w:rsidRPr="00557C2A">
        <w:rPr>
          <w:noProof/>
        </w:rPr>
        <w:t>4.</w:t>
      </w:r>
      <w:r w:rsidRPr="00557C2A">
        <w:rPr>
          <w:noProof/>
        </w:rPr>
        <w:tab/>
      </w:r>
      <w:bookmarkStart w:id="183" w:name="_Hlk167692977"/>
      <w:r w:rsidRPr="00557C2A">
        <w:rPr>
          <w:caps/>
          <w:noProof/>
        </w:rPr>
        <w:t>Digitale dimensies</w:t>
      </w:r>
      <w:bookmarkEnd w:id="181"/>
      <w:bookmarkEnd w:id="182"/>
    </w:p>
    <w:p w14:paraId="6DBC0DEA" w14:textId="77777777" w:rsidR="0051718E" w:rsidRPr="00557C2A" w:rsidRDefault="0051718E" w:rsidP="0051718E">
      <w:pPr>
        <w:pStyle w:val="ManualHeading2"/>
        <w:rPr>
          <w:noProof/>
        </w:rPr>
      </w:pPr>
      <w:bookmarkStart w:id="184" w:name="_Toc167220302"/>
      <w:bookmarkStart w:id="185" w:name="_Toc177549037"/>
      <w:r w:rsidRPr="00557C2A">
        <w:rPr>
          <w:noProof/>
        </w:rPr>
        <w:t>4.1.</w:t>
      </w:r>
      <w:r w:rsidRPr="00557C2A">
        <w:rPr>
          <w:noProof/>
        </w:rPr>
        <w:tab/>
        <w:t>Voorschriften met digitale relevantie</w:t>
      </w:r>
      <w:bookmarkEnd w:id="184"/>
      <w:bookmarkEnd w:id="185"/>
    </w:p>
    <w:tbl>
      <w:tblPr>
        <w:tblStyle w:val="TableGrid"/>
        <w:tblW w:w="9072" w:type="dxa"/>
        <w:tblInd w:w="-5" w:type="dxa"/>
        <w:tblLayout w:type="fixed"/>
        <w:tblLook w:val="06A0" w:firstRow="1" w:lastRow="0" w:firstColumn="1" w:lastColumn="0" w:noHBand="1" w:noVBand="1"/>
      </w:tblPr>
      <w:tblGrid>
        <w:gridCol w:w="9072"/>
      </w:tblGrid>
      <w:tr w:rsidR="0051718E" w:rsidRPr="00557C2A" w14:paraId="497BFA72" w14:textId="77777777">
        <w:trPr>
          <w:trHeight w:val="300"/>
        </w:trPr>
        <w:tc>
          <w:tcPr>
            <w:tcW w:w="9072" w:type="dxa"/>
          </w:tcPr>
          <w:p w14:paraId="4CA9E9E2" w14:textId="15D36DB9" w:rsidR="0051718E" w:rsidRPr="00557C2A" w:rsidRDefault="0051718E">
            <w:pPr>
              <w:rPr>
                <w:noProof/>
              </w:rPr>
            </w:pPr>
            <w:r w:rsidRPr="00557C2A">
              <w:rPr>
                <w:b/>
                <w:noProof/>
              </w:rPr>
              <w:t>Vereiste 1 (V1):</w:t>
            </w:r>
            <w:r w:rsidRPr="00557C2A">
              <w:rPr>
                <w:noProof/>
              </w:rPr>
              <w:t xml:space="preserve"> vereiste 1 heeft betrekking op de maatregel waarbij wordt gevraagd de procedure voor vergunningsaanvragen voor projecten op het gebied van hernieuwbare energie, energie-infrastructuur en opslag te digitaliseren en te centraliseren. De bevoegde instanties van de lidstaten moeten vergunningaanvragen en alle relevante documenten in digitaal formaat kunnen ontvangen. Uit hoofde van het voorstel moeten de lidstaten op nationaal niveau een centraal digitaal portaal opzetten voor alle stappen van de vergunningsprocedures voor projecten op het gebied van hernieuwbare energie, opslag en netten, zodat dit bijdraagt tot een uniformere digitalisering en meer interoperabiliteit en transparantie tussen de verschillende vergunningverlenende instanties in de lidstaten, en uiteindelijk de vergunningsprocedures versnelt. Dit zal worden opgenomen in artikel 16 van de richtlijn hernieuwbare energie, artikel 8 van de elektriciteitsmarktrichtlijn en artikel 3 van de gasmarktrichtlijn. Dit komt bovenop de verplichting voor de lidstaten om alle besluiten in een gemakkelijk toegankelijk formaat bekend te maken. De bevoegde instanties moeten ervoor zorgen dat de relevante milieu- en geologische gegevens en besluiten toegankelijk zijn via het centrale onlineportaal bedoeld in artikel 10, lid 3, van Verordening [</w:t>
            </w:r>
            <w:r w:rsidRPr="00557C2A">
              <w:rPr>
                <w:i/>
                <w:iCs/>
                <w:noProof/>
              </w:rPr>
              <w:t>xxxxx</w:t>
            </w:r>
            <w:r w:rsidRPr="00557C2A">
              <w:rPr>
                <w:noProof/>
              </w:rPr>
              <w:t>] van het Europees Parlement en de Raad.</w:t>
            </w:r>
          </w:p>
          <w:p w14:paraId="66BFD8B1" w14:textId="5EBF5914" w:rsidR="0051718E" w:rsidRPr="00557C2A" w:rsidRDefault="0051718E">
            <w:pPr>
              <w:rPr>
                <w:noProof/>
              </w:rPr>
            </w:pPr>
            <w:r w:rsidRPr="00557C2A">
              <w:rPr>
                <w:b/>
                <w:noProof/>
              </w:rPr>
              <w:t>Vereiste 2</w:t>
            </w:r>
            <w:r w:rsidRPr="00557C2A">
              <w:rPr>
                <w:noProof/>
              </w:rPr>
              <w:t xml:space="preserve"> </w:t>
            </w:r>
            <w:r w:rsidRPr="00557C2A">
              <w:rPr>
                <w:b/>
                <w:bCs/>
                <w:noProof/>
              </w:rPr>
              <w:t>(V2)</w:t>
            </w:r>
            <w:r w:rsidRPr="00557C2A">
              <w:rPr>
                <w:noProof/>
              </w:rPr>
              <w:t>: vereiste 2 heeft betrekking op het toezicht op en de beoordeling van de omzetting en uitvoering van de wijzigingsrichtlijn door de diensten van de Commissie. De communicatie inzake maatregelen en relevante documenten tussen de lidstaten en de Commissie verloopt via het portaal THEMIS of via e-mail. De diensten van de Commissie hoeven geen verdere maatregelen te nemen om aan dit vereiste te voldoen. Bovendien zal het bestaande online-instrument dat voor Richtlijn (EU) 2023/2413 is gecreëerd, worden geactualiseerd om de omzetting en uitvoering van de wijzigingsrichtlijn te ondersteunen.</w:t>
            </w:r>
          </w:p>
          <w:p w14:paraId="68E8E3E7" w14:textId="77777777" w:rsidR="0051718E" w:rsidRPr="00557C2A" w:rsidRDefault="0051718E">
            <w:pPr>
              <w:pStyle w:val="ListParagraph"/>
              <w:ind w:left="1212"/>
              <w:rPr>
                <w:noProof/>
              </w:rPr>
            </w:pPr>
          </w:p>
        </w:tc>
      </w:tr>
    </w:tbl>
    <w:p w14:paraId="3443C5F9" w14:textId="77777777" w:rsidR="0051718E" w:rsidRPr="00557C2A" w:rsidRDefault="0051718E" w:rsidP="0051718E">
      <w:pPr>
        <w:pStyle w:val="ManualHeading2"/>
        <w:rPr>
          <w:noProof/>
        </w:rPr>
      </w:pPr>
      <w:bookmarkStart w:id="186" w:name="_Toc167220303"/>
      <w:bookmarkStart w:id="187" w:name="_Toc177549038"/>
      <w:r w:rsidRPr="00557C2A">
        <w:rPr>
          <w:noProof/>
        </w:rPr>
        <w:t>4.2.</w:t>
      </w:r>
      <w:r w:rsidRPr="00557C2A">
        <w:rPr>
          <w:noProof/>
        </w:rPr>
        <w:tab/>
        <w:t>Gegevens</w:t>
      </w:r>
      <w:bookmarkEnd w:id="186"/>
      <w:bookmarkEnd w:id="187"/>
    </w:p>
    <w:tbl>
      <w:tblPr>
        <w:tblStyle w:val="TableGrid"/>
        <w:tblW w:w="0" w:type="auto"/>
        <w:tblLook w:val="04A0" w:firstRow="1" w:lastRow="0" w:firstColumn="1" w:lastColumn="0" w:noHBand="0" w:noVBand="1"/>
      </w:tblPr>
      <w:tblGrid>
        <w:gridCol w:w="9063"/>
      </w:tblGrid>
      <w:tr w:rsidR="0051718E" w:rsidRPr="00557C2A" w14:paraId="109B3C17" w14:textId="77777777">
        <w:tc>
          <w:tcPr>
            <w:tcW w:w="9063" w:type="dxa"/>
          </w:tcPr>
          <w:p w14:paraId="270EC424" w14:textId="77777777" w:rsidR="0051718E" w:rsidRPr="00557C2A" w:rsidRDefault="0051718E">
            <w:pPr>
              <w:rPr>
                <w:noProof/>
              </w:rPr>
            </w:pPr>
            <w:r w:rsidRPr="00557C2A">
              <w:rPr>
                <w:noProof/>
              </w:rPr>
              <w:t xml:space="preserve">Voor </w:t>
            </w:r>
            <w:r w:rsidRPr="00557C2A">
              <w:rPr>
                <w:b/>
                <w:bCs/>
                <w:noProof/>
              </w:rPr>
              <w:t>vereiste 1</w:t>
            </w:r>
            <w:r w:rsidRPr="00557C2A">
              <w:rPr>
                <w:noProof/>
              </w:rPr>
              <w:t xml:space="preserve"> zijn alle gegevens opgenomen die nodig zijn voor een volledige vergunning of vergunningen voor projecten op het gebied van hernieuwbare energie, energie-infrastructuur en opslag. Dit zijn persoonsgegevens die verband houden met de aanvrager, ongeacht of deze een natuurlijke of rechtspersoon is, de kenmerken van de projecten en alle vereiste ondersteunende documenten. Op basis van de centralisatie van de procedure heeft de Commissie ook de verplichting opgelegd dat het portaal het mogelijk moet maken om statistische gegevens over de vergunningsprocedures te genereren, met name met betrekking tot gemiddelde termijnen, vertragingen enz. Er is een algemene verplichting ingevoerd om de regels inzake gegevensbescherming na te leven wanneer deze van toepassing zijn. </w:t>
            </w:r>
          </w:p>
          <w:p w14:paraId="6ED586A4" w14:textId="1B51AC59" w:rsidR="0051718E" w:rsidRPr="00557C2A" w:rsidRDefault="0051718E">
            <w:pPr>
              <w:rPr>
                <w:noProof/>
              </w:rPr>
            </w:pPr>
            <w:r w:rsidRPr="00557C2A">
              <w:rPr>
                <w:noProof/>
              </w:rPr>
              <w:t xml:space="preserve">Voor </w:t>
            </w:r>
            <w:r w:rsidRPr="00557C2A">
              <w:rPr>
                <w:b/>
                <w:bCs/>
                <w:noProof/>
              </w:rPr>
              <w:t>vereiste 2</w:t>
            </w:r>
            <w:r w:rsidRPr="00557C2A">
              <w:rPr>
                <w:noProof/>
              </w:rPr>
              <w:t xml:space="preserve"> zijn de gegevens die worden gedeeld voor de omzetting van de richtlijn voornamelijk wetgeving die openbaar is en brieven van en aan de Commissie, die vertrouwelijk zijn.</w:t>
            </w:r>
          </w:p>
        </w:tc>
      </w:tr>
    </w:tbl>
    <w:p w14:paraId="2E5CF13C" w14:textId="77777777" w:rsidR="0051718E" w:rsidRPr="00557C2A" w:rsidRDefault="0051718E" w:rsidP="0051718E">
      <w:pPr>
        <w:pStyle w:val="ManualHeading2"/>
        <w:rPr>
          <w:noProof/>
        </w:rPr>
      </w:pPr>
      <w:bookmarkStart w:id="188" w:name="_Toc167220305"/>
      <w:bookmarkStart w:id="189" w:name="_Toc177549039"/>
      <w:r w:rsidRPr="00557C2A">
        <w:rPr>
          <w:noProof/>
        </w:rPr>
        <w:t>4.3.</w:t>
      </w:r>
      <w:r w:rsidRPr="00557C2A">
        <w:rPr>
          <w:noProof/>
        </w:rPr>
        <w:tab/>
        <w:t>Digitale oplossingen</w:t>
      </w:r>
      <w:bookmarkEnd w:id="188"/>
      <w:bookmarkEnd w:id="189"/>
    </w:p>
    <w:tbl>
      <w:tblPr>
        <w:tblStyle w:val="TableGrid"/>
        <w:tblpPr w:leftFromText="141" w:rightFromText="141" w:vertAnchor="text" w:horzAnchor="margin" w:tblpY="2"/>
        <w:tblW w:w="9067" w:type="dxa"/>
        <w:tblLook w:val="04A0" w:firstRow="1" w:lastRow="0" w:firstColumn="1" w:lastColumn="0" w:noHBand="0" w:noVBand="1"/>
      </w:tblPr>
      <w:tblGrid>
        <w:gridCol w:w="9067"/>
      </w:tblGrid>
      <w:tr w:rsidR="0051718E" w:rsidRPr="00557C2A" w14:paraId="3B94399A" w14:textId="77777777">
        <w:tc>
          <w:tcPr>
            <w:tcW w:w="9067" w:type="dxa"/>
          </w:tcPr>
          <w:p w14:paraId="3E9F4B16" w14:textId="0F401B79" w:rsidR="0051718E" w:rsidRPr="00557C2A" w:rsidRDefault="0051718E">
            <w:pPr>
              <w:rPr>
                <w:noProof/>
              </w:rPr>
            </w:pPr>
            <w:r w:rsidRPr="00557C2A">
              <w:rPr>
                <w:noProof/>
              </w:rPr>
              <w:t xml:space="preserve">Voor </w:t>
            </w:r>
            <w:r w:rsidRPr="00557C2A">
              <w:rPr>
                <w:b/>
                <w:bCs/>
                <w:noProof/>
              </w:rPr>
              <w:t>vereiste</w:t>
            </w:r>
            <w:r w:rsidRPr="00557C2A">
              <w:rPr>
                <w:noProof/>
              </w:rPr>
              <w:t> </w:t>
            </w:r>
            <w:r w:rsidRPr="00557C2A">
              <w:rPr>
                <w:b/>
                <w:noProof/>
              </w:rPr>
              <w:t>1:</w:t>
            </w:r>
            <w:r w:rsidRPr="00557C2A">
              <w:rPr>
                <w:noProof/>
              </w:rPr>
              <w:t xml:space="preserve"> de digitalisering en centralisatie van vergunningsprocedures voor projecten op het gebied van hernieuwbare energie, energie-infrastructuur en opslag zal worden vergemakkelijkt door de digitale oplossing van een digitaal platform of portaal dat de lidstaten zouden moeten opzetten. </w:t>
            </w:r>
            <w:r w:rsidR="004227E4" w:rsidRPr="00557C2A">
              <w:rPr>
                <w:noProof/>
              </w:rPr>
              <w:t>Langs</w:t>
            </w:r>
            <w:r w:rsidRPr="00557C2A">
              <w:rPr>
                <w:noProof/>
              </w:rPr>
              <w:t xml:space="preserve"> deze weg zouden de lidstaten vergunningsprocedures (lopende vergunningsbesluiten en afgegeven besluiten) beheren. De verwachting is dat door deze gegevens te centraliseren, de procedures worden vereenvoudigd en duplicatie van dezelfde gegevens op verschillende platforms wordt voorkomen. In de overwegingen dringt de Commissie erop aan dat het portaal functies moet bevatten, onder meer met behulp van kunstmatige intelligentie, waarmee het centrale contactpunt, andere autoriteiten en aanvragers de status van de aanvraag en eventuele vertragingen kunnen controleren, evenals de naleving van de vergunningverleningstermijnen. Bovendien moet het mogelijk zijn statistieken te genereren om de algemene voortgang van de vergunningsprocedures in de lidstaten te controleren. Het portaal moet de taken van het centrale contactpunt vergemakkelijken, dat toegang moet hebben tot alle relevante gegevens en informatie. Tot slot zal de toegang tot het centrale onlineportaal als bedoeld in artikel 10, lid 3, van Verordening [</w:t>
            </w:r>
            <w:r w:rsidRPr="00557C2A">
              <w:rPr>
                <w:i/>
                <w:iCs/>
                <w:noProof/>
              </w:rPr>
              <w:t>xxxxx</w:t>
            </w:r>
            <w:r w:rsidRPr="00557C2A">
              <w:rPr>
                <w:noProof/>
              </w:rPr>
              <w:t>] van het Europees Parlement en de Raad, dat de procedures voor gegevensverzameling en milieubeoordeling voor projecten op het gebied van hernieuwbare energie, elektriciteitstransmissie- en -distributie-infrastructuur, energieopslag en laadstations zal stroomlijnen, de zekerheid voor zowel ontwikkelaars als autoriteiten vergroten. </w:t>
            </w:r>
          </w:p>
          <w:p w14:paraId="0F18DB24" w14:textId="3AD865F9" w:rsidR="0051718E" w:rsidRPr="00557C2A" w:rsidRDefault="0051718E">
            <w:pPr>
              <w:rPr>
                <w:noProof/>
              </w:rPr>
            </w:pPr>
            <w:r w:rsidRPr="00557C2A">
              <w:rPr>
                <w:b/>
                <w:noProof/>
              </w:rPr>
              <w:t>Voor vereiste 2:</w:t>
            </w:r>
            <w:r w:rsidRPr="00557C2A">
              <w:rPr>
                <w:noProof/>
              </w:rPr>
              <w:t xml:space="preserve"> de digitale instrumenten zijn al aanwezig en er zijn geen verdere maatregelen nodig. </w:t>
            </w:r>
          </w:p>
          <w:p w14:paraId="479BB5A4" w14:textId="77777777" w:rsidR="0051718E" w:rsidRPr="00557C2A" w:rsidRDefault="0051718E">
            <w:pPr>
              <w:rPr>
                <w:noProof/>
              </w:rPr>
            </w:pPr>
          </w:p>
        </w:tc>
      </w:tr>
    </w:tbl>
    <w:p w14:paraId="40729539" w14:textId="77777777" w:rsidR="0051718E" w:rsidRPr="00557C2A" w:rsidRDefault="0051718E" w:rsidP="0051718E">
      <w:pPr>
        <w:pStyle w:val="ManualHeading2"/>
        <w:rPr>
          <w:rStyle w:val="Emphasis"/>
          <w:b w:val="0"/>
          <w:bCs/>
          <w:i w:val="0"/>
          <w:iCs w:val="0"/>
          <w:noProof/>
        </w:rPr>
      </w:pPr>
      <w:bookmarkStart w:id="190" w:name="_Toc167220304"/>
      <w:bookmarkStart w:id="191" w:name="_Toc177549040"/>
      <w:r w:rsidRPr="00557C2A">
        <w:rPr>
          <w:rStyle w:val="Emphasis"/>
          <w:noProof/>
        </w:rPr>
        <w:t>4.4.</w:t>
      </w:r>
      <w:r w:rsidRPr="00557C2A">
        <w:rPr>
          <w:noProof/>
        </w:rPr>
        <w:tab/>
      </w:r>
      <w:r w:rsidRPr="00557C2A">
        <w:rPr>
          <w:rStyle w:val="Emphasis"/>
          <w:noProof/>
        </w:rPr>
        <w:t>Interoperabiliteitsbeoordeling</w:t>
      </w:r>
      <w:bookmarkEnd w:id="190"/>
      <w:bookmarkEnd w:id="191"/>
    </w:p>
    <w:tbl>
      <w:tblPr>
        <w:tblStyle w:val="TableGrid"/>
        <w:tblpPr w:leftFromText="141" w:rightFromText="141" w:vertAnchor="text" w:horzAnchor="margin" w:tblpY="36"/>
        <w:tblW w:w="9067" w:type="dxa"/>
        <w:tblLayout w:type="fixed"/>
        <w:tblLook w:val="06A0" w:firstRow="1" w:lastRow="0" w:firstColumn="1" w:lastColumn="0" w:noHBand="1" w:noVBand="1"/>
      </w:tblPr>
      <w:tblGrid>
        <w:gridCol w:w="9067"/>
      </w:tblGrid>
      <w:tr w:rsidR="0051718E" w:rsidRPr="00557C2A" w14:paraId="7B20D9AD" w14:textId="77777777">
        <w:trPr>
          <w:trHeight w:val="300"/>
        </w:trPr>
        <w:tc>
          <w:tcPr>
            <w:tcW w:w="9067" w:type="dxa"/>
          </w:tcPr>
          <w:p w14:paraId="06D3821A" w14:textId="4061C025" w:rsidR="0051718E" w:rsidRPr="00557C2A" w:rsidRDefault="0051718E">
            <w:pPr>
              <w:rPr>
                <w:noProof/>
              </w:rPr>
            </w:pPr>
            <w:r w:rsidRPr="00557C2A">
              <w:rPr>
                <w:b/>
                <w:bCs/>
                <w:noProof/>
              </w:rPr>
              <w:t>Vereiste 1</w:t>
            </w:r>
            <w:r w:rsidRPr="00557C2A">
              <w:rPr>
                <w:noProof/>
              </w:rPr>
              <w:t xml:space="preserve"> vereist geen interactie over de grenzen van de lidstaten heen, tussen EU-entiteiten of tussen EU-entiteiten en overheidsinstanties. Het heeft ook geen gevolgen voor grensoverschrijdende interoperabiliteit, aangezien de gegevens relevant zijn voor procedures voor besluitvorming op nationaal niveau in plaats van op EU-niveau. Niettemin kan samenwerking bij grensoverschrijdende projecten worden verwacht, en daarom worden de lidstaten verzocht het gebruik van een gegevensvorm te overwegen die interoperabel is en gemakkelijk toegankelijk en deelbaar is. Er is echter een centraal gedefinieerde gegevensstructuur overwogen en verworpen, aangezien het vanwege het overwegend nationale karakter van het grootste deel van de vergunningsprocedures in elke lidstaat en de verschillende vergunningstelsels logisch is dat de feitelijke beslissing over de wijze van uitvoering aan de lidstaten wordt overgelaten, die kunnen beslissen wat het beste past bij hun systeem en het nieuwe digitale platform dat zij zullen opzetten.</w:t>
            </w:r>
          </w:p>
          <w:p w14:paraId="7B32E37A" w14:textId="77777777" w:rsidR="0051718E" w:rsidRPr="00557C2A" w:rsidRDefault="0051718E" w:rsidP="00CB0269">
            <w:pPr>
              <w:numPr>
                <w:ilvl w:val="0"/>
                <w:numId w:val="20"/>
              </w:numPr>
              <w:rPr>
                <w:noProof/>
              </w:rPr>
            </w:pPr>
            <w:r w:rsidRPr="00557C2A">
              <w:rPr>
                <w:noProof/>
              </w:rPr>
              <w:t>De overheidsdiensten waarop deze suggesties betrekking hebben, zijn alle autoriteiten in elke lidstaat die betrokken zijn bij de vergunningverlening voor energieactiva, bijvoorbeeld:</w:t>
            </w:r>
          </w:p>
          <w:p w14:paraId="6A4DBCD3" w14:textId="77777777" w:rsidR="0051718E" w:rsidRPr="00557C2A" w:rsidRDefault="0051718E" w:rsidP="00CB0269">
            <w:pPr>
              <w:numPr>
                <w:ilvl w:val="0"/>
                <w:numId w:val="19"/>
              </w:numPr>
              <w:rPr>
                <w:noProof/>
              </w:rPr>
            </w:pPr>
            <w:r w:rsidRPr="00557C2A">
              <w:rPr>
                <w:noProof/>
              </w:rPr>
              <w:t>Ministerie van Energie en/of energieagentschappen </w:t>
            </w:r>
          </w:p>
          <w:p w14:paraId="4351CE15" w14:textId="77777777" w:rsidR="0051718E" w:rsidRPr="00557C2A" w:rsidRDefault="0051718E" w:rsidP="00CB0269">
            <w:pPr>
              <w:numPr>
                <w:ilvl w:val="0"/>
                <w:numId w:val="20"/>
              </w:numPr>
              <w:rPr>
                <w:noProof/>
              </w:rPr>
            </w:pPr>
            <w:r w:rsidRPr="00557C2A">
              <w:rPr>
                <w:noProof/>
              </w:rPr>
              <w:t>Gemeentelijke/lokale overheid </w:t>
            </w:r>
          </w:p>
          <w:p w14:paraId="345BD6E5" w14:textId="77777777" w:rsidR="0051718E" w:rsidRPr="00557C2A" w:rsidRDefault="0051718E" w:rsidP="00CB0269">
            <w:pPr>
              <w:numPr>
                <w:ilvl w:val="0"/>
                <w:numId w:val="21"/>
              </w:numPr>
              <w:rPr>
                <w:noProof/>
              </w:rPr>
            </w:pPr>
            <w:r w:rsidRPr="00557C2A">
              <w:rPr>
                <w:noProof/>
              </w:rPr>
              <w:t>Milieuautoriteiten </w:t>
            </w:r>
          </w:p>
          <w:p w14:paraId="424FCBCF" w14:textId="77777777" w:rsidR="0051718E" w:rsidRPr="00557C2A" w:rsidRDefault="0051718E" w:rsidP="00CB0269">
            <w:pPr>
              <w:numPr>
                <w:ilvl w:val="0"/>
                <w:numId w:val="22"/>
              </w:numPr>
              <w:rPr>
                <w:noProof/>
              </w:rPr>
            </w:pPr>
            <w:r w:rsidRPr="00557C2A">
              <w:rPr>
                <w:noProof/>
              </w:rPr>
              <w:t>Administratieve organen of entiteiten die verantwoordelijk zijn voor advies of goedkeuring inzake projecten die van invloed zijn op ruimtelijke ordening en cultureel erfgoed </w:t>
            </w:r>
          </w:p>
          <w:p w14:paraId="0A4A9C05" w14:textId="77777777" w:rsidR="0051718E" w:rsidRPr="00557C2A" w:rsidRDefault="0051718E">
            <w:pPr>
              <w:ind w:left="360"/>
              <w:rPr>
                <w:noProof/>
              </w:rPr>
            </w:pPr>
          </w:p>
          <w:p w14:paraId="6B501ACB" w14:textId="0115140D" w:rsidR="0051718E" w:rsidRPr="00557C2A" w:rsidRDefault="0051718E">
            <w:pPr>
              <w:rPr>
                <w:noProof/>
              </w:rPr>
            </w:pPr>
            <w:r w:rsidRPr="00557C2A">
              <w:rPr>
                <w:noProof/>
              </w:rPr>
              <w:t xml:space="preserve">Het voor </w:t>
            </w:r>
            <w:r w:rsidRPr="00557C2A">
              <w:rPr>
                <w:b/>
                <w:bCs/>
                <w:noProof/>
              </w:rPr>
              <w:t>vereiste 2</w:t>
            </w:r>
            <w:r w:rsidRPr="00557C2A">
              <w:rPr>
                <w:noProof/>
              </w:rPr>
              <w:t xml:space="preserve"> gebruikte THEMIS-platform is al interoperabel, aangezien het interactie tussen EU-entiteiten en overheidsinstanties vereist, via hun netwerk- en informatiesystemen.</w:t>
            </w:r>
          </w:p>
        </w:tc>
      </w:tr>
    </w:tbl>
    <w:p w14:paraId="364BAC79" w14:textId="77777777" w:rsidR="0051718E" w:rsidRPr="00557C2A" w:rsidRDefault="0051718E" w:rsidP="0051718E">
      <w:pPr>
        <w:pStyle w:val="ManualHeading2"/>
        <w:rPr>
          <w:noProof/>
        </w:rPr>
      </w:pPr>
      <w:bookmarkStart w:id="192" w:name="_Toc167220306"/>
      <w:bookmarkStart w:id="193" w:name="_Toc177549041"/>
      <w:r w:rsidRPr="00557C2A">
        <w:rPr>
          <w:noProof/>
        </w:rPr>
        <w:t>4.5.</w:t>
      </w:r>
      <w:r w:rsidRPr="00557C2A">
        <w:rPr>
          <w:noProof/>
        </w:rPr>
        <w:tab/>
        <w:t>Maatregelen ter ondersteuning van de digitale uitvoering</w:t>
      </w:r>
      <w:bookmarkEnd w:id="192"/>
      <w:bookmarkEnd w:id="193"/>
    </w:p>
    <w:tbl>
      <w:tblPr>
        <w:tblStyle w:val="TableGrid"/>
        <w:tblpPr w:leftFromText="141" w:rightFromText="141" w:vertAnchor="text" w:horzAnchor="margin" w:tblpY="49"/>
        <w:tblW w:w="9067" w:type="dxa"/>
        <w:tblLook w:val="04A0" w:firstRow="1" w:lastRow="0" w:firstColumn="1" w:lastColumn="0" w:noHBand="0" w:noVBand="1"/>
      </w:tblPr>
      <w:tblGrid>
        <w:gridCol w:w="9067"/>
      </w:tblGrid>
      <w:tr w:rsidR="0051718E" w:rsidRPr="00557C2A" w14:paraId="7DBAFC3D" w14:textId="77777777">
        <w:tc>
          <w:tcPr>
            <w:tcW w:w="9067" w:type="dxa"/>
          </w:tcPr>
          <w:p w14:paraId="102463B8" w14:textId="20AEEA93" w:rsidR="0051718E" w:rsidRPr="00557C2A" w:rsidRDefault="0051718E">
            <w:pPr>
              <w:rPr>
                <w:noProof/>
              </w:rPr>
            </w:pPr>
            <w:r w:rsidRPr="00557C2A">
              <w:rPr>
                <w:noProof/>
              </w:rPr>
              <w:t xml:space="preserve">Voor </w:t>
            </w:r>
            <w:r w:rsidRPr="00557C2A">
              <w:rPr>
                <w:b/>
                <w:bCs/>
                <w:noProof/>
              </w:rPr>
              <w:t>vereiste 1</w:t>
            </w:r>
            <w:r w:rsidRPr="00557C2A">
              <w:rPr>
                <w:noProof/>
              </w:rPr>
              <w:t xml:space="preserve"> onderzoekt de Commissie verschillende bestaande digitale en AI-oplossingen voor vergunningverlening, die kunnen worden aangepast aan de nationale en regionale context met als doel de lidstaten te ondersteunen bij het delen van beste praktijken in toekomstige deskundigengroepen op het gebied van vergunningverlening en andere fora. Bovendien wordt steun geleverd in de vorm van technische bijstand en capaciteitsopbouw bij de digitale uitvoering, onder meer via het instrument voor technische ondersteuning, de herstel- en veerkrachtfaciliteit en het gebruik van regionale fondsen.</w:t>
            </w:r>
          </w:p>
          <w:p w14:paraId="5F124170" w14:textId="7169D78D" w:rsidR="0051718E" w:rsidRPr="00557C2A" w:rsidRDefault="0051718E">
            <w:pPr>
              <w:rPr>
                <w:noProof/>
              </w:rPr>
            </w:pPr>
            <w:r w:rsidRPr="00557C2A">
              <w:rPr>
                <w:noProof/>
              </w:rPr>
              <w:t xml:space="preserve">Voor </w:t>
            </w:r>
            <w:r w:rsidRPr="00557C2A">
              <w:rPr>
                <w:b/>
                <w:bCs/>
                <w:noProof/>
              </w:rPr>
              <w:t>vereiste 2</w:t>
            </w:r>
            <w:r w:rsidRPr="00557C2A">
              <w:rPr>
                <w:noProof/>
              </w:rPr>
              <w:t xml:space="preserve"> zijn dergelijke maatregelen niet nodig.</w:t>
            </w:r>
          </w:p>
          <w:p w14:paraId="5A655D59" w14:textId="77777777" w:rsidR="0051718E" w:rsidRPr="00557C2A" w:rsidRDefault="0051718E">
            <w:pPr>
              <w:rPr>
                <w:noProof/>
              </w:rPr>
            </w:pPr>
          </w:p>
        </w:tc>
      </w:tr>
      <w:bookmarkEnd w:id="183"/>
    </w:tbl>
    <w:p w14:paraId="096BB95C" w14:textId="77777777" w:rsidR="0051718E" w:rsidRPr="00557C2A" w:rsidRDefault="0051718E" w:rsidP="00226547">
      <w:pPr>
        <w:rPr>
          <w:noProof/>
          <w:color w:val="008000"/>
        </w:rPr>
      </w:pPr>
    </w:p>
    <w:sectPr w:rsidR="0051718E" w:rsidRPr="00557C2A" w:rsidSect="009832A3">
      <w:headerReference w:type="default" r:id="rId19"/>
      <w:footerReference w:type="default" r:id="rId20"/>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6F985D6" w14:textId="77777777" w:rsidR="0093544B" w:rsidRDefault="0093544B" w:rsidP="00542FCB">
      <w:pPr>
        <w:spacing w:before="0" w:after="0"/>
      </w:pPr>
      <w:r>
        <w:separator/>
      </w:r>
    </w:p>
  </w:endnote>
  <w:endnote w:type="continuationSeparator" w:id="0">
    <w:p w14:paraId="055C24AC" w14:textId="77777777" w:rsidR="0093544B" w:rsidRDefault="0093544B" w:rsidP="00542FCB">
      <w:pPr>
        <w:spacing w:before="0" w:after="0"/>
      </w:pPr>
      <w:r>
        <w:continuationSeparator/>
      </w:r>
    </w:p>
  </w:endnote>
  <w:endnote w:type="continuationNotice" w:id="1">
    <w:p w14:paraId="432B2947" w14:textId="77777777" w:rsidR="0093544B" w:rsidRDefault="0093544B">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Unicode MS">
    <w:panose1 w:val="020B0604020202020204"/>
    <w:charset w:val="00"/>
    <w:family w:val="roman"/>
    <w:pitch w:val="variable"/>
    <w:sig w:usb0="00000003" w:usb1="00000000" w:usb2="00000000" w:usb3="00000000" w:csb0="00000001" w:csb1="00000000"/>
  </w:font>
  <w:font w:name="MS Mincho">
    <w:altName w:val="Yu Gothic UI"/>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Wingdings">
    <w:panose1 w:val="05000000000000000000"/>
    <w:charset w:val="02"/>
    <w:family w:val="auto"/>
    <w:pitch w:val="variable"/>
    <w:sig w:usb0="00000000" w:usb1="10000000" w:usb2="00000000" w:usb3="00000000" w:csb0="80000000" w:csb1="00000000"/>
  </w:font>
  <w:font w:name="EUAlbertina">
    <w:altName w:val="Cambria"/>
    <w:charset w:val="00"/>
    <w:family w:val="auto"/>
    <w:pitch w:val="variable"/>
    <w:sig w:usb0="800002EF" w:usb1="1000E0FB"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A68C0F" w14:textId="22614B07" w:rsidR="009832A3" w:rsidRPr="009832A3" w:rsidRDefault="009832A3" w:rsidP="009832A3">
    <w:pPr>
      <w:pStyle w:val="Footer"/>
      <w:rPr>
        <w:rFonts w:ascii="Arial" w:hAnsi="Arial" w:cs="Arial"/>
        <w:b/>
        <w:sz w:val="48"/>
      </w:rPr>
    </w:pPr>
    <w:r w:rsidRPr="009832A3">
      <w:rPr>
        <w:rFonts w:ascii="Arial" w:hAnsi="Arial" w:cs="Arial"/>
        <w:b/>
        <w:sz w:val="48"/>
      </w:rPr>
      <w:t>NL</w:t>
    </w:r>
    <w:r w:rsidRPr="009832A3">
      <w:rPr>
        <w:rFonts w:ascii="Arial" w:hAnsi="Arial" w:cs="Arial"/>
        <w:b/>
        <w:sz w:val="48"/>
      </w:rPr>
      <w:tab/>
    </w:r>
    <w:r w:rsidRPr="009832A3">
      <w:rPr>
        <w:rFonts w:ascii="Arial" w:hAnsi="Arial" w:cs="Arial"/>
        <w:b/>
        <w:sz w:val="48"/>
      </w:rPr>
      <w:tab/>
    </w:r>
    <w:r w:rsidRPr="009832A3">
      <w:tab/>
    </w:r>
    <w:r w:rsidRPr="009832A3">
      <w:rPr>
        <w:rFonts w:ascii="Arial" w:hAnsi="Arial" w:cs="Arial"/>
        <w:b/>
        <w:sz w:val="48"/>
      </w:rPr>
      <w:t>NL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59015A" w14:textId="19CF9554" w:rsidR="009832A3" w:rsidRPr="009832A3" w:rsidRDefault="009832A3" w:rsidP="009832A3">
    <w:pPr>
      <w:pStyle w:val="Footer"/>
      <w:rPr>
        <w:rFonts w:ascii="Arial" w:hAnsi="Arial" w:cs="Arial"/>
        <w:b/>
        <w:sz w:val="48"/>
      </w:rPr>
    </w:pPr>
    <w:r w:rsidRPr="009832A3">
      <w:rPr>
        <w:rFonts w:ascii="Arial" w:hAnsi="Arial" w:cs="Arial"/>
        <w:b/>
        <w:sz w:val="48"/>
      </w:rPr>
      <w:t>NL</w:t>
    </w:r>
    <w:r w:rsidRPr="009832A3">
      <w:rPr>
        <w:rFonts w:ascii="Arial" w:hAnsi="Arial" w:cs="Arial"/>
        <w:b/>
        <w:sz w:val="48"/>
      </w:rPr>
      <w:tab/>
    </w:r>
    <w:r w:rsidRPr="009832A3">
      <w:rPr>
        <w:rFonts w:ascii="Arial" w:hAnsi="Arial" w:cs="Arial"/>
        <w:b/>
        <w:sz w:val="48"/>
      </w:rPr>
      <w:tab/>
    </w:r>
    <w:r w:rsidRPr="009832A3">
      <w:tab/>
    </w:r>
    <w:r w:rsidRPr="009832A3">
      <w:rPr>
        <w:rFonts w:ascii="Arial" w:hAnsi="Arial" w:cs="Arial"/>
        <w:b/>
        <w:sz w:val="48"/>
      </w:rPr>
      <w:t>NL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91F31D" w14:textId="77777777" w:rsidR="009832A3" w:rsidRDefault="009832A3">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37662C" w14:textId="555EEFE0" w:rsidR="009832A3" w:rsidRPr="009832A3" w:rsidRDefault="009832A3" w:rsidP="009832A3">
    <w:pPr>
      <w:pStyle w:val="Footer"/>
      <w:rPr>
        <w:rFonts w:ascii="Arial" w:hAnsi="Arial" w:cs="Arial"/>
        <w:b/>
        <w:sz w:val="48"/>
      </w:rPr>
    </w:pPr>
    <w:r w:rsidRPr="009832A3">
      <w:rPr>
        <w:rFonts w:ascii="Arial" w:hAnsi="Arial" w:cs="Arial"/>
        <w:b/>
        <w:sz w:val="48"/>
      </w:rPr>
      <w:t>NL</w:t>
    </w:r>
    <w:r w:rsidRPr="009832A3">
      <w:rPr>
        <w:rFonts w:ascii="Arial" w:hAnsi="Arial" w:cs="Arial"/>
        <w:b/>
        <w:sz w:val="48"/>
      </w:rPr>
      <w:tab/>
    </w:r>
    <w:r>
      <w:fldChar w:fldCharType="begin"/>
    </w:r>
    <w:r>
      <w:instrText xml:space="preserve"> PAGE  \* MERGEFORMAT </w:instrText>
    </w:r>
    <w:r>
      <w:fldChar w:fldCharType="separate"/>
    </w:r>
    <w:r w:rsidR="00564CA7">
      <w:rPr>
        <w:noProof/>
      </w:rPr>
      <w:t>48</w:t>
    </w:r>
    <w:r>
      <w:fldChar w:fldCharType="end"/>
    </w:r>
    <w:r>
      <w:tab/>
    </w:r>
    <w:r w:rsidRPr="009832A3">
      <w:tab/>
    </w:r>
    <w:r w:rsidRPr="009832A3">
      <w:rPr>
        <w:rFonts w:ascii="Arial" w:hAnsi="Arial" w:cs="Arial"/>
        <w:b/>
        <w:sz w:val="48"/>
      </w:rPr>
      <w:t>NL</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A72589" w14:textId="77777777" w:rsidR="009832A3" w:rsidRDefault="009832A3" w:rsidP="009832A3">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EFB615" w14:textId="1C92C3C2" w:rsidR="009832A3" w:rsidRPr="009832A3" w:rsidRDefault="009832A3" w:rsidP="009832A3">
    <w:pPr>
      <w:pStyle w:val="FooterLandscape"/>
      <w:rPr>
        <w:rFonts w:ascii="Arial" w:hAnsi="Arial" w:cs="Arial"/>
        <w:b/>
        <w:sz w:val="48"/>
      </w:rPr>
    </w:pPr>
    <w:r w:rsidRPr="009832A3">
      <w:rPr>
        <w:rFonts w:ascii="Arial" w:hAnsi="Arial" w:cs="Arial"/>
        <w:b/>
        <w:sz w:val="48"/>
      </w:rPr>
      <w:t>NL</w:t>
    </w:r>
    <w:r w:rsidRPr="009832A3">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rsidRPr="009832A3">
      <w:tab/>
    </w:r>
    <w:r w:rsidRPr="009832A3">
      <w:rPr>
        <w:rFonts w:ascii="Arial" w:hAnsi="Arial" w:cs="Arial"/>
        <w:b/>
        <w:sz w:val="48"/>
      </w:rPr>
      <w:t>NL</w:t>
    </w: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DE8A3C" w14:textId="47F342F4" w:rsidR="009832A3" w:rsidRPr="009832A3" w:rsidRDefault="009832A3" w:rsidP="009832A3">
    <w:pPr>
      <w:pStyle w:val="Footer"/>
      <w:rPr>
        <w:rFonts w:ascii="Arial" w:hAnsi="Arial" w:cs="Arial"/>
        <w:b/>
        <w:sz w:val="48"/>
      </w:rPr>
    </w:pPr>
    <w:r w:rsidRPr="009832A3">
      <w:rPr>
        <w:rFonts w:ascii="Arial" w:hAnsi="Arial" w:cs="Arial"/>
        <w:b/>
        <w:sz w:val="48"/>
      </w:rPr>
      <w:t>NL</w:t>
    </w:r>
    <w:r w:rsidRPr="009832A3">
      <w:rPr>
        <w:rFonts w:ascii="Arial" w:hAnsi="Arial" w:cs="Arial"/>
        <w:b/>
        <w:sz w:val="48"/>
      </w:rPr>
      <w:tab/>
    </w:r>
    <w:r>
      <w:fldChar w:fldCharType="begin"/>
    </w:r>
    <w:r>
      <w:instrText xml:space="preserve"> PAGE  \* MERGEFORMAT </w:instrText>
    </w:r>
    <w:r>
      <w:fldChar w:fldCharType="separate"/>
    </w:r>
    <w:r>
      <w:rPr>
        <w:noProof/>
      </w:rPr>
      <w:t>2</w:t>
    </w:r>
    <w:r>
      <w:fldChar w:fldCharType="end"/>
    </w:r>
    <w:r>
      <w:tab/>
    </w:r>
    <w:r w:rsidRPr="009832A3">
      <w:tab/>
    </w:r>
    <w:r w:rsidRPr="009832A3">
      <w:rPr>
        <w:rFonts w:ascii="Arial" w:hAnsi="Arial" w:cs="Arial"/>
        <w:b/>
        <w:sz w:val="48"/>
      </w:rPr>
      <w:t>NL</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B152C29" w14:textId="77777777" w:rsidR="0093544B" w:rsidRDefault="0093544B" w:rsidP="00542FCB">
      <w:pPr>
        <w:spacing w:before="0" w:after="0"/>
      </w:pPr>
      <w:r>
        <w:separator/>
      </w:r>
    </w:p>
  </w:footnote>
  <w:footnote w:type="continuationSeparator" w:id="0">
    <w:p w14:paraId="78891660" w14:textId="77777777" w:rsidR="0093544B" w:rsidRDefault="0093544B" w:rsidP="00542FCB">
      <w:pPr>
        <w:spacing w:before="0" w:after="0"/>
      </w:pPr>
      <w:r>
        <w:continuationSeparator/>
      </w:r>
    </w:p>
  </w:footnote>
  <w:footnote w:type="continuationNotice" w:id="1">
    <w:p w14:paraId="46F6F50D" w14:textId="77777777" w:rsidR="0093544B" w:rsidRDefault="0093544B">
      <w:pPr>
        <w:spacing w:before="0" w:after="0"/>
      </w:pPr>
    </w:p>
  </w:footnote>
  <w:footnote w:id="2">
    <w:p w14:paraId="1C5A300F" w14:textId="77777777" w:rsidR="00F4152F" w:rsidRPr="00013049" w:rsidRDefault="00F4152F">
      <w:pPr>
        <w:pStyle w:val="FootnoteText"/>
      </w:pPr>
      <w:r>
        <w:rPr>
          <w:rStyle w:val="FootnoteReference"/>
        </w:rPr>
        <w:footnoteRef/>
      </w:r>
      <w:r>
        <w:tab/>
        <w:t>Mededeling van de Commissie aan het Europees Parlement, de Europese Raad, de Raad, het Europees Economisch en Sociaal Comité en het Comité van de Regio’s “Het EU-kompas voor concurrentievermogen” (COM(2025) 30 final van 29.1.2025).</w:t>
      </w:r>
    </w:p>
  </w:footnote>
  <w:footnote w:id="3">
    <w:p w14:paraId="4AF260C0" w14:textId="77777777" w:rsidR="00773C38" w:rsidRPr="00773C38" w:rsidRDefault="00773C38">
      <w:pPr>
        <w:pStyle w:val="FootnoteText"/>
      </w:pPr>
      <w:r>
        <w:rPr>
          <w:rStyle w:val="FootnoteReference"/>
        </w:rPr>
        <w:footnoteRef/>
      </w:r>
      <w:r>
        <w:tab/>
        <w:t>Mededeling van de Commissie aan het Europees Parlement, de Raad, het Europees Economisch en Sociaal Comité en het Comité van de Regio’s “De Clean Industrial Deal: Een gezamenlijke routekaart voor concurrentievermogen en decarbonisatie” (COM(2025) 85 final van 26.2.2025).</w:t>
      </w:r>
    </w:p>
  </w:footnote>
  <w:footnote w:id="4">
    <w:p w14:paraId="4F769385" w14:textId="77777777" w:rsidR="00F11591" w:rsidRPr="00F11591" w:rsidRDefault="00F11591">
      <w:pPr>
        <w:pStyle w:val="FootnoteText"/>
      </w:pPr>
      <w:r>
        <w:rPr>
          <w:rStyle w:val="FootnoteReference"/>
        </w:rPr>
        <w:footnoteRef/>
      </w:r>
      <w:r>
        <w:tab/>
        <w:t>Mededeling van de Commissie aan het Europees Parlement, de Raad, het Europees Economisch en Sociaal Comité en het Comité van de Regio’s “Actieplan voor betaalbare energie — De werkelijke waarde van onze energie-unie ontsluiten om betaalbare, efficiënte en schone energie voor alle Europeanen te waarborgen” (COM(2025) 79 final).</w:t>
      </w:r>
    </w:p>
  </w:footnote>
  <w:footnote w:id="5">
    <w:p w14:paraId="13063321" w14:textId="77777777" w:rsidR="00846B1D" w:rsidRPr="00846B1D" w:rsidRDefault="00846B1D">
      <w:pPr>
        <w:pStyle w:val="FootnoteText"/>
      </w:pPr>
      <w:r>
        <w:rPr>
          <w:rStyle w:val="FootnoteReference"/>
        </w:rPr>
        <w:footnoteRef/>
      </w:r>
      <w:r>
        <w:tab/>
        <w:t>Conclusies van de vergadering van de Europese Raad van 23 oktober 2025.</w:t>
      </w:r>
    </w:p>
  </w:footnote>
  <w:footnote w:id="6">
    <w:p w14:paraId="6FE43C59" w14:textId="77777777" w:rsidR="00F95EFC" w:rsidRPr="00F95EFC" w:rsidRDefault="00F95EFC" w:rsidP="00F95EFC">
      <w:pPr>
        <w:pStyle w:val="FootnoteText"/>
      </w:pPr>
      <w:r>
        <w:rPr>
          <w:rStyle w:val="FootnoteReference"/>
        </w:rPr>
        <w:footnoteRef/>
      </w:r>
      <w:r>
        <w:tab/>
        <w:t xml:space="preserve">Verordening (EU) 2022/2577 van de Raad van 22 december 2022 tot vaststelling van een kader om de inzet van hernieuwbare energie te versnellen, PB L 335 van 29.12.2022, blz. 36. </w:t>
      </w:r>
    </w:p>
  </w:footnote>
  <w:footnote w:id="7">
    <w:p w14:paraId="21EC077D" w14:textId="77777777" w:rsidR="00F95EFC" w:rsidRPr="00F9583D" w:rsidRDefault="00F95EFC" w:rsidP="00F9583D">
      <w:pPr>
        <w:pStyle w:val="FootnoteText"/>
      </w:pPr>
      <w:r>
        <w:rPr>
          <w:rStyle w:val="FootnoteReference"/>
        </w:rPr>
        <w:footnoteRef/>
      </w:r>
      <w:r>
        <w:tab/>
        <w:t xml:space="preserve">Verordening (EU) 2024/223 van de Raad van 22 december 2023 tot wijziging van Verordening (EU) 2022/2577 tot vaststelling van een kader om de inzet van hernieuwbare energie te versnellen. </w:t>
      </w:r>
    </w:p>
  </w:footnote>
  <w:footnote w:id="8">
    <w:p w14:paraId="76E80246" w14:textId="77777777" w:rsidR="007F5B20" w:rsidRPr="00C367C5" w:rsidRDefault="007F5B20">
      <w:pPr>
        <w:pStyle w:val="FootnoteText"/>
      </w:pPr>
      <w:r>
        <w:rPr>
          <w:rStyle w:val="FootnoteReference"/>
        </w:rPr>
        <w:footnoteRef/>
      </w:r>
      <w:r>
        <w:tab/>
        <w:t>Richtlijn (EU) 2023/2413 van het Europees Parlement en de Raad van 18 oktober 2023 tot wijziging van Richtlijn (EU) 2018/2001, Verordening (EU) 2018/1999 en Richtlijn 98/70/EG wat de bevordering van energie uit hernieuwbare bronnen betreft, en tot intrekking van Richtlijn (EU) 2015/652 van de Raad.</w:t>
      </w:r>
    </w:p>
  </w:footnote>
  <w:footnote w:id="9">
    <w:p w14:paraId="3DAC3CA7" w14:textId="77777777" w:rsidR="00983563" w:rsidRPr="00CF7944" w:rsidRDefault="00983563">
      <w:pPr>
        <w:pStyle w:val="FootnoteText"/>
      </w:pPr>
      <w:r>
        <w:rPr>
          <w:rStyle w:val="FootnoteReference"/>
        </w:rPr>
        <w:footnoteRef/>
      </w:r>
      <w:r>
        <w:tab/>
        <w:t>https://op.europa.eu/nl/publication-detail/-/publication/834f011b-e464-11ef-be2a-01aa75ed71a1.</w:t>
      </w:r>
    </w:p>
  </w:footnote>
  <w:footnote w:id="10">
    <w:p w14:paraId="139FAB03" w14:textId="77777777" w:rsidR="14ADC7C4" w:rsidRDefault="14ADC7C4" w:rsidP="00337F44">
      <w:pPr>
        <w:spacing w:before="0" w:after="0"/>
        <w:ind w:left="720" w:hanging="720"/>
        <w:rPr>
          <w:rFonts w:eastAsia="Times New Roman"/>
          <w:szCs w:val="24"/>
        </w:rPr>
      </w:pPr>
      <w:r>
        <w:rPr>
          <w:rStyle w:val="FootnoteReference"/>
        </w:rPr>
        <w:footnoteRef/>
      </w:r>
      <w:r>
        <w:tab/>
      </w:r>
      <w:hyperlink w:anchor=":~:text=Taking%20place%20in%20the%20framework%20of%20European%20Sustainable,renewable%20energy%20in%20final%20energy%20consumption%20by%202030." w:history="1">
        <w:r>
          <w:rPr>
            <w:sz w:val="20"/>
          </w:rPr>
          <w:t>Uitvoeringsdialoog over vergunningverlening voor hernieuwbare-energieprojecten en bijbehorende infrastructuur met commissaris Jørgensen — Europese Commissie</w:t>
        </w:r>
      </w:hyperlink>
      <w:r>
        <w:rPr>
          <w:sz w:val="20"/>
        </w:rPr>
        <w:t>, https://energy.ec.europa.eu/events/implementation-dialogue-permitting-renewable-energy-projects-and-related-infrastructure-commissioner-2025-06-11_en.</w:t>
      </w:r>
    </w:p>
  </w:footnote>
  <w:footnote w:id="11">
    <w:p w14:paraId="6F704B7B" w14:textId="77777777" w:rsidR="00487D33" w:rsidRPr="00487D33" w:rsidRDefault="00487D33">
      <w:pPr>
        <w:pStyle w:val="FootnoteText"/>
      </w:pPr>
      <w:r>
        <w:rPr>
          <w:rStyle w:val="FootnoteReference"/>
        </w:rPr>
        <w:footnoteRef/>
      </w:r>
      <w:r>
        <w:tab/>
        <w:t xml:space="preserve">Europese Commissie, Energie, </w:t>
      </w:r>
      <w:r>
        <w:rPr>
          <w:i/>
        </w:rPr>
        <w:t>Hydrogen and Decarbonised Gas Package</w:t>
      </w:r>
      <w:r>
        <w:t>, https://energy.ec.europa.eu/topics/markets-and-consumers/hydrogen-and-decarbonised-gas-market_en.</w:t>
      </w:r>
    </w:p>
  </w:footnote>
  <w:footnote w:id="12">
    <w:p w14:paraId="420CB322" w14:textId="77777777" w:rsidR="00A608AF" w:rsidRPr="00A608AF" w:rsidRDefault="00A608AF">
      <w:pPr>
        <w:pStyle w:val="FootnoteText"/>
      </w:pPr>
      <w:r>
        <w:rPr>
          <w:rStyle w:val="FootnoteReference"/>
        </w:rPr>
        <w:footnoteRef/>
      </w:r>
      <w:r>
        <w:tab/>
        <w:t>Richtlijn (EU) 2024/1788 van het Europees Parlement en de Raad van 13 juni 2024 betreffende gemeenschappelijke regels voor de interne markten voor hernieuwbaar gas, aardgas en waterstof, PB L, 2024/1788.</w:t>
      </w:r>
    </w:p>
  </w:footnote>
  <w:footnote w:id="13">
    <w:p w14:paraId="7C40E628" w14:textId="77777777" w:rsidR="00192885" w:rsidRPr="00D024E5" w:rsidRDefault="00192885">
      <w:pPr>
        <w:pStyle w:val="FootnoteText"/>
      </w:pPr>
      <w:r>
        <w:rPr>
          <w:rStyle w:val="FootnoteReference"/>
        </w:rPr>
        <w:footnoteRef/>
      </w:r>
      <w:r>
        <w:tab/>
        <w:t>Verzameling van informatie en gegevens over de uitvoering van de herziene richtlijn betreffende de milieueffectbeoordeling (MEB) (2011/92/EU), zoals gewijzigd bij 2014/52/EU, eindrapport van Milieu, COWI en Eunomia voor de Europese Commissie, maart 2024, blz. 25.</w:t>
      </w:r>
    </w:p>
  </w:footnote>
  <w:footnote w:id="14">
    <w:p w14:paraId="60CA7F52" w14:textId="77777777" w:rsidR="00D7187C" w:rsidRPr="00D7187C" w:rsidRDefault="00D7187C">
      <w:pPr>
        <w:pStyle w:val="FootnoteText"/>
      </w:pPr>
      <w:r>
        <w:rPr>
          <w:rStyle w:val="FootnoteReference"/>
        </w:rPr>
        <w:footnoteRef/>
      </w:r>
      <w:r>
        <w:tab/>
        <w:t>https://energy.ec.europa.eu/news/commission-collects-views-preparation-european-grids-package-2025-05-13_en.</w:t>
      </w:r>
    </w:p>
  </w:footnote>
  <w:footnote w:id="15">
    <w:p w14:paraId="5383511E" w14:textId="77777777" w:rsidR="00273EC9" w:rsidRPr="009B3721" w:rsidRDefault="00273EC9" w:rsidP="00337F44">
      <w:pPr>
        <w:pStyle w:val="FootnoteText"/>
      </w:pPr>
      <w:r>
        <w:rPr>
          <w:rStyle w:val="FootnoteReference"/>
        </w:rPr>
        <w:footnoteRef/>
      </w:r>
      <w:r>
        <w:tab/>
      </w:r>
      <w:r>
        <w:rPr>
          <w:rStyle w:val="FootnoteReference"/>
          <w:vertAlign w:val="baseline"/>
        </w:rPr>
        <w:t>Mededeling van de Commissie aan het Europees Parlement, de Raad, het Europees Economisch en Sociaal Comité en het Comité van de Regio’s “Actieplan voor betaalbare energie — De werkelijke waarde van onze energie-unie ontsluiten om betaalbare, efficiënte en schone energie voor alle Europeanen te waarborgen”(COM(2025) 79 final).</w:t>
      </w:r>
    </w:p>
  </w:footnote>
  <w:footnote w:id="16">
    <w:p w14:paraId="6FCBCE0D" w14:textId="77777777" w:rsidR="00BC04A0" w:rsidRPr="00434E89" w:rsidRDefault="00BC04A0">
      <w:pPr>
        <w:pStyle w:val="FootnoteText"/>
      </w:pPr>
      <w:r>
        <w:rPr>
          <w:rStyle w:val="FootnoteReference"/>
        </w:rPr>
        <w:footnoteRef/>
      </w:r>
      <w:r>
        <w:tab/>
        <w:t>Meer bepaald in artikel 8 van Richtlijn (EU) 2024/1788 van het Europees Parlement en de Raad van 13 juni 2024 betreffende gemeenschappelijke regels voor de interne markten voor hernieuwbaar gas, aardgas en waterstof, PB L, 2024/1788.</w:t>
      </w:r>
    </w:p>
  </w:footnote>
  <w:footnote w:id="17">
    <w:p w14:paraId="78ACC6F9" w14:textId="047F32E0" w:rsidR="000D78E0" w:rsidRPr="00434E89" w:rsidRDefault="000D78E0" w:rsidP="000D78E0">
      <w:pPr>
        <w:pStyle w:val="FootnoteText"/>
        <w:ind w:left="426" w:hanging="426"/>
      </w:pPr>
      <w:r>
        <w:rPr>
          <w:rStyle w:val="FootnoteReference"/>
        </w:rPr>
        <w:footnoteRef/>
      </w:r>
      <w:r>
        <w:tab/>
        <w:t>https://commission.europa.eu/topics/eu-competitiveness/draghi-report_en#paragraph_47059.</w:t>
      </w:r>
    </w:p>
  </w:footnote>
  <w:footnote w:id="18">
    <w:p w14:paraId="175A4136" w14:textId="77777777" w:rsidR="00B3468F" w:rsidRPr="00B3468F" w:rsidRDefault="00B3468F">
      <w:pPr>
        <w:pStyle w:val="FootnoteText"/>
      </w:pPr>
      <w:r>
        <w:rPr>
          <w:rStyle w:val="FootnoteReference"/>
        </w:rPr>
        <w:footnoteRef/>
      </w:r>
      <w:r>
        <w:tab/>
        <w:t>Raad van de Europese Unie, 10279/25.</w:t>
      </w:r>
    </w:p>
  </w:footnote>
  <w:footnote w:id="19">
    <w:p w14:paraId="335EF44E" w14:textId="15110046" w:rsidR="00F04937" w:rsidRPr="00F04937" w:rsidRDefault="00F04937">
      <w:pPr>
        <w:pStyle w:val="FootnoteText"/>
      </w:pPr>
      <w:r>
        <w:rPr>
          <w:rStyle w:val="FootnoteReference"/>
        </w:rPr>
        <w:footnoteRef/>
      </w:r>
      <w:r>
        <w:tab/>
        <w:t>[</w:t>
      </w:r>
      <w:r>
        <w:rPr>
          <w:i/>
        </w:rPr>
        <w:t>reference to the Regulation on speeding-up environmental assessments</w:t>
      </w:r>
      <w:r>
        <w:t>]</w:t>
      </w:r>
    </w:p>
  </w:footnote>
  <w:footnote w:id="20">
    <w:p w14:paraId="7C8466BE" w14:textId="77777777" w:rsidR="003A7E1B" w:rsidRPr="003A7E1B" w:rsidRDefault="003A7E1B">
      <w:pPr>
        <w:pStyle w:val="FootnoteText"/>
      </w:pPr>
      <w:r>
        <w:rPr>
          <w:rStyle w:val="FootnoteReference"/>
        </w:rPr>
        <w:footnoteRef/>
      </w:r>
      <w:r>
        <w:tab/>
      </w:r>
      <w:hyperlink w:anchor=":~:text=The%20Implementation%20Dialogue%20on%20environmental%20assessments%20and%20permitting,to%20discuss%20improvements%20to%20environmental%20assessments%20and%20permitting." w:history="1">
        <w:r>
          <w:rPr>
            <w:rStyle w:val="Hyperlink"/>
          </w:rPr>
          <w:t>Uitvoeringsdialoog over milieubeoordelingen en vergunningverlening — Milieu</w:t>
        </w:r>
      </w:hyperlink>
      <w:r>
        <w:t>.</w:t>
      </w:r>
    </w:p>
  </w:footnote>
  <w:footnote w:id="21">
    <w:p w14:paraId="7E6674B7" w14:textId="77777777" w:rsidR="00B86C32" w:rsidRPr="00B86C32" w:rsidRDefault="00B86C32">
      <w:pPr>
        <w:pStyle w:val="FootnoteText"/>
      </w:pPr>
      <w:r>
        <w:rPr>
          <w:rStyle w:val="FootnoteReference"/>
        </w:rPr>
        <w:footnoteRef/>
      </w:r>
      <w:r>
        <w:tab/>
      </w:r>
      <w:hyperlink r:id="rId1" w:history="1">
        <w:r>
          <w:rPr>
            <w:rStyle w:val="Hyperlink"/>
          </w:rPr>
          <w:t>Uitvoeringsdialoog over vergunningverlening voor hernieuwbare-energieprojecten en aanverwante infrastructuur met commissaris Jørgensen — Europese Commissie</w:t>
        </w:r>
      </w:hyperlink>
      <w:r>
        <w:t>.</w:t>
      </w:r>
    </w:p>
  </w:footnote>
  <w:footnote w:id="22">
    <w:p w14:paraId="3B988DB0" w14:textId="77777777" w:rsidR="00D44E1A" w:rsidRPr="00D44E1A" w:rsidRDefault="00D44E1A">
      <w:pPr>
        <w:pStyle w:val="FootnoteText"/>
      </w:pPr>
      <w:r>
        <w:rPr>
          <w:rStyle w:val="FootnoteReference"/>
        </w:rPr>
        <w:footnoteRef/>
      </w:r>
      <w:r>
        <w:tab/>
        <w:t xml:space="preserve">Europees Comité van de Regio’s, </w:t>
      </w:r>
      <w:r>
        <w:rPr>
          <w:i/>
          <w:iCs/>
        </w:rPr>
        <w:t>Jaarverslag over de staat van de regio’s en steden in de EU: factsheet 2025</w:t>
      </w:r>
      <w:r>
        <w:t xml:space="preserve"> (oktober 2025): </w:t>
      </w:r>
      <w:hyperlink r:id="rId2" w:history="1">
        <w:r>
          <w:rPr>
            <w:rStyle w:val="Hyperlink"/>
          </w:rPr>
          <w:t>De staat van de regio’s en steden in de Europese Unie |</w:t>
        </w:r>
      </w:hyperlink>
      <w:hyperlink r:id="rId3" w:history="1">
        <w:r>
          <w:rPr>
            <w:rStyle w:val="Hyperlink"/>
          </w:rPr>
          <w:t>Europees Comité van de Regio’s</w:t>
        </w:r>
      </w:hyperlink>
      <w:r>
        <w:t xml:space="preserve">. </w:t>
      </w:r>
    </w:p>
  </w:footnote>
  <w:footnote w:id="23">
    <w:p w14:paraId="6680607E" w14:textId="77777777" w:rsidR="004A389E" w:rsidRPr="001D4BB3" w:rsidRDefault="004A389E" w:rsidP="004A389E">
      <w:pPr>
        <w:pStyle w:val="FootnoteText"/>
        <w:spacing w:line="276" w:lineRule="auto"/>
      </w:pPr>
      <w:r>
        <w:rPr>
          <w:rStyle w:val="FootnoteReference"/>
        </w:rPr>
        <w:footnoteRef/>
      </w:r>
      <w:r>
        <w:tab/>
        <w:t xml:space="preserve">Het eindverslag is te vinden op: </w:t>
      </w:r>
      <w:hyperlink r:id="rId4">
        <w:r>
          <w:rPr>
            <w:rStyle w:val="Hyperlink"/>
          </w:rPr>
          <w:t>Technical support for RES policy development and implementation — simplification of permission and administrative procedures for RES installations (RES Simplify) — Bureau voor publicaties van de Europese Unie</w:t>
        </w:r>
      </w:hyperlink>
      <w:r>
        <w:t>.</w:t>
      </w:r>
    </w:p>
  </w:footnote>
  <w:footnote w:id="24">
    <w:p w14:paraId="6602AD85" w14:textId="77777777" w:rsidR="004A389E" w:rsidRPr="00692629" w:rsidRDefault="004A389E" w:rsidP="004A389E">
      <w:pPr>
        <w:pStyle w:val="FootnoteText"/>
      </w:pPr>
      <w:r>
        <w:rPr>
          <w:rStyle w:val="FootnoteReference"/>
        </w:rPr>
        <w:footnoteRef/>
      </w:r>
      <w:r>
        <w:tab/>
        <w:t xml:space="preserve">Europese Commissie: Directoraat-generaal Energie, COWI, Eclareon en Prognos, “Monitoring the implementation of the Commission recommendation and guidance on speeding up permit-granting procedures for renewable energy and related infrastructure projects” — Final report, Bureau voor publicaties van de Europese Unie, 2025, </w:t>
      </w:r>
      <w:hyperlink r:id="rId5" w:history="1">
        <w:r>
          <w:rPr>
            <w:rStyle w:val="Hyperlink"/>
          </w:rPr>
          <w:t>https://data.europa.eu/doi/10.2833/2257747</w:t>
        </w:r>
      </w:hyperlink>
      <w:r>
        <w:t xml:space="preserve">. </w:t>
      </w:r>
    </w:p>
  </w:footnote>
  <w:footnote w:id="25">
    <w:p w14:paraId="0FC7A8CD" w14:textId="77777777" w:rsidR="004A389E" w:rsidRPr="001D4BB3" w:rsidRDefault="004A389E" w:rsidP="004A389E">
      <w:pPr>
        <w:pStyle w:val="FootnoteText"/>
      </w:pPr>
      <w:r>
        <w:rPr>
          <w:rStyle w:val="FootnoteReference"/>
        </w:rPr>
        <w:footnoteRef/>
      </w:r>
      <w:r>
        <w:tab/>
      </w:r>
      <w:hyperlink r:id="rId6" w:history="1">
        <w:r>
          <w:rPr>
            <w:rStyle w:val="Hyperlink"/>
          </w:rPr>
          <w:t>www.ca-res.eu</w:t>
        </w:r>
      </w:hyperlink>
      <w:r>
        <w:t xml:space="preserve">. </w:t>
      </w:r>
    </w:p>
  </w:footnote>
  <w:footnote w:id="26">
    <w:p w14:paraId="79A38002" w14:textId="77777777" w:rsidR="004A389E" w:rsidRPr="001D4BB3" w:rsidRDefault="004A389E" w:rsidP="00470B5D">
      <w:pPr>
        <w:pStyle w:val="FootnoteText"/>
      </w:pPr>
      <w:r>
        <w:rPr>
          <w:rStyle w:val="FootnoteReference"/>
        </w:rPr>
        <w:footnoteRef/>
      </w:r>
      <w:r>
        <w:tab/>
        <w:t>Zie voetnoot 18.</w:t>
      </w:r>
    </w:p>
  </w:footnote>
  <w:footnote w:id="27">
    <w:p w14:paraId="1072CE22" w14:textId="77777777" w:rsidR="00083F5D" w:rsidRPr="00083F5D" w:rsidRDefault="00A900B9" w:rsidP="00083F5D">
      <w:pPr>
        <w:pStyle w:val="FootnoteText"/>
      </w:pPr>
      <w:r>
        <w:rPr>
          <w:rStyle w:val="FootnoteReference"/>
        </w:rPr>
        <w:footnoteRef/>
      </w:r>
      <w:r>
        <w:tab/>
        <w:t>Europese Commissie: Directoraat-Generaal voor Energie, Milieu, Bruggeman, V., Vona, L., Moreira, G. e.a., </w:t>
      </w:r>
      <w:r>
        <w:rPr>
          <w:i/>
        </w:rPr>
        <w:t>Study on national permit granting process applicable to energy transmission infrastructure projects with a focus on projects of common interest and projects of mutual interest under Chapter III of Regulation (EU) 2022/869 — Overview report</w:t>
      </w:r>
      <w:r>
        <w:t>, Bureau voor publicaties van de Europese Unie, 2025, </w:t>
      </w:r>
      <w:hyperlink r:id="rId7" w:tgtFrame="_blank" w:history="1">
        <w:r>
          <w:rPr>
            <w:rStyle w:val="Hyperlink"/>
            <w:b/>
          </w:rPr>
          <w:t>https://data.europa.eu/doi/10.2833/2566900</w:t>
        </w:r>
      </w:hyperlink>
      <w:r>
        <w:t>.</w:t>
      </w:r>
    </w:p>
    <w:p w14:paraId="1F5A9624" w14:textId="77777777" w:rsidR="00A900B9" w:rsidRPr="00671E3A" w:rsidRDefault="00A900B9">
      <w:pPr>
        <w:pStyle w:val="FootnoteText"/>
        <w:rPr>
          <w:lang w:val="en-IE"/>
        </w:rPr>
      </w:pPr>
    </w:p>
  </w:footnote>
  <w:footnote w:id="28">
    <w:p w14:paraId="713EA7DC" w14:textId="77777777" w:rsidR="00542FCB" w:rsidRPr="00167227" w:rsidRDefault="00542FCB">
      <w:pPr>
        <w:pStyle w:val="FootnoteText"/>
      </w:pPr>
      <w:r>
        <w:rPr>
          <w:rStyle w:val="FootnoteReference"/>
        </w:rPr>
        <w:footnoteRef/>
      </w:r>
      <w:r>
        <w:tab/>
        <w:t>PB C  van , blz. .</w:t>
      </w:r>
    </w:p>
  </w:footnote>
  <w:footnote w:id="29">
    <w:p w14:paraId="0BBA9963" w14:textId="77777777" w:rsidR="00542FCB" w:rsidRPr="00167227" w:rsidRDefault="00542FCB">
      <w:pPr>
        <w:pStyle w:val="FootnoteText"/>
      </w:pPr>
      <w:r>
        <w:rPr>
          <w:rStyle w:val="FootnoteReference"/>
        </w:rPr>
        <w:footnoteRef/>
      </w:r>
      <w:r>
        <w:tab/>
        <w:t>PB C  van , blz. .</w:t>
      </w:r>
    </w:p>
  </w:footnote>
  <w:footnote w:id="30">
    <w:p w14:paraId="109B2530" w14:textId="77777777" w:rsidR="00C400AC" w:rsidRPr="000A337C" w:rsidRDefault="00C400AC" w:rsidP="00C400AC">
      <w:pPr>
        <w:pStyle w:val="FootnoteText"/>
      </w:pPr>
      <w:r>
        <w:rPr>
          <w:rStyle w:val="FootnoteReference"/>
        </w:rPr>
        <w:footnoteRef/>
      </w:r>
      <w:r>
        <w:tab/>
        <w:t xml:space="preserve">Verordening (EU) 2022/2577 van de Raad van 22 december 2022 tot vaststelling van een kader om de inzet van hernieuwbare energie te versnellen, PB L 335 van 29.12.2022, blz. 36, ELI: </w:t>
      </w:r>
      <w:hyperlink r:id="rId8" w:history="1">
        <w:r>
          <w:rPr>
            <w:rStyle w:val="Hyperlink"/>
          </w:rPr>
          <w:t>http://data.europa.eu/eli/reg/2022/2577/oj</w:t>
        </w:r>
      </w:hyperlink>
      <w:r>
        <w:t xml:space="preserve">). </w:t>
      </w:r>
    </w:p>
  </w:footnote>
  <w:footnote w:id="31">
    <w:p w14:paraId="2AEE5B16" w14:textId="77777777" w:rsidR="000A337C" w:rsidRPr="000A337C" w:rsidRDefault="000A337C">
      <w:pPr>
        <w:pStyle w:val="FootnoteText"/>
      </w:pPr>
      <w:r>
        <w:rPr>
          <w:rStyle w:val="FootnoteReference"/>
        </w:rPr>
        <w:footnoteRef/>
      </w:r>
      <w:r>
        <w:tab/>
        <w:t xml:space="preserve">Verordening (EU) 2024/223 van de Raad van 22 december 2023 tot wijziging van Verordening (EU) 2022/2577 tot vaststelling van een kader om de inzet van hernieuwbare energie te versnellen (PB L, 2024/223, 21.5.2024, ELI: http://data.europa.eu/eli/reg/2024/223/oj). </w:t>
      </w:r>
    </w:p>
  </w:footnote>
  <w:footnote w:id="32">
    <w:p w14:paraId="0B63572A" w14:textId="77777777" w:rsidR="003A1EDE" w:rsidRPr="00C367C5" w:rsidRDefault="003A1EDE">
      <w:pPr>
        <w:pStyle w:val="FootnoteText"/>
      </w:pPr>
      <w:r>
        <w:rPr>
          <w:rStyle w:val="FootnoteReference"/>
        </w:rPr>
        <w:footnoteRef/>
      </w:r>
      <w:r>
        <w:tab/>
        <w:t xml:space="preserve">Richtlijn (EU) 2018/2001 van het Europees Parlement en de Raad van 11 december 2018 ter bevordering van het gebruik van energie uit hernieuwbare bronnen (PB L 328 van 21.12.2018, blz. 82, ELI: </w:t>
      </w:r>
      <w:hyperlink r:id="rId9" w:history="1">
        <w:r>
          <w:rPr>
            <w:rStyle w:val="Hyperlink"/>
          </w:rPr>
          <w:t>http://data.europa.eu/eli/dir/2018/2001/oj</w:t>
        </w:r>
      </w:hyperlink>
      <w:r>
        <w:t>).</w:t>
      </w:r>
    </w:p>
  </w:footnote>
  <w:footnote w:id="33">
    <w:p w14:paraId="64F44E0E" w14:textId="1ECF73CC" w:rsidR="00FB31EB" w:rsidRPr="00C367C5" w:rsidRDefault="00FB31EB">
      <w:pPr>
        <w:pStyle w:val="FootnoteText"/>
      </w:pPr>
      <w:r>
        <w:rPr>
          <w:rStyle w:val="FootnoteReference"/>
        </w:rPr>
        <w:footnoteRef/>
      </w:r>
      <w:r>
        <w:tab/>
        <w:t>Richtlijn (EU) 2023/2413 van het Europees Parlement en de Raad van 18 oktober 2023 tot wijziging van Richtlijn (EU) 2018/2001, Verordening (EU) 2018/1999 en Richtlijn 98/70/EG wat de bevordering van energie uit hernieuwbare bronnen betreft, en tot intrekking van Richtlijn (EU) 2015/652 van de Raad (PB L, 2023/2413, 31.10.2023, ELI: http://data.europa.eu/eli/dir/2023/2413/oj).</w:t>
      </w:r>
    </w:p>
  </w:footnote>
  <w:footnote w:id="34">
    <w:p w14:paraId="7D13A532" w14:textId="77777777" w:rsidR="00DA5B24" w:rsidRPr="00057267" w:rsidRDefault="00DA5B24">
      <w:pPr>
        <w:pStyle w:val="FootnoteText"/>
      </w:pPr>
      <w:r>
        <w:rPr>
          <w:rStyle w:val="FootnoteReference"/>
        </w:rPr>
        <w:footnoteRef/>
      </w:r>
      <w:r>
        <w:tab/>
        <w:t>Richtlijn (EU) 2019/944 van het Europees Parlement en de Raad van 5 juni 2019 betreffende gemeenschappelijke regels voor de interne markt voor elektriciteit en tot wijziging van Richtlijn 2012/27/EU (PB L 158 van 14.6.2019, blz. 125, ELI: http://data.europa.eu/eli/dir/2019/944/oj).</w:t>
      </w:r>
    </w:p>
  </w:footnote>
  <w:footnote w:id="35">
    <w:p w14:paraId="75B55F2E" w14:textId="77777777" w:rsidR="00221DFF" w:rsidRPr="00221DFF" w:rsidRDefault="00221DFF">
      <w:pPr>
        <w:pStyle w:val="FootnoteText"/>
      </w:pPr>
      <w:r>
        <w:rPr>
          <w:rStyle w:val="FootnoteReference"/>
        </w:rPr>
        <w:footnoteRef/>
      </w:r>
      <w:r>
        <w:tab/>
        <w:t>Aanbeveling (EU) 2024/1343 van de Commissie van 13 mei 2024 over het versnellen van de procedures voor de verlening van vergunningen voor projecten op het gebied van hernieuwbare energie en gerelateerde infrastructuurprojecten (PB L, 2024/1343, 21.5.2024, ELI: </w:t>
      </w:r>
      <w:hyperlink r:id="rId10" w:tooltip="Geeft toegang tot dit document via de ELI URI" w:history="1">
        <w:r>
          <w:rPr>
            <w:rStyle w:val="Hyperlink"/>
          </w:rPr>
          <w:t>http://data.europa.eu/eli/reco/2024/1343/oj</w:t>
        </w:r>
      </w:hyperlink>
      <w:r>
        <w:t xml:space="preserve">). </w:t>
      </w:r>
    </w:p>
  </w:footnote>
  <w:footnote w:id="36">
    <w:p w14:paraId="4A1156D4" w14:textId="77777777" w:rsidR="00F94762" w:rsidRPr="00F94762" w:rsidRDefault="00F94762">
      <w:pPr>
        <w:pStyle w:val="FootnoteText"/>
      </w:pPr>
      <w:r>
        <w:rPr>
          <w:rStyle w:val="FootnoteReference"/>
        </w:rPr>
        <w:footnoteRef/>
      </w:r>
      <w:r>
        <w:tab/>
        <w:t xml:space="preserve">Europese Commissie: Directoraat-generaal Energie, COWI, Eclareon en Prognos, “Monitoring the implementation of the Commission recommendation and guidance on speeding up permit-granting procedures for renewable energy and related infrastructure projects” — Final report, Bureau voor publicaties van de Europese Unie, 2025, blz. 31. </w:t>
      </w:r>
    </w:p>
  </w:footnote>
  <w:footnote w:id="37">
    <w:p w14:paraId="163CEB3E" w14:textId="77777777" w:rsidR="00A72F09" w:rsidRPr="00A72F09" w:rsidRDefault="00A72F09">
      <w:pPr>
        <w:pStyle w:val="FootnoteText"/>
      </w:pPr>
      <w:r>
        <w:rPr>
          <w:rStyle w:val="FootnoteReference"/>
        </w:rPr>
        <w:footnoteRef/>
      </w:r>
      <w:r>
        <w:tab/>
        <w:t xml:space="preserve">WindEurope, 2024 Statistics and the outlook for 2025-2030. </w:t>
      </w:r>
    </w:p>
  </w:footnote>
  <w:footnote w:id="38">
    <w:p w14:paraId="3A197667" w14:textId="77777777" w:rsidR="001F5F65" w:rsidRPr="00522C2D" w:rsidRDefault="001F5F65">
      <w:pPr>
        <w:pStyle w:val="FootnoteText"/>
      </w:pPr>
      <w:r>
        <w:rPr>
          <w:rStyle w:val="FootnoteReference"/>
        </w:rPr>
        <w:footnoteRef/>
      </w:r>
      <w:r>
        <w:tab/>
        <w:t>Richtlijn 2011/92/EU van het Europees Parlement en de Raad van 13 december 2011 betreffende de milieueffectbeoordeling van bepaalde openbare en particuliere projecten (PB L 26 van 28.1.2012, blz. 1, ELI: http://data.europa.eu/eli/dir/2011/92/oj).</w:t>
      </w:r>
    </w:p>
  </w:footnote>
  <w:footnote w:id="39">
    <w:p w14:paraId="7DE00ED4" w14:textId="77777777" w:rsidR="00573E99" w:rsidRPr="00573E99" w:rsidRDefault="00573E99">
      <w:pPr>
        <w:pStyle w:val="FootnoteText"/>
      </w:pPr>
      <w:r>
        <w:rPr>
          <w:rStyle w:val="FootnoteReference"/>
        </w:rPr>
        <w:footnoteRef/>
      </w:r>
      <w:r>
        <w:tab/>
        <w:t>Verordening (EU) 2018/1999 van het Europees Parlement en de Raad van 11 december 2018 inzake de governance van de energie-unie en van de klimaatactie, tot wijziging van Verordeningen (EG) nr. 663/2009 en (EG) nr. 715/2009 van het Europees Parlement en de Raad, Richtlijnen 94/22/EG, 98/70/EG, 2009/31/EG, 2009/73/EG, 2010/31/EU, 2012/27/EU en 2013/30/EU van het Europees Parlement en de Raad, Richtlijnen 2009/119/EG en (EU) 2015/652 van de Raad, en tot intrekking van Verordening (EU) nr. 525/2013 van het Europees Parlement en de Raad (PB L 328 van 21.12.2018, blz. 1, ELI: http://data.europa.eu/eli/reg/2018/1999/oj).</w:t>
      </w:r>
    </w:p>
  </w:footnote>
  <w:footnote w:id="40">
    <w:p w14:paraId="17A5CAD0" w14:textId="77777777" w:rsidR="00C3335A" w:rsidRPr="00C41940" w:rsidRDefault="00C3335A">
      <w:pPr>
        <w:pStyle w:val="FootnoteText"/>
      </w:pPr>
      <w:r>
        <w:rPr>
          <w:rStyle w:val="FootnoteReference"/>
        </w:rPr>
        <w:footnoteRef/>
      </w:r>
      <w:r>
        <w:tab/>
        <w:t>Richtlijn 92/43/EEG van de Raad van 21 mei 1992 inzake de instandhouding van de natuurlijke habitats en de wilde flora en fauna (PB L 206 van 22.7.1992, blz. 7, ELI: http://data.europa.eu/eli/dir/1992/43/oj).</w:t>
      </w:r>
    </w:p>
  </w:footnote>
  <w:footnote w:id="41">
    <w:p w14:paraId="2A716DCA" w14:textId="77777777" w:rsidR="2A3BA199" w:rsidRDefault="2A3BA199">
      <w:pPr>
        <w:pStyle w:val="FootnoteText"/>
      </w:pPr>
      <w:r>
        <w:rPr>
          <w:rStyle w:val="FootnoteReference"/>
        </w:rPr>
        <w:footnoteRef/>
      </w:r>
      <w:r>
        <w:tab/>
        <w:t>Mededeling van de Commissie aan het Europees Parlement, de Raad, het Europees Economisch en Sociaal Comité en het Comité van de Regio’s “Actieplan voor betaalbare energie — De werkelijke waarde van onze energie-unie ontsluiten om betaalbare, efficiënte en schone energie voor alle Europeanen te waarborgen” (COM(2025) 79 final).</w:t>
      </w:r>
    </w:p>
  </w:footnote>
  <w:footnote w:id="42">
    <w:p w14:paraId="5C8DA749" w14:textId="77777777" w:rsidR="001D6515" w:rsidRPr="001D6515" w:rsidRDefault="001D6515">
      <w:pPr>
        <w:pStyle w:val="FootnoteText"/>
      </w:pPr>
      <w:r>
        <w:rPr>
          <w:rStyle w:val="FootnoteReference"/>
        </w:rPr>
        <w:footnoteRef/>
      </w:r>
      <w:r>
        <w:tab/>
        <w:t>Richtlijn (EU) 2024/1788 van het Europees Parlement en de Raad van 13 juni 2024 betreffende gemeenschappelijke regels voor de interne markten voor hernieuwbaar gas, aardgas en waterstof, tot wijziging van Richtlijn (EU) 2023/1791 en tot intrekking van Richtlijn 2009/73/EG (</w:t>
      </w:r>
      <w:hyperlink r:id="rId11" w:history="1">
        <w:r>
          <w:rPr>
            <w:rStyle w:val="Hyperlink"/>
          </w:rPr>
          <w:t>PB L, 2024/1788, 15.7.2024</w:t>
        </w:r>
      </w:hyperlink>
      <w:r>
        <w:t xml:space="preserve">, ELI: </w:t>
      </w:r>
      <w:hyperlink r:id="rId12" w:tooltip="Geeft toegang tot dit document via de ELI URI" w:history="1">
        <w:r>
          <w:rPr>
            <w:u w:val="single"/>
            <w:shd w:val="clear" w:color="auto" w:fill="FFFFFF"/>
          </w:rPr>
          <w:t>http://data.europa.eu/eli/dir/2024/1788/oj</w:t>
        </w:r>
      </w:hyperlink>
      <w:r>
        <w:t>).</w:t>
      </w:r>
    </w:p>
  </w:footnote>
  <w:footnote w:id="43">
    <w:p w14:paraId="4157919B" w14:textId="77777777" w:rsidR="000518AC" w:rsidRPr="000518AC" w:rsidRDefault="000518AC">
      <w:pPr>
        <w:pStyle w:val="FootnoteText"/>
      </w:pPr>
      <w:r>
        <w:rPr>
          <w:rStyle w:val="FootnoteReference"/>
        </w:rPr>
        <w:footnoteRef/>
      </w:r>
      <w:r>
        <w:tab/>
        <w:t>Verordening (EU) 2022/869 van het Europees Parlement en de Raad van 30 mei 2022 betreffende richtsnoeren voor de trans-Europese energie-infrastructuur, tot wijziging van Verordeningen (EG) nr. 715/2009, (EU) 2019/942 en (EU) 2019/943, en Richtlijnen 2009/73/EG en (EU) 2019/944, en tot intrekking van Verordening (EU) nr. 347/2013 (</w:t>
      </w:r>
      <w:hyperlink r:id="rId13" w:history="1">
        <w:r>
          <w:rPr>
            <w:rStyle w:val="Hyperlink"/>
          </w:rPr>
          <w:t>PB L 152 van 3.6.2022, blz. 45</w:t>
        </w:r>
      </w:hyperlink>
      <w:r>
        <w:t xml:space="preserve">, </w:t>
      </w:r>
      <w:r>
        <w:rPr>
          <w:shd w:val="clear" w:color="auto" w:fill="FFFFFF"/>
        </w:rPr>
        <w:t>ELI: </w:t>
      </w:r>
      <w:hyperlink r:id="rId14" w:tooltip="Geeft toegang tot dit document via de ELI URI" w:history="1">
        <w:r>
          <w:rPr>
            <w:u w:val="single"/>
            <w:shd w:val="clear" w:color="auto" w:fill="FFFFFF"/>
          </w:rPr>
          <w:t>http://data.europa.eu/eli/reg/2022/869/oj</w:t>
        </w:r>
      </w:hyperlink>
      <w:r>
        <w:t>).</w:t>
      </w:r>
    </w:p>
  </w:footnote>
  <w:footnote w:id="44">
    <w:p w14:paraId="5779CB56" w14:textId="77777777" w:rsidR="00CB7549" w:rsidRPr="00261A01" w:rsidRDefault="00CB7549" w:rsidP="00CB7549">
      <w:pPr>
        <w:pStyle w:val="FootnoteText"/>
      </w:pPr>
      <w:r>
        <w:rPr>
          <w:rStyle w:val="FootnoteReference"/>
        </w:rPr>
        <w:footnoteRef/>
      </w:r>
      <w:r>
        <w:tab/>
        <w:t>Richtlijn 92/43/EEG van de Raad van 21 mei 1992 inzake de instandhouding van de natuurlijke habitats en de wilde flora en fauna (</w:t>
      </w:r>
      <w:hyperlink r:id="rId15" w:history="1">
        <w:r>
          <w:rPr>
            <w:rStyle w:val="Hyperlink"/>
          </w:rPr>
          <w:t>PB L 206 van 22.7.1992, blz. 7</w:t>
        </w:r>
      </w:hyperlink>
      <w:r>
        <w:t>, ELI: </w:t>
      </w:r>
      <w:hyperlink r:id="rId16" w:tooltip="Geeft toegang tot dit document via de ELI URI" w:history="1">
        <w:r>
          <w:rPr>
            <w:rStyle w:val="Hyperlink"/>
          </w:rPr>
          <w:t>http://data.europa.eu/eli/dir/1992/43/oj</w:t>
        </w:r>
      </w:hyperlink>
      <w:r>
        <w:t>).</w:t>
      </w:r>
    </w:p>
  </w:footnote>
  <w:footnote w:id="45">
    <w:p w14:paraId="767A8EE3" w14:textId="77777777" w:rsidR="00CB7549" w:rsidRPr="00AC6D7A" w:rsidRDefault="00CB7549" w:rsidP="00CB7549">
      <w:pPr>
        <w:pStyle w:val="FootnoteText"/>
      </w:pPr>
      <w:r>
        <w:rPr>
          <w:rStyle w:val="FootnoteReference"/>
        </w:rPr>
        <w:footnoteRef/>
      </w:r>
      <w:r>
        <w:tab/>
        <w:t>Richtlijn 2009/147/EG van het Europees Parlement en de Raad van 30 november 2009 inzake het behoud van de vogelstand (</w:t>
      </w:r>
      <w:hyperlink r:id="rId17" w:history="1">
        <w:r>
          <w:rPr>
            <w:rStyle w:val="Hyperlink"/>
          </w:rPr>
          <w:t>PB L 20 van 26.1.2010, blz. 7</w:t>
        </w:r>
      </w:hyperlink>
      <w:r>
        <w:t xml:space="preserve">, ELI: </w:t>
      </w:r>
      <w:hyperlink r:id="rId18" w:history="1">
        <w:r>
          <w:rPr>
            <w:rStyle w:val="Hyperlink"/>
          </w:rPr>
          <w:t>http://data.europa.eu/eli/dir/2009/147/oj</w:t>
        </w:r>
      </w:hyperlink>
      <w:r>
        <w:t>).</w:t>
      </w:r>
    </w:p>
  </w:footnote>
  <w:footnote w:id="46">
    <w:p w14:paraId="56C882D7" w14:textId="77777777" w:rsidR="00D41ED5" w:rsidRPr="00D41ED5" w:rsidRDefault="00D41ED5" w:rsidP="00CD730F">
      <w:pPr>
        <w:pStyle w:val="FootnoteText"/>
      </w:pPr>
      <w:r>
        <w:rPr>
          <w:rStyle w:val="FootnoteReference"/>
        </w:rPr>
        <w:footnoteRef/>
      </w:r>
      <w:r>
        <w:tab/>
        <w:t>Richtlijn 92/43/EEG van de Raad van 21 mei 1992 inzake de instandhouding van de natuurlijke habitats en de wilde flora en fauna (</w:t>
      </w:r>
      <w:hyperlink r:id="rId19" w:history="1">
        <w:r>
          <w:rPr>
            <w:rStyle w:val="Hyperlink"/>
          </w:rPr>
          <w:t>PB L 206 van 22.7.1992, blz. 7</w:t>
        </w:r>
      </w:hyperlink>
      <w:r>
        <w:t>, ELI: </w:t>
      </w:r>
      <w:hyperlink r:id="rId20" w:tooltip="Geeft toegang tot dit document via de ELI URI" w:history="1">
        <w:r>
          <w:rPr>
            <w:rStyle w:val="Hyperlink"/>
          </w:rPr>
          <w:t>http://data.europa.eu/eli/dir/1992/43/oj</w:t>
        </w:r>
      </w:hyperlink>
      <w:r>
        <w:t>).</w:t>
      </w:r>
    </w:p>
  </w:footnote>
  <w:footnote w:id="47">
    <w:p w14:paraId="65504CFE" w14:textId="77777777" w:rsidR="003D3BB6" w:rsidRPr="003D3BB6" w:rsidRDefault="003D3BB6" w:rsidP="00D604AD">
      <w:pPr>
        <w:pStyle w:val="FootnoteText"/>
      </w:pPr>
      <w:r>
        <w:rPr>
          <w:rStyle w:val="FootnoteReference"/>
        </w:rPr>
        <w:footnoteRef/>
      </w:r>
      <w:r>
        <w:tab/>
        <w:t>Richtlijn 2000/60/EG van het Europees Parlement en de Raad van 23 oktober 2000 tot vaststelling van een kader voor communautaire maatregelen betreffende het waterbeleid (</w:t>
      </w:r>
      <w:hyperlink r:id="rId21" w:history="1">
        <w:r>
          <w:rPr>
            <w:rStyle w:val="Hyperlink"/>
          </w:rPr>
          <w:t>PB L 327 van 22.12.2000, blz. 1</w:t>
        </w:r>
      </w:hyperlink>
      <w:r>
        <w:t>, ELI: http://data.europa.eu/eli/dir/2000/60/oj).</w:t>
      </w:r>
    </w:p>
  </w:footnote>
  <w:footnote w:id="48">
    <w:p w14:paraId="54A692C6" w14:textId="77777777" w:rsidR="003D3BB6" w:rsidRPr="003D3BB6" w:rsidRDefault="003D3BB6" w:rsidP="00FD4857">
      <w:pPr>
        <w:pStyle w:val="FootnoteText"/>
      </w:pPr>
      <w:r>
        <w:rPr>
          <w:rStyle w:val="FootnoteReference"/>
        </w:rPr>
        <w:footnoteRef/>
      </w:r>
      <w:r>
        <w:tab/>
        <w:t xml:space="preserve">Richtlijn 2001/42/EG van het Europees Parlement en de Raad van 27 juni 2001 betreffende de beoordeling van de gevolgen voor het milieu van bepaalde plannen en programma’s (PB L 197 van 21.7.2001, blz. 30), </w:t>
      </w:r>
      <w:r>
        <w:rPr>
          <w:shd w:val="clear" w:color="auto" w:fill="FFFFFF"/>
        </w:rPr>
        <w:t>ELI: </w:t>
      </w:r>
      <w:hyperlink r:id="rId22" w:history="1">
        <w:r>
          <w:rPr>
            <w:rStyle w:val="Hyperlink"/>
          </w:rPr>
          <w:t>http://data.europa.eu/eli/dir/2001/42/oj</w:t>
        </w:r>
      </w:hyperlink>
      <w:r>
        <w:t>).</w:t>
      </w:r>
    </w:p>
  </w:footnote>
  <w:footnote w:id="49">
    <w:p w14:paraId="1559A25B" w14:textId="77777777" w:rsidR="003D3BB6" w:rsidRPr="003D3BB6" w:rsidRDefault="003D3BB6" w:rsidP="00C32276">
      <w:pPr>
        <w:pStyle w:val="FootnoteText"/>
      </w:pPr>
      <w:r>
        <w:rPr>
          <w:rStyle w:val="FootnoteReference"/>
        </w:rPr>
        <w:footnoteRef/>
      </w:r>
      <w:r>
        <w:tab/>
        <w:t>Richtlijn 2009/147/EG van het Europees Parlement en de Raad van 30 november 2009 inzake het behoud van de vogelstand (</w:t>
      </w:r>
      <w:hyperlink r:id="rId23" w:history="1">
        <w:r>
          <w:rPr>
            <w:rStyle w:val="Hyperlink"/>
          </w:rPr>
          <w:t>PB L 20 van 26.1.2010, blz. 7</w:t>
        </w:r>
      </w:hyperlink>
      <w:r>
        <w:t xml:space="preserve">, ELI: </w:t>
      </w:r>
      <w:hyperlink r:id="rId24" w:history="1">
        <w:r>
          <w:rPr>
            <w:rStyle w:val="Hyperlink"/>
          </w:rPr>
          <w:t>http://data.europa.eu/eli/dir/2009/147/oj</w:t>
        </w:r>
      </w:hyperlink>
      <w:r>
        <w:t>).</w:t>
      </w:r>
    </w:p>
  </w:footnote>
  <w:footnote w:id="50">
    <w:p w14:paraId="2AB62A2B" w14:textId="77777777" w:rsidR="003D3BB6" w:rsidRPr="003D3BB6" w:rsidRDefault="003D3BB6" w:rsidP="00F415C9">
      <w:pPr>
        <w:pStyle w:val="FootnoteText"/>
      </w:pPr>
      <w:r>
        <w:rPr>
          <w:rStyle w:val="FootnoteReference"/>
        </w:rPr>
        <w:footnoteRef/>
      </w:r>
      <w:r>
        <w:tab/>
        <w:t>Richtlijn 2011/92/EU van het Europees Parlement en de Raad van 13 december 2011 betreffende de milieueffectbeoordeling van bepaalde openbare en particuliere projecten (</w:t>
      </w:r>
      <w:hyperlink r:id="rId25" w:history="1">
        <w:r>
          <w:rPr>
            <w:rStyle w:val="Hyperlink"/>
          </w:rPr>
          <w:t>PB L 26 van 28.1.2012, blz. 1</w:t>
        </w:r>
      </w:hyperlink>
      <w:r>
        <w:t>, ELI: http://data.europa.eu/eli/dir/2011/92/oj).</w:t>
      </w:r>
    </w:p>
  </w:footnote>
  <w:footnote w:id="51">
    <w:p w14:paraId="297C7470" w14:textId="1056D4D3" w:rsidR="00847929" w:rsidRPr="00847929" w:rsidRDefault="00847929" w:rsidP="001B7345">
      <w:pPr>
        <w:pStyle w:val="FootnoteText"/>
      </w:pPr>
      <w:r>
        <w:rPr>
          <w:rStyle w:val="FootnoteReference"/>
        </w:rPr>
        <w:footnoteRef/>
      </w:r>
      <w:r>
        <w:tab/>
        <w:t>Richtlijn (EU) 2024/1788 van het Europees Parlement en de Raad van 13 juni 2024 betreffende gemeenschappelijke regels voor de interne markten voor hernieuwbaar gas, aardgas en waterstof, tot wijziging van Richtlijn (EU) 2023/1791 en tot intrekking van Richtlijn 2009/73/EG (</w:t>
      </w:r>
      <w:hyperlink r:id="rId26" w:history="1">
        <w:r>
          <w:rPr>
            <w:rStyle w:val="Hyperlink"/>
          </w:rPr>
          <w:t>PB L, 2024/1788, 15.7.2024</w:t>
        </w:r>
      </w:hyperlink>
      <w:r>
        <w:t xml:space="preserve">, ELI: </w:t>
      </w:r>
      <w:hyperlink r:id="rId27" w:tooltip="Geeft toegang tot dit document via de ELI URI" w:history="1">
        <w:r>
          <w:rPr>
            <w:u w:val="single"/>
            <w:shd w:val="clear" w:color="auto" w:fill="FFFFFF"/>
          </w:rPr>
          <w:t>http://data.europa.eu/eli/dir/2024/1788/oj</w:t>
        </w:r>
      </w:hyperlink>
      <w:r>
        <w:t>).</w:t>
      </w:r>
    </w:p>
  </w:footnote>
  <w:footnote w:id="52">
    <w:p w14:paraId="268BA4BC" w14:textId="77777777" w:rsidR="000E7457" w:rsidRPr="00167227" w:rsidRDefault="000E7457" w:rsidP="00337F44">
      <w:pPr>
        <w:pStyle w:val="NormalWeb"/>
        <w:shd w:val="clear" w:color="auto" w:fill="FFFFFF"/>
        <w:spacing w:before="0" w:after="75"/>
        <w:ind w:left="720" w:hanging="720"/>
        <w:rPr>
          <w:rFonts w:eastAsia="Times New Roman"/>
        </w:rPr>
      </w:pPr>
      <w:r>
        <w:rPr>
          <w:rStyle w:val="FootnoteReference"/>
        </w:rPr>
        <w:footnoteRef/>
      </w:r>
      <w:r>
        <w:tab/>
      </w:r>
      <w:r>
        <w:rPr>
          <w:sz w:val="20"/>
        </w:rPr>
        <w:t>Verordening (EU) 2021/1119 van het Europees Parlement en de Raad van 30 juni 2021 tot vaststelling van een kader voor de verwezenlijking van klimaatneutraliteit, en tot wijziging van Verordening (EG) nr. 401/2009 en Verordening (EU) 2018/1999 (“Europese klimaatwet”) (</w:t>
      </w:r>
      <w:hyperlink r:id="rId28" w:history="1">
        <w:r>
          <w:rPr>
            <w:sz w:val="20"/>
          </w:rPr>
          <w:t>PB L 243 van 9.7.2021, blz. 1</w:t>
        </w:r>
      </w:hyperlink>
      <w:r>
        <w:t>, ELI:</w:t>
      </w:r>
      <w:r>
        <w:rPr>
          <w:sz w:val="20"/>
        </w:rPr>
        <w:t> </w:t>
      </w:r>
      <w:hyperlink r:id="rId29" w:tooltip="Geeft toegang tot dit document via de ELI URI" w:history="1">
        <w:r>
          <w:rPr>
            <w:sz w:val="20"/>
          </w:rPr>
          <w:t>http://data.europa.eu/eli/reg/2021/1119/oj</w:t>
        </w:r>
      </w:hyperlink>
      <w:r>
        <w:rPr>
          <w:sz w:val="20"/>
        </w:rPr>
        <w:t>).</w:t>
      </w:r>
    </w:p>
  </w:footnote>
  <w:footnote w:id="53">
    <w:p w14:paraId="563B950A" w14:textId="77777777" w:rsidR="0051718E" w:rsidRDefault="0051718E" w:rsidP="0051718E">
      <w:pPr>
        <w:pStyle w:val="FootnoteText"/>
      </w:pPr>
      <w:r>
        <w:rPr>
          <w:rStyle w:val="FootnoteReference"/>
        </w:rPr>
        <w:footnoteRef/>
      </w:r>
      <w:r>
        <w:tab/>
        <w:t>In de zin van artikel 58, lid 2, punt a) of b), van het Financieel Reglement.</w:t>
      </w:r>
    </w:p>
  </w:footnote>
  <w:footnote w:id="54">
    <w:p w14:paraId="46D18B2E" w14:textId="77777777" w:rsidR="0051718E" w:rsidRDefault="0051718E" w:rsidP="0051718E">
      <w:pPr>
        <w:pStyle w:val="FootnoteText"/>
        <w:jc w:val="left"/>
        <w:rPr>
          <w:szCs w:val="24"/>
        </w:rPr>
      </w:pPr>
      <w:r>
        <w:rPr>
          <w:rStyle w:val="FootnoteReference"/>
        </w:rPr>
        <w:footnoteRef/>
      </w:r>
      <w:r>
        <w:tab/>
        <w:t xml:space="preserve">Nadere gegevens over de wijzen van uitvoering van de begroting en verwijzingen naar het Financieel Reglement zijn beschikbaar op BUDGpedia: </w:t>
      </w:r>
      <w:hyperlink r:id="rId30" w:history="1">
        <w:r>
          <w:rPr>
            <w:rStyle w:val="Hyperlink"/>
          </w:rPr>
          <w:t>https://myintracomm.ec.europa.eu/corp/budget/financial-rules/budget-implementation/Pages/implementation-methods.aspx</w:t>
        </w:r>
      </w:hyperlink>
      <w:r>
        <w:rPr>
          <w:rStyle w:val="Hyperlink"/>
        </w:rPr>
        <w:t>.</w:t>
      </w:r>
    </w:p>
  </w:footnote>
  <w:footnote w:id="55">
    <w:p w14:paraId="6FD548C9" w14:textId="77777777" w:rsidR="0051718E" w:rsidRDefault="0051718E" w:rsidP="0051718E">
      <w:pPr>
        <w:pStyle w:val="FootnoteText"/>
        <w:rPr>
          <w:szCs w:val="24"/>
        </w:rPr>
      </w:pPr>
      <w:r>
        <w:rPr>
          <w:rStyle w:val="FootnoteReference"/>
        </w:rPr>
        <w:footnoteRef/>
      </w:r>
      <w:r>
        <w:tab/>
        <w:t>GK = gesplitste kredieten/NGK = niet-gesplitste kredieten.</w:t>
      </w:r>
    </w:p>
  </w:footnote>
  <w:footnote w:id="56">
    <w:p w14:paraId="6456487E" w14:textId="77777777" w:rsidR="0051718E" w:rsidRDefault="0051718E" w:rsidP="0051718E">
      <w:pPr>
        <w:pStyle w:val="FootnoteText"/>
        <w:rPr>
          <w:szCs w:val="24"/>
        </w:rPr>
      </w:pPr>
      <w:r>
        <w:rPr>
          <w:rStyle w:val="FootnoteReference"/>
        </w:rPr>
        <w:footnoteRef/>
      </w:r>
      <w:r>
        <w:tab/>
        <w:t xml:space="preserve">EVA: Europese Vrijhandelsassociatie. </w:t>
      </w:r>
    </w:p>
  </w:footnote>
  <w:footnote w:id="57">
    <w:p w14:paraId="5D28052E" w14:textId="77777777" w:rsidR="0051718E" w:rsidRDefault="0051718E" w:rsidP="0051718E">
      <w:pPr>
        <w:pStyle w:val="FootnoteText"/>
        <w:rPr>
          <w:szCs w:val="24"/>
        </w:rPr>
      </w:pPr>
      <w:r>
        <w:rPr>
          <w:rStyle w:val="FootnoteReference"/>
        </w:rPr>
        <w:footnoteRef/>
      </w:r>
      <w:r>
        <w:tab/>
        <w:t>Kandidaat-lidstaten en, in voorkomend geval, potentiële kandidaten van de Westelijke Balkan.</w:t>
      </w:r>
    </w:p>
  </w:footnote>
  <w:footnote w:id="58">
    <w:p w14:paraId="635B95C4" w14:textId="67B40591" w:rsidR="001C415C" w:rsidRPr="00A80692" w:rsidRDefault="001C415C">
      <w:pPr>
        <w:pStyle w:val="FootnoteText"/>
      </w:pPr>
      <w:r>
        <w:rPr>
          <w:rStyle w:val="FootnoteReference"/>
        </w:rPr>
        <w:footnoteRef/>
      </w:r>
      <w:r>
        <w:tab/>
        <w:t>De bedragen voor de periode na 2027 zijn indicatief en lopen niet vooruit op het resultaat van de lopende onderhandelingen over het volgende MFK.</w:t>
      </w:r>
    </w:p>
  </w:footnote>
  <w:footnote w:id="59">
    <w:p w14:paraId="4B8D7B29" w14:textId="77777777" w:rsidR="0051718E" w:rsidRPr="001A37C8" w:rsidRDefault="0051718E" w:rsidP="0051718E">
      <w:pPr>
        <w:pStyle w:val="FootnoteText"/>
      </w:pPr>
      <w:r>
        <w:rPr>
          <w:rStyle w:val="FootnoteReference"/>
        </w:rPr>
        <w:footnoteRef/>
      </w:r>
      <w:r>
        <w:tab/>
        <w:t>Technische en/of administratieve bijstand en uitgaven ter ondersteuning van de uitvoering van programma’s en/of acties van de EU (vroegere “BA”-onderdelen), onderzoek onder contract, eigen onderzoek.</w:t>
      </w:r>
    </w:p>
  </w:footnote>
  <w:footnote w:id="60">
    <w:p w14:paraId="0DBAB082" w14:textId="77777777" w:rsidR="0051718E" w:rsidRPr="001004A6" w:rsidRDefault="0051718E" w:rsidP="0051718E">
      <w:pPr>
        <w:pStyle w:val="FootnoteText"/>
      </w:pPr>
      <w:r>
        <w:rPr>
          <w:rStyle w:val="FootnoteReference"/>
        </w:rPr>
        <w:footnoteRef/>
      </w:r>
      <w:r>
        <w:tab/>
        <w:t>De benodigde kredieten moeten worden vastgesteld aan de hand van de jaarlijkse gemiddelde kostencijfers die beschikbaar zijn op de desbetreffende BUDGpedia-webpagina.</w:t>
      </w:r>
    </w:p>
  </w:footnote>
  <w:footnote w:id="61">
    <w:p w14:paraId="4E12322F" w14:textId="77777777" w:rsidR="0051718E" w:rsidRDefault="0051718E" w:rsidP="0051718E">
      <w:pPr>
        <w:pStyle w:val="FootnoteText"/>
        <w:rPr>
          <w:szCs w:val="24"/>
        </w:rPr>
      </w:pPr>
      <w:r>
        <w:rPr>
          <w:rStyle w:val="FootnoteReference"/>
        </w:rPr>
        <w:footnoteRef/>
      </w:r>
      <w:r>
        <w:tab/>
        <w:t>Outputs zijn de te verstrekken producten en diensten (bv. aantal gefinancierde studentenuitwisselingen, aantal km aangelegde wegen enz.).</w:t>
      </w:r>
    </w:p>
  </w:footnote>
  <w:footnote w:id="62">
    <w:p w14:paraId="2B1C0F70" w14:textId="77777777" w:rsidR="0051718E" w:rsidRDefault="0051718E" w:rsidP="0051718E">
      <w:pPr>
        <w:pStyle w:val="FootnoteText"/>
        <w:rPr>
          <w:szCs w:val="24"/>
        </w:rPr>
      </w:pPr>
      <w:r>
        <w:rPr>
          <w:rStyle w:val="FootnoteReference"/>
        </w:rPr>
        <w:footnoteRef/>
      </w:r>
      <w:r>
        <w:tab/>
        <w:t xml:space="preserve">Zoals beschreven in punt 1.3.2 “Specifieke doelstellingen”. </w:t>
      </w:r>
    </w:p>
  </w:footnote>
  <w:footnote w:id="63">
    <w:p w14:paraId="6E8917C6" w14:textId="77777777" w:rsidR="0051718E" w:rsidRPr="00F94A0A" w:rsidRDefault="0051718E" w:rsidP="0051718E">
      <w:pPr>
        <w:pStyle w:val="FootnoteText"/>
      </w:pPr>
      <w:r>
        <w:rPr>
          <w:rStyle w:val="FootnoteReference"/>
        </w:rPr>
        <w:footnoteRef/>
      </w:r>
      <w:r>
        <w:tab/>
        <w:t>Specificeer in onderstaande tabel hoeveel vte’s binnen het aangegeven aantal reeds zijn toegewezen voor het beheer van de actie en/of binnen uw DG opnieuw kunnen worden ingezet, en wat uw nettobehoeften zijn.</w:t>
      </w:r>
    </w:p>
  </w:footnote>
  <w:footnote w:id="64">
    <w:p w14:paraId="1C61E9D6" w14:textId="77777777" w:rsidR="0051718E" w:rsidRDefault="0051718E" w:rsidP="0051718E">
      <w:pPr>
        <w:pStyle w:val="FootnoteText"/>
        <w:rPr>
          <w:szCs w:val="24"/>
        </w:rPr>
      </w:pPr>
      <w:r>
        <w:rPr>
          <w:rStyle w:val="FootnoteReference"/>
        </w:rPr>
        <w:footnoteRef/>
      </w:r>
      <w:r>
        <w:tab/>
        <w:t>Voor traditionele eigen middelen (douanerechten en suikerheffingen) moeten nettobedragen worden vermeld, d.w.z. na aftrek van 20 % aan inningskosten.</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5694C1" w14:textId="77777777" w:rsidR="009832A3" w:rsidRDefault="009832A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5166A9" w14:textId="77777777" w:rsidR="009832A3" w:rsidRDefault="009832A3" w:rsidP="009832A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805422" w14:textId="77777777" w:rsidR="009832A3" w:rsidRPr="009832A3" w:rsidRDefault="009832A3" w:rsidP="009832A3">
    <w:pPr>
      <w:pStyle w:val="HeaderLandscap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5A5767" w14:textId="77777777" w:rsidR="009832A3" w:rsidRPr="009832A3" w:rsidRDefault="009832A3" w:rsidP="009832A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2C6A95"/>
    <w:multiLevelType w:val="singleLevel"/>
    <w:tmpl w:val="02BAFA82"/>
    <w:name w:val="List Bullet 1"/>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1" w15:restartNumberingAfterBreak="0">
    <w:nsid w:val="128364B0"/>
    <w:multiLevelType w:val="singleLevel"/>
    <w:tmpl w:val="D084FB54"/>
    <w:lvl w:ilvl="0">
      <w:start w:val="1"/>
      <w:numFmt w:val="bullet"/>
      <w:pStyle w:val="ListDash3"/>
      <w:lvlText w:val="–"/>
      <w:lvlJc w:val="left"/>
      <w:pPr>
        <w:tabs>
          <w:tab w:val="num" w:pos="1134"/>
        </w:tabs>
        <w:ind w:left="1134" w:hanging="283"/>
      </w:pPr>
      <w:rPr>
        <w:rFonts w:ascii="Times New Roman" w:hAnsi="Times New Roman"/>
      </w:rPr>
    </w:lvl>
  </w:abstractNum>
  <w:abstractNum w:abstractNumId="2" w15:restartNumberingAfterBreak="0">
    <w:nsid w:val="13E4330B"/>
    <w:multiLevelType w:val="multilevel"/>
    <w:tmpl w:val="875C4416"/>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 w15:restartNumberingAfterBreak="0">
    <w:nsid w:val="161140EB"/>
    <w:multiLevelType w:val="multilevel"/>
    <w:tmpl w:val="8714A5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5AA25CF"/>
    <w:multiLevelType w:val="multilevel"/>
    <w:tmpl w:val="64F485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8"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9"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
      <w:lvlText w:val="%2."/>
      <w:lvlJc w:val="left"/>
      <w:pPr>
        <w:ind w:left="953" w:hanging="477"/>
      </w:pPr>
      <w:rPr>
        <w:rFonts w:hint="default"/>
      </w:rPr>
    </w:lvl>
    <w:lvl w:ilvl="2">
      <w:start w:val="1"/>
      <w:numFmt w:val="lowerRoman"/>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0" w15:restartNumberingAfterBreak="0">
    <w:nsid w:val="2D820C1F"/>
    <w:multiLevelType w:val="singleLevel"/>
    <w:tmpl w:val="7896AADE"/>
    <w:name w:val="List Dash"/>
    <w:lvl w:ilvl="0">
      <w:start w:val="1"/>
      <w:numFmt w:val="bullet"/>
      <w:lvlRestart w:val="0"/>
      <w:pStyle w:val="ListDash"/>
      <w:lvlText w:val="–"/>
      <w:lvlJc w:val="left"/>
      <w:pPr>
        <w:tabs>
          <w:tab w:val="num" w:pos="283"/>
        </w:tabs>
        <w:ind w:left="283" w:hanging="283"/>
      </w:pPr>
      <w:rPr>
        <w:rFonts w:ascii="Times New Roman" w:hAnsi="Times New Roman" w:cs="Times New Roman"/>
      </w:rPr>
    </w:lvl>
  </w:abstractNum>
  <w:abstractNum w:abstractNumId="11" w15:restartNumberingAfterBreak="0">
    <w:nsid w:val="2F191641"/>
    <w:multiLevelType w:val="multilevel"/>
    <w:tmpl w:val="B67C4E92"/>
    <w:lvl w:ilvl="0">
      <w:start w:val="1"/>
      <w:numFmt w:val="decimal"/>
      <w:pStyle w:val="ListNumber3"/>
      <w:lvlText w:val="(%1)"/>
      <w:lvlJc w:val="left"/>
      <w:pPr>
        <w:tabs>
          <w:tab w:val="num" w:pos="1560"/>
        </w:tabs>
        <w:ind w:left="1560" w:hanging="709"/>
      </w:pPr>
      <w:rPr>
        <w:rFonts w:cs="Times New Roman"/>
      </w:rPr>
    </w:lvl>
    <w:lvl w:ilvl="1">
      <w:start w:val="1"/>
      <w:numFmt w:val="lowerLetter"/>
      <w:pStyle w:val="ListNumber3Level2"/>
      <w:lvlText w:val="(%2)"/>
      <w:lvlJc w:val="left"/>
      <w:pPr>
        <w:tabs>
          <w:tab w:val="num" w:pos="2268"/>
        </w:tabs>
        <w:ind w:left="2268" w:hanging="708"/>
      </w:pPr>
      <w:rPr>
        <w:rFonts w:cs="Times New Roman"/>
      </w:rPr>
    </w:lvl>
    <w:lvl w:ilvl="2">
      <w:start w:val="1"/>
      <w:numFmt w:val="bullet"/>
      <w:pStyle w:val="ListNumber3Level3"/>
      <w:lvlText w:val="–"/>
      <w:lvlJc w:val="left"/>
      <w:pPr>
        <w:tabs>
          <w:tab w:val="num" w:pos="2977"/>
        </w:tabs>
        <w:ind w:left="2977" w:hanging="709"/>
      </w:pPr>
      <w:rPr>
        <w:rFonts w:ascii="Times New Roman" w:hAnsi="Times New Roman"/>
      </w:rPr>
    </w:lvl>
    <w:lvl w:ilvl="3">
      <w:start w:val="1"/>
      <w:numFmt w:val="bullet"/>
      <w:pStyle w:val="ListNumber3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2" w15:restartNumberingAfterBreak="0">
    <w:nsid w:val="31CD398A"/>
    <w:multiLevelType w:val="singleLevel"/>
    <w:tmpl w:val="0276BF00"/>
    <w:lvl w:ilvl="0">
      <w:start w:val="1"/>
      <w:numFmt w:val="bullet"/>
      <w:pStyle w:val="ListDash4"/>
      <w:lvlText w:val="–"/>
      <w:lvlJc w:val="left"/>
      <w:pPr>
        <w:tabs>
          <w:tab w:val="num" w:pos="1134"/>
        </w:tabs>
        <w:ind w:left="1134" w:hanging="283"/>
      </w:pPr>
      <w:rPr>
        <w:rFonts w:ascii="Times New Roman" w:hAnsi="Times New Roman"/>
      </w:rPr>
    </w:lvl>
  </w:abstractNum>
  <w:abstractNum w:abstractNumId="13" w15:restartNumberingAfterBreak="0">
    <w:nsid w:val="398C015E"/>
    <w:multiLevelType w:val="multilevel"/>
    <w:tmpl w:val="027A66BA"/>
    <w:name w:val="List Dash 4"/>
    <w:lvl w:ilvl="0">
      <w:start w:val="1"/>
      <w:numFmt w:val="decimal"/>
      <w:pStyle w:val="ListNumber2"/>
      <w:lvlText w:val="(%1)"/>
      <w:lvlJc w:val="left"/>
      <w:pPr>
        <w:tabs>
          <w:tab w:val="num" w:pos="1560"/>
        </w:tabs>
        <w:ind w:left="1560" w:hanging="709"/>
      </w:pPr>
      <w:rPr>
        <w:rFonts w:cs="Times New Roman"/>
      </w:rPr>
    </w:lvl>
    <w:lvl w:ilvl="1">
      <w:start w:val="1"/>
      <w:numFmt w:val="lowerLetter"/>
      <w:pStyle w:val="ListNumber2Level2"/>
      <w:lvlText w:val="(%2)"/>
      <w:lvlJc w:val="left"/>
      <w:pPr>
        <w:tabs>
          <w:tab w:val="num" w:pos="2268"/>
        </w:tabs>
        <w:ind w:left="2268" w:hanging="708"/>
      </w:pPr>
      <w:rPr>
        <w:rFonts w:cs="Times New Roman"/>
      </w:rPr>
    </w:lvl>
    <w:lvl w:ilvl="2">
      <w:start w:val="1"/>
      <w:numFmt w:val="bullet"/>
      <w:pStyle w:val="ListNumber2Level3"/>
      <w:lvlText w:val="–"/>
      <w:lvlJc w:val="left"/>
      <w:pPr>
        <w:tabs>
          <w:tab w:val="num" w:pos="2977"/>
        </w:tabs>
        <w:ind w:left="2977" w:hanging="709"/>
      </w:pPr>
      <w:rPr>
        <w:rFonts w:ascii="Times New Roman" w:hAnsi="Times New Roman"/>
      </w:rPr>
    </w:lvl>
    <w:lvl w:ilvl="3">
      <w:start w:val="1"/>
      <w:numFmt w:val="bullet"/>
      <w:pStyle w:val="ListNumber2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4"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5"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6"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7"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8" w15:restartNumberingAfterBreak="0">
    <w:nsid w:val="478C0C10"/>
    <w:multiLevelType w:val="multilevel"/>
    <w:tmpl w:val="DB1431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489D74ED"/>
    <w:multiLevelType w:val="singleLevel"/>
    <w:tmpl w:val="C2E2F936"/>
    <w:name w:val="List Dash 2"/>
    <w:lvl w:ilvl="0">
      <w:start w:val="1"/>
      <w:numFmt w:val="bullet"/>
      <w:lvlRestart w:val="0"/>
      <w:pStyle w:val="ListDash2"/>
      <w:lvlText w:val="–"/>
      <w:lvlJc w:val="left"/>
      <w:pPr>
        <w:tabs>
          <w:tab w:val="num" w:pos="1134"/>
        </w:tabs>
        <w:ind w:left="1134" w:hanging="283"/>
      </w:pPr>
      <w:rPr>
        <w:rFonts w:ascii="Times New Roman" w:hAnsi="Times New Roman" w:cs="Times New Roman"/>
      </w:rPr>
    </w:lvl>
  </w:abstractNum>
  <w:abstractNum w:abstractNumId="20" w15:restartNumberingAfterBreak="0">
    <w:nsid w:val="4D0C058A"/>
    <w:multiLevelType w:val="singleLevel"/>
    <w:tmpl w:val="BAE8D90E"/>
    <w:name w:val="List Dash 1"/>
    <w:lvl w:ilvl="0">
      <w:start w:val="1"/>
      <w:numFmt w:val="bullet"/>
      <w:lvlRestart w:val="0"/>
      <w:pStyle w:val="ListDash1"/>
      <w:lvlText w:val="–"/>
      <w:lvlJc w:val="left"/>
      <w:pPr>
        <w:tabs>
          <w:tab w:val="num" w:pos="1134"/>
        </w:tabs>
        <w:ind w:left="1134" w:hanging="283"/>
      </w:pPr>
      <w:rPr>
        <w:rFonts w:ascii="Times New Roman" w:hAnsi="Times New Roman" w:cs="Times New Roman"/>
      </w:rPr>
    </w:lvl>
  </w:abstractNum>
  <w:abstractNum w:abstractNumId="21" w15:restartNumberingAfterBreak="0">
    <w:nsid w:val="542A1204"/>
    <w:multiLevelType w:val="multilevel"/>
    <w:tmpl w:val="BC1E8404"/>
    <w:lvl w:ilvl="0">
      <w:start w:val="1"/>
      <w:numFmt w:val="decimal"/>
      <w:pStyle w:val="ListNumber4"/>
      <w:lvlText w:val="(%1)"/>
      <w:lvlJc w:val="left"/>
      <w:pPr>
        <w:tabs>
          <w:tab w:val="num" w:pos="1560"/>
        </w:tabs>
        <w:ind w:left="1560" w:hanging="709"/>
      </w:pPr>
      <w:rPr>
        <w:rFonts w:cs="Times New Roman"/>
      </w:rPr>
    </w:lvl>
    <w:lvl w:ilvl="1">
      <w:start w:val="1"/>
      <w:numFmt w:val="lowerLetter"/>
      <w:pStyle w:val="ListNumber4Level2"/>
      <w:lvlText w:val="(%2)"/>
      <w:lvlJc w:val="left"/>
      <w:pPr>
        <w:tabs>
          <w:tab w:val="num" w:pos="2268"/>
        </w:tabs>
        <w:ind w:left="2268" w:hanging="708"/>
      </w:pPr>
      <w:rPr>
        <w:rFonts w:cs="Times New Roman"/>
      </w:rPr>
    </w:lvl>
    <w:lvl w:ilvl="2">
      <w:start w:val="1"/>
      <w:numFmt w:val="bullet"/>
      <w:pStyle w:val="ListNumber4Level3"/>
      <w:lvlText w:val="–"/>
      <w:lvlJc w:val="left"/>
      <w:pPr>
        <w:tabs>
          <w:tab w:val="num" w:pos="2977"/>
        </w:tabs>
        <w:ind w:left="2977" w:hanging="709"/>
      </w:pPr>
      <w:rPr>
        <w:rFonts w:ascii="Times New Roman" w:hAnsi="Times New Roman"/>
      </w:rPr>
    </w:lvl>
    <w:lvl w:ilvl="3">
      <w:start w:val="1"/>
      <w:numFmt w:val="bullet"/>
      <w:pStyle w:val="ListNumber4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2"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3" w15:restartNumberingAfterBreak="0">
    <w:nsid w:val="5B0B0635"/>
    <w:multiLevelType w:val="singleLevel"/>
    <w:tmpl w:val="017E7CEE"/>
    <w:lvl w:ilvl="0">
      <w:start w:val="1"/>
      <w:numFmt w:val="bullet"/>
      <w:lvlRestart w:val="0"/>
      <w:pStyle w:val="ListBullet4"/>
      <w:lvlText w:val=""/>
      <w:lvlJc w:val="left"/>
      <w:pPr>
        <w:tabs>
          <w:tab w:val="num" w:pos="1134"/>
        </w:tabs>
        <w:ind w:left="1134" w:hanging="283"/>
      </w:pPr>
      <w:rPr>
        <w:rFonts w:ascii="Symbol" w:hAnsi="Symbol" w:hint="default"/>
      </w:rPr>
    </w:lvl>
  </w:abstractNum>
  <w:abstractNum w:abstractNumId="24"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25"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6"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7" w15:restartNumberingAfterBreak="0">
    <w:nsid w:val="5DF84969"/>
    <w:multiLevelType w:val="singleLevel"/>
    <w:tmpl w:val="1E12021A"/>
    <w:lvl w:ilvl="0">
      <w:start w:val="1"/>
      <w:numFmt w:val="bullet"/>
      <w:pStyle w:val="ListBullet"/>
      <w:lvlText w:val=""/>
      <w:lvlJc w:val="left"/>
      <w:pPr>
        <w:tabs>
          <w:tab w:val="num" w:pos="283"/>
        </w:tabs>
        <w:ind w:left="283" w:hanging="283"/>
      </w:pPr>
      <w:rPr>
        <w:rFonts w:ascii="Symbol" w:hAnsi="Symbol" w:hint="default"/>
      </w:rPr>
    </w:lvl>
  </w:abstractNum>
  <w:abstractNum w:abstractNumId="28"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9"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30" w15:restartNumberingAfterBreak="0">
    <w:nsid w:val="71F06166"/>
    <w:multiLevelType w:val="multilevel"/>
    <w:tmpl w:val="C08066D2"/>
    <w:name w:val="0.6719891"/>
    <w:lvl w:ilvl="0">
      <w:start w:val="1"/>
      <w:numFmt w:val="decimal"/>
      <w:lvlRestart w:val="0"/>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1" w15:restartNumberingAfterBreak="0">
    <w:nsid w:val="72545D95"/>
    <w:multiLevelType w:val="multilevel"/>
    <w:tmpl w:val="B4803C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73D73F7A"/>
    <w:multiLevelType w:val="singleLevel"/>
    <w:tmpl w:val="26365734"/>
    <w:lvl w:ilvl="0">
      <w:start w:val="1"/>
      <w:numFmt w:val="bullet"/>
      <w:pStyle w:val="ListBullet2"/>
      <w:lvlText w:val=""/>
      <w:lvlJc w:val="left"/>
      <w:pPr>
        <w:tabs>
          <w:tab w:val="num" w:pos="1134"/>
        </w:tabs>
        <w:ind w:left="1134" w:hanging="283"/>
      </w:pPr>
      <w:rPr>
        <w:rFonts w:ascii="Symbol" w:hAnsi="Symbol" w:hint="default"/>
      </w:rPr>
    </w:lvl>
  </w:abstractNum>
  <w:abstractNum w:abstractNumId="33" w15:restartNumberingAfterBreak="0">
    <w:nsid w:val="76BC5C11"/>
    <w:multiLevelType w:val="singleLevel"/>
    <w:tmpl w:val="E44CE82E"/>
    <w:lvl w:ilvl="0">
      <w:start w:val="1"/>
      <w:numFmt w:val="bullet"/>
      <w:pStyle w:val="ListBullet3"/>
      <w:lvlText w:val=""/>
      <w:lvlJc w:val="left"/>
      <w:pPr>
        <w:tabs>
          <w:tab w:val="num" w:pos="1134"/>
        </w:tabs>
        <w:ind w:left="1134" w:hanging="283"/>
      </w:pPr>
      <w:rPr>
        <w:rFonts w:ascii="Symbol" w:hAnsi="Symbol" w:hint="default"/>
      </w:rPr>
    </w:lvl>
  </w:abstractNum>
  <w:abstractNum w:abstractNumId="34"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0"/>
  </w:num>
  <w:num w:numId="2">
    <w:abstractNumId w:val="23"/>
  </w:num>
  <w:num w:numId="3">
    <w:abstractNumId w:val="10"/>
  </w:num>
  <w:num w:numId="4">
    <w:abstractNumId w:val="20"/>
  </w:num>
  <w:num w:numId="5">
    <w:abstractNumId w:val="19"/>
  </w:num>
  <w:num w:numId="6">
    <w:abstractNumId w:val="30"/>
  </w:num>
  <w:num w:numId="7">
    <w:abstractNumId w:val="27"/>
  </w:num>
  <w:num w:numId="8">
    <w:abstractNumId w:val="32"/>
  </w:num>
  <w:num w:numId="9">
    <w:abstractNumId w:val="33"/>
  </w:num>
  <w:num w:numId="10">
    <w:abstractNumId w:val="1"/>
  </w:num>
  <w:num w:numId="11">
    <w:abstractNumId w:val="12"/>
  </w:num>
  <w:num w:numId="12">
    <w:abstractNumId w:val="2"/>
  </w:num>
  <w:num w:numId="13">
    <w:abstractNumId w:val="13"/>
  </w:num>
  <w:num w:numId="14">
    <w:abstractNumId w:val="11"/>
  </w:num>
  <w:num w:numId="15">
    <w:abstractNumId w:val="21"/>
  </w:num>
  <w:num w:numId="16">
    <w:abstractNumId w:val="9"/>
  </w:num>
  <w:num w:numId="1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8"/>
  </w:num>
  <w:num w:numId="20">
    <w:abstractNumId w:val="6"/>
  </w:num>
  <w:num w:numId="21">
    <w:abstractNumId w:val="3"/>
  </w:num>
  <w:num w:numId="22">
    <w:abstractNumId w:val="31"/>
  </w:num>
  <w:num w:numId="2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4"/>
    <w:lvlOverride w:ilvl="0">
      <w:startOverride w:val="1"/>
    </w:lvlOverride>
  </w:num>
  <w:num w:numId="3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34"/>
    <w:lvlOverride w:ilvl="0">
      <w:startOverride w:val="1"/>
    </w:lvlOverride>
  </w:num>
  <w:num w:numId="39">
    <w:abstractNumId w:val="26"/>
  </w:num>
  <w:num w:numId="40">
    <w:abstractNumId w:val="14"/>
  </w:num>
  <w:num w:numId="41">
    <w:abstractNumId w:val="29"/>
  </w:num>
  <w:num w:numId="42">
    <w:abstractNumId w:val="8"/>
  </w:num>
  <w:num w:numId="43">
    <w:abstractNumId w:val="15"/>
  </w:num>
  <w:num w:numId="44">
    <w:abstractNumId w:val="16"/>
  </w:num>
  <w:num w:numId="45">
    <w:abstractNumId w:val="5"/>
  </w:num>
  <w:num w:numId="46">
    <w:abstractNumId w:val="28"/>
  </w:num>
  <w:num w:numId="47">
    <w:abstractNumId w:val="4"/>
  </w:num>
  <w:num w:numId="48">
    <w:abstractNumId w:val="17"/>
  </w:num>
  <w:num w:numId="49">
    <w:abstractNumId w:val="24"/>
  </w:num>
  <w:num w:numId="50">
    <w:abstractNumId w:val="25"/>
  </w:num>
  <w:num w:numId="51">
    <w:abstractNumId w:val="7"/>
  </w:num>
  <w:num w:numId="52">
    <w:abstractNumId w:val="22"/>
  </w:num>
  <w:num w:numId="53">
    <w:abstractNumId w:val="34"/>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2-11 09:01:30"/>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7D8AC724-9C95-47BE-A907-64CDC98CF839"/>
    <w:docVar w:name="LW_COVERPAGE_TYPE" w:val="1"/>
    <w:docVar w:name="LW_CreatedUtc" w:val="2025-09-30T10:05:11.9625937Z"/>
    <w:docVar w:name="LW_CROSSREFERENCE" w:val="{SEC(2025) 2000 final} - {SWD(2025) 2000 final} - {SWD(2025) 2001 final}"/>
    <w:docVar w:name="LW_DocType" w:val="COM"/>
    <w:docVar w:name="LW_EMISSION" w:val="10.12.2025"/>
    <w:docVar w:name="LW_EMISSION_ISODATE" w:val="2025-12-10"/>
    <w:docVar w:name="LW_EMISSION_LOCATION" w:val="BRX"/>
    <w:docVar w:name="LW_EMISSION_PREFIX" w:val="Brussel, "/>
    <w:docVar w:name="LW_EMISSION_SUFFIX" w:val=" "/>
    <w:docVar w:name="LW_ID_DOCMODEL" w:val="SJ-024"/>
    <w:docVar w:name="LW_ID_DOCSIGNATURE" w:val="SJ-024"/>
    <w:docVar w:name="LW_ID_DOCSTRUCTURE" w:val="COM/PL/ORG"/>
    <w:docVar w:name="LW_ID_DOCTYPE" w:val="SJ-024"/>
    <w:docVar w:name="LW_ID_STATUT" w:val="SJ-024"/>
    <w:docVar w:name="LW_INSERT_EXP.MOTIFS.NEW" w:val="1"/>
    <w:docVar w:name="LW_INTERETEEE.CP" w:val="(Voor de EER relevante tekst)"/>
    <w:docVar w:name="LW_LANGUE" w:val="NL"/>
    <w:docVar w:name="LW_LEVEL_OF_SENSITIVITY" w:val="Standard treatment"/>
    <w:docVar w:name="LW_NOM.INST" w:val="EUROPESE COMMISSIE"/>
    <w:docVar w:name="LW_NOM.INST_JOINTDOC" w:val="&lt;EMPTY&gt;"/>
    <w:docVar w:name="LW_PART_NBR" w:val="1"/>
    <w:docVar w:name="LW_PART_NBR_TOTAL" w:val="1"/>
    <w:docVar w:name="LW_REF.II.NEW.CP" w:val="COD"/>
    <w:docVar w:name="LW_REF.II.NEW.CP_NUMBER" w:val="0400"/>
    <w:docVar w:name="LW_REF.II.NEW.CP_YEAR" w:val="2025"/>
    <w:docVar w:name="LW_REF.INST.NEW" w:val="COM"/>
    <w:docVar w:name="LW_REF.INST.NEW_ADOPTED" w:val="final"/>
    <w:docVar w:name="LW_REF.INST.NEW_TEXT" w:val="(2025) 1007"/>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Voorstel voor een"/>
    <w:docVar w:name="LW_SUPERTITRE" w:val="&lt;UNUSED&gt;"/>
    <w:docVar w:name="LW_TITRE.OBJ.CP" w:val="tot wijziging van de Richtlijnen (EU) 2018/2001, (EU) 2019/944 en (EU) 2024/1788 wat betreft het versnellen van vergunningsprocedures"/>
    <w:docVar w:name="LW_TYPE.DOC.CP" w:val="RICHTLIJN VAN HET EUROPEES PARLEMENT EN DE RAAD"/>
    <w:docVar w:name="LwApiVersions" w:val="LW4CoDe 1.24.5.0; LW 9.2, Build 20251112"/>
  </w:docVars>
  <w:rsids>
    <w:rsidRoot w:val="00542FCB"/>
    <w:rsid w:val="000002C3"/>
    <w:rsid w:val="0000044D"/>
    <w:rsid w:val="000004DE"/>
    <w:rsid w:val="00000500"/>
    <w:rsid w:val="000007A5"/>
    <w:rsid w:val="00000ED6"/>
    <w:rsid w:val="00000EEB"/>
    <w:rsid w:val="00000FC9"/>
    <w:rsid w:val="00000FE2"/>
    <w:rsid w:val="000013D4"/>
    <w:rsid w:val="0000147C"/>
    <w:rsid w:val="00001521"/>
    <w:rsid w:val="000016FC"/>
    <w:rsid w:val="00001C05"/>
    <w:rsid w:val="00001DF0"/>
    <w:rsid w:val="00001DFC"/>
    <w:rsid w:val="00001F51"/>
    <w:rsid w:val="000020AB"/>
    <w:rsid w:val="000021F4"/>
    <w:rsid w:val="0000247C"/>
    <w:rsid w:val="000024C3"/>
    <w:rsid w:val="0000255D"/>
    <w:rsid w:val="0000259B"/>
    <w:rsid w:val="00002897"/>
    <w:rsid w:val="000029BD"/>
    <w:rsid w:val="00002C34"/>
    <w:rsid w:val="00002E41"/>
    <w:rsid w:val="00002FDB"/>
    <w:rsid w:val="00002FED"/>
    <w:rsid w:val="00003474"/>
    <w:rsid w:val="0000348A"/>
    <w:rsid w:val="000036C8"/>
    <w:rsid w:val="00003BD4"/>
    <w:rsid w:val="00003E4B"/>
    <w:rsid w:val="0000412A"/>
    <w:rsid w:val="000041DA"/>
    <w:rsid w:val="00004591"/>
    <w:rsid w:val="000045B3"/>
    <w:rsid w:val="0000484D"/>
    <w:rsid w:val="00004B16"/>
    <w:rsid w:val="00004EF3"/>
    <w:rsid w:val="00004F9E"/>
    <w:rsid w:val="000050A4"/>
    <w:rsid w:val="0000524B"/>
    <w:rsid w:val="0000541E"/>
    <w:rsid w:val="000054A7"/>
    <w:rsid w:val="000055D4"/>
    <w:rsid w:val="0000568A"/>
    <w:rsid w:val="00005752"/>
    <w:rsid w:val="00005881"/>
    <w:rsid w:val="0000598B"/>
    <w:rsid w:val="000059BA"/>
    <w:rsid w:val="00005BBB"/>
    <w:rsid w:val="00005F4E"/>
    <w:rsid w:val="00005F9F"/>
    <w:rsid w:val="000063B9"/>
    <w:rsid w:val="0000641B"/>
    <w:rsid w:val="00006468"/>
    <w:rsid w:val="000067CF"/>
    <w:rsid w:val="00006A86"/>
    <w:rsid w:val="00006EE3"/>
    <w:rsid w:val="00007255"/>
    <w:rsid w:val="00007285"/>
    <w:rsid w:val="000074B6"/>
    <w:rsid w:val="00007673"/>
    <w:rsid w:val="0000780D"/>
    <w:rsid w:val="0000787D"/>
    <w:rsid w:val="000078B0"/>
    <w:rsid w:val="0000797C"/>
    <w:rsid w:val="00007E22"/>
    <w:rsid w:val="00007E3A"/>
    <w:rsid w:val="00007E3B"/>
    <w:rsid w:val="0001000E"/>
    <w:rsid w:val="00010633"/>
    <w:rsid w:val="0001072D"/>
    <w:rsid w:val="000107FD"/>
    <w:rsid w:val="000108F8"/>
    <w:rsid w:val="00010932"/>
    <w:rsid w:val="00010B88"/>
    <w:rsid w:val="00010BBD"/>
    <w:rsid w:val="00010C81"/>
    <w:rsid w:val="00010C87"/>
    <w:rsid w:val="00010C92"/>
    <w:rsid w:val="00010DF2"/>
    <w:rsid w:val="00010E37"/>
    <w:rsid w:val="00010F5F"/>
    <w:rsid w:val="00010F7C"/>
    <w:rsid w:val="000111E5"/>
    <w:rsid w:val="000113B5"/>
    <w:rsid w:val="00011428"/>
    <w:rsid w:val="000114B1"/>
    <w:rsid w:val="00011528"/>
    <w:rsid w:val="0001163D"/>
    <w:rsid w:val="00011ADB"/>
    <w:rsid w:val="00011D2B"/>
    <w:rsid w:val="00011D85"/>
    <w:rsid w:val="0001207F"/>
    <w:rsid w:val="0001269C"/>
    <w:rsid w:val="00012842"/>
    <w:rsid w:val="00012922"/>
    <w:rsid w:val="00012C02"/>
    <w:rsid w:val="00012D14"/>
    <w:rsid w:val="00012F18"/>
    <w:rsid w:val="00013049"/>
    <w:rsid w:val="0001312E"/>
    <w:rsid w:val="0001324B"/>
    <w:rsid w:val="000132E2"/>
    <w:rsid w:val="00013380"/>
    <w:rsid w:val="0001350D"/>
    <w:rsid w:val="00013737"/>
    <w:rsid w:val="00013829"/>
    <w:rsid w:val="0001388C"/>
    <w:rsid w:val="00013DE8"/>
    <w:rsid w:val="00013F32"/>
    <w:rsid w:val="000145C1"/>
    <w:rsid w:val="000149E1"/>
    <w:rsid w:val="00014C02"/>
    <w:rsid w:val="00014F7B"/>
    <w:rsid w:val="0001518C"/>
    <w:rsid w:val="000152C2"/>
    <w:rsid w:val="000152ED"/>
    <w:rsid w:val="00015483"/>
    <w:rsid w:val="00015A84"/>
    <w:rsid w:val="00015A8C"/>
    <w:rsid w:val="00015C50"/>
    <w:rsid w:val="00015C74"/>
    <w:rsid w:val="00015FB5"/>
    <w:rsid w:val="000161B2"/>
    <w:rsid w:val="00016522"/>
    <w:rsid w:val="00016703"/>
    <w:rsid w:val="00016A7C"/>
    <w:rsid w:val="00016BB8"/>
    <w:rsid w:val="00016C38"/>
    <w:rsid w:val="00016D2F"/>
    <w:rsid w:val="00016FEF"/>
    <w:rsid w:val="00016FF9"/>
    <w:rsid w:val="0001736F"/>
    <w:rsid w:val="00017420"/>
    <w:rsid w:val="00017CC9"/>
    <w:rsid w:val="00017E19"/>
    <w:rsid w:val="00017E66"/>
    <w:rsid w:val="00020049"/>
    <w:rsid w:val="00020518"/>
    <w:rsid w:val="000205F3"/>
    <w:rsid w:val="0002063F"/>
    <w:rsid w:val="00020741"/>
    <w:rsid w:val="00020972"/>
    <w:rsid w:val="00020B75"/>
    <w:rsid w:val="00020E4B"/>
    <w:rsid w:val="00020F75"/>
    <w:rsid w:val="000210D5"/>
    <w:rsid w:val="0002157E"/>
    <w:rsid w:val="00021597"/>
    <w:rsid w:val="00021755"/>
    <w:rsid w:val="000218DC"/>
    <w:rsid w:val="00021B16"/>
    <w:rsid w:val="00021CE5"/>
    <w:rsid w:val="000220B7"/>
    <w:rsid w:val="00022111"/>
    <w:rsid w:val="00022377"/>
    <w:rsid w:val="000223AF"/>
    <w:rsid w:val="000225CF"/>
    <w:rsid w:val="000227AC"/>
    <w:rsid w:val="000228B4"/>
    <w:rsid w:val="000228EB"/>
    <w:rsid w:val="00022911"/>
    <w:rsid w:val="00022BDA"/>
    <w:rsid w:val="00023165"/>
    <w:rsid w:val="00023247"/>
    <w:rsid w:val="000233C4"/>
    <w:rsid w:val="00023421"/>
    <w:rsid w:val="00023519"/>
    <w:rsid w:val="0002377C"/>
    <w:rsid w:val="000239F6"/>
    <w:rsid w:val="00023CC2"/>
    <w:rsid w:val="00023CE7"/>
    <w:rsid w:val="00023D9D"/>
    <w:rsid w:val="00024029"/>
    <w:rsid w:val="00024160"/>
    <w:rsid w:val="0002417A"/>
    <w:rsid w:val="0002427D"/>
    <w:rsid w:val="000244D4"/>
    <w:rsid w:val="00024527"/>
    <w:rsid w:val="000245AD"/>
    <w:rsid w:val="0002477A"/>
    <w:rsid w:val="000247C6"/>
    <w:rsid w:val="0002484D"/>
    <w:rsid w:val="00024873"/>
    <w:rsid w:val="000249FD"/>
    <w:rsid w:val="00024B44"/>
    <w:rsid w:val="00024B56"/>
    <w:rsid w:val="00024B9A"/>
    <w:rsid w:val="00024DA8"/>
    <w:rsid w:val="00024DC3"/>
    <w:rsid w:val="00025011"/>
    <w:rsid w:val="000250D9"/>
    <w:rsid w:val="0002533F"/>
    <w:rsid w:val="000253A7"/>
    <w:rsid w:val="00025701"/>
    <w:rsid w:val="000257E8"/>
    <w:rsid w:val="0002599C"/>
    <w:rsid w:val="00025C3C"/>
    <w:rsid w:val="00025C74"/>
    <w:rsid w:val="00025EAF"/>
    <w:rsid w:val="0002625A"/>
    <w:rsid w:val="0002651E"/>
    <w:rsid w:val="0002661B"/>
    <w:rsid w:val="000267A5"/>
    <w:rsid w:val="0002690F"/>
    <w:rsid w:val="000269DD"/>
    <w:rsid w:val="00026B62"/>
    <w:rsid w:val="00026C00"/>
    <w:rsid w:val="0002704B"/>
    <w:rsid w:val="000270C9"/>
    <w:rsid w:val="00027232"/>
    <w:rsid w:val="0002729D"/>
    <w:rsid w:val="000272EC"/>
    <w:rsid w:val="000272F1"/>
    <w:rsid w:val="000273A5"/>
    <w:rsid w:val="00027453"/>
    <w:rsid w:val="00027467"/>
    <w:rsid w:val="00027AEB"/>
    <w:rsid w:val="00027B20"/>
    <w:rsid w:val="00027D8C"/>
    <w:rsid w:val="00030890"/>
    <w:rsid w:val="00030A17"/>
    <w:rsid w:val="00030AD5"/>
    <w:rsid w:val="00030BC6"/>
    <w:rsid w:val="00030CEB"/>
    <w:rsid w:val="00030D69"/>
    <w:rsid w:val="00030ED2"/>
    <w:rsid w:val="0003160E"/>
    <w:rsid w:val="00031624"/>
    <w:rsid w:val="00031850"/>
    <w:rsid w:val="00031A2C"/>
    <w:rsid w:val="00031A8A"/>
    <w:rsid w:val="00031C8D"/>
    <w:rsid w:val="00031F71"/>
    <w:rsid w:val="00032053"/>
    <w:rsid w:val="00032150"/>
    <w:rsid w:val="00032230"/>
    <w:rsid w:val="000324CE"/>
    <w:rsid w:val="0003292E"/>
    <w:rsid w:val="00032B63"/>
    <w:rsid w:val="00032C36"/>
    <w:rsid w:val="00032C72"/>
    <w:rsid w:val="00032CDC"/>
    <w:rsid w:val="00032DCE"/>
    <w:rsid w:val="00032E01"/>
    <w:rsid w:val="00033170"/>
    <w:rsid w:val="000334E1"/>
    <w:rsid w:val="0003381C"/>
    <w:rsid w:val="0003387E"/>
    <w:rsid w:val="00033AA5"/>
    <w:rsid w:val="00033AC0"/>
    <w:rsid w:val="00033B0E"/>
    <w:rsid w:val="00033ED7"/>
    <w:rsid w:val="000340E4"/>
    <w:rsid w:val="0003418C"/>
    <w:rsid w:val="00034315"/>
    <w:rsid w:val="000344C8"/>
    <w:rsid w:val="0003490A"/>
    <w:rsid w:val="000349C0"/>
    <w:rsid w:val="00034BA8"/>
    <w:rsid w:val="00034E1F"/>
    <w:rsid w:val="00034FA2"/>
    <w:rsid w:val="0003517A"/>
    <w:rsid w:val="000353DE"/>
    <w:rsid w:val="000354D0"/>
    <w:rsid w:val="00035815"/>
    <w:rsid w:val="00035ADA"/>
    <w:rsid w:val="00035B93"/>
    <w:rsid w:val="00035C52"/>
    <w:rsid w:val="00035CC9"/>
    <w:rsid w:val="00035EB8"/>
    <w:rsid w:val="0003602E"/>
    <w:rsid w:val="000366E8"/>
    <w:rsid w:val="00036A02"/>
    <w:rsid w:val="00036A6A"/>
    <w:rsid w:val="00036AEF"/>
    <w:rsid w:val="00036C59"/>
    <w:rsid w:val="00036C61"/>
    <w:rsid w:val="00036D70"/>
    <w:rsid w:val="00036DD1"/>
    <w:rsid w:val="00036E9A"/>
    <w:rsid w:val="00036EED"/>
    <w:rsid w:val="00037336"/>
    <w:rsid w:val="00037519"/>
    <w:rsid w:val="000375E4"/>
    <w:rsid w:val="000378C9"/>
    <w:rsid w:val="00037996"/>
    <w:rsid w:val="00037BE7"/>
    <w:rsid w:val="00037EBC"/>
    <w:rsid w:val="00040135"/>
    <w:rsid w:val="00040341"/>
    <w:rsid w:val="0004037E"/>
    <w:rsid w:val="000403A8"/>
    <w:rsid w:val="00040531"/>
    <w:rsid w:val="00040B15"/>
    <w:rsid w:val="00040B88"/>
    <w:rsid w:val="00040CFF"/>
    <w:rsid w:val="000410A5"/>
    <w:rsid w:val="000410DE"/>
    <w:rsid w:val="0004147D"/>
    <w:rsid w:val="000415A3"/>
    <w:rsid w:val="0004162C"/>
    <w:rsid w:val="00041639"/>
    <w:rsid w:val="00041800"/>
    <w:rsid w:val="000418AA"/>
    <w:rsid w:val="00041910"/>
    <w:rsid w:val="00041D36"/>
    <w:rsid w:val="00042056"/>
    <w:rsid w:val="000422EE"/>
    <w:rsid w:val="0004266A"/>
    <w:rsid w:val="000427C2"/>
    <w:rsid w:val="00042A6B"/>
    <w:rsid w:val="00042ADE"/>
    <w:rsid w:val="00042CE9"/>
    <w:rsid w:val="00043159"/>
    <w:rsid w:val="000431E1"/>
    <w:rsid w:val="000431EA"/>
    <w:rsid w:val="0004322C"/>
    <w:rsid w:val="00043600"/>
    <w:rsid w:val="000437F5"/>
    <w:rsid w:val="000438E6"/>
    <w:rsid w:val="000438F4"/>
    <w:rsid w:val="00043B6A"/>
    <w:rsid w:val="00043B84"/>
    <w:rsid w:val="00043E14"/>
    <w:rsid w:val="00043F11"/>
    <w:rsid w:val="00044050"/>
    <w:rsid w:val="000442BA"/>
    <w:rsid w:val="0004448D"/>
    <w:rsid w:val="0004450E"/>
    <w:rsid w:val="00044932"/>
    <w:rsid w:val="00044C68"/>
    <w:rsid w:val="00044EBC"/>
    <w:rsid w:val="00044F8A"/>
    <w:rsid w:val="0004538F"/>
    <w:rsid w:val="00045676"/>
    <w:rsid w:val="00045A27"/>
    <w:rsid w:val="00045A45"/>
    <w:rsid w:val="00045AA8"/>
    <w:rsid w:val="00045B9A"/>
    <w:rsid w:val="00045C12"/>
    <w:rsid w:val="00045D93"/>
    <w:rsid w:val="00045DE2"/>
    <w:rsid w:val="00045E38"/>
    <w:rsid w:val="00045EA6"/>
    <w:rsid w:val="00046018"/>
    <w:rsid w:val="000462DA"/>
    <w:rsid w:val="0004631F"/>
    <w:rsid w:val="0004642C"/>
    <w:rsid w:val="0004660F"/>
    <w:rsid w:val="000466CB"/>
    <w:rsid w:val="00046731"/>
    <w:rsid w:val="0004681D"/>
    <w:rsid w:val="000468A3"/>
    <w:rsid w:val="00046939"/>
    <w:rsid w:val="000469A5"/>
    <w:rsid w:val="00046A0F"/>
    <w:rsid w:val="00046A29"/>
    <w:rsid w:val="00046B7F"/>
    <w:rsid w:val="00046DA0"/>
    <w:rsid w:val="00046E39"/>
    <w:rsid w:val="00046EBE"/>
    <w:rsid w:val="00046FBA"/>
    <w:rsid w:val="00046FBB"/>
    <w:rsid w:val="00047235"/>
    <w:rsid w:val="00047387"/>
    <w:rsid w:val="000474A9"/>
    <w:rsid w:val="00047595"/>
    <w:rsid w:val="000477DE"/>
    <w:rsid w:val="000479A6"/>
    <w:rsid w:val="00047B87"/>
    <w:rsid w:val="00047C13"/>
    <w:rsid w:val="00047D5D"/>
    <w:rsid w:val="00047F1C"/>
    <w:rsid w:val="00047F23"/>
    <w:rsid w:val="00047F41"/>
    <w:rsid w:val="000500F5"/>
    <w:rsid w:val="00050216"/>
    <w:rsid w:val="00050557"/>
    <w:rsid w:val="000506B4"/>
    <w:rsid w:val="00050825"/>
    <w:rsid w:val="00050A2F"/>
    <w:rsid w:val="00050A6F"/>
    <w:rsid w:val="00050A89"/>
    <w:rsid w:val="00050B33"/>
    <w:rsid w:val="00050D16"/>
    <w:rsid w:val="00050D9E"/>
    <w:rsid w:val="000511CE"/>
    <w:rsid w:val="000513C0"/>
    <w:rsid w:val="0005160A"/>
    <w:rsid w:val="00051773"/>
    <w:rsid w:val="000518AC"/>
    <w:rsid w:val="00051C0B"/>
    <w:rsid w:val="00051CB8"/>
    <w:rsid w:val="000521FB"/>
    <w:rsid w:val="00052300"/>
    <w:rsid w:val="000524A8"/>
    <w:rsid w:val="00052585"/>
    <w:rsid w:val="00052844"/>
    <w:rsid w:val="00052959"/>
    <w:rsid w:val="00052B56"/>
    <w:rsid w:val="00052BCB"/>
    <w:rsid w:val="00052E0A"/>
    <w:rsid w:val="000533BA"/>
    <w:rsid w:val="00053448"/>
    <w:rsid w:val="0005351B"/>
    <w:rsid w:val="00053644"/>
    <w:rsid w:val="000539F4"/>
    <w:rsid w:val="00053C3C"/>
    <w:rsid w:val="00053D3A"/>
    <w:rsid w:val="00053DEE"/>
    <w:rsid w:val="00053DFF"/>
    <w:rsid w:val="00054745"/>
    <w:rsid w:val="0005474E"/>
    <w:rsid w:val="00054CF7"/>
    <w:rsid w:val="00054D53"/>
    <w:rsid w:val="00054D69"/>
    <w:rsid w:val="00054E8E"/>
    <w:rsid w:val="00054E95"/>
    <w:rsid w:val="00054EF9"/>
    <w:rsid w:val="00054F0E"/>
    <w:rsid w:val="00054F23"/>
    <w:rsid w:val="000550E9"/>
    <w:rsid w:val="000551C3"/>
    <w:rsid w:val="00055374"/>
    <w:rsid w:val="00055571"/>
    <w:rsid w:val="000558C9"/>
    <w:rsid w:val="00055EC9"/>
    <w:rsid w:val="00055F1A"/>
    <w:rsid w:val="00055FCB"/>
    <w:rsid w:val="00056214"/>
    <w:rsid w:val="0005645D"/>
    <w:rsid w:val="000565CD"/>
    <w:rsid w:val="00056802"/>
    <w:rsid w:val="00056919"/>
    <w:rsid w:val="00056A11"/>
    <w:rsid w:val="00056A34"/>
    <w:rsid w:val="00056B2F"/>
    <w:rsid w:val="00056F59"/>
    <w:rsid w:val="00056FBD"/>
    <w:rsid w:val="00056FF9"/>
    <w:rsid w:val="000570F8"/>
    <w:rsid w:val="0005718E"/>
    <w:rsid w:val="00057255"/>
    <w:rsid w:val="00057267"/>
    <w:rsid w:val="0005740D"/>
    <w:rsid w:val="0005772B"/>
    <w:rsid w:val="00057845"/>
    <w:rsid w:val="00057953"/>
    <w:rsid w:val="00057A4F"/>
    <w:rsid w:val="00057B5A"/>
    <w:rsid w:val="00057B60"/>
    <w:rsid w:val="00057FCA"/>
    <w:rsid w:val="00060469"/>
    <w:rsid w:val="0006050E"/>
    <w:rsid w:val="00060575"/>
    <w:rsid w:val="000605E4"/>
    <w:rsid w:val="00060646"/>
    <w:rsid w:val="0006066F"/>
    <w:rsid w:val="000606EA"/>
    <w:rsid w:val="0006075A"/>
    <w:rsid w:val="00060901"/>
    <w:rsid w:val="00060992"/>
    <w:rsid w:val="00060B77"/>
    <w:rsid w:val="00060DC7"/>
    <w:rsid w:val="00060E7E"/>
    <w:rsid w:val="00061222"/>
    <w:rsid w:val="000613BD"/>
    <w:rsid w:val="00061402"/>
    <w:rsid w:val="000617E9"/>
    <w:rsid w:val="00061A4D"/>
    <w:rsid w:val="00061C2A"/>
    <w:rsid w:val="00061C39"/>
    <w:rsid w:val="00061D31"/>
    <w:rsid w:val="0006206C"/>
    <w:rsid w:val="000620E5"/>
    <w:rsid w:val="000621BB"/>
    <w:rsid w:val="00062334"/>
    <w:rsid w:val="00062351"/>
    <w:rsid w:val="0006242C"/>
    <w:rsid w:val="0006312A"/>
    <w:rsid w:val="00063406"/>
    <w:rsid w:val="00063483"/>
    <w:rsid w:val="000634B6"/>
    <w:rsid w:val="0006352B"/>
    <w:rsid w:val="00063666"/>
    <w:rsid w:val="0006377F"/>
    <w:rsid w:val="00063780"/>
    <w:rsid w:val="00063812"/>
    <w:rsid w:val="000638D6"/>
    <w:rsid w:val="00063A28"/>
    <w:rsid w:val="00063A5D"/>
    <w:rsid w:val="00063CB5"/>
    <w:rsid w:val="00063F38"/>
    <w:rsid w:val="0006447A"/>
    <w:rsid w:val="0006460D"/>
    <w:rsid w:val="00064879"/>
    <w:rsid w:val="000649A0"/>
    <w:rsid w:val="000649B9"/>
    <w:rsid w:val="00064AEF"/>
    <w:rsid w:val="00064B17"/>
    <w:rsid w:val="00064B81"/>
    <w:rsid w:val="00064B99"/>
    <w:rsid w:val="00064E6F"/>
    <w:rsid w:val="0006506F"/>
    <w:rsid w:val="00065218"/>
    <w:rsid w:val="0006551A"/>
    <w:rsid w:val="00065577"/>
    <w:rsid w:val="00065586"/>
    <w:rsid w:val="00065705"/>
    <w:rsid w:val="00065717"/>
    <w:rsid w:val="00065954"/>
    <w:rsid w:val="00065964"/>
    <w:rsid w:val="00065968"/>
    <w:rsid w:val="00065997"/>
    <w:rsid w:val="00065C37"/>
    <w:rsid w:val="00065E83"/>
    <w:rsid w:val="000662B7"/>
    <w:rsid w:val="00066C09"/>
    <w:rsid w:val="00066D94"/>
    <w:rsid w:val="00066DDC"/>
    <w:rsid w:val="00066E2E"/>
    <w:rsid w:val="00067080"/>
    <w:rsid w:val="0006714A"/>
    <w:rsid w:val="00067270"/>
    <w:rsid w:val="000674E7"/>
    <w:rsid w:val="000677F5"/>
    <w:rsid w:val="000678EC"/>
    <w:rsid w:val="000679C0"/>
    <w:rsid w:val="00067B5E"/>
    <w:rsid w:val="00067CA2"/>
    <w:rsid w:val="00067FF1"/>
    <w:rsid w:val="000702EF"/>
    <w:rsid w:val="000703C8"/>
    <w:rsid w:val="00070546"/>
    <w:rsid w:val="00070951"/>
    <w:rsid w:val="0007095D"/>
    <w:rsid w:val="0007100A"/>
    <w:rsid w:val="000711C1"/>
    <w:rsid w:val="00071397"/>
    <w:rsid w:val="000713BD"/>
    <w:rsid w:val="00071466"/>
    <w:rsid w:val="00071565"/>
    <w:rsid w:val="000717B0"/>
    <w:rsid w:val="00071902"/>
    <w:rsid w:val="000722E3"/>
    <w:rsid w:val="00072386"/>
    <w:rsid w:val="0007257D"/>
    <w:rsid w:val="0007298F"/>
    <w:rsid w:val="00072A9E"/>
    <w:rsid w:val="00072B49"/>
    <w:rsid w:val="00072FB1"/>
    <w:rsid w:val="0007313B"/>
    <w:rsid w:val="00073222"/>
    <w:rsid w:val="0007352C"/>
    <w:rsid w:val="000738D8"/>
    <w:rsid w:val="000738E9"/>
    <w:rsid w:val="00073AEF"/>
    <w:rsid w:val="00073DCF"/>
    <w:rsid w:val="00073EE2"/>
    <w:rsid w:val="00073EF3"/>
    <w:rsid w:val="00074850"/>
    <w:rsid w:val="0007485E"/>
    <w:rsid w:val="00074A16"/>
    <w:rsid w:val="00074EE0"/>
    <w:rsid w:val="00074F12"/>
    <w:rsid w:val="0007565D"/>
    <w:rsid w:val="00075BB5"/>
    <w:rsid w:val="00075D0C"/>
    <w:rsid w:val="00075E0E"/>
    <w:rsid w:val="00075EB1"/>
    <w:rsid w:val="00076110"/>
    <w:rsid w:val="0007637D"/>
    <w:rsid w:val="00076408"/>
    <w:rsid w:val="0007649F"/>
    <w:rsid w:val="000765CB"/>
    <w:rsid w:val="0007678C"/>
    <w:rsid w:val="0007682F"/>
    <w:rsid w:val="00076A13"/>
    <w:rsid w:val="00076A4E"/>
    <w:rsid w:val="00076D0F"/>
    <w:rsid w:val="00076E1C"/>
    <w:rsid w:val="00076E5E"/>
    <w:rsid w:val="0007724C"/>
    <w:rsid w:val="00077457"/>
    <w:rsid w:val="00077549"/>
    <w:rsid w:val="00077572"/>
    <w:rsid w:val="0007776D"/>
    <w:rsid w:val="000777A9"/>
    <w:rsid w:val="00077820"/>
    <w:rsid w:val="00077CCF"/>
    <w:rsid w:val="00077D53"/>
    <w:rsid w:val="00077F1E"/>
    <w:rsid w:val="00077FEF"/>
    <w:rsid w:val="000805FC"/>
    <w:rsid w:val="0008087A"/>
    <w:rsid w:val="0008089A"/>
    <w:rsid w:val="00080A7D"/>
    <w:rsid w:val="00080AC4"/>
    <w:rsid w:val="00081190"/>
    <w:rsid w:val="000813A1"/>
    <w:rsid w:val="00081621"/>
    <w:rsid w:val="000816EA"/>
    <w:rsid w:val="0008174A"/>
    <w:rsid w:val="000818F3"/>
    <w:rsid w:val="000819B6"/>
    <w:rsid w:val="00081BA6"/>
    <w:rsid w:val="0008202D"/>
    <w:rsid w:val="00082100"/>
    <w:rsid w:val="000823CE"/>
    <w:rsid w:val="0008245E"/>
    <w:rsid w:val="00082639"/>
    <w:rsid w:val="0008270E"/>
    <w:rsid w:val="000827BB"/>
    <w:rsid w:val="00082950"/>
    <w:rsid w:val="00082B17"/>
    <w:rsid w:val="00082BC1"/>
    <w:rsid w:val="00082CEB"/>
    <w:rsid w:val="00082D02"/>
    <w:rsid w:val="00082DCD"/>
    <w:rsid w:val="00082E12"/>
    <w:rsid w:val="00082F98"/>
    <w:rsid w:val="0008309D"/>
    <w:rsid w:val="0008316D"/>
    <w:rsid w:val="0008317E"/>
    <w:rsid w:val="00083206"/>
    <w:rsid w:val="000833B8"/>
    <w:rsid w:val="00083472"/>
    <w:rsid w:val="0008369A"/>
    <w:rsid w:val="0008369B"/>
    <w:rsid w:val="0008372D"/>
    <w:rsid w:val="000837B7"/>
    <w:rsid w:val="0008381B"/>
    <w:rsid w:val="00083B24"/>
    <w:rsid w:val="00083BD6"/>
    <w:rsid w:val="00083D92"/>
    <w:rsid w:val="00083E99"/>
    <w:rsid w:val="00083ECA"/>
    <w:rsid w:val="00083F5D"/>
    <w:rsid w:val="0008415E"/>
    <w:rsid w:val="00084360"/>
    <w:rsid w:val="000843FE"/>
    <w:rsid w:val="00084493"/>
    <w:rsid w:val="000844F1"/>
    <w:rsid w:val="00084561"/>
    <w:rsid w:val="00084B7D"/>
    <w:rsid w:val="00084ED4"/>
    <w:rsid w:val="00085041"/>
    <w:rsid w:val="000851A2"/>
    <w:rsid w:val="000853FF"/>
    <w:rsid w:val="0008569D"/>
    <w:rsid w:val="00085735"/>
    <w:rsid w:val="0008581A"/>
    <w:rsid w:val="0008588E"/>
    <w:rsid w:val="000858CF"/>
    <w:rsid w:val="000859DC"/>
    <w:rsid w:val="00085AFE"/>
    <w:rsid w:val="00085CCD"/>
    <w:rsid w:val="00085D95"/>
    <w:rsid w:val="0008640D"/>
    <w:rsid w:val="0008658B"/>
    <w:rsid w:val="000865BD"/>
    <w:rsid w:val="000866C4"/>
    <w:rsid w:val="000866E5"/>
    <w:rsid w:val="00086711"/>
    <w:rsid w:val="0008675F"/>
    <w:rsid w:val="000869A8"/>
    <w:rsid w:val="00086AA2"/>
    <w:rsid w:val="00086EAB"/>
    <w:rsid w:val="0008712B"/>
    <w:rsid w:val="00087249"/>
    <w:rsid w:val="0008727C"/>
    <w:rsid w:val="00087630"/>
    <w:rsid w:val="00087681"/>
    <w:rsid w:val="0008775A"/>
    <w:rsid w:val="00087852"/>
    <w:rsid w:val="00087937"/>
    <w:rsid w:val="00087D1F"/>
    <w:rsid w:val="00087D86"/>
    <w:rsid w:val="00087E4E"/>
    <w:rsid w:val="00087EAF"/>
    <w:rsid w:val="0009039D"/>
    <w:rsid w:val="000903EA"/>
    <w:rsid w:val="00090689"/>
    <w:rsid w:val="000906FD"/>
    <w:rsid w:val="00090C6B"/>
    <w:rsid w:val="00090E4B"/>
    <w:rsid w:val="00090F85"/>
    <w:rsid w:val="00090FBA"/>
    <w:rsid w:val="00091087"/>
    <w:rsid w:val="00091275"/>
    <w:rsid w:val="00091373"/>
    <w:rsid w:val="00091405"/>
    <w:rsid w:val="00091422"/>
    <w:rsid w:val="00091764"/>
    <w:rsid w:val="000917C1"/>
    <w:rsid w:val="00091A81"/>
    <w:rsid w:val="00091EE3"/>
    <w:rsid w:val="0009224D"/>
    <w:rsid w:val="000923C6"/>
    <w:rsid w:val="0009288A"/>
    <w:rsid w:val="000929E5"/>
    <w:rsid w:val="00092A48"/>
    <w:rsid w:val="00092C41"/>
    <w:rsid w:val="00092DC1"/>
    <w:rsid w:val="00092E92"/>
    <w:rsid w:val="0009317A"/>
    <w:rsid w:val="000936BC"/>
    <w:rsid w:val="000938A2"/>
    <w:rsid w:val="000938C5"/>
    <w:rsid w:val="00093F04"/>
    <w:rsid w:val="00093FB4"/>
    <w:rsid w:val="00094576"/>
    <w:rsid w:val="000945B2"/>
    <w:rsid w:val="000948C8"/>
    <w:rsid w:val="000948F8"/>
    <w:rsid w:val="00094BF7"/>
    <w:rsid w:val="00094EFD"/>
    <w:rsid w:val="00095046"/>
    <w:rsid w:val="00095073"/>
    <w:rsid w:val="0009511B"/>
    <w:rsid w:val="000952A6"/>
    <w:rsid w:val="0009584C"/>
    <w:rsid w:val="000958AC"/>
    <w:rsid w:val="00095942"/>
    <w:rsid w:val="00095A72"/>
    <w:rsid w:val="00095BF4"/>
    <w:rsid w:val="00095D7E"/>
    <w:rsid w:val="00095F25"/>
    <w:rsid w:val="00095F97"/>
    <w:rsid w:val="00096019"/>
    <w:rsid w:val="0009611E"/>
    <w:rsid w:val="00096178"/>
    <w:rsid w:val="000961A3"/>
    <w:rsid w:val="000963CD"/>
    <w:rsid w:val="000963D8"/>
    <w:rsid w:val="00096493"/>
    <w:rsid w:val="000966AF"/>
    <w:rsid w:val="000967F8"/>
    <w:rsid w:val="0009691A"/>
    <w:rsid w:val="00096AD9"/>
    <w:rsid w:val="00096E54"/>
    <w:rsid w:val="00096EA7"/>
    <w:rsid w:val="00096FB7"/>
    <w:rsid w:val="00097084"/>
    <w:rsid w:val="000972D0"/>
    <w:rsid w:val="00097312"/>
    <w:rsid w:val="000973E7"/>
    <w:rsid w:val="00097482"/>
    <w:rsid w:val="0009764C"/>
    <w:rsid w:val="00097716"/>
    <w:rsid w:val="00097AA5"/>
    <w:rsid w:val="00097CF5"/>
    <w:rsid w:val="00097D13"/>
    <w:rsid w:val="000A0401"/>
    <w:rsid w:val="000A0547"/>
    <w:rsid w:val="000A05E1"/>
    <w:rsid w:val="000A06FF"/>
    <w:rsid w:val="000A0862"/>
    <w:rsid w:val="000A0AF2"/>
    <w:rsid w:val="000A0EEF"/>
    <w:rsid w:val="000A0F9B"/>
    <w:rsid w:val="000A102A"/>
    <w:rsid w:val="000A1274"/>
    <w:rsid w:val="000A14D2"/>
    <w:rsid w:val="000A1734"/>
    <w:rsid w:val="000A1844"/>
    <w:rsid w:val="000A197B"/>
    <w:rsid w:val="000A1C54"/>
    <w:rsid w:val="000A1D50"/>
    <w:rsid w:val="000A1E53"/>
    <w:rsid w:val="000A2080"/>
    <w:rsid w:val="000A20DD"/>
    <w:rsid w:val="000A25EF"/>
    <w:rsid w:val="000A26E5"/>
    <w:rsid w:val="000A28AC"/>
    <w:rsid w:val="000A2941"/>
    <w:rsid w:val="000A2A19"/>
    <w:rsid w:val="000A2B60"/>
    <w:rsid w:val="000A2BB5"/>
    <w:rsid w:val="000A2F24"/>
    <w:rsid w:val="000A2F69"/>
    <w:rsid w:val="000A337C"/>
    <w:rsid w:val="000A37A8"/>
    <w:rsid w:val="000A39E2"/>
    <w:rsid w:val="000A3F67"/>
    <w:rsid w:val="000A42B0"/>
    <w:rsid w:val="000A42C7"/>
    <w:rsid w:val="000A4546"/>
    <w:rsid w:val="000A4726"/>
    <w:rsid w:val="000A4F26"/>
    <w:rsid w:val="000A524C"/>
    <w:rsid w:val="000A5273"/>
    <w:rsid w:val="000A53E4"/>
    <w:rsid w:val="000A5691"/>
    <w:rsid w:val="000A5854"/>
    <w:rsid w:val="000A58CB"/>
    <w:rsid w:val="000A5A7C"/>
    <w:rsid w:val="000A5C79"/>
    <w:rsid w:val="000A5DD4"/>
    <w:rsid w:val="000A5E35"/>
    <w:rsid w:val="000A5F3F"/>
    <w:rsid w:val="000A60B5"/>
    <w:rsid w:val="000A61AF"/>
    <w:rsid w:val="000A640D"/>
    <w:rsid w:val="000A6671"/>
    <w:rsid w:val="000A6683"/>
    <w:rsid w:val="000A67D6"/>
    <w:rsid w:val="000A6881"/>
    <w:rsid w:val="000A68D3"/>
    <w:rsid w:val="000A6B2B"/>
    <w:rsid w:val="000A6B74"/>
    <w:rsid w:val="000A6D5D"/>
    <w:rsid w:val="000A6F26"/>
    <w:rsid w:val="000A741E"/>
    <w:rsid w:val="000A74D7"/>
    <w:rsid w:val="000A7575"/>
    <w:rsid w:val="000A771C"/>
    <w:rsid w:val="000A7828"/>
    <w:rsid w:val="000A7938"/>
    <w:rsid w:val="000A7A5F"/>
    <w:rsid w:val="000A7B18"/>
    <w:rsid w:val="000A7B63"/>
    <w:rsid w:val="000A7EF5"/>
    <w:rsid w:val="000A7FFD"/>
    <w:rsid w:val="000B016B"/>
    <w:rsid w:val="000B022A"/>
    <w:rsid w:val="000B0373"/>
    <w:rsid w:val="000B03CD"/>
    <w:rsid w:val="000B057F"/>
    <w:rsid w:val="000B06D8"/>
    <w:rsid w:val="000B0755"/>
    <w:rsid w:val="000B07D9"/>
    <w:rsid w:val="000B0975"/>
    <w:rsid w:val="000B1166"/>
    <w:rsid w:val="000B145E"/>
    <w:rsid w:val="000B17D4"/>
    <w:rsid w:val="000B1AE7"/>
    <w:rsid w:val="000B1D6B"/>
    <w:rsid w:val="000B21B9"/>
    <w:rsid w:val="000B2335"/>
    <w:rsid w:val="000B25B7"/>
    <w:rsid w:val="000B25D7"/>
    <w:rsid w:val="000B2705"/>
    <w:rsid w:val="000B2A68"/>
    <w:rsid w:val="000B2B3A"/>
    <w:rsid w:val="000B2CA5"/>
    <w:rsid w:val="000B2D15"/>
    <w:rsid w:val="000B2E73"/>
    <w:rsid w:val="000B3018"/>
    <w:rsid w:val="000B3091"/>
    <w:rsid w:val="000B327D"/>
    <w:rsid w:val="000B33C1"/>
    <w:rsid w:val="000B3629"/>
    <w:rsid w:val="000B3809"/>
    <w:rsid w:val="000B39FB"/>
    <w:rsid w:val="000B3BF1"/>
    <w:rsid w:val="000B3C2D"/>
    <w:rsid w:val="000B410F"/>
    <w:rsid w:val="000B4190"/>
    <w:rsid w:val="000B442A"/>
    <w:rsid w:val="000B448A"/>
    <w:rsid w:val="000B4536"/>
    <w:rsid w:val="000B4619"/>
    <w:rsid w:val="000B46BA"/>
    <w:rsid w:val="000B46FA"/>
    <w:rsid w:val="000B473B"/>
    <w:rsid w:val="000B48D8"/>
    <w:rsid w:val="000B4A2C"/>
    <w:rsid w:val="000B4A39"/>
    <w:rsid w:val="000B4D18"/>
    <w:rsid w:val="000B4D51"/>
    <w:rsid w:val="000B51A6"/>
    <w:rsid w:val="000B5354"/>
    <w:rsid w:val="000B5361"/>
    <w:rsid w:val="000B54F8"/>
    <w:rsid w:val="000B595A"/>
    <w:rsid w:val="000B5991"/>
    <w:rsid w:val="000B5B7F"/>
    <w:rsid w:val="000B5C2A"/>
    <w:rsid w:val="000B5D93"/>
    <w:rsid w:val="000B61BB"/>
    <w:rsid w:val="000B636D"/>
    <w:rsid w:val="000B642F"/>
    <w:rsid w:val="000B64D4"/>
    <w:rsid w:val="000B65EF"/>
    <w:rsid w:val="000B6633"/>
    <w:rsid w:val="000B663F"/>
    <w:rsid w:val="000B66C5"/>
    <w:rsid w:val="000B6830"/>
    <w:rsid w:val="000B68A0"/>
    <w:rsid w:val="000B70D7"/>
    <w:rsid w:val="000B711A"/>
    <w:rsid w:val="000B71DB"/>
    <w:rsid w:val="000B735E"/>
    <w:rsid w:val="000B73DB"/>
    <w:rsid w:val="000B7472"/>
    <w:rsid w:val="000B7738"/>
    <w:rsid w:val="000B78B3"/>
    <w:rsid w:val="000B7B1F"/>
    <w:rsid w:val="000C0009"/>
    <w:rsid w:val="000C00F5"/>
    <w:rsid w:val="000C0319"/>
    <w:rsid w:val="000C0439"/>
    <w:rsid w:val="000C07D9"/>
    <w:rsid w:val="000C0B0A"/>
    <w:rsid w:val="000C0B3A"/>
    <w:rsid w:val="000C0BC5"/>
    <w:rsid w:val="000C1043"/>
    <w:rsid w:val="000C1053"/>
    <w:rsid w:val="000C1440"/>
    <w:rsid w:val="000C1614"/>
    <w:rsid w:val="000C16ED"/>
    <w:rsid w:val="000C179B"/>
    <w:rsid w:val="000C18DA"/>
    <w:rsid w:val="000C1A83"/>
    <w:rsid w:val="000C1B90"/>
    <w:rsid w:val="000C1DA1"/>
    <w:rsid w:val="000C1E24"/>
    <w:rsid w:val="000C2175"/>
    <w:rsid w:val="000C298A"/>
    <w:rsid w:val="000C2B3F"/>
    <w:rsid w:val="000C2B4E"/>
    <w:rsid w:val="000C2C4C"/>
    <w:rsid w:val="000C2D8D"/>
    <w:rsid w:val="000C2E21"/>
    <w:rsid w:val="000C2E56"/>
    <w:rsid w:val="000C37E8"/>
    <w:rsid w:val="000C37F7"/>
    <w:rsid w:val="000C3852"/>
    <w:rsid w:val="000C3A4F"/>
    <w:rsid w:val="000C3CE5"/>
    <w:rsid w:val="000C3CF7"/>
    <w:rsid w:val="000C3DD0"/>
    <w:rsid w:val="000C410E"/>
    <w:rsid w:val="000C4131"/>
    <w:rsid w:val="000C418D"/>
    <w:rsid w:val="000C4196"/>
    <w:rsid w:val="000C4589"/>
    <w:rsid w:val="000C46C5"/>
    <w:rsid w:val="000C4760"/>
    <w:rsid w:val="000C4A90"/>
    <w:rsid w:val="000C5011"/>
    <w:rsid w:val="000C517C"/>
    <w:rsid w:val="000C51BD"/>
    <w:rsid w:val="000C52CB"/>
    <w:rsid w:val="000C566D"/>
    <w:rsid w:val="000C5889"/>
    <w:rsid w:val="000C58D5"/>
    <w:rsid w:val="000C5A0D"/>
    <w:rsid w:val="000C5DBE"/>
    <w:rsid w:val="000C5E06"/>
    <w:rsid w:val="000C5EB8"/>
    <w:rsid w:val="000C5F7F"/>
    <w:rsid w:val="000C6526"/>
    <w:rsid w:val="000C65C8"/>
    <w:rsid w:val="000C673B"/>
    <w:rsid w:val="000C6CF4"/>
    <w:rsid w:val="000C6FB8"/>
    <w:rsid w:val="000C703B"/>
    <w:rsid w:val="000C708F"/>
    <w:rsid w:val="000C71AC"/>
    <w:rsid w:val="000C7DCD"/>
    <w:rsid w:val="000C7F42"/>
    <w:rsid w:val="000D011A"/>
    <w:rsid w:val="000D025E"/>
    <w:rsid w:val="000D0546"/>
    <w:rsid w:val="000D080B"/>
    <w:rsid w:val="000D0980"/>
    <w:rsid w:val="000D0AD0"/>
    <w:rsid w:val="000D0BE8"/>
    <w:rsid w:val="000D0D6E"/>
    <w:rsid w:val="000D0E20"/>
    <w:rsid w:val="000D10EF"/>
    <w:rsid w:val="000D11EB"/>
    <w:rsid w:val="000D13E8"/>
    <w:rsid w:val="000D1522"/>
    <w:rsid w:val="000D1C5B"/>
    <w:rsid w:val="000D20CE"/>
    <w:rsid w:val="000D231F"/>
    <w:rsid w:val="000D2663"/>
    <w:rsid w:val="000D2791"/>
    <w:rsid w:val="000D2832"/>
    <w:rsid w:val="000D29BC"/>
    <w:rsid w:val="000D2C07"/>
    <w:rsid w:val="000D2DAF"/>
    <w:rsid w:val="000D2E14"/>
    <w:rsid w:val="000D2EC3"/>
    <w:rsid w:val="000D2F98"/>
    <w:rsid w:val="000D2FE6"/>
    <w:rsid w:val="000D3006"/>
    <w:rsid w:val="000D3238"/>
    <w:rsid w:val="000D38ED"/>
    <w:rsid w:val="000D3947"/>
    <w:rsid w:val="000D3D79"/>
    <w:rsid w:val="000D3D99"/>
    <w:rsid w:val="000D3F19"/>
    <w:rsid w:val="000D4035"/>
    <w:rsid w:val="000D4643"/>
    <w:rsid w:val="000D4717"/>
    <w:rsid w:val="000D4850"/>
    <w:rsid w:val="000D4966"/>
    <w:rsid w:val="000D4DEA"/>
    <w:rsid w:val="000D4EC5"/>
    <w:rsid w:val="000D4F6B"/>
    <w:rsid w:val="000D53E7"/>
    <w:rsid w:val="000D54EC"/>
    <w:rsid w:val="000D5678"/>
    <w:rsid w:val="000D57A2"/>
    <w:rsid w:val="000D580C"/>
    <w:rsid w:val="000D594C"/>
    <w:rsid w:val="000D5A4B"/>
    <w:rsid w:val="000D5D13"/>
    <w:rsid w:val="000D5D9A"/>
    <w:rsid w:val="000D5E8F"/>
    <w:rsid w:val="000D617C"/>
    <w:rsid w:val="000D6200"/>
    <w:rsid w:val="000D6328"/>
    <w:rsid w:val="000D653D"/>
    <w:rsid w:val="000D6789"/>
    <w:rsid w:val="000D6A31"/>
    <w:rsid w:val="000D6A84"/>
    <w:rsid w:val="000D6B1A"/>
    <w:rsid w:val="000D6D97"/>
    <w:rsid w:val="000D7638"/>
    <w:rsid w:val="000D7688"/>
    <w:rsid w:val="000D78E0"/>
    <w:rsid w:val="000D7936"/>
    <w:rsid w:val="000D7C6A"/>
    <w:rsid w:val="000D7D18"/>
    <w:rsid w:val="000E01A9"/>
    <w:rsid w:val="000E01B4"/>
    <w:rsid w:val="000E0407"/>
    <w:rsid w:val="000E05B6"/>
    <w:rsid w:val="000E088C"/>
    <w:rsid w:val="000E0909"/>
    <w:rsid w:val="000E135B"/>
    <w:rsid w:val="000E1435"/>
    <w:rsid w:val="000E1627"/>
    <w:rsid w:val="000E1658"/>
    <w:rsid w:val="000E180B"/>
    <w:rsid w:val="000E18D7"/>
    <w:rsid w:val="000E1DAC"/>
    <w:rsid w:val="000E207C"/>
    <w:rsid w:val="000E22B7"/>
    <w:rsid w:val="000E22EF"/>
    <w:rsid w:val="000E239D"/>
    <w:rsid w:val="000E2457"/>
    <w:rsid w:val="000E245E"/>
    <w:rsid w:val="000E24D4"/>
    <w:rsid w:val="000E272C"/>
    <w:rsid w:val="000E29FD"/>
    <w:rsid w:val="000E2A83"/>
    <w:rsid w:val="000E2E43"/>
    <w:rsid w:val="000E33EA"/>
    <w:rsid w:val="000E3557"/>
    <w:rsid w:val="000E3A3B"/>
    <w:rsid w:val="000E3BD8"/>
    <w:rsid w:val="000E3D41"/>
    <w:rsid w:val="000E3E96"/>
    <w:rsid w:val="000E439C"/>
    <w:rsid w:val="000E43AA"/>
    <w:rsid w:val="000E43DC"/>
    <w:rsid w:val="000E43EF"/>
    <w:rsid w:val="000E477A"/>
    <w:rsid w:val="000E4C62"/>
    <w:rsid w:val="000E4FD0"/>
    <w:rsid w:val="000E5439"/>
    <w:rsid w:val="000E5476"/>
    <w:rsid w:val="000E5517"/>
    <w:rsid w:val="000E5541"/>
    <w:rsid w:val="000E56BD"/>
    <w:rsid w:val="000E5817"/>
    <w:rsid w:val="000E5F73"/>
    <w:rsid w:val="000E65C9"/>
    <w:rsid w:val="000E6627"/>
    <w:rsid w:val="000E68A7"/>
    <w:rsid w:val="000E6A59"/>
    <w:rsid w:val="000E73A3"/>
    <w:rsid w:val="000E7457"/>
    <w:rsid w:val="000E776C"/>
    <w:rsid w:val="000E7860"/>
    <w:rsid w:val="000F039C"/>
    <w:rsid w:val="000F05CB"/>
    <w:rsid w:val="000F05F2"/>
    <w:rsid w:val="000F06FA"/>
    <w:rsid w:val="000F06FF"/>
    <w:rsid w:val="000F072A"/>
    <w:rsid w:val="000F07E9"/>
    <w:rsid w:val="000F092A"/>
    <w:rsid w:val="000F0961"/>
    <w:rsid w:val="000F0F1A"/>
    <w:rsid w:val="000F12CB"/>
    <w:rsid w:val="000F138E"/>
    <w:rsid w:val="000F13BB"/>
    <w:rsid w:val="000F1408"/>
    <w:rsid w:val="000F1670"/>
    <w:rsid w:val="000F192A"/>
    <w:rsid w:val="000F1ACC"/>
    <w:rsid w:val="000F1CB0"/>
    <w:rsid w:val="000F1DA9"/>
    <w:rsid w:val="000F1E96"/>
    <w:rsid w:val="000F1EF9"/>
    <w:rsid w:val="000F1F1F"/>
    <w:rsid w:val="000F22F3"/>
    <w:rsid w:val="000F23F7"/>
    <w:rsid w:val="000F24F1"/>
    <w:rsid w:val="000F2722"/>
    <w:rsid w:val="000F27F0"/>
    <w:rsid w:val="000F295E"/>
    <w:rsid w:val="000F2BBF"/>
    <w:rsid w:val="000F2E71"/>
    <w:rsid w:val="000F2FD4"/>
    <w:rsid w:val="000F3079"/>
    <w:rsid w:val="000F3203"/>
    <w:rsid w:val="000F3556"/>
    <w:rsid w:val="000F3617"/>
    <w:rsid w:val="000F37C6"/>
    <w:rsid w:val="000F3CE6"/>
    <w:rsid w:val="000F3F85"/>
    <w:rsid w:val="000F40D5"/>
    <w:rsid w:val="000F40E7"/>
    <w:rsid w:val="000F424C"/>
    <w:rsid w:val="000F4337"/>
    <w:rsid w:val="000F43C0"/>
    <w:rsid w:val="000F43F2"/>
    <w:rsid w:val="000F43F5"/>
    <w:rsid w:val="000F4419"/>
    <w:rsid w:val="000F458E"/>
    <w:rsid w:val="000F4687"/>
    <w:rsid w:val="000F4883"/>
    <w:rsid w:val="000F4939"/>
    <w:rsid w:val="000F4BA3"/>
    <w:rsid w:val="000F4BCE"/>
    <w:rsid w:val="000F4CF3"/>
    <w:rsid w:val="000F5056"/>
    <w:rsid w:val="000F5161"/>
    <w:rsid w:val="000F517F"/>
    <w:rsid w:val="000F59B3"/>
    <w:rsid w:val="000F5F2F"/>
    <w:rsid w:val="000F5FCE"/>
    <w:rsid w:val="000F6307"/>
    <w:rsid w:val="000F6377"/>
    <w:rsid w:val="000F6613"/>
    <w:rsid w:val="000F67CF"/>
    <w:rsid w:val="000F687F"/>
    <w:rsid w:val="000F6B53"/>
    <w:rsid w:val="000F6C82"/>
    <w:rsid w:val="000F7431"/>
    <w:rsid w:val="000F75F3"/>
    <w:rsid w:val="001000B8"/>
    <w:rsid w:val="0010079E"/>
    <w:rsid w:val="00100885"/>
    <w:rsid w:val="00100B6B"/>
    <w:rsid w:val="00100E5E"/>
    <w:rsid w:val="0010109E"/>
    <w:rsid w:val="001013F0"/>
    <w:rsid w:val="00101401"/>
    <w:rsid w:val="00101467"/>
    <w:rsid w:val="00101751"/>
    <w:rsid w:val="00101859"/>
    <w:rsid w:val="00101984"/>
    <w:rsid w:val="00101AB2"/>
    <w:rsid w:val="00101AF0"/>
    <w:rsid w:val="00101C80"/>
    <w:rsid w:val="00101D85"/>
    <w:rsid w:val="00101E2B"/>
    <w:rsid w:val="00102451"/>
    <w:rsid w:val="00102479"/>
    <w:rsid w:val="0010295A"/>
    <w:rsid w:val="00103098"/>
    <w:rsid w:val="001032E4"/>
    <w:rsid w:val="001034E9"/>
    <w:rsid w:val="0010392D"/>
    <w:rsid w:val="00103986"/>
    <w:rsid w:val="001039EE"/>
    <w:rsid w:val="00103A69"/>
    <w:rsid w:val="00103B67"/>
    <w:rsid w:val="00103DAD"/>
    <w:rsid w:val="00104319"/>
    <w:rsid w:val="0010440B"/>
    <w:rsid w:val="0010464D"/>
    <w:rsid w:val="00104AC3"/>
    <w:rsid w:val="00105299"/>
    <w:rsid w:val="00105350"/>
    <w:rsid w:val="00105917"/>
    <w:rsid w:val="00105A28"/>
    <w:rsid w:val="00105E18"/>
    <w:rsid w:val="0010618F"/>
    <w:rsid w:val="001062B8"/>
    <w:rsid w:val="001062DE"/>
    <w:rsid w:val="001062EF"/>
    <w:rsid w:val="001064CC"/>
    <w:rsid w:val="001064FE"/>
    <w:rsid w:val="001065F5"/>
    <w:rsid w:val="0010695F"/>
    <w:rsid w:val="00106EF2"/>
    <w:rsid w:val="00107080"/>
    <w:rsid w:val="001070EE"/>
    <w:rsid w:val="00107255"/>
    <w:rsid w:val="00107320"/>
    <w:rsid w:val="00107375"/>
    <w:rsid w:val="00107398"/>
    <w:rsid w:val="00107597"/>
    <w:rsid w:val="0010781A"/>
    <w:rsid w:val="0010793E"/>
    <w:rsid w:val="00107AB5"/>
    <w:rsid w:val="00107B17"/>
    <w:rsid w:val="00107B62"/>
    <w:rsid w:val="00107FC0"/>
    <w:rsid w:val="00110213"/>
    <w:rsid w:val="00110403"/>
    <w:rsid w:val="001104CE"/>
    <w:rsid w:val="00110592"/>
    <w:rsid w:val="001108F1"/>
    <w:rsid w:val="00110985"/>
    <w:rsid w:val="001109B0"/>
    <w:rsid w:val="00110B72"/>
    <w:rsid w:val="00110CEF"/>
    <w:rsid w:val="00110DF1"/>
    <w:rsid w:val="00110E29"/>
    <w:rsid w:val="00110E87"/>
    <w:rsid w:val="00110F93"/>
    <w:rsid w:val="0011117C"/>
    <w:rsid w:val="00111217"/>
    <w:rsid w:val="00111713"/>
    <w:rsid w:val="00111988"/>
    <w:rsid w:val="00111BC3"/>
    <w:rsid w:val="00111D62"/>
    <w:rsid w:val="00111F72"/>
    <w:rsid w:val="00112051"/>
    <w:rsid w:val="001120DA"/>
    <w:rsid w:val="00112150"/>
    <w:rsid w:val="001121B7"/>
    <w:rsid w:val="0011228E"/>
    <w:rsid w:val="001124C5"/>
    <w:rsid w:val="00112637"/>
    <w:rsid w:val="001126F4"/>
    <w:rsid w:val="001127EE"/>
    <w:rsid w:val="0011282C"/>
    <w:rsid w:val="00112865"/>
    <w:rsid w:val="00112EB0"/>
    <w:rsid w:val="00113484"/>
    <w:rsid w:val="0011366F"/>
    <w:rsid w:val="00113727"/>
    <w:rsid w:val="0011382F"/>
    <w:rsid w:val="001138F1"/>
    <w:rsid w:val="0011396E"/>
    <w:rsid w:val="00113977"/>
    <w:rsid w:val="00113A0B"/>
    <w:rsid w:val="00113A7D"/>
    <w:rsid w:val="00113C41"/>
    <w:rsid w:val="00113E8A"/>
    <w:rsid w:val="00114404"/>
    <w:rsid w:val="001147D6"/>
    <w:rsid w:val="001148EA"/>
    <w:rsid w:val="00114E94"/>
    <w:rsid w:val="00114EB4"/>
    <w:rsid w:val="00115256"/>
    <w:rsid w:val="00115412"/>
    <w:rsid w:val="00115645"/>
    <w:rsid w:val="001156FA"/>
    <w:rsid w:val="00115AE8"/>
    <w:rsid w:val="00115B67"/>
    <w:rsid w:val="00115D54"/>
    <w:rsid w:val="00115E5E"/>
    <w:rsid w:val="001160D3"/>
    <w:rsid w:val="001163E3"/>
    <w:rsid w:val="001167B2"/>
    <w:rsid w:val="001168F6"/>
    <w:rsid w:val="00116EFE"/>
    <w:rsid w:val="0011701D"/>
    <w:rsid w:val="00117093"/>
    <w:rsid w:val="001175D0"/>
    <w:rsid w:val="001177B8"/>
    <w:rsid w:val="00117911"/>
    <w:rsid w:val="0011794E"/>
    <w:rsid w:val="00117A1E"/>
    <w:rsid w:val="00117EA7"/>
    <w:rsid w:val="00117FD8"/>
    <w:rsid w:val="00120063"/>
    <w:rsid w:val="0012046C"/>
    <w:rsid w:val="0012050B"/>
    <w:rsid w:val="0012066B"/>
    <w:rsid w:val="001207F0"/>
    <w:rsid w:val="00120852"/>
    <w:rsid w:val="001208DF"/>
    <w:rsid w:val="00120D0A"/>
    <w:rsid w:val="00120DE2"/>
    <w:rsid w:val="00120ECE"/>
    <w:rsid w:val="00120F80"/>
    <w:rsid w:val="00121383"/>
    <w:rsid w:val="00121596"/>
    <w:rsid w:val="00121723"/>
    <w:rsid w:val="00121CB0"/>
    <w:rsid w:val="00121DBD"/>
    <w:rsid w:val="00121F9E"/>
    <w:rsid w:val="001221D7"/>
    <w:rsid w:val="0012221F"/>
    <w:rsid w:val="0012227C"/>
    <w:rsid w:val="0012263D"/>
    <w:rsid w:val="001226E9"/>
    <w:rsid w:val="00122823"/>
    <w:rsid w:val="001229B5"/>
    <w:rsid w:val="00122B51"/>
    <w:rsid w:val="00122B8F"/>
    <w:rsid w:val="00122C6D"/>
    <w:rsid w:val="00122F1B"/>
    <w:rsid w:val="00123230"/>
    <w:rsid w:val="001232F0"/>
    <w:rsid w:val="00123322"/>
    <w:rsid w:val="00123339"/>
    <w:rsid w:val="001235C5"/>
    <w:rsid w:val="0012380F"/>
    <w:rsid w:val="001238EF"/>
    <w:rsid w:val="00123A37"/>
    <w:rsid w:val="00123CBE"/>
    <w:rsid w:val="001240E6"/>
    <w:rsid w:val="001241B3"/>
    <w:rsid w:val="00124285"/>
    <w:rsid w:val="0012431B"/>
    <w:rsid w:val="001243BC"/>
    <w:rsid w:val="001244A6"/>
    <w:rsid w:val="001245AC"/>
    <w:rsid w:val="00124601"/>
    <w:rsid w:val="001247F0"/>
    <w:rsid w:val="00124BC5"/>
    <w:rsid w:val="00124C6B"/>
    <w:rsid w:val="00124C9E"/>
    <w:rsid w:val="00125088"/>
    <w:rsid w:val="001250B3"/>
    <w:rsid w:val="001253B6"/>
    <w:rsid w:val="001253EC"/>
    <w:rsid w:val="001254F1"/>
    <w:rsid w:val="00125621"/>
    <w:rsid w:val="00125A8B"/>
    <w:rsid w:val="00125C55"/>
    <w:rsid w:val="00126500"/>
    <w:rsid w:val="00126538"/>
    <w:rsid w:val="00126580"/>
    <w:rsid w:val="001265FC"/>
    <w:rsid w:val="00126671"/>
    <w:rsid w:val="00126830"/>
    <w:rsid w:val="00126978"/>
    <w:rsid w:val="00126C30"/>
    <w:rsid w:val="00126F96"/>
    <w:rsid w:val="0012745D"/>
    <w:rsid w:val="00127482"/>
    <w:rsid w:val="00127566"/>
    <w:rsid w:val="00127599"/>
    <w:rsid w:val="001275B1"/>
    <w:rsid w:val="001277C7"/>
    <w:rsid w:val="001278CD"/>
    <w:rsid w:val="00127966"/>
    <w:rsid w:val="001279F8"/>
    <w:rsid w:val="00127C62"/>
    <w:rsid w:val="00127CA2"/>
    <w:rsid w:val="00127E59"/>
    <w:rsid w:val="00130225"/>
    <w:rsid w:val="00130507"/>
    <w:rsid w:val="0013082E"/>
    <w:rsid w:val="001308C8"/>
    <w:rsid w:val="00130B38"/>
    <w:rsid w:val="00130B9F"/>
    <w:rsid w:val="00130BB6"/>
    <w:rsid w:val="00130EEE"/>
    <w:rsid w:val="00130F84"/>
    <w:rsid w:val="001310C7"/>
    <w:rsid w:val="0013112E"/>
    <w:rsid w:val="001311F7"/>
    <w:rsid w:val="00131295"/>
    <w:rsid w:val="00131660"/>
    <w:rsid w:val="00131945"/>
    <w:rsid w:val="0013196E"/>
    <w:rsid w:val="00131A6E"/>
    <w:rsid w:val="00131A78"/>
    <w:rsid w:val="00131AE6"/>
    <w:rsid w:val="00131B2E"/>
    <w:rsid w:val="00131B9C"/>
    <w:rsid w:val="00131C12"/>
    <w:rsid w:val="00131DE3"/>
    <w:rsid w:val="00131FF9"/>
    <w:rsid w:val="001325B4"/>
    <w:rsid w:val="00132B08"/>
    <w:rsid w:val="00132B70"/>
    <w:rsid w:val="00132D27"/>
    <w:rsid w:val="00132DD7"/>
    <w:rsid w:val="0013300E"/>
    <w:rsid w:val="00133374"/>
    <w:rsid w:val="001333DA"/>
    <w:rsid w:val="001334E1"/>
    <w:rsid w:val="00133535"/>
    <w:rsid w:val="00133C07"/>
    <w:rsid w:val="00133E6F"/>
    <w:rsid w:val="001341B7"/>
    <w:rsid w:val="001343B7"/>
    <w:rsid w:val="00134901"/>
    <w:rsid w:val="00134C48"/>
    <w:rsid w:val="00134C87"/>
    <w:rsid w:val="00134FFF"/>
    <w:rsid w:val="0013505A"/>
    <w:rsid w:val="0013509C"/>
    <w:rsid w:val="001355F6"/>
    <w:rsid w:val="0013561C"/>
    <w:rsid w:val="001357FB"/>
    <w:rsid w:val="001358B3"/>
    <w:rsid w:val="00135AB9"/>
    <w:rsid w:val="00135B29"/>
    <w:rsid w:val="00136266"/>
    <w:rsid w:val="0013627A"/>
    <w:rsid w:val="001363AD"/>
    <w:rsid w:val="00136456"/>
    <w:rsid w:val="001365DD"/>
    <w:rsid w:val="0013688D"/>
    <w:rsid w:val="001369F2"/>
    <w:rsid w:val="00136DE3"/>
    <w:rsid w:val="00136F74"/>
    <w:rsid w:val="00137056"/>
    <w:rsid w:val="001371F7"/>
    <w:rsid w:val="0013784F"/>
    <w:rsid w:val="0013791E"/>
    <w:rsid w:val="00137937"/>
    <w:rsid w:val="0013799B"/>
    <w:rsid w:val="0013799C"/>
    <w:rsid w:val="001379E0"/>
    <w:rsid w:val="00137BAF"/>
    <w:rsid w:val="00137D70"/>
    <w:rsid w:val="00137DB3"/>
    <w:rsid w:val="0014019F"/>
    <w:rsid w:val="001403CB"/>
    <w:rsid w:val="00140470"/>
    <w:rsid w:val="001405FE"/>
    <w:rsid w:val="001406CA"/>
    <w:rsid w:val="00140725"/>
    <w:rsid w:val="0014091C"/>
    <w:rsid w:val="001409AA"/>
    <w:rsid w:val="00140AA0"/>
    <w:rsid w:val="00140B3E"/>
    <w:rsid w:val="00140F3C"/>
    <w:rsid w:val="00140F6E"/>
    <w:rsid w:val="00141517"/>
    <w:rsid w:val="0014187E"/>
    <w:rsid w:val="00141970"/>
    <w:rsid w:val="00141C6B"/>
    <w:rsid w:val="00141D4C"/>
    <w:rsid w:val="00141D91"/>
    <w:rsid w:val="00141DDF"/>
    <w:rsid w:val="00141F1B"/>
    <w:rsid w:val="0014210D"/>
    <w:rsid w:val="0014212F"/>
    <w:rsid w:val="00142140"/>
    <w:rsid w:val="00142208"/>
    <w:rsid w:val="001422CF"/>
    <w:rsid w:val="001423F7"/>
    <w:rsid w:val="001424D7"/>
    <w:rsid w:val="001424EA"/>
    <w:rsid w:val="001428AB"/>
    <w:rsid w:val="0014298E"/>
    <w:rsid w:val="001429B7"/>
    <w:rsid w:val="00142A28"/>
    <w:rsid w:val="00142CAB"/>
    <w:rsid w:val="00142CD0"/>
    <w:rsid w:val="00142E25"/>
    <w:rsid w:val="00142F3E"/>
    <w:rsid w:val="001435A4"/>
    <w:rsid w:val="001436B8"/>
    <w:rsid w:val="001438B3"/>
    <w:rsid w:val="001438D7"/>
    <w:rsid w:val="00143A28"/>
    <w:rsid w:val="00143E23"/>
    <w:rsid w:val="001444D0"/>
    <w:rsid w:val="001445B7"/>
    <w:rsid w:val="00144902"/>
    <w:rsid w:val="00144AA8"/>
    <w:rsid w:val="00144B6E"/>
    <w:rsid w:val="00144CD2"/>
    <w:rsid w:val="00144ECB"/>
    <w:rsid w:val="00144FEF"/>
    <w:rsid w:val="001452DF"/>
    <w:rsid w:val="00145563"/>
    <w:rsid w:val="00145788"/>
    <w:rsid w:val="00145AB1"/>
    <w:rsid w:val="00145AD0"/>
    <w:rsid w:val="00145C01"/>
    <w:rsid w:val="00145C72"/>
    <w:rsid w:val="00145C8D"/>
    <w:rsid w:val="00145CDB"/>
    <w:rsid w:val="00145CEA"/>
    <w:rsid w:val="00145D24"/>
    <w:rsid w:val="0014611D"/>
    <w:rsid w:val="00146202"/>
    <w:rsid w:val="00146385"/>
    <w:rsid w:val="00146628"/>
    <w:rsid w:val="00146975"/>
    <w:rsid w:val="00146B6C"/>
    <w:rsid w:val="00146BD1"/>
    <w:rsid w:val="00146DF4"/>
    <w:rsid w:val="00146EB3"/>
    <w:rsid w:val="00146FE5"/>
    <w:rsid w:val="0014705D"/>
    <w:rsid w:val="001470EB"/>
    <w:rsid w:val="00147245"/>
    <w:rsid w:val="00147340"/>
    <w:rsid w:val="0014747D"/>
    <w:rsid w:val="001474B9"/>
    <w:rsid w:val="00147609"/>
    <w:rsid w:val="00147638"/>
    <w:rsid w:val="00147E1D"/>
    <w:rsid w:val="00147F91"/>
    <w:rsid w:val="00147FB1"/>
    <w:rsid w:val="00150181"/>
    <w:rsid w:val="00150425"/>
    <w:rsid w:val="0015049C"/>
    <w:rsid w:val="001504EB"/>
    <w:rsid w:val="0015054E"/>
    <w:rsid w:val="0015068C"/>
    <w:rsid w:val="0015096E"/>
    <w:rsid w:val="00150C63"/>
    <w:rsid w:val="00151274"/>
    <w:rsid w:val="00151278"/>
    <w:rsid w:val="001512A8"/>
    <w:rsid w:val="0015138B"/>
    <w:rsid w:val="001513DF"/>
    <w:rsid w:val="00151542"/>
    <w:rsid w:val="00151878"/>
    <w:rsid w:val="00151B8D"/>
    <w:rsid w:val="00151FDF"/>
    <w:rsid w:val="00152006"/>
    <w:rsid w:val="00152201"/>
    <w:rsid w:val="00152265"/>
    <w:rsid w:val="001523AB"/>
    <w:rsid w:val="00152460"/>
    <w:rsid w:val="00152561"/>
    <w:rsid w:val="00152B43"/>
    <w:rsid w:val="00152BE4"/>
    <w:rsid w:val="00152BFB"/>
    <w:rsid w:val="00152C68"/>
    <w:rsid w:val="00152C91"/>
    <w:rsid w:val="0015328E"/>
    <w:rsid w:val="0015340A"/>
    <w:rsid w:val="0015353D"/>
    <w:rsid w:val="001535BB"/>
    <w:rsid w:val="001535E9"/>
    <w:rsid w:val="0015362E"/>
    <w:rsid w:val="0015368D"/>
    <w:rsid w:val="001536F5"/>
    <w:rsid w:val="001539AA"/>
    <w:rsid w:val="00153A30"/>
    <w:rsid w:val="00153B77"/>
    <w:rsid w:val="00153B91"/>
    <w:rsid w:val="00153BA1"/>
    <w:rsid w:val="00153BBB"/>
    <w:rsid w:val="00153F1D"/>
    <w:rsid w:val="00153F5E"/>
    <w:rsid w:val="00153FCD"/>
    <w:rsid w:val="00154071"/>
    <w:rsid w:val="00154136"/>
    <w:rsid w:val="00154141"/>
    <w:rsid w:val="001542E1"/>
    <w:rsid w:val="00154622"/>
    <w:rsid w:val="001547EA"/>
    <w:rsid w:val="0015482D"/>
    <w:rsid w:val="0015487D"/>
    <w:rsid w:val="0015493D"/>
    <w:rsid w:val="00154A9B"/>
    <w:rsid w:val="00154AC0"/>
    <w:rsid w:val="00154C0D"/>
    <w:rsid w:val="00154C85"/>
    <w:rsid w:val="00154E86"/>
    <w:rsid w:val="00154FD0"/>
    <w:rsid w:val="001550D5"/>
    <w:rsid w:val="00155192"/>
    <w:rsid w:val="001551B9"/>
    <w:rsid w:val="001552B5"/>
    <w:rsid w:val="001552C6"/>
    <w:rsid w:val="00155326"/>
    <w:rsid w:val="00155594"/>
    <w:rsid w:val="001555B2"/>
    <w:rsid w:val="00155658"/>
    <w:rsid w:val="00155752"/>
    <w:rsid w:val="00155AAA"/>
    <w:rsid w:val="00155AFC"/>
    <w:rsid w:val="00155E6F"/>
    <w:rsid w:val="00156049"/>
    <w:rsid w:val="00156330"/>
    <w:rsid w:val="00156379"/>
    <w:rsid w:val="00156602"/>
    <w:rsid w:val="00156878"/>
    <w:rsid w:val="0015694A"/>
    <w:rsid w:val="00156BC5"/>
    <w:rsid w:val="00156CC0"/>
    <w:rsid w:val="00157044"/>
    <w:rsid w:val="00157393"/>
    <w:rsid w:val="001574AE"/>
    <w:rsid w:val="00157676"/>
    <w:rsid w:val="00157AED"/>
    <w:rsid w:val="00157D67"/>
    <w:rsid w:val="00157F7D"/>
    <w:rsid w:val="0015E3F7"/>
    <w:rsid w:val="001600A4"/>
    <w:rsid w:val="00160142"/>
    <w:rsid w:val="0016023C"/>
    <w:rsid w:val="0016080D"/>
    <w:rsid w:val="00160915"/>
    <w:rsid w:val="00160A28"/>
    <w:rsid w:val="00160BF9"/>
    <w:rsid w:val="00160CB9"/>
    <w:rsid w:val="00160CEB"/>
    <w:rsid w:val="00160DD5"/>
    <w:rsid w:val="00160DF4"/>
    <w:rsid w:val="00160E67"/>
    <w:rsid w:val="00160E78"/>
    <w:rsid w:val="00161804"/>
    <w:rsid w:val="00161909"/>
    <w:rsid w:val="00161912"/>
    <w:rsid w:val="0016204B"/>
    <w:rsid w:val="001620D5"/>
    <w:rsid w:val="0016275C"/>
    <w:rsid w:val="00162765"/>
    <w:rsid w:val="001627DA"/>
    <w:rsid w:val="00162986"/>
    <w:rsid w:val="00162D26"/>
    <w:rsid w:val="00162F61"/>
    <w:rsid w:val="001630CD"/>
    <w:rsid w:val="00163417"/>
    <w:rsid w:val="00163A16"/>
    <w:rsid w:val="00163A61"/>
    <w:rsid w:val="00163B19"/>
    <w:rsid w:val="00163B33"/>
    <w:rsid w:val="00163C00"/>
    <w:rsid w:val="00163C78"/>
    <w:rsid w:val="00163F6F"/>
    <w:rsid w:val="00163F7E"/>
    <w:rsid w:val="00164436"/>
    <w:rsid w:val="0016459D"/>
    <w:rsid w:val="00164648"/>
    <w:rsid w:val="00164FED"/>
    <w:rsid w:val="00165003"/>
    <w:rsid w:val="0016511C"/>
    <w:rsid w:val="0016532F"/>
    <w:rsid w:val="001654C8"/>
    <w:rsid w:val="00165723"/>
    <w:rsid w:val="00165737"/>
    <w:rsid w:val="00165B2A"/>
    <w:rsid w:val="00165B80"/>
    <w:rsid w:val="00165C56"/>
    <w:rsid w:val="00165D2D"/>
    <w:rsid w:val="00165F3F"/>
    <w:rsid w:val="00166078"/>
    <w:rsid w:val="0016622C"/>
    <w:rsid w:val="00166465"/>
    <w:rsid w:val="0016658B"/>
    <w:rsid w:val="00167227"/>
    <w:rsid w:val="001674F6"/>
    <w:rsid w:val="001675B7"/>
    <w:rsid w:val="00167C00"/>
    <w:rsid w:val="00167C25"/>
    <w:rsid w:val="00167C86"/>
    <w:rsid w:val="00167E21"/>
    <w:rsid w:val="001706E6"/>
    <w:rsid w:val="00170879"/>
    <w:rsid w:val="00170A8F"/>
    <w:rsid w:val="00170FFD"/>
    <w:rsid w:val="00171006"/>
    <w:rsid w:val="00171179"/>
    <w:rsid w:val="00171553"/>
    <w:rsid w:val="00171566"/>
    <w:rsid w:val="00171748"/>
    <w:rsid w:val="00171789"/>
    <w:rsid w:val="00171873"/>
    <w:rsid w:val="0017188B"/>
    <w:rsid w:val="00172074"/>
    <w:rsid w:val="0017208C"/>
    <w:rsid w:val="0017224B"/>
    <w:rsid w:val="0017235E"/>
    <w:rsid w:val="00172383"/>
    <w:rsid w:val="00172426"/>
    <w:rsid w:val="00172478"/>
    <w:rsid w:val="001725C4"/>
    <w:rsid w:val="001727C6"/>
    <w:rsid w:val="001727CB"/>
    <w:rsid w:val="0017286E"/>
    <w:rsid w:val="001729A7"/>
    <w:rsid w:val="00172C07"/>
    <w:rsid w:val="00172D4A"/>
    <w:rsid w:val="00172DAE"/>
    <w:rsid w:val="001737B4"/>
    <w:rsid w:val="0017390E"/>
    <w:rsid w:val="00173A52"/>
    <w:rsid w:val="00173A63"/>
    <w:rsid w:val="00173A83"/>
    <w:rsid w:val="0017407F"/>
    <w:rsid w:val="001740A6"/>
    <w:rsid w:val="0017440D"/>
    <w:rsid w:val="00174AEB"/>
    <w:rsid w:val="00174B60"/>
    <w:rsid w:val="00174C9B"/>
    <w:rsid w:val="00174DD9"/>
    <w:rsid w:val="001750E1"/>
    <w:rsid w:val="00175118"/>
    <w:rsid w:val="00175156"/>
    <w:rsid w:val="0017537E"/>
    <w:rsid w:val="0017592D"/>
    <w:rsid w:val="00175D80"/>
    <w:rsid w:val="00175DCE"/>
    <w:rsid w:val="00175FD4"/>
    <w:rsid w:val="001763BC"/>
    <w:rsid w:val="0017640A"/>
    <w:rsid w:val="001764B5"/>
    <w:rsid w:val="001768D4"/>
    <w:rsid w:val="0017691B"/>
    <w:rsid w:val="00176A48"/>
    <w:rsid w:val="00176FB0"/>
    <w:rsid w:val="0017701E"/>
    <w:rsid w:val="0017721F"/>
    <w:rsid w:val="001772E2"/>
    <w:rsid w:val="00177E2C"/>
    <w:rsid w:val="00177F35"/>
    <w:rsid w:val="001800B9"/>
    <w:rsid w:val="00180394"/>
    <w:rsid w:val="001805C3"/>
    <w:rsid w:val="00180691"/>
    <w:rsid w:val="00180CCF"/>
    <w:rsid w:val="00180D1A"/>
    <w:rsid w:val="00180F64"/>
    <w:rsid w:val="001811AC"/>
    <w:rsid w:val="001812CA"/>
    <w:rsid w:val="00181444"/>
    <w:rsid w:val="0018157D"/>
    <w:rsid w:val="001818DF"/>
    <w:rsid w:val="001818F0"/>
    <w:rsid w:val="0018195A"/>
    <w:rsid w:val="001819AD"/>
    <w:rsid w:val="001819FE"/>
    <w:rsid w:val="00181B37"/>
    <w:rsid w:val="00181F4E"/>
    <w:rsid w:val="00182126"/>
    <w:rsid w:val="001823F4"/>
    <w:rsid w:val="0018255D"/>
    <w:rsid w:val="00182822"/>
    <w:rsid w:val="001829A5"/>
    <w:rsid w:val="00182C5C"/>
    <w:rsid w:val="00182C76"/>
    <w:rsid w:val="00182C7F"/>
    <w:rsid w:val="00182D30"/>
    <w:rsid w:val="00182D3B"/>
    <w:rsid w:val="00182F9C"/>
    <w:rsid w:val="001831C3"/>
    <w:rsid w:val="00183493"/>
    <w:rsid w:val="001834C7"/>
    <w:rsid w:val="0018358C"/>
    <w:rsid w:val="00183763"/>
    <w:rsid w:val="00183ACC"/>
    <w:rsid w:val="00183BDA"/>
    <w:rsid w:val="00183CFC"/>
    <w:rsid w:val="00183E21"/>
    <w:rsid w:val="0018409C"/>
    <w:rsid w:val="00184606"/>
    <w:rsid w:val="001848AB"/>
    <w:rsid w:val="00184A6A"/>
    <w:rsid w:val="00184B85"/>
    <w:rsid w:val="00184BB2"/>
    <w:rsid w:val="00184CE8"/>
    <w:rsid w:val="00184D1B"/>
    <w:rsid w:val="00184D25"/>
    <w:rsid w:val="00184E07"/>
    <w:rsid w:val="00184FEF"/>
    <w:rsid w:val="00185201"/>
    <w:rsid w:val="0018534F"/>
    <w:rsid w:val="00185378"/>
    <w:rsid w:val="001859D1"/>
    <w:rsid w:val="00185C5C"/>
    <w:rsid w:val="00185C63"/>
    <w:rsid w:val="00185D96"/>
    <w:rsid w:val="00186133"/>
    <w:rsid w:val="001863E5"/>
    <w:rsid w:val="00186641"/>
    <w:rsid w:val="0018666A"/>
    <w:rsid w:val="001866D7"/>
    <w:rsid w:val="001866FA"/>
    <w:rsid w:val="001867C4"/>
    <w:rsid w:val="001869ED"/>
    <w:rsid w:val="00186DBE"/>
    <w:rsid w:val="00186ED5"/>
    <w:rsid w:val="00186F2C"/>
    <w:rsid w:val="001870C3"/>
    <w:rsid w:val="001870EB"/>
    <w:rsid w:val="00187118"/>
    <w:rsid w:val="0018759F"/>
    <w:rsid w:val="001875C0"/>
    <w:rsid w:val="001875E8"/>
    <w:rsid w:val="0018769B"/>
    <w:rsid w:val="0018774D"/>
    <w:rsid w:val="00187969"/>
    <w:rsid w:val="00187AF0"/>
    <w:rsid w:val="00187B81"/>
    <w:rsid w:val="00187E33"/>
    <w:rsid w:val="00187EE4"/>
    <w:rsid w:val="00187F1C"/>
    <w:rsid w:val="00187F8A"/>
    <w:rsid w:val="00190060"/>
    <w:rsid w:val="00190363"/>
    <w:rsid w:val="001906AA"/>
    <w:rsid w:val="001906B7"/>
    <w:rsid w:val="00190A35"/>
    <w:rsid w:val="00190B38"/>
    <w:rsid w:val="001911A9"/>
    <w:rsid w:val="00191469"/>
    <w:rsid w:val="00191852"/>
    <w:rsid w:val="0019185E"/>
    <w:rsid w:val="0019186C"/>
    <w:rsid w:val="001918E8"/>
    <w:rsid w:val="0019198B"/>
    <w:rsid w:val="00191B76"/>
    <w:rsid w:val="00191C8D"/>
    <w:rsid w:val="00191EE7"/>
    <w:rsid w:val="00192139"/>
    <w:rsid w:val="00192885"/>
    <w:rsid w:val="00192A72"/>
    <w:rsid w:val="00192BE5"/>
    <w:rsid w:val="00192BFE"/>
    <w:rsid w:val="00192C12"/>
    <w:rsid w:val="001930E6"/>
    <w:rsid w:val="0019316C"/>
    <w:rsid w:val="00193410"/>
    <w:rsid w:val="001936B7"/>
    <w:rsid w:val="00193800"/>
    <w:rsid w:val="0019392E"/>
    <w:rsid w:val="00193ABB"/>
    <w:rsid w:val="00193D07"/>
    <w:rsid w:val="00193FB8"/>
    <w:rsid w:val="00193FC7"/>
    <w:rsid w:val="00193FDB"/>
    <w:rsid w:val="0019400C"/>
    <w:rsid w:val="0019404E"/>
    <w:rsid w:val="001941A7"/>
    <w:rsid w:val="001941B6"/>
    <w:rsid w:val="00194255"/>
    <w:rsid w:val="001943D7"/>
    <w:rsid w:val="001944EE"/>
    <w:rsid w:val="00194883"/>
    <w:rsid w:val="00194959"/>
    <w:rsid w:val="001949A6"/>
    <w:rsid w:val="00194A1F"/>
    <w:rsid w:val="00194B7E"/>
    <w:rsid w:val="00194C24"/>
    <w:rsid w:val="00194E0D"/>
    <w:rsid w:val="00194F2E"/>
    <w:rsid w:val="00194F50"/>
    <w:rsid w:val="001950CD"/>
    <w:rsid w:val="00195140"/>
    <w:rsid w:val="0019518D"/>
    <w:rsid w:val="0019550D"/>
    <w:rsid w:val="00195598"/>
    <w:rsid w:val="001958A7"/>
    <w:rsid w:val="001959E0"/>
    <w:rsid w:val="00196101"/>
    <w:rsid w:val="0019634C"/>
    <w:rsid w:val="001964AA"/>
    <w:rsid w:val="0019661C"/>
    <w:rsid w:val="001966CC"/>
    <w:rsid w:val="00196895"/>
    <w:rsid w:val="001969CC"/>
    <w:rsid w:val="00196CB2"/>
    <w:rsid w:val="00196F1E"/>
    <w:rsid w:val="0019738C"/>
    <w:rsid w:val="0019757F"/>
    <w:rsid w:val="001975BB"/>
    <w:rsid w:val="00197613"/>
    <w:rsid w:val="00197677"/>
    <w:rsid w:val="0019783C"/>
    <w:rsid w:val="00197C14"/>
    <w:rsid w:val="00197D3D"/>
    <w:rsid w:val="00197D5F"/>
    <w:rsid w:val="00197F66"/>
    <w:rsid w:val="001A00BE"/>
    <w:rsid w:val="001A0501"/>
    <w:rsid w:val="001A0590"/>
    <w:rsid w:val="001A08B9"/>
    <w:rsid w:val="001A0951"/>
    <w:rsid w:val="001A0E80"/>
    <w:rsid w:val="001A119B"/>
    <w:rsid w:val="001A125A"/>
    <w:rsid w:val="001A12CC"/>
    <w:rsid w:val="001A13D2"/>
    <w:rsid w:val="001A16A2"/>
    <w:rsid w:val="001A183E"/>
    <w:rsid w:val="001A19C4"/>
    <w:rsid w:val="001A1A1D"/>
    <w:rsid w:val="001A1C34"/>
    <w:rsid w:val="001A1C42"/>
    <w:rsid w:val="001A1DCF"/>
    <w:rsid w:val="001A209F"/>
    <w:rsid w:val="001A23DD"/>
    <w:rsid w:val="001A240D"/>
    <w:rsid w:val="001A24F3"/>
    <w:rsid w:val="001A26C5"/>
    <w:rsid w:val="001A2B18"/>
    <w:rsid w:val="001A2BC8"/>
    <w:rsid w:val="001A3085"/>
    <w:rsid w:val="001A30FD"/>
    <w:rsid w:val="001A3173"/>
    <w:rsid w:val="001A31E9"/>
    <w:rsid w:val="001A3306"/>
    <w:rsid w:val="001A35EB"/>
    <w:rsid w:val="001A3647"/>
    <w:rsid w:val="001A3CC5"/>
    <w:rsid w:val="001A3F64"/>
    <w:rsid w:val="001A3F72"/>
    <w:rsid w:val="001A418E"/>
    <w:rsid w:val="001A449F"/>
    <w:rsid w:val="001A482C"/>
    <w:rsid w:val="001A48DF"/>
    <w:rsid w:val="001A498A"/>
    <w:rsid w:val="001A4BA1"/>
    <w:rsid w:val="001A50B4"/>
    <w:rsid w:val="001A522A"/>
    <w:rsid w:val="001A55BE"/>
    <w:rsid w:val="001A55C9"/>
    <w:rsid w:val="001A5691"/>
    <w:rsid w:val="001A59E7"/>
    <w:rsid w:val="001A5ADA"/>
    <w:rsid w:val="001A5B90"/>
    <w:rsid w:val="001A5E19"/>
    <w:rsid w:val="001A5E2B"/>
    <w:rsid w:val="001A60D3"/>
    <w:rsid w:val="001A62B5"/>
    <w:rsid w:val="001A65A7"/>
    <w:rsid w:val="001A66F4"/>
    <w:rsid w:val="001A69BD"/>
    <w:rsid w:val="001A6A4A"/>
    <w:rsid w:val="001A6EB0"/>
    <w:rsid w:val="001A70AA"/>
    <w:rsid w:val="001A71ED"/>
    <w:rsid w:val="001A7227"/>
    <w:rsid w:val="001A754D"/>
    <w:rsid w:val="001A7668"/>
    <w:rsid w:val="001A772B"/>
    <w:rsid w:val="001A7BC5"/>
    <w:rsid w:val="001A7DF7"/>
    <w:rsid w:val="001A7F24"/>
    <w:rsid w:val="001A7FCA"/>
    <w:rsid w:val="001B001E"/>
    <w:rsid w:val="001B010C"/>
    <w:rsid w:val="001B036C"/>
    <w:rsid w:val="001B04CC"/>
    <w:rsid w:val="001B084E"/>
    <w:rsid w:val="001B0A7F"/>
    <w:rsid w:val="001B0B33"/>
    <w:rsid w:val="001B0B58"/>
    <w:rsid w:val="001B0BF5"/>
    <w:rsid w:val="001B0C96"/>
    <w:rsid w:val="001B0E8D"/>
    <w:rsid w:val="001B0FC8"/>
    <w:rsid w:val="001B0FF5"/>
    <w:rsid w:val="001B1021"/>
    <w:rsid w:val="001B1381"/>
    <w:rsid w:val="001B14C0"/>
    <w:rsid w:val="001B14F7"/>
    <w:rsid w:val="001B156F"/>
    <w:rsid w:val="001B15AA"/>
    <w:rsid w:val="001B1693"/>
    <w:rsid w:val="001B1F6B"/>
    <w:rsid w:val="001B1FCB"/>
    <w:rsid w:val="001B21D9"/>
    <w:rsid w:val="001B2307"/>
    <w:rsid w:val="001B23ED"/>
    <w:rsid w:val="001B2807"/>
    <w:rsid w:val="001B2B24"/>
    <w:rsid w:val="001B2BB2"/>
    <w:rsid w:val="001B2BB7"/>
    <w:rsid w:val="001B2C7E"/>
    <w:rsid w:val="001B2D64"/>
    <w:rsid w:val="001B2E59"/>
    <w:rsid w:val="001B2F05"/>
    <w:rsid w:val="001B2FA7"/>
    <w:rsid w:val="001B3235"/>
    <w:rsid w:val="001B3520"/>
    <w:rsid w:val="001B3535"/>
    <w:rsid w:val="001B36ED"/>
    <w:rsid w:val="001B3883"/>
    <w:rsid w:val="001B38BC"/>
    <w:rsid w:val="001B3C54"/>
    <w:rsid w:val="001B3D2F"/>
    <w:rsid w:val="001B3EF4"/>
    <w:rsid w:val="001B437D"/>
    <w:rsid w:val="001B43B5"/>
    <w:rsid w:val="001B4499"/>
    <w:rsid w:val="001B4577"/>
    <w:rsid w:val="001B47B9"/>
    <w:rsid w:val="001B47C0"/>
    <w:rsid w:val="001B4946"/>
    <w:rsid w:val="001B4947"/>
    <w:rsid w:val="001B4BDF"/>
    <w:rsid w:val="001B4CA3"/>
    <w:rsid w:val="001B4ED2"/>
    <w:rsid w:val="001B4F51"/>
    <w:rsid w:val="001B50D7"/>
    <w:rsid w:val="001B5421"/>
    <w:rsid w:val="001B5AAE"/>
    <w:rsid w:val="001B5B01"/>
    <w:rsid w:val="001B5EC6"/>
    <w:rsid w:val="001B6172"/>
    <w:rsid w:val="001B620A"/>
    <w:rsid w:val="001B627A"/>
    <w:rsid w:val="001B62B7"/>
    <w:rsid w:val="001B63B5"/>
    <w:rsid w:val="001B6679"/>
    <w:rsid w:val="001B66E8"/>
    <w:rsid w:val="001B6936"/>
    <w:rsid w:val="001B6A37"/>
    <w:rsid w:val="001B6A63"/>
    <w:rsid w:val="001B6CBE"/>
    <w:rsid w:val="001B7073"/>
    <w:rsid w:val="001B7345"/>
    <w:rsid w:val="001B73A0"/>
    <w:rsid w:val="001B792A"/>
    <w:rsid w:val="001B795F"/>
    <w:rsid w:val="001B79BD"/>
    <w:rsid w:val="001B7C50"/>
    <w:rsid w:val="001B7D94"/>
    <w:rsid w:val="001B7D9E"/>
    <w:rsid w:val="001C018D"/>
    <w:rsid w:val="001C02CB"/>
    <w:rsid w:val="001C02EA"/>
    <w:rsid w:val="001C06B4"/>
    <w:rsid w:val="001C0A76"/>
    <w:rsid w:val="001C0C2A"/>
    <w:rsid w:val="001C0CFE"/>
    <w:rsid w:val="001C0F10"/>
    <w:rsid w:val="001C0F73"/>
    <w:rsid w:val="001C10A0"/>
    <w:rsid w:val="001C133D"/>
    <w:rsid w:val="001C1405"/>
    <w:rsid w:val="001C14FB"/>
    <w:rsid w:val="001C1595"/>
    <w:rsid w:val="001C17CE"/>
    <w:rsid w:val="001C19FC"/>
    <w:rsid w:val="001C1A76"/>
    <w:rsid w:val="001C1FAC"/>
    <w:rsid w:val="001C206A"/>
    <w:rsid w:val="001C2165"/>
    <w:rsid w:val="001C2727"/>
    <w:rsid w:val="001C29D5"/>
    <w:rsid w:val="001C2CFF"/>
    <w:rsid w:val="001C2DD6"/>
    <w:rsid w:val="001C3503"/>
    <w:rsid w:val="001C354A"/>
    <w:rsid w:val="001C3647"/>
    <w:rsid w:val="001C39B4"/>
    <w:rsid w:val="001C407D"/>
    <w:rsid w:val="001C40F3"/>
    <w:rsid w:val="001C415C"/>
    <w:rsid w:val="001C4164"/>
    <w:rsid w:val="001C42CF"/>
    <w:rsid w:val="001C43EA"/>
    <w:rsid w:val="001C4590"/>
    <w:rsid w:val="001C4830"/>
    <w:rsid w:val="001C486C"/>
    <w:rsid w:val="001C48A4"/>
    <w:rsid w:val="001C49B2"/>
    <w:rsid w:val="001C49DD"/>
    <w:rsid w:val="001C4F12"/>
    <w:rsid w:val="001C4F65"/>
    <w:rsid w:val="001C5300"/>
    <w:rsid w:val="001C532B"/>
    <w:rsid w:val="001C553E"/>
    <w:rsid w:val="001C5673"/>
    <w:rsid w:val="001C5A84"/>
    <w:rsid w:val="001C5AA8"/>
    <w:rsid w:val="001C5B22"/>
    <w:rsid w:val="001C5B5C"/>
    <w:rsid w:val="001C5EEA"/>
    <w:rsid w:val="001C6012"/>
    <w:rsid w:val="001C6029"/>
    <w:rsid w:val="001C6112"/>
    <w:rsid w:val="001C61BF"/>
    <w:rsid w:val="001C671A"/>
    <w:rsid w:val="001C67BD"/>
    <w:rsid w:val="001C6A70"/>
    <w:rsid w:val="001C6B0E"/>
    <w:rsid w:val="001C6B57"/>
    <w:rsid w:val="001C6BA3"/>
    <w:rsid w:val="001C6BE2"/>
    <w:rsid w:val="001C706E"/>
    <w:rsid w:val="001C71AC"/>
    <w:rsid w:val="001C7230"/>
    <w:rsid w:val="001C7274"/>
    <w:rsid w:val="001C72FE"/>
    <w:rsid w:val="001C7B6E"/>
    <w:rsid w:val="001D0025"/>
    <w:rsid w:val="001D013D"/>
    <w:rsid w:val="001D029D"/>
    <w:rsid w:val="001D038F"/>
    <w:rsid w:val="001D0B64"/>
    <w:rsid w:val="001D0C59"/>
    <w:rsid w:val="001D0DF0"/>
    <w:rsid w:val="001D10DD"/>
    <w:rsid w:val="001D16E1"/>
    <w:rsid w:val="001D189C"/>
    <w:rsid w:val="001D18A9"/>
    <w:rsid w:val="001D193D"/>
    <w:rsid w:val="001D1AA1"/>
    <w:rsid w:val="001D1C5C"/>
    <w:rsid w:val="001D1D37"/>
    <w:rsid w:val="001D1E0B"/>
    <w:rsid w:val="001D2451"/>
    <w:rsid w:val="001D2485"/>
    <w:rsid w:val="001D27EA"/>
    <w:rsid w:val="001D28A6"/>
    <w:rsid w:val="001D2B09"/>
    <w:rsid w:val="001D2CA3"/>
    <w:rsid w:val="001D2F16"/>
    <w:rsid w:val="001D3084"/>
    <w:rsid w:val="001D3237"/>
    <w:rsid w:val="001D38B0"/>
    <w:rsid w:val="001D3A50"/>
    <w:rsid w:val="001D3AB8"/>
    <w:rsid w:val="001D3C2A"/>
    <w:rsid w:val="001D3D7B"/>
    <w:rsid w:val="001D3E3D"/>
    <w:rsid w:val="001D3F2F"/>
    <w:rsid w:val="001D4082"/>
    <w:rsid w:val="001D45E2"/>
    <w:rsid w:val="001D4797"/>
    <w:rsid w:val="001D48E6"/>
    <w:rsid w:val="001D4ABA"/>
    <w:rsid w:val="001D4BDD"/>
    <w:rsid w:val="001D50E9"/>
    <w:rsid w:val="001D54A9"/>
    <w:rsid w:val="001D5532"/>
    <w:rsid w:val="001D577B"/>
    <w:rsid w:val="001D57D2"/>
    <w:rsid w:val="001D5C36"/>
    <w:rsid w:val="001D5D92"/>
    <w:rsid w:val="001D5F39"/>
    <w:rsid w:val="001D613D"/>
    <w:rsid w:val="001D63AB"/>
    <w:rsid w:val="001D646C"/>
    <w:rsid w:val="001D64CE"/>
    <w:rsid w:val="001D64DB"/>
    <w:rsid w:val="001D6515"/>
    <w:rsid w:val="001D69C3"/>
    <w:rsid w:val="001D6B22"/>
    <w:rsid w:val="001D6CAE"/>
    <w:rsid w:val="001D6CB9"/>
    <w:rsid w:val="001D6FF6"/>
    <w:rsid w:val="001D7077"/>
    <w:rsid w:val="001D725A"/>
    <w:rsid w:val="001D72E2"/>
    <w:rsid w:val="001D75F7"/>
    <w:rsid w:val="001D7631"/>
    <w:rsid w:val="001D7721"/>
    <w:rsid w:val="001D779A"/>
    <w:rsid w:val="001D77CC"/>
    <w:rsid w:val="001D7B4E"/>
    <w:rsid w:val="001D7B76"/>
    <w:rsid w:val="001E0690"/>
    <w:rsid w:val="001E078C"/>
    <w:rsid w:val="001E0922"/>
    <w:rsid w:val="001E0C34"/>
    <w:rsid w:val="001E0F94"/>
    <w:rsid w:val="001E1131"/>
    <w:rsid w:val="001E11E9"/>
    <w:rsid w:val="001E19E4"/>
    <w:rsid w:val="001E1A33"/>
    <w:rsid w:val="001E1A46"/>
    <w:rsid w:val="001E1E3A"/>
    <w:rsid w:val="001E1E81"/>
    <w:rsid w:val="001E1F33"/>
    <w:rsid w:val="001E2225"/>
    <w:rsid w:val="001E2609"/>
    <w:rsid w:val="001E264B"/>
    <w:rsid w:val="001E2998"/>
    <w:rsid w:val="001E2B2F"/>
    <w:rsid w:val="001E2BB9"/>
    <w:rsid w:val="001E2DEB"/>
    <w:rsid w:val="001E2EFA"/>
    <w:rsid w:val="001E2FE4"/>
    <w:rsid w:val="001E31C9"/>
    <w:rsid w:val="001E31DA"/>
    <w:rsid w:val="001E31E3"/>
    <w:rsid w:val="001E3372"/>
    <w:rsid w:val="001E3734"/>
    <w:rsid w:val="001E37C6"/>
    <w:rsid w:val="001E388C"/>
    <w:rsid w:val="001E388F"/>
    <w:rsid w:val="001E3D3D"/>
    <w:rsid w:val="001E3E51"/>
    <w:rsid w:val="001E3EDF"/>
    <w:rsid w:val="001E400F"/>
    <w:rsid w:val="001E4153"/>
    <w:rsid w:val="001E42F3"/>
    <w:rsid w:val="001E4338"/>
    <w:rsid w:val="001E440F"/>
    <w:rsid w:val="001E44B9"/>
    <w:rsid w:val="001E4575"/>
    <w:rsid w:val="001E45E8"/>
    <w:rsid w:val="001E4870"/>
    <w:rsid w:val="001E4A20"/>
    <w:rsid w:val="001E4A82"/>
    <w:rsid w:val="001E4A8F"/>
    <w:rsid w:val="001E4E85"/>
    <w:rsid w:val="001E5674"/>
    <w:rsid w:val="001E5B55"/>
    <w:rsid w:val="001E5B79"/>
    <w:rsid w:val="001E5E6E"/>
    <w:rsid w:val="001E6006"/>
    <w:rsid w:val="001E6089"/>
    <w:rsid w:val="001E6282"/>
    <w:rsid w:val="001E634C"/>
    <w:rsid w:val="001E64BD"/>
    <w:rsid w:val="001E666A"/>
    <w:rsid w:val="001E690F"/>
    <w:rsid w:val="001E6A4E"/>
    <w:rsid w:val="001E6DDB"/>
    <w:rsid w:val="001E6FD0"/>
    <w:rsid w:val="001E7252"/>
    <w:rsid w:val="001E7489"/>
    <w:rsid w:val="001E780F"/>
    <w:rsid w:val="001E7B97"/>
    <w:rsid w:val="001E7C80"/>
    <w:rsid w:val="001E7CAC"/>
    <w:rsid w:val="001F01AF"/>
    <w:rsid w:val="001F029C"/>
    <w:rsid w:val="001F07A5"/>
    <w:rsid w:val="001F081E"/>
    <w:rsid w:val="001F08A3"/>
    <w:rsid w:val="001F0E32"/>
    <w:rsid w:val="001F0F4F"/>
    <w:rsid w:val="001F105A"/>
    <w:rsid w:val="001F11D3"/>
    <w:rsid w:val="001F12CD"/>
    <w:rsid w:val="001F1316"/>
    <w:rsid w:val="001F1473"/>
    <w:rsid w:val="001F193C"/>
    <w:rsid w:val="001F1A6F"/>
    <w:rsid w:val="001F1A7C"/>
    <w:rsid w:val="001F1C03"/>
    <w:rsid w:val="001F1CC1"/>
    <w:rsid w:val="001F1FF7"/>
    <w:rsid w:val="001F21B5"/>
    <w:rsid w:val="001F2572"/>
    <w:rsid w:val="001F2B27"/>
    <w:rsid w:val="001F2B9D"/>
    <w:rsid w:val="001F2C1D"/>
    <w:rsid w:val="001F2C6B"/>
    <w:rsid w:val="001F2F35"/>
    <w:rsid w:val="001F2FF2"/>
    <w:rsid w:val="001F30BD"/>
    <w:rsid w:val="001F33CC"/>
    <w:rsid w:val="001F343C"/>
    <w:rsid w:val="001F34EE"/>
    <w:rsid w:val="001F3795"/>
    <w:rsid w:val="001F3A05"/>
    <w:rsid w:val="001F3A20"/>
    <w:rsid w:val="001F3C23"/>
    <w:rsid w:val="001F3DD7"/>
    <w:rsid w:val="001F3E2A"/>
    <w:rsid w:val="001F419D"/>
    <w:rsid w:val="001F4341"/>
    <w:rsid w:val="001F43E6"/>
    <w:rsid w:val="001F463C"/>
    <w:rsid w:val="001F46FC"/>
    <w:rsid w:val="001F47F0"/>
    <w:rsid w:val="001F47F8"/>
    <w:rsid w:val="001F4A2E"/>
    <w:rsid w:val="001F4AA2"/>
    <w:rsid w:val="001F4EF3"/>
    <w:rsid w:val="001F51AA"/>
    <w:rsid w:val="001F52AB"/>
    <w:rsid w:val="001F5737"/>
    <w:rsid w:val="001F5842"/>
    <w:rsid w:val="001F59CB"/>
    <w:rsid w:val="001F5B1B"/>
    <w:rsid w:val="001F5BFB"/>
    <w:rsid w:val="001F5E09"/>
    <w:rsid w:val="001F5F65"/>
    <w:rsid w:val="001F6157"/>
    <w:rsid w:val="001F627A"/>
    <w:rsid w:val="001F6823"/>
    <w:rsid w:val="001F69C6"/>
    <w:rsid w:val="001F69E0"/>
    <w:rsid w:val="001F6B1A"/>
    <w:rsid w:val="001F6C92"/>
    <w:rsid w:val="001F6D05"/>
    <w:rsid w:val="001F6E6B"/>
    <w:rsid w:val="001F6EB4"/>
    <w:rsid w:val="001F7036"/>
    <w:rsid w:val="001F7069"/>
    <w:rsid w:val="001F75C9"/>
    <w:rsid w:val="001F776A"/>
    <w:rsid w:val="001F7B5B"/>
    <w:rsid w:val="001F7D6F"/>
    <w:rsid w:val="001F7DF9"/>
    <w:rsid w:val="0020010C"/>
    <w:rsid w:val="0020026E"/>
    <w:rsid w:val="0020032A"/>
    <w:rsid w:val="00200400"/>
    <w:rsid w:val="0020073A"/>
    <w:rsid w:val="0020075F"/>
    <w:rsid w:val="00201327"/>
    <w:rsid w:val="00201849"/>
    <w:rsid w:val="00201A07"/>
    <w:rsid w:val="00201C12"/>
    <w:rsid w:val="00201E9A"/>
    <w:rsid w:val="00201FF7"/>
    <w:rsid w:val="002022D2"/>
    <w:rsid w:val="00202409"/>
    <w:rsid w:val="00202814"/>
    <w:rsid w:val="0020294A"/>
    <w:rsid w:val="002029F8"/>
    <w:rsid w:val="00202CFE"/>
    <w:rsid w:val="00202D48"/>
    <w:rsid w:val="00202DBB"/>
    <w:rsid w:val="00203034"/>
    <w:rsid w:val="00203343"/>
    <w:rsid w:val="0020392E"/>
    <w:rsid w:val="00203AFA"/>
    <w:rsid w:val="0020411B"/>
    <w:rsid w:val="002041B0"/>
    <w:rsid w:val="002042A3"/>
    <w:rsid w:val="002043DC"/>
    <w:rsid w:val="00204505"/>
    <w:rsid w:val="00204620"/>
    <w:rsid w:val="002049AC"/>
    <w:rsid w:val="00204A78"/>
    <w:rsid w:val="00204AC9"/>
    <w:rsid w:val="00204BEF"/>
    <w:rsid w:val="00204E15"/>
    <w:rsid w:val="00204F1F"/>
    <w:rsid w:val="0020504D"/>
    <w:rsid w:val="00205185"/>
    <w:rsid w:val="00205230"/>
    <w:rsid w:val="00205923"/>
    <w:rsid w:val="00205D97"/>
    <w:rsid w:val="00205E94"/>
    <w:rsid w:val="00205ED4"/>
    <w:rsid w:val="002063B8"/>
    <w:rsid w:val="002063C1"/>
    <w:rsid w:val="002065B7"/>
    <w:rsid w:val="002068E7"/>
    <w:rsid w:val="00206F71"/>
    <w:rsid w:val="00207454"/>
    <w:rsid w:val="0020747C"/>
    <w:rsid w:val="0020785C"/>
    <w:rsid w:val="00207AD3"/>
    <w:rsid w:val="00207BF8"/>
    <w:rsid w:val="00207D7E"/>
    <w:rsid w:val="00207FF2"/>
    <w:rsid w:val="00210116"/>
    <w:rsid w:val="00210298"/>
    <w:rsid w:val="00210A35"/>
    <w:rsid w:val="00210D55"/>
    <w:rsid w:val="00210EEE"/>
    <w:rsid w:val="00210FF3"/>
    <w:rsid w:val="002111A2"/>
    <w:rsid w:val="002113E7"/>
    <w:rsid w:val="0021159D"/>
    <w:rsid w:val="00211666"/>
    <w:rsid w:val="00211695"/>
    <w:rsid w:val="002119FC"/>
    <w:rsid w:val="00211A72"/>
    <w:rsid w:val="00211AA0"/>
    <w:rsid w:val="00211B55"/>
    <w:rsid w:val="0021200C"/>
    <w:rsid w:val="00212169"/>
    <w:rsid w:val="00212222"/>
    <w:rsid w:val="002124E4"/>
    <w:rsid w:val="002127B6"/>
    <w:rsid w:val="00212DF6"/>
    <w:rsid w:val="00212E9B"/>
    <w:rsid w:val="002131C6"/>
    <w:rsid w:val="002132A9"/>
    <w:rsid w:val="00213337"/>
    <w:rsid w:val="00213349"/>
    <w:rsid w:val="002138EC"/>
    <w:rsid w:val="00213BB5"/>
    <w:rsid w:val="00213D42"/>
    <w:rsid w:val="00213DB5"/>
    <w:rsid w:val="00213E5C"/>
    <w:rsid w:val="0021414E"/>
    <w:rsid w:val="00214232"/>
    <w:rsid w:val="00214309"/>
    <w:rsid w:val="00214331"/>
    <w:rsid w:val="0021468F"/>
    <w:rsid w:val="002147C5"/>
    <w:rsid w:val="002148EA"/>
    <w:rsid w:val="00214913"/>
    <w:rsid w:val="00214AD8"/>
    <w:rsid w:val="00214AF3"/>
    <w:rsid w:val="00214BCC"/>
    <w:rsid w:val="00215024"/>
    <w:rsid w:val="0021521A"/>
    <w:rsid w:val="00215530"/>
    <w:rsid w:val="00215875"/>
    <w:rsid w:val="00215901"/>
    <w:rsid w:val="00215AC9"/>
    <w:rsid w:val="00215B26"/>
    <w:rsid w:val="00215BC9"/>
    <w:rsid w:val="00215F01"/>
    <w:rsid w:val="00216077"/>
    <w:rsid w:val="00216082"/>
    <w:rsid w:val="002161C7"/>
    <w:rsid w:val="00216885"/>
    <w:rsid w:val="00216CB1"/>
    <w:rsid w:val="00216E7A"/>
    <w:rsid w:val="002178F1"/>
    <w:rsid w:val="00217F83"/>
    <w:rsid w:val="00220053"/>
    <w:rsid w:val="0022007E"/>
    <w:rsid w:val="002200CA"/>
    <w:rsid w:val="00220160"/>
    <w:rsid w:val="0022024C"/>
    <w:rsid w:val="002203A8"/>
    <w:rsid w:val="002208C6"/>
    <w:rsid w:val="00220FBB"/>
    <w:rsid w:val="00221182"/>
    <w:rsid w:val="002213D5"/>
    <w:rsid w:val="002215C8"/>
    <w:rsid w:val="0022161D"/>
    <w:rsid w:val="00221756"/>
    <w:rsid w:val="00221B43"/>
    <w:rsid w:val="00221DFF"/>
    <w:rsid w:val="0022232B"/>
    <w:rsid w:val="002223B4"/>
    <w:rsid w:val="00222545"/>
    <w:rsid w:val="00222764"/>
    <w:rsid w:val="002228D9"/>
    <w:rsid w:val="00222BBA"/>
    <w:rsid w:val="00222F8B"/>
    <w:rsid w:val="002230BF"/>
    <w:rsid w:val="00223120"/>
    <w:rsid w:val="002233EC"/>
    <w:rsid w:val="002235CE"/>
    <w:rsid w:val="0022374F"/>
    <w:rsid w:val="00223D84"/>
    <w:rsid w:val="00223DBD"/>
    <w:rsid w:val="00223E77"/>
    <w:rsid w:val="0022429A"/>
    <w:rsid w:val="00224421"/>
    <w:rsid w:val="00224698"/>
    <w:rsid w:val="002246C7"/>
    <w:rsid w:val="0022480B"/>
    <w:rsid w:val="00224BCE"/>
    <w:rsid w:val="00224CD1"/>
    <w:rsid w:val="00224D9A"/>
    <w:rsid w:val="00225447"/>
    <w:rsid w:val="002254DF"/>
    <w:rsid w:val="00225535"/>
    <w:rsid w:val="002255A7"/>
    <w:rsid w:val="002256F8"/>
    <w:rsid w:val="00225B55"/>
    <w:rsid w:val="00225B8C"/>
    <w:rsid w:val="00225CDB"/>
    <w:rsid w:val="00225D4A"/>
    <w:rsid w:val="00225DB3"/>
    <w:rsid w:val="0022604C"/>
    <w:rsid w:val="0022619D"/>
    <w:rsid w:val="00226547"/>
    <w:rsid w:val="00226803"/>
    <w:rsid w:val="00226AE6"/>
    <w:rsid w:val="00226C2C"/>
    <w:rsid w:val="00227153"/>
    <w:rsid w:val="002275E2"/>
    <w:rsid w:val="00227711"/>
    <w:rsid w:val="002279EB"/>
    <w:rsid w:val="00227C3F"/>
    <w:rsid w:val="00227DC1"/>
    <w:rsid w:val="002303A1"/>
    <w:rsid w:val="0023049E"/>
    <w:rsid w:val="00230B3E"/>
    <w:rsid w:val="00231210"/>
    <w:rsid w:val="00231214"/>
    <w:rsid w:val="002313CF"/>
    <w:rsid w:val="00231441"/>
    <w:rsid w:val="0023146F"/>
    <w:rsid w:val="002314E0"/>
    <w:rsid w:val="002315BA"/>
    <w:rsid w:val="002315E3"/>
    <w:rsid w:val="0023160E"/>
    <w:rsid w:val="0023196A"/>
    <w:rsid w:val="00231AE6"/>
    <w:rsid w:val="00231C70"/>
    <w:rsid w:val="00231EEF"/>
    <w:rsid w:val="002320E9"/>
    <w:rsid w:val="00232225"/>
    <w:rsid w:val="00232288"/>
    <w:rsid w:val="002327F2"/>
    <w:rsid w:val="00232AC4"/>
    <w:rsid w:val="00232FE2"/>
    <w:rsid w:val="0023334C"/>
    <w:rsid w:val="00233AC6"/>
    <w:rsid w:val="00233B13"/>
    <w:rsid w:val="00233C47"/>
    <w:rsid w:val="00233C76"/>
    <w:rsid w:val="00233DC7"/>
    <w:rsid w:val="00233EAB"/>
    <w:rsid w:val="00233FF9"/>
    <w:rsid w:val="00234334"/>
    <w:rsid w:val="0023447B"/>
    <w:rsid w:val="0023449E"/>
    <w:rsid w:val="002344A2"/>
    <w:rsid w:val="00234648"/>
    <w:rsid w:val="00234925"/>
    <w:rsid w:val="00234934"/>
    <w:rsid w:val="00234AD1"/>
    <w:rsid w:val="00234F07"/>
    <w:rsid w:val="00234FE0"/>
    <w:rsid w:val="00235084"/>
    <w:rsid w:val="002350E2"/>
    <w:rsid w:val="00235165"/>
    <w:rsid w:val="002351AC"/>
    <w:rsid w:val="002355FE"/>
    <w:rsid w:val="00235689"/>
    <w:rsid w:val="002356D6"/>
    <w:rsid w:val="00235727"/>
    <w:rsid w:val="00235754"/>
    <w:rsid w:val="00235D58"/>
    <w:rsid w:val="00235EF7"/>
    <w:rsid w:val="0023600A"/>
    <w:rsid w:val="002361D3"/>
    <w:rsid w:val="0023622E"/>
    <w:rsid w:val="0023651F"/>
    <w:rsid w:val="00236922"/>
    <w:rsid w:val="00236A86"/>
    <w:rsid w:val="00236E5A"/>
    <w:rsid w:val="00236F05"/>
    <w:rsid w:val="0023717C"/>
    <w:rsid w:val="00237181"/>
    <w:rsid w:val="002371AF"/>
    <w:rsid w:val="002376DF"/>
    <w:rsid w:val="002379BF"/>
    <w:rsid w:val="00237B0B"/>
    <w:rsid w:val="00237C4D"/>
    <w:rsid w:val="00237E79"/>
    <w:rsid w:val="00237EFF"/>
    <w:rsid w:val="00237F80"/>
    <w:rsid w:val="002407B3"/>
    <w:rsid w:val="00240C23"/>
    <w:rsid w:val="00240FCB"/>
    <w:rsid w:val="00241021"/>
    <w:rsid w:val="0024131E"/>
    <w:rsid w:val="00241421"/>
    <w:rsid w:val="002415C4"/>
    <w:rsid w:val="0024178C"/>
    <w:rsid w:val="002419DE"/>
    <w:rsid w:val="00241D7F"/>
    <w:rsid w:val="00241E5A"/>
    <w:rsid w:val="002424A8"/>
    <w:rsid w:val="002427FB"/>
    <w:rsid w:val="00242A2B"/>
    <w:rsid w:val="00242ADD"/>
    <w:rsid w:val="00242D10"/>
    <w:rsid w:val="00242D7F"/>
    <w:rsid w:val="00243069"/>
    <w:rsid w:val="002430AF"/>
    <w:rsid w:val="00243277"/>
    <w:rsid w:val="0024329A"/>
    <w:rsid w:val="00243422"/>
    <w:rsid w:val="002434EA"/>
    <w:rsid w:val="00243523"/>
    <w:rsid w:val="00243566"/>
    <w:rsid w:val="00243734"/>
    <w:rsid w:val="00243E05"/>
    <w:rsid w:val="00244208"/>
    <w:rsid w:val="00244317"/>
    <w:rsid w:val="00244341"/>
    <w:rsid w:val="00244441"/>
    <w:rsid w:val="002444DD"/>
    <w:rsid w:val="002444F2"/>
    <w:rsid w:val="002446A9"/>
    <w:rsid w:val="0024472A"/>
    <w:rsid w:val="00244B8B"/>
    <w:rsid w:val="00244F6E"/>
    <w:rsid w:val="002451A6"/>
    <w:rsid w:val="00245388"/>
    <w:rsid w:val="0024563D"/>
    <w:rsid w:val="002456C2"/>
    <w:rsid w:val="00245792"/>
    <w:rsid w:val="002458E6"/>
    <w:rsid w:val="00245BA6"/>
    <w:rsid w:val="00245BB8"/>
    <w:rsid w:val="00245CB0"/>
    <w:rsid w:val="00245CB2"/>
    <w:rsid w:val="0024607F"/>
    <w:rsid w:val="002461C6"/>
    <w:rsid w:val="002461DB"/>
    <w:rsid w:val="00246284"/>
    <w:rsid w:val="0024629D"/>
    <w:rsid w:val="0024637C"/>
    <w:rsid w:val="00246814"/>
    <w:rsid w:val="0024682C"/>
    <w:rsid w:val="00246A5C"/>
    <w:rsid w:val="00246D27"/>
    <w:rsid w:val="00246DCC"/>
    <w:rsid w:val="00247029"/>
    <w:rsid w:val="0024729D"/>
    <w:rsid w:val="0024738A"/>
    <w:rsid w:val="0024747F"/>
    <w:rsid w:val="002474D0"/>
    <w:rsid w:val="00247779"/>
    <w:rsid w:val="002478E3"/>
    <w:rsid w:val="00247A54"/>
    <w:rsid w:val="00247C85"/>
    <w:rsid w:val="00247CED"/>
    <w:rsid w:val="0025028B"/>
    <w:rsid w:val="0025035F"/>
    <w:rsid w:val="0025038C"/>
    <w:rsid w:val="00250405"/>
    <w:rsid w:val="00250487"/>
    <w:rsid w:val="002507C8"/>
    <w:rsid w:val="002508CD"/>
    <w:rsid w:val="0025097C"/>
    <w:rsid w:val="00250CA5"/>
    <w:rsid w:val="00250CCF"/>
    <w:rsid w:val="00250FAD"/>
    <w:rsid w:val="0025176E"/>
    <w:rsid w:val="002517D5"/>
    <w:rsid w:val="0025196D"/>
    <w:rsid w:val="002519A5"/>
    <w:rsid w:val="00251D5E"/>
    <w:rsid w:val="00251F42"/>
    <w:rsid w:val="002529DC"/>
    <w:rsid w:val="00252A5A"/>
    <w:rsid w:val="00252A70"/>
    <w:rsid w:val="00252D38"/>
    <w:rsid w:val="00252D93"/>
    <w:rsid w:val="00252E3D"/>
    <w:rsid w:val="00252E55"/>
    <w:rsid w:val="00252F9E"/>
    <w:rsid w:val="00253143"/>
    <w:rsid w:val="002531EA"/>
    <w:rsid w:val="00253327"/>
    <w:rsid w:val="00253459"/>
    <w:rsid w:val="002534FD"/>
    <w:rsid w:val="00253523"/>
    <w:rsid w:val="0025373F"/>
    <w:rsid w:val="00253880"/>
    <w:rsid w:val="002539B9"/>
    <w:rsid w:val="00253B5A"/>
    <w:rsid w:val="00253EFF"/>
    <w:rsid w:val="00253F1B"/>
    <w:rsid w:val="002540C8"/>
    <w:rsid w:val="0025412A"/>
    <w:rsid w:val="0025421F"/>
    <w:rsid w:val="00254472"/>
    <w:rsid w:val="002545CB"/>
    <w:rsid w:val="00254617"/>
    <w:rsid w:val="00254747"/>
    <w:rsid w:val="002547D2"/>
    <w:rsid w:val="002548BE"/>
    <w:rsid w:val="0025498D"/>
    <w:rsid w:val="00254BDE"/>
    <w:rsid w:val="00254E20"/>
    <w:rsid w:val="00254F2E"/>
    <w:rsid w:val="002550A7"/>
    <w:rsid w:val="00255196"/>
    <w:rsid w:val="002557FA"/>
    <w:rsid w:val="00255BA0"/>
    <w:rsid w:val="0025613E"/>
    <w:rsid w:val="002563C2"/>
    <w:rsid w:val="00256436"/>
    <w:rsid w:val="002565BD"/>
    <w:rsid w:val="0025670F"/>
    <w:rsid w:val="00256803"/>
    <w:rsid w:val="00256A7C"/>
    <w:rsid w:val="00256AC9"/>
    <w:rsid w:val="00256B5A"/>
    <w:rsid w:val="00256C7C"/>
    <w:rsid w:val="0025709D"/>
    <w:rsid w:val="002573D1"/>
    <w:rsid w:val="002573FA"/>
    <w:rsid w:val="00257470"/>
    <w:rsid w:val="00257559"/>
    <w:rsid w:val="00257592"/>
    <w:rsid w:val="002575C5"/>
    <w:rsid w:val="0025783A"/>
    <w:rsid w:val="00257967"/>
    <w:rsid w:val="00257C29"/>
    <w:rsid w:val="00257D6A"/>
    <w:rsid w:val="00257EF5"/>
    <w:rsid w:val="00257FDE"/>
    <w:rsid w:val="00260015"/>
    <w:rsid w:val="002600A7"/>
    <w:rsid w:val="0026021A"/>
    <w:rsid w:val="0026029D"/>
    <w:rsid w:val="00260321"/>
    <w:rsid w:val="0026039F"/>
    <w:rsid w:val="0026042A"/>
    <w:rsid w:val="002604EF"/>
    <w:rsid w:val="002606E1"/>
    <w:rsid w:val="002608A1"/>
    <w:rsid w:val="00260A2A"/>
    <w:rsid w:val="00260A55"/>
    <w:rsid w:val="00260A6C"/>
    <w:rsid w:val="00260E06"/>
    <w:rsid w:val="00260E53"/>
    <w:rsid w:val="00260EB4"/>
    <w:rsid w:val="00261145"/>
    <w:rsid w:val="002612F6"/>
    <w:rsid w:val="0026142F"/>
    <w:rsid w:val="0026155B"/>
    <w:rsid w:val="002616D1"/>
    <w:rsid w:val="002617B1"/>
    <w:rsid w:val="002617FA"/>
    <w:rsid w:val="00261900"/>
    <w:rsid w:val="00261A01"/>
    <w:rsid w:val="00261C98"/>
    <w:rsid w:val="00261F26"/>
    <w:rsid w:val="00262352"/>
    <w:rsid w:val="0026242B"/>
    <w:rsid w:val="00262624"/>
    <w:rsid w:val="00262672"/>
    <w:rsid w:val="002627E0"/>
    <w:rsid w:val="002629AD"/>
    <w:rsid w:val="00262DF4"/>
    <w:rsid w:val="00262FBD"/>
    <w:rsid w:val="002630D4"/>
    <w:rsid w:val="002632F1"/>
    <w:rsid w:val="002633F1"/>
    <w:rsid w:val="00263837"/>
    <w:rsid w:val="00263851"/>
    <w:rsid w:val="00263967"/>
    <w:rsid w:val="00263B24"/>
    <w:rsid w:val="00263C82"/>
    <w:rsid w:val="00263F83"/>
    <w:rsid w:val="0026400E"/>
    <w:rsid w:val="00264217"/>
    <w:rsid w:val="00264490"/>
    <w:rsid w:val="002645CA"/>
    <w:rsid w:val="0026461D"/>
    <w:rsid w:val="002648FD"/>
    <w:rsid w:val="002649D0"/>
    <w:rsid w:val="00264D05"/>
    <w:rsid w:val="00264E17"/>
    <w:rsid w:val="00264F9E"/>
    <w:rsid w:val="00265159"/>
    <w:rsid w:val="00265215"/>
    <w:rsid w:val="002657B9"/>
    <w:rsid w:val="00265C3F"/>
    <w:rsid w:val="00265E30"/>
    <w:rsid w:val="00265E5F"/>
    <w:rsid w:val="00265F1E"/>
    <w:rsid w:val="00265F91"/>
    <w:rsid w:val="00266344"/>
    <w:rsid w:val="002666F9"/>
    <w:rsid w:val="002668C0"/>
    <w:rsid w:val="00266A8B"/>
    <w:rsid w:val="00266B60"/>
    <w:rsid w:val="00266B82"/>
    <w:rsid w:val="00266D58"/>
    <w:rsid w:val="00266D71"/>
    <w:rsid w:val="00266D7F"/>
    <w:rsid w:val="00267074"/>
    <w:rsid w:val="0026720F"/>
    <w:rsid w:val="00267540"/>
    <w:rsid w:val="002675B6"/>
    <w:rsid w:val="002675EB"/>
    <w:rsid w:val="002679AD"/>
    <w:rsid w:val="002679D1"/>
    <w:rsid w:val="00267AA3"/>
    <w:rsid w:val="00267C8E"/>
    <w:rsid w:val="00267CF6"/>
    <w:rsid w:val="0027014C"/>
    <w:rsid w:val="0027027C"/>
    <w:rsid w:val="0027037E"/>
    <w:rsid w:val="00270672"/>
    <w:rsid w:val="00270715"/>
    <w:rsid w:val="00270B89"/>
    <w:rsid w:val="00270CDC"/>
    <w:rsid w:val="0027107E"/>
    <w:rsid w:val="00271363"/>
    <w:rsid w:val="00271CD1"/>
    <w:rsid w:val="00271D72"/>
    <w:rsid w:val="00271D7F"/>
    <w:rsid w:val="00271D83"/>
    <w:rsid w:val="00271E6E"/>
    <w:rsid w:val="00272054"/>
    <w:rsid w:val="002720AE"/>
    <w:rsid w:val="00272490"/>
    <w:rsid w:val="0027250F"/>
    <w:rsid w:val="002725BF"/>
    <w:rsid w:val="0027264F"/>
    <w:rsid w:val="00272654"/>
    <w:rsid w:val="00272671"/>
    <w:rsid w:val="002726E9"/>
    <w:rsid w:val="002727C7"/>
    <w:rsid w:val="00272862"/>
    <w:rsid w:val="002728F4"/>
    <w:rsid w:val="00272BAE"/>
    <w:rsid w:val="00272E7B"/>
    <w:rsid w:val="00273250"/>
    <w:rsid w:val="0027397A"/>
    <w:rsid w:val="00273C92"/>
    <w:rsid w:val="00273DC5"/>
    <w:rsid w:val="00273DE8"/>
    <w:rsid w:val="00273EC9"/>
    <w:rsid w:val="00273ED5"/>
    <w:rsid w:val="00273FE4"/>
    <w:rsid w:val="0027405B"/>
    <w:rsid w:val="00274253"/>
    <w:rsid w:val="002742AE"/>
    <w:rsid w:val="002742F7"/>
    <w:rsid w:val="002743D7"/>
    <w:rsid w:val="002745F4"/>
    <w:rsid w:val="00274C5E"/>
    <w:rsid w:val="00274D9A"/>
    <w:rsid w:val="00275054"/>
    <w:rsid w:val="002753B8"/>
    <w:rsid w:val="0027581B"/>
    <w:rsid w:val="00275827"/>
    <w:rsid w:val="002759F7"/>
    <w:rsid w:val="00276065"/>
    <w:rsid w:val="0027608B"/>
    <w:rsid w:val="002760BF"/>
    <w:rsid w:val="0027629B"/>
    <w:rsid w:val="002765CC"/>
    <w:rsid w:val="0027666C"/>
    <w:rsid w:val="00276A1D"/>
    <w:rsid w:val="00276A48"/>
    <w:rsid w:val="00276B52"/>
    <w:rsid w:val="00276DD4"/>
    <w:rsid w:val="00277391"/>
    <w:rsid w:val="002773DD"/>
    <w:rsid w:val="002773FB"/>
    <w:rsid w:val="00277444"/>
    <w:rsid w:val="002774CE"/>
    <w:rsid w:val="002774EC"/>
    <w:rsid w:val="0027766A"/>
    <w:rsid w:val="00277758"/>
    <w:rsid w:val="002777EC"/>
    <w:rsid w:val="00277E6C"/>
    <w:rsid w:val="00280070"/>
    <w:rsid w:val="0028046C"/>
    <w:rsid w:val="002805C8"/>
    <w:rsid w:val="002809AC"/>
    <w:rsid w:val="00280BFE"/>
    <w:rsid w:val="00280DCA"/>
    <w:rsid w:val="00280DE2"/>
    <w:rsid w:val="0028110E"/>
    <w:rsid w:val="00281151"/>
    <w:rsid w:val="002811A9"/>
    <w:rsid w:val="0028131E"/>
    <w:rsid w:val="002815D6"/>
    <w:rsid w:val="0028171D"/>
    <w:rsid w:val="00281966"/>
    <w:rsid w:val="00281B25"/>
    <w:rsid w:val="00281B48"/>
    <w:rsid w:val="00281FC9"/>
    <w:rsid w:val="00281FCD"/>
    <w:rsid w:val="002820B6"/>
    <w:rsid w:val="00282146"/>
    <w:rsid w:val="0028216A"/>
    <w:rsid w:val="00282270"/>
    <w:rsid w:val="00282278"/>
    <w:rsid w:val="00282488"/>
    <w:rsid w:val="0028268B"/>
    <w:rsid w:val="002828B3"/>
    <w:rsid w:val="00282B13"/>
    <w:rsid w:val="00282B22"/>
    <w:rsid w:val="00282B44"/>
    <w:rsid w:val="00282BEF"/>
    <w:rsid w:val="00282E5A"/>
    <w:rsid w:val="00282EB5"/>
    <w:rsid w:val="0028311D"/>
    <w:rsid w:val="00283448"/>
    <w:rsid w:val="002834E4"/>
    <w:rsid w:val="002836DB"/>
    <w:rsid w:val="0028372D"/>
    <w:rsid w:val="002838CA"/>
    <w:rsid w:val="00283A3D"/>
    <w:rsid w:val="00283E5E"/>
    <w:rsid w:val="00283EEA"/>
    <w:rsid w:val="00283FA4"/>
    <w:rsid w:val="0028440C"/>
    <w:rsid w:val="002844A9"/>
    <w:rsid w:val="0028473D"/>
    <w:rsid w:val="00284838"/>
    <w:rsid w:val="00284840"/>
    <w:rsid w:val="00284BC6"/>
    <w:rsid w:val="00284CAF"/>
    <w:rsid w:val="00284CFD"/>
    <w:rsid w:val="00285088"/>
    <w:rsid w:val="00285503"/>
    <w:rsid w:val="00285681"/>
    <w:rsid w:val="00285910"/>
    <w:rsid w:val="00285B0C"/>
    <w:rsid w:val="00285B16"/>
    <w:rsid w:val="00285BEE"/>
    <w:rsid w:val="0028614E"/>
    <w:rsid w:val="0028637F"/>
    <w:rsid w:val="0028658C"/>
    <w:rsid w:val="002866F9"/>
    <w:rsid w:val="00286BE6"/>
    <w:rsid w:val="00286DEC"/>
    <w:rsid w:val="00286E30"/>
    <w:rsid w:val="00286EFA"/>
    <w:rsid w:val="00287405"/>
    <w:rsid w:val="00287603"/>
    <w:rsid w:val="00287757"/>
    <w:rsid w:val="002878F8"/>
    <w:rsid w:val="002879E7"/>
    <w:rsid w:val="00287A23"/>
    <w:rsid w:val="00287DBA"/>
    <w:rsid w:val="00287E00"/>
    <w:rsid w:val="00287E16"/>
    <w:rsid w:val="00287F42"/>
    <w:rsid w:val="00287FAB"/>
    <w:rsid w:val="00290155"/>
    <w:rsid w:val="002901EB"/>
    <w:rsid w:val="00290454"/>
    <w:rsid w:val="002904A4"/>
    <w:rsid w:val="002904F1"/>
    <w:rsid w:val="00290553"/>
    <w:rsid w:val="0029057A"/>
    <w:rsid w:val="0029062C"/>
    <w:rsid w:val="00290662"/>
    <w:rsid w:val="00290677"/>
    <w:rsid w:val="0029076F"/>
    <w:rsid w:val="0029077E"/>
    <w:rsid w:val="0029083A"/>
    <w:rsid w:val="002909E0"/>
    <w:rsid w:val="002909ED"/>
    <w:rsid w:val="00290B6A"/>
    <w:rsid w:val="00290B6E"/>
    <w:rsid w:val="00290EAE"/>
    <w:rsid w:val="00291009"/>
    <w:rsid w:val="002910CE"/>
    <w:rsid w:val="00291580"/>
    <w:rsid w:val="002915DC"/>
    <w:rsid w:val="002915E1"/>
    <w:rsid w:val="002918E8"/>
    <w:rsid w:val="00291BB0"/>
    <w:rsid w:val="00291E7D"/>
    <w:rsid w:val="002924B6"/>
    <w:rsid w:val="002925B3"/>
    <w:rsid w:val="002925E5"/>
    <w:rsid w:val="00292654"/>
    <w:rsid w:val="00292A11"/>
    <w:rsid w:val="00292B5D"/>
    <w:rsid w:val="00292B79"/>
    <w:rsid w:val="00292CFE"/>
    <w:rsid w:val="002932AF"/>
    <w:rsid w:val="002932C6"/>
    <w:rsid w:val="00293307"/>
    <w:rsid w:val="0029344E"/>
    <w:rsid w:val="002934EE"/>
    <w:rsid w:val="00293580"/>
    <w:rsid w:val="002935B4"/>
    <w:rsid w:val="0029377C"/>
    <w:rsid w:val="00293828"/>
    <w:rsid w:val="0029387D"/>
    <w:rsid w:val="00293B92"/>
    <w:rsid w:val="00293B9A"/>
    <w:rsid w:val="00294556"/>
    <w:rsid w:val="0029455D"/>
    <w:rsid w:val="002947BA"/>
    <w:rsid w:val="00294D47"/>
    <w:rsid w:val="00294D72"/>
    <w:rsid w:val="00294D7A"/>
    <w:rsid w:val="00294EAD"/>
    <w:rsid w:val="0029513B"/>
    <w:rsid w:val="00295307"/>
    <w:rsid w:val="0029533F"/>
    <w:rsid w:val="00295377"/>
    <w:rsid w:val="0029559E"/>
    <w:rsid w:val="00295645"/>
    <w:rsid w:val="00295743"/>
    <w:rsid w:val="0029576E"/>
    <w:rsid w:val="00295A2B"/>
    <w:rsid w:val="00295C0B"/>
    <w:rsid w:val="00295CD4"/>
    <w:rsid w:val="00295D61"/>
    <w:rsid w:val="00295E02"/>
    <w:rsid w:val="00295ED2"/>
    <w:rsid w:val="002960EE"/>
    <w:rsid w:val="00296789"/>
    <w:rsid w:val="002968D5"/>
    <w:rsid w:val="00296A72"/>
    <w:rsid w:val="00296CB1"/>
    <w:rsid w:val="00296E89"/>
    <w:rsid w:val="00296F42"/>
    <w:rsid w:val="00296F77"/>
    <w:rsid w:val="0029740A"/>
    <w:rsid w:val="00297576"/>
    <w:rsid w:val="002976BB"/>
    <w:rsid w:val="002977E7"/>
    <w:rsid w:val="0029790D"/>
    <w:rsid w:val="00297921"/>
    <w:rsid w:val="002979C4"/>
    <w:rsid w:val="002979D2"/>
    <w:rsid w:val="002979ED"/>
    <w:rsid w:val="00297EF8"/>
    <w:rsid w:val="0029AD43"/>
    <w:rsid w:val="002A0253"/>
    <w:rsid w:val="002A0AFA"/>
    <w:rsid w:val="002A0B60"/>
    <w:rsid w:val="002A0B6C"/>
    <w:rsid w:val="002A0CB4"/>
    <w:rsid w:val="002A0D28"/>
    <w:rsid w:val="002A0E90"/>
    <w:rsid w:val="002A0FDE"/>
    <w:rsid w:val="002A1321"/>
    <w:rsid w:val="002A143E"/>
    <w:rsid w:val="002A1511"/>
    <w:rsid w:val="002A1580"/>
    <w:rsid w:val="002A160B"/>
    <w:rsid w:val="002A170E"/>
    <w:rsid w:val="002A1C92"/>
    <w:rsid w:val="002A1DF0"/>
    <w:rsid w:val="002A2090"/>
    <w:rsid w:val="002A2151"/>
    <w:rsid w:val="002A2231"/>
    <w:rsid w:val="002A248A"/>
    <w:rsid w:val="002A249F"/>
    <w:rsid w:val="002A24E2"/>
    <w:rsid w:val="002A26C8"/>
    <w:rsid w:val="002A27C1"/>
    <w:rsid w:val="002A29E1"/>
    <w:rsid w:val="002A2D6C"/>
    <w:rsid w:val="002A2DD4"/>
    <w:rsid w:val="002A343F"/>
    <w:rsid w:val="002A363D"/>
    <w:rsid w:val="002A3698"/>
    <w:rsid w:val="002A369B"/>
    <w:rsid w:val="002A373D"/>
    <w:rsid w:val="002A38D1"/>
    <w:rsid w:val="002A3925"/>
    <w:rsid w:val="002A3C74"/>
    <w:rsid w:val="002A3D0B"/>
    <w:rsid w:val="002A3D23"/>
    <w:rsid w:val="002A423C"/>
    <w:rsid w:val="002A4342"/>
    <w:rsid w:val="002A4825"/>
    <w:rsid w:val="002A486F"/>
    <w:rsid w:val="002A4A9B"/>
    <w:rsid w:val="002A4AC4"/>
    <w:rsid w:val="002A4FA5"/>
    <w:rsid w:val="002A500E"/>
    <w:rsid w:val="002A5097"/>
    <w:rsid w:val="002A50FB"/>
    <w:rsid w:val="002A52A6"/>
    <w:rsid w:val="002A52F7"/>
    <w:rsid w:val="002A53F5"/>
    <w:rsid w:val="002A5466"/>
    <w:rsid w:val="002A551E"/>
    <w:rsid w:val="002A5629"/>
    <w:rsid w:val="002A5638"/>
    <w:rsid w:val="002A5923"/>
    <w:rsid w:val="002A5E48"/>
    <w:rsid w:val="002A5FB7"/>
    <w:rsid w:val="002A6049"/>
    <w:rsid w:val="002A616B"/>
    <w:rsid w:val="002A617C"/>
    <w:rsid w:val="002A6258"/>
    <w:rsid w:val="002A62D3"/>
    <w:rsid w:val="002A6431"/>
    <w:rsid w:val="002A6774"/>
    <w:rsid w:val="002A67D2"/>
    <w:rsid w:val="002A689C"/>
    <w:rsid w:val="002A6B54"/>
    <w:rsid w:val="002A6DC7"/>
    <w:rsid w:val="002A7018"/>
    <w:rsid w:val="002A7187"/>
    <w:rsid w:val="002A720D"/>
    <w:rsid w:val="002A78CC"/>
    <w:rsid w:val="002A7B0B"/>
    <w:rsid w:val="002A7B0F"/>
    <w:rsid w:val="002A7D97"/>
    <w:rsid w:val="002A7EEE"/>
    <w:rsid w:val="002A7FB7"/>
    <w:rsid w:val="002B0070"/>
    <w:rsid w:val="002B015C"/>
    <w:rsid w:val="002B01A2"/>
    <w:rsid w:val="002B0232"/>
    <w:rsid w:val="002B03F8"/>
    <w:rsid w:val="002B05FA"/>
    <w:rsid w:val="002B070C"/>
    <w:rsid w:val="002B0C7A"/>
    <w:rsid w:val="002B105F"/>
    <w:rsid w:val="002B1473"/>
    <w:rsid w:val="002B1534"/>
    <w:rsid w:val="002B168E"/>
    <w:rsid w:val="002B1892"/>
    <w:rsid w:val="002B2346"/>
    <w:rsid w:val="002B23F0"/>
    <w:rsid w:val="002B2757"/>
    <w:rsid w:val="002B29F2"/>
    <w:rsid w:val="002B2D13"/>
    <w:rsid w:val="002B30AF"/>
    <w:rsid w:val="002B3224"/>
    <w:rsid w:val="002B33EB"/>
    <w:rsid w:val="002B34ED"/>
    <w:rsid w:val="002B356C"/>
    <w:rsid w:val="002B37D9"/>
    <w:rsid w:val="002B385A"/>
    <w:rsid w:val="002B3996"/>
    <w:rsid w:val="002B3E56"/>
    <w:rsid w:val="002B3FCC"/>
    <w:rsid w:val="002B4085"/>
    <w:rsid w:val="002B411C"/>
    <w:rsid w:val="002B41A7"/>
    <w:rsid w:val="002B455D"/>
    <w:rsid w:val="002B47E0"/>
    <w:rsid w:val="002B4889"/>
    <w:rsid w:val="002B4931"/>
    <w:rsid w:val="002B4967"/>
    <w:rsid w:val="002B4A9F"/>
    <w:rsid w:val="002B4BF0"/>
    <w:rsid w:val="002B4C46"/>
    <w:rsid w:val="002B4F54"/>
    <w:rsid w:val="002B5464"/>
    <w:rsid w:val="002B593D"/>
    <w:rsid w:val="002B59F2"/>
    <w:rsid w:val="002B5EA0"/>
    <w:rsid w:val="002B5FF0"/>
    <w:rsid w:val="002B611F"/>
    <w:rsid w:val="002B6246"/>
    <w:rsid w:val="002B6523"/>
    <w:rsid w:val="002B66F5"/>
    <w:rsid w:val="002B6A5D"/>
    <w:rsid w:val="002B6A9C"/>
    <w:rsid w:val="002B6CA9"/>
    <w:rsid w:val="002B6D78"/>
    <w:rsid w:val="002B6F2B"/>
    <w:rsid w:val="002B702A"/>
    <w:rsid w:val="002B708F"/>
    <w:rsid w:val="002B70AB"/>
    <w:rsid w:val="002B7173"/>
    <w:rsid w:val="002B7249"/>
    <w:rsid w:val="002B7905"/>
    <w:rsid w:val="002B7AF8"/>
    <w:rsid w:val="002B7C72"/>
    <w:rsid w:val="002C01CE"/>
    <w:rsid w:val="002C0375"/>
    <w:rsid w:val="002C0383"/>
    <w:rsid w:val="002C0441"/>
    <w:rsid w:val="002C047F"/>
    <w:rsid w:val="002C0598"/>
    <w:rsid w:val="002C059D"/>
    <w:rsid w:val="002C07FD"/>
    <w:rsid w:val="002C0A92"/>
    <w:rsid w:val="002C0C55"/>
    <w:rsid w:val="002C10CA"/>
    <w:rsid w:val="002C11E7"/>
    <w:rsid w:val="002C120F"/>
    <w:rsid w:val="002C1236"/>
    <w:rsid w:val="002C146E"/>
    <w:rsid w:val="002C14B5"/>
    <w:rsid w:val="002C1677"/>
    <w:rsid w:val="002C17FB"/>
    <w:rsid w:val="002C1804"/>
    <w:rsid w:val="002C1B62"/>
    <w:rsid w:val="002C2067"/>
    <w:rsid w:val="002C20BB"/>
    <w:rsid w:val="002C22DA"/>
    <w:rsid w:val="002C285F"/>
    <w:rsid w:val="002C2883"/>
    <w:rsid w:val="002C2891"/>
    <w:rsid w:val="002C2A20"/>
    <w:rsid w:val="002C2D85"/>
    <w:rsid w:val="002C2EE7"/>
    <w:rsid w:val="002C30A1"/>
    <w:rsid w:val="002C30CF"/>
    <w:rsid w:val="002C3218"/>
    <w:rsid w:val="002C322E"/>
    <w:rsid w:val="002C35E3"/>
    <w:rsid w:val="002C3781"/>
    <w:rsid w:val="002C3952"/>
    <w:rsid w:val="002C3A0F"/>
    <w:rsid w:val="002C3A57"/>
    <w:rsid w:val="002C3CA5"/>
    <w:rsid w:val="002C3F11"/>
    <w:rsid w:val="002C3F1D"/>
    <w:rsid w:val="002C3FC2"/>
    <w:rsid w:val="002C402A"/>
    <w:rsid w:val="002C414E"/>
    <w:rsid w:val="002C4276"/>
    <w:rsid w:val="002C4508"/>
    <w:rsid w:val="002C46F8"/>
    <w:rsid w:val="002C4717"/>
    <w:rsid w:val="002C49C5"/>
    <w:rsid w:val="002C4ADC"/>
    <w:rsid w:val="002C4C67"/>
    <w:rsid w:val="002C4D2B"/>
    <w:rsid w:val="002C51C8"/>
    <w:rsid w:val="002C525A"/>
    <w:rsid w:val="002C55DE"/>
    <w:rsid w:val="002C568E"/>
    <w:rsid w:val="002C57F4"/>
    <w:rsid w:val="002C585D"/>
    <w:rsid w:val="002C58CC"/>
    <w:rsid w:val="002C5BC8"/>
    <w:rsid w:val="002C5D07"/>
    <w:rsid w:val="002C6256"/>
    <w:rsid w:val="002C6262"/>
    <w:rsid w:val="002C627F"/>
    <w:rsid w:val="002C6454"/>
    <w:rsid w:val="002C6988"/>
    <w:rsid w:val="002C705E"/>
    <w:rsid w:val="002C70CB"/>
    <w:rsid w:val="002C768E"/>
    <w:rsid w:val="002C777D"/>
    <w:rsid w:val="002C7916"/>
    <w:rsid w:val="002C7CC6"/>
    <w:rsid w:val="002D0226"/>
    <w:rsid w:val="002D03C6"/>
    <w:rsid w:val="002D0480"/>
    <w:rsid w:val="002D055B"/>
    <w:rsid w:val="002D0771"/>
    <w:rsid w:val="002D098B"/>
    <w:rsid w:val="002D0AE6"/>
    <w:rsid w:val="002D0ECA"/>
    <w:rsid w:val="002D0ED2"/>
    <w:rsid w:val="002D0FE5"/>
    <w:rsid w:val="002D1037"/>
    <w:rsid w:val="002D109C"/>
    <w:rsid w:val="002D15C8"/>
    <w:rsid w:val="002D17EC"/>
    <w:rsid w:val="002D1982"/>
    <w:rsid w:val="002D1E02"/>
    <w:rsid w:val="002D1E4B"/>
    <w:rsid w:val="002D210B"/>
    <w:rsid w:val="002D2660"/>
    <w:rsid w:val="002D267A"/>
    <w:rsid w:val="002D2686"/>
    <w:rsid w:val="002D299A"/>
    <w:rsid w:val="002D2D9E"/>
    <w:rsid w:val="002D318C"/>
    <w:rsid w:val="002D31AC"/>
    <w:rsid w:val="002D326F"/>
    <w:rsid w:val="002D35AE"/>
    <w:rsid w:val="002D3667"/>
    <w:rsid w:val="002D3893"/>
    <w:rsid w:val="002D3A06"/>
    <w:rsid w:val="002D3AB0"/>
    <w:rsid w:val="002D3BB3"/>
    <w:rsid w:val="002D3E10"/>
    <w:rsid w:val="002D409D"/>
    <w:rsid w:val="002D4368"/>
    <w:rsid w:val="002D46FC"/>
    <w:rsid w:val="002D49A5"/>
    <w:rsid w:val="002D49B5"/>
    <w:rsid w:val="002D51A0"/>
    <w:rsid w:val="002D5219"/>
    <w:rsid w:val="002D53AF"/>
    <w:rsid w:val="002D53DB"/>
    <w:rsid w:val="002D54E2"/>
    <w:rsid w:val="002D5556"/>
    <w:rsid w:val="002D55F6"/>
    <w:rsid w:val="002D575F"/>
    <w:rsid w:val="002D5857"/>
    <w:rsid w:val="002D58E6"/>
    <w:rsid w:val="002D5D72"/>
    <w:rsid w:val="002D5E93"/>
    <w:rsid w:val="002D5F7D"/>
    <w:rsid w:val="002D60F7"/>
    <w:rsid w:val="002D64E5"/>
    <w:rsid w:val="002D65CA"/>
    <w:rsid w:val="002D6ED8"/>
    <w:rsid w:val="002D6F5A"/>
    <w:rsid w:val="002D7270"/>
    <w:rsid w:val="002D756F"/>
    <w:rsid w:val="002D764E"/>
    <w:rsid w:val="002D771B"/>
    <w:rsid w:val="002D77A8"/>
    <w:rsid w:val="002D7889"/>
    <w:rsid w:val="002D78BA"/>
    <w:rsid w:val="002D7955"/>
    <w:rsid w:val="002D7A84"/>
    <w:rsid w:val="002D7D1F"/>
    <w:rsid w:val="002D7DFB"/>
    <w:rsid w:val="002D7F3D"/>
    <w:rsid w:val="002DA45D"/>
    <w:rsid w:val="002E0096"/>
    <w:rsid w:val="002E04F6"/>
    <w:rsid w:val="002E0539"/>
    <w:rsid w:val="002E0C22"/>
    <w:rsid w:val="002E0C7C"/>
    <w:rsid w:val="002E0EE8"/>
    <w:rsid w:val="002E10EE"/>
    <w:rsid w:val="002E1115"/>
    <w:rsid w:val="002E119D"/>
    <w:rsid w:val="002E1274"/>
    <w:rsid w:val="002E12FF"/>
    <w:rsid w:val="002E156A"/>
    <w:rsid w:val="002E1BB8"/>
    <w:rsid w:val="002E1EDD"/>
    <w:rsid w:val="002E1FA2"/>
    <w:rsid w:val="002E20B2"/>
    <w:rsid w:val="002E2123"/>
    <w:rsid w:val="002E22BB"/>
    <w:rsid w:val="002E2453"/>
    <w:rsid w:val="002E258D"/>
    <w:rsid w:val="002E27B2"/>
    <w:rsid w:val="002E291D"/>
    <w:rsid w:val="002E2E3F"/>
    <w:rsid w:val="002E2E8D"/>
    <w:rsid w:val="002E2FF2"/>
    <w:rsid w:val="002E315E"/>
    <w:rsid w:val="002E34A8"/>
    <w:rsid w:val="002E3863"/>
    <w:rsid w:val="002E38AC"/>
    <w:rsid w:val="002E39FB"/>
    <w:rsid w:val="002E3A23"/>
    <w:rsid w:val="002E3A63"/>
    <w:rsid w:val="002E3C64"/>
    <w:rsid w:val="002E3FBC"/>
    <w:rsid w:val="002E40F0"/>
    <w:rsid w:val="002E41A2"/>
    <w:rsid w:val="002E42CC"/>
    <w:rsid w:val="002E42D4"/>
    <w:rsid w:val="002E47C6"/>
    <w:rsid w:val="002E4846"/>
    <w:rsid w:val="002E4BD5"/>
    <w:rsid w:val="002E4BFA"/>
    <w:rsid w:val="002E4C3B"/>
    <w:rsid w:val="002E4DB1"/>
    <w:rsid w:val="002E4EE2"/>
    <w:rsid w:val="002E5246"/>
    <w:rsid w:val="002E53CD"/>
    <w:rsid w:val="002E53CF"/>
    <w:rsid w:val="002E5441"/>
    <w:rsid w:val="002E56E3"/>
    <w:rsid w:val="002E58E9"/>
    <w:rsid w:val="002E5AB8"/>
    <w:rsid w:val="002E5C0C"/>
    <w:rsid w:val="002E5CA4"/>
    <w:rsid w:val="002E5CED"/>
    <w:rsid w:val="002E5DEA"/>
    <w:rsid w:val="002E62DF"/>
    <w:rsid w:val="002E62E2"/>
    <w:rsid w:val="002E64A1"/>
    <w:rsid w:val="002E65B2"/>
    <w:rsid w:val="002E6629"/>
    <w:rsid w:val="002E6639"/>
    <w:rsid w:val="002E663B"/>
    <w:rsid w:val="002E6925"/>
    <w:rsid w:val="002E6929"/>
    <w:rsid w:val="002E69DA"/>
    <w:rsid w:val="002E6E47"/>
    <w:rsid w:val="002E7140"/>
    <w:rsid w:val="002E72D6"/>
    <w:rsid w:val="002E749D"/>
    <w:rsid w:val="002E767B"/>
    <w:rsid w:val="002E7916"/>
    <w:rsid w:val="002E7C63"/>
    <w:rsid w:val="002E7D56"/>
    <w:rsid w:val="002F0053"/>
    <w:rsid w:val="002F017D"/>
    <w:rsid w:val="002F0279"/>
    <w:rsid w:val="002F0533"/>
    <w:rsid w:val="002F056E"/>
    <w:rsid w:val="002F0ED9"/>
    <w:rsid w:val="002F0EF3"/>
    <w:rsid w:val="002F10AA"/>
    <w:rsid w:val="002F10C7"/>
    <w:rsid w:val="002F113D"/>
    <w:rsid w:val="002F118F"/>
    <w:rsid w:val="002F13C5"/>
    <w:rsid w:val="002F15DD"/>
    <w:rsid w:val="002F18B8"/>
    <w:rsid w:val="002F18F2"/>
    <w:rsid w:val="002F1937"/>
    <w:rsid w:val="002F1CA5"/>
    <w:rsid w:val="002F1CEF"/>
    <w:rsid w:val="002F1E61"/>
    <w:rsid w:val="002F244B"/>
    <w:rsid w:val="002F24B2"/>
    <w:rsid w:val="002F260B"/>
    <w:rsid w:val="002F269C"/>
    <w:rsid w:val="002F269F"/>
    <w:rsid w:val="002F28CF"/>
    <w:rsid w:val="002F310F"/>
    <w:rsid w:val="002F31BA"/>
    <w:rsid w:val="002F33A4"/>
    <w:rsid w:val="002F38D7"/>
    <w:rsid w:val="002F3AE9"/>
    <w:rsid w:val="002F3D56"/>
    <w:rsid w:val="002F3FE1"/>
    <w:rsid w:val="002F40FB"/>
    <w:rsid w:val="002F42D7"/>
    <w:rsid w:val="002F431A"/>
    <w:rsid w:val="002F4556"/>
    <w:rsid w:val="002F4812"/>
    <w:rsid w:val="002F4996"/>
    <w:rsid w:val="002F49E2"/>
    <w:rsid w:val="002F4A02"/>
    <w:rsid w:val="002F4C96"/>
    <w:rsid w:val="002F4D23"/>
    <w:rsid w:val="002F4D44"/>
    <w:rsid w:val="002F4E4D"/>
    <w:rsid w:val="002F4E97"/>
    <w:rsid w:val="002F5075"/>
    <w:rsid w:val="002F524F"/>
    <w:rsid w:val="002F5268"/>
    <w:rsid w:val="002F5375"/>
    <w:rsid w:val="002F53F7"/>
    <w:rsid w:val="002F5404"/>
    <w:rsid w:val="002F569B"/>
    <w:rsid w:val="002F570D"/>
    <w:rsid w:val="002F57CB"/>
    <w:rsid w:val="002F5848"/>
    <w:rsid w:val="002F58C2"/>
    <w:rsid w:val="002F5975"/>
    <w:rsid w:val="002F5995"/>
    <w:rsid w:val="002F59F0"/>
    <w:rsid w:val="002F5BD8"/>
    <w:rsid w:val="002F5C33"/>
    <w:rsid w:val="002F5CC7"/>
    <w:rsid w:val="002F5D30"/>
    <w:rsid w:val="002F61F2"/>
    <w:rsid w:val="002F6345"/>
    <w:rsid w:val="002F648F"/>
    <w:rsid w:val="002F6855"/>
    <w:rsid w:val="002F68AA"/>
    <w:rsid w:val="002F6B4D"/>
    <w:rsid w:val="002F6BE6"/>
    <w:rsid w:val="002F6C6D"/>
    <w:rsid w:val="002F6DED"/>
    <w:rsid w:val="002F6FC7"/>
    <w:rsid w:val="002F6FDC"/>
    <w:rsid w:val="002F735C"/>
    <w:rsid w:val="002F73C0"/>
    <w:rsid w:val="002F7454"/>
    <w:rsid w:val="002F77F2"/>
    <w:rsid w:val="002F7A60"/>
    <w:rsid w:val="002F7A8D"/>
    <w:rsid w:val="002F7BAE"/>
    <w:rsid w:val="002F7CFC"/>
    <w:rsid w:val="002F7D02"/>
    <w:rsid w:val="002F7D10"/>
    <w:rsid w:val="0030036F"/>
    <w:rsid w:val="0030038F"/>
    <w:rsid w:val="00300509"/>
    <w:rsid w:val="00300B29"/>
    <w:rsid w:val="00300EB5"/>
    <w:rsid w:val="00300EFE"/>
    <w:rsid w:val="00300F71"/>
    <w:rsid w:val="003011A5"/>
    <w:rsid w:val="00301242"/>
    <w:rsid w:val="003013A6"/>
    <w:rsid w:val="00301446"/>
    <w:rsid w:val="0030161B"/>
    <w:rsid w:val="00301DCE"/>
    <w:rsid w:val="00301F31"/>
    <w:rsid w:val="00302193"/>
    <w:rsid w:val="003027EB"/>
    <w:rsid w:val="00302AB8"/>
    <w:rsid w:val="00302D8E"/>
    <w:rsid w:val="00302EE7"/>
    <w:rsid w:val="003031B4"/>
    <w:rsid w:val="003032B5"/>
    <w:rsid w:val="00303394"/>
    <w:rsid w:val="00303915"/>
    <w:rsid w:val="003039D6"/>
    <w:rsid w:val="00303CD4"/>
    <w:rsid w:val="00303DA7"/>
    <w:rsid w:val="00304114"/>
    <w:rsid w:val="003041C3"/>
    <w:rsid w:val="003041D6"/>
    <w:rsid w:val="003045CC"/>
    <w:rsid w:val="00304652"/>
    <w:rsid w:val="00304655"/>
    <w:rsid w:val="00304835"/>
    <w:rsid w:val="003049B1"/>
    <w:rsid w:val="00304BD0"/>
    <w:rsid w:val="00304C0A"/>
    <w:rsid w:val="00304C4A"/>
    <w:rsid w:val="00304C52"/>
    <w:rsid w:val="003051FE"/>
    <w:rsid w:val="00305EA4"/>
    <w:rsid w:val="00305FEE"/>
    <w:rsid w:val="003060EE"/>
    <w:rsid w:val="00306464"/>
    <w:rsid w:val="003066B4"/>
    <w:rsid w:val="003068BC"/>
    <w:rsid w:val="00306A86"/>
    <w:rsid w:val="00306AD7"/>
    <w:rsid w:val="00306C35"/>
    <w:rsid w:val="00306D79"/>
    <w:rsid w:val="00306FF1"/>
    <w:rsid w:val="0030720A"/>
    <w:rsid w:val="003072E5"/>
    <w:rsid w:val="00307608"/>
    <w:rsid w:val="003078E1"/>
    <w:rsid w:val="00307A57"/>
    <w:rsid w:val="00307C4C"/>
    <w:rsid w:val="00307D79"/>
    <w:rsid w:val="00310000"/>
    <w:rsid w:val="00310167"/>
    <w:rsid w:val="00310178"/>
    <w:rsid w:val="00310252"/>
    <w:rsid w:val="00310385"/>
    <w:rsid w:val="003104EC"/>
    <w:rsid w:val="00310522"/>
    <w:rsid w:val="0031052C"/>
    <w:rsid w:val="00310565"/>
    <w:rsid w:val="003105D6"/>
    <w:rsid w:val="00310807"/>
    <w:rsid w:val="00310B93"/>
    <w:rsid w:val="00310F8B"/>
    <w:rsid w:val="00310FB7"/>
    <w:rsid w:val="0031104C"/>
    <w:rsid w:val="003110F0"/>
    <w:rsid w:val="003112C9"/>
    <w:rsid w:val="00311947"/>
    <w:rsid w:val="00311C7E"/>
    <w:rsid w:val="00311EDC"/>
    <w:rsid w:val="00311F72"/>
    <w:rsid w:val="00312093"/>
    <w:rsid w:val="00312108"/>
    <w:rsid w:val="003121FE"/>
    <w:rsid w:val="0031239D"/>
    <w:rsid w:val="0031240B"/>
    <w:rsid w:val="00312485"/>
    <w:rsid w:val="003124D2"/>
    <w:rsid w:val="003124D8"/>
    <w:rsid w:val="0031261C"/>
    <w:rsid w:val="0031291F"/>
    <w:rsid w:val="00312A2C"/>
    <w:rsid w:val="00312A73"/>
    <w:rsid w:val="00312A86"/>
    <w:rsid w:val="00312B68"/>
    <w:rsid w:val="00312E0B"/>
    <w:rsid w:val="00313205"/>
    <w:rsid w:val="00313260"/>
    <w:rsid w:val="00313274"/>
    <w:rsid w:val="00313320"/>
    <w:rsid w:val="003133E4"/>
    <w:rsid w:val="003134CF"/>
    <w:rsid w:val="00313ADC"/>
    <w:rsid w:val="00313B7A"/>
    <w:rsid w:val="00313E9C"/>
    <w:rsid w:val="00313FB5"/>
    <w:rsid w:val="0031422E"/>
    <w:rsid w:val="00314288"/>
    <w:rsid w:val="003142F6"/>
    <w:rsid w:val="0031443D"/>
    <w:rsid w:val="003146C1"/>
    <w:rsid w:val="003147F4"/>
    <w:rsid w:val="00314AE4"/>
    <w:rsid w:val="00314CBE"/>
    <w:rsid w:val="00314EFE"/>
    <w:rsid w:val="0031533D"/>
    <w:rsid w:val="00315614"/>
    <w:rsid w:val="0031564C"/>
    <w:rsid w:val="00315740"/>
    <w:rsid w:val="00315884"/>
    <w:rsid w:val="00315B79"/>
    <w:rsid w:val="00315B86"/>
    <w:rsid w:val="00315C88"/>
    <w:rsid w:val="00315F24"/>
    <w:rsid w:val="0031652F"/>
    <w:rsid w:val="003165C2"/>
    <w:rsid w:val="00316658"/>
    <w:rsid w:val="0031680C"/>
    <w:rsid w:val="00316A9B"/>
    <w:rsid w:val="00316FD3"/>
    <w:rsid w:val="0031702C"/>
    <w:rsid w:val="003176A0"/>
    <w:rsid w:val="0031797C"/>
    <w:rsid w:val="00317A15"/>
    <w:rsid w:val="00317BFF"/>
    <w:rsid w:val="0032016F"/>
    <w:rsid w:val="003204AC"/>
    <w:rsid w:val="003208BA"/>
    <w:rsid w:val="003208D1"/>
    <w:rsid w:val="00321037"/>
    <w:rsid w:val="00321085"/>
    <w:rsid w:val="00321131"/>
    <w:rsid w:val="003214FE"/>
    <w:rsid w:val="0032168C"/>
    <w:rsid w:val="00321968"/>
    <w:rsid w:val="00321BE4"/>
    <w:rsid w:val="00321C81"/>
    <w:rsid w:val="00321F24"/>
    <w:rsid w:val="00322436"/>
    <w:rsid w:val="00322525"/>
    <w:rsid w:val="00322743"/>
    <w:rsid w:val="0032290A"/>
    <w:rsid w:val="0032292B"/>
    <w:rsid w:val="0032292F"/>
    <w:rsid w:val="0032297B"/>
    <w:rsid w:val="00322A80"/>
    <w:rsid w:val="00322C2F"/>
    <w:rsid w:val="003230C8"/>
    <w:rsid w:val="003232D8"/>
    <w:rsid w:val="003234EC"/>
    <w:rsid w:val="00323BA1"/>
    <w:rsid w:val="00323FAC"/>
    <w:rsid w:val="0032408D"/>
    <w:rsid w:val="00324125"/>
    <w:rsid w:val="00324411"/>
    <w:rsid w:val="003245F7"/>
    <w:rsid w:val="00324669"/>
    <w:rsid w:val="00324786"/>
    <w:rsid w:val="003248B0"/>
    <w:rsid w:val="0032495E"/>
    <w:rsid w:val="00324C34"/>
    <w:rsid w:val="00324ED2"/>
    <w:rsid w:val="00324F1A"/>
    <w:rsid w:val="003253DB"/>
    <w:rsid w:val="0032553B"/>
    <w:rsid w:val="0032559F"/>
    <w:rsid w:val="003257A0"/>
    <w:rsid w:val="003257E3"/>
    <w:rsid w:val="00325AC2"/>
    <w:rsid w:val="00325ED3"/>
    <w:rsid w:val="00325F60"/>
    <w:rsid w:val="00326145"/>
    <w:rsid w:val="0032649D"/>
    <w:rsid w:val="0032650F"/>
    <w:rsid w:val="0032655E"/>
    <w:rsid w:val="00326643"/>
    <w:rsid w:val="003267CC"/>
    <w:rsid w:val="003269DC"/>
    <w:rsid w:val="00326AA3"/>
    <w:rsid w:val="00326EE3"/>
    <w:rsid w:val="00327007"/>
    <w:rsid w:val="003271F6"/>
    <w:rsid w:val="003273C2"/>
    <w:rsid w:val="00327402"/>
    <w:rsid w:val="00327426"/>
    <w:rsid w:val="00327671"/>
    <w:rsid w:val="0032767B"/>
    <w:rsid w:val="003277E5"/>
    <w:rsid w:val="003278B0"/>
    <w:rsid w:val="0032791F"/>
    <w:rsid w:val="00327C33"/>
    <w:rsid w:val="00327CC2"/>
    <w:rsid w:val="00327D4B"/>
    <w:rsid w:val="00327E04"/>
    <w:rsid w:val="003300A0"/>
    <w:rsid w:val="00330261"/>
    <w:rsid w:val="00330A9D"/>
    <w:rsid w:val="00330BF9"/>
    <w:rsid w:val="00330D0C"/>
    <w:rsid w:val="00330DAB"/>
    <w:rsid w:val="0033102E"/>
    <w:rsid w:val="003310A7"/>
    <w:rsid w:val="003310B0"/>
    <w:rsid w:val="0033160A"/>
    <w:rsid w:val="003319F0"/>
    <w:rsid w:val="00331B2D"/>
    <w:rsid w:val="00331E7E"/>
    <w:rsid w:val="003324BF"/>
    <w:rsid w:val="0033277D"/>
    <w:rsid w:val="003328EC"/>
    <w:rsid w:val="00332A6E"/>
    <w:rsid w:val="00332AA8"/>
    <w:rsid w:val="00332D22"/>
    <w:rsid w:val="00332DAF"/>
    <w:rsid w:val="00332E04"/>
    <w:rsid w:val="00333368"/>
    <w:rsid w:val="0033344A"/>
    <w:rsid w:val="003334BE"/>
    <w:rsid w:val="003337F4"/>
    <w:rsid w:val="00333968"/>
    <w:rsid w:val="00333CBA"/>
    <w:rsid w:val="00333DAF"/>
    <w:rsid w:val="00333DBC"/>
    <w:rsid w:val="00334158"/>
    <w:rsid w:val="003342B3"/>
    <w:rsid w:val="00334335"/>
    <w:rsid w:val="00334568"/>
    <w:rsid w:val="00334643"/>
    <w:rsid w:val="0033494E"/>
    <w:rsid w:val="00334A91"/>
    <w:rsid w:val="00334AB0"/>
    <w:rsid w:val="00334B53"/>
    <w:rsid w:val="00334E26"/>
    <w:rsid w:val="00334FD1"/>
    <w:rsid w:val="00335072"/>
    <w:rsid w:val="003354C5"/>
    <w:rsid w:val="00335606"/>
    <w:rsid w:val="0033566B"/>
    <w:rsid w:val="00335AC6"/>
    <w:rsid w:val="00335B69"/>
    <w:rsid w:val="00335C9F"/>
    <w:rsid w:val="00335CF3"/>
    <w:rsid w:val="00335D66"/>
    <w:rsid w:val="0033630A"/>
    <w:rsid w:val="00336799"/>
    <w:rsid w:val="00336805"/>
    <w:rsid w:val="00336F63"/>
    <w:rsid w:val="003372D9"/>
    <w:rsid w:val="00337524"/>
    <w:rsid w:val="00337714"/>
    <w:rsid w:val="00337818"/>
    <w:rsid w:val="00337B27"/>
    <w:rsid w:val="00337B79"/>
    <w:rsid w:val="00337D41"/>
    <w:rsid w:val="00337F44"/>
    <w:rsid w:val="0034015D"/>
    <w:rsid w:val="0034020B"/>
    <w:rsid w:val="0034027E"/>
    <w:rsid w:val="0034041C"/>
    <w:rsid w:val="003404D8"/>
    <w:rsid w:val="0034050D"/>
    <w:rsid w:val="00340527"/>
    <w:rsid w:val="00340618"/>
    <w:rsid w:val="00340A3C"/>
    <w:rsid w:val="00340AFD"/>
    <w:rsid w:val="00340E37"/>
    <w:rsid w:val="00340FFD"/>
    <w:rsid w:val="00341225"/>
    <w:rsid w:val="00341A23"/>
    <w:rsid w:val="00341A3B"/>
    <w:rsid w:val="00341E10"/>
    <w:rsid w:val="00341E44"/>
    <w:rsid w:val="00341F63"/>
    <w:rsid w:val="0034234F"/>
    <w:rsid w:val="00342888"/>
    <w:rsid w:val="00342A26"/>
    <w:rsid w:val="00342BBC"/>
    <w:rsid w:val="00342BDF"/>
    <w:rsid w:val="00342E8C"/>
    <w:rsid w:val="0034305B"/>
    <w:rsid w:val="0034337B"/>
    <w:rsid w:val="00343395"/>
    <w:rsid w:val="0034347B"/>
    <w:rsid w:val="00343522"/>
    <w:rsid w:val="0034399F"/>
    <w:rsid w:val="00343A88"/>
    <w:rsid w:val="00343AD7"/>
    <w:rsid w:val="00343B50"/>
    <w:rsid w:val="00343BFB"/>
    <w:rsid w:val="00343DD8"/>
    <w:rsid w:val="0034426A"/>
    <w:rsid w:val="00344577"/>
    <w:rsid w:val="00344684"/>
    <w:rsid w:val="00344B75"/>
    <w:rsid w:val="00345191"/>
    <w:rsid w:val="0034530A"/>
    <w:rsid w:val="003454D5"/>
    <w:rsid w:val="00345742"/>
    <w:rsid w:val="00345765"/>
    <w:rsid w:val="00345881"/>
    <w:rsid w:val="00345AD0"/>
    <w:rsid w:val="00345D28"/>
    <w:rsid w:val="00345DC4"/>
    <w:rsid w:val="00345ED3"/>
    <w:rsid w:val="00345F2E"/>
    <w:rsid w:val="003465FF"/>
    <w:rsid w:val="00346692"/>
    <w:rsid w:val="003467D6"/>
    <w:rsid w:val="00346B33"/>
    <w:rsid w:val="00346F80"/>
    <w:rsid w:val="003470D8"/>
    <w:rsid w:val="00347135"/>
    <w:rsid w:val="0034752F"/>
    <w:rsid w:val="0034767C"/>
    <w:rsid w:val="00347714"/>
    <w:rsid w:val="0034771D"/>
    <w:rsid w:val="003478CF"/>
    <w:rsid w:val="00347AD5"/>
    <w:rsid w:val="00347CFA"/>
    <w:rsid w:val="0035026F"/>
    <w:rsid w:val="003502F3"/>
    <w:rsid w:val="003504F4"/>
    <w:rsid w:val="00350937"/>
    <w:rsid w:val="00350A79"/>
    <w:rsid w:val="00350AEB"/>
    <w:rsid w:val="00350CB7"/>
    <w:rsid w:val="00350E24"/>
    <w:rsid w:val="00350EC9"/>
    <w:rsid w:val="00350F8D"/>
    <w:rsid w:val="00351037"/>
    <w:rsid w:val="003511E8"/>
    <w:rsid w:val="003514CE"/>
    <w:rsid w:val="003514D8"/>
    <w:rsid w:val="003516DD"/>
    <w:rsid w:val="003517E9"/>
    <w:rsid w:val="003517F7"/>
    <w:rsid w:val="0035183D"/>
    <w:rsid w:val="00351897"/>
    <w:rsid w:val="00351B35"/>
    <w:rsid w:val="00351C47"/>
    <w:rsid w:val="00351C7A"/>
    <w:rsid w:val="00351D4F"/>
    <w:rsid w:val="00351E29"/>
    <w:rsid w:val="003522CB"/>
    <w:rsid w:val="00352379"/>
    <w:rsid w:val="0035264B"/>
    <w:rsid w:val="0035279B"/>
    <w:rsid w:val="003529B2"/>
    <w:rsid w:val="003529BD"/>
    <w:rsid w:val="00352A26"/>
    <w:rsid w:val="00352C01"/>
    <w:rsid w:val="00352C74"/>
    <w:rsid w:val="00352EE9"/>
    <w:rsid w:val="00352F65"/>
    <w:rsid w:val="00352FAC"/>
    <w:rsid w:val="003534D2"/>
    <w:rsid w:val="003535B6"/>
    <w:rsid w:val="003537E4"/>
    <w:rsid w:val="0035386B"/>
    <w:rsid w:val="003539E4"/>
    <w:rsid w:val="00353BD2"/>
    <w:rsid w:val="00353CB0"/>
    <w:rsid w:val="00353FDC"/>
    <w:rsid w:val="00354070"/>
    <w:rsid w:val="003540E8"/>
    <w:rsid w:val="00354271"/>
    <w:rsid w:val="0035467F"/>
    <w:rsid w:val="00354721"/>
    <w:rsid w:val="003548BF"/>
    <w:rsid w:val="00354C14"/>
    <w:rsid w:val="003551DA"/>
    <w:rsid w:val="003552CB"/>
    <w:rsid w:val="00355841"/>
    <w:rsid w:val="003558B7"/>
    <w:rsid w:val="00355A1C"/>
    <w:rsid w:val="00355BCC"/>
    <w:rsid w:val="00355BFF"/>
    <w:rsid w:val="00355CF6"/>
    <w:rsid w:val="00355DB9"/>
    <w:rsid w:val="00355E59"/>
    <w:rsid w:val="00355FEF"/>
    <w:rsid w:val="003560B0"/>
    <w:rsid w:val="00356353"/>
    <w:rsid w:val="003563EB"/>
    <w:rsid w:val="003564BD"/>
    <w:rsid w:val="003564F5"/>
    <w:rsid w:val="00356872"/>
    <w:rsid w:val="00356B8A"/>
    <w:rsid w:val="00356F38"/>
    <w:rsid w:val="003571BB"/>
    <w:rsid w:val="00357276"/>
    <w:rsid w:val="00357458"/>
    <w:rsid w:val="0035773E"/>
    <w:rsid w:val="0035796B"/>
    <w:rsid w:val="0035798A"/>
    <w:rsid w:val="00357A08"/>
    <w:rsid w:val="00357A47"/>
    <w:rsid w:val="00357C12"/>
    <w:rsid w:val="00357C98"/>
    <w:rsid w:val="00357D97"/>
    <w:rsid w:val="00357E80"/>
    <w:rsid w:val="00357ED0"/>
    <w:rsid w:val="0036039A"/>
    <w:rsid w:val="00360444"/>
    <w:rsid w:val="00360489"/>
    <w:rsid w:val="00360839"/>
    <w:rsid w:val="00360914"/>
    <w:rsid w:val="00360922"/>
    <w:rsid w:val="00360A1E"/>
    <w:rsid w:val="00360B3B"/>
    <w:rsid w:val="00360CD0"/>
    <w:rsid w:val="00360D5A"/>
    <w:rsid w:val="00360E55"/>
    <w:rsid w:val="00360EF3"/>
    <w:rsid w:val="003611A4"/>
    <w:rsid w:val="00361636"/>
    <w:rsid w:val="003616CF"/>
    <w:rsid w:val="00361A1E"/>
    <w:rsid w:val="00361C58"/>
    <w:rsid w:val="003623D4"/>
    <w:rsid w:val="00362B27"/>
    <w:rsid w:val="00362E3F"/>
    <w:rsid w:val="0036301F"/>
    <w:rsid w:val="00363079"/>
    <w:rsid w:val="003631DB"/>
    <w:rsid w:val="00363234"/>
    <w:rsid w:val="00363268"/>
    <w:rsid w:val="00363521"/>
    <w:rsid w:val="00363536"/>
    <w:rsid w:val="003636A5"/>
    <w:rsid w:val="003636B5"/>
    <w:rsid w:val="00363835"/>
    <w:rsid w:val="00363BE2"/>
    <w:rsid w:val="003644BA"/>
    <w:rsid w:val="003647C6"/>
    <w:rsid w:val="00364955"/>
    <w:rsid w:val="0036495B"/>
    <w:rsid w:val="00364A7C"/>
    <w:rsid w:val="00364D18"/>
    <w:rsid w:val="00364D8F"/>
    <w:rsid w:val="00364FC0"/>
    <w:rsid w:val="00365055"/>
    <w:rsid w:val="003654A9"/>
    <w:rsid w:val="00365FDB"/>
    <w:rsid w:val="00366019"/>
    <w:rsid w:val="00366054"/>
    <w:rsid w:val="003662ED"/>
    <w:rsid w:val="003663CB"/>
    <w:rsid w:val="00366683"/>
    <w:rsid w:val="003667F5"/>
    <w:rsid w:val="0036690C"/>
    <w:rsid w:val="00366ADD"/>
    <w:rsid w:val="00366B87"/>
    <w:rsid w:val="00366BE9"/>
    <w:rsid w:val="003674A8"/>
    <w:rsid w:val="00367638"/>
    <w:rsid w:val="00367639"/>
    <w:rsid w:val="00367815"/>
    <w:rsid w:val="00367EB6"/>
    <w:rsid w:val="00367F4D"/>
    <w:rsid w:val="003704DA"/>
    <w:rsid w:val="00370707"/>
    <w:rsid w:val="003710A1"/>
    <w:rsid w:val="003710F3"/>
    <w:rsid w:val="003712DE"/>
    <w:rsid w:val="00371428"/>
    <w:rsid w:val="00371462"/>
    <w:rsid w:val="0037148E"/>
    <w:rsid w:val="00371515"/>
    <w:rsid w:val="0037158F"/>
    <w:rsid w:val="00371640"/>
    <w:rsid w:val="00371823"/>
    <w:rsid w:val="00371D89"/>
    <w:rsid w:val="00371D96"/>
    <w:rsid w:val="003721A2"/>
    <w:rsid w:val="003721A7"/>
    <w:rsid w:val="0037221D"/>
    <w:rsid w:val="00372406"/>
    <w:rsid w:val="003727E2"/>
    <w:rsid w:val="00372802"/>
    <w:rsid w:val="00372AE6"/>
    <w:rsid w:val="00373201"/>
    <w:rsid w:val="003732C6"/>
    <w:rsid w:val="00373475"/>
    <w:rsid w:val="0037362F"/>
    <w:rsid w:val="003736D1"/>
    <w:rsid w:val="00373897"/>
    <w:rsid w:val="00373CAF"/>
    <w:rsid w:val="00373CE1"/>
    <w:rsid w:val="00373E2B"/>
    <w:rsid w:val="00373F50"/>
    <w:rsid w:val="003740F5"/>
    <w:rsid w:val="0037437C"/>
    <w:rsid w:val="0037483F"/>
    <w:rsid w:val="00374874"/>
    <w:rsid w:val="003749A4"/>
    <w:rsid w:val="00374A4F"/>
    <w:rsid w:val="00374D50"/>
    <w:rsid w:val="00374F51"/>
    <w:rsid w:val="0037509C"/>
    <w:rsid w:val="003751B3"/>
    <w:rsid w:val="00375349"/>
    <w:rsid w:val="00375493"/>
    <w:rsid w:val="003755D5"/>
    <w:rsid w:val="00375623"/>
    <w:rsid w:val="003756A1"/>
    <w:rsid w:val="00375BAD"/>
    <w:rsid w:val="00375CE0"/>
    <w:rsid w:val="003760FF"/>
    <w:rsid w:val="003764D8"/>
    <w:rsid w:val="00376716"/>
    <w:rsid w:val="0037682C"/>
    <w:rsid w:val="00376A41"/>
    <w:rsid w:val="00376A4E"/>
    <w:rsid w:val="00376B19"/>
    <w:rsid w:val="00376B4F"/>
    <w:rsid w:val="00376C89"/>
    <w:rsid w:val="00376D1C"/>
    <w:rsid w:val="00376EC2"/>
    <w:rsid w:val="00376F02"/>
    <w:rsid w:val="00376F88"/>
    <w:rsid w:val="0037707B"/>
    <w:rsid w:val="00377214"/>
    <w:rsid w:val="003772BD"/>
    <w:rsid w:val="003778F8"/>
    <w:rsid w:val="003778FB"/>
    <w:rsid w:val="00377970"/>
    <w:rsid w:val="00377E7B"/>
    <w:rsid w:val="00377F22"/>
    <w:rsid w:val="003803E0"/>
    <w:rsid w:val="0038044A"/>
    <w:rsid w:val="003804E5"/>
    <w:rsid w:val="00380642"/>
    <w:rsid w:val="003806F0"/>
    <w:rsid w:val="00380749"/>
    <w:rsid w:val="0038084C"/>
    <w:rsid w:val="00380F4B"/>
    <w:rsid w:val="00381110"/>
    <w:rsid w:val="003815B1"/>
    <w:rsid w:val="00381CF2"/>
    <w:rsid w:val="0038214C"/>
    <w:rsid w:val="00382357"/>
    <w:rsid w:val="003824C1"/>
    <w:rsid w:val="0038267C"/>
    <w:rsid w:val="00382693"/>
    <w:rsid w:val="00382704"/>
    <w:rsid w:val="0038270D"/>
    <w:rsid w:val="00382937"/>
    <w:rsid w:val="00382980"/>
    <w:rsid w:val="00382A60"/>
    <w:rsid w:val="00382BA6"/>
    <w:rsid w:val="00382C3A"/>
    <w:rsid w:val="00382C7E"/>
    <w:rsid w:val="00382C86"/>
    <w:rsid w:val="00382DDB"/>
    <w:rsid w:val="00382E82"/>
    <w:rsid w:val="00382FA7"/>
    <w:rsid w:val="00383297"/>
    <w:rsid w:val="003833D0"/>
    <w:rsid w:val="0038362A"/>
    <w:rsid w:val="003837CA"/>
    <w:rsid w:val="00383994"/>
    <w:rsid w:val="00383D2D"/>
    <w:rsid w:val="00383D93"/>
    <w:rsid w:val="00383FAE"/>
    <w:rsid w:val="003840EC"/>
    <w:rsid w:val="00384159"/>
    <w:rsid w:val="00384226"/>
    <w:rsid w:val="00384251"/>
    <w:rsid w:val="00384493"/>
    <w:rsid w:val="00384707"/>
    <w:rsid w:val="00384B08"/>
    <w:rsid w:val="00384B8A"/>
    <w:rsid w:val="00384FD0"/>
    <w:rsid w:val="003851D0"/>
    <w:rsid w:val="0038548F"/>
    <w:rsid w:val="0038558D"/>
    <w:rsid w:val="0038561A"/>
    <w:rsid w:val="003856B5"/>
    <w:rsid w:val="00385C1A"/>
    <w:rsid w:val="00385C2C"/>
    <w:rsid w:val="00385CCF"/>
    <w:rsid w:val="00385D07"/>
    <w:rsid w:val="00385D31"/>
    <w:rsid w:val="00385E93"/>
    <w:rsid w:val="003860FD"/>
    <w:rsid w:val="003861E7"/>
    <w:rsid w:val="003861F7"/>
    <w:rsid w:val="003864C2"/>
    <w:rsid w:val="003864F7"/>
    <w:rsid w:val="00386629"/>
    <w:rsid w:val="003866DD"/>
    <w:rsid w:val="00386785"/>
    <w:rsid w:val="00386987"/>
    <w:rsid w:val="00386B3C"/>
    <w:rsid w:val="00386CA2"/>
    <w:rsid w:val="00386EB7"/>
    <w:rsid w:val="003870EE"/>
    <w:rsid w:val="00387519"/>
    <w:rsid w:val="00387634"/>
    <w:rsid w:val="00387652"/>
    <w:rsid w:val="0038768B"/>
    <w:rsid w:val="0038778F"/>
    <w:rsid w:val="003877C2"/>
    <w:rsid w:val="0038781E"/>
    <w:rsid w:val="003878AC"/>
    <w:rsid w:val="00387970"/>
    <w:rsid w:val="00387B5F"/>
    <w:rsid w:val="00387C6F"/>
    <w:rsid w:val="00387D81"/>
    <w:rsid w:val="00387E89"/>
    <w:rsid w:val="00387EE7"/>
    <w:rsid w:val="00387EF1"/>
    <w:rsid w:val="0039004D"/>
    <w:rsid w:val="003900EC"/>
    <w:rsid w:val="00390B9A"/>
    <w:rsid w:val="00390C57"/>
    <w:rsid w:val="00390FA1"/>
    <w:rsid w:val="00391107"/>
    <w:rsid w:val="003912B4"/>
    <w:rsid w:val="003913F4"/>
    <w:rsid w:val="0039163A"/>
    <w:rsid w:val="00391679"/>
    <w:rsid w:val="003917B1"/>
    <w:rsid w:val="0039183C"/>
    <w:rsid w:val="00391B45"/>
    <w:rsid w:val="00391B6E"/>
    <w:rsid w:val="00391B85"/>
    <w:rsid w:val="00391BF2"/>
    <w:rsid w:val="00391CEF"/>
    <w:rsid w:val="00391F26"/>
    <w:rsid w:val="00392156"/>
    <w:rsid w:val="00392285"/>
    <w:rsid w:val="003924EB"/>
    <w:rsid w:val="003925A9"/>
    <w:rsid w:val="003925D3"/>
    <w:rsid w:val="0039266E"/>
    <w:rsid w:val="00392773"/>
    <w:rsid w:val="003927E0"/>
    <w:rsid w:val="003929A1"/>
    <w:rsid w:val="003929C6"/>
    <w:rsid w:val="00392AD5"/>
    <w:rsid w:val="0039315A"/>
    <w:rsid w:val="0039381D"/>
    <w:rsid w:val="00394323"/>
    <w:rsid w:val="003943E4"/>
    <w:rsid w:val="003944C8"/>
    <w:rsid w:val="003944F2"/>
    <w:rsid w:val="003949E8"/>
    <w:rsid w:val="00394C37"/>
    <w:rsid w:val="00395412"/>
    <w:rsid w:val="0039546E"/>
    <w:rsid w:val="003954F5"/>
    <w:rsid w:val="003956A2"/>
    <w:rsid w:val="00395A94"/>
    <w:rsid w:val="00395BFE"/>
    <w:rsid w:val="00395CA8"/>
    <w:rsid w:val="00395F05"/>
    <w:rsid w:val="00396028"/>
    <w:rsid w:val="0039629A"/>
    <w:rsid w:val="0039667E"/>
    <w:rsid w:val="00396854"/>
    <w:rsid w:val="00396880"/>
    <w:rsid w:val="003969AA"/>
    <w:rsid w:val="003969D4"/>
    <w:rsid w:val="00396E67"/>
    <w:rsid w:val="00396FCE"/>
    <w:rsid w:val="00397150"/>
    <w:rsid w:val="00397155"/>
    <w:rsid w:val="0039739E"/>
    <w:rsid w:val="003973F3"/>
    <w:rsid w:val="00397783"/>
    <w:rsid w:val="0039788C"/>
    <w:rsid w:val="003978C8"/>
    <w:rsid w:val="003979E9"/>
    <w:rsid w:val="00397F17"/>
    <w:rsid w:val="003A022A"/>
    <w:rsid w:val="003A050C"/>
    <w:rsid w:val="003A053B"/>
    <w:rsid w:val="003A053D"/>
    <w:rsid w:val="003A05AF"/>
    <w:rsid w:val="003A079B"/>
    <w:rsid w:val="003A0937"/>
    <w:rsid w:val="003A0BC0"/>
    <w:rsid w:val="003A0BFF"/>
    <w:rsid w:val="003A0CF3"/>
    <w:rsid w:val="003A1155"/>
    <w:rsid w:val="003A1536"/>
    <w:rsid w:val="003A166D"/>
    <w:rsid w:val="003A16BF"/>
    <w:rsid w:val="003A178D"/>
    <w:rsid w:val="003A1999"/>
    <w:rsid w:val="003A19A9"/>
    <w:rsid w:val="003A1ABA"/>
    <w:rsid w:val="003A1B54"/>
    <w:rsid w:val="003A1CE9"/>
    <w:rsid w:val="003A1D4D"/>
    <w:rsid w:val="003A1EDE"/>
    <w:rsid w:val="003A231E"/>
    <w:rsid w:val="003A2593"/>
    <w:rsid w:val="003A2B35"/>
    <w:rsid w:val="003A2B38"/>
    <w:rsid w:val="003A2B59"/>
    <w:rsid w:val="003A2B8E"/>
    <w:rsid w:val="003A2D62"/>
    <w:rsid w:val="003A2F6E"/>
    <w:rsid w:val="003A3133"/>
    <w:rsid w:val="003A3141"/>
    <w:rsid w:val="003A3163"/>
    <w:rsid w:val="003A3359"/>
    <w:rsid w:val="003A351A"/>
    <w:rsid w:val="003A3735"/>
    <w:rsid w:val="003A383A"/>
    <w:rsid w:val="003A39C8"/>
    <w:rsid w:val="003A3A92"/>
    <w:rsid w:val="003A3C4A"/>
    <w:rsid w:val="003A3C8E"/>
    <w:rsid w:val="003A3CA4"/>
    <w:rsid w:val="003A3EA8"/>
    <w:rsid w:val="003A3F90"/>
    <w:rsid w:val="003A4542"/>
    <w:rsid w:val="003A45D4"/>
    <w:rsid w:val="003A4746"/>
    <w:rsid w:val="003A48BE"/>
    <w:rsid w:val="003A49C9"/>
    <w:rsid w:val="003A4BE9"/>
    <w:rsid w:val="003A4C51"/>
    <w:rsid w:val="003A4DD0"/>
    <w:rsid w:val="003A5404"/>
    <w:rsid w:val="003A54DE"/>
    <w:rsid w:val="003A5AA1"/>
    <w:rsid w:val="003A5FB8"/>
    <w:rsid w:val="003A61F3"/>
    <w:rsid w:val="003A62D1"/>
    <w:rsid w:val="003A67A6"/>
    <w:rsid w:val="003A67B4"/>
    <w:rsid w:val="003A6889"/>
    <w:rsid w:val="003A6C84"/>
    <w:rsid w:val="003A6DF9"/>
    <w:rsid w:val="003A6F5E"/>
    <w:rsid w:val="003A70E6"/>
    <w:rsid w:val="003A71F5"/>
    <w:rsid w:val="003A73C9"/>
    <w:rsid w:val="003A75DE"/>
    <w:rsid w:val="003A79C2"/>
    <w:rsid w:val="003A7B64"/>
    <w:rsid w:val="003A7B7A"/>
    <w:rsid w:val="003A7E1B"/>
    <w:rsid w:val="003A7F0D"/>
    <w:rsid w:val="003B022C"/>
    <w:rsid w:val="003B0902"/>
    <w:rsid w:val="003B0A1E"/>
    <w:rsid w:val="003B0A6C"/>
    <w:rsid w:val="003B0CC2"/>
    <w:rsid w:val="003B0DB0"/>
    <w:rsid w:val="003B0F67"/>
    <w:rsid w:val="003B122F"/>
    <w:rsid w:val="003B12B3"/>
    <w:rsid w:val="003B144D"/>
    <w:rsid w:val="003B147E"/>
    <w:rsid w:val="003B15FD"/>
    <w:rsid w:val="003B1674"/>
    <w:rsid w:val="003B1757"/>
    <w:rsid w:val="003B1A49"/>
    <w:rsid w:val="003B1AC1"/>
    <w:rsid w:val="003B1E6C"/>
    <w:rsid w:val="003B220B"/>
    <w:rsid w:val="003B2C35"/>
    <w:rsid w:val="003B3055"/>
    <w:rsid w:val="003B308E"/>
    <w:rsid w:val="003B3721"/>
    <w:rsid w:val="003B39AB"/>
    <w:rsid w:val="003B3AA0"/>
    <w:rsid w:val="003B3C3C"/>
    <w:rsid w:val="003B40A5"/>
    <w:rsid w:val="003B4269"/>
    <w:rsid w:val="003B43E9"/>
    <w:rsid w:val="003B4623"/>
    <w:rsid w:val="003B4BC8"/>
    <w:rsid w:val="003B4CCD"/>
    <w:rsid w:val="003B4F8E"/>
    <w:rsid w:val="003B5230"/>
    <w:rsid w:val="003B525B"/>
    <w:rsid w:val="003B5461"/>
    <w:rsid w:val="003B5511"/>
    <w:rsid w:val="003B5727"/>
    <w:rsid w:val="003B57D6"/>
    <w:rsid w:val="003B5892"/>
    <w:rsid w:val="003B590A"/>
    <w:rsid w:val="003B5B79"/>
    <w:rsid w:val="003B5D1C"/>
    <w:rsid w:val="003B616D"/>
    <w:rsid w:val="003B6736"/>
    <w:rsid w:val="003B6860"/>
    <w:rsid w:val="003B688F"/>
    <w:rsid w:val="003B6936"/>
    <w:rsid w:val="003B6A19"/>
    <w:rsid w:val="003B706B"/>
    <w:rsid w:val="003B7156"/>
    <w:rsid w:val="003B739D"/>
    <w:rsid w:val="003B7564"/>
    <w:rsid w:val="003B75B6"/>
    <w:rsid w:val="003B76A4"/>
    <w:rsid w:val="003B76F6"/>
    <w:rsid w:val="003B779E"/>
    <w:rsid w:val="003B7897"/>
    <w:rsid w:val="003B78C4"/>
    <w:rsid w:val="003B79AC"/>
    <w:rsid w:val="003B7A50"/>
    <w:rsid w:val="003B7D44"/>
    <w:rsid w:val="003B7E4B"/>
    <w:rsid w:val="003B7EA8"/>
    <w:rsid w:val="003C00A1"/>
    <w:rsid w:val="003C0128"/>
    <w:rsid w:val="003C03CC"/>
    <w:rsid w:val="003C0406"/>
    <w:rsid w:val="003C0698"/>
    <w:rsid w:val="003C07E2"/>
    <w:rsid w:val="003C07EF"/>
    <w:rsid w:val="003C0824"/>
    <w:rsid w:val="003C0B98"/>
    <w:rsid w:val="003C0C05"/>
    <w:rsid w:val="003C0CE9"/>
    <w:rsid w:val="003C0D16"/>
    <w:rsid w:val="003C12E0"/>
    <w:rsid w:val="003C13A5"/>
    <w:rsid w:val="003C170B"/>
    <w:rsid w:val="003C1790"/>
    <w:rsid w:val="003C198E"/>
    <w:rsid w:val="003C1F90"/>
    <w:rsid w:val="003C200E"/>
    <w:rsid w:val="003C211F"/>
    <w:rsid w:val="003C21E7"/>
    <w:rsid w:val="003C22E7"/>
    <w:rsid w:val="003C2417"/>
    <w:rsid w:val="003C263B"/>
    <w:rsid w:val="003C26F4"/>
    <w:rsid w:val="003C273B"/>
    <w:rsid w:val="003C27DE"/>
    <w:rsid w:val="003C295A"/>
    <w:rsid w:val="003C2CD4"/>
    <w:rsid w:val="003C2DBB"/>
    <w:rsid w:val="003C2DF4"/>
    <w:rsid w:val="003C35DF"/>
    <w:rsid w:val="003C3801"/>
    <w:rsid w:val="003C38E5"/>
    <w:rsid w:val="003C394E"/>
    <w:rsid w:val="003C3AEB"/>
    <w:rsid w:val="003C3B3F"/>
    <w:rsid w:val="003C3C8B"/>
    <w:rsid w:val="003C43EC"/>
    <w:rsid w:val="003C4420"/>
    <w:rsid w:val="003C45F2"/>
    <w:rsid w:val="003C4864"/>
    <w:rsid w:val="003C4BAE"/>
    <w:rsid w:val="003C4BB6"/>
    <w:rsid w:val="003C4D65"/>
    <w:rsid w:val="003C4D6B"/>
    <w:rsid w:val="003C4DE9"/>
    <w:rsid w:val="003C4EF7"/>
    <w:rsid w:val="003C5096"/>
    <w:rsid w:val="003C51FF"/>
    <w:rsid w:val="003C5645"/>
    <w:rsid w:val="003C5A66"/>
    <w:rsid w:val="003C5BD1"/>
    <w:rsid w:val="003C5C31"/>
    <w:rsid w:val="003C5F48"/>
    <w:rsid w:val="003C5F86"/>
    <w:rsid w:val="003C6239"/>
    <w:rsid w:val="003C6257"/>
    <w:rsid w:val="003C64B3"/>
    <w:rsid w:val="003C6557"/>
    <w:rsid w:val="003C66C0"/>
    <w:rsid w:val="003C6806"/>
    <w:rsid w:val="003C69FD"/>
    <w:rsid w:val="003C6D39"/>
    <w:rsid w:val="003C70A1"/>
    <w:rsid w:val="003C72E2"/>
    <w:rsid w:val="003C736E"/>
    <w:rsid w:val="003C7528"/>
    <w:rsid w:val="003C7594"/>
    <w:rsid w:val="003C78C6"/>
    <w:rsid w:val="003C7953"/>
    <w:rsid w:val="003C7A34"/>
    <w:rsid w:val="003C7A90"/>
    <w:rsid w:val="003C7AF1"/>
    <w:rsid w:val="003C7B87"/>
    <w:rsid w:val="003C7C10"/>
    <w:rsid w:val="003D0081"/>
    <w:rsid w:val="003D0537"/>
    <w:rsid w:val="003D0582"/>
    <w:rsid w:val="003D0774"/>
    <w:rsid w:val="003D080F"/>
    <w:rsid w:val="003D0901"/>
    <w:rsid w:val="003D0AFC"/>
    <w:rsid w:val="003D0B66"/>
    <w:rsid w:val="003D0C2F"/>
    <w:rsid w:val="003D108D"/>
    <w:rsid w:val="003D1135"/>
    <w:rsid w:val="003D1138"/>
    <w:rsid w:val="003D1625"/>
    <w:rsid w:val="003D187A"/>
    <w:rsid w:val="003D1DEB"/>
    <w:rsid w:val="003D1F32"/>
    <w:rsid w:val="003D20F9"/>
    <w:rsid w:val="003D2214"/>
    <w:rsid w:val="003D22D7"/>
    <w:rsid w:val="003D2351"/>
    <w:rsid w:val="003D2725"/>
    <w:rsid w:val="003D286F"/>
    <w:rsid w:val="003D290A"/>
    <w:rsid w:val="003D292E"/>
    <w:rsid w:val="003D2BE2"/>
    <w:rsid w:val="003D2C5E"/>
    <w:rsid w:val="003D2E22"/>
    <w:rsid w:val="003D3033"/>
    <w:rsid w:val="003D3036"/>
    <w:rsid w:val="003D331A"/>
    <w:rsid w:val="003D3334"/>
    <w:rsid w:val="003D33DE"/>
    <w:rsid w:val="003D3520"/>
    <w:rsid w:val="003D3532"/>
    <w:rsid w:val="003D3B0A"/>
    <w:rsid w:val="003D3B22"/>
    <w:rsid w:val="003D3BAD"/>
    <w:rsid w:val="003D3BB6"/>
    <w:rsid w:val="003D4454"/>
    <w:rsid w:val="003D44A5"/>
    <w:rsid w:val="003D4792"/>
    <w:rsid w:val="003D47E6"/>
    <w:rsid w:val="003D4C3C"/>
    <w:rsid w:val="003D4DFE"/>
    <w:rsid w:val="003D4E4F"/>
    <w:rsid w:val="003D4EA6"/>
    <w:rsid w:val="003D51BC"/>
    <w:rsid w:val="003D51C9"/>
    <w:rsid w:val="003D5268"/>
    <w:rsid w:val="003D52B3"/>
    <w:rsid w:val="003D5521"/>
    <w:rsid w:val="003D55F7"/>
    <w:rsid w:val="003D590E"/>
    <w:rsid w:val="003D60BB"/>
    <w:rsid w:val="003D626D"/>
    <w:rsid w:val="003D6844"/>
    <w:rsid w:val="003D68CE"/>
    <w:rsid w:val="003D715F"/>
    <w:rsid w:val="003D743E"/>
    <w:rsid w:val="003D7638"/>
    <w:rsid w:val="003D76BE"/>
    <w:rsid w:val="003D7712"/>
    <w:rsid w:val="003D78EF"/>
    <w:rsid w:val="003D793F"/>
    <w:rsid w:val="003D79B4"/>
    <w:rsid w:val="003D7C45"/>
    <w:rsid w:val="003D7CD6"/>
    <w:rsid w:val="003D7E24"/>
    <w:rsid w:val="003D7E8B"/>
    <w:rsid w:val="003D7F05"/>
    <w:rsid w:val="003D7FDF"/>
    <w:rsid w:val="003E01BE"/>
    <w:rsid w:val="003E0217"/>
    <w:rsid w:val="003E024C"/>
    <w:rsid w:val="003E026C"/>
    <w:rsid w:val="003E0494"/>
    <w:rsid w:val="003E04BC"/>
    <w:rsid w:val="003E0B18"/>
    <w:rsid w:val="003E0E5A"/>
    <w:rsid w:val="003E0E67"/>
    <w:rsid w:val="003E0EC9"/>
    <w:rsid w:val="003E10AE"/>
    <w:rsid w:val="003E1118"/>
    <w:rsid w:val="003E11D1"/>
    <w:rsid w:val="003E16BA"/>
    <w:rsid w:val="003E18EE"/>
    <w:rsid w:val="003E1CC2"/>
    <w:rsid w:val="003E1DF7"/>
    <w:rsid w:val="003E2270"/>
    <w:rsid w:val="003E2275"/>
    <w:rsid w:val="003E23E8"/>
    <w:rsid w:val="003E285C"/>
    <w:rsid w:val="003E2A3C"/>
    <w:rsid w:val="003E2A52"/>
    <w:rsid w:val="003E2EFA"/>
    <w:rsid w:val="003E2F07"/>
    <w:rsid w:val="003E321A"/>
    <w:rsid w:val="003E33B7"/>
    <w:rsid w:val="003E369D"/>
    <w:rsid w:val="003E38CB"/>
    <w:rsid w:val="003E38FF"/>
    <w:rsid w:val="003E3929"/>
    <w:rsid w:val="003E3972"/>
    <w:rsid w:val="003E3A9C"/>
    <w:rsid w:val="003E3F62"/>
    <w:rsid w:val="003E4008"/>
    <w:rsid w:val="003E4105"/>
    <w:rsid w:val="003E41C1"/>
    <w:rsid w:val="003E454A"/>
    <w:rsid w:val="003E4686"/>
    <w:rsid w:val="003E4737"/>
    <w:rsid w:val="003E47A5"/>
    <w:rsid w:val="003E4A08"/>
    <w:rsid w:val="003E4A91"/>
    <w:rsid w:val="003E4A9F"/>
    <w:rsid w:val="003E4CC8"/>
    <w:rsid w:val="003E4D1C"/>
    <w:rsid w:val="003E4F2D"/>
    <w:rsid w:val="003E53DE"/>
    <w:rsid w:val="003E5564"/>
    <w:rsid w:val="003E5A3A"/>
    <w:rsid w:val="003E5ACE"/>
    <w:rsid w:val="003E5B07"/>
    <w:rsid w:val="003E5B8C"/>
    <w:rsid w:val="003E5E58"/>
    <w:rsid w:val="003E644E"/>
    <w:rsid w:val="003E6748"/>
    <w:rsid w:val="003E6943"/>
    <w:rsid w:val="003E6B02"/>
    <w:rsid w:val="003E6BE0"/>
    <w:rsid w:val="003E6C24"/>
    <w:rsid w:val="003E6C41"/>
    <w:rsid w:val="003E6C7D"/>
    <w:rsid w:val="003E6D7E"/>
    <w:rsid w:val="003E6E61"/>
    <w:rsid w:val="003E6E6B"/>
    <w:rsid w:val="003E6EF6"/>
    <w:rsid w:val="003E6F0D"/>
    <w:rsid w:val="003E7318"/>
    <w:rsid w:val="003E76AB"/>
    <w:rsid w:val="003E7BB4"/>
    <w:rsid w:val="003E7EC4"/>
    <w:rsid w:val="003F0034"/>
    <w:rsid w:val="003F0274"/>
    <w:rsid w:val="003F032F"/>
    <w:rsid w:val="003F0581"/>
    <w:rsid w:val="003F0986"/>
    <w:rsid w:val="003F0A55"/>
    <w:rsid w:val="003F0D2E"/>
    <w:rsid w:val="003F0D88"/>
    <w:rsid w:val="003F126A"/>
    <w:rsid w:val="003F17FB"/>
    <w:rsid w:val="003F18ED"/>
    <w:rsid w:val="003F19E3"/>
    <w:rsid w:val="003F1FD9"/>
    <w:rsid w:val="003F2055"/>
    <w:rsid w:val="003F21E5"/>
    <w:rsid w:val="003F22EB"/>
    <w:rsid w:val="003F2371"/>
    <w:rsid w:val="003F2634"/>
    <w:rsid w:val="003F28A3"/>
    <w:rsid w:val="003F2BFA"/>
    <w:rsid w:val="003F2FE7"/>
    <w:rsid w:val="003F3073"/>
    <w:rsid w:val="003F3120"/>
    <w:rsid w:val="003F3160"/>
    <w:rsid w:val="003F31F8"/>
    <w:rsid w:val="003F3435"/>
    <w:rsid w:val="003F34C1"/>
    <w:rsid w:val="003F34DA"/>
    <w:rsid w:val="003F35EC"/>
    <w:rsid w:val="003F3945"/>
    <w:rsid w:val="003F397A"/>
    <w:rsid w:val="003F3A00"/>
    <w:rsid w:val="003F3AB0"/>
    <w:rsid w:val="003F3B4C"/>
    <w:rsid w:val="003F3B63"/>
    <w:rsid w:val="003F3B90"/>
    <w:rsid w:val="003F3BD6"/>
    <w:rsid w:val="003F3D87"/>
    <w:rsid w:val="003F402D"/>
    <w:rsid w:val="003F40F7"/>
    <w:rsid w:val="003F41A0"/>
    <w:rsid w:val="003F44D5"/>
    <w:rsid w:val="003F470F"/>
    <w:rsid w:val="003F481A"/>
    <w:rsid w:val="003F4907"/>
    <w:rsid w:val="003F4942"/>
    <w:rsid w:val="003F49EB"/>
    <w:rsid w:val="003F4B3E"/>
    <w:rsid w:val="003F4D0A"/>
    <w:rsid w:val="003F5314"/>
    <w:rsid w:val="003F56CA"/>
    <w:rsid w:val="003F5885"/>
    <w:rsid w:val="003F58A5"/>
    <w:rsid w:val="003F59D7"/>
    <w:rsid w:val="003F5DF7"/>
    <w:rsid w:val="003F5E83"/>
    <w:rsid w:val="003F5E94"/>
    <w:rsid w:val="003F5EBC"/>
    <w:rsid w:val="003F5F10"/>
    <w:rsid w:val="003F5F9D"/>
    <w:rsid w:val="003F6232"/>
    <w:rsid w:val="003F6473"/>
    <w:rsid w:val="003F6623"/>
    <w:rsid w:val="003F69E8"/>
    <w:rsid w:val="003F6A1D"/>
    <w:rsid w:val="003F725C"/>
    <w:rsid w:val="003F776C"/>
    <w:rsid w:val="003F7C96"/>
    <w:rsid w:val="003F7CBA"/>
    <w:rsid w:val="003F7E0D"/>
    <w:rsid w:val="003F7E2B"/>
    <w:rsid w:val="004000F8"/>
    <w:rsid w:val="004001F5"/>
    <w:rsid w:val="00400620"/>
    <w:rsid w:val="00400C62"/>
    <w:rsid w:val="00400CB1"/>
    <w:rsid w:val="00400D8A"/>
    <w:rsid w:val="00400FD7"/>
    <w:rsid w:val="00400FEC"/>
    <w:rsid w:val="004010D8"/>
    <w:rsid w:val="00401108"/>
    <w:rsid w:val="00401318"/>
    <w:rsid w:val="00401447"/>
    <w:rsid w:val="00401555"/>
    <w:rsid w:val="004017E9"/>
    <w:rsid w:val="00401959"/>
    <w:rsid w:val="00401B49"/>
    <w:rsid w:val="00401D93"/>
    <w:rsid w:val="00401DF3"/>
    <w:rsid w:val="00402064"/>
    <w:rsid w:val="004023BB"/>
    <w:rsid w:val="004024EB"/>
    <w:rsid w:val="004026D8"/>
    <w:rsid w:val="0040272E"/>
    <w:rsid w:val="00402A07"/>
    <w:rsid w:val="00402DF5"/>
    <w:rsid w:val="00402F5F"/>
    <w:rsid w:val="00402FAB"/>
    <w:rsid w:val="00402FD3"/>
    <w:rsid w:val="004030E5"/>
    <w:rsid w:val="004031A0"/>
    <w:rsid w:val="00403524"/>
    <w:rsid w:val="0040352D"/>
    <w:rsid w:val="00403618"/>
    <w:rsid w:val="00403865"/>
    <w:rsid w:val="004038B3"/>
    <w:rsid w:val="00403BB8"/>
    <w:rsid w:val="00403EEF"/>
    <w:rsid w:val="00404251"/>
    <w:rsid w:val="0040471B"/>
    <w:rsid w:val="004049B8"/>
    <w:rsid w:val="00404CF9"/>
    <w:rsid w:val="00404DD7"/>
    <w:rsid w:val="00404FBC"/>
    <w:rsid w:val="00405268"/>
    <w:rsid w:val="00405371"/>
    <w:rsid w:val="0040545E"/>
    <w:rsid w:val="004059F9"/>
    <w:rsid w:val="0040638D"/>
    <w:rsid w:val="004066EF"/>
    <w:rsid w:val="00406786"/>
    <w:rsid w:val="004067E7"/>
    <w:rsid w:val="00406C7A"/>
    <w:rsid w:val="00406D8A"/>
    <w:rsid w:val="00406DA5"/>
    <w:rsid w:val="00406E3F"/>
    <w:rsid w:val="00407251"/>
    <w:rsid w:val="00407480"/>
    <w:rsid w:val="00410068"/>
    <w:rsid w:val="004100D5"/>
    <w:rsid w:val="00410965"/>
    <w:rsid w:val="004115A5"/>
    <w:rsid w:val="004116FA"/>
    <w:rsid w:val="0041179D"/>
    <w:rsid w:val="004117B7"/>
    <w:rsid w:val="00411814"/>
    <w:rsid w:val="00411B4E"/>
    <w:rsid w:val="00411C2B"/>
    <w:rsid w:val="00411C80"/>
    <w:rsid w:val="004121F9"/>
    <w:rsid w:val="0041225F"/>
    <w:rsid w:val="004122DB"/>
    <w:rsid w:val="00412417"/>
    <w:rsid w:val="0041249A"/>
    <w:rsid w:val="00412502"/>
    <w:rsid w:val="00412A75"/>
    <w:rsid w:val="00413127"/>
    <w:rsid w:val="0041321E"/>
    <w:rsid w:val="00413337"/>
    <w:rsid w:val="00413442"/>
    <w:rsid w:val="0041367B"/>
    <w:rsid w:val="004138ED"/>
    <w:rsid w:val="0041394F"/>
    <w:rsid w:val="00413B12"/>
    <w:rsid w:val="00413C85"/>
    <w:rsid w:val="00413C94"/>
    <w:rsid w:val="00413C98"/>
    <w:rsid w:val="00413E40"/>
    <w:rsid w:val="00413EE4"/>
    <w:rsid w:val="00414006"/>
    <w:rsid w:val="00414041"/>
    <w:rsid w:val="00414087"/>
    <w:rsid w:val="004140F0"/>
    <w:rsid w:val="004143C5"/>
    <w:rsid w:val="0041450E"/>
    <w:rsid w:val="00414512"/>
    <w:rsid w:val="00414592"/>
    <w:rsid w:val="004145FF"/>
    <w:rsid w:val="004149B5"/>
    <w:rsid w:val="0041516F"/>
    <w:rsid w:val="004151EF"/>
    <w:rsid w:val="004152EB"/>
    <w:rsid w:val="00415305"/>
    <w:rsid w:val="004153F7"/>
    <w:rsid w:val="004155B0"/>
    <w:rsid w:val="00415707"/>
    <w:rsid w:val="00415740"/>
    <w:rsid w:val="00415989"/>
    <w:rsid w:val="00415AC6"/>
    <w:rsid w:val="00415C13"/>
    <w:rsid w:val="00415D22"/>
    <w:rsid w:val="00415D37"/>
    <w:rsid w:val="00415E0A"/>
    <w:rsid w:val="00415F40"/>
    <w:rsid w:val="004161D8"/>
    <w:rsid w:val="00416354"/>
    <w:rsid w:val="00416816"/>
    <w:rsid w:val="00416934"/>
    <w:rsid w:val="00416C7A"/>
    <w:rsid w:val="00416CE4"/>
    <w:rsid w:val="00416DC8"/>
    <w:rsid w:val="00416F62"/>
    <w:rsid w:val="00417215"/>
    <w:rsid w:val="004174B4"/>
    <w:rsid w:val="0041793A"/>
    <w:rsid w:val="00417EF8"/>
    <w:rsid w:val="004200A9"/>
    <w:rsid w:val="00420222"/>
    <w:rsid w:val="00420551"/>
    <w:rsid w:val="004205F5"/>
    <w:rsid w:val="004206B5"/>
    <w:rsid w:val="004206BA"/>
    <w:rsid w:val="004207CD"/>
    <w:rsid w:val="004208BC"/>
    <w:rsid w:val="00420958"/>
    <w:rsid w:val="004209C7"/>
    <w:rsid w:val="004211CD"/>
    <w:rsid w:val="00421200"/>
    <w:rsid w:val="0042192B"/>
    <w:rsid w:val="00421A8B"/>
    <w:rsid w:val="00421F31"/>
    <w:rsid w:val="004221EC"/>
    <w:rsid w:val="00422205"/>
    <w:rsid w:val="004225EC"/>
    <w:rsid w:val="004226C9"/>
    <w:rsid w:val="004227E4"/>
    <w:rsid w:val="0042290C"/>
    <w:rsid w:val="00422F16"/>
    <w:rsid w:val="0042307E"/>
    <w:rsid w:val="0042329A"/>
    <w:rsid w:val="004235C7"/>
    <w:rsid w:val="004235EF"/>
    <w:rsid w:val="00423943"/>
    <w:rsid w:val="0042398D"/>
    <w:rsid w:val="00423C6B"/>
    <w:rsid w:val="00423E37"/>
    <w:rsid w:val="00423EDC"/>
    <w:rsid w:val="00424102"/>
    <w:rsid w:val="00424336"/>
    <w:rsid w:val="00424BD8"/>
    <w:rsid w:val="00424BDF"/>
    <w:rsid w:val="00424F46"/>
    <w:rsid w:val="00425182"/>
    <w:rsid w:val="004252EB"/>
    <w:rsid w:val="00425347"/>
    <w:rsid w:val="004253F0"/>
    <w:rsid w:val="004254B9"/>
    <w:rsid w:val="004254BA"/>
    <w:rsid w:val="004254BE"/>
    <w:rsid w:val="00425A94"/>
    <w:rsid w:val="00425B06"/>
    <w:rsid w:val="00425CF8"/>
    <w:rsid w:val="00425D71"/>
    <w:rsid w:val="00425E14"/>
    <w:rsid w:val="00425E5A"/>
    <w:rsid w:val="004260C3"/>
    <w:rsid w:val="004261A7"/>
    <w:rsid w:val="004261AB"/>
    <w:rsid w:val="00426215"/>
    <w:rsid w:val="0042648E"/>
    <w:rsid w:val="0042665A"/>
    <w:rsid w:val="0042699F"/>
    <w:rsid w:val="00426A4B"/>
    <w:rsid w:val="00426B0D"/>
    <w:rsid w:val="00426C3E"/>
    <w:rsid w:val="00426DC3"/>
    <w:rsid w:val="004270BE"/>
    <w:rsid w:val="00427265"/>
    <w:rsid w:val="0042730C"/>
    <w:rsid w:val="00427393"/>
    <w:rsid w:val="004273FF"/>
    <w:rsid w:val="0042767B"/>
    <w:rsid w:val="00427735"/>
    <w:rsid w:val="004279FF"/>
    <w:rsid w:val="00427E57"/>
    <w:rsid w:val="0043011C"/>
    <w:rsid w:val="00430178"/>
    <w:rsid w:val="004301AA"/>
    <w:rsid w:val="004304C3"/>
    <w:rsid w:val="0043059B"/>
    <w:rsid w:val="004306D5"/>
    <w:rsid w:val="00430713"/>
    <w:rsid w:val="00430892"/>
    <w:rsid w:val="004309AE"/>
    <w:rsid w:val="004309C3"/>
    <w:rsid w:val="00430C3A"/>
    <w:rsid w:val="00431001"/>
    <w:rsid w:val="0043116A"/>
    <w:rsid w:val="004311F3"/>
    <w:rsid w:val="0043127F"/>
    <w:rsid w:val="0043141B"/>
    <w:rsid w:val="00431565"/>
    <w:rsid w:val="00431646"/>
    <w:rsid w:val="00431659"/>
    <w:rsid w:val="004317A7"/>
    <w:rsid w:val="004317F1"/>
    <w:rsid w:val="0043198F"/>
    <w:rsid w:val="00431BED"/>
    <w:rsid w:val="00431C71"/>
    <w:rsid w:val="00431D08"/>
    <w:rsid w:val="00431D45"/>
    <w:rsid w:val="00431E3D"/>
    <w:rsid w:val="00432050"/>
    <w:rsid w:val="004320A2"/>
    <w:rsid w:val="00432348"/>
    <w:rsid w:val="004323B7"/>
    <w:rsid w:val="00432738"/>
    <w:rsid w:val="00432AEA"/>
    <w:rsid w:val="00432B5A"/>
    <w:rsid w:val="00432BB3"/>
    <w:rsid w:val="00432D24"/>
    <w:rsid w:val="00433176"/>
    <w:rsid w:val="00433214"/>
    <w:rsid w:val="00433480"/>
    <w:rsid w:val="004334D2"/>
    <w:rsid w:val="004335C3"/>
    <w:rsid w:val="004335C8"/>
    <w:rsid w:val="00433698"/>
    <w:rsid w:val="004337BD"/>
    <w:rsid w:val="004337EA"/>
    <w:rsid w:val="00433A0B"/>
    <w:rsid w:val="00433AE2"/>
    <w:rsid w:val="00433BB4"/>
    <w:rsid w:val="00433C53"/>
    <w:rsid w:val="00433D00"/>
    <w:rsid w:val="00433EC5"/>
    <w:rsid w:val="00433FF8"/>
    <w:rsid w:val="004342CA"/>
    <w:rsid w:val="004342E2"/>
    <w:rsid w:val="0043475C"/>
    <w:rsid w:val="00434AFC"/>
    <w:rsid w:val="00434DBC"/>
    <w:rsid w:val="00434E89"/>
    <w:rsid w:val="00435058"/>
    <w:rsid w:val="0043537E"/>
    <w:rsid w:val="00435445"/>
    <w:rsid w:val="0043596F"/>
    <w:rsid w:val="00435A1E"/>
    <w:rsid w:val="00435ACD"/>
    <w:rsid w:val="00435E72"/>
    <w:rsid w:val="00435F33"/>
    <w:rsid w:val="00436068"/>
    <w:rsid w:val="0043633C"/>
    <w:rsid w:val="004366A4"/>
    <w:rsid w:val="004367B5"/>
    <w:rsid w:val="00436CDD"/>
    <w:rsid w:val="00436F25"/>
    <w:rsid w:val="00436F45"/>
    <w:rsid w:val="00436FBD"/>
    <w:rsid w:val="004371E4"/>
    <w:rsid w:val="00437413"/>
    <w:rsid w:val="004377AA"/>
    <w:rsid w:val="00437992"/>
    <w:rsid w:val="00437B32"/>
    <w:rsid w:val="00437BC8"/>
    <w:rsid w:val="00437E5A"/>
    <w:rsid w:val="00437EFE"/>
    <w:rsid w:val="00437F16"/>
    <w:rsid w:val="00437F52"/>
    <w:rsid w:val="004403EC"/>
    <w:rsid w:val="00440460"/>
    <w:rsid w:val="00440525"/>
    <w:rsid w:val="004405BC"/>
    <w:rsid w:val="0044097B"/>
    <w:rsid w:val="00440D2A"/>
    <w:rsid w:val="00440EEC"/>
    <w:rsid w:val="0044115C"/>
    <w:rsid w:val="00441798"/>
    <w:rsid w:val="004417D1"/>
    <w:rsid w:val="00441C87"/>
    <w:rsid w:val="00441DCA"/>
    <w:rsid w:val="00441E56"/>
    <w:rsid w:val="004420E1"/>
    <w:rsid w:val="004420E7"/>
    <w:rsid w:val="004422BC"/>
    <w:rsid w:val="00442536"/>
    <w:rsid w:val="0044268E"/>
    <w:rsid w:val="00442758"/>
    <w:rsid w:val="004427F0"/>
    <w:rsid w:val="00442898"/>
    <w:rsid w:val="00442A68"/>
    <w:rsid w:val="00442CEB"/>
    <w:rsid w:val="00442E59"/>
    <w:rsid w:val="0044320A"/>
    <w:rsid w:val="0044341B"/>
    <w:rsid w:val="0044393E"/>
    <w:rsid w:val="00443BA3"/>
    <w:rsid w:val="00443BF6"/>
    <w:rsid w:val="00443D3F"/>
    <w:rsid w:val="00443E5B"/>
    <w:rsid w:val="00444297"/>
    <w:rsid w:val="0044456D"/>
    <w:rsid w:val="004446CC"/>
    <w:rsid w:val="00444704"/>
    <w:rsid w:val="0044489E"/>
    <w:rsid w:val="004448FC"/>
    <w:rsid w:val="004449BA"/>
    <w:rsid w:val="00444AF8"/>
    <w:rsid w:val="00444B9A"/>
    <w:rsid w:val="00445135"/>
    <w:rsid w:val="0044533A"/>
    <w:rsid w:val="00445572"/>
    <w:rsid w:val="00445863"/>
    <w:rsid w:val="00445A18"/>
    <w:rsid w:val="00445C17"/>
    <w:rsid w:val="00445CCC"/>
    <w:rsid w:val="00445CDB"/>
    <w:rsid w:val="00445D0D"/>
    <w:rsid w:val="0044615F"/>
    <w:rsid w:val="00446725"/>
    <w:rsid w:val="004467E4"/>
    <w:rsid w:val="00446977"/>
    <w:rsid w:val="004469B5"/>
    <w:rsid w:val="00446B88"/>
    <w:rsid w:val="00446C93"/>
    <w:rsid w:val="00446FB4"/>
    <w:rsid w:val="0044702A"/>
    <w:rsid w:val="00447065"/>
    <w:rsid w:val="0044714C"/>
    <w:rsid w:val="004475C8"/>
    <w:rsid w:val="004476EF"/>
    <w:rsid w:val="00447D7A"/>
    <w:rsid w:val="00447E07"/>
    <w:rsid w:val="00450144"/>
    <w:rsid w:val="00450176"/>
    <w:rsid w:val="0045018B"/>
    <w:rsid w:val="0045037C"/>
    <w:rsid w:val="0045039C"/>
    <w:rsid w:val="0045047E"/>
    <w:rsid w:val="0045061B"/>
    <w:rsid w:val="00450718"/>
    <w:rsid w:val="0045094B"/>
    <w:rsid w:val="00450CFB"/>
    <w:rsid w:val="00450D17"/>
    <w:rsid w:val="00451231"/>
    <w:rsid w:val="00451352"/>
    <w:rsid w:val="004513AC"/>
    <w:rsid w:val="00451726"/>
    <w:rsid w:val="004517FA"/>
    <w:rsid w:val="00451AFE"/>
    <w:rsid w:val="00451E18"/>
    <w:rsid w:val="00451E8E"/>
    <w:rsid w:val="00451EB6"/>
    <w:rsid w:val="00452703"/>
    <w:rsid w:val="00452AFD"/>
    <w:rsid w:val="00452AFE"/>
    <w:rsid w:val="00452B96"/>
    <w:rsid w:val="00452CBB"/>
    <w:rsid w:val="00452EAB"/>
    <w:rsid w:val="00452F7B"/>
    <w:rsid w:val="00453035"/>
    <w:rsid w:val="00453120"/>
    <w:rsid w:val="00453126"/>
    <w:rsid w:val="0045316E"/>
    <w:rsid w:val="0045319F"/>
    <w:rsid w:val="00453426"/>
    <w:rsid w:val="004534F9"/>
    <w:rsid w:val="004535F5"/>
    <w:rsid w:val="004539C8"/>
    <w:rsid w:val="00453A06"/>
    <w:rsid w:val="00453A5C"/>
    <w:rsid w:val="00453B7C"/>
    <w:rsid w:val="00453CAA"/>
    <w:rsid w:val="00453E8A"/>
    <w:rsid w:val="00453EE7"/>
    <w:rsid w:val="00454411"/>
    <w:rsid w:val="0045452C"/>
    <w:rsid w:val="00454A6A"/>
    <w:rsid w:val="00454A85"/>
    <w:rsid w:val="00454F20"/>
    <w:rsid w:val="0045504A"/>
    <w:rsid w:val="0045519A"/>
    <w:rsid w:val="0045527D"/>
    <w:rsid w:val="0045534B"/>
    <w:rsid w:val="004556F6"/>
    <w:rsid w:val="00455AA4"/>
    <w:rsid w:val="00455C97"/>
    <w:rsid w:val="00455D27"/>
    <w:rsid w:val="00455FE3"/>
    <w:rsid w:val="004562BA"/>
    <w:rsid w:val="00456496"/>
    <w:rsid w:val="0045657C"/>
    <w:rsid w:val="004566EC"/>
    <w:rsid w:val="0045688B"/>
    <w:rsid w:val="00456A58"/>
    <w:rsid w:val="00456DA1"/>
    <w:rsid w:val="00456DAB"/>
    <w:rsid w:val="00456E58"/>
    <w:rsid w:val="004574F8"/>
    <w:rsid w:val="00457509"/>
    <w:rsid w:val="00457A15"/>
    <w:rsid w:val="00457B7E"/>
    <w:rsid w:val="00457C76"/>
    <w:rsid w:val="00457FE2"/>
    <w:rsid w:val="004600D6"/>
    <w:rsid w:val="00460629"/>
    <w:rsid w:val="004606D1"/>
    <w:rsid w:val="00460904"/>
    <w:rsid w:val="00460E0A"/>
    <w:rsid w:val="00460E4A"/>
    <w:rsid w:val="0046133C"/>
    <w:rsid w:val="004614FF"/>
    <w:rsid w:val="00461618"/>
    <w:rsid w:val="00461B66"/>
    <w:rsid w:val="00461C61"/>
    <w:rsid w:val="00461D99"/>
    <w:rsid w:val="00461EED"/>
    <w:rsid w:val="00462083"/>
    <w:rsid w:val="00462157"/>
    <w:rsid w:val="00462183"/>
    <w:rsid w:val="004623F6"/>
    <w:rsid w:val="00462500"/>
    <w:rsid w:val="00462599"/>
    <w:rsid w:val="004628B6"/>
    <w:rsid w:val="00462A53"/>
    <w:rsid w:val="00462AAA"/>
    <w:rsid w:val="00462AC4"/>
    <w:rsid w:val="00462B84"/>
    <w:rsid w:val="00462D28"/>
    <w:rsid w:val="00462FE2"/>
    <w:rsid w:val="0046310D"/>
    <w:rsid w:val="004632B4"/>
    <w:rsid w:val="00463357"/>
    <w:rsid w:val="004633EB"/>
    <w:rsid w:val="00463528"/>
    <w:rsid w:val="004635B2"/>
    <w:rsid w:val="00463666"/>
    <w:rsid w:val="004639C8"/>
    <w:rsid w:val="00463BF5"/>
    <w:rsid w:val="00463FBA"/>
    <w:rsid w:val="00464101"/>
    <w:rsid w:val="00464138"/>
    <w:rsid w:val="0046422B"/>
    <w:rsid w:val="0046432F"/>
    <w:rsid w:val="004643BA"/>
    <w:rsid w:val="00464581"/>
    <w:rsid w:val="00464696"/>
    <w:rsid w:val="00464775"/>
    <w:rsid w:val="00464B22"/>
    <w:rsid w:val="00464CB4"/>
    <w:rsid w:val="00464DF9"/>
    <w:rsid w:val="00464EB2"/>
    <w:rsid w:val="00464FC3"/>
    <w:rsid w:val="004652C0"/>
    <w:rsid w:val="004652CE"/>
    <w:rsid w:val="00465304"/>
    <w:rsid w:val="00465504"/>
    <w:rsid w:val="004656CB"/>
    <w:rsid w:val="0046572A"/>
    <w:rsid w:val="00465809"/>
    <w:rsid w:val="00465878"/>
    <w:rsid w:val="004658FA"/>
    <w:rsid w:val="00465926"/>
    <w:rsid w:val="00465E78"/>
    <w:rsid w:val="0046604A"/>
    <w:rsid w:val="0046609A"/>
    <w:rsid w:val="004660F1"/>
    <w:rsid w:val="004661D4"/>
    <w:rsid w:val="00466998"/>
    <w:rsid w:val="00466A0D"/>
    <w:rsid w:val="004672EA"/>
    <w:rsid w:val="00467506"/>
    <w:rsid w:val="004677CF"/>
    <w:rsid w:val="00467D02"/>
    <w:rsid w:val="00467F72"/>
    <w:rsid w:val="00467FA7"/>
    <w:rsid w:val="00467FC9"/>
    <w:rsid w:val="004700C1"/>
    <w:rsid w:val="0047017E"/>
    <w:rsid w:val="004701FF"/>
    <w:rsid w:val="00470523"/>
    <w:rsid w:val="0047079A"/>
    <w:rsid w:val="004709DF"/>
    <w:rsid w:val="00470B5D"/>
    <w:rsid w:val="00470C19"/>
    <w:rsid w:val="00470D16"/>
    <w:rsid w:val="00470EA0"/>
    <w:rsid w:val="00470EB7"/>
    <w:rsid w:val="00470EC1"/>
    <w:rsid w:val="0047122B"/>
    <w:rsid w:val="004712B3"/>
    <w:rsid w:val="0047140F"/>
    <w:rsid w:val="004714DC"/>
    <w:rsid w:val="0047151D"/>
    <w:rsid w:val="004717FF"/>
    <w:rsid w:val="00471A4F"/>
    <w:rsid w:val="00471CFC"/>
    <w:rsid w:val="00471DB8"/>
    <w:rsid w:val="00471E4E"/>
    <w:rsid w:val="004721FE"/>
    <w:rsid w:val="00472250"/>
    <w:rsid w:val="00472718"/>
    <w:rsid w:val="00472D26"/>
    <w:rsid w:val="00472FF8"/>
    <w:rsid w:val="004731DE"/>
    <w:rsid w:val="00473254"/>
    <w:rsid w:val="00473379"/>
    <w:rsid w:val="004736FE"/>
    <w:rsid w:val="0047381F"/>
    <w:rsid w:val="00473837"/>
    <w:rsid w:val="004738C6"/>
    <w:rsid w:val="00473975"/>
    <w:rsid w:val="00473C25"/>
    <w:rsid w:val="0047420D"/>
    <w:rsid w:val="00474438"/>
    <w:rsid w:val="00474956"/>
    <w:rsid w:val="00474A1F"/>
    <w:rsid w:val="00474A51"/>
    <w:rsid w:val="00474ABE"/>
    <w:rsid w:val="00474CB1"/>
    <w:rsid w:val="004750DE"/>
    <w:rsid w:val="00475247"/>
    <w:rsid w:val="004754A6"/>
    <w:rsid w:val="00475514"/>
    <w:rsid w:val="004755D9"/>
    <w:rsid w:val="004755F3"/>
    <w:rsid w:val="00475604"/>
    <w:rsid w:val="00475973"/>
    <w:rsid w:val="00475C5A"/>
    <w:rsid w:val="00475C68"/>
    <w:rsid w:val="00475CA5"/>
    <w:rsid w:val="00475FB7"/>
    <w:rsid w:val="004761B4"/>
    <w:rsid w:val="0047625C"/>
    <w:rsid w:val="004762C5"/>
    <w:rsid w:val="004763A6"/>
    <w:rsid w:val="0047660C"/>
    <w:rsid w:val="00476701"/>
    <w:rsid w:val="00476893"/>
    <w:rsid w:val="004768F9"/>
    <w:rsid w:val="00476A2E"/>
    <w:rsid w:val="00476A3F"/>
    <w:rsid w:val="00476BB5"/>
    <w:rsid w:val="00476E2B"/>
    <w:rsid w:val="00476F70"/>
    <w:rsid w:val="004770F2"/>
    <w:rsid w:val="00477396"/>
    <w:rsid w:val="00477435"/>
    <w:rsid w:val="00477618"/>
    <w:rsid w:val="00477809"/>
    <w:rsid w:val="00477A82"/>
    <w:rsid w:val="00477CFC"/>
    <w:rsid w:val="00477D87"/>
    <w:rsid w:val="00477E09"/>
    <w:rsid w:val="00477EC1"/>
    <w:rsid w:val="00480463"/>
    <w:rsid w:val="004807CC"/>
    <w:rsid w:val="0048083A"/>
    <w:rsid w:val="0048098F"/>
    <w:rsid w:val="00480A58"/>
    <w:rsid w:val="00480D65"/>
    <w:rsid w:val="0048119F"/>
    <w:rsid w:val="004818F7"/>
    <w:rsid w:val="00481A24"/>
    <w:rsid w:val="00481A6A"/>
    <w:rsid w:val="00481A8C"/>
    <w:rsid w:val="00481D18"/>
    <w:rsid w:val="00481D6A"/>
    <w:rsid w:val="00481DD2"/>
    <w:rsid w:val="00482201"/>
    <w:rsid w:val="00482219"/>
    <w:rsid w:val="0048242B"/>
    <w:rsid w:val="004825AC"/>
    <w:rsid w:val="0048277E"/>
    <w:rsid w:val="0048290B"/>
    <w:rsid w:val="00482A0C"/>
    <w:rsid w:val="00482A45"/>
    <w:rsid w:val="00482A67"/>
    <w:rsid w:val="00482CC8"/>
    <w:rsid w:val="00482CCF"/>
    <w:rsid w:val="0048340F"/>
    <w:rsid w:val="004835EB"/>
    <w:rsid w:val="0048395A"/>
    <w:rsid w:val="00483A59"/>
    <w:rsid w:val="00483B09"/>
    <w:rsid w:val="00483B0B"/>
    <w:rsid w:val="004841A0"/>
    <w:rsid w:val="0048442C"/>
    <w:rsid w:val="004844B1"/>
    <w:rsid w:val="004844F1"/>
    <w:rsid w:val="004846DE"/>
    <w:rsid w:val="00484706"/>
    <w:rsid w:val="00484719"/>
    <w:rsid w:val="004847E8"/>
    <w:rsid w:val="00484876"/>
    <w:rsid w:val="00484ABC"/>
    <w:rsid w:val="00484D17"/>
    <w:rsid w:val="004852B8"/>
    <w:rsid w:val="0048599E"/>
    <w:rsid w:val="00485BEA"/>
    <w:rsid w:val="00485C55"/>
    <w:rsid w:val="00485EA7"/>
    <w:rsid w:val="00485F37"/>
    <w:rsid w:val="00486599"/>
    <w:rsid w:val="00486730"/>
    <w:rsid w:val="00486BD8"/>
    <w:rsid w:val="00486F10"/>
    <w:rsid w:val="00487327"/>
    <w:rsid w:val="00487408"/>
    <w:rsid w:val="0048742E"/>
    <w:rsid w:val="0048770A"/>
    <w:rsid w:val="00487749"/>
    <w:rsid w:val="004879E3"/>
    <w:rsid w:val="00487A0C"/>
    <w:rsid w:val="00487C38"/>
    <w:rsid w:val="00487D33"/>
    <w:rsid w:val="00487D61"/>
    <w:rsid w:val="00487E2D"/>
    <w:rsid w:val="00487E80"/>
    <w:rsid w:val="00487FD4"/>
    <w:rsid w:val="0049018D"/>
    <w:rsid w:val="0049063D"/>
    <w:rsid w:val="00490EB5"/>
    <w:rsid w:val="00490FC3"/>
    <w:rsid w:val="00490FD6"/>
    <w:rsid w:val="0049121C"/>
    <w:rsid w:val="004912EF"/>
    <w:rsid w:val="004913F8"/>
    <w:rsid w:val="004919FD"/>
    <w:rsid w:val="00491ACB"/>
    <w:rsid w:val="00491C1C"/>
    <w:rsid w:val="00491D65"/>
    <w:rsid w:val="00491DBD"/>
    <w:rsid w:val="00491E5D"/>
    <w:rsid w:val="00491FDB"/>
    <w:rsid w:val="004922F3"/>
    <w:rsid w:val="00492871"/>
    <w:rsid w:val="00492938"/>
    <w:rsid w:val="00492D30"/>
    <w:rsid w:val="00492D44"/>
    <w:rsid w:val="004930CB"/>
    <w:rsid w:val="004931D8"/>
    <w:rsid w:val="004931E1"/>
    <w:rsid w:val="00493584"/>
    <w:rsid w:val="0049358D"/>
    <w:rsid w:val="00493596"/>
    <w:rsid w:val="004936D2"/>
    <w:rsid w:val="004937AF"/>
    <w:rsid w:val="004938E9"/>
    <w:rsid w:val="00493A03"/>
    <w:rsid w:val="00493A8C"/>
    <w:rsid w:val="00493C9D"/>
    <w:rsid w:val="00493CF9"/>
    <w:rsid w:val="00493DC2"/>
    <w:rsid w:val="00493DF8"/>
    <w:rsid w:val="00493F77"/>
    <w:rsid w:val="0049404A"/>
    <w:rsid w:val="0049416E"/>
    <w:rsid w:val="00494260"/>
    <w:rsid w:val="00494443"/>
    <w:rsid w:val="004944F9"/>
    <w:rsid w:val="004946AC"/>
    <w:rsid w:val="00494818"/>
    <w:rsid w:val="00494860"/>
    <w:rsid w:val="0049488E"/>
    <w:rsid w:val="004948C8"/>
    <w:rsid w:val="00494C50"/>
    <w:rsid w:val="00494CD6"/>
    <w:rsid w:val="0049547E"/>
    <w:rsid w:val="004957B3"/>
    <w:rsid w:val="004957E0"/>
    <w:rsid w:val="004959E6"/>
    <w:rsid w:val="00495C97"/>
    <w:rsid w:val="00495CF5"/>
    <w:rsid w:val="00495F66"/>
    <w:rsid w:val="004960B0"/>
    <w:rsid w:val="004965DA"/>
    <w:rsid w:val="0049672A"/>
    <w:rsid w:val="00496D65"/>
    <w:rsid w:val="00497014"/>
    <w:rsid w:val="004970BC"/>
    <w:rsid w:val="004973A8"/>
    <w:rsid w:val="00497579"/>
    <w:rsid w:val="00497A75"/>
    <w:rsid w:val="00497C77"/>
    <w:rsid w:val="00497E96"/>
    <w:rsid w:val="004A012C"/>
    <w:rsid w:val="004A01E2"/>
    <w:rsid w:val="004A0520"/>
    <w:rsid w:val="004A054D"/>
    <w:rsid w:val="004A09B6"/>
    <w:rsid w:val="004A0B81"/>
    <w:rsid w:val="004A115B"/>
    <w:rsid w:val="004A140E"/>
    <w:rsid w:val="004A14ED"/>
    <w:rsid w:val="004A1549"/>
    <w:rsid w:val="004A1607"/>
    <w:rsid w:val="004A1820"/>
    <w:rsid w:val="004A1E94"/>
    <w:rsid w:val="004A1ED9"/>
    <w:rsid w:val="004A2058"/>
    <w:rsid w:val="004A225E"/>
    <w:rsid w:val="004A256B"/>
    <w:rsid w:val="004A289B"/>
    <w:rsid w:val="004A29F7"/>
    <w:rsid w:val="004A2AC7"/>
    <w:rsid w:val="004A2CAF"/>
    <w:rsid w:val="004A2CCA"/>
    <w:rsid w:val="004A2E46"/>
    <w:rsid w:val="004A332B"/>
    <w:rsid w:val="004A33C0"/>
    <w:rsid w:val="004A3402"/>
    <w:rsid w:val="004A3476"/>
    <w:rsid w:val="004A34D3"/>
    <w:rsid w:val="004A3813"/>
    <w:rsid w:val="004A3846"/>
    <w:rsid w:val="004A389E"/>
    <w:rsid w:val="004A39F4"/>
    <w:rsid w:val="004A3CB1"/>
    <w:rsid w:val="004A402C"/>
    <w:rsid w:val="004A40AD"/>
    <w:rsid w:val="004A4123"/>
    <w:rsid w:val="004A413D"/>
    <w:rsid w:val="004A4192"/>
    <w:rsid w:val="004A41A4"/>
    <w:rsid w:val="004A41A5"/>
    <w:rsid w:val="004A433D"/>
    <w:rsid w:val="004A4478"/>
    <w:rsid w:val="004A4514"/>
    <w:rsid w:val="004A4807"/>
    <w:rsid w:val="004A5729"/>
    <w:rsid w:val="004A5821"/>
    <w:rsid w:val="004A5C81"/>
    <w:rsid w:val="004A5D93"/>
    <w:rsid w:val="004A5EA4"/>
    <w:rsid w:val="004A602C"/>
    <w:rsid w:val="004A62C6"/>
    <w:rsid w:val="004A63F4"/>
    <w:rsid w:val="004A6858"/>
    <w:rsid w:val="004A6902"/>
    <w:rsid w:val="004A6B99"/>
    <w:rsid w:val="004A6CC2"/>
    <w:rsid w:val="004A6DB6"/>
    <w:rsid w:val="004A6ECA"/>
    <w:rsid w:val="004A6FBA"/>
    <w:rsid w:val="004A6FD8"/>
    <w:rsid w:val="004A751F"/>
    <w:rsid w:val="004A7873"/>
    <w:rsid w:val="004A7ABB"/>
    <w:rsid w:val="004B00E1"/>
    <w:rsid w:val="004B017E"/>
    <w:rsid w:val="004B05F7"/>
    <w:rsid w:val="004B06AE"/>
    <w:rsid w:val="004B0710"/>
    <w:rsid w:val="004B072C"/>
    <w:rsid w:val="004B0813"/>
    <w:rsid w:val="004B0B81"/>
    <w:rsid w:val="004B0CDF"/>
    <w:rsid w:val="004B0F3F"/>
    <w:rsid w:val="004B0F86"/>
    <w:rsid w:val="004B0FDC"/>
    <w:rsid w:val="004B1016"/>
    <w:rsid w:val="004B10A5"/>
    <w:rsid w:val="004B1165"/>
    <w:rsid w:val="004B16D6"/>
    <w:rsid w:val="004B16F7"/>
    <w:rsid w:val="004B1BCB"/>
    <w:rsid w:val="004B1CB6"/>
    <w:rsid w:val="004B1EEA"/>
    <w:rsid w:val="004B21A2"/>
    <w:rsid w:val="004B21FE"/>
    <w:rsid w:val="004B2265"/>
    <w:rsid w:val="004B228C"/>
    <w:rsid w:val="004B23B3"/>
    <w:rsid w:val="004B2473"/>
    <w:rsid w:val="004B2A00"/>
    <w:rsid w:val="004B2EA0"/>
    <w:rsid w:val="004B2F36"/>
    <w:rsid w:val="004B3055"/>
    <w:rsid w:val="004B31B8"/>
    <w:rsid w:val="004B32EA"/>
    <w:rsid w:val="004B3537"/>
    <w:rsid w:val="004B35C8"/>
    <w:rsid w:val="004B394C"/>
    <w:rsid w:val="004B3E72"/>
    <w:rsid w:val="004B3EC5"/>
    <w:rsid w:val="004B42F0"/>
    <w:rsid w:val="004B43AB"/>
    <w:rsid w:val="004B4458"/>
    <w:rsid w:val="004B445A"/>
    <w:rsid w:val="004B4843"/>
    <w:rsid w:val="004B484F"/>
    <w:rsid w:val="004B4876"/>
    <w:rsid w:val="004B4A7B"/>
    <w:rsid w:val="004B5167"/>
    <w:rsid w:val="004B5439"/>
    <w:rsid w:val="004B54A7"/>
    <w:rsid w:val="004B5612"/>
    <w:rsid w:val="004B589E"/>
    <w:rsid w:val="004B598D"/>
    <w:rsid w:val="004B5C47"/>
    <w:rsid w:val="004B5CDC"/>
    <w:rsid w:val="004B5EA0"/>
    <w:rsid w:val="004B6051"/>
    <w:rsid w:val="004B60D8"/>
    <w:rsid w:val="004B61EB"/>
    <w:rsid w:val="004B6297"/>
    <w:rsid w:val="004B6443"/>
    <w:rsid w:val="004B65B8"/>
    <w:rsid w:val="004B6911"/>
    <w:rsid w:val="004B6A8E"/>
    <w:rsid w:val="004B6CC0"/>
    <w:rsid w:val="004B6D5E"/>
    <w:rsid w:val="004B7025"/>
    <w:rsid w:val="004B730C"/>
    <w:rsid w:val="004B7444"/>
    <w:rsid w:val="004B74E5"/>
    <w:rsid w:val="004B7533"/>
    <w:rsid w:val="004B7627"/>
    <w:rsid w:val="004B7697"/>
    <w:rsid w:val="004B76BF"/>
    <w:rsid w:val="004B7887"/>
    <w:rsid w:val="004B79F3"/>
    <w:rsid w:val="004B7F44"/>
    <w:rsid w:val="004C022A"/>
    <w:rsid w:val="004C0236"/>
    <w:rsid w:val="004C0716"/>
    <w:rsid w:val="004C094E"/>
    <w:rsid w:val="004C0BF4"/>
    <w:rsid w:val="004C0C98"/>
    <w:rsid w:val="004C0D32"/>
    <w:rsid w:val="004C0E8B"/>
    <w:rsid w:val="004C0F03"/>
    <w:rsid w:val="004C0F1D"/>
    <w:rsid w:val="004C0F21"/>
    <w:rsid w:val="004C0FBC"/>
    <w:rsid w:val="004C122F"/>
    <w:rsid w:val="004C1548"/>
    <w:rsid w:val="004C16A4"/>
    <w:rsid w:val="004C1832"/>
    <w:rsid w:val="004C1CD1"/>
    <w:rsid w:val="004C1E4E"/>
    <w:rsid w:val="004C1E67"/>
    <w:rsid w:val="004C223A"/>
    <w:rsid w:val="004C22B1"/>
    <w:rsid w:val="004C26C8"/>
    <w:rsid w:val="004C272B"/>
    <w:rsid w:val="004C2811"/>
    <w:rsid w:val="004C2ACD"/>
    <w:rsid w:val="004C2B65"/>
    <w:rsid w:val="004C2CA1"/>
    <w:rsid w:val="004C2EB0"/>
    <w:rsid w:val="004C2FD0"/>
    <w:rsid w:val="004C324C"/>
    <w:rsid w:val="004C365A"/>
    <w:rsid w:val="004C3667"/>
    <w:rsid w:val="004C36BE"/>
    <w:rsid w:val="004C3A9A"/>
    <w:rsid w:val="004C3C3D"/>
    <w:rsid w:val="004C41E3"/>
    <w:rsid w:val="004C4230"/>
    <w:rsid w:val="004C4265"/>
    <w:rsid w:val="004C4458"/>
    <w:rsid w:val="004C483B"/>
    <w:rsid w:val="004C4C38"/>
    <w:rsid w:val="004C4C94"/>
    <w:rsid w:val="004C4F86"/>
    <w:rsid w:val="004C5334"/>
    <w:rsid w:val="004C53E3"/>
    <w:rsid w:val="004C545A"/>
    <w:rsid w:val="004C54DF"/>
    <w:rsid w:val="004C569A"/>
    <w:rsid w:val="004C56A1"/>
    <w:rsid w:val="004C56E5"/>
    <w:rsid w:val="004C5B92"/>
    <w:rsid w:val="004C5BAF"/>
    <w:rsid w:val="004C6304"/>
    <w:rsid w:val="004C63E0"/>
    <w:rsid w:val="004C6759"/>
    <w:rsid w:val="004C69E0"/>
    <w:rsid w:val="004C6C01"/>
    <w:rsid w:val="004C6EE1"/>
    <w:rsid w:val="004C712F"/>
    <w:rsid w:val="004C752E"/>
    <w:rsid w:val="004C7545"/>
    <w:rsid w:val="004C76FB"/>
    <w:rsid w:val="004C7B4E"/>
    <w:rsid w:val="004C7C95"/>
    <w:rsid w:val="004C7EE6"/>
    <w:rsid w:val="004C7F63"/>
    <w:rsid w:val="004D01DC"/>
    <w:rsid w:val="004D0408"/>
    <w:rsid w:val="004D0510"/>
    <w:rsid w:val="004D0558"/>
    <w:rsid w:val="004D0730"/>
    <w:rsid w:val="004D0A7C"/>
    <w:rsid w:val="004D0AA0"/>
    <w:rsid w:val="004D0B4A"/>
    <w:rsid w:val="004D0B83"/>
    <w:rsid w:val="004D0CA1"/>
    <w:rsid w:val="004D1005"/>
    <w:rsid w:val="004D113A"/>
    <w:rsid w:val="004D162B"/>
    <w:rsid w:val="004D180A"/>
    <w:rsid w:val="004D181B"/>
    <w:rsid w:val="004D1BC7"/>
    <w:rsid w:val="004D21EB"/>
    <w:rsid w:val="004D21FE"/>
    <w:rsid w:val="004D24A5"/>
    <w:rsid w:val="004D2521"/>
    <w:rsid w:val="004D259F"/>
    <w:rsid w:val="004D28C5"/>
    <w:rsid w:val="004D2A55"/>
    <w:rsid w:val="004D2B4E"/>
    <w:rsid w:val="004D2BA3"/>
    <w:rsid w:val="004D2BA8"/>
    <w:rsid w:val="004D2ED0"/>
    <w:rsid w:val="004D2F99"/>
    <w:rsid w:val="004D318C"/>
    <w:rsid w:val="004D331D"/>
    <w:rsid w:val="004D3470"/>
    <w:rsid w:val="004D37F5"/>
    <w:rsid w:val="004D3C4D"/>
    <w:rsid w:val="004D4067"/>
    <w:rsid w:val="004D415E"/>
    <w:rsid w:val="004D4BAC"/>
    <w:rsid w:val="004D4BD4"/>
    <w:rsid w:val="004D502C"/>
    <w:rsid w:val="004D506B"/>
    <w:rsid w:val="004D54DA"/>
    <w:rsid w:val="004D55F8"/>
    <w:rsid w:val="004D577D"/>
    <w:rsid w:val="004D5B50"/>
    <w:rsid w:val="004D5C32"/>
    <w:rsid w:val="004D5C49"/>
    <w:rsid w:val="004D5F5C"/>
    <w:rsid w:val="004D5F86"/>
    <w:rsid w:val="004D600F"/>
    <w:rsid w:val="004D60ED"/>
    <w:rsid w:val="004D6152"/>
    <w:rsid w:val="004D618D"/>
    <w:rsid w:val="004D6256"/>
    <w:rsid w:val="004D62E2"/>
    <w:rsid w:val="004D640D"/>
    <w:rsid w:val="004D646A"/>
    <w:rsid w:val="004D647F"/>
    <w:rsid w:val="004D6927"/>
    <w:rsid w:val="004D6C95"/>
    <w:rsid w:val="004D6EDD"/>
    <w:rsid w:val="004D6FA7"/>
    <w:rsid w:val="004D71FB"/>
    <w:rsid w:val="004D75E7"/>
    <w:rsid w:val="004D7657"/>
    <w:rsid w:val="004D76CF"/>
    <w:rsid w:val="004D7868"/>
    <w:rsid w:val="004D7C86"/>
    <w:rsid w:val="004D7F1C"/>
    <w:rsid w:val="004E07A1"/>
    <w:rsid w:val="004E09C5"/>
    <w:rsid w:val="004E0A77"/>
    <w:rsid w:val="004E0B02"/>
    <w:rsid w:val="004E0B34"/>
    <w:rsid w:val="004E0C41"/>
    <w:rsid w:val="004E0E8B"/>
    <w:rsid w:val="004E0ED6"/>
    <w:rsid w:val="004E10CD"/>
    <w:rsid w:val="004E150B"/>
    <w:rsid w:val="004E17A1"/>
    <w:rsid w:val="004E180B"/>
    <w:rsid w:val="004E19EA"/>
    <w:rsid w:val="004E1ACA"/>
    <w:rsid w:val="004E1BDF"/>
    <w:rsid w:val="004E1BFA"/>
    <w:rsid w:val="004E1C3D"/>
    <w:rsid w:val="004E1CA6"/>
    <w:rsid w:val="004E1DDE"/>
    <w:rsid w:val="004E2019"/>
    <w:rsid w:val="004E2079"/>
    <w:rsid w:val="004E2247"/>
    <w:rsid w:val="004E2416"/>
    <w:rsid w:val="004E243D"/>
    <w:rsid w:val="004E256D"/>
    <w:rsid w:val="004E2981"/>
    <w:rsid w:val="004E2B8B"/>
    <w:rsid w:val="004E2BE9"/>
    <w:rsid w:val="004E2CCF"/>
    <w:rsid w:val="004E2CE4"/>
    <w:rsid w:val="004E2E50"/>
    <w:rsid w:val="004E320A"/>
    <w:rsid w:val="004E371A"/>
    <w:rsid w:val="004E387F"/>
    <w:rsid w:val="004E38C7"/>
    <w:rsid w:val="004E39BC"/>
    <w:rsid w:val="004E3A9B"/>
    <w:rsid w:val="004E3CE2"/>
    <w:rsid w:val="004E3D68"/>
    <w:rsid w:val="004E3DEF"/>
    <w:rsid w:val="004E42BF"/>
    <w:rsid w:val="004E48D6"/>
    <w:rsid w:val="004E4904"/>
    <w:rsid w:val="004E4AB7"/>
    <w:rsid w:val="004E4C64"/>
    <w:rsid w:val="004E4E72"/>
    <w:rsid w:val="004E4FFE"/>
    <w:rsid w:val="004E5046"/>
    <w:rsid w:val="004E532E"/>
    <w:rsid w:val="004E57BE"/>
    <w:rsid w:val="004E5A53"/>
    <w:rsid w:val="004E5C92"/>
    <w:rsid w:val="004E5FE6"/>
    <w:rsid w:val="004E6023"/>
    <w:rsid w:val="004E61E2"/>
    <w:rsid w:val="004E6632"/>
    <w:rsid w:val="004E6671"/>
    <w:rsid w:val="004E683C"/>
    <w:rsid w:val="004E6A50"/>
    <w:rsid w:val="004E6AF2"/>
    <w:rsid w:val="004E6F4C"/>
    <w:rsid w:val="004E6F58"/>
    <w:rsid w:val="004E6F79"/>
    <w:rsid w:val="004E75C4"/>
    <w:rsid w:val="004E7629"/>
    <w:rsid w:val="004E779D"/>
    <w:rsid w:val="004E7813"/>
    <w:rsid w:val="004E781A"/>
    <w:rsid w:val="004E78D9"/>
    <w:rsid w:val="004E79B9"/>
    <w:rsid w:val="004E7A0D"/>
    <w:rsid w:val="004E7A24"/>
    <w:rsid w:val="004E7ADA"/>
    <w:rsid w:val="004E7C33"/>
    <w:rsid w:val="004E7CC1"/>
    <w:rsid w:val="004E7D77"/>
    <w:rsid w:val="004E7E62"/>
    <w:rsid w:val="004E7EE1"/>
    <w:rsid w:val="004F00A4"/>
    <w:rsid w:val="004F0158"/>
    <w:rsid w:val="004F040B"/>
    <w:rsid w:val="004F0462"/>
    <w:rsid w:val="004F059E"/>
    <w:rsid w:val="004F05FE"/>
    <w:rsid w:val="004F0724"/>
    <w:rsid w:val="004F07DB"/>
    <w:rsid w:val="004F0950"/>
    <w:rsid w:val="004F0B8A"/>
    <w:rsid w:val="004F0CF0"/>
    <w:rsid w:val="004F0CF7"/>
    <w:rsid w:val="004F113B"/>
    <w:rsid w:val="004F1777"/>
    <w:rsid w:val="004F1975"/>
    <w:rsid w:val="004F1B55"/>
    <w:rsid w:val="004F202D"/>
    <w:rsid w:val="004F2059"/>
    <w:rsid w:val="004F2095"/>
    <w:rsid w:val="004F20D5"/>
    <w:rsid w:val="004F261F"/>
    <w:rsid w:val="004F2754"/>
    <w:rsid w:val="004F275C"/>
    <w:rsid w:val="004F2877"/>
    <w:rsid w:val="004F290A"/>
    <w:rsid w:val="004F2B65"/>
    <w:rsid w:val="004F2C13"/>
    <w:rsid w:val="004F2C9A"/>
    <w:rsid w:val="004F32D0"/>
    <w:rsid w:val="004F350F"/>
    <w:rsid w:val="004F3C14"/>
    <w:rsid w:val="004F3D64"/>
    <w:rsid w:val="004F410D"/>
    <w:rsid w:val="004F431F"/>
    <w:rsid w:val="004F447F"/>
    <w:rsid w:val="004F4827"/>
    <w:rsid w:val="004F49CC"/>
    <w:rsid w:val="004F4AFC"/>
    <w:rsid w:val="004F4BE6"/>
    <w:rsid w:val="004F4EA1"/>
    <w:rsid w:val="004F510D"/>
    <w:rsid w:val="004F53A3"/>
    <w:rsid w:val="004F5427"/>
    <w:rsid w:val="004F54E2"/>
    <w:rsid w:val="004F58C0"/>
    <w:rsid w:val="004F5917"/>
    <w:rsid w:val="004F5B69"/>
    <w:rsid w:val="004F5CC4"/>
    <w:rsid w:val="004F5FD3"/>
    <w:rsid w:val="004F5FD8"/>
    <w:rsid w:val="004F5FF0"/>
    <w:rsid w:val="004F6106"/>
    <w:rsid w:val="004F6142"/>
    <w:rsid w:val="004F63B4"/>
    <w:rsid w:val="004F6960"/>
    <w:rsid w:val="004F6A3C"/>
    <w:rsid w:val="004F6A9C"/>
    <w:rsid w:val="004F6B16"/>
    <w:rsid w:val="004F6E48"/>
    <w:rsid w:val="004F6FF0"/>
    <w:rsid w:val="004F7029"/>
    <w:rsid w:val="004F74BD"/>
    <w:rsid w:val="004F766C"/>
    <w:rsid w:val="004F7684"/>
    <w:rsid w:val="004F77A5"/>
    <w:rsid w:val="004F78DB"/>
    <w:rsid w:val="004F7D4E"/>
    <w:rsid w:val="004F7DB9"/>
    <w:rsid w:val="00500705"/>
    <w:rsid w:val="005007EE"/>
    <w:rsid w:val="00500E45"/>
    <w:rsid w:val="00500F8B"/>
    <w:rsid w:val="00500FBE"/>
    <w:rsid w:val="00501283"/>
    <w:rsid w:val="0050155C"/>
    <w:rsid w:val="005016E8"/>
    <w:rsid w:val="00501A3D"/>
    <w:rsid w:val="00502239"/>
    <w:rsid w:val="005022F7"/>
    <w:rsid w:val="0050258F"/>
    <w:rsid w:val="005026F1"/>
    <w:rsid w:val="00502A63"/>
    <w:rsid w:val="00502BD3"/>
    <w:rsid w:val="005032DF"/>
    <w:rsid w:val="00503577"/>
    <w:rsid w:val="005036C4"/>
    <w:rsid w:val="0050375B"/>
    <w:rsid w:val="0050378C"/>
    <w:rsid w:val="00503B5C"/>
    <w:rsid w:val="00503C4A"/>
    <w:rsid w:val="00503E87"/>
    <w:rsid w:val="00503F03"/>
    <w:rsid w:val="00503F46"/>
    <w:rsid w:val="00504059"/>
    <w:rsid w:val="00504155"/>
    <w:rsid w:val="00504358"/>
    <w:rsid w:val="00504359"/>
    <w:rsid w:val="005043FC"/>
    <w:rsid w:val="00504446"/>
    <w:rsid w:val="0050445F"/>
    <w:rsid w:val="00504882"/>
    <w:rsid w:val="00504996"/>
    <w:rsid w:val="00504A9F"/>
    <w:rsid w:val="00504AE7"/>
    <w:rsid w:val="00504BE5"/>
    <w:rsid w:val="00504F79"/>
    <w:rsid w:val="00505067"/>
    <w:rsid w:val="005050A1"/>
    <w:rsid w:val="00505185"/>
    <w:rsid w:val="005051D4"/>
    <w:rsid w:val="005053DE"/>
    <w:rsid w:val="005054BA"/>
    <w:rsid w:val="005057A4"/>
    <w:rsid w:val="0050588C"/>
    <w:rsid w:val="0050594F"/>
    <w:rsid w:val="00505B43"/>
    <w:rsid w:val="00505D0E"/>
    <w:rsid w:val="00505DD7"/>
    <w:rsid w:val="00505EA8"/>
    <w:rsid w:val="00505F91"/>
    <w:rsid w:val="00506100"/>
    <w:rsid w:val="00506178"/>
    <w:rsid w:val="00506305"/>
    <w:rsid w:val="00506363"/>
    <w:rsid w:val="00506803"/>
    <w:rsid w:val="00507384"/>
    <w:rsid w:val="0050744E"/>
    <w:rsid w:val="00507462"/>
    <w:rsid w:val="0050761B"/>
    <w:rsid w:val="005076B2"/>
    <w:rsid w:val="00507B2B"/>
    <w:rsid w:val="00507CB8"/>
    <w:rsid w:val="00507D29"/>
    <w:rsid w:val="00507E46"/>
    <w:rsid w:val="005100F9"/>
    <w:rsid w:val="00510142"/>
    <w:rsid w:val="0051016A"/>
    <w:rsid w:val="00510179"/>
    <w:rsid w:val="0051028B"/>
    <w:rsid w:val="005103A6"/>
    <w:rsid w:val="00510420"/>
    <w:rsid w:val="00510475"/>
    <w:rsid w:val="00510983"/>
    <w:rsid w:val="00510F30"/>
    <w:rsid w:val="00511096"/>
    <w:rsid w:val="005112BE"/>
    <w:rsid w:val="0051137C"/>
    <w:rsid w:val="005113DE"/>
    <w:rsid w:val="00511496"/>
    <w:rsid w:val="00511760"/>
    <w:rsid w:val="00511840"/>
    <w:rsid w:val="005118E1"/>
    <w:rsid w:val="00511B00"/>
    <w:rsid w:val="00512032"/>
    <w:rsid w:val="00512217"/>
    <w:rsid w:val="0051227F"/>
    <w:rsid w:val="00512498"/>
    <w:rsid w:val="005127D2"/>
    <w:rsid w:val="005127FE"/>
    <w:rsid w:val="00512839"/>
    <w:rsid w:val="005129BB"/>
    <w:rsid w:val="00512C1C"/>
    <w:rsid w:val="00513073"/>
    <w:rsid w:val="00513577"/>
    <w:rsid w:val="005135A9"/>
    <w:rsid w:val="005137CD"/>
    <w:rsid w:val="00513951"/>
    <w:rsid w:val="005139AB"/>
    <w:rsid w:val="005139BB"/>
    <w:rsid w:val="00513B3F"/>
    <w:rsid w:val="00513D3F"/>
    <w:rsid w:val="00513DE2"/>
    <w:rsid w:val="00513FDE"/>
    <w:rsid w:val="005141A8"/>
    <w:rsid w:val="0051425B"/>
    <w:rsid w:val="00514702"/>
    <w:rsid w:val="00514890"/>
    <w:rsid w:val="00514DC5"/>
    <w:rsid w:val="00514F9E"/>
    <w:rsid w:val="00514FE4"/>
    <w:rsid w:val="0051512D"/>
    <w:rsid w:val="00515556"/>
    <w:rsid w:val="00515635"/>
    <w:rsid w:val="00515655"/>
    <w:rsid w:val="0051570E"/>
    <w:rsid w:val="005157CF"/>
    <w:rsid w:val="005159AD"/>
    <w:rsid w:val="00515A43"/>
    <w:rsid w:val="00515A90"/>
    <w:rsid w:val="00515BB2"/>
    <w:rsid w:val="00515C13"/>
    <w:rsid w:val="00515C63"/>
    <w:rsid w:val="00515DD9"/>
    <w:rsid w:val="00515EF8"/>
    <w:rsid w:val="00516442"/>
    <w:rsid w:val="005165CE"/>
    <w:rsid w:val="0051690B"/>
    <w:rsid w:val="00516B2F"/>
    <w:rsid w:val="00516BD9"/>
    <w:rsid w:val="00516DE8"/>
    <w:rsid w:val="00516E0E"/>
    <w:rsid w:val="00517032"/>
    <w:rsid w:val="0051718E"/>
    <w:rsid w:val="005172E5"/>
    <w:rsid w:val="005176A8"/>
    <w:rsid w:val="00517796"/>
    <w:rsid w:val="005177A7"/>
    <w:rsid w:val="0051790E"/>
    <w:rsid w:val="0051791A"/>
    <w:rsid w:val="005179B1"/>
    <w:rsid w:val="00517E12"/>
    <w:rsid w:val="00517E1F"/>
    <w:rsid w:val="00517ED6"/>
    <w:rsid w:val="00517F42"/>
    <w:rsid w:val="00517F4D"/>
    <w:rsid w:val="00520040"/>
    <w:rsid w:val="005201DB"/>
    <w:rsid w:val="00520422"/>
    <w:rsid w:val="00520476"/>
    <w:rsid w:val="00520485"/>
    <w:rsid w:val="005208F0"/>
    <w:rsid w:val="00520A3B"/>
    <w:rsid w:val="00520C3C"/>
    <w:rsid w:val="00520F0A"/>
    <w:rsid w:val="0052109D"/>
    <w:rsid w:val="00521195"/>
    <w:rsid w:val="005211D1"/>
    <w:rsid w:val="00521308"/>
    <w:rsid w:val="005213AB"/>
    <w:rsid w:val="00521494"/>
    <w:rsid w:val="005215CE"/>
    <w:rsid w:val="005217EF"/>
    <w:rsid w:val="005218D0"/>
    <w:rsid w:val="00521DF9"/>
    <w:rsid w:val="00521E7E"/>
    <w:rsid w:val="00522071"/>
    <w:rsid w:val="00522B6D"/>
    <w:rsid w:val="00522C2D"/>
    <w:rsid w:val="00522C41"/>
    <w:rsid w:val="0052309C"/>
    <w:rsid w:val="005233A7"/>
    <w:rsid w:val="00523527"/>
    <w:rsid w:val="0052356A"/>
    <w:rsid w:val="00523AE0"/>
    <w:rsid w:val="00523CCA"/>
    <w:rsid w:val="00523F23"/>
    <w:rsid w:val="00524068"/>
    <w:rsid w:val="005240CF"/>
    <w:rsid w:val="00524280"/>
    <w:rsid w:val="005242EC"/>
    <w:rsid w:val="00524427"/>
    <w:rsid w:val="005245BF"/>
    <w:rsid w:val="0052468C"/>
    <w:rsid w:val="00524698"/>
    <w:rsid w:val="005247FE"/>
    <w:rsid w:val="005249D7"/>
    <w:rsid w:val="00524DD9"/>
    <w:rsid w:val="00525127"/>
    <w:rsid w:val="00525172"/>
    <w:rsid w:val="00525229"/>
    <w:rsid w:val="00525754"/>
    <w:rsid w:val="0052596F"/>
    <w:rsid w:val="0052597E"/>
    <w:rsid w:val="00525A59"/>
    <w:rsid w:val="00525CA2"/>
    <w:rsid w:val="00525F62"/>
    <w:rsid w:val="005261AB"/>
    <w:rsid w:val="005262A6"/>
    <w:rsid w:val="0052660F"/>
    <w:rsid w:val="00526640"/>
    <w:rsid w:val="00526752"/>
    <w:rsid w:val="0052677B"/>
    <w:rsid w:val="00526854"/>
    <w:rsid w:val="00526A39"/>
    <w:rsid w:val="00526AB5"/>
    <w:rsid w:val="00526AB7"/>
    <w:rsid w:val="00526BFC"/>
    <w:rsid w:val="00526CC5"/>
    <w:rsid w:val="00527043"/>
    <w:rsid w:val="00527068"/>
    <w:rsid w:val="00527081"/>
    <w:rsid w:val="005271A5"/>
    <w:rsid w:val="00527495"/>
    <w:rsid w:val="0052779A"/>
    <w:rsid w:val="00527AD5"/>
    <w:rsid w:val="00527BFF"/>
    <w:rsid w:val="00527C66"/>
    <w:rsid w:val="00527C7B"/>
    <w:rsid w:val="00527E70"/>
    <w:rsid w:val="00527F96"/>
    <w:rsid w:val="005307B2"/>
    <w:rsid w:val="00530BCD"/>
    <w:rsid w:val="00530C40"/>
    <w:rsid w:val="00530CEF"/>
    <w:rsid w:val="005311E5"/>
    <w:rsid w:val="00531550"/>
    <w:rsid w:val="00531663"/>
    <w:rsid w:val="0053195C"/>
    <w:rsid w:val="00531BF2"/>
    <w:rsid w:val="00531FA3"/>
    <w:rsid w:val="0053204E"/>
    <w:rsid w:val="005320A0"/>
    <w:rsid w:val="005326E0"/>
    <w:rsid w:val="00532828"/>
    <w:rsid w:val="005328D0"/>
    <w:rsid w:val="00532AC3"/>
    <w:rsid w:val="00532C5A"/>
    <w:rsid w:val="00533062"/>
    <w:rsid w:val="0053311B"/>
    <w:rsid w:val="005332B5"/>
    <w:rsid w:val="00533421"/>
    <w:rsid w:val="005336D6"/>
    <w:rsid w:val="0053374F"/>
    <w:rsid w:val="005337A5"/>
    <w:rsid w:val="005338D2"/>
    <w:rsid w:val="00533A40"/>
    <w:rsid w:val="00533ABE"/>
    <w:rsid w:val="00533BDD"/>
    <w:rsid w:val="00533CF3"/>
    <w:rsid w:val="00533FEF"/>
    <w:rsid w:val="00534146"/>
    <w:rsid w:val="00534662"/>
    <w:rsid w:val="00534684"/>
    <w:rsid w:val="00534B8A"/>
    <w:rsid w:val="00534E21"/>
    <w:rsid w:val="00534E54"/>
    <w:rsid w:val="005354FB"/>
    <w:rsid w:val="0053570F"/>
    <w:rsid w:val="005357F8"/>
    <w:rsid w:val="00535839"/>
    <w:rsid w:val="00535A45"/>
    <w:rsid w:val="00535B89"/>
    <w:rsid w:val="00535EBE"/>
    <w:rsid w:val="00535EE8"/>
    <w:rsid w:val="0053616B"/>
    <w:rsid w:val="00536252"/>
    <w:rsid w:val="005363AC"/>
    <w:rsid w:val="00536875"/>
    <w:rsid w:val="005368D7"/>
    <w:rsid w:val="00536B9F"/>
    <w:rsid w:val="00536DFF"/>
    <w:rsid w:val="005371A5"/>
    <w:rsid w:val="005371D5"/>
    <w:rsid w:val="00537246"/>
    <w:rsid w:val="00537317"/>
    <w:rsid w:val="00537352"/>
    <w:rsid w:val="00537902"/>
    <w:rsid w:val="00537AF6"/>
    <w:rsid w:val="00537B8F"/>
    <w:rsid w:val="00537B97"/>
    <w:rsid w:val="00537C61"/>
    <w:rsid w:val="00540501"/>
    <w:rsid w:val="0054067B"/>
    <w:rsid w:val="005406EA"/>
    <w:rsid w:val="0054072C"/>
    <w:rsid w:val="005409BF"/>
    <w:rsid w:val="00540A50"/>
    <w:rsid w:val="00540E9E"/>
    <w:rsid w:val="00541306"/>
    <w:rsid w:val="00541382"/>
    <w:rsid w:val="005415E6"/>
    <w:rsid w:val="00541853"/>
    <w:rsid w:val="005419AB"/>
    <w:rsid w:val="005419C2"/>
    <w:rsid w:val="00541A18"/>
    <w:rsid w:val="00541B02"/>
    <w:rsid w:val="00541B06"/>
    <w:rsid w:val="00541D3A"/>
    <w:rsid w:val="00541EFB"/>
    <w:rsid w:val="00542264"/>
    <w:rsid w:val="005423AA"/>
    <w:rsid w:val="005423CD"/>
    <w:rsid w:val="0054259F"/>
    <w:rsid w:val="00542610"/>
    <w:rsid w:val="00542A87"/>
    <w:rsid w:val="00542F00"/>
    <w:rsid w:val="00542FCB"/>
    <w:rsid w:val="005434B1"/>
    <w:rsid w:val="005434C7"/>
    <w:rsid w:val="00543BF1"/>
    <w:rsid w:val="00543FBA"/>
    <w:rsid w:val="005441C9"/>
    <w:rsid w:val="005441EE"/>
    <w:rsid w:val="005441F2"/>
    <w:rsid w:val="005449CC"/>
    <w:rsid w:val="00544B89"/>
    <w:rsid w:val="00544C94"/>
    <w:rsid w:val="00544CB3"/>
    <w:rsid w:val="005453CE"/>
    <w:rsid w:val="005454AD"/>
    <w:rsid w:val="0054567C"/>
    <w:rsid w:val="0054574B"/>
    <w:rsid w:val="0054581B"/>
    <w:rsid w:val="005459BC"/>
    <w:rsid w:val="00545D51"/>
    <w:rsid w:val="00545E70"/>
    <w:rsid w:val="005460F4"/>
    <w:rsid w:val="00546174"/>
    <w:rsid w:val="005461F6"/>
    <w:rsid w:val="00546382"/>
    <w:rsid w:val="00546496"/>
    <w:rsid w:val="0054692B"/>
    <w:rsid w:val="00547177"/>
    <w:rsid w:val="00547389"/>
    <w:rsid w:val="005478D3"/>
    <w:rsid w:val="00547961"/>
    <w:rsid w:val="00547AEE"/>
    <w:rsid w:val="00547CD9"/>
    <w:rsid w:val="00547DBB"/>
    <w:rsid w:val="00547E6E"/>
    <w:rsid w:val="00550021"/>
    <w:rsid w:val="00550074"/>
    <w:rsid w:val="005502F8"/>
    <w:rsid w:val="005503F3"/>
    <w:rsid w:val="00550555"/>
    <w:rsid w:val="00550664"/>
    <w:rsid w:val="00550739"/>
    <w:rsid w:val="005507BA"/>
    <w:rsid w:val="00550894"/>
    <w:rsid w:val="005508EA"/>
    <w:rsid w:val="00550A69"/>
    <w:rsid w:val="00550B3D"/>
    <w:rsid w:val="00550DD9"/>
    <w:rsid w:val="00550F98"/>
    <w:rsid w:val="0055112C"/>
    <w:rsid w:val="0055114C"/>
    <w:rsid w:val="005511F7"/>
    <w:rsid w:val="00551266"/>
    <w:rsid w:val="005515C0"/>
    <w:rsid w:val="005515E6"/>
    <w:rsid w:val="005515E7"/>
    <w:rsid w:val="00551755"/>
    <w:rsid w:val="00551933"/>
    <w:rsid w:val="00551992"/>
    <w:rsid w:val="005519F0"/>
    <w:rsid w:val="00551CE1"/>
    <w:rsid w:val="00551DDD"/>
    <w:rsid w:val="00551F9C"/>
    <w:rsid w:val="005522F3"/>
    <w:rsid w:val="005523C1"/>
    <w:rsid w:val="00552B62"/>
    <w:rsid w:val="00552F86"/>
    <w:rsid w:val="00553444"/>
    <w:rsid w:val="00553852"/>
    <w:rsid w:val="00553934"/>
    <w:rsid w:val="00553B58"/>
    <w:rsid w:val="00553ED2"/>
    <w:rsid w:val="00554174"/>
    <w:rsid w:val="005546C2"/>
    <w:rsid w:val="00554809"/>
    <w:rsid w:val="00554896"/>
    <w:rsid w:val="00554A3A"/>
    <w:rsid w:val="00554DAD"/>
    <w:rsid w:val="00554FDF"/>
    <w:rsid w:val="00555215"/>
    <w:rsid w:val="00555426"/>
    <w:rsid w:val="00555839"/>
    <w:rsid w:val="00555BA1"/>
    <w:rsid w:val="00555C30"/>
    <w:rsid w:val="00555C53"/>
    <w:rsid w:val="00555C6C"/>
    <w:rsid w:val="00555CC2"/>
    <w:rsid w:val="00555EDC"/>
    <w:rsid w:val="00555FAF"/>
    <w:rsid w:val="00555FDB"/>
    <w:rsid w:val="0055629A"/>
    <w:rsid w:val="0055655F"/>
    <w:rsid w:val="00556A22"/>
    <w:rsid w:val="00556AB7"/>
    <w:rsid w:val="00556ABC"/>
    <w:rsid w:val="00556AE1"/>
    <w:rsid w:val="00556B79"/>
    <w:rsid w:val="00556C7E"/>
    <w:rsid w:val="00556D45"/>
    <w:rsid w:val="00556F08"/>
    <w:rsid w:val="00557313"/>
    <w:rsid w:val="0055737B"/>
    <w:rsid w:val="005575BD"/>
    <w:rsid w:val="00557C2A"/>
    <w:rsid w:val="00557DFA"/>
    <w:rsid w:val="00557E1E"/>
    <w:rsid w:val="00557FB7"/>
    <w:rsid w:val="00560047"/>
    <w:rsid w:val="005601ED"/>
    <w:rsid w:val="005606CD"/>
    <w:rsid w:val="0056074C"/>
    <w:rsid w:val="00560870"/>
    <w:rsid w:val="00560983"/>
    <w:rsid w:val="00560AE1"/>
    <w:rsid w:val="00560C4E"/>
    <w:rsid w:val="00560CB7"/>
    <w:rsid w:val="00560E16"/>
    <w:rsid w:val="005611A0"/>
    <w:rsid w:val="005611DD"/>
    <w:rsid w:val="00561485"/>
    <w:rsid w:val="005615B8"/>
    <w:rsid w:val="00561619"/>
    <w:rsid w:val="00561BDA"/>
    <w:rsid w:val="00561DEE"/>
    <w:rsid w:val="00561E33"/>
    <w:rsid w:val="00562256"/>
    <w:rsid w:val="005624A9"/>
    <w:rsid w:val="0056261D"/>
    <w:rsid w:val="0056261E"/>
    <w:rsid w:val="00562708"/>
    <w:rsid w:val="00562741"/>
    <w:rsid w:val="005628C0"/>
    <w:rsid w:val="005629DF"/>
    <w:rsid w:val="00562A4A"/>
    <w:rsid w:val="00562CC9"/>
    <w:rsid w:val="00562E39"/>
    <w:rsid w:val="0056327C"/>
    <w:rsid w:val="005633E3"/>
    <w:rsid w:val="005633E9"/>
    <w:rsid w:val="005635EF"/>
    <w:rsid w:val="00563A12"/>
    <w:rsid w:val="00563BD8"/>
    <w:rsid w:val="00563CDE"/>
    <w:rsid w:val="00563F5A"/>
    <w:rsid w:val="005642BC"/>
    <w:rsid w:val="00564B75"/>
    <w:rsid w:val="00564C5F"/>
    <w:rsid w:val="00564CA7"/>
    <w:rsid w:val="00564DC4"/>
    <w:rsid w:val="00564DD6"/>
    <w:rsid w:val="00564E3A"/>
    <w:rsid w:val="00564F5A"/>
    <w:rsid w:val="005651C2"/>
    <w:rsid w:val="00565251"/>
    <w:rsid w:val="005653ED"/>
    <w:rsid w:val="00565500"/>
    <w:rsid w:val="005655C7"/>
    <w:rsid w:val="005655DE"/>
    <w:rsid w:val="00565B61"/>
    <w:rsid w:val="00565CE9"/>
    <w:rsid w:val="00565CF6"/>
    <w:rsid w:val="00565D02"/>
    <w:rsid w:val="00565E23"/>
    <w:rsid w:val="00566011"/>
    <w:rsid w:val="0056620D"/>
    <w:rsid w:val="00566AD8"/>
    <w:rsid w:val="00566AE2"/>
    <w:rsid w:val="00566BBA"/>
    <w:rsid w:val="00566C8D"/>
    <w:rsid w:val="00566D1D"/>
    <w:rsid w:val="00566E03"/>
    <w:rsid w:val="00567076"/>
    <w:rsid w:val="0056708D"/>
    <w:rsid w:val="005671BC"/>
    <w:rsid w:val="0056720C"/>
    <w:rsid w:val="0056739E"/>
    <w:rsid w:val="00567850"/>
    <w:rsid w:val="005679CE"/>
    <w:rsid w:val="00567B73"/>
    <w:rsid w:val="00567C63"/>
    <w:rsid w:val="00567FA4"/>
    <w:rsid w:val="00570144"/>
    <w:rsid w:val="00570547"/>
    <w:rsid w:val="005706E3"/>
    <w:rsid w:val="00570BB3"/>
    <w:rsid w:val="00570EE3"/>
    <w:rsid w:val="00571196"/>
    <w:rsid w:val="0057122A"/>
    <w:rsid w:val="0057131F"/>
    <w:rsid w:val="00571441"/>
    <w:rsid w:val="005714B6"/>
    <w:rsid w:val="005715D4"/>
    <w:rsid w:val="005717DA"/>
    <w:rsid w:val="005718D1"/>
    <w:rsid w:val="0057199C"/>
    <w:rsid w:val="005719EA"/>
    <w:rsid w:val="00571A27"/>
    <w:rsid w:val="00571F15"/>
    <w:rsid w:val="005720AA"/>
    <w:rsid w:val="00572105"/>
    <w:rsid w:val="005721C8"/>
    <w:rsid w:val="00572362"/>
    <w:rsid w:val="005726B9"/>
    <w:rsid w:val="00572987"/>
    <w:rsid w:val="00572ABD"/>
    <w:rsid w:val="00572B32"/>
    <w:rsid w:val="00573117"/>
    <w:rsid w:val="00573259"/>
    <w:rsid w:val="005732E4"/>
    <w:rsid w:val="00573361"/>
    <w:rsid w:val="0057379D"/>
    <w:rsid w:val="00573826"/>
    <w:rsid w:val="00573BDD"/>
    <w:rsid w:val="00573C08"/>
    <w:rsid w:val="00573E99"/>
    <w:rsid w:val="00573EF6"/>
    <w:rsid w:val="0057417B"/>
    <w:rsid w:val="005742B5"/>
    <w:rsid w:val="00574523"/>
    <w:rsid w:val="005748E5"/>
    <w:rsid w:val="00574A3F"/>
    <w:rsid w:val="00574B6E"/>
    <w:rsid w:val="00574C55"/>
    <w:rsid w:val="005751CC"/>
    <w:rsid w:val="0057573D"/>
    <w:rsid w:val="005759B8"/>
    <w:rsid w:val="00575B50"/>
    <w:rsid w:val="00575E18"/>
    <w:rsid w:val="00575FDB"/>
    <w:rsid w:val="0057654E"/>
    <w:rsid w:val="00576625"/>
    <w:rsid w:val="0057664C"/>
    <w:rsid w:val="00576777"/>
    <w:rsid w:val="00576790"/>
    <w:rsid w:val="005767EA"/>
    <w:rsid w:val="00576A83"/>
    <w:rsid w:val="00576D45"/>
    <w:rsid w:val="00576F15"/>
    <w:rsid w:val="005772E0"/>
    <w:rsid w:val="0057731D"/>
    <w:rsid w:val="00577367"/>
    <w:rsid w:val="005773C4"/>
    <w:rsid w:val="005775B5"/>
    <w:rsid w:val="00577661"/>
    <w:rsid w:val="0057787C"/>
    <w:rsid w:val="00577B4F"/>
    <w:rsid w:val="005801B3"/>
    <w:rsid w:val="005801D8"/>
    <w:rsid w:val="005801D9"/>
    <w:rsid w:val="00580337"/>
    <w:rsid w:val="00580430"/>
    <w:rsid w:val="0058046C"/>
    <w:rsid w:val="0058071A"/>
    <w:rsid w:val="0058073F"/>
    <w:rsid w:val="00580A76"/>
    <w:rsid w:val="00580D1C"/>
    <w:rsid w:val="00581189"/>
    <w:rsid w:val="005812EE"/>
    <w:rsid w:val="00581663"/>
    <w:rsid w:val="0058170E"/>
    <w:rsid w:val="0058170F"/>
    <w:rsid w:val="005818AA"/>
    <w:rsid w:val="005819E0"/>
    <w:rsid w:val="00581E63"/>
    <w:rsid w:val="005820F1"/>
    <w:rsid w:val="005828AE"/>
    <w:rsid w:val="005830E9"/>
    <w:rsid w:val="005832B0"/>
    <w:rsid w:val="00583619"/>
    <w:rsid w:val="00583671"/>
    <w:rsid w:val="0058380C"/>
    <w:rsid w:val="005838B4"/>
    <w:rsid w:val="00583ADD"/>
    <w:rsid w:val="00583BAD"/>
    <w:rsid w:val="00583D44"/>
    <w:rsid w:val="00583D98"/>
    <w:rsid w:val="00583F95"/>
    <w:rsid w:val="00583FDF"/>
    <w:rsid w:val="0058413F"/>
    <w:rsid w:val="005844CD"/>
    <w:rsid w:val="005844DC"/>
    <w:rsid w:val="00584980"/>
    <w:rsid w:val="00584DDF"/>
    <w:rsid w:val="00584EA4"/>
    <w:rsid w:val="00585170"/>
    <w:rsid w:val="005851F6"/>
    <w:rsid w:val="00585A60"/>
    <w:rsid w:val="00585A9F"/>
    <w:rsid w:val="00585DAC"/>
    <w:rsid w:val="00586227"/>
    <w:rsid w:val="005862AD"/>
    <w:rsid w:val="005862F8"/>
    <w:rsid w:val="005865D6"/>
    <w:rsid w:val="005865DD"/>
    <w:rsid w:val="00586B37"/>
    <w:rsid w:val="00586C2F"/>
    <w:rsid w:val="00586D1F"/>
    <w:rsid w:val="00586D6E"/>
    <w:rsid w:val="00587159"/>
    <w:rsid w:val="00587222"/>
    <w:rsid w:val="005872B4"/>
    <w:rsid w:val="0058759B"/>
    <w:rsid w:val="005875E3"/>
    <w:rsid w:val="005876AB"/>
    <w:rsid w:val="00587A31"/>
    <w:rsid w:val="00587A3E"/>
    <w:rsid w:val="00590078"/>
    <w:rsid w:val="00590113"/>
    <w:rsid w:val="005903B6"/>
    <w:rsid w:val="005904AF"/>
    <w:rsid w:val="005906EC"/>
    <w:rsid w:val="00590726"/>
    <w:rsid w:val="005908DA"/>
    <w:rsid w:val="00590B50"/>
    <w:rsid w:val="00590D84"/>
    <w:rsid w:val="005910E9"/>
    <w:rsid w:val="00591235"/>
    <w:rsid w:val="0059123B"/>
    <w:rsid w:val="005912EC"/>
    <w:rsid w:val="0059147A"/>
    <w:rsid w:val="005917D5"/>
    <w:rsid w:val="005918F6"/>
    <w:rsid w:val="0059193C"/>
    <w:rsid w:val="005919AC"/>
    <w:rsid w:val="00591CDC"/>
    <w:rsid w:val="00591D47"/>
    <w:rsid w:val="00591DF1"/>
    <w:rsid w:val="00592098"/>
    <w:rsid w:val="005922EF"/>
    <w:rsid w:val="005923D0"/>
    <w:rsid w:val="005924DE"/>
    <w:rsid w:val="00592692"/>
    <w:rsid w:val="005927C0"/>
    <w:rsid w:val="00592C4E"/>
    <w:rsid w:val="0059340B"/>
    <w:rsid w:val="0059351A"/>
    <w:rsid w:val="0059353B"/>
    <w:rsid w:val="0059381E"/>
    <w:rsid w:val="00593898"/>
    <w:rsid w:val="00593B84"/>
    <w:rsid w:val="00593EE1"/>
    <w:rsid w:val="00593F99"/>
    <w:rsid w:val="00593FAF"/>
    <w:rsid w:val="005942A7"/>
    <w:rsid w:val="005943E7"/>
    <w:rsid w:val="00594491"/>
    <w:rsid w:val="00594495"/>
    <w:rsid w:val="005948DD"/>
    <w:rsid w:val="005949D9"/>
    <w:rsid w:val="00594E6A"/>
    <w:rsid w:val="0059502C"/>
    <w:rsid w:val="0059503B"/>
    <w:rsid w:val="005950E9"/>
    <w:rsid w:val="005951F0"/>
    <w:rsid w:val="0059521A"/>
    <w:rsid w:val="0059533A"/>
    <w:rsid w:val="0059556D"/>
    <w:rsid w:val="00595685"/>
    <w:rsid w:val="00595E44"/>
    <w:rsid w:val="00595EA0"/>
    <w:rsid w:val="00595EA5"/>
    <w:rsid w:val="00595F35"/>
    <w:rsid w:val="00596112"/>
    <w:rsid w:val="00596294"/>
    <w:rsid w:val="005962A0"/>
    <w:rsid w:val="00596301"/>
    <w:rsid w:val="00596544"/>
    <w:rsid w:val="00596EFE"/>
    <w:rsid w:val="00596F47"/>
    <w:rsid w:val="005970BE"/>
    <w:rsid w:val="0059715A"/>
    <w:rsid w:val="005971B5"/>
    <w:rsid w:val="0059739E"/>
    <w:rsid w:val="0059741A"/>
    <w:rsid w:val="0059748F"/>
    <w:rsid w:val="0059772A"/>
    <w:rsid w:val="005977B5"/>
    <w:rsid w:val="005979AC"/>
    <w:rsid w:val="005979F6"/>
    <w:rsid w:val="00597C23"/>
    <w:rsid w:val="00597E4F"/>
    <w:rsid w:val="005A000B"/>
    <w:rsid w:val="005A021D"/>
    <w:rsid w:val="005A026A"/>
    <w:rsid w:val="005A037B"/>
    <w:rsid w:val="005A0418"/>
    <w:rsid w:val="005A04C0"/>
    <w:rsid w:val="005A04FA"/>
    <w:rsid w:val="005A060F"/>
    <w:rsid w:val="005A06B3"/>
    <w:rsid w:val="005A0754"/>
    <w:rsid w:val="005A0DC2"/>
    <w:rsid w:val="005A0E24"/>
    <w:rsid w:val="005A0E82"/>
    <w:rsid w:val="005A100D"/>
    <w:rsid w:val="005A1599"/>
    <w:rsid w:val="005A170B"/>
    <w:rsid w:val="005A17E4"/>
    <w:rsid w:val="005A183F"/>
    <w:rsid w:val="005A1ACF"/>
    <w:rsid w:val="005A1CB4"/>
    <w:rsid w:val="005A1FC6"/>
    <w:rsid w:val="005A21BD"/>
    <w:rsid w:val="005A2320"/>
    <w:rsid w:val="005A2769"/>
    <w:rsid w:val="005A299A"/>
    <w:rsid w:val="005A29B1"/>
    <w:rsid w:val="005A2A54"/>
    <w:rsid w:val="005A2B35"/>
    <w:rsid w:val="005A2B36"/>
    <w:rsid w:val="005A2B51"/>
    <w:rsid w:val="005A2C0B"/>
    <w:rsid w:val="005A2C6B"/>
    <w:rsid w:val="005A2D1A"/>
    <w:rsid w:val="005A3011"/>
    <w:rsid w:val="005A3023"/>
    <w:rsid w:val="005A33C7"/>
    <w:rsid w:val="005A33ED"/>
    <w:rsid w:val="005A355F"/>
    <w:rsid w:val="005A3895"/>
    <w:rsid w:val="005A38EA"/>
    <w:rsid w:val="005A3C9A"/>
    <w:rsid w:val="005A3DF1"/>
    <w:rsid w:val="005A4121"/>
    <w:rsid w:val="005A43EB"/>
    <w:rsid w:val="005A446C"/>
    <w:rsid w:val="005A4747"/>
    <w:rsid w:val="005A4A3E"/>
    <w:rsid w:val="005A4BA2"/>
    <w:rsid w:val="005A4C13"/>
    <w:rsid w:val="005A4CCA"/>
    <w:rsid w:val="005A5133"/>
    <w:rsid w:val="005A5173"/>
    <w:rsid w:val="005A5238"/>
    <w:rsid w:val="005A5437"/>
    <w:rsid w:val="005A5878"/>
    <w:rsid w:val="005A590A"/>
    <w:rsid w:val="005A5A70"/>
    <w:rsid w:val="005A5D46"/>
    <w:rsid w:val="005A5DB8"/>
    <w:rsid w:val="005A5E55"/>
    <w:rsid w:val="005A5EF4"/>
    <w:rsid w:val="005A5F9C"/>
    <w:rsid w:val="005A6017"/>
    <w:rsid w:val="005A645F"/>
    <w:rsid w:val="005A6683"/>
    <w:rsid w:val="005A6953"/>
    <w:rsid w:val="005A6CB4"/>
    <w:rsid w:val="005A6CBA"/>
    <w:rsid w:val="005A6CD8"/>
    <w:rsid w:val="005A6D77"/>
    <w:rsid w:val="005A7068"/>
    <w:rsid w:val="005A7254"/>
    <w:rsid w:val="005A729D"/>
    <w:rsid w:val="005A735C"/>
    <w:rsid w:val="005A7C09"/>
    <w:rsid w:val="005A7D1D"/>
    <w:rsid w:val="005A7D6F"/>
    <w:rsid w:val="005A7E03"/>
    <w:rsid w:val="005A7E6C"/>
    <w:rsid w:val="005A7FA2"/>
    <w:rsid w:val="005B046A"/>
    <w:rsid w:val="005B08A3"/>
    <w:rsid w:val="005B0B4C"/>
    <w:rsid w:val="005B1167"/>
    <w:rsid w:val="005B12F6"/>
    <w:rsid w:val="005B1482"/>
    <w:rsid w:val="005B14C2"/>
    <w:rsid w:val="005B15A4"/>
    <w:rsid w:val="005B176D"/>
    <w:rsid w:val="005B18DF"/>
    <w:rsid w:val="005B1910"/>
    <w:rsid w:val="005B1D92"/>
    <w:rsid w:val="005B1EB6"/>
    <w:rsid w:val="005B1F1E"/>
    <w:rsid w:val="005B20D9"/>
    <w:rsid w:val="005B23D8"/>
    <w:rsid w:val="005B23DA"/>
    <w:rsid w:val="005B24ED"/>
    <w:rsid w:val="005B29A9"/>
    <w:rsid w:val="005B2BBD"/>
    <w:rsid w:val="005B312D"/>
    <w:rsid w:val="005B32EA"/>
    <w:rsid w:val="005B342E"/>
    <w:rsid w:val="005B3840"/>
    <w:rsid w:val="005B3968"/>
    <w:rsid w:val="005B3B22"/>
    <w:rsid w:val="005B3B2E"/>
    <w:rsid w:val="005B3B5E"/>
    <w:rsid w:val="005B3E18"/>
    <w:rsid w:val="005B3F0C"/>
    <w:rsid w:val="005B42A1"/>
    <w:rsid w:val="005B463E"/>
    <w:rsid w:val="005B4736"/>
    <w:rsid w:val="005B4851"/>
    <w:rsid w:val="005B4861"/>
    <w:rsid w:val="005B48B5"/>
    <w:rsid w:val="005B48C4"/>
    <w:rsid w:val="005B4974"/>
    <w:rsid w:val="005B49D1"/>
    <w:rsid w:val="005B4B7F"/>
    <w:rsid w:val="005B4B98"/>
    <w:rsid w:val="005B4D4A"/>
    <w:rsid w:val="005B4E6D"/>
    <w:rsid w:val="005B4ECF"/>
    <w:rsid w:val="005B5043"/>
    <w:rsid w:val="005B5063"/>
    <w:rsid w:val="005B52C4"/>
    <w:rsid w:val="005B5768"/>
    <w:rsid w:val="005B5885"/>
    <w:rsid w:val="005B5937"/>
    <w:rsid w:val="005B5B9E"/>
    <w:rsid w:val="005B5D15"/>
    <w:rsid w:val="005B5F56"/>
    <w:rsid w:val="005B5F57"/>
    <w:rsid w:val="005B609A"/>
    <w:rsid w:val="005B6286"/>
    <w:rsid w:val="005B6307"/>
    <w:rsid w:val="005B6490"/>
    <w:rsid w:val="005B6756"/>
    <w:rsid w:val="005B6C5C"/>
    <w:rsid w:val="005B6CFB"/>
    <w:rsid w:val="005B6E3D"/>
    <w:rsid w:val="005B7372"/>
    <w:rsid w:val="005B73F4"/>
    <w:rsid w:val="005B7686"/>
    <w:rsid w:val="005B77FF"/>
    <w:rsid w:val="005B7855"/>
    <w:rsid w:val="005B7A2E"/>
    <w:rsid w:val="005B7B48"/>
    <w:rsid w:val="005B7BBF"/>
    <w:rsid w:val="005B7CF2"/>
    <w:rsid w:val="005B7F11"/>
    <w:rsid w:val="005B7F14"/>
    <w:rsid w:val="005C0073"/>
    <w:rsid w:val="005C016B"/>
    <w:rsid w:val="005C0225"/>
    <w:rsid w:val="005C0380"/>
    <w:rsid w:val="005C06C9"/>
    <w:rsid w:val="005C0E22"/>
    <w:rsid w:val="005C15C5"/>
    <w:rsid w:val="005C1A46"/>
    <w:rsid w:val="005C1CB0"/>
    <w:rsid w:val="005C1F01"/>
    <w:rsid w:val="005C20FC"/>
    <w:rsid w:val="005C212A"/>
    <w:rsid w:val="005C2191"/>
    <w:rsid w:val="005C229E"/>
    <w:rsid w:val="005C22DE"/>
    <w:rsid w:val="005C22DF"/>
    <w:rsid w:val="005C2344"/>
    <w:rsid w:val="005C2547"/>
    <w:rsid w:val="005C277B"/>
    <w:rsid w:val="005C28DA"/>
    <w:rsid w:val="005C29D0"/>
    <w:rsid w:val="005C321E"/>
    <w:rsid w:val="005C32B7"/>
    <w:rsid w:val="005C3431"/>
    <w:rsid w:val="005C348D"/>
    <w:rsid w:val="005C34C7"/>
    <w:rsid w:val="005C34E6"/>
    <w:rsid w:val="005C35D4"/>
    <w:rsid w:val="005C3881"/>
    <w:rsid w:val="005C38F0"/>
    <w:rsid w:val="005C3947"/>
    <w:rsid w:val="005C3A08"/>
    <w:rsid w:val="005C454B"/>
    <w:rsid w:val="005C46B5"/>
    <w:rsid w:val="005C4743"/>
    <w:rsid w:val="005C4D2D"/>
    <w:rsid w:val="005C4E14"/>
    <w:rsid w:val="005C4E8D"/>
    <w:rsid w:val="005C502B"/>
    <w:rsid w:val="005C5120"/>
    <w:rsid w:val="005C53AC"/>
    <w:rsid w:val="005C53B1"/>
    <w:rsid w:val="005C587F"/>
    <w:rsid w:val="005C59E3"/>
    <w:rsid w:val="005C5DCF"/>
    <w:rsid w:val="005C5EA0"/>
    <w:rsid w:val="005C5EB0"/>
    <w:rsid w:val="005C5FFD"/>
    <w:rsid w:val="005C60D1"/>
    <w:rsid w:val="005C61C8"/>
    <w:rsid w:val="005C61F7"/>
    <w:rsid w:val="005C62D1"/>
    <w:rsid w:val="005C640D"/>
    <w:rsid w:val="005C6519"/>
    <w:rsid w:val="005C654A"/>
    <w:rsid w:val="005C6559"/>
    <w:rsid w:val="005C65E5"/>
    <w:rsid w:val="005C6986"/>
    <w:rsid w:val="005C6A83"/>
    <w:rsid w:val="005C6A86"/>
    <w:rsid w:val="005C6B32"/>
    <w:rsid w:val="005C6D1D"/>
    <w:rsid w:val="005C6D6F"/>
    <w:rsid w:val="005C7093"/>
    <w:rsid w:val="005C71B7"/>
    <w:rsid w:val="005C745E"/>
    <w:rsid w:val="005C7564"/>
    <w:rsid w:val="005C7582"/>
    <w:rsid w:val="005C7AD4"/>
    <w:rsid w:val="005C7E19"/>
    <w:rsid w:val="005C7FF4"/>
    <w:rsid w:val="005D0061"/>
    <w:rsid w:val="005D020C"/>
    <w:rsid w:val="005D05C5"/>
    <w:rsid w:val="005D076B"/>
    <w:rsid w:val="005D07DE"/>
    <w:rsid w:val="005D0893"/>
    <w:rsid w:val="005D08E2"/>
    <w:rsid w:val="005D09EB"/>
    <w:rsid w:val="005D09FE"/>
    <w:rsid w:val="005D0A11"/>
    <w:rsid w:val="005D0AE0"/>
    <w:rsid w:val="005D0E85"/>
    <w:rsid w:val="005D0FC7"/>
    <w:rsid w:val="005D1234"/>
    <w:rsid w:val="005D13BD"/>
    <w:rsid w:val="005D1440"/>
    <w:rsid w:val="005D164D"/>
    <w:rsid w:val="005D1730"/>
    <w:rsid w:val="005D177A"/>
    <w:rsid w:val="005D1789"/>
    <w:rsid w:val="005D180C"/>
    <w:rsid w:val="005D19C0"/>
    <w:rsid w:val="005D1A47"/>
    <w:rsid w:val="005D1AB7"/>
    <w:rsid w:val="005D1D52"/>
    <w:rsid w:val="005D20C7"/>
    <w:rsid w:val="005D23C4"/>
    <w:rsid w:val="005D274D"/>
    <w:rsid w:val="005D282E"/>
    <w:rsid w:val="005D289F"/>
    <w:rsid w:val="005D2AAB"/>
    <w:rsid w:val="005D2D9C"/>
    <w:rsid w:val="005D311B"/>
    <w:rsid w:val="005D33F8"/>
    <w:rsid w:val="005D3484"/>
    <w:rsid w:val="005D3557"/>
    <w:rsid w:val="005D3761"/>
    <w:rsid w:val="005D3CBC"/>
    <w:rsid w:val="005D3F41"/>
    <w:rsid w:val="005D3FF8"/>
    <w:rsid w:val="005D42B8"/>
    <w:rsid w:val="005D454D"/>
    <w:rsid w:val="005D4625"/>
    <w:rsid w:val="005D47AB"/>
    <w:rsid w:val="005D48DE"/>
    <w:rsid w:val="005D49FD"/>
    <w:rsid w:val="005D4AA7"/>
    <w:rsid w:val="005D4C90"/>
    <w:rsid w:val="005D4C98"/>
    <w:rsid w:val="005D4CAF"/>
    <w:rsid w:val="005D4D97"/>
    <w:rsid w:val="005D52CE"/>
    <w:rsid w:val="005D539C"/>
    <w:rsid w:val="005D5AB5"/>
    <w:rsid w:val="005D5BC9"/>
    <w:rsid w:val="005D5DCE"/>
    <w:rsid w:val="005D5E6D"/>
    <w:rsid w:val="005D5F2C"/>
    <w:rsid w:val="005D6187"/>
    <w:rsid w:val="005D6470"/>
    <w:rsid w:val="005D65BA"/>
    <w:rsid w:val="005D6714"/>
    <w:rsid w:val="005D6A6B"/>
    <w:rsid w:val="005D6B50"/>
    <w:rsid w:val="005D6BBD"/>
    <w:rsid w:val="005D6D38"/>
    <w:rsid w:val="005D6DA4"/>
    <w:rsid w:val="005D7012"/>
    <w:rsid w:val="005D7274"/>
    <w:rsid w:val="005D72E6"/>
    <w:rsid w:val="005D7361"/>
    <w:rsid w:val="005D7645"/>
    <w:rsid w:val="005D7ABC"/>
    <w:rsid w:val="005D7C06"/>
    <w:rsid w:val="005D7CDD"/>
    <w:rsid w:val="005E01F0"/>
    <w:rsid w:val="005E04FD"/>
    <w:rsid w:val="005E058C"/>
    <w:rsid w:val="005E05DB"/>
    <w:rsid w:val="005E06A8"/>
    <w:rsid w:val="005E06D7"/>
    <w:rsid w:val="005E0716"/>
    <w:rsid w:val="005E0A06"/>
    <w:rsid w:val="005E0B54"/>
    <w:rsid w:val="005E1189"/>
    <w:rsid w:val="005E1356"/>
    <w:rsid w:val="005E1709"/>
    <w:rsid w:val="005E1CE0"/>
    <w:rsid w:val="005E1E06"/>
    <w:rsid w:val="005E1E6A"/>
    <w:rsid w:val="005E1E86"/>
    <w:rsid w:val="005E201C"/>
    <w:rsid w:val="005E211E"/>
    <w:rsid w:val="005E2363"/>
    <w:rsid w:val="005E2550"/>
    <w:rsid w:val="005E25E0"/>
    <w:rsid w:val="005E2763"/>
    <w:rsid w:val="005E27AF"/>
    <w:rsid w:val="005E27BD"/>
    <w:rsid w:val="005E2961"/>
    <w:rsid w:val="005E2AD2"/>
    <w:rsid w:val="005E2D8E"/>
    <w:rsid w:val="005E2F89"/>
    <w:rsid w:val="005E3106"/>
    <w:rsid w:val="005E3383"/>
    <w:rsid w:val="005E33D7"/>
    <w:rsid w:val="005E3641"/>
    <w:rsid w:val="005E3A3C"/>
    <w:rsid w:val="005E3AAC"/>
    <w:rsid w:val="005E3F58"/>
    <w:rsid w:val="005E45C3"/>
    <w:rsid w:val="005E47F7"/>
    <w:rsid w:val="005E4970"/>
    <w:rsid w:val="005E4A12"/>
    <w:rsid w:val="005E4CFE"/>
    <w:rsid w:val="005E4DB3"/>
    <w:rsid w:val="005E4E27"/>
    <w:rsid w:val="005E505A"/>
    <w:rsid w:val="005E5132"/>
    <w:rsid w:val="005E5180"/>
    <w:rsid w:val="005E5341"/>
    <w:rsid w:val="005E597E"/>
    <w:rsid w:val="005E5BEC"/>
    <w:rsid w:val="005E5C3F"/>
    <w:rsid w:val="005E5E29"/>
    <w:rsid w:val="005E6462"/>
    <w:rsid w:val="005E646B"/>
    <w:rsid w:val="005E6512"/>
    <w:rsid w:val="005E66F7"/>
    <w:rsid w:val="005E68F1"/>
    <w:rsid w:val="005E6982"/>
    <w:rsid w:val="005E6C27"/>
    <w:rsid w:val="005E6C73"/>
    <w:rsid w:val="005E6EEF"/>
    <w:rsid w:val="005E6F47"/>
    <w:rsid w:val="005E6F51"/>
    <w:rsid w:val="005E7051"/>
    <w:rsid w:val="005E7353"/>
    <w:rsid w:val="005E7413"/>
    <w:rsid w:val="005E754F"/>
    <w:rsid w:val="005E75DA"/>
    <w:rsid w:val="005E7849"/>
    <w:rsid w:val="005E786F"/>
    <w:rsid w:val="005E7AC3"/>
    <w:rsid w:val="005E7B15"/>
    <w:rsid w:val="005E7BE5"/>
    <w:rsid w:val="005E7CDD"/>
    <w:rsid w:val="005E7F6E"/>
    <w:rsid w:val="005F0220"/>
    <w:rsid w:val="005F02D1"/>
    <w:rsid w:val="005F0764"/>
    <w:rsid w:val="005F0773"/>
    <w:rsid w:val="005F0789"/>
    <w:rsid w:val="005F0865"/>
    <w:rsid w:val="005F08BC"/>
    <w:rsid w:val="005F09B2"/>
    <w:rsid w:val="005F0AAD"/>
    <w:rsid w:val="005F0BE5"/>
    <w:rsid w:val="005F0EAA"/>
    <w:rsid w:val="005F1048"/>
    <w:rsid w:val="005F10F2"/>
    <w:rsid w:val="005F1275"/>
    <w:rsid w:val="005F174E"/>
    <w:rsid w:val="005F17D3"/>
    <w:rsid w:val="005F1944"/>
    <w:rsid w:val="005F1B30"/>
    <w:rsid w:val="005F1D16"/>
    <w:rsid w:val="005F1E3D"/>
    <w:rsid w:val="005F1F64"/>
    <w:rsid w:val="005F2334"/>
    <w:rsid w:val="005F25B0"/>
    <w:rsid w:val="005F25CF"/>
    <w:rsid w:val="005F265D"/>
    <w:rsid w:val="005F2752"/>
    <w:rsid w:val="005F293D"/>
    <w:rsid w:val="005F2B30"/>
    <w:rsid w:val="005F2C52"/>
    <w:rsid w:val="005F2DB3"/>
    <w:rsid w:val="005F32A4"/>
    <w:rsid w:val="005F3457"/>
    <w:rsid w:val="005F3482"/>
    <w:rsid w:val="005F373C"/>
    <w:rsid w:val="005F3795"/>
    <w:rsid w:val="005F3B30"/>
    <w:rsid w:val="005F3B4C"/>
    <w:rsid w:val="005F3B68"/>
    <w:rsid w:val="005F3C44"/>
    <w:rsid w:val="005F3F47"/>
    <w:rsid w:val="005F41C6"/>
    <w:rsid w:val="005F4225"/>
    <w:rsid w:val="005F43FF"/>
    <w:rsid w:val="005F452E"/>
    <w:rsid w:val="005F470D"/>
    <w:rsid w:val="005F471D"/>
    <w:rsid w:val="005F486D"/>
    <w:rsid w:val="005F49E1"/>
    <w:rsid w:val="005F4B5C"/>
    <w:rsid w:val="005F4C77"/>
    <w:rsid w:val="005F4EAC"/>
    <w:rsid w:val="005F5015"/>
    <w:rsid w:val="005F51F6"/>
    <w:rsid w:val="005F571E"/>
    <w:rsid w:val="005F5773"/>
    <w:rsid w:val="005F5AA2"/>
    <w:rsid w:val="005F5F4C"/>
    <w:rsid w:val="005F6091"/>
    <w:rsid w:val="005F62B6"/>
    <w:rsid w:val="005F6338"/>
    <w:rsid w:val="005F6358"/>
    <w:rsid w:val="005F648E"/>
    <w:rsid w:val="005F6554"/>
    <w:rsid w:val="005F656B"/>
    <w:rsid w:val="005F668A"/>
    <w:rsid w:val="005F677E"/>
    <w:rsid w:val="005F6A7C"/>
    <w:rsid w:val="005F6B20"/>
    <w:rsid w:val="005F6BC3"/>
    <w:rsid w:val="005F6BD1"/>
    <w:rsid w:val="005F6C71"/>
    <w:rsid w:val="005F6D0F"/>
    <w:rsid w:val="005F6D2A"/>
    <w:rsid w:val="005F6E33"/>
    <w:rsid w:val="005F6EA1"/>
    <w:rsid w:val="005F72AB"/>
    <w:rsid w:val="005F73AB"/>
    <w:rsid w:val="005F74A3"/>
    <w:rsid w:val="005F7624"/>
    <w:rsid w:val="005F7762"/>
    <w:rsid w:val="005F7846"/>
    <w:rsid w:val="005F7B10"/>
    <w:rsid w:val="005F7BB9"/>
    <w:rsid w:val="005F7D24"/>
    <w:rsid w:val="005F7EF5"/>
    <w:rsid w:val="005F7F05"/>
    <w:rsid w:val="006002AF"/>
    <w:rsid w:val="006006BC"/>
    <w:rsid w:val="006007EB"/>
    <w:rsid w:val="006007FF"/>
    <w:rsid w:val="00600997"/>
    <w:rsid w:val="006009EC"/>
    <w:rsid w:val="00600A14"/>
    <w:rsid w:val="00600B7B"/>
    <w:rsid w:val="00600CCB"/>
    <w:rsid w:val="00600E02"/>
    <w:rsid w:val="00600FB8"/>
    <w:rsid w:val="006010F8"/>
    <w:rsid w:val="00601152"/>
    <w:rsid w:val="00601161"/>
    <w:rsid w:val="006019F4"/>
    <w:rsid w:val="00602202"/>
    <w:rsid w:val="0060223A"/>
    <w:rsid w:val="0060229E"/>
    <w:rsid w:val="006022FB"/>
    <w:rsid w:val="00602366"/>
    <w:rsid w:val="00602B58"/>
    <w:rsid w:val="00602B84"/>
    <w:rsid w:val="00602BA4"/>
    <w:rsid w:val="00602CAC"/>
    <w:rsid w:val="00602CF3"/>
    <w:rsid w:val="00603416"/>
    <w:rsid w:val="00603583"/>
    <w:rsid w:val="006035B4"/>
    <w:rsid w:val="006035FF"/>
    <w:rsid w:val="0060386A"/>
    <w:rsid w:val="00603AD0"/>
    <w:rsid w:val="00603C62"/>
    <w:rsid w:val="00603CE4"/>
    <w:rsid w:val="00603EDE"/>
    <w:rsid w:val="00603FCF"/>
    <w:rsid w:val="0060408F"/>
    <w:rsid w:val="006040D5"/>
    <w:rsid w:val="006041A7"/>
    <w:rsid w:val="006043AF"/>
    <w:rsid w:val="00604418"/>
    <w:rsid w:val="006047E7"/>
    <w:rsid w:val="00604A6A"/>
    <w:rsid w:val="00604C7C"/>
    <w:rsid w:val="00604CC6"/>
    <w:rsid w:val="006052D7"/>
    <w:rsid w:val="00605300"/>
    <w:rsid w:val="006056E0"/>
    <w:rsid w:val="00605780"/>
    <w:rsid w:val="0060581F"/>
    <w:rsid w:val="006058EE"/>
    <w:rsid w:val="00605BC7"/>
    <w:rsid w:val="00605E51"/>
    <w:rsid w:val="00605F15"/>
    <w:rsid w:val="00605F21"/>
    <w:rsid w:val="0060610C"/>
    <w:rsid w:val="0060671E"/>
    <w:rsid w:val="00606798"/>
    <w:rsid w:val="006067BE"/>
    <w:rsid w:val="0060681B"/>
    <w:rsid w:val="00606A65"/>
    <w:rsid w:val="00606C6F"/>
    <w:rsid w:val="00606D00"/>
    <w:rsid w:val="00606E60"/>
    <w:rsid w:val="00606F98"/>
    <w:rsid w:val="006070C6"/>
    <w:rsid w:val="0060743E"/>
    <w:rsid w:val="0060747E"/>
    <w:rsid w:val="0060748D"/>
    <w:rsid w:val="006075BB"/>
    <w:rsid w:val="00607807"/>
    <w:rsid w:val="00607875"/>
    <w:rsid w:val="0061005E"/>
    <w:rsid w:val="006100F0"/>
    <w:rsid w:val="0061035B"/>
    <w:rsid w:val="00610418"/>
    <w:rsid w:val="00610426"/>
    <w:rsid w:val="00610489"/>
    <w:rsid w:val="006104FD"/>
    <w:rsid w:val="006106FF"/>
    <w:rsid w:val="0061071B"/>
    <w:rsid w:val="00610803"/>
    <w:rsid w:val="00610947"/>
    <w:rsid w:val="00610DB2"/>
    <w:rsid w:val="006112F8"/>
    <w:rsid w:val="00611452"/>
    <w:rsid w:val="00611618"/>
    <w:rsid w:val="00611661"/>
    <w:rsid w:val="0061166C"/>
    <w:rsid w:val="006116CB"/>
    <w:rsid w:val="006116EC"/>
    <w:rsid w:val="006118C3"/>
    <w:rsid w:val="006119D8"/>
    <w:rsid w:val="00611D58"/>
    <w:rsid w:val="00611F4C"/>
    <w:rsid w:val="006121E8"/>
    <w:rsid w:val="00612212"/>
    <w:rsid w:val="00612386"/>
    <w:rsid w:val="006123E9"/>
    <w:rsid w:val="00612533"/>
    <w:rsid w:val="006125D7"/>
    <w:rsid w:val="0061283C"/>
    <w:rsid w:val="006128CC"/>
    <w:rsid w:val="00612AA6"/>
    <w:rsid w:val="00612BF0"/>
    <w:rsid w:val="00612FE2"/>
    <w:rsid w:val="00613153"/>
    <w:rsid w:val="00613178"/>
    <w:rsid w:val="00613332"/>
    <w:rsid w:val="0061345C"/>
    <w:rsid w:val="006134A1"/>
    <w:rsid w:val="006134B5"/>
    <w:rsid w:val="006134F4"/>
    <w:rsid w:val="00613B5F"/>
    <w:rsid w:val="00613C58"/>
    <w:rsid w:val="00613E50"/>
    <w:rsid w:val="00613EBF"/>
    <w:rsid w:val="00613EC7"/>
    <w:rsid w:val="00614303"/>
    <w:rsid w:val="00614392"/>
    <w:rsid w:val="00614407"/>
    <w:rsid w:val="006144C9"/>
    <w:rsid w:val="006144F8"/>
    <w:rsid w:val="0061464C"/>
    <w:rsid w:val="00614972"/>
    <w:rsid w:val="00614AE0"/>
    <w:rsid w:val="00614BE3"/>
    <w:rsid w:val="0061552E"/>
    <w:rsid w:val="00615836"/>
    <w:rsid w:val="006158E6"/>
    <w:rsid w:val="006158F2"/>
    <w:rsid w:val="00615927"/>
    <w:rsid w:val="006159D6"/>
    <w:rsid w:val="00615CC8"/>
    <w:rsid w:val="00615DF0"/>
    <w:rsid w:val="00615FD1"/>
    <w:rsid w:val="00616065"/>
    <w:rsid w:val="006163E3"/>
    <w:rsid w:val="006166DC"/>
    <w:rsid w:val="00616D4D"/>
    <w:rsid w:val="00616FEB"/>
    <w:rsid w:val="0061710A"/>
    <w:rsid w:val="0061711C"/>
    <w:rsid w:val="00617447"/>
    <w:rsid w:val="006174C6"/>
    <w:rsid w:val="00617656"/>
    <w:rsid w:val="0061785F"/>
    <w:rsid w:val="00617D5D"/>
    <w:rsid w:val="00617D70"/>
    <w:rsid w:val="00617FF9"/>
    <w:rsid w:val="00620074"/>
    <w:rsid w:val="00620155"/>
    <w:rsid w:val="00620333"/>
    <w:rsid w:val="006205FC"/>
    <w:rsid w:val="00620831"/>
    <w:rsid w:val="006209B0"/>
    <w:rsid w:val="00620B10"/>
    <w:rsid w:val="00620BDC"/>
    <w:rsid w:val="00620C39"/>
    <w:rsid w:val="00621338"/>
    <w:rsid w:val="006216EA"/>
    <w:rsid w:val="00621F68"/>
    <w:rsid w:val="00622073"/>
    <w:rsid w:val="0062215F"/>
    <w:rsid w:val="0062285C"/>
    <w:rsid w:val="0062285D"/>
    <w:rsid w:val="006228C7"/>
    <w:rsid w:val="006228E0"/>
    <w:rsid w:val="00622A54"/>
    <w:rsid w:val="00622B36"/>
    <w:rsid w:val="00622B55"/>
    <w:rsid w:val="00622EBE"/>
    <w:rsid w:val="00622FD0"/>
    <w:rsid w:val="0062365B"/>
    <w:rsid w:val="0062367F"/>
    <w:rsid w:val="0062393B"/>
    <w:rsid w:val="00623A14"/>
    <w:rsid w:val="00623AFE"/>
    <w:rsid w:val="006240FE"/>
    <w:rsid w:val="006241FA"/>
    <w:rsid w:val="00624864"/>
    <w:rsid w:val="00624AAA"/>
    <w:rsid w:val="00624BBA"/>
    <w:rsid w:val="00624CF5"/>
    <w:rsid w:val="00624D40"/>
    <w:rsid w:val="0062501A"/>
    <w:rsid w:val="0062503E"/>
    <w:rsid w:val="0062518E"/>
    <w:rsid w:val="006254F9"/>
    <w:rsid w:val="006259D1"/>
    <w:rsid w:val="00625B1D"/>
    <w:rsid w:val="00625B9D"/>
    <w:rsid w:val="00625F2A"/>
    <w:rsid w:val="00625FFC"/>
    <w:rsid w:val="00626013"/>
    <w:rsid w:val="0062608B"/>
    <w:rsid w:val="0062616D"/>
    <w:rsid w:val="006262AF"/>
    <w:rsid w:val="00626337"/>
    <w:rsid w:val="00626381"/>
    <w:rsid w:val="006263B4"/>
    <w:rsid w:val="00626523"/>
    <w:rsid w:val="006266C1"/>
    <w:rsid w:val="006267ED"/>
    <w:rsid w:val="00626AAE"/>
    <w:rsid w:val="00626B93"/>
    <w:rsid w:val="00627154"/>
    <w:rsid w:val="006271DA"/>
    <w:rsid w:val="00627286"/>
    <w:rsid w:val="006273E8"/>
    <w:rsid w:val="006273F2"/>
    <w:rsid w:val="00627618"/>
    <w:rsid w:val="006277FD"/>
    <w:rsid w:val="006279DD"/>
    <w:rsid w:val="00627BB0"/>
    <w:rsid w:val="00627BB8"/>
    <w:rsid w:val="00627D76"/>
    <w:rsid w:val="00627E0A"/>
    <w:rsid w:val="0063004E"/>
    <w:rsid w:val="0063014C"/>
    <w:rsid w:val="00630344"/>
    <w:rsid w:val="006303D9"/>
    <w:rsid w:val="00630547"/>
    <w:rsid w:val="00630E2E"/>
    <w:rsid w:val="00630EA2"/>
    <w:rsid w:val="00630EDC"/>
    <w:rsid w:val="00631067"/>
    <w:rsid w:val="0063110A"/>
    <w:rsid w:val="00631159"/>
    <w:rsid w:val="0063116A"/>
    <w:rsid w:val="0063119E"/>
    <w:rsid w:val="00631814"/>
    <w:rsid w:val="00631901"/>
    <w:rsid w:val="006319DF"/>
    <w:rsid w:val="006319FA"/>
    <w:rsid w:val="00631CAB"/>
    <w:rsid w:val="0063201D"/>
    <w:rsid w:val="0063220B"/>
    <w:rsid w:val="006322DB"/>
    <w:rsid w:val="006323E6"/>
    <w:rsid w:val="006328C1"/>
    <w:rsid w:val="00632995"/>
    <w:rsid w:val="00632A70"/>
    <w:rsid w:val="00632AA3"/>
    <w:rsid w:val="00632AC1"/>
    <w:rsid w:val="00632FA2"/>
    <w:rsid w:val="00632FE8"/>
    <w:rsid w:val="0063319E"/>
    <w:rsid w:val="006332ED"/>
    <w:rsid w:val="006335B4"/>
    <w:rsid w:val="00633A7B"/>
    <w:rsid w:val="00633B38"/>
    <w:rsid w:val="00633CCC"/>
    <w:rsid w:val="00633F34"/>
    <w:rsid w:val="00633FDB"/>
    <w:rsid w:val="00634131"/>
    <w:rsid w:val="006341F7"/>
    <w:rsid w:val="00634214"/>
    <w:rsid w:val="00634448"/>
    <w:rsid w:val="0063460E"/>
    <w:rsid w:val="0063474D"/>
    <w:rsid w:val="0063492E"/>
    <w:rsid w:val="00634BE4"/>
    <w:rsid w:val="00634DA6"/>
    <w:rsid w:val="00634E46"/>
    <w:rsid w:val="00634EED"/>
    <w:rsid w:val="006350AD"/>
    <w:rsid w:val="00635280"/>
    <w:rsid w:val="006352F9"/>
    <w:rsid w:val="0063543F"/>
    <w:rsid w:val="006354F3"/>
    <w:rsid w:val="00635575"/>
    <w:rsid w:val="00635C12"/>
    <w:rsid w:val="00635C80"/>
    <w:rsid w:val="00636104"/>
    <w:rsid w:val="0063678D"/>
    <w:rsid w:val="0063682B"/>
    <w:rsid w:val="00636A2C"/>
    <w:rsid w:val="00636BF0"/>
    <w:rsid w:val="00636CD9"/>
    <w:rsid w:val="00636D82"/>
    <w:rsid w:val="00636DB3"/>
    <w:rsid w:val="00636FF6"/>
    <w:rsid w:val="00637261"/>
    <w:rsid w:val="0063757F"/>
    <w:rsid w:val="0063771D"/>
    <w:rsid w:val="00637B5C"/>
    <w:rsid w:val="00637C4B"/>
    <w:rsid w:val="00637E53"/>
    <w:rsid w:val="00637EE0"/>
    <w:rsid w:val="00637EE8"/>
    <w:rsid w:val="006404C1"/>
    <w:rsid w:val="006404FC"/>
    <w:rsid w:val="0064052A"/>
    <w:rsid w:val="0064060A"/>
    <w:rsid w:val="00640731"/>
    <w:rsid w:val="00640812"/>
    <w:rsid w:val="00640823"/>
    <w:rsid w:val="00640948"/>
    <w:rsid w:val="0064095B"/>
    <w:rsid w:val="00640F88"/>
    <w:rsid w:val="00641295"/>
    <w:rsid w:val="006413F4"/>
    <w:rsid w:val="00641903"/>
    <w:rsid w:val="00641B81"/>
    <w:rsid w:val="006423EE"/>
    <w:rsid w:val="0064275C"/>
    <w:rsid w:val="0064286C"/>
    <w:rsid w:val="006428CD"/>
    <w:rsid w:val="00642B75"/>
    <w:rsid w:val="00642FC0"/>
    <w:rsid w:val="00643026"/>
    <w:rsid w:val="006434BD"/>
    <w:rsid w:val="006435DF"/>
    <w:rsid w:val="00643666"/>
    <w:rsid w:val="006437DA"/>
    <w:rsid w:val="00643857"/>
    <w:rsid w:val="006439A1"/>
    <w:rsid w:val="006439A5"/>
    <w:rsid w:val="00643B1E"/>
    <w:rsid w:val="00643B65"/>
    <w:rsid w:val="00643DFB"/>
    <w:rsid w:val="006442A6"/>
    <w:rsid w:val="006446AA"/>
    <w:rsid w:val="006446EA"/>
    <w:rsid w:val="0064472D"/>
    <w:rsid w:val="006447C4"/>
    <w:rsid w:val="006448AC"/>
    <w:rsid w:val="00644B56"/>
    <w:rsid w:val="00644CA9"/>
    <w:rsid w:val="00644D10"/>
    <w:rsid w:val="00644DB4"/>
    <w:rsid w:val="00644EBF"/>
    <w:rsid w:val="006450BE"/>
    <w:rsid w:val="006451B4"/>
    <w:rsid w:val="00645399"/>
    <w:rsid w:val="00645439"/>
    <w:rsid w:val="006455D3"/>
    <w:rsid w:val="0064575D"/>
    <w:rsid w:val="00645904"/>
    <w:rsid w:val="00645C7C"/>
    <w:rsid w:val="00645D2D"/>
    <w:rsid w:val="00645D84"/>
    <w:rsid w:val="00645E41"/>
    <w:rsid w:val="006460BE"/>
    <w:rsid w:val="00646150"/>
    <w:rsid w:val="0064638B"/>
    <w:rsid w:val="00646492"/>
    <w:rsid w:val="00646581"/>
    <w:rsid w:val="0064659E"/>
    <w:rsid w:val="0064669F"/>
    <w:rsid w:val="00646858"/>
    <w:rsid w:val="00646A24"/>
    <w:rsid w:val="00646A75"/>
    <w:rsid w:val="00646AE7"/>
    <w:rsid w:val="00646AFD"/>
    <w:rsid w:val="00646E70"/>
    <w:rsid w:val="00646E7F"/>
    <w:rsid w:val="0064703F"/>
    <w:rsid w:val="00647465"/>
    <w:rsid w:val="006474E0"/>
    <w:rsid w:val="00647598"/>
    <w:rsid w:val="00647618"/>
    <w:rsid w:val="0064774A"/>
    <w:rsid w:val="00647767"/>
    <w:rsid w:val="006477AF"/>
    <w:rsid w:val="00647F54"/>
    <w:rsid w:val="00647FA0"/>
    <w:rsid w:val="00647FBE"/>
    <w:rsid w:val="0064CE48"/>
    <w:rsid w:val="0065028A"/>
    <w:rsid w:val="00650499"/>
    <w:rsid w:val="0065066A"/>
    <w:rsid w:val="006506B9"/>
    <w:rsid w:val="006506C2"/>
    <w:rsid w:val="00650AD0"/>
    <w:rsid w:val="00650B69"/>
    <w:rsid w:val="00650C65"/>
    <w:rsid w:val="00651126"/>
    <w:rsid w:val="006511A6"/>
    <w:rsid w:val="00651293"/>
    <w:rsid w:val="006513B0"/>
    <w:rsid w:val="006513E8"/>
    <w:rsid w:val="0065144B"/>
    <w:rsid w:val="0065144F"/>
    <w:rsid w:val="00651573"/>
    <w:rsid w:val="00651AB7"/>
    <w:rsid w:val="00651C2A"/>
    <w:rsid w:val="00651C2C"/>
    <w:rsid w:val="00651CED"/>
    <w:rsid w:val="00651EDA"/>
    <w:rsid w:val="0065211D"/>
    <w:rsid w:val="006523F0"/>
    <w:rsid w:val="0065249C"/>
    <w:rsid w:val="006528CD"/>
    <w:rsid w:val="006528E6"/>
    <w:rsid w:val="00652ED7"/>
    <w:rsid w:val="0065319C"/>
    <w:rsid w:val="0065328D"/>
    <w:rsid w:val="006532BF"/>
    <w:rsid w:val="00653530"/>
    <w:rsid w:val="0065386D"/>
    <w:rsid w:val="00653E39"/>
    <w:rsid w:val="00653EA4"/>
    <w:rsid w:val="00653FEE"/>
    <w:rsid w:val="00654116"/>
    <w:rsid w:val="00654129"/>
    <w:rsid w:val="0065419B"/>
    <w:rsid w:val="00654328"/>
    <w:rsid w:val="00654794"/>
    <w:rsid w:val="006547CA"/>
    <w:rsid w:val="006548C8"/>
    <w:rsid w:val="00654C2C"/>
    <w:rsid w:val="00654DCE"/>
    <w:rsid w:val="00654E1A"/>
    <w:rsid w:val="0065500D"/>
    <w:rsid w:val="00655019"/>
    <w:rsid w:val="006551B7"/>
    <w:rsid w:val="00655351"/>
    <w:rsid w:val="00655450"/>
    <w:rsid w:val="00655852"/>
    <w:rsid w:val="00655915"/>
    <w:rsid w:val="00655977"/>
    <w:rsid w:val="00655F53"/>
    <w:rsid w:val="0065613F"/>
    <w:rsid w:val="00656247"/>
    <w:rsid w:val="00656476"/>
    <w:rsid w:val="006565A5"/>
    <w:rsid w:val="00656BDC"/>
    <w:rsid w:val="00656E69"/>
    <w:rsid w:val="00656E85"/>
    <w:rsid w:val="00657061"/>
    <w:rsid w:val="00657065"/>
    <w:rsid w:val="006570DF"/>
    <w:rsid w:val="00657272"/>
    <w:rsid w:val="006573DA"/>
    <w:rsid w:val="00657469"/>
    <w:rsid w:val="0065760B"/>
    <w:rsid w:val="00657618"/>
    <w:rsid w:val="00657CAC"/>
    <w:rsid w:val="00657FB9"/>
    <w:rsid w:val="0066048E"/>
    <w:rsid w:val="006607DA"/>
    <w:rsid w:val="0066096E"/>
    <w:rsid w:val="006609E7"/>
    <w:rsid w:val="00660A0C"/>
    <w:rsid w:val="00660BB1"/>
    <w:rsid w:val="00660C81"/>
    <w:rsid w:val="00660E39"/>
    <w:rsid w:val="00661047"/>
    <w:rsid w:val="006610DF"/>
    <w:rsid w:val="006612E2"/>
    <w:rsid w:val="00661338"/>
    <w:rsid w:val="00661420"/>
    <w:rsid w:val="00661456"/>
    <w:rsid w:val="006614B9"/>
    <w:rsid w:val="0066185A"/>
    <w:rsid w:val="00661982"/>
    <w:rsid w:val="006619DA"/>
    <w:rsid w:val="00661AE9"/>
    <w:rsid w:val="00661BB9"/>
    <w:rsid w:val="00661EC5"/>
    <w:rsid w:val="00661F0C"/>
    <w:rsid w:val="0066217A"/>
    <w:rsid w:val="0066261A"/>
    <w:rsid w:val="006629A3"/>
    <w:rsid w:val="00662E91"/>
    <w:rsid w:val="00662E9C"/>
    <w:rsid w:val="00662EC4"/>
    <w:rsid w:val="00662FFE"/>
    <w:rsid w:val="006632A0"/>
    <w:rsid w:val="006632CC"/>
    <w:rsid w:val="00663606"/>
    <w:rsid w:val="006639E3"/>
    <w:rsid w:val="00663A2D"/>
    <w:rsid w:val="00663A8D"/>
    <w:rsid w:val="00663D4B"/>
    <w:rsid w:val="00663FB2"/>
    <w:rsid w:val="006643B6"/>
    <w:rsid w:val="00664499"/>
    <w:rsid w:val="00664661"/>
    <w:rsid w:val="00664680"/>
    <w:rsid w:val="0066473D"/>
    <w:rsid w:val="00664ACF"/>
    <w:rsid w:val="00664C79"/>
    <w:rsid w:val="00665372"/>
    <w:rsid w:val="0066551B"/>
    <w:rsid w:val="00665671"/>
    <w:rsid w:val="0066569D"/>
    <w:rsid w:val="00665736"/>
    <w:rsid w:val="006657E3"/>
    <w:rsid w:val="0066598E"/>
    <w:rsid w:val="006659D9"/>
    <w:rsid w:val="00665BCD"/>
    <w:rsid w:val="00665C1C"/>
    <w:rsid w:val="00665EC3"/>
    <w:rsid w:val="00665FDE"/>
    <w:rsid w:val="0066611C"/>
    <w:rsid w:val="00666683"/>
    <w:rsid w:val="0066677A"/>
    <w:rsid w:val="006669CF"/>
    <w:rsid w:val="00667191"/>
    <w:rsid w:val="006671E0"/>
    <w:rsid w:val="00667371"/>
    <w:rsid w:val="0066745D"/>
    <w:rsid w:val="00667986"/>
    <w:rsid w:val="00667D80"/>
    <w:rsid w:val="00670132"/>
    <w:rsid w:val="006702A8"/>
    <w:rsid w:val="00670421"/>
    <w:rsid w:val="006707EA"/>
    <w:rsid w:val="00670A0D"/>
    <w:rsid w:val="00670A71"/>
    <w:rsid w:val="00670BD8"/>
    <w:rsid w:val="00670DB4"/>
    <w:rsid w:val="00670DF7"/>
    <w:rsid w:val="00670EF4"/>
    <w:rsid w:val="0067141C"/>
    <w:rsid w:val="006714A5"/>
    <w:rsid w:val="006714B4"/>
    <w:rsid w:val="00671511"/>
    <w:rsid w:val="00671617"/>
    <w:rsid w:val="0067191C"/>
    <w:rsid w:val="00671C13"/>
    <w:rsid w:val="00671E3A"/>
    <w:rsid w:val="0067206A"/>
    <w:rsid w:val="0067211E"/>
    <w:rsid w:val="006725CA"/>
    <w:rsid w:val="0067294E"/>
    <w:rsid w:val="006729BA"/>
    <w:rsid w:val="006733FA"/>
    <w:rsid w:val="006733FB"/>
    <w:rsid w:val="0067343D"/>
    <w:rsid w:val="00673679"/>
    <w:rsid w:val="006738F1"/>
    <w:rsid w:val="00673D15"/>
    <w:rsid w:val="00674516"/>
    <w:rsid w:val="00674814"/>
    <w:rsid w:val="00674816"/>
    <w:rsid w:val="006749B5"/>
    <w:rsid w:val="006751B0"/>
    <w:rsid w:val="006751B1"/>
    <w:rsid w:val="00675258"/>
    <w:rsid w:val="006752E2"/>
    <w:rsid w:val="00675466"/>
    <w:rsid w:val="00675617"/>
    <w:rsid w:val="00675C3C"/>
    <w:rsid w:val="00675D48"/>
    <w:rsid w:val="00675DF4"/>
    <w:rsid w:val="00676971"/>
    <w:rsid w:val="00676B27"/>
    <w:rsid w:val="00676F20"/>
    <w:rsid w:val="00676FFE"/>
    <w:rsid w:val="00677519"/>
    <w:rsid w:val="00677656"/>
    <w:rsid w:val="00677753"/>
    <w:rsid w:val="00677A01"/>
    <w:rsid w:val="00677D5F"/>
    <w:rsid w:val="00677F58"/>
    <w:rsid w:val="00677FB8"/>
    <w:rsid w:val="00680227"/>
    <w:rsid w:val="006802A5"/>
    <w:rsid w:val="00680B8D"/>
    <w:rsid w:val="00680C60"/>
    <w:rsid w:val="00680E8D"/>
    <w:rsid w:val="006811EE"/>
    <w:rsid w:val="006812AE"/>
    <w:rsid w:val="0068177C"/>
    <w:rsid w:val="006818D1"/>
    <w:rsid w:val="00681925"/>
    <w:rsid w:val="006823E2"/>
    <w:rsid w:val="006829F6"/>
    <w:rsid w:val="00682AE6"/>
    <w:rsid w:val="00682C18"/>
    <w:rsid w:val="00682DA5"/>
    <w:rsid w:val="0068304D"/>
    <w:rsid w:val="00683393"/>
    <w:rsid w:val="006833FA"/>
    <w:rsid w:val="00683563"/>
    <w:rsid w:val="0068359D"/>
    <w:rsid w:val="0068377B"/>
    <w:rsid w:val="006839A0"/>
    <w:rsid w:val="006839D2"/>
    <w:rsid w:val="00683A97"/>
    <w:rsid w:val="00683C24"/>
    <w:rsid w:val="00683CED"/>
    <w:rsid w:val="0068422A"/>
    <w:rsid w:val="00684538"/>
    <w:rsid w:val="0068458C"/>
    <w:rsid w:val="00684C4C"/>
    <w:rsid w:val="00684DC0"/>
    <w:rsid w:val="006850A1"/>
    <w:rsid w:val="006851AD"/>
    <w:rsid w:val="006853C3"/>
    <w:rsid w:val="0068551B"/>
    <w:rsid w:val="00685615"/>
    <w:rsid w:val="0068588B"/>
    <w:rsid w:val="006858A4"/>
    <w:rsid w:val="00685A23"/>
    <w:rsid w:val="00685A77"/>
    <w:rsid w:val="00685C73"/>
    <w:rsid w:val="00685FD3"/>
    <w:rsid w:val="0068609A"/>
    <w:rsid w:val="006863B8"/>
    <w:rsid w:val="00686430"/>
    <w:rsid w:val="00686589"/>
    <w:rsid w:val="0068679F"/>
    <w:rsid w:val="006867D1"/>
    <w:rsid w:val="0068699E"/>
    <w:rsid w:val="00686CFE"/>
    <w:rsid w:val="00686D48"/>
    <w:rsid w:val="00686F3F"/>
    <w:rsid w:val="0068707A"/>
    <w:rsid w:val="0068732B"/>
    <w:rsid w:val="00687462"/>
    <w:rsid w:val="0068749A"/>
    <w:rsid w:val="006875ED"/>
    <w:rsid w:val="00687D88"/>
    <w:rsid w:val="006900A3"/>
    <w:rsid w:val="006901CC"/>
    <w:rsid w:val="00690738"/>
    <w:rsid w:val="0069087D"/>
    <w:rsid w:val="00690910"/>
    <w:rsid w:val="00690AFB"/>
    <w:rsid w:val="00690C88"/>
    <w:rsid w:val="00690CE8"/>
    <w:rsid w:val="00691748"/>
    <w:rsid w:val="006917AC"/>
    <w:rsid w:val="00691F43"/>
    <w:rsid w:val="0069203F"/>
    <w:rsid w:val="006920C5"/>
    <w:rsid w:val="00692119"/>
    <w:rsid w:val="00692620"/>
    <w:rsid w:val="00692699"/>
    <w:rsid w:val="00692727"/>
    <w:rsid w:val="00692748"/>
    <w:rsid w:val="0069274B"/>
    <w:rsid w:val="00692772"/>
    <w:rsid w:val="00692794"/>
    <w:rsid w:val="006929A0"/>
    <w:rsid w:val="00692B5E"/>
    <w:rsid w:val="00692B9D"/>
    <w:rsid w:val="00692BB7"/>
    <w:rsid w:val="00692D0F"/>
    <w:rsid w:val="00692F1A"/>
    <w:rsid w:val="006932AF"/>
    <w:rsid w:val="006933C6"/>
    <w:rsid w:val="0069353C"/>
    <w:rsid w:val="00693835"/>
    <w:rsid w:val="00693A88"/>
    <w:rsid w:val="00693AF5"/>
    <w:rsid w:val="00693C47"/>
    <w:rsid w:val="00693C69"/>
    <w:rsid w:val="00693CAD"/>
    <w:rsid w:val="00693EB3"/>
    <w:rsid w:val="00693F2F"/>
    <w:rsid w:val="00694214"/>
    <w:rsid w:val="00694304"/>
    <w:rsid w:val="006943E5"/>
    <w:rsid w:val="006947D6"/>
    <w:rsid w:val="00694BFA"/>
    <w:rsid w:val="006950FF"/>
    <w:rsid w:val="00695159"/>
    <w:rsid w:val="006951E1"/>
    <w:rsid w:val="0069524C"/>
    <w:rsid w:val="0069555B"/>
    <w:rsid w:val="0069559C"/>
    <w:rsid w:val="0069567B"/>
    <w:rsid w:val="0069578E"/>
    <w:rsid w:val="00695AF7"/>
    <w:rsid w:val="00695B50"/>
    <w:rsid w:val="00695EC6"/>
    <w:rsid w:val="006960F3"/>
    <w:rsid w:val="006965B7"/>
    <w:rsid w:val="0069675C"/>
    <w:rsid w:val="00696832"/>
    <w:rsid w:val="00696922"/>
    <w:rsid w:val="0069698C"/>
    <w:rsid w:val="00696A4B"/>
    <w:rsid w:val="00696C6D"/>
    <w:rsid w:val="00696D0C"/>
    <w:rsid w:val="00696D57"/>
    <w:rsid w:val="00697286"/>
    <w:rsid w:val="006972AF"/>
    <w:rsid w:val="00697A08"/>
    <w:rsid w:val="00697AC8"/>
    <w:rsid w:val="00697BBD"/>
    <w:rsid w:val="00697F1C"/>
    <w:rsid w:val="0069A590"/>
    <w:rsid w:val="006A004A"/>
    <w:rsid w:val="006A04DE"/>
    <w:rsid w:val="006A074D"/>
    <w:rsid w:val="006A07B5"/>
    <w:rsid w:val="006A0D34"/>
    <w:rsid w:val="006A0E96"/>
    <w:rsid w:val="006A10AB"/>
    <w:rsid w:val="006A1261"/>
    <w:rsid w:val="006A1482"/>
    <w:rsid w:val="006A14C3"/>
    <w:rsid w:val="006A14CF"/>
    <w:rsid w:val="006A1511"/>
    <w:rsid w:val="006A1572"/>
    <w:rsid w:val="006A159C"/>
    <w:rsid w:val="006A1932"/>
    <w:rsid w:val="006A1BB9"/>
    <w:rsid w:val="006A1CC8"/>
    <w:rsid w:val="006A2002"/>
    <w:rsid w:val="006A20DE"/>
    <w:rsid w:val="006A21AD"/>
    <w:rsid w:val="006A2221"/>
    <w:rsid w:val="006A2431"/>
    <w:rsid w:val="006A2482"/>
    <w:rsid w:val="006A261D"/>
    <w:rsid w:val="006A2670"/>
    <w:rsid w:val="006A26B7"/>
    <w:rsid w:val="006A2821"/>
    <w:rsid w:val="006A2873"/>
    <w:rsid w:val="006A2A68"/>
    <w:rsid w:val="006A2E09"/>
    <w:rsid w:val="006A339C"/>
    <w:rsid w:val="006A345D"/>
    <w:rsid w:val="006A3992"/>
    <w:rsid w:val="006A3BF0"/>
    <w:rsid w:val="006A3E4E"/>
    <w:rsid w:val="006A3F1E"/>
    <w:rsid w:val="006A40B2"/>
    <w:rsid w:val="006A4334"/>
    <w:rsid w:val="006A44FE"/>
    <w:rsid w:val="006A4579"/>
    <w:rsid w:val="006A493A"/>
    <w:rsid w:val="006A4D2C"/>
    <w:rsid w:val="006A4FE1"/>
    <w:rsid w:val="006A516D"/>
    <w:rsid w:val="006A5476"/>
    <w:rsid w:val="006A55AB"/>
    <w:rsid w:val="006A57E2"/>
    <w:rsid w:val="006A5A03"/>
    <w:rsid w:val="006A5A72"/>
    <w:rsid w:val="006A5B4A"/>
    <w:rsid w:val="006A5C52"/>
    <w:rsid w:val="006A5C7F"/>
    <w:rsid w:val="006A5D9A"/>
    <w:rsid w:val="006A5DA6"/>
    <w:rsid w:val="006A6062"/>
    <w:rsid w:val="006A62B4"/>
    <w:rsid w:val="006A643C"/>
    <w:rsid w:val="006A6524"/>
    <w:rsid w:val="006A665F"/>
    <w:rsid w:val="006A66D5"/>
    <w:rsid w:val="006A68DD"/>
    <w:rsid w:val="006A6BA7"/>
    <w:rsid w:val="006A6F9F"/>
    <w:rsid w:val="006A7100"/>
    <w:rsid w:val="006A71FB"/>
    <w:rsid w:val="006A741B"/>
    <w:rsid w:val="006A7651"/>
    <w:rsid w:val="006A77FB"/>
    <w:rsid w:val="006A7C0E"/>
    <w:rsid w:val="006A7C9E"/>
    <w:rsid w:val="006B0062"/>
    <w:rsid w:val="006B041E"/>
    <w:rsid w:val="006B04AF"/>
    <w:rsid w:val="006B06AE"/>
    <w:rsid w:val="006B0806"/>
    <w:rsid w:val="006B0B6A"/>
    <w:rsid w:val="006B0B84"/>
    <w:rsid w:val="006B0DE3"/>
    <w:rsid w:val="006B1029"/>
    <w:rsid w:val="006B11E7"/>
    <w:rsid w:val="006B1483"/>
    <w:rsid w:val="006B165F"/>
    <w:rsid w:val="006B1775"/>
    <w:rsid w:val="006B18B3"/>
    <w:rsid w:val="006B1935"/>
    <w:rsid w:val="006B19CC"/>
    <w:rsid w:val="006B1B52"/>
    <w:rsid w:val="006B1CA4"/>
    <w:rsid w:val="006B1D70"/>
    <w:rsid w:val="006B239F"/>
    <w:rsid w:val="006B28E0"/>
    <w:rsid w:val="006B292D"/>
    <w:rsid w:val="006B2A89"/>
    <w:rsid w:val="006B3415"/>
    <w:rsid w:val="006B3877"/>
    <w:rsid w:val="006B3E89"/>
    <w:rsid w:val="006B3F16"/>
    <w:rsid w:val="006B4001"/>
    <w:rsid w:val="006B4F11"/>
    <w:rsid w:val="006B4F80"/>
    <w:rsid w:val="006B501D"/>
    <w:rsid w:val="006B523E"/>
    <w:rsid w:val="006B54CB"/>
    <w:rsid w:val="006B5711"/>
    <w:rsid w:val="006B57F7"/>
    <w:rsid w:val="006B58DB"/>
    <w:rsid w:val="006B58F6"/>
    <w:rsid w:val="006B5D0C"/>
    <w:rsid w:val="006B5FD4"/>
    <w:rsid w:val="006B61C6"/>
    <w:rsid w:val="006B6561"/>
    <w:rsid w:val="006B6766"/>
    <w:rsid w:val="006B67AA"/>
    <w:rsid w:val="006B6D3A"/>
    <w:rsid w:val="006B6EC6"/>
    <w:rsid w:val="006B74D3"/>
    <w:rsid w:val="006B7598"/>
    <w:rsid w:val="006B783F"/>
    <w:rsid w:val="006B7872"/>
    <w:rsid w:val="006B7C2B"/>
    <w:rsid w:val="006B7F6B"/>
    <w:rsid w:val="006C024E"/>
    <w:rsid w:val="006C038C"/>
    <w:rsid w:val="006C05EE"/>
    <w:rsid w:val="006C061D"/>
    <w:rsid w:val="006C065E"/>
    <w:rsid w:val="006C0720"/>
    <w:rsid w:val="006C099E"/>
    <w:rsid w:val="006C0B04"/>
    <w:rsid w:val="006C0EDE"/>
    <w:rsid w:val="006C0F85"/>
    <w:rsid w:val="006C1280"/>
    <w:rsid w:val="006C14D8"/>
    <w:rsid w:val="006C1710"/>
    <w:rsid w:val="006C1753"/>
    <w:rsid w:val="006C176F"/>
    <w:rsid w:val="006C1818"/>
    <w:rsid w:val="006C1B75"/>
    <w:rsid w:val="006C1D75"/>
    <w:rsid w:val="006C1FD1"/>
    <w:rsid w:val="006C21F8"/>
    <w:rsid w:val="006C2334"/>
    <w:rsid w:val="006C239E"/>
    <w:rsid w:val="006C24DB"/>
    <w:rsid w:val="006C25A3"/>
    <w:rsid w:val="006C2618"/>
    <w:rsid w:val="006C2695"/>
    <w:rsid w:val="006C269F"/>
    <w:rsid w:val="006C2BBB"/>
    <w:rsid w:val="006C2FCD"/>
    <w:rsid w:val="006C353A"/>
    <w:rsid w:val="006C3A00"/>
    <w:rsid w:val="006C3A81"/>
    <w:rsid w:val="006C3A98"/>
    <w:rsid w:val="006C3D3F"/>
    <w:rsid w:val="006C3F9D"/>
    <w:rsid w:val="006C42E3"/>
    <w:rsid w:val="006C4789"/>
    <w:rsid w:val="006C47D8"/>
    <w:rsid w:val="006C48B1"/>
    <w:rsid w:val="006C4BE6"/>
    <w:rsid w:val="006C4E32"/>
    <w:rsid w:val="006C54CB"/>
    <w:rsid w:val="006C591C"/>
    <w:rsid w:val="006C5A27"/>
    <w:rsid w:val="006C5C90"/>
    <w:rsid w:val="006C5E03"/>
    <w:rsid w:val="006C5FF9"/>
    <w:rsid w:val="006C60EC"/>
    <w:rsid w:val="006C60FF"/>
    <w:rsid w:val="006C6235"/>
    <w:rsid w:val="006C6416"/>
    <w:rsid w:val="006C64C0"/>
    <w:rsid w:val="006C6576"/>
    <w:rsid w:val="006C68CA"/>
    <w:rsid w:val="006C691F"/>
    <w:rsid w:val="006C6A56"/>
    <w:rsid w:val="006C6BDC"/>
    <w:rsid w:val="006C6DD2"/>
    <w:rsid w:val="006C73B7"/>
    <w:rsid w:val="006C7541"/>
    <w:rsid w:val="006C7580"/>
    <w:rsid w:val="006C75FE"/>
    <w:rsid w:val="006C7688"/>
    <w:rsid w:val="006C76E2"/>
    <w:rsid w:val="006C77AA"/>
    <w:rsid w:val="006C7839"/>
    <w:rsid w:val="006C79AE"/>
    <w:rsid w:val="006C79FC"/>
    <w:rsid w:val="006D003D"/>
    <w:rsid w:val="006D0363"/>
    <w:rsid w:val="006D0676"/>
    <w:rsid w:val="006D0789"/>
    <w:rsid w:val="006D07ED"/>
    <w:rsid w:val="006D0933"/>
    <w:rsid w:val="006D0C47"/>
    <w:rsid w:val="006D0C97"/>
    <w:rsid w:val="006D0D12"/>
    <w:rsid w:val="006D0F69"/>
    <w:rsid w:val="006D1161"/>
    <w:rsid w:val="006D161F"/>
    <w:rsid w:val="006D1660"/>
    <w:rsid w:val="006D173F"/>
    <w:rsid w:val="006D1CE2"/>
    <w:rsid w:val="006D22A2"/>
    <w:rsid w:val="006D2561"/>
    <w:rsid w:val="006D260A"/>
    <w:rsid w:val="006D26C9"/>
    <w:rsid w:val="006D27A2"/>
    <w:rsid w:val="006D29EA"/>
    <w:rsid w:val="006D2CA5"/>
    <w:rsid w:val="006D2EE7"/>
    <w:rsid w:val="006D2F5B"/>
    <w:rsid w:val="006D3030"/>
    <w:rsid w:val="006D306E"/>
    <w:rsid w:val="006D35DD"/>
    <w:rsid w:val="006D374B"/>
    <w:rsid w:val="006D3ADE"/>
    <w:rsid w:val="006D3B25"/>
    <w:rsid w:val="006D3D55"/>
    <w:rsid w:val="006D3EBB"/>
    <w:rsid w:val="006D4068"/>
    <w:rsid w:val="006D40AC"/>
    <w:rsid w:val="006D413D"/>
    <w:rsid w:val="006D422F"/>
    <w:rsid w:val="006D42A2"/>
    <w:rsid w:val="006D43AE"/>
    <w:rsid w:val="006D44B6"/>
    <w:rsid w:val="006D478F"/>
    <w:rsid w:val="006D499B"/>
    <w:rsid w:val="006D4A2B"/>
    <w:rsid w:val="006D4A69"/>
    <w:rsid w:val="006D4DEC"/>
    <w:rsid w:val="006D4FB1"/>
    <w:rsid w:val="006D4FE0"/>
    <w:rsid w:val="006D534B"/>
    <w:rsid w:val="006D5363"/>
    <w:rsid w:val="006D562E"/>
    <w:rsid w:val="006D584E"/>
    <w:rsid w:val="006D59D5"/>
    <w:rsid w:val="006D5B13"/>
    <w:rsid w:val="006D5CC9"/>
    <w:rsid w:val="006D5DD9"/>
    <w:rsid w:val="006D60FD"/>
    <w:rsid w:val="006D66BC"/>
    <w:rsid w:val="006D6774"/>
    <w:rsid w:val="006D6802"/>
    <w:rsid w:val="006D6BB8"/>
    <w:rsid w:val="006D6D0B"/>
    <w:rsid w:val="006D6D72"/>
    <w:rsid w:val="006D6DE4"/>
    <w:rsid w:val="006D6E14"/>
    <w:rsid w:val="006D6EF9"/>
    <w:rsid w:val="006D70E6"/>
    <w:rsid w:val="006D7354"/>
    <w:rsid w:val="006D7461"/>
    <w:rsid w:val="006D7576"/>
    <w:rsid w:val="006D75D5"/>
    <w:rsid w:val="006D7908"/>
    <w:rsid w:val="006D7AA9"/>
    <w:rsid w:val="006D7AB8"/>
    <w:rsid w:val="006D7B1F"/>
    <w:rsid w:val="006D7BBE"/>
    <w:rsid w:val="006D7E30"/>
    <w:rsid w:val="006E0319"/>
    <w:rsid w:val="006E0389"/>
    <w:rsid w:val="006E06D8"/>
    <w:rsid w:val="006E0881"/>
    <w:rsid w:val="006E09E4"/>
    <w:rsid w:val="006E09E9"/>
    <w:rsid w:val="006E09F4"/>
    <w:rsid w:val="006E0D06"/>
    <w:rsid w:val="006E0D38"/>
    <w:rsid w:val="006E0D62"/>
    <w:rsid w:val="006E0E6B"/>
    <w:rsid w:val="006E0F6E"/>
    <w:rsid w:val="006E0FCB"/>
    <w:rsid w:val="006E0FE9"/>
    <w:rsid w:val="006E11E0"/>
    <w:rsid w:val="006E17ED"/>
    <w:rsid w:val="006E1D01"/>
    <w:rsid w:val="006E1EA9"/>
    <w:rsid w:val="006E21E9"/>
    <w:rsid w:val="006E21FC"/>
    <w:rsid w:val="006E235B"/>
    <w:rsid w:val="006E244A"/>
    <w:rsid w:val="006E2579"/>
    <w:rsid w:val="006E2C09"/>
    <w:rsid w:val="006E2C57"/>
    <w:rsid w:val="006E2CE7"/>
    <w:rsid w:val="006E2CF9"/>
    <w:rsid w:val="006E2D38"/>
    <w:rsid w:val="006E2F48"/>
    <w:rsid w:val="006E311F"/>
    <w:rsid w:val="006E3120"/>
    <w:rsid w:val="006E3192"/>
    <w:rsid w:val="006E31B9"/>
    <w:rsid w:val="006E31EA"/>
    <w:rsid w:val="006E330F"/>
    <w:rsid w:val="006E3485"/>
    <w:rsid w:val="006E3785"/>
    <w:rsid w:val="006E37E2"/>
    <w:rsid w:val="006E3839"/>
    <w:rsid w:val="006E3ABF"/>
    <w:rsid w:val="006E3BAF"/>
    <w:rsid w:val="006E3D9E"/>
    <w:rsid w:val="006E3E13"/>
    <w:rsid w:val="006E3EAE"/>
    <w:rsid w:val="006E40BE"/>
    <w:rsid w:val="006E47DE"/>
    <w:rsid w:val="006E4A9F"/>
    <w:rsid w:val="006E4BC7"/>
    <w:rsid w:val="006E4C49"/>
    <w:rsid w:val="006E4CC3"/>
    <w:rsid w:val="006E4EA8"/>
    <w:rsid w:val="006E5296"/>
    <w:rsid w:val="006E53C6"/>
    <w:rsid w:val="006E53DB"/>
    <w:rsid w:val="006E53F1"/>
    <w:rsid w:val="006E5522"/>
    <w:rsid w:val="006E5869"/>
    <w:rsid w:val="006E592F"/>
    <w:rsid w:val="006E5A7F"/>
    <w:rsid w:val="006E5B46"/>
    <w:rsid w:val="006E5C33"/>
    <w:rsid w:val="006E5C9D"/>
    <w:rsid w:val="006E5EFA"/>
    <w:rsid w:val="006E6165"/>
    <w:rsid w:val="006E6740"/>
    <w:rsid w:val="006E69CC"/>
    <w:rsid w:val="006E6AAA"/>
    <w:rsid w:val="006E6B4E"/>
    <w:rsid w:val="006E6D06"/>
    <w:rsid w:val="006E6E51"/>
    <w:rsid w:val="006E6F6B"/>
    <w:rsid w:val="006E700C"/>
    <w:rsid w:val="006E7076"/>
    <w:rsid w:val="006E7292"/>
    <w:rsid w:val="006E733A"/>
    <w:rsid w:val="006E76A0"/>
    <w:rsid w:val="006E77BB"/>
    <w:rsid w:val="006E7C96"/>
    <w:rsid w:val="006E7E3C"/>
    <w:rsid w:val="006F00F3"/>
    <w:rsid w:val="006F0285"/>
    <w:rsid w:val="006F02E9"/>
    <w:rsid w:val="006F043F"/>
    <w:rsid w:val="006F0504"/>
    <w:rsid w:val="006F0775"/>
    <w:rsid w:val="006F07DD"/>
    <w:rsid w:val="006F08C2"/>
    <w:rsid w:val="006F0D29"/>
    <w:rsid w:val="006F0D9E"/>
    <w:rsid w:val="006F0FAD"/>
    <w:rsid w:val="006F1050"/>
    <w:rsid w:val="006F105F"/>
    <w:rsid w:val="006F1528"/>
    <w:rsid w:val="006F16EA"/>
    <w:rsid w:val="006F1753"/>
    <w:rsid w:val="006F1911"/>
    <w:rsid w:val="006F1CD3"/>
    <w:rsid w:val="006F1D47"/>
    <w:rsid w:val="006F1DEF"/>
    <w:rsid w:val="006F1F36"/>
    <w:rsid w:val="006F2204"/>
    <w:rsid w:val="006F23FC"/>
    <w:rsid w:val="006F243C"/>
    <w:rsid w:val="006F24CA"/>
    <w:rsid w:val="006F2669"/>
    <w:rsid w:val="006F2753"/>
    <w:rsid w:val="006F28D8"/>
    <w:rsid w:val="006F28E5"/>
    <w:rsid w:val="006F2C3D"/>
    <w:rsid w:val="006F2C66"/>
    <w:rsid w:val="006F2D83"/>
    <w:rsid w:val="006F303F"/>
    <w:rsid w:val="006F308A"/>
    <w:rsid w:val="006F30C3"/>
    <w:rsid w:val="006F34B6"/>
    <w:rsid w:val="006F354A"/>
    <w:rsid w:val="006F3756"/>
    <w:rsid w:val="006F3DD4"/>
    <w:rsid w:val="006F3F07"/>
    <w:rsid w:val="006F3F09"/>
    <w:rsid w:val="006F3F44"/>
    <w:rsid w:val="006F3FB9"/>
    <w:rsid w:val="006F3FC5"/>
    <w:rsid w:val="006F469B"/>
    <w:rsid w:val="006F4746"/>
    <w:rsid w:val="006F48C1"/>
    <w:rsid w:val="006F4955"/>
    <w:rsid w:val="006F4996"/>
    <w:rsid w:val="006F4B73"/>
    <w:rsid w:val="006F4E97"/>
    <w:rsid w:val="006F4F58"/>
    <w:rsid w:val="006F5267"/>
    <w:rsid w:val="006F55FA"/>
    <w:rsid w:val="006F5D73"/>
    <w:rsid w:val="006F5EC3"/>
    <w:rsid w:val="006F5F42"/>
    <w:rsid w:val="006F6058"/>
    <w:rsid w:val="006F6097"/>
    <w:rsid w:val="006F6257"/>
    <w:rsid w:val="006F62F9"/>
    <w:rsid w:val="006F699D"/>
    <w:rsid w:val="006F6A42"/>
    <w:rsid w:val="006F6C31"/>
    <w:rsid w:val="006F6C4D"/>
    <w:rsid w:val="006F7195"/>
    <w:rsid w:val="006F7575"/>
    <w:rsid w:val="006F77F9"/>
    <w:rsid w:val="006F78F3"/>
    <w:rsid w:val="006F7BCB"/>
    <w:rsid w:val="006F7C0C"/>
    <w:rsid w:val="006F7C2E"/>
    <w:rsid w:val="0070061F"/>
    <w:rsid w:val="0070067C"/>
    <w:rsid w:val="00700966"/>
    <w:rsid w:val="00700B2B"/>
    <w:rsid w:val="00700F0E"/>
    <w:rsid w:val="00701109"/>
    <w:rsid w:val="00701258"/>
    <w:rsid w:val="0070132B"/>
    <w:rsid w:val="007013E9"/>
    <w:rsid w:val="0070169A"/>
    <w:rsid w:val="007017B4"/>
    <w:rsid w:val="0070197D"/>
    <w:rsid w:val="00701A16"/>
    <w:rsid w:val="00701B44"/>
    <w:rsid w:val="00701F74"/>
    <w:rsid w:val="00701FE4"/>
    <w:rsid w:val="007021AF"/>
    <w:rsid w:val="007021C7"/>
    <w:rsid w:val="0070224E"/>
    <w:rsid w:val="007025DC"/>
    <w:rsid w:val="007025F6"/>
    <w:rsid w:val="00702680"/>
    <w:rsid w:val="00702688"/>
    <w:rsid w:val="00702BD4"/>
    <w:rsid w:val="00702F4A"/>
    <w:rsid w:val="00702FA5"/>
    <w:rsid w:val="007030A5"/>
    <w:rsid w:val="00703495"/>
    <w:rsid w:val="00703BDD"/>
    <w:rsid w:val="00703C9E"/>
    <w:rsid w:val="00703E58"/>
    <w:rsid w:val="00704158"/>
    <w:rsid w:val="00704579"/>
    <w:rsid w:val="007047A5"/>
    <w:rsid w:val="0070488A"/>
    <w:rsid w:val="007048C0"/>
    <w:rsid w:val="00704A66"/>
    <w:rsid w:val="00704BA2"/>
    <w:rsid w:val="00704E93"/>
    <w:rsid w:val="00705288"/>
    <w:rsid w:val="00705320"/>
    <w:rsid w:val="00705582"/>
    <w:rsid w:val="00705856"/>
    <w:rsid w:val="007058D4"/>
    <w:rsid w:val="00705976"/>
    <w:rsid w:val="00705C8A"/>
    <w:rsid w:val="00705E62"/>
    <w:rsid w:val="00705E94"/>
    <w:rsid w:val="00705EEB"/>
    <w:rsid w:val="00705F7A"/>
    <w:rsid w:val="007060E7"/>
    <w:rsid w:val="0070621D"/>
    <w:rsid w:val="007062EB"/>
    <w:rsid w:val="0070635B"/>
    <w:rsid w:val="00706396"/>
    <w:rsid w:val="007064D7"/>
    <w:rsid w:val="00706591"/>
    <w:rsid w:val="00706AEF"/>
    <w:rsid w:val="00706B96"/>
    <w:rsid w:val="00706C8A"/>
    <w:rsid w:val="007070A7"/>
    <w:rsid w:val="0070732E"/>
    <w:rsid w:val="00707357"/>
    <w:rsid w:val="007075DE"/>
    <w:rsid w:val="00707778"/>
    <w:rsid w:val="007078D3"/>
    <w:rsid w:val="00707B68"/>
    <w:rsid w:val="00707C9C"/>
    <w:rsid w:val="00707EFD"/>
    <w:rsid w:val="00707F02"/>
    <w:rsid w:val="00707F79"/>
    <w:rsid w:val="0070B0E9"/>
    <w:rsid w:val="007100E0"/>
    <w:rsid w:val="00710287"/>
    <w:rsid w:val="00710384"/>
    <w:rsid w:val="0071059C"/>
    <w:rsid w:val="00710903"/>
    <w:rsid w:val="0071095C"/>
    <w:rsid w:val="00710BD0"/>
    <w:rsid w:val="00710C4D"/>
    <w:rsid w:val="00710EF6"/>
    <w:rsid w:val="00710F8E"/>
    <w:rsid w:val="00710FDC"/>
    <w:rsid w:val="00710FE0"/>
    <w:rsid w:val="007115DD"/>
    <w:rsid w:val="00711995"/>
    <w:rsid w:val="007119BA"/>
    <w:rsid w:val="00711A40"/>
    <w:rsid w:val="00711B19"/>
    <w:rsid w:val="00711D79"/>
    <w:rsid w:val="007123F3"/>
    <w:rsid w:val="007124ED"/>
    <w:rsid w:val="007127B4"/>
    <w:rsid w:val="0071284C"/>
    <w:rsid w:val="00712881"/>
    <w:rsid w:val="00712A8A"/>
    <w:rsid w:val="00712ABF"/>
    <w:rsid w:val="00712AD3"/>
    <w:rsid w:val="00712B79"/>
    <w:rsid w:val="00712CA2"/>
    <w:rsid w:val="00712DE6"/>
    <w:rsid w:val="00712E85"/>
    <w:rsid w:val="00712F4A"/>
    <w:rsid w:val="007132B9"/>
    <w:rsid w:val="007136E6"/>
    <w:rsid w:val="00713768"/>
    <w:rsid w:val="00713861"/>
    <w:rsid w:val="00713A2D"/>
    <w:rsid w:val="00713B18"/>
    <w:rsid w:val="00713DD1"/>
    <w:rsid w:val="00714030"/>
    <w:rsid w:val="0071406C"/>
    <w:rsid w:val="007140E5"/>
    <w:rsid w:val="00714155"/>
    <w:rsid w:val="00714422"/>
    <w:rsid w:val="00714695"/>
    <w:rsid w:val="00714946"/>
    <w:rsid w:val="0071495A"/>
    <w:rsid w:val="00714FCD"/>
    <w:rsid w:val="0071562B"/>
    <w:rsid w:val="00715837"/>
    <w:rsid w:val="00715A31"/>
    <w:rsid w:val="00715C16"/>
    <w:rsid w:val="00716023"/>
    <w:rsid w:val="007160B1"/>
    <w:rsid w:val="007163AB"/>
    <w:rsid w:val="0071657D"/>
    <w:rsid w:val="007167F2"/>
    <w:rsid w:val="007167FF"/>
    <w:rsid w:val="00716C09"/>
    <w:rsid w:val="00716CAB"/>
    <w:rsid w:val="007171ED"/>
    <w:rsid w:val="00717632"/>
    <w:rsid w:val="007177ED"/>
    <w:rsid w:val="007178D5"/>
    <w:rsid w:val="00717B5E"/>
    <w:rsid w:val="00717ED9"/>
    <w:rsid w:val="00717F65"/>
    <w:rsid w:val="00717F95"/>
    <w:rsid w:val="00717FB2"/>
    <w:rsid w:val="00717FC3"/>
    <w:rsid w:val="00720146"/>
    <w:rsid w:val="0072018D"/>
    <w:rsid w:val="0072027D"/>
    <w:rsid w:val="00720531"/>
    <w:rsid w:val="0072057C"/>
    <w:rsid w:val="007205C7"/>
    <w:rsid w:val="00720F17"/>
    <w:rsid w:val="00720F50"/>
    <w:rsid w:val="00721127"/>
    <w:rsid w:val="007213DD"/>
    <w:rsid w:val="00721733"/>
    <w:rsid w:val="007218BB"/>
    <w:rsid w:val="00721912"/>
    <w:rsid w:val="00721A0E"/>
    <w:rsid w:val="00721C03"/>
    <w:rsid w:val="00721E85"/>
    <w:rsid w:val="00722069"/>
    <w:rsid w:val="007221A5"/>
    <w:rsid w:val="007222EE"/>
    <w:rsid w:val="007225EF"/>
    <w:rsid w:val="0072293C"/>
    <w:rsid w:val="00722B6F"/>
    <w:rsid w:val="00722E2E"/>
    <w:rsid w:val="00723849"/>
    <w:rsid w:val="00723E9C"/>
    <w:rsid w:val="00724174"/>
    <w:rsid w:val="00724273"/>
    <w:rsid w:val="007243CE"/>
    <w:rsid w:val="0072455B"/>
    <w:rsid w:val="00724991"/>
    <w:rsid w:val="00724C3F"/>
    <w:rsid w:val="007255B3"/>
    <w:rsid w:val="00725601"/>
    <w:rsid w:val="00725873"/>
    <w:rsid w:val="0072597A"/>
    <w:rsid w:val="00725B59"/>
    <w:rsid w:val="00726093"/>
    <w:rsid w:val="00726400"/>
    <w:rsid w:val="007267CE"/>
    <w:rsid w:val="00726DFE"/>
    <w:rsid w:val="00726EC7"/>
    <w:rsid w:val="007274EE"/>
    <w:rsid w:val="007276D1"/>
    <w:rsid w:val="00727C74"/>
    <w:rsid w:val="00727E03"/>
    <w:rsid w:val="00727E5E"/>
    <w:rsid w:val="00727F9A"/>
    <w:rsid w:val="00730470"/>
    <w:rsid w:val="00730476"/>
    <w:rsid w:val="00730535"/>
    <w:rsid w:val="0073057A"/>
    <w:rsid w:val="00730710"/>
    <w:rsid w:val="00730970"/>
    <w:rsid w:val="007309EB"/>
    <w:rsid w:val="00730AE0"/>
    <w:rsid w:val="00730C1B"/>
    <w:rsid w:val="00730CB0"/>
    <w:rsid w:val="00730DA4"/>
    <w:rsid w:val="00730FEB"/>
    <w:rsid w:val="0073103F"/>
    <w:rsid w:val="0073114E"/>
    <w:rsid w:val="00731442"/>
    <w:rsid w:val="007319E2"/>
    <w:rsid w:val="00731C39"/>
    <w:rsid w:val="00731CC6"/>
    <w:rsid w:val="00731DFD"/>
    <w:rsid w:val="00731E63"/>
    <w:rsid w:val="007322D3"/>
    <w:rsid w:val="00732368"/>
    <w:rsid w:val="00732529"/>
    <w:rsid w:val="0073253E"/>
    <w:rsid w:val="007327DC"/>
    <w:rsid w:val="00732D20"/>
    <w:rsid w:val="00732F30"/>
    <w:rsid w:val="00732F40"/>
    <w:rsid w:val="00733124"/>
    <w:rsid w:val="00733221"/>
    <w:rsid w:val="00733328"/>
    <w:rsid w:val="00733366"/>
    <w:rsid w:val="0073348D"/>
    <w:rsid w:val="00733687"/>
    <w:rsid w:val="007337EB"/>
    <w:rsid w:val="00733861"/>
    <w:rsid w:val="0073393A"/>
    <w:rsid w:val="00733AEB"/>
    <w:rsid w:val="00733D2A"/>
    <w:rsid w:val="00733EB0"/>
    <w:rsid w:val="0073439B"/>
    <w:rsid w:val="0073466F"/>
    <w:rsid w:val="007346B5"/>
    <w:rsid w:val="007346F7"/>
    <w:rsid w:val="00734B3A"/>
    <w:rsid w:val="00734B70"/>
    <w:rsid w:val="00734BA1"/>
    <w:rsid w:val="00734BDB"/>
    <w:rsid w:val="00734CA7"/>
    <w:rsid w:val="00734E65"/>
    <w:rsid w:val="0073508A"/>
    <w:rsid w:val="007351DB"/>
    <w:rsid w:val="007353AF"/>
    <w:rsid w:val="00735570"/>
    <w:rsid w:val="00735739"/>
    <w:rsid w:val="0073574B"/>
    <w:rsid w:val="00735821"/>
    <w:rsid w:val="007358D2"/>
    <w:rsid w:val="00735A7C"/>
    <w:rsid w:val="00735A82"/>
    <w:rsid w:val="00735AB5"/>
    <w:rsid w:val="00735E08"/>
    <w:rsid w:val="00735F7C"/>
    <w:rsid w:val="007361E1"/>
    <w:rsid w:val="00736500"/>
    <w:rsid w:val="007366E8"/>
    <w:rsid w:val="00736873"/>
    <w:rsid w:val="0073692C"/>
    <w:rsid w:val="0073694C"/>
    <w:rsid w:val="00736A45"/>
    <w:rsid w:val="0073721A"/>
    <w:rsid w:val="00737276"/>
    <w:rsid w:val="007374B6"/>
    <w:rsid w:val="00737650"/>
    <w:rsid w:val="007378CC"/>
    <w:rsid w:val="007378E5"/>
    <w:rsid w:val="00737C8F"/>
    <w:rsid w:val="00739CFE"/>
    <w:rsid w:val="007401B0"/>
    <w:rsid w:val="0074033E"/>
    <w:rsid w:val="0074050D"/>
    <w:rsid w:val="0074063A"/>
    <w:rsid w:val="0074086E"/>
    <w:rsid w:val="007408DB"/>
    <w:rsid w:val="0074095B"/>
    <w:rsid w:val="00740A52"/>
    <w:rsid w:val="00740AFF"/>
    <w:rsid w:val="00740BCC"/>
    <w:rsid w:val="00740C3D"/>
    <w:rsid w:val="00740C74"/>
    <w:rsid w:val="00740DBB"/>
    <w:rsid w:val="00740F17"/>
    <w:rsid w:val="007410F0"/>
    <w:rsid w:val="007411D4"/>
    <w:rsid w:val="00741415"/>
    <w:rsid w:val="00741648"/>
    <w:rsid w:val="00741A28"/>
    <w:rsid w:val="00741A88"/>
    <w:rsid w:val="00741CDB"/>
    <w:rsid w:val="00741EFA"/>
    <w:rsid w:val="0074204E"/>
    <w:rsid w:val="00742070"/>
    <w:rsid w:val="00742133"/>
    <w:rsid w:val="0074213E"/>
    <w:rsid w:val="0074214F"/>
    <w:rsid w:val="00742249"/>
    <w:rsid w:val="00742277"/>
    <w:rsid w:val="007423A2"/>
    <w:rsid w:val="007424D3"/>
    <w:rsid w:val="007429F2"/>
    <w:rsid w:val="00742B85"/>
    <w:rsid w:val="00742B91"/>
    <w:rsid w:val="0074307E"/>
    <w:rsid w:val="0074316A"/>
    <w:rsid w:val="00743273"/>
    <w:rsid w:val="0074373C"/>
    <w:rsid w:val="00743765"/>
    <w:rsid w:val="0074391C"/>
    <w:rsid w:val="00743A6B"/>
    <w:rsid w:val="00743A8E"/>
    <w:rsid w:val="00743B55"/>
    <w:rsid w:val="00743F03"/>
    <w:rsid w:val="007444DB"/>
    <w:rsid w:val="0074461E"/>
    <w:rsid w:val="007448CE"/>
    <w:rsid w:val="00744ACC"/>
    <w:rsid w:val="00744AED"/>
    <w:rsid w:val="00745298"/>
    <w:rsid w:val="0074531B"/>
    <w:rsid w:val="007455AA"/>
    <w:rsid w:val="007455B7"/>
    <w:rsid w:val="00745904"/>
    <w:rsid w:val="0074593D"/>
    <w:rsid w:val="00745C0A"/>
    <w:rsid w:val="00745D3F"/>
    <w:rsid w:val="00745E5A"/>
    <w:rsid w:val="007460F3"/>
    <w:rsid w:val="00746182"/>
    <w:rsid w:val="0074618F"/>
    <w:rsid w:val="0074634C"/>
    <w:rsid w:val="0074645C"/>
    <w:rsid w:val="00746729"/>
    <w:rsid w:val="007467F5"/>
    <w:rsid w:val="00746B4D"/>
    <w:rsid w:val="00746BCF"/>
    <w:rsid w:val="007470CE"/>
    <w:rsid w:val="0074727F"/>
    <w:rsid w:val="007475D3"/>
    <w:rsid w:val="00747655"/>
    <w:rsid w:val="007476F4"/>
    <w:rsid w:val="00747995"/>
    <w:rsid w:val="00747E64"/>
    <w:rsid w:val="00747E70"/>
    <w:rsid w:val="0075038C"/>
    <w:rsid w:val="00750552"/>
    <w:rsid w:val="007506A2"/>
    <w:rsid w:val="007506D2"/>
    <w:rsid w:val="007509B4"/>
    <w:rsid w:val="00750A57"/>
    <w:rsid w:val="00750DC0"/>
    <w:rsid w:val="00750EB4"/>
    <w:rsid w:val="00750F2E"/>
    <w:rsid w:val="00750FC1"/>
    <w:rsid w:val="0075100A"/>
    <w:rsid w:val="007515E8"/>
    <w:rsid w:val="007516AB"/>
    <w:rsid w:val="00751838"/>
    <w:rsid w:val="00751894"/>
    <w:rsid w:val="00751997"/>
    <w:rsid w:val="007519B2"/>
    <w:rsid w:val="00751DB6"/>
    <w:rsid w:val="00751FF0"/>
    <w:rsid w:val="00752565"/>
    <w:rsid w:val="0075264C"/>
    <w:rsid w:val="00752B47"/>
    <w:rsid w:val="00752D0D"/>
    <w:rsid w:val="00752DE5"/>
    <w:rsid w:val="00752E48"/>
    <w:rsid w:val="00752E55"/>
    <w:rsid w:val="00752E9D"/>
    <w:rsid w:val="00752F66"/>
    <w:rsid w:val="007538F5"/>
    <w:rsid w:val="00754065"/>
    <w:rsid w:val="00754196"/>
    <w:rsid w:val="007544C9"/>
    <w:rsid w:val="00754609"/>
    <w:rsid w:val="00754756"/>
    <w:rsid w:val="0075477A"/>
    <w:rsid w:val="0075479E"/>
    <w:rsid w:val="00754827"/>
    <w:rsid w:val="007549ED"/>
    <w:rsid w:val="00754F10"/>
    <w:rsid w:val="00755057"/>
    <w:rsid w:val="0075508E"/>
    <w:rsid w:val="00755375"/>
    <w:rsid w:val="00755704"/>
    <w:rsid w:val="00755758"/>
    <w:rsid w:val="0075591D"/>
    <w:rsid w:val="00755B59"/>
    <w:rsid w:val="00755DB4"/>
    <w:rsid w:val="00755DE7"/>
    <w:rsid w:val="00755EC2"/>
    <w:rsid w:val="00756124"/>
    <w:rsid w:val="007562B6"/>
    <w:rsid w:val="007562D2"/>
    <w:rsid w:val="00756587"/>
    <w:rsid w:val="007565A8"/>
    <w:rsid w:val="007566D4"/>
    <w:rsid w:val="00756779"/>
    <w:rsid w:val="007567F3"/>
    <w:rsid w:val="00756864"/>
    <w:rsid w:val="00756865"/>
    <w:rsid w:val="00756EAC"/>
    <w:rsid w:val="00757290"/>
    <w:rsid w:val="00757352"/>
    <w:rsid w:val="00757F84"/>
    <w:rsid w:val="007602F8"/>
    <w:rsid w:val="0076051A"/>
    <w:rsid w:val="0076057C"/>
    <w:rsid w:val="007606A8"/>
    <w:rsid w:val="00760746"/>
    <w:rsid w:val="00760931"/>
    <w:rsid w:val="00760BD1"/>
    <w:rsid w:val="00760D7B"/>
    <w:rsid w:val="00761032"/>
    <w:rsid w:val="007614A7"/>
    <w:rsid w:val="007614E8"/>
    <w:rsid w:val="007615A8"/>
    <w:rsid w:val="007616AE"/>
    <w:rsid w:val="00761768"/>
    <w:rsid w:val="00761A64"/>
    <w:rsid w:val="00761BF5"/>
    <w:rsid w:val="00761E05"/>
    <w:rsid w:val="00761F41"/>
    <w:rsid w:val="00761F86"/>
    <w:rsid w:val="007622A4"/>
    <w:rsid w:val="007623A2"/>
    <w:rsid w:val="00762463"/>
    <w:rsid w:val="00762628"/>
    <w:rsid w:val="0076276A"/>
    <w:rsid w:val="00762866"/>
    <w:rsid w:val="007629AB"/>
    <w:rsid w:val="00762F80"/>
    <w:rsid w:val="007639F6"/>
    <w:rsid w:val="00763AC9"/>
    <w:rsid w:val="00763B0B"/>
    <w:rsid w:val="00763C90"/>
    <w:rsid w:val="00763D63"/>
    <w:rsid w:val="007641D7"/>
    <w:rsid w:val="00764562"/>
    <w:rsid w:val="00764896"/>
    <w:rsid w:val="007649A0"/>
    <w:rsid w:val="007649E0"/>
    <w:rsid w:val="00764A04"/>
    <w:rsid w:val="00764B3A"/>
    <w:rsid w:val="00764C32"/>
    <w:rsid w:val="00764D0E"/>
    <w:rsid w:val="00764D32"/>
    <w:rsid w:val="00764E0F"/>
    <w:rsid w:val="00764EC3"/>
    <w:rsid w:val="0076502D"/>
    <w:rsid w:val="00765117"/>
    <w:rsid w:val="0076529C"/>
    <w:rsid w:val="007654AC"/>
    <w:rsid w:val="00765584"/>
    <w:rsid w:val="007655BF"/>
    <w:rsid w:val="00765B39"/>
    <w:rsid w:val="00765BA9"/>
    <w:rsid w:val="00765BD5"/>
    <w:rsid w:val="00765BEC"/>
    <w:rsid w:val="00765DEE"/>
    <w:rsid w:val="00765F6E"/>
    <w:rsid w:val="00766072"/>
    <w:rsid w:val="007661AE"/>
    <w:rsid w:val="007661D7"/>
    <w:rsid w:val="00766286"/>
    <w:rsid w:val="00766616"/>
    <w:rsid w:val="00766901"/>
    <w:rsid w:val="00766B4C"/>
    <w:rsid w:val="00766C86"/>
    <w:rsid w:val="00766EC3"/>
    <w:rsid w:val="0076708E"/>
    <w:rsid w:val="0076744F"/>
    <w:rsid w:val="00767468"/>
    <w:rsid w:val="00767504"/>
    <w:rsid w:val="007677D7"/>
    <w:rsid w:val="007695BE"/>
    <w:rsid w:val="0077031B"/>
    <w:rsid w:val="00770400"/>
    <w:rsid w:val="00770585"/>
    <w:rsid w:val="007707E6"/>
    <w:rsid w:val="0077090D"/>
    <w:rsid w:val="00770A11"/>
    <w:rsid w:val="00770A7A"/>
    <w:rsid w:val="00770E2F"/>
    <w:rsid w:val="00771135"/>
    <w:rsid w:val="007711F0"/>
    <w:rsid w:val="0077140C"/>
    <w:rsid w:val="00771633"/>
    <w:rsid w:val="00771760"/>
    <w:rsid w:val="00771AB6"/>
    <w:rsid w:val="00771D56"/>
    <w:rsid w:val="00771DE8"/>
    <w:rsid w:val="0077244A"/>
    <w:rsid w:val="0077244E"/>
    <w:rsid w:val="007726CE"/>
    <w:rsid w:val="00772826"/>
    <w:rsid w:val="00772869"/>
    <w:rsid w:val="00772895"/>
    <w:rsid w:val="00772A79"/>
    <w:rsid w:val="00772B87"/>
    <w:rsid w:val="00772BF0"/>
    <w:rsid w:val="00772DBF"/>
    <w:rsid w:val="00772F37"/>
    <w:rsid w:val="007731C8"/>
    <w:rsid w:val="00773331"/>
    <w:rsid w:val="007733F0"/>
    <w:rsid w:val="00773717"/>
    <w:rsid w:val="00773747"/>
    <w:rsid w:val="00773776"/>
    <w:rsid w:val="007737DC"/>
    <w:rsid w:val="00773888"/>
    <w:rsid w:val="00773B07"/>
    <w:rsid w:val="00773BE8"/>
    <w:rsid w:val="00773C38"/>
    <w:rsid w:val="00773DBF"/>
    <w:rsid w:val="00773FD1"/>
    <w:rsid w:val="00773FE0"/>
    <w:rsid w:val="00774023"/>
    <w:rsid w:val="007744CF"/>
    <w:rsid w:val="00774911"/>
    <w:rsid w:val="00774AB7"/>
    <w:rsid w:val="00774C06"/>
    <w:rsid w:val="00774DD0"/>
    <w:rsid w:val="00775141"/>
    <w:rsid w:val="00775673"/>
    <w:rsid w:val="00775689"/>
    <w:rsid w:val="00775A1D"/>
    <w:rsid w:val="00775CB2"/>
    <w:rsid w:val="007761E6"/>
    <w:rsid w:val="0077632C"/>
    <w:rsid w:val="007764E7"/>
    <w:rsid w:val="00776643"/>
    <w:rsid w:val="0077672E"/>
    <w:rsid w:val="00776777"/>
    <w:rsid w:val="007767FD"/>
    <w:rsid w:val="007768E6"/>
    <w:rsid w:val="00776C2C"/>
    <w:rsid w:val="00776C7D"/>
    <w:rsid w:val="00777058"/>
    <w:rsid w:val="007770A7"/>
    <w:rsid w:val="00777257"/>
    <w:rsid w:val="007774C6"/>
    <w:rsid w:val="00777607"/>
    <w:rsid w:val="007777C9"/>
    <w:rsid w:val="00777856"/>
    <w:rsid w:val="007778A4"/>
    <w:rsid w:val="00777ADD"/>
    <w:rsid w:val="00777C5B"/>
    <w:rsid w:val="00777EDB"/>
    <w:rsid w:val="00777F1E"/>
    <w:rsid w:val="00777F23"/>
    <w:rsid w:val="00777F39"/>
    <w:rsid w:val="00780457"/>
    <w:rsid w:val="007805BA"/>
    <w:rsid w:val="0078085A"/>
    <w:rsid w:val="007808D1"/>
    <w:rsid w:val="00781168"/>
    <w:rsid w:val="00781405"/>
    <w:rsid w:val="00781553"/>
    <w:rsid w:val="0078185C"/>
    <w:rsid w:val="00781A39"/>
    <w:rsid w:val="00781ADE"/>
    <w:rsid w:val="00781CD2"/>
    <w:rsid w:val="007820B3"/>
    <w:rsid w:val="00782237"/>
    <w:rsid w:val="007823FB"/>
    <w:rsid w:val="0078240B"/>
    <w:rsid w:val="00782459"/>
    <w:rsid w:val="0078245D"/>
    <w:rsid w:val="007824BA"/>
    <w:rsid w:val="007824E4"/>
    <w:rsid w:val="00782564"/>
    <w:rsid w:val="00782646"/>
    <w:rsid w:val="00782733"/>
    <w:rsid w:val="007827F3"/>
    <w:rsid w:val="00782B5F"/>
    <w:rsid w:val="00782D49"/>
    <w:rsid w:val="00782D7B"/>
    <w:rsid w:val="00782E5C"/>
    <w:rsid w:val="00782F50"/>
    <w:rsid w:val="00782F58"/>
    <w:rsid w:val="0078327C"/>
    <w:rsid w:val="00783367"/>
    <w:rsid w:val="0078352D"/>
    <w:rsid w:val="007835F5"/>
    <w:rsid w:val="007835F6"/>
    <w:rsid w:val="007839F4"/>
    <w:rsid w:val="00783AAA"/>
    <w:rsid w:val="00783B5B"/>
    <w:rsid w:val="00783C0B"/>
    <w:rsid w:val="00783C35"/>
    <w:rsid w:val="00783C70"/>
    <w:rsid w:val="0078408D"/>
    <w:rsid w:val="007841C4"/>
    <w:rsid w:val="00784202"/>
    <w:rsid w:val="00784592"/>
    <w:rsid w:val="00784694"/>
    <w:rsid w:val="007847B9"/>
    <w:rsid w:val="0078524D"/>
    <w:rsid w:val="00785251"/>
    <w:rsid w:val="007852D8"/>
    <w:rsid w:val="00785305"/>
    <w:rsid w:val="007854B3"/>
    <w:rsid w:val="0078594D"/>
    <w:rsid w:val="00785E27"/>
    <w:rsid w:val="00785E9A"/>
    <w:rsid w:val="00785FA0"/>
    <w:rsid w:val="007865C0"/>
    <w:rsid w:val="007867BA"/>
    <w:rsid w:val="0078694D"/>
    <w:rsid w:val="00787224"/>
    <w:rsid w:val="007873B0"/>
    <w:rsid w:val="0078756B"/>
    <w:rsid w:val="007877DE"/>
    <w:rsid w:val="0078798C"/>
    <w:rsid w:val="00787C82"/>
    <w:rsid w:val="00787F8E"/>
    <w:rsid w:val="00790A83"/>
    <w:rsid w:val="007912F2"/>
    <w:rsid w:val="007913C8"/>
    <w:rsid w:val="007913CC"/>
    <w:rsid w:val="0079189D"/>
    <w:rsid w:val="007919BB"/>
    <w:rsid w:val="00791A1E"/>
    <w:rsid w:val="00791B70"/>
    <w:rsid w:val="00791F92"/>
    <w:rsid w:val="00791FE5"/>
    <w:rsid w:val="0079241E"/>
    <w:rsid w:val="00792899"/>
    <w:rsid w:val="00792942"/>
    <w:rsid w:val="00792BFA"/>
    <w:rsid w:val="0079318C"/>
    <w:rsid w:val="007932EF"/>
    <w:rsid w:val="00793432"/>
    <w:rsid w:val="00793440"/>
    <w:rsid w:val="007934E1"/>
    <w:rsid w:val="007938B4"/>
    <w:rsid w:val="00793B20"/>
    <w:rsid w:val="00793D0A"/>
    <w:rsid w:val="00793FE9"/>
    <w:rsid w:val="007940FA"/>
    <w:rsid w:val="0079450B"/>
    <w:rsid w:val="00794865"/>
    <w:rsid w:val="00794A98"/>
    <w:rsid w:val="00794D84"/>
    <w:rsid w:val="00794DBC"/>
    <w:rsid w:val="00794DE8"/>
    <w:rsid w:val="0079507A"/>
    <w:rsid w:val="0079527B"/>
    <w:rsid w:val="007955B3"/>
    <w:rsid w:val="007956F5"/>
    <w:rsid w:val="007959F2"/>
    <w:rsid w:val="0079613C"/>
    <w:rsid w:val="007964E9"/>
    <w:rsid w:val="0079664B"/>
    <w:rsid w:val="00796913"/>
    <w:rsid w:val="0079695C"/>
    <w:rsid w:val="00796C52"/>
    <w:rsid w:val="00796CA2"/>
    <w:rsid w:val="00796D3A"/>
    <w:rsid w:val="0079722D"/>
    <w:rsid w:val="007973DB"/>
    <w:rsid w:val="00797870"/>
    <w:rsid w:val="0079796B"/>
    <w:rsid w:val="00797B2A"/>
    <w:rsid w:val="00797B70"/>
    <w:rsid w:val="00797C88"/>
    <w:rsid w:val="00797D11"/>
    <w:rsid w:val="007A0397"/>
    <w:rsid w:val="007A0563"/>
    <w:rsid w:val="007A0789"/>
    <w:rsid w:val="007A0835"/>
    <w:rsid w:val="007A0E22"/>
    <w:rsid w:val="007A11E7"/>
    <w:rsid w:val="007A191E"/>
    <w:rsid w:val="007A197B"/>
    <w:rsid w:val="007A1A0A"/>
    <w:rsid w:val="007A1B1C"/>
    <w:rsid w:val="007A1DBA"/>
    <w:rsid w:val="007A231E"/>
    <w:rsid w:val="007A23CD"/>
    <w:rsid w:val="007A23DC"/>
    <w:rsid w:val="007A2413"/>
    <w:rsid w:val="007A25CC"/>
    <w:rsid w:val="007A2CA6"/>
    <w:rsid w:val="007A2CD7"/>
    <w:rsid w:val="007A3073"/>
    <w:rsid w:val="007A30A6"/>
    <w:rsid w:val="007A3299"/>
    <w:rsid w:val="007A3438"/>
    <w:rsid w:val="007A345B"/>
    <w:rsid w:val="007A37C3"/>
    <w:rsid w:val="007A3A60"/>
    <w:rsid w:val="007A3BD6"/>
    <w:rsid w:val="007A3DB7"/>
    <w:rsid w:val="007A3DBE"/>
    <w:rsid w:val="007A3EDA"/>
    <w:rsid w:val="007A3FED"/>
    <w:rsid w:val="007A4392"/>
    <w:rsid w:val="007A49C0"/>
    <w:rsid w:val="007A49C4"/>
    <w:rsid w:val="007A49D7"/>
    <w:rsid w:val="007A4FCC"/>
    <w:rsid w:val="007A50B4"/>
    <w:rsid w:val="007A5223"/>
    <w:rsid w:val="007A52E7"/>
    <w:rsid w:val="007A5757"/>
    <w:rsid w:val="007A58A2"/>
    <w:rsid w:val="007A60E0"/>
    <w:rsid w:val="007A656A"/>
    <w:rsid w:val="007A6C97"/>
    <w:rsid w:val="007A6CDF"/>
    <w:rsid w:val="007A7121"/>
    <w:rsid w:val="007A7125"/>
    <w:rsid w:val="007A72F5"/>
    <w:rsid w:val="007A7461"/>
    <w:rsid w:val="007A74A3"/>
    <w:rsid w:val="007A74FB"/>
    <w:rsid w:val="007A7506"/>
    <w:rsid w:val="007A7569"/>
    <w:rsid w:val="007A79C2"/>
    <w:rsid w:val="007B051B"/>
    <w:rsid w:val="007B078D"/>
    <w:rsid w:val="007B0A65"/>
    <w:rsid w:val="007B0ECD"/>
    <w:rsid w:val="007B103F"/>
    <w:rsid w:val="007B10B5"/>
    <w:rsid w:val="007B10C5"/>
    <w:rsid w:val="007B112B"/>
    <w:rsid w:val="007B1192"/>
    <w:rsid w:val="007B1706"/>
    <w:rsid w:val="007B1779"/>
    <w:rsid w:val="007B1B87"/>
    <w:rsid w:val="007B1D29"/>
    <w:rsid w:val="007B2154"/>
    <w:rsid w:val="007B23D0"/>
    <w:rsid w:val="007B23F0"/>
    <w:rsid w:val="007B27A4"/>
    <w:rsid w:val="007B2900"/>
    <w:rsid w:val="007B2A02"/>
    <w:rsid w:val="007B2D13"/>
    <w:rsid w:val="007B3821"/>
    <w:rsid w:val="007B383E"/>
    <w:rsid w:val="007B411D"/>
    <w:rsid w:val="007B42E2"/>
    <w:rsid w:val="007B43B3"/>
    <w:rsid w:val="007B4CD5"/>
    <w:rsid w:val="007B4E23"/>
    <w:rsid w:val="007B52BA"/>
    <w:rsid w:val="007B5408"/>
    <w:rsid w:val="007B55F5"/>
    <w:rsid w:val="007B571F"/>
    <w:rsid w:val="007B57B2"/>
    <w:rsid w:val="007B5B01"/>
    <w:rsid w:val="007B5B99"/>
    <w:rsid w:val="007B5D0A"/>
    <w:rsid w:val="007B5D52"/>
    <w:rsid w:val="007B5D8B"/>
    <w:rsid w:val="007B6029"/>
    <w:rsid w:val="007B618C"/>
    <w:rsid w:val="007B656C"/>
    <w:rsid w:val="007B6584"/>
    <w:rsid w:val="007B66A0"/>
    <w:rsid w:val="007B69A2"/>
    <w:rsid w:val="007B6A34"/>
    <w:rsid w:val="007B6B40"/>
    <w:rsid w:val="007B6C86"/>
    <w:rsid w:val="007B6CE1"/>
    <w:rsid w:val="007B6F5C"/>
    <w:rsid w:val="007B7304"/>
    <w:rsid w:val="007B7455"/>
    <w:rsid w:val="007B7528"/>
    <w:rsid w:val="007B782E"/>
    <w:rsid w:val="007B7AAF"/>
    <w:rsid w:val="007C0445"/>
    <w:rsid w:val="007C0717"/>
    <w:rsid w:val="007C09EB"/>
    <w:rsid w:val="007C0A5E"/>
    <w:rsid w:val="007C0DEF"/>
    <w:rsid w:val="007C0FAB"/>
    <w:rsid w:val="007C100E"/>
    <w:rsid w:val="007C10E3"/>
    <w:rsid w:val="007C1201"/>
    <w:rsid w:val="007C1339"/>
    <w:rsid w:val="007C13DE"/>
    <w:rsid w:val="007C15B0"/>
    <w:rsid w:val="007C1AA8"/>
    <w:rsid w:val="007C1AC2"/>
    <w:rsid w:val="007C1FC0"/>
    <w:rsid w:val="007C2019"/>
    <w:rsid w:val="007C2307"/>
    <w:rsid w:val="007C257B"/>
    <w:rsid w:val="007C2865"/>
    <w:rsid w:val="007C2B6C"/>
    <w:rsid w:val="007C2D51"/>
    <w:rsid w:val="007C3078"/>
    <w:rsid w:val="007C3407"/>
    <w:rsid w:val="007C354F"/>
    <w:rsid w:val="007C3A2B"/>
    <w:rsid w:val="007C3DB5"/>
    <w:rsid w:val="007C3DED"/>
    <w:rsid w:val="007C3E0F"/>
    <w:rsid w:val="007C3E64"/>
    <w:rsid w:val="007C4284"/>
    <w:rsid w:val="007C42E8"/>
    <w:rsid w:val="007C43D8"/>
    <w:rsid w:val="007C460C"/>
    <w:rsid w:val="007C478D"/>
    <w:rsid w:val="007C4A31"/>
    <w:rsid w:val="007C4C65"/>
    <w:rsid w:val="007C4C7D"/>
    <w:rsid w:val="007C4F35"/>
    <w:rsid w:val="007C5125"/>
    <w:rsid w:val="007C5373"/>
    <w:rsid w:val="007C5402"/>
    <w:rsid w:val="007C5730"/>
    <w:rsid w:val="007C5807"/>
    <w:rsid w:val="007C5867"/>
    <w:rsid w:val="007C5BA0"/>
    <w:rsid w:val="007C5C46"/>
    <w:rsid w:val="007C5F30"/>
    <w:rsid w:val="007C5F6D"/>
    <w:rsid w:val="007C5FB0"/>
    <w:rsid w:val="007C5FDF"/>
    <w:rsid w:val="007C610B"/>
    <w:rsid w:val="007C6194"/>
    <w:rsid w:val="007C61CE"/>
    <w:rsid w:val="007C6414"/>
    <w:rsid w:val="007C69C9"/>
    <w:rsid w:val="007C7030"/>
    <w:rsid w:val="007C73CE"/>
    <w:rsid w:val="007C73D4"/>
    <w:rsid w:val="007C7565"/>
    <w:rsid w:val="007C794A"/>
    <w:rsid w:val="007C796C"/>
    <w:rsid w:val="007C7DD3"/>
    <w:rsid w:val="007D0176"/>
    <w:rsid w:val="007D01D1"/>
    <w:rsid w:val="007D034E"/>
    <w:rsid w:val="007D0392"/>
    <w:rsid w:val="007D05F7"/>
    <w:rsid w:val="007D065E"/>
    <w:rsid w:val="007D088C"/>
    <w:rsid w:val="007D08E1"/>
    <w:rsid w:val="007D0ABD"/>
    <w:rsid w:val="007D0C15"/>
    <w:rsid w:val="007D0DE6"/>
    <w:rsid w:val="007D0F0C"/>
    <w:rsid w:val="007D112A"/>
    <w:rsid w:val="007D138A"/>
    <w:rsid w:val="007D13BB"/>
    <w:rsid w:val="007D171D"/>
    <w:rsid w:val="007D173E"/>
    <w:rsid w:val="007D177D"/>
    <w:rsid w:val="007D1A63"/>
    <w:rsid w:val="007D1C57"/>
    <w:rsid w:val="007D1DB9"/>
    <w:rsid w:val="007D1EC7"/>
    <w:rsid w:val="007D23F7"/>
    <w:rsid w:val="007D25CF"/>
    <w:rsid w:val="007D273A"/>
    <w:rsid w:val="007D28BE"/>
    <w:rsid w:val="007D29C4"/>
    <w:rsid w:val="007D2AA4"/>
    <w:rsid w:val="007D2B85"/>
    <w:rsid w:val="007D30DE"/>
    <w:rsid w:val="007D3165"/>
    <w:rsid w:val="007D326D"/>
    <w:rsid w:val="007D33A7"/>
    <w:rsid w:val="007D33AE"/>
    <w:rsid w:val="007D34EB"/>
    <w:rsid w:val="007D35F1"/>
    <w:rsid w:val="007D3809"/>
    <w:rsid w:val="007D3B1C"/>
    <w:rsid w:val="007D3FCD"/>
    <w:rsid w:val="007D42FF"/>
    <w:rsid w:val="007D43F5"/>
    <w:rsid w:val="007D476F"/>
    <w:rsid w:val="007D4D26"/>
    <w:rsid w:val="007D4E04"/>
    <w:rsid w:val="007D4E2B"/>
    <w:rsid w:val="007D4F5F"/>
    <w:rsid w:val="007D4FE8"/>
    <w:rsid w:val="007D50D6"/>
    <w:rsid w:val="007D516A"/>
    <w:rsid w:val="007D534B"/>
    <w:rsid w:val="007D57B6"/>
    <w:rsid w:val="007D5882"/>
    <w:rsid w:val="007D5A76"/>
    <w:rsid w:val="007D5E28"/>
    <w:rsid w:val="007D5ECD"/>
    <w:rsid w:val="007D6201"/>
    <w:rsid w:val="007D625D"/>
    <w:rsid w:val="007D62E0"/>
    <w:rsid w:val="007D6336"/>
    <w:rsid w:val="007D6520"/>
    <w:rsid w:val="007D65CB"/>
    <w:rsid w:val="007D689F"/>
    <w:rsid w:val="007D6F03"/>
    <w:rsid w:val="007D6F86"/>
    <w:rsid w:val="007D734A"/>
    <w:rsid w:val="007D79DA"/>
    <w:rsid w:val="007D7BEC"/>
    <w:rsid w:val="007E016A"/>
    <w:rsid w:val="007E0333"/>
    <w:rsid w:val="007E05B0"/>
    <w:rsid w:val="007E0649"/>
    <w:rsid w:val="007E070D"/>
    <w:rsid w:val="007E0746"/>
    <w:rsid w:val="007E0AC5"/>
    <w:rsid w:val="007E0EF7"/>
    <w:rsid w:val="007E0F1F"/>
    <w:rsid w:val="007E0FDD"/>
    <w:rsid w:val="007E10E8"/>
    <w:rsid w:val="007E11B7"/>
    <w:rsid w:val="007E18D5"/>
    <w:rsid w:val="007E1A38"/>
    <w:rsid w:val="007E1AB7"/>
    <w:rsid w:val="007E1B32"/>
    <w:rsid w:val="007E1D4D"/>
    <w:rsid w:val="007E2311"/>
    <w:rsid w:val="007E2461"/>
    <w:rsid w:val="007E2511"/>
    <w:rsid w:val="007E251B"/>
    <w:rsid w:val="007E276F"/>
    <w:rsid w:val="007E2943"/>
    <w:rsid w:val="007E295F"/>
    <w:rsid w:val="007E2E37"/>
    <w:rsid w:val="007E2EBB"/>
    <w:rsid w:val="007E2FEB"/>
    <w:rsid w:val="007E302E"/>
    <w:rsid w:val="007E304D"/>
    <w:rsid w:val="007E30E5"/>
    <w:rsid w:val="007E3388"/>
    <w:rsid w:val="007E34B2"/>
    <w:rsid w:val="007E34C3"/>
    <w:rsid w:val="007E39CE"/>
    <w:rsid w:val="007E3A0F"/>
    <w:rsid w:val="007E3A98"/>
    <w:rsid w:val="007E3CB7"/>
    <w:rsid w:val="007E3DE7"/>
    <w:rsid w:val="007E3E46"/>
    <w:rsid w:val="007E4056"/>
    <w:rsid w:val="007E4383"/>
    <w:rsid w:val="007E4524"/>
    <w:rsid w:val="007E4622"/>
    <w:rsid w:val="007E46C1"/>
    <w:rsid w:val="007E4943"/>
    <w:rsid w:val="007E498E"/>
    <w:rsid w:val="007E4B47"/>
    <w:rsid w:val="007E50F8"/>
    <w:rsid w:val="007E5116"/>
    <w:rsid w:val="007E5135"/>
    <w:rsid w:val="007E52FB"/>
    <w:rsid w:val="007E563A"/>
    <w:rsid w:val="007E5A95"/>
    <w:rsid w:val="007E5B4E"/>
    <w:rsid w:val="007E5C40"/>
    <w:rsid w:val="007E5CB9"/>
    <w:rsid w:val="007E6171"/>
    <w:rsid w:val="007E62A6"/>
    <w:rsid w:val="007E645D"/>
    <w:rsid w:val="007E6636"/>
    <w:rsid w:val="007E6784"/>
    <w:rsid w:val="007E67EE"/>
    <w:rsid w:val="007E684A"/>
    <w:rsid w:val="007E694E"/>
    <w:rsid w:val="007E69E0"/>
    <w:rsid w:val="007E6A92"/>
    <w:rsid w:val="007E6AAE"/>
    <w:rsid w:val="007E7071"/>
    <w:rsid w:val="007E7122"/>
    <w:rsid w:val="007E71B0"/>
    <w:rsid w:val="007E741F"/>
    <w:rsid w:val="007E7433"/>
    <w:rsid w:val="007E75C7"/>
    <w:rsid w:val="007E75E1"/>
    <w:rsid w:val="007E7603"/>
    <w:rsid w:val="007E7A2B"/>
    <w:rsid w:val="007E7AE1"/>
    <w:rsid w:val="007E7B04"/>
    <w:rsid w:val="007E7B74"/>
    <w:rsid w:val="007E7B8C"/>
    <w:rsid w:val="007E7D5F"/>
    <w:rsid w:val="007E7D67"/>
    <w:rsid w:val="007F02E9"/>
    <w:rsid w:val="007F03E3"/>
    <w:rsid w:val="007F046A"/>
    <w:rsid w:val="007F059C"/>
    <w:rsid w:val="007F070A"/>
    <w:rsid w:val="007F085D"/>
    <w:rsid w:val="007F09BF"/>
    <w:rsid w:val="007F0C5B"/>
    <w:rsid w:val="007F0C75"/>
    <w:rsid w:val="007F0D71"/>
    <w:rsid w:val="007F119A"/>
    <w:rsid w:val="007F1954"/>
    <w:rsid w:val="007F1BED"/>
    <w:rsid w:val="007F1D6F"/>
    <w:rsid w:val="007F29E7"/>
    <w:rsid w:val="007F2A11"/>
    <w:rsid w:val="007F2C4E"/>
    <w:rsid w:val="007F2C63"/>
    <w:rsid w:val="007F2DF0"/>
    <w:rsid w:val="007F2E0E"/>
    <w:rsid w:val="007F346F"/>
    <w:rsid w:val="007F3546"/>
    <w:rsid w:val="007F3754"/>
    <w:rsid w:val="007F3759"/>
    <w:rsid w:val="007F39A7"/>
    <w:rsid w:val="007F3A48"/>
    <w:rsid w:val="007F3B7C"/>
    <w:rsid w:val="007F3C4C"/>
    <w:rsid w:val="007F3DDE"/>
    <w:rsid w:val="007F3EAF"/>
    <w:rsid w:val="007F3EC3"/>
    <w:rsid w:val="007F3ED2"/>
    <w:rsid w:val="007F402B"/>
    <w:rsid w:val="007F44D0"/>
    <w:rsid w:val="007F45FD"/>
    <w:rsid w:val="007F47CD"/>
    <w:rsid w:val="007F498E"/>
    <w:rsid w:val="007F49E1"/>
    <w:rsid w:val="007F4A3E"/>
    <w:rsid w:val="007F4C11"/>
    <w:rsid w:val="007F4DB7"/>
    <w:rsid w:val="007F50BD"/>
    <w:rsid w:val="007F57B1"/>
    <w:rsid w:val="007F5B20"/>
    <w:rsid w:val="007F5B85"/>
    <w:rsid w:val="007F5D95"/>
    <w:rsid w:val="007F6CED"/>
    <w:rsid w:val="007F6D16"/>
    <w:rsid w:val="007F6DAE"/>
    <w:rsid w:val="007F6DD2"/>
    <w:rsid w:val="007F6E17"/>
    <w:rsid w:val="007F6EE9"/>
    <w:rsid w:val="007F6F1D"/>
    <w:rsid w:val="007F6F6D"/>
    <w:rsid w:val="007F6FA9"/>
    <w:rsid w:val="007F71A8"/>
    <w:rsid w:val="007F7458"/>
    <w:rsid w:val="007F7490"/>
    <w:rsid w:val="007F7669"/>
    <w:rsid w:val="007F7FC0"/>
    <w:rsid w:val="00801557"/>
    <w:rsid w:val="00801818"/>
    <w:rsid w:val="00801A2D"/>
    <w:rsid w:val="00801AA1"/>
    <w:rsid w:val="00801CA9"/>
    <w:rsid w:val="00801D25"/>
    <w:rsid w:val="00802302"/>
    <w:rsid w:val="00802319"/>
    <w:rsid w:val="00802699"/>
    <w:rsid w:val="008027B7"/>
    <w:rsid w:val="00802817"/>
    <w:rsid w:val="008029F6"/>
    <w:rsid w:val="00802FFC"/>
    <w:rsid w:val="0080300B"/>
    <w:rsid w:val="008031E2"/>
    <w:rsid w:val="008034EC"/>
    <w:rsid w:val="008035F6"/>
    <w:rsid w:val="00803644"/>
    <w:rsid w:val="008041E4"/>
    <w:rsid w:val="00804533"/>
    <w:rsid w:val="008047D3"/>
    <w:rsid w:val="00804A06"/>
    <w:rsid w:val="00804C08"/>
    <w:rsid w:val="00804D9A"/>
    <w:rsid w:val="00804E4C"/>
    <w:rsid w:val="00805065"/>
    <w:rsid w:val="008055B6"/>
    <w:rsid w:val="0080574E"/>
    <w:rsid w:val="008057EE"/>
    <w:rsid w:val="0080594B"/>
    <w:rsid w:val="00805BF7"/>
    <w:rsid w:val="00805F4B"/>
    <w:rsid w:val="00805F5A"/>
    <w:rsid w:val="00806091"/>
    <w:rsid w:val="008060D7"/>
    <w:rsid w:val="00806337"/>
    <w:rsid w:val="008064D6"/>
    <w:rsid w:val="0080661F"/>
    <w:rsid w:val="0080664C"/>
    <w:rsid w:val="008067F0"/>
    <w:rsid w:val="00806980"/>
    <w:rsid w:val="00806F33"/>
    <w:rsid w:val="00806FE4"/>
    <w:rsid w:val="008071FB"/>
    <w:rsid w:val="008073AF"/>
    <w:rsid w:val="00807507"/>
    <w:rsid w:val="00807686"/>
    <w:rsid w:val="00807772"/>
    <w:rsid w:val="0080777E"/>
    <w:rsid w:val="00807A4C"/>
    <w:rsid w:val="00807A68"/>
    <w:rsid w:val="00807D69"/>
    <w:rsid w:val="00807E08"/>
    <w:rsid w:val="00807FCD"/>
    <w:rsid w:val="008100D6"/>
    <w:rsid w:val="0081020B"/>
    <w:rsid w:val="00810342"/>
    <w:rsid w:val="008107B6"/>
    <w:rsid w:val="008109B5"/>
    <w:rsid w:val="00810A9F"/>
    <w:rsid w:val="00810B87"/>
    <w:rsid w:val="00810E51"/>
    <w:rsid w:val="00810EBC"/>
    <w:rsid w:val="00810F45"/>
    <w:rsid w:val="00810FBB"/>
    <w:rsid w:val="00811099"/>
    <w:rsid w:val="008112ED"/>
    <w:rsid w:val="0081155A"/>
    <w:rsid w:val="008118C1"/>
    <w:rsid w:val="00811CD3"/>
    <w:rsid w:val="00811E4C"/>
    <w:rsid w:val="00812112"/>
    <w:rsid w:val="008125BF"/>
    <w:rsid w:val="00812638"/>
    <w:rsid w:val="008126BB"/>
    <w:rsid w:val="00812A5A"/>
    <w:rsid w:val="00812C0D"/>
    <w:rsid w:val="00812C32"/>
    <w:rsid w:val="00812D55"/>
    <w:rsid w:val="00812F06"/>
    <w:rsid w:val="008134BF"/>
    <w:rsid w:val="00813527"/>
    <w:rsid w:val="00813654"/>
    <w:rsid w:val="008137FD"/>
    <w:rsid w:val="0081394E"/>
    <w:rsid w:val="00813C9C"/>
    <w:rsid w:val="00814113"/>
    <w:rsid w:val="008142A3"/>
    <w:rsid w:val="0081437D"/>
    <w:rsid w:val="008143CD"/>
    <w:rsid w:val="00814406"/>
    <w:rsid w:val="0081462C"/>
    <w:rsid w:val="00814804"/>
    <w:rsid w:val="008149F5"/>
    <w:rsid w:val="00814D01"/>
    <w:rsid w:val="00814D1A"/>
    <w:rsid w:val="00814EED"/>
    <w:rsid w:val="00814FEC"/>
    <w:rsid w:val="00815511"/>
    <w:rsid w:val="00815581"/>
    <w:rsid w:val="008158C7"/>
    <w:rsid w:val="00815B0C"/>
    <w:rsid w:val="00815C06"/>
    <w:rsid w:val="00815D02"/>
    <w:rsid w:val="00815D97"/>
    <w:rsid w:val="0081611D"/>
    <w:rsid w:val="008161A6"/>
    <w:rsid w:val="00816309"/>
    <w:rsid w:val="008163DD"/>
    <w:rsid w:val="008163F8"/>
    <w:rsid w:val="008164B2"/>
    <w:rsid w:val="00816862"/>
    <w:rsid w:val="00816A3A"/>
    <w:rsid w:val="00816A5A"/>
    <w:rsid w:val="00816ADF"/>
    <w:rsid w:val="00816F29"/>
    <w:rsid w:val="00816F39"/>
    <w:rsid w:val="00816FC1"/>
    <w:rsid w:val="00817033"/>
    <w:rsid w:val="0081703A"/>
    <w:rsid w:val="008173A0"/>
    <w:rsid w:val="00817639"/>
    <w:rsid w:val="008178E7"/>
    <w:rsid w:val="00817A14"/>
    <w:rsid w:val="00817D85"/>
    <w:rsid w:val="00820029"/>
    <w:rsid w:val="0082013C"/>
    <w:rsid w:val="0082025B"/>
    <w:rsid w:val="00820307"/>
    <w:rsid w:val="0082057F"/>
    <w:rsid w:val="00820724"/>
    <w:rsid w:val="0082078E"/>
    <w:rsid w:val="0082082F"/>
    <w:rsid w:val="0082089B"/>
    <w:rsid w:val="00820955"/>
    <w:rsid w:val="008209B1"/>
    <w:rsid w:val="00820AD6"/>
    <w:rsid w:val="00820B63"/>
    <w:rsid w:val="00820DCF"/>
    <w:rsid w:val="00820DED"/>
    <w:rsid w:val="0082106F"/>
    <w:rsid w:val="00821471"/>
    <w:rsid w:val="0082152F"/>
    <w:rsid w:val="008217F1"/>
    <w:rsid w:val="00821860"/>
    <w:rsid w:val="008218EB"/>
    <w:rsid w:val="00821A66"/>
    <w:rsid w:val="00821DB0"/>
    <w:rsid w:val="00821E7E"/>
    <w:rsid w:val="008224A2"/>
    <w:rsid w:val="00822620"/>
    <w:rsid w:val="0082265B"/>
    <w:rsid w:val="00822681"/>
    <w:rsid w:val="00822ACE"/>
    <w:rsid w:val="00822D17"/>
    <w:rsid w:val="00822E2A"/>
    <w:rsid w:val="00822EBE"/>
    <w:rsid w:val="00823007"/>
    <w:rsid w:val="00823028"/>
    <w:rsid w:val="008231D4"/>
    <w:rsid w:val="00823731"/>
    <w:rsid w:val="0082378B"/>
    <w:rsid w:val="00823B3F"/>
    <w:rsid w:val="00823D51"/>
    <w:rsid w:val="00823D86"/>
    <w:rsid w:val="00823DB7"/>
    <w:rsid w:val="00823F81"/>
    <w:rsid w:val="00824094"/>
    <w:rsid w:val="00824210"/>
    <w:rsid w:val="00824328"/>
    <w:rsid w:val="008244E6"/>
    <w:rsid w:val="008246D5"/>
    <w:rsid w:val="00824765"/>
    <w:rsid w:val="008249E6"/>
    <w:rsid w:val="00824AA0"/>
    <w:rsid w:val="00824F95"/>
    <w:rsid w:val="0082529F"/>
    <w:rsid w:val="008252FF"/>
    <w:rsid w:val="008254E3"/>
    <w:rsid w:val="0082573A"/>
    <w:rsid w:val="00825756"/>
    <w:rsid w:val="00825765"/>
    <w:rsid w:val="00825809"/>
    <w:rsid w:val="00825A39"/>
    <w:rsid w:val="00825A7B"/>
    <w:rsid w:val="00825B59"/>
    <w:rsid w:val="0082610D"/>
    <w:rsid w:val="0082644A"/>
    <w:rsid w:val="00826464"/>
    <w:rsid w:val="0082659A"/>
    <w:rsid w:val="008265B9"/>
    <w:rsid w:val="008268EC"/>
    <w:rsid w:val="008269D8"/>
    <w:rsid w:val="00826CD4"/>
    <w:rsid w:val="00826FCC"/>
    <w:rsid w:val="00827689"/>
    <w:rsid w:val="00827951"/>
    <w:rsid w:val="008279D6"/>
    <w:rsid w:val="00827A82"/>
    <w:rsid w:val="00827BC6"/>
    <w:rsid w:val="008300A2"/>
    <w:rsid w:val="008302E9"/>
    <w:rsid w:val="008305D1"/>
    <w:rsid w:val="008307A1"/>
    <w:rsid w:val="00830A65"/>
    <w:rsid w:val="00830CE1"/>
    <w:rsid w:val="0083105F"/>
    <w:rsid w:val="00831116"/>
    <w:rsid w:val="008311AC"/>
    <w:rsid w:val="00831364"/>
    <w:rsid w:val="008317D1"/>
    <w:rsid w:val="008318B2"/>
    <w:rsid w:val="008318E7"/>
    <w:rsid w:val="00831910"/>
    <w:rsid w:val="008319CB"/>
    <w:rsid w:val="00831F3A"/>
    <w:rsid w:val="00831FC2"/>
    <w:rsid w:val="00832075"/>
    <w:rsid w:val="0083217A"/>
    <w:rsid w:val="00832241"/>
    <w:rsid w:val="00832381"/>
    <w:rsid w:val="00832420"/>
    <w:rsid w:val="008324BA"/>
    <w:rsid w:val="00832590"/>
    <w:rsid w:val="00832616"/>
    <w:rsid w:val="00832853"/>
    <w:rsid w:val="00832B4F"/>
    <w:rsid w:val="00832DD0"/>
    <w:rsid w:val="00832DE5"/>
    <w:rsid w:val="00832E12"/>
    <w:rsid w:val="008331DC"/>
    <w:rsid w:val="00833209"/>
    <w:rsid w:val="008332CF"/>
    <w:rsid w:val="00833336"/>
    <w:rsid w:val="00833504"/>
    <w:rsid w:val="00833623"/>
    <w:rsid w:val="0083374D"/>
    <w:rsid w:val="00833925"/>
    <w:rsid w:val="0083398C"/>
    <w:rsid w:val="00833A1B"/>
    <w:rsid w:val="00833AFD"/>
    <w:rsid w:val="00833B56"/>
    <w:rsid w:val="00833C5F"/>
    <w:rsid w:val="00833D2F"/>
    <w:rsid w:val="00833D3B"/>
    <w:rsid w:val="00833E4D"/>
    <w:rsid w:val="00834135"/>
    <w:rsid w:val="0083421E"/>
    <w:rsid w:val="00834294"/>
    <w:rsid w:val="0083461C"/>
    <w:rsid w:val="00834666"/>
    <w:rsid w:val="00834679"/>
    <w:rsid w:val="00834B28"/>
    <w:rsid w:val="00834BC3"/>
    <w:rsid w:val="00834CE4"/>
    <w:rsid w:val="008352FB"/>
    <w:rsid w:val="008354B5"/>
    <w:rsid w:val="00835561"/>
    <w:rsid w:val="00835755"/>
    <w:rsid w:val="00835786"/>
    <w:rsid w:val="00835D0B"/>
    <w:rsid w:val="00836075"/>
    <w:rsid w:val="008360F6"/>
    <w:rsid w:val="008366B9"/>
    <w:rsid w:val="00836865"/>
    <w:rsid w:val="0083687B"/>
    <w:rsid w:val="00836D91"/>
    <w:rsid w:val="00836DD3"/>
    <w:rsid w:val="008374FA"/>
    <w:rsid w:val="0083751E"/>
    <w:rsid w:val="00837723"/>
    <w:rsid w:val="0083772F"/>
    <w:rsid w:val="008378AD"/>
    <w:rsid w:val="00837A19"/>
    <w:rsid w:val="00837A4C"/>
    <w:rsid w:val="00837C1B"/>
    <w:rsid w:val="00837C2B"/>
    <w:rsid w:val="00837F83"/>
    <w:rsid w:val="008400E9"/>
    <w:rsid w:val="00840153"/>
    <w:rsid w:val="008401B0"/>
    <w:rsid w:val="00840311"/>
    <w:rsid w:val="0084049B"/>
    <w:rsid w:val="00840946"/>
    <w:rsid w:val="00840B71"/>
    <w:rsid w:val="00840DCD"/>
    <w:rsid w:val="00840E41"/>
    <w:rsid w:val="00841290"/>
    <w:rsid w:val="008412D1"/>
    <w:rsid w:val="0084134B"/>
    <w:rsid w:val="00841379"/>
    <w:rsid w:val="008413BC"/>
    <w:rsid w:val="0084170F"/>
    <w:rsid w:val="00841A60"/>
    <w:rsid w:val="00841C12"/>
    <w:rsid w:val="00841DF5"/>
    <w:rsid w:val="00841EB0"/>
    <w:rsid w:val="00842013"/>
    <w:rsid w:val="00842282"/>
    <w:rsid w:val="008423C3"/>
    <w:rsid w:val="0084243E"/>
    <w:rsid w:val="00842577"/>
    <w:rsid w:val="0084267D"/>
    <w:rsid w:val="008426CE"/>
    <w:rsid w:val="0084285D"/>
    <w:rsid w:val="0084286D"/>
    <w:rsid w:val="0084293D"/>
    <w:rsid w:val="00842B41"/>
    <w:rsid w:val="00842DEB"/>
    <w:rsid w:val="00843197"/>
    <w:rsid w:val="008432B3"/>
    <w:rsid w:val="0084331C"/>
    <w:rsid w:val="00843590"/>
    <w:rsid w:val="008435E0"/>
    <w:rsid w:val="00843694"/>
    <w:rsid w:val="008438F0"/>
    <w:rsid w:val="008439CE"/>
    <w:rsid w:val="008439E4"/>
    <w:rsid w:val="00843B64"/>
    <w:rsid w:val="00843C24"/>
    <w:rsid w:val="0084425D"/>
    <w:rsid w:val="008444B5"/>
    <w:rsid w:val="00844737"/>
    <w:rsid w:val="008448C4"/>
    <w:rsid w:val="00844DC1"/>
    <w:rsid w:val="00844F6C"/>
    <w:rsid w:val="0084557A"/>
    <w:rsid w:val="00845598"/>
    <w:rsid w:val="00845698"/>
    <w:rsid w:val="00845880"/>
    <w:rsid w:val="00845890"/>
    <w:rsid w:val="00845A84"/>
    <w:rsid w:val="00845E43"/>
    <w:rsid w:val="0084623F"/>
    <w:rsid w:val="008463D2"/>
    <w:rsid w:val="00846412"/>
    <w:rsid w:val="008464FE"/>
    <w:rsid w:val="008465B3"/>
    <w:rsid w:val="0084682E"/>
    <w:rsid w:val="00846929"/>
    <w:rsid w:val="00846AB2"/>
    <w:rsid w:val="00846B1D"/>
    <w:rsid w:val="00846BAF"/>
    <w:rsid w:val="00846EE5"/>
    <w:rsid w:val="00846F63"/>
    <w:rsid w:val="00847115"/>
    <w:rsid w:val="0084752F"/>
    <w:rsid w:val="008476F7"/>
    <w:rsid w:val="00847929"/>
    <w:rsid w:val="00847A9C"/>
    <w:rsid w:val="00847AC9"/>
    <w:rsid w:val="00847AD4"/>
    <w:rsid w:val="00847B12"/>
    <w:rsid w:val="00847C48"/>
    <w:rsid w:val="00847CD1"/>
    <w:rsid w:val="00847ED5"/>
    <w:rsid w:val="00847FB2"/>
    <w:rsid w:val="00850326"/>
    <w:rsid w:val="00850878"/>
    <w:rsid w:val="00850982"/>
    <w:rsid w:val="00850A12"/>
    <w:rsid w:val="00850D04"/>
    <w:rsid w:val="00850DEC"/>
    <w:rsid w:val="00850F0F"/>
    <w:rsid w:val="00850F82"/>
    <w:rsid w:val="00851018"/>
    <w:rsid w:val="00851299"/>
    <w:rsid w:val="008513CD"/>
    <w:rsid w:val="008514D3"/>
    <w:rsid w:val="0085156F"/>
    <w:rsid w:val="0085166A"/>
    <w:rsid w:val="0085179E"/>
    <w:rsid w:val="0085183A"/>
    <w:rsid w:val="00851846"/>
    <w:rsid w:val="00851B34"/>
    <w:rsid w:val="00851F2E"/>
    <w:rsid w:val="00852050"/>
    <w:rsid w:val="0085267B"/>
    <w:rsid w:val="008531DB"/>
    <w:rsid w:val="00853C70"/>
    <w:rsid w:val="00853F2A"/>
    <w:rsid w:val="00854223"/>
    <w:rsid w:val="0085445A"/>
    <w:rsid w:val="00854589"/>
    <w:rsid w:val="00854605"/>
    <w:rsid w:val="00854628"/>
    <w:rsid w:val="00854C11"/>
    <w:rsid w:val="00854C1B"/>
    <w:rsid w:val="00854C45"/>
    <w:rsid w:val="00854DB5"/>
    <w:rsid w:val="008552D3"/>
    <w:rsid w:val="0085540E"/>
    <w:rsid w:val="00855680"/>
    <w:rsid w:val="00855C4F"/>
    <w:rsid w:val="00855D0A"/>
    <w:rsid w:val="00856473"/>
    <w:rsid w:val="00856652"/>
    <w:rsid w:val="008566AB"/>
    <w:rsid w:val="008566B9"/>
    <w:rsid w:val="00856A9A"/>
    <w:rsid w:val="00856CC6"/>
    <w:rsid w:val="00856CEC"/>
    <w:rsid w:val="00856EF9"/>
    <w:rsid w:val="00856FC7"/>
    <w:rsid w:val="00857265"/>
    <w:rsid w:val="00857347"/>
    <w:rsid w:val="008574CC"/>
    <w:rsid w:val="00857639"/>
    <w:rsid w:val="008576E9"/>
    <w:rsid w:val="00857999"/>
    <w:rsid w:val="00857B54"/>
    <w:rsid w:val="00857B9B"/>
    <w:rsid w:val="00857C6C"/>
    <w:rsid w:val="00857D2B"/>
    <w:rsid w:val="00857DEE"/>
    <w:rsid w:val="00860784"/>
    <w:rsid w:val="008607D6"/>
    <w:rsid w:val="00861032"/>
    <w:rsid w:val="00861589"/>
    <w:rsid w:val="00861701"/>
    <w:rsid w:val="00861819"/>
    <w:rsid w:val="00861DFC"/>
    <w:rsid w:val="00861E5A"/>
    <w:rsid w:val="008620FD"/>
    <w:rsid w:val="0086215F"/>
    <w:rsid w:val="00862726"/>
    <w:rsid w:val="00862788"/>
    <w:rsid w:val="00862C96"/>
    <w:rsid w:val="00862EAF"/>
    <w:rsid w:val="00863275"/>
    <w:rsid w:val="008632F0"/>
    <w:rsid w:val="008634F7"/>
    <w:rsid w:val="00863516"/>
    <w:rsid w:val="00863BED"/>
    <w:rsid w:val="00863C61"/>
    <w:rsid w:val="00864244"/>
    <w:rsid w:val="008644D5"/>
    <w:rsid w:val="0086451E"/>
    <w:rsid w:val="0086468C"/>
    <w:rsid w:val="008647A5"/>
    <w:rsid w:val="008647AB"/>
    <w:rsid w:val="00864911"/>
    <w:rsid w:val="00864D3B"/>
    <w:rsid w:val="00865163"/>
    <w:rsid w:val="008654AB"/>
    <w:rsid w:val="008655EC"/>
    <w:rsid w:val="008657B0"/>
    <w:rsid w:val="0086593A"/>
    <w:rsid w:val="0086595F"/>
    <w:rsid w:val="00865989"/>
    <w:rsid w:val="008659BD"/>
    <w:rsid w:val="00865A0E"/>
    <w:rsid w:val="00865B28"/>
    <w:rsid w:val="00865B6F"/>
    <w:rsid w:val="00865E48"/>
    <w:rsid w:val="00865FDC"/>
    <w:rsid w:val="0086616A"/>
    <w:rsid w:val="008662C1"/>
    <w:rsid w:val="0086668F"/>
    <w:rsid w:val="00866765"/>
    <w:rsid w:val="00866899"/>
    <w:rsid w:val="0086689A"/>
    <w:rsid w:val="00866B46"/>
    <w:rsid w:val="00866BE4"/>
    <w:rsid w:val="00866DDD"/>
    <w:rsid w:val="00866E89"/>
    <w:rsid w:val="00866F16"/>
    <w:rsid w:val="00867338"/>
    <w:rsid w:val="00867344"/>
    <w:rsid w:val="008673DB"/>
    <w:rsid w:val="008678D0"/>
    <w:rsid w:val="00867911"/>
    <w:rsid w:val="00867A85"/>
    <w:rsid w:val="00867EBC"/>
    <w:rsid w:val="00867F9A"/>
    <w:rsid w:val="0087013B"/>
    <w:rsid w:val="0087023C"/>
    <w:rsid w:val="00870654"/>
    <w:rsid w:val="008706C4"/>
    <w:rsid w:val="00870916"/>
    <w:rsid w:val="00870A62"/>
    <w:rsid w:val="00870B3D"/>
    <w:rsid w:val="00870BC8"/>
    <w:rsid w:val="00871133"/>
    <w:rsid w:val="00871283"/>
    <w:rsid w:val="00871302"/>
    <w:rsid w:val="0087143D"/>
    <w:rsid w:val="00871642"/>
    <w:rsid w:val="008716C0"/>
    <w:rsid w:val="008718C5"/>
    <w:rsid w:val="00871998"/>
    <w:rsid w:val="00871AC2"/>
    <w:rsid w:val="00871B41"/>
    <w:rsid w:val="00871D41"/>
    <w:rsid w:val="0087200D"/>
    <w:rsid w:val="0087206D"/>
    <w:rsid w:val="008720C3"/>
    <w:rsid w:val="008721DC"/>
    <w:rsid w:val="008721EC"/>
    <w:rsid w:val="0087274A"/>
    <w:rsid w:val="008729DC"/>
    <w:rsid w:val="00872B07"/>
    <w:rsid w:val="00872B56"/>
    <w:rsid w:val="00872CC1"/>
    <w:rsid w:val="00872FEC"/>
    <w:rsid w:val="00872FF9"/>
    <w:rsid w:val="00873052"/>
    <w:rsid w:val="008730A8"/>
    <w:rsid w:val="00873AB8"/>
    <w:rsid w:val="00873CF1"/>
    <w:rsid w:val="00873F8B"/>
    <w:rsid w:val="008744DD"/>
    <w:rsid w:val="008747A8"/>
    <w:rsid w:val="008747F8"/>
    <w:rsid w:val="008749E4"/>
    <w:rsid w:val="008749F2"/>
    <w:rsid w:val="00874AC8"/>
    <w:rsid w:val="00874C09"/>
    <w:rsid w:val="00874D22"/>
    <w:rsid w:val="00874E42"/>
    <w:rsid w:val="00874F98"/>
    <w:rsid w:val="00875124"/>
    <w:rsid w:val="0087527C"/>
    <w:rsid w:val="00875553"/>
    <w:rsid w:val="0087560F"/>
    <w:rsid w:val="00875923"/>
    <w:rsid w:val="00875AEB"/>
    <w:rsid w:val="00875B9E"/>
    <w:rsid w:val="00875C95"/>
    <w:rsid w:val="00875EEF"/>
    <w:rsid w:val="00876112"/>
    <w:rsid w:val="00876792"/>
    <w:rsid w:val="00876910"/>
    <w:rsid w:val="0087699B"/>
    <w:rsid w:val="00876BC2"/>
    <w:rsid w:val="008770CD"/>
    <w:rsid w:val="008771BA"/>
    <w:rsid w:val="008771FA"/>
    <w:rsid w:val="0087740E"/>
    <w:rsid w:val="00877447"/>
    <w:rsid w:val="00877512"/>
    <w:rsid w:val="008777B1"/>
    <w:rsid w:val="008778A6"/>
    <w:rsid w:val="008778D6"/>
    <w:rsid w:val="0087793C"/>
    <w:rsid w:val="00877A0C"/>
    <w:rsid w:val="00877B76"/>
    <w:rsid w:val="00877C83"/>
    <w:rsid w:val="00877DB4"/>
    <w:rsid w:val="00877E4E"/>
    <w:rsid w:val="00880158"/>
    <w:rsid w:val="00880446"/>
    <w:rsid w:val="0088051F"/>
    <w:rsid w:val="00880572"/>
    <w:rsid w:val="008809EC"/>
    <w:rsid w:val="00880A51"/>
    <w:rsid w:val="00880B94"/>
    <w:rsid w:val="00880CA1"/>
    <w:rsid w:val="00880EBA"/>
    <w:rsid w:val="00880FFB"/>
    <w:rsid w:val="00881001"/>
    <w:rsid w:val="00881060"/>
    <w:rsid w:val="0088108A"/>
    <w:rsid w:val="008810CA"/>
    <w:rsid w:val="008810D4"/>
    <w:rsid w:val="008811CB"/>
    <w:rsid w:val="00881408"/>
    <w:rsid w:val="00881428"/>
    <w:rsid w:val="00881513"/>
    <w:rsid w:val="00881583"/>
    <w:rsid w:val="0088161D"/>
    <w:rsid w:val="0088162D"/>
    <w:rsid w:val="00881765"/>
    <w:rsid w:val="008817AE"/>
    <w:rsid w:val="008817E0"/>
    <w:rsid w:val="008818EC"/>
    <w:rsid w:val="008819AA"/>
    <w:rsid w:val="00881F20"/>
    <w:rsid w:val="008821D0"/>
    <w:rsid w:val="00882746"/>
    <w:rsid w:val="008827C4"/>
    <w:rsid w:val="00882A8D"/>
    <w:rsid w:val="00882C39"/>
    <w:rsid w:val="00882DF0"/>
    <w:rsid w:val="00882E1F"/>
    <w:rsid w:val="008835CD"/>
    <w:rsid w:val="0088362C"/>
    <w:rsid w:val="0088374C"/>
    <w:rsid w:val="0088397B"/>
    <w:rsid w:val="00883BD8"/>
    <w:rsid w:val="00883C0B"/>
    <w:rsid w:val="00883D30"/>
    <w:rsid w:val="0088413E"/>
    <w:rsid w:val="00884285"/>
    <w:rsid w:val="00884421"/>
    <w:rsid w:val="008844FF"/>
    <w:rsid w:val="00884880"/>
    <w:rsid w:val="00884DF0"/>
    <w:rsid w:val="00884E47"/>
    <w:rsid w:val="00885609"/>
    <w:rsid w:val="0088565D"/>
    <w:rsid w:val="00885697"/>
    <w:rsid w:val="00885A60"/>
    <w:rsid w:val="00885AC5"/>
    <w:rsid w:val="00885E85"/>
    <w:rsid w:val="0088613D"/>
    <w:rsid w:val="008861CC"/>
    <w:rsid w:val="0088624D"/>
    <w:rsid w:val="00886424"/>
    <w:rsid w:val="00886470"/>
    <w:rsid w:val="008866CE"/>
    <w:rsid w:val="008867F7"/>
    <w:rsid w:val="00886C48"/>
    <w:rsid w:val="00886D36"/>
    <w:rsid w:val="0088759C"/>
    <w:rsid w:val="00887607"/>
    <w:rsid w:val="00887662"/>
    <w:rsid w:val="0088766E"/>
    <w:rsid w:val="008877A9"/>
    <w:rsid w:val="00887B2A"/>
    <w:rsid w:val="00887B79"/>
    <w:rsid w:val="008900F2"/>
    <w:rsid w:val="008900FB"/>
    <w:rsid w:val="00890291"/>
    <w:rsid w:val="00890380"/>
    <w:rsid w:val="008904DE"/>
    <w:rsid w:val="0089053D"/>
    <w:rsid w:val="008905C6"/>
    <w:rsid w:val="0089065B"/>
    <w:rsid w:val="00890A4C"/>
    <w:rsid w:val="00890ADD"/>
    <w:rsid w:val="00890B1F"/>
    <w:rsid w:val="0089106D"/>
    <w:rsid w:val="0089110A"/>
    <w:rsid w:val="0089129F"/>
    <w:rsid w:val="00891488"/>
    <w:rsid w:val="0089155B"/>
    <w:rsid w:val="00891586"/>
    <w:rsid w:val="008917AB"/>
    <w:rsid w:val="00891892"/>
    <w:rsid w:val="008918AE"/>
    <w:rsid w:val="00891A92"/>
    <w:rsid w:val="00891E4C"/>
    <w:rsid w:val="00891E64"/>
    <w:rsid w:val="00891FB9"/>
    <w:rsid w:val="0089224F"/>
    <w:rsid w:val="008923AC"/>
    <w:rsid w:val="0089249F"/>
    <w:rsid w:val="00892563"/>
    <w:rsid w:val="008926B3"/>
    <w:rsid w:val="0089278A"/>
    <w:rsid w:val="00892960"/>
    <w:rsid w:val="00892B07"/>
    <w:rsid w:val="00892F91"/>
    <w:rsid w:val="00893044"/>
    <w:rsid w:val="008932CA"/>
    <w:rsid w:val="0089346A"/>
    <w:rsid w:val="00893BCF"/>
    <w:rsid w:val="00893BEA"/>
    <w:rsid w:val="00893BF9"/>
    <w:rsid w:val="00893E2C"/>
    <w:rsid w:val="00893E4F"/>
    <w:rsid w:val="008942C5"/>
    <w:rsid w:val="0089453D"/>
    <w:rsid w:val="00894836"/>
    <w:rsid w:val="008949ED"/>
    <w:rsid w:val="00894CF2"/>
    <w:rsid w:val="00894D1A"/>
    <w:rsid w:val="00895522"/>
    <w:rsid w:val="00895813"/>
    <w:rsid w:val="00895C49"/>
    <w:rsid w:val="008960B3"/>
    <w:rsid w:val="008960E2"/>
    <w:rsid w:val="008962C3"/>
    <w:rsid w:val="0089635E"/>
    <w:rsid w:val="00896448"/>
    <w:rsid w:val="0089644A"/>
    <w:rsid w:val="008965C4"/>
    <w:rsid w:val="00896690"/>
    <w:rsid w:val="00896A1C"/>
    <w:rsid w:val="00896CF1"/>
    <w:rsid w:val="00896D5C"/>
    <w:rsid w:val="008973DD"/>
    <w:rsid w:val="008973FA"/>
    <w:rsid w:val="0089741B"/>
    <w:rsid w:val="008974DE"/>
    <w:rsid w:val="00897A57"/>
    <w:rsid w:val="00897ADF"/>
    <w:rsid w:val="00897E38"/>
    <w:rsid w:val="00897F5F"/>
    <w:rsid w:val="008A00A1"/>
    <w:rsid w:val="008A0200"/>
    <w:rsid w:val="008A021A"/>
    <w:rsid w:val="008A035C"/>
    <w:rsid w:val="008A0420"/>
    <w:rsid w:val="008A04D2"/>
    <w:rsid w:val="008A0D5F"/>
    <w:rsid w:val="008A0DBD"/>
    <w:rsid w:val="008A0DDC"/>
    <w:rsid w:val="008A0DE8"/>
    <w:rsid w:val="008A0E2F"/>
    <w:rsid w:val="008A0E75"/>
    <w:rsid w:val="008A0F72"/>
    <w:rsid w:val="008A1017"/>
    <w:rsid w:val="008A10FD"/>
    <w:rsid w:val="008A1104"/>
    <w:rsid w:val="008A1528"/>
    <w:rsid w:val="008A1567"/>
    <w:rsid w:val="008A17B6"/>
    <w:rsid w:val="008A1AA8"/>
    <w:rsid w:val="008A1AC4"/>
    <w:rsid w:val="008A1B00"/>
    <w:rsid w:val="008A2008"/>
    <w:rsid w:val="008A2028"/>
    <w:rsid w:val="008A24D7"/>
    <w:rsid w:val="008A2672"/>
    <w:rsid w:val="008A2808"/>
    <w:rsid w:val="008A2863"/>
    <w:rsid w:val="008A2914"/>
    <w:rsid w:val="008A2A69"/>
    <w:rsid w:val="008A2D20"/>
    <w:rsid w:val="008A2D5E"/>
    <w:rsid w:val="008A30EE"/>
    <w:rsid w:val="008A31E6"/>
    <w:rsid w:val="008A33C1"/>
    <w:rsid w:val="008A3446"/>
    <w:rsid w:val="008A3889"/>
    <w:rsid w:val="008A3917"/>
    <w:rsid w:val="008A3F87"/>
    <w:rsid w:val="008A4031"/>
    <w:rsid w:val="008A4128"/>
    <w:rsid w:val="008A44D4"/>
    <w:rsid w:val="008A4DAE"/>
    <w:rsid w:val="008A4DAF"/>
    <w:rsid w:val="008A50D7"/>
    <w:rsid w:val="008A5286"/>
    <w:rsid w:val="008A5573"/>
    <w:rsid w:val="008A55EA"/>
    <w:rsid w:val="008A5926"/>
    <w:rsid w:val="008A5B36"/>
    <w:rsid w:val="008A5B83"/>
    <w:rsid w:val="008A6122"/>
    <w:rsid w:val="008A6268"/>
    <w:rsid w:val="008A6295"/>
    <w:rsid w:val="008A670A"/>
    <w:rsid w:val="008A6723"/>
    <w:rsid w:val="008A676F"/>
    <w:rsid w:val="008A685D"/>
    <w:rsid w:val="008A68D6"/>
    <w:rsid w:val="008A69DF"/>
    <w:rsid w:val="008A69F1"/>
    <w:rsid w:val="008A6C6F"/>
    <w:rsid w:val="008A6ED6"/>
    <w:rsid w:val="008A7145"/>
    <w:rsid w:val="008A7174"/>
    <w:rsid w:val="008A72C4"/>
    <w:rsid w:val="008A7655"/>
    <w:rsid w:val="008A76DD"/>
    <w:rsid w:val="008A7794"/>
    <w:rsid w:val="008A77AF"/>
    <w:rsid w:val="008A78DF"/>
    <w:rsid w:val="008A79A4"/>
    <w:rsid w:val="008A79EF"/>
    <w:rsid w:val="008A7B21"/>
    <w:rsid w:val="008A7B49"/>
    <w:rsid w:val="008B0182"/>
    <w:rsid w:val="008B01D6"/>
    <w:rsid w:val="008B077D"/>
    <w:rsid w:val="008B0828"/>
    <w:rsid w:val="008B0B3C"/>
    <w:rsid w:val="008B0BBD"/>
    <w:rsid w:val="008B0E9C"/>
    <w:rsid w:val="008B1142"/>
    <w:rsid w:val="008B12E8"/>
    <w:rsid w:val="008B136F"/>
    <w:rsid w:val="008B1389"/>
    <w:rsid w:val="008B1471"/>
    <w:rsid w:val="008B1566"/>
    <w:rsid w:val="008B1913"/>
    <w:rsid w:val="008B19B4"/>
    <w:rsid w:val="008B1A74"/>
    <w:rsid w:val="008B1ED1"/>
    <w:rsid w:val="008B1F0C"/>
    <w:rsid w:val="008B2037"/>
    <w:rsid w:val="008B21DB"/>
    <w:rsid w:val="008B229A"/>
    <w:rsid w:val="008B23EA"/>
    <w:rsid w:val="008B243E"/>
    <w:rsid w:val="008B245A"/>
    <w:rsid w:val="008B2496"/>
    <w:rsid w:val="008B2666"/>
    <w:rsid w:val="008B2A63"/>
    <w:rsid w:val="008B2D6C"/>
    <w:rsid w:val="008B2EC6"/>
    <w:rsid w:val="008B3100"/>
    <w:rsid w:val="008B334B"/>
    <w:rsid w:val="008B3BF1"/>
    <w:rsid w:val="008B43C1"/>
    <w:rsid w:val="008B44BE"/>
    <w:rsid w:val="008B4968"/>
    <w:rsid w:val="008B49B4"/>
    <w:rsid w:val="008B4B10"/>
    <w:rsid w:val="008B4B11"/>
    <w:rsid w:val="008B4BEF"/>
    <w:rsid w:val="008B4C05"/>
    <w:rsid w:val="008B4CA2"/>
    <w:rsid w:val="008B4CE8"/>
    <w:rsid w:val="008B55B4"/>
    <w:rsid w:val="008B5989"/>
    <w:rsid w:val="008B5D3E"/>
    <w:rsid w:val="008B61C1"/>
    <w:rsid w:val="008B6536"/>
    <w:rsid w:val="008B6739"/>
    <w:rsid w:val="008B6740"/>
    <w:rsid w:val="008B6BA4"/>
    <w:rsid w:val="008B6C46"/>
    <w:rsid w:val="008B6D29"/>
    <w:rsid w:val="008B6D36"/>
    <w:rsid w:val="008B6D6D"/>
    <w:rsid w:val="008B6E7C"/>
    <w:rsid w:val="008B7256"/>
    <w:rsid w:val="008B72DB"/>
    <w:rsid w:val="008B73B7"/>
    <w:rsid w:val="008B744C"/>
    <w:rsid w:val="008B748C"/>
    <w:rsid w:val="008B74F6"/>
    <w:rsid w:val="008B7507"/>
    <w:rsid w:val="008B7593"/>
    <w:rsid w:val="008B7CE2"/>
    <w:rsid w:val="008B7DD1"/>
    <w:rsid w:val="008B7E9F"/>
    <w:rsid w:val="008B7EBB"/>
    <w:rsid w:val="008C0019"/>
    <w:rsid w:val="008C00B4"/>
    <w:rsid w:val="008C029C"/>
    <w:rsid w:val="008C030A"/>
    <w:rsid w:val="008C09A2"/>
    <w:rsid w:val="008C0F78"/>
    <w:rsid w:val="008C13B8"/>
    <w:rsid w:val="008C1542"/>
    <w:rsid w:val="008C1CBE"/>
    <w:rsid w:val="008C1F65"/>
    <w:rsid w:val="008C1F85"/>
    <w:rsid w:val="008C20A6"/>
    <w:rsid w:val="008C26AE"/>
    <w:rsid w:val="008C26FF"/>
    <w:rsid w:val="008C28A7"/>
    <w:rsid w:val="008C2963"/>
    <w:rsid w:val="008C2989"/>
    <w:rsid w:val="008C309F"/>
    <w:rsid w:val="008C3184"/>
    <w:rsid w:val="008C32FF"/>
    <w:rsid w:val="008C34BC"/>
    <w:rsid w:val="008C35ED"/>
    <w:rsid w:val="008C3702"/>
    <w:rsid w:val="008C371C"/>
    <w:rsid w:val="008C379F"/>
    <w:rsid w:val="008C386A"/>
    <w:rsid w:val="008C38BC"/>
    <w:rsid w:val="008C39C2"/>
    <w:rsid w:val="008C3AC6"/>
    <w:rsid w:val="008C3C50"/>
    <w:rsid w:val="008C3D69"/>
    <w:rsid w:val="008C3E0E"/>
    <w:rsid w:val="008C3E3D"/>
    <w:rsid w:val="008C3EE2"/>
    <w:rsid w:val="008C3F37"/>
    <w:rsid w:val="008C40E6"/>
    <w:rsid w:val="008C4421"/>
    <w:rsid w:val="008C45E5"/>
    <w:rsid w:val="008C4669"/>
    <w:rsid w:val="008C4795"/>
    <w:rsid w:val="008C4ACC"/>
    <w:rsid w:val="008C4BB7"/>
    <w:rsid w:val="008C4CF9"/>
    <w:rsid w:val="008C5061"/>
    <w:rsid w:val="008C50BA"/>
    <w:rsid w:val="008C50F6"/>
    <w:rsid w:val="008C51DD"/>
    <w:rsid w:val="008C524F"/>
    <w:rsid w:val="008C5BFC"/>
    <w:rsid w:val="008C5C3F"/>
    <w:rsid w:val="008C5D2D"/>
    <w:rsid w:val="008C612F"/>
    <w:rsid w:val="008C632B"/>
    <w:rsid w:val="008C6396"/>
    <w:rsid w:val="008C650F"/>
    <w:rsid w:val="008C65D3"/>
    <w:rsid w:val="008C66CD"/>
    <w:rsid w:val="008C6C1C"/>
    <w:rsid w:val="008C6C6A"/>
    <w:rsid w:val="008C6E8E"/>
    <w:rsid w:val="008C6EF4"/>
    <w:rsid w:val="008C6FFF"/>
    <w:rsid w:val="008C701E"/>
    <w:rsid w:val="008C70B8"/>
    <w:rsid w:val="008C70D8"/>
    <w:rsid w:val="008C71F4"/>
    <w:rsid w:val="008C7424"/>
    <w:rsid w:val="008C74BD"/>
    <w:rsid w:val="008C7A84"/>
    <w:rsid w:val="008C7DDB"/>
    <w:rsid w:val="008D0545"/>
    <w:rsid w:val="008D068E"/>
    <w:rsid w:val="008D10D3"/>
    <w:rsid w:val="008D1271"/>
    <w:rsid w:val="008D1361"/>
    <w:rsid w:val="008D1626"/>
    <w:rsid w:val="008D1674"/>
    <w:rsid w:val="008D1763"/>
    <w:rsid w:val="008D180E"/>
    <w:rsid w:val="008D1CE3"/>
    <w:rsid w:val="008D1DE6"/>
    <w:rsid w:val="008D20D2"/>
    <w:rsid w:val="008D2313"/>
    <w:rsid w:val="008D231A"/>
    <w:rsid w:val="008D2371"/>
    <w:rsid w:val="008D23B8"/>
    <w:rsid w:val="008D2519"/>
    <w:rsid w:val="008D2DBC"/>
    <w:rsid w:val="008D2EA6"/>
    <w:rsid w:val="008D33B5"/>
    <w:rsid w:val="008D3613"/>
    <w:rsid w:val="008D3654"/>
    <w:rsid w:val="008D39AB"/>
    <w:rsid w:val="008D3C3F"/>
    <w:rsid w:val="008D3F6A"/>
    <w:rsid w:val="008D3F80"/>
    <w:rsid w:val="008D3FAE"/>
    <w:rsid w:val="008D414F"/>
    <w:rsid w:val="008D4304"/>
    <w:rsid w:val="008D4399"/>
    <w:rsid w:val="008D4599"/>
    <w:rsid w:val="008D471B"/>
    <w:rsid w:val="008D49B2"/>
    <w:rsid w:val="008D49E4"/>
    <w:rsid w:val="008D5116"/>
    <w:rsid w:val="008D51D9"/>
    <w:rsid w:val="008D53A9"/>
    <w:rsid w:val="008D53BD"/>
    <w:rsid w:val="008D5453"/>
    <w:rsid w:val="008D56DC"/>
    <w:rsid w:val="008D57F7"/>
    <w:rsid w:val="008D58E3"/>
    <w:rsid w:val="008D5C9C"/>
    <w:rsid w:val="008D60DB"/>
    <w:rsid w:val="008D66AF"/>
    <w:rsid w:val="008D68D9"/>
    <w:rsid w:val="008D6980"/>
    <w:rsid w:val="008D6B87"/>
    <w:rsid w:val="008D6BC9"/>
    <w:rsid w:val="008D6C2C"/>
    <w:rsid w:val="008D6D72"/>
    <w:rsid w:val="008D6DF1"/>
    <w:rsid w:val="008D7126"/>
    <w:rsid w:val="008D7381"/>
    <w:rsid w:val="008D76F3"/>
    <w:rsid w:val="008D771E"/>
    <w:rsid w:val="008D77D2"/>
    <w:rsid w:val="008D77F0"/>
    <w:rsid w:val="008D7813"/>
    <w:rsid w:val="008D7B78"/>
    <w:rsid w:val="008D7B8B"/>
    <w:rsid w:val="008D7B99"/>
    <w:rsid w:val="008D7BC9"/>
    <w:rsid w:val="008D7CF5"/>
    <w:rsid w:val="008E005C"/>
    <w:rsid w:val="008E00D4"/>
    <w:rsid w:val="008E013A"/>
    <w:rsid w:val="008E01F0"/>
    <w:rsid w:val="008E03EF"/>
    <w:rsid w:val="008E044B"/>
    <w:rsid w:val="008E0578"/>
    <w:rsid w:val="008E098E"/>
    <w:rsid w:val="008E0A1B"/>
    <w:rsid w:val="008E0F7E"/>
    <w:rsid w:val="008E0FF8"/>
    <w:rsid w:val="008E1274"/>
    <w:rsid w:val="008E13C4"/>
    <w:rsid w:val="008E16CA"/>
    <w:rsid w:val="008E19A7"/>
    <w:rsid w:val="008E1B3C"/>
    <w:rsid w:val="008E1CEE"/>
    <w:rsid w:val="008E1DC4"/>
    <w:rsid w:val="008E2396"/>
    <w:rsid w:val="008E28C3"/>
    <w:rsid w:val="008E2AEA"/>
    <w:rsid w:val="008E2C31"/>
    <w:rsid w:val="008E2CE3"/>
    <w:rsid w:val="008E2E30"/>
    <w:rsid w:val="008E2E96"/>
    <w:rsid w:val="008E2F5A"/>
    <w:rsid w:val="008E3156"/>
    <w:rsid w:val="008E3404"/>
    <w:rsid w:val="008E35E7"/>
    <w:rsid w:val="008E3908"/>
    <w:rsid w:val="008E3B16"/>
    <w:rsid w:val="008E3D81"/>
    <w:rsid w:val="008E3E4E"/>
    <w:rsid w:val="008E4375"/>
    <w:rsid w:val="008E4493"/>
    <w:rsid w:val="008E49FB"/>
    <w:rsid w:val="008E4BEC"/>
    <w:rsid w:val="008E4D50"/>
    <w:rsid w:val="008E4D8E"/>
    <w:rsid w:val="008E4E15"/>
    <w:rsid w:val="008E4F02"/>
    <w:rsid w:val="008E4F2F"/>
    <w:rsid w:val="008E5082"/>
    <w:rsid w:val="008E51E8"/>
    <w:rsid w:val="008E522A"/>
    <w:rsid w:val="008E554D"/>
    <w:rsid w:val="008E55E8"/>
    <w:rsid w:val="008E5661"/>
    <w:rsid w:val="008E566C"/>
    <w:rsid w:val="008E56A4"/>
    <w:rsid w:val="008E5BC4"/>
    <w:rsid w:val="008E5CB8"/>
    <w:rsid w:val="008E61B9"/>
    <w:rsid w:val="008E641C"/>
    <w:rsid w:val="008E64CF"/>
    <w:rsid w:val="008E6811"/>
    <w:rsid w:val="008E69B5"/>
    <w:rsid w:val="008E6A74"/>
    <w:rsid w:val="008E6C03"/>
    <w:rsid w:val="008E6CC6"/>
    <w:rsid w:val="008E6F6C"/>
    <w:rsid w:val="008E6F7B"/>
    <w:rsid w:val="008E70DD"/>
    <w:rsid w:val="008E71E0"/>
    <w:rsid w:val="008E79E3"/>
    <w:rsid w:val="008E7C45"/>
    <w:rsid w:val="008E7CF7"/>
    <w:rsid w:val="008E7D24"/>
    <w:rsid w:val="008E7E2E"/>
    <w:rsid w:val="008F001D"/>
    <w:rsid w:val="008F0145"/>
    <w:rsid w:val="008F0207"/>
    <w:rsid w:val="008F0411"/>
    <w:rsid w:val="008F083B"/>
    <w:rsid w:val="008F09F2"/>
    <w:rsid w:val="008F0BAF"/>
    <w:rsid w:val="008F0C01"/>
    <w:rsid w:val="008F0D42"/>
    <w:rsid w:val="008F1016"/>
    <w:rsid w:val="008F10D9"/>
    <w:rsid w:val="008F10DB"/>
    <w:rsid w:val="008F11A6"/>
    <w:rsid w:val="008F126C"/>
    <w:rsid w:val="008F1384"/>
    <w:rsid w:val="008F1577"/>
    <w:rsid w:val="008F15F0"/>
    <w:rsid w:val="008F16B5"/>
    <w:rsid w:val="008F1985"/>
    <w:rsid w:val="008F19EE"/>
    <w:rsid w:val="008F1A53"/>
    <w:rsid w:val="008F1B6C"/>
    <w:rsid w:val="008F1BCC"/>
    <w:rsid w:val="008F1E57"/>
    <w:rsid w:val="008F1EEB"/>
    <w:rsid w:val="008F1F50"/>
    <w:rsid w:val="008F2014"/>
    <w:rsid w:val="008F21F9"/>
    <w:rsid w:val="008F2256"/>
    <w:rsid w:val="008F25A0"/>
    <w:rsid w:val="008F2804"/>
    <w:rsid w:val="008F2819"/>
    <w:rsid w:val="008F2960"/>
    <w:rsid w:val="008F29F8"/>
    <w:rsid w:val="008F2CC5"/>
    <w:rsid w:val="008F2DCF"/>
    <w:rsid w:val="008F2E5B"/>
    <w:rsid w:val="008F31B2"/>
    <w:rsid w:val="008F3370"/>
    <w:rsid w:val="008F3578"/>
    <w:rsid w:val="008F37E1"/>
    <w:rsid w:val="008F3830"/>
    <w:rsid w:val="008F3857"/>
    <w:rsid w:val="008F3BD2"/>
    <w:rsid w:val="008F3D14"/>
    <w:rsid w:val="008F3DA4"/>
    <w:rsid w:val="008F4162"/>
    <w:rsid w:val="008F41F8"/>
    <w:rsid w:val="008F437C"/>
    <w:rsid w:val="008F442B"/>
    <w:rsid w:val="008F4AA4"/>
    <w:rsid w:val="008F4CE9"/>
    <w:rsid w:val="008F50D0"/>
    <w:rsid w:val="008F5137"/>
    <w:rsid w:val="008F52FC"/>
    <w:rsid w:val="008F539E"/>
    <w:rsid w:val="008F5514"/>
    <w:rsid w:val="008F557C"/>
    <w:rsid w:val="008F56F9"/>
    <w:rsid w:val="008F574B"/>
    <w:rsid w:val="008F58B8"/>
    <w:rsid w:val="008F5915"/>
    <w:rsid w:val="008F5BE0"/>
    <w:rsid w:val="008F5C11"/>
    <w:rsid w:val="008F5CFC"/>
    <w:rsid w:val="008F618A"/>
    <w:rsid w:val="008F618B"/>
    <w:rsid w:val="008F627F"/>
    <w:rsid w:val="008F63AF"/>
    <w:rsid w:val="008F65C5"/>
    <w:rsid w:val="008F666F"/>
    <w:rsid w:val="008F6787"/>
    <w:rsid w:val="008F692E"/>
    <w:rsid w:val="008F69C3"/>
    <w:rsid w:val="008F6A63"/>
    <w:rsid w:val="008F6B17"/>
    <w:rsid w:val="008F7327"/>
    <w:rsid w:val="008F736C"/>
    <w:rsid w:val="008F748A"/>
    <w:rsid w:val="008F74B8"/>
    <w:rsid w:val="008F7759"/>
    <w:rsid w:val="008F7A2B"/>
    <w:rsid w:val="008F7B16"/>
    <w:rsid w:val="008F7D87"/>
    <w:rsid w:val="008F7FE5"/>
    <w:rsid w:val="0090017C"/>
    <w:rsid w:val="0090020C"/>
    <w:rsid w:val="0090023E"/>
    <w:rsid w:val="00900785"/>
    <w:rsid w:val="00900B9A"/>
    <w:rsid w:val="00900D94"/>
    <w:rsid w:val="00900F5B"/>
    <w:rsid w:val="00901031"/>
    <w:rsid w:val="009011A1"/>
    <w:rsid w:val="0090123F"/>
    <w:rsid w:val="009016B7"/>
    <w:rsid w:val="00901885"/>
    <w:rsid w:val="00901D1D"/>
    <w:rsid w:val="00901DD8"/>
    <w:rsid w:val="009023C2"/>
    <w:rsid w:val="0090249D"/>
    <w:rsid w:val="009024BF"/>
    <w:rsid w:val="00902514"/>
    <w:rsid w:val="009028B5"/>
    <w:rsid w:val="00902BBF"/>
    <w:rsid w:val="00902D46"/>
    <w:rsid w:val="00902DEA"/>
    <w:rsid w:val="00902EB8"/>
    <w:rsid w:val="00902F58"/>
    <w:rsid w:val="00902FB6"/>
    <w:rsid w:val="009032D0"/>
    <w:rsid w:val="00903301"/>
    <w:rsid w:val="009033AC"/>
    <w:rsid w:val="00903740"/>
    <w:rsid w:val="00903840"/>
    <w:rsid w:val="009040E7"/>
    <w:rsid w:val="00904745"/>
    <w:rsid w:val="00904F84"/>
    <w:rsid w:val="009051FC"/>
    <w:rsid w:val="00905423"/>
    <w:rsid w:val="00905722"/>
    <w:rsid w:val="00905A6B"/>
    <w:rsid w:val="00905EF2"/>
    <w:rsid w:val="009065D9"/>
    <w:rsid w:val="00906A16"/>
    <w:rsid w:val="00906B55"/>
    <w:rsid w:val="00906E95"/>
    <w:rsid w:val="009070DA"/>
    <w:rsid w:val="0090712D"/>
    <w:rsid w:val="009074F5"/>
    <w:rsid w:val="009075C9"/>
    <w:rsid w:val="0090765F"/>
    <w:rsid w:val="00907859"/>
    <w:rsid w:val="00907BD9"/>
    <w:rsid w:val="00907C39"/>
    <w:rsid w:val="00907DFA"/>
    <w:rsid w:val="00907E5D"/>
    <w:rsid w:val="00907F60"/>
    <w:rsid w:val="0091017E"/>
    <w:rsid w:val="0091026E"/>
    <w:rsid w:val="00910528"/>
    <w:rsid w:val="009106E2"/>
    <w:rsid w:val="0091073F"/>
    <w:rsid w:val="009108B5"/>
    <w:rsid w:val="00910908"/>
    <w:rsid w:val="00910998"/>
    <w:rsid w:val="00910BA5"/>
    <w:rsid w:val="00910DE2"/>
    <w:rsid w:val="00910FD7"/>
    <w:rsid w:val="009110E6"/>
    <w:rsid w:val="0091147E"/>
    <w:rsid w:val="00911525"/>
    <w:rsid w:val="00911843"/>
    <w:rsid w:val="00911926"/>
    <w:rsid w:val="00911C3F"/>
    <w:rsid w:val="00911CBB"/>
    <w:rsid w:val="00911D5D"/>
    <w:rsid w:val="00911F56"/>
    <w:rsid w:val="00911FD9"/>
    <w:rsid w:val="00912135"/>
    <w:rsid w:val="0091235A"/>
    <w:rsid w:val="00912476"/>
    <w:rsid w:val="00912870"/>
    <w:rsid w:val="00912CB6"/>
    <w:rsid w:val="00912D90"/>
    <w:rsid w:val="00912F5D"/>
    <w:rsid w:val="009133C2"/>
    <w:rsid w:val="00913468"/>
    <w:rsid w:val="00913555"/>
    <w:rsid w:val="00913B04"/>
    <w:rsid w:val="00913C63"/>
    <w:rsid w:val="00913FC4"/>
    <w:rsid w:val="009143AD"/>
    <w:rsid w:val="009143C1"/>
    <w:rsid w:val="009144D1"/>
    <w:rsid w:val="009145D9"/>
    <w:rsid w:val="009146DA"/>
    <w:rsid w:val="00914799"/>
    <w:rsid w:val="009147CC"/>
    <w:rsid w:val="009147E0"/>
    <w:rsid w:val="0091496E"/>
    <w:rsid w:val="00914F91"/>
    <w:rsid w:val="00914FD0"/>
    <w:rsid w:val="009150CA"/>
    <w:rsid w:val="00915148"/>
    <w:rsid w:val="009152EF"/>
    <w:rsid w:val="0091534F"/>
    <w:rsid w:val="00915378"/>
    <w:rsid w:val="00915481"/>
    <w:rsid w:val="009155BC"/>
    <w:rsid w:val="009155CC"/>
    <w:rsid w:val="009157DC"/>
    <w:rsid w:val="0091583F"/>
    <w:rsid w:val="0091595B"/>
    <w:rsid w:val="00915C62"/>
    <w:rsid w:val="00915C67"/>
    <w:rsid w:val="00915D0A"/>
    <w:rsid w:val="00915E04"/>
    <w:rsid w:val="00915FE4"/>
    <w:rsid w:val="00916062"/>
    <w:rsid w:val="009161DC"/>
    <w:rsid w:val="009165F5"/>
    <w:rsid w:val="0091686A"/>
    <w:rsid w:val="00916962"/>
    <w:rsid w:val="00916A8B"/>
    <w:rsid w:val="00916B83"/>
    <w:rsid w:val="00916D03"/>
    <w:rsid w:val="00916F0D"/>
    <w:rsid w:val="00916F2C"/>
    <w:rsid w:val="0091749D"/>
    <w:rsid w:val="00917667"/>
    <w:rsid w:val="009177D1"/>
    <w:rsid w:val="009177DB"/>
    <w:rsid w:val="009179C3"/>
    <w:rsid w:val="00917F7D"/>
    <w:rsid w:val="009202AC"/>
    <w:rsid w:val="00920487"/>
    <w:rsid w:val="009204B5"/>
    <w:rsid w:val="009205F4"/>
    <w:rsid w:val="0092067C"/>
    <w:rsid w:val="0092070B"/>
    <w:rsid w:val="00920861"/>
    <w:rsid w:val="00920866"/>
    <w:rsid w:val="00920A01"/>
    <w:rsid w:val="00920ABB"/>
    <w:rsid w:val="009210AA"/>
    <w:rsid w:val="00921142"/>
    <w:rsid w:val="00921188"/>
    <w:rsid w:val="00921319"/>
    <w:rsid w:val="0092160B"/>
    <w:rsid w:val="009216B5"/>
    <w:rsid w:val="00921907"/>
    <w:rsid w:val="009222F0"/>
    <w:rsid w:val="00922564"/>
    <w:rsid w:val="00922695"/>
    <w:rsid w:val="009227F1"/>
    <w:rsid w:val="00922D2D"/>
    <w:rsid w:val="00922E41"/>
    <w:rsid w:val="00922E98"/>
    <w:rsid w:val="00922E9A"/>
    <w:rsid w:val="00922EE8"/>
    <w:rsid w:val="0092306A"/>
    <w:rsid w:val="009233D1"/>
    <w:rsid w:val="00923B5B"/>
    <w:rsid w:val="00923CED"/>
    <w:rsid w:val="00923DE2"/>
    <w:rsid w:val="00923FC6"/>
    <w:rsid w:val="00924760"/>
    <w:rsid w:val="00924DCA"/>
    <w:rsid w:val="00924E95"/>
    <w:rsid w:val="009250EE"/>
    <w:rsid w:val="0092530E"/>
    <w:rsid w:val="009253E2"/>
    <w:rsid w:val="00925547"/>
    <w:rsid w:val="0092567C"/>
    <w:rsid w:val="00925753"/>
    <w:rsid w:val="00925BC8"/>
    <w:rsid w:val="00925C0E"/>
    <w:rsid w:val="00925C69"/>
    <w:rsid w:val="00925E00"/>
    <w:rsid w:val="00925E8C"/>
    <w:rsid w:val="0092603B"/>
    <w:rsid w:val="00926374"/>
    <w:rsid w:val="0092689C"/>
    <w:rsid w:val="00926AE5"/>
    <w:rsid w:val="00926DF7"/>
    <w:rsid w:val="00926EAE"/>
    <w:rsid w:val="00926EFC"/>
    <w:rsid w:val="00927045"/>
    <w:rsid w:val="009270D6"/>
    <w:rsid w:val="00927180"/>
    <w:rsid w:val="009273C7"/>
    <w:rsid w:val="00927507"/>
    <w:rsid w:val="00927646"/>
    <w:rsid w:val="00927709"/>
    <w:rsid w:val="009277D8"/>
    <w:rsid w:val="00930004"/>
    <w:rsid w:val="00930109"/>
    <w:rsid w:val="00930494"/>
    <w:rsid w:val="0093078A"/>
    <w:rsid w:val="00930885"/>
    <w:rsid w:val="009309D5"/>
    <w:rsid w:val="009313CB"/>
    <w:rsid w:val="0093142D"/>
    <w:rsid w:val="00931FE3"/>
    <w:rsid w:val="009322E7"/>
    <w:rsid w:val="009324DB"/>
    <w:rsid w:val="0093277F"/>
    <w:rsid w:val="009328E9"/>
    <w:rsid w:val="00932956"/>
    <w:rsid w:val="009329F4"/>
    <w:rsid w:val="00932AB2"/>
    <w:rsid w:val="00932ABE"/>
    <w:rsid w:val="00932CEA"/>
    <w:rsid w:val="0093308D"/>
    <w:rsid w:val="00933120"/>
    <w:rsid w:val="009331AA"/>
    <w:rsid w:val="00933675"/>
    <w:rsid w:val="00933874"/>
    <w:rsid w:val="00933B49"/>
    <w:rsid w:val="00933D01"/>
    <w:rsid w:val="00933DC5"/>
    <w:rsid w:val="00933E6A"/>
    <w:rsid w:val="00933FD7"/>
    <w:rsid w:val="00933FF4"/>
    <w:rsid w:val="00934152"/>
    <w:rsid w:val="0093417A"/>
    <w:rsid w:val="009343B9"/>
    <w:rsid w:val="00934529"/>
    <w:rsid w:val="009347BD"/>
    <w:rsid w:val="00934C8C"/>
    <w:rsid w:val="00934E5D"/>
    <w:rsid w:val="00934E62"/>
    <w:rsid w:val="00934F4B"/>
    <w:rsid w:val="00935033"/>
    <w:rsid w:val="00935139"/>
    <w:rsid w:val="009351FD"/>
    <w:rsid w:val="00935377"/>
    <w:rsid w:val="0093544B"/>
    <w:rsid w:val="0093581B"/>
    <w:rsid w:val="00935821"/>
    <w:rsid w:val="009358F8"/>
    <w:rsid w:val="00935B6F"/>
    <w:rsid w:val="00935C60"/>
    <w:rsid w:val="00936585"/>
    <w:rsid w:val="009369CE"/>
    <w:rsid w:val="00936A29"/>
    <w:rsid w:val="00936BF1"/>
    <w:rsid w:val="00936CCE"/>
    <w:rsid w:val="00936EA7"/>
    <w:rsid w:val="00936F59"/>
    <w:rsid w:val="009370EB"/>
    <w:rsid w:val="009376B4"/>
    <w:rsid w:val="0093780E"/>
    <w:rsid w:val="00937A52"/>
    <w:rsid w:val="00937FDD"/>
    <w:rsid w:val="009400A3"/>
    <w:rsid w:val="009401B8"/>
    <w:rsid w:val="009406F8"/>
    <w:rsid w:val="009407C4"/>
    <w:rsid w:val="009409B0"/>
    <w:rsid w:val="00940C0E"/>
    <w:rsid w:val="00940CF9"/>
    <w:rsid w:val="009410B9"/>
    <w:rsid w:val="009410F3"/>
    <w:rsid w:val="009411B7"/>
    <w:rsid w:val="009412BF"/>
    <w:rsid w:val="0094159D"/>
    <w:rsid w:val="00941610"/>
    <w:rsid w:val="00941990"/>
    <w:rsid w:val="009419D4"/>
    <w:rsid w:val="00941BB9"/>
    <w:rsid w:val="009420EE"/>
    <w:rsid w:val="009423BD"/>
    <w:rsid w:val="009428B1"/>
    <w:rsid w:val="0094290B"/>
    <w:rsid w:val="00942B31"/>
    <w:rsid w:val="00943734"/>
    <w:rsid w:val="009437C9"/>
    <w:rsid w:val="009438C1"/>
    <w:rsid w:val="009439D0"/>
    <w:rsid w:val="00943F0D"/>
    <w:rsid w:val="0094401A"/>
    <w:rsid w:val="0094414B"/>
    <w:rsid w:val="0094437D"/>
    <w:rsid w:val="0094458F"/>
    <w:rsid w:val="0094460C"/>
    <w:rsid w:val="00944BC9"/>
    <w:rsid w:val="00944E36"/>
    <w:rsid w:val="00944F8D"/>
    <w:rsid w:val="00945150"/>
    <w:rsid w:val="00945458"/>
    <w:rsid w:val="00945558"/>
    <w:rsid w:val="009458DB"/>
    <w:rsid w:val="00945FC2"/>
    <w:rsid w:val="009463FB"/>
    <w:rsid w:val="009465F8"/>
    <w:rsid w:val="009466D8"/>
    <w:rsid w:val="00946B65"/>
    <w:rsid w:val="00946BBA"/>
    <w:rsid w:val="00947059"/>
    <w:rsid w:val="009470DA"/>
    <w:rsid w:val="00947338"/>
    <w:rsid w:val="00947399"/>
    <w:rsid w:val="009475AF"/>
    <w:rsid w:val="00947755"/>
    <w:rsid w:val="0094779E"/>
    <w:rsid w:val="009478BF"/>
    <w:rsid w:val="00947A80"/>
    <w:rsid w:val="00947C37"/>
    <w:rsid w:val="0095000A"/>
    <w:rsid w:val="0095008B"/>
    <w:rsid w:val="009500F0"/>
    <w:rsid w:val="009508B8"/>
    <w:rsid w:val="00950F11"/>
    <w:rsid w:val="00951038"/>
    <w:rsid w:val="0095106C"/>
    <w:rsid w:val="00951185"/>
    <w:rsid w:val="00951315"/>
    <w:rsid w:val="00951B64"/>
    <w:rsid w:val="00951CD4"/>
    <w:rsid w:val="00951D5B"/>
    <w:rsid w:val="00951D88"/>
    <w:rsid w:val="0095209E"/>
    <w:rsid w:val="0095217D"/>
    <w:rsid w:val="009526C8"/>
    <w:rsid w:val="0095273D"/>
    <w:rsid w:val="009529CA"/>
    <w:rsid w:val="00952B5D"/>
    <w:rsid w:val="00952DD5"/>
    <w:rsid w:val="00952F91"/>
    <w:rsid w:val="009531FF"/>
    <w:rsid w:val="009532AB"/>
    <w:rsid w:val="009534DC"/>
    <w:rsid w:val="009535A7"/>
    <w:rsid w:val="009535E9"/>
    <w:rsid w:val="009537EC"/>
    <w:rsid w:val="00953AF0"/>
    <w:rsid w:val="00953B2C"/>
    <w:rsid w:val="00953D68"/>
    <w:rsid w:val="00953FAD"/>
    <w:rsid w:val="0095405C"/>
    <w:rsid w:val="00954414"/>
    <w:rsid w:val="0095465C"/>
    <w:rsid w:val="0095469F"/>
    <w:rsid w:val="00954804"/>
    <w:rsid w:val="009549D6"/>
    <w:rsid w:val="00954ED0"/>
    <w:rsid w:val="00954FA4"/>
    <w:rsid w:val="00955444"/>
    <w:rsid w:val="00955639"/>
    <w:rsid w:val="009557EB"/>
    <w:rsid w:val="0095583F"/>
    <w:rsid w:val="00955ABB"/>
    <w:rsid w:val="00955AD8"/>
    <w:rsid w:val="00955C60"/>
    <w:rsid w:val="00956288"/>
    <w:rsid w:val="009562C5"/>
    <w:rsid w:val="009562DA"/>
    <w:rsid w:val="00956360"/>
    <w:rsid w:val="009565CA"/>
    <w:rsid w:val="0095689D"/>
    <w:rsid w:val="00956E91"/>
    <w:rsid w:val="00956EBA"/>
    <w:rsid w:val="00956EDE"/>
    <w:rsid w:val="0095706D"/>
    <w:rsid w:val="009570DD"/>
    <w:rsid w:val="009576F0"/>
    <w:rsid w:val="00957BF8"/>
    <w:rsid w:val="00957FAC"/>
    <w:rsid w:val="0096003D"/>
    <w:rsid w:val="00960216"/>
    <w:rsid w:val="00960425"/>
    <w:rsid w:val="009604F5"/>
    <w:rsid w:val="009605C5"/>
    <w:rsid w:val="009606BE"/>
    <w:rsid w:val="009606F8"/>
    <w:rsid w:val="0096089D"/>
    <w:rsid w:val="00960B46"/>
    <w:rsid w:val="00960BBF"/>
    <w:rsid w:val="00960C32"/>
    <w:rsid w:val="00960E3A"/>
    <w:rsid w:val="00961099"/>
    <w:rsid w:val="00961391"/>
    <w:rsid w:val="00961914"/>
    <w:rsid w:val="00961918"/>
    <w:rsid w:val="00961B26"/>
    <w:rsid w:val="00961D93"/>
    <w:rsid w:val="009625F2"/>
    <w:rsid w:val="00962CC3"/>
    <w:rsid w:val="00962CEF"/>
    <w:rsid w:val="00962DFA"/>
    <w:rsid w:val="0096316B"/>
    <w:rsid w:val="009635E5"/>
    <w:rsid w:val="00963647"/>
    <w:rsid w:val="009636AE"/>
    <w:rsid w:val="009636BF"/>
    <w:rsid w:val="009637D8"/>
    <w:rsid w:val="0096395B"/>
    <w:rsid w:val="00963D70"/>
    <w:rsid w:val="00963E81"/>
    <w:rsid w:val="00964092"/>
    <w:rsid w:val="009641D8"/>
    <w:rsid w:val="00964516"/>
    <w:rsid w:val="0096451E"/>
    <w:rsid w:val="009646DE"/>
    <w:rsid w:val="00964721"/>
    <w:rsid w:val="009649B7"/>
    <w:rsid w:val="009649F9"/>
    <w:rsid w:val="00964B50"/>
    <w:rsid w:val="00964CC6"/>
    <w:rsid w:val="00965115"/>
    <w:rsid w:val="009652F5"/>
    <w:rsid w:val="009655AF"/>
    <w:rsid w:val="00965636"/>
    <w:rsid w:val="00965670"/>
    <w:rsid w:val="009658A4"/>
    <w:rsid w:val="009659EA"/>
    <w:rsid w:val="00965AA9"/>
    <w:rsid w:val="00965B0E"/>
    <w:rsid w:val="00965D6D"/>
    <w:rsid w:val="00965DB5"/>
    <w:rsid w:val="00965FC9"/>
    <w:rsid w:val="00965FFE"/>
    <w:rsid w:val="00966585"/>
    <w:rsid w:val="009666D8"/>
    <w:rsid w:val="0096676B"/>
    <w:rsid w:val="009669E7"/>
    <w:rsid w:val="00966B6A"/>
    <w:rsid w:val="00966DD9"/>
    <w:rsid w:val="00966E77"/>
    <w:rsid w:val="00967172"/>
    <w:rsid w:val="00967234"/>
    <w:rsid w:val="009675D1"/>
    <w:rsid w:val="0096761E"/>
    <w:rsid w:val="00967928"/>
    <w:rsid w:val="00967C80"/>
    <w:rsid w:val="00967D33"/>
    <w:rsid w:val="00970179"/>
    <w:rsid w:val="00970340"/>
    <w:rsid w:val="009703F2"/>
    <w:rsid w:val="0097049E"/>
    <w:rsid w:val="009704E9"/>
    <w:rsid w:val="00970743"/>
    <w:rsid w:val="0097075B"/>
    <w:rsid w:val="0097087E"/>
    <w:rsid w:val="00970AF9"/>
    <w:rsid w:val="00970C5A"/>
    <w:rsid w:val="00970D68"/>
    <w:rsid w:val="00971350"/>
    <w:rsid w:val="00971390"/>
    <w:rsid w:val="009714C0"/>
    <w:rsid w:val="00971748"/>
    <w:rsid w:val="009717B3"/>
    <w:rsid w:val="009717E5"/>
    <w:rsid w:val="0097180D"/>
    <w:rsid w:val="0097187E"/>
    <w:rsid w:val="009718BB"/>
    <w:rsid w:val="00971CFC"/>
    <w:rsid w:val="00971D11"/>
    <w:rsid w:val="00971F28"/>
    <w:rsid w:val="00972542"/>
    <w:rsid w:val="00972561"/>
    <w:rsid w:val="0097258A"/>
    <w:rsid w:val="00972684"/>
    <w:rsid w:val="00973143"/>
    <w:rsid w:val="0097326B"/>
    <w:rsid w:val="00973397"/>
    <w:rsid w:val="00973456"/>
    <w:rsid w:val="009737C9"/>
    <w:rsid w:val="0097385A"/>
    <w:rsid w:val="0097409E"/>
    <w:rsid w:val="00974385"/>
    <w:rsid w:val="00974723"/>
    <w:rsid w:val="00974775"/>
    <w:rsid w:val="009747CE"/>
    <w:rsid w:val="00974A17"/>
    <w:rsid w:val="00974A1C"/>
    <w:rsid w:val="00974E6A"/>
    <w:rsid w:val="00974EC9"/>
    <w:rsid w:val="00974F1F"/>
    <w:rsid w:val="00974F62"/>
    <w:rsid w:val="0097503B"/>
    <w:rsid w:val="00975063"/>
    <w:rsid w:val="009753B9"/>
    <w:rsid w:val="00975521"/>
    <w:rsid w:val="00975855"/>
    <w:rsid w:val="0097593E"/>
    <w:rsid w:val="00975BA1"/>
    <w:rsid w:val="00975BD7"/>
    <w:rsid w:val="00975F67"/>
    <w:rsid w:val="00975FD3"/>
    <w:rsid w:val="00976D92"/>
    <w:rsid w:val="00976FF0"/>
    <w:rsid w:val="00977A45"/>
    <w:rsid w:val="00977C6B"/>
    <w:rsid w:val="00977E6F"/>
    <w:rsid w:val="009807ED"/>
    <w:rsid w:val="009807F7"/>
    <w:rsid w:val="00980A45"/>
    <w:rsid w:val="00980B0E"/>
    <w:rsid w:val="00980B6E"/>
    <w:rsid w:val="00980C13"/>
    <w:rsid w:val="00980C2D"/>
    <w:rsid w:val="009810F7"/>
    <w:rsid w:val="0098152B"/>
    <w:rsid w:val="00981677"/>
    <w:rsid w:val="00981701"/>
    <w:rsid w:val="00981771"/>
    <w:rsid w:val="00981828"/>
    <w:rsid w:val="009819F7"/>
    <w:rsid w:val="00981E9D"/>
    <w:rsid w:val="00981F25"/>
    <w:rsid w:val="009820E0"/>
    <w:rsid w:val="009820E3"/>
    <w:rsid w:val="00982340"/>
    <w:rsid w:val="009826F6"/>
    <w:rsid w:val="00982C92"/>
    <w:rsid w:val="00982DFF"/>
    <w:rsid w:val="00982F32"/>
    <w:rsid w:val="0098307B"/>
    <w:rsid w:val="009832A3"/>
    <w:rsid w:val="009832B9"/>
    <w:rsid w:val="00983481"/>
    <w:rsid w:val="00983563"/>
    <w:rsid w:val="00983846"/>
    <w:rsid w:val="00983ABD"/>
    <w:rsid w:val="00983E73"/>
    <w:rsid w:val="00983EB3"/>
    <w:rsid w:val="00983F99"/>
    <w:rsid w:val="009840EA"/>
    <w:rsid w:val="00984188"/>
    <w:rsid w:val="00984418"/>
    <w:rsid w:val="00984531"/>
    <w:rsid w:val="0098464E"/>
    <w:rsid w:val="0098469B"/>
    <w:rsid w:val="00984802"/>
    <w:rsid w:val="00984A05"/>
    <w:rsid w:val="00984AFA"/>
    <w:rsid w:val="00984BE8"/>
    <w:rsid w:val="00984D4D"/>
    <w:rsid w:val="00984DCB"/>
    <w:rsid w:val="00984E73"/>
    <w:rsid w:val="00984FBA"/>
    <w:rsid w:val="0098575B"/>
    <w:rsid w:val="00985A46"/>
    <w:rsid w:val="00985C3C"/>
    <w:rsid w:val="00985CDC"/>
    <w:rsid w:val="00985E26"/>
    <w:rsid w:val="00986099"/>
    <w:rsid w:val="009861B4"/>
    <w:rsid w:val="0098638E"/>
    <w:rsid w:val="00986585"/>
    <w:rsid w:val="00986917"/>
    <w:rsid w:val="0098693C"/>
    <w:rsid w:val="00986A04"/>
    <w:rsid w:val="00986C8C"/>
    <w:rsid w:val="00986E1F"/>
    <w:rsid w:val="009870BC"/>
    <w:rsid w:val="00987120"/>
    <w:rsid w:val="009871B1"/>
    <w:rsid w:val="009872BF"/>
    <w:rsid w:val="009872D5"/>
    <w:rsid w:val="0098740E"/>
    <w:rsid w:val="009875CE"/>
    <w:rsid w:val="0098774E"/>
    <w:rsid w:val="009878D1"/>
    <w:rsid w:val="009901BC"/>
    <w:rsid w:val="009903E6"/>
    <w:rsid w:val="0099052E"/>
    <w:rsid w:val="00990647"/>
    <w:rsid w:val="0099080F"/>
    <w:rsid w:val="0099090C"/>
    <w:rsid w:val="0099092A"/>
    <w:rsid w:val="00990F65"/>
    <w:rsid w:val="00991475"/>
    <w:rsid w:val="00991796"/>
    <w:rsid w:val="0099187E"/>
    <w:rsid w:val="00991991"/>
    <w:rsid w:val="00991A57"/>
    <w:rsid w:val="00991BF4"/>
    <w:rsid w:val="00991EE4"/>
    <w:rsid w:val="0099201C"/>
    <w:rsid w:val="0099204F"/>
    <w:rsid w:val="009920E2"/>
    <w:rsid w:val="00992141"/>
    <w:rsid w:val="00992337"/>
    <w:rsid w:val="009923F6"/>
    <w:rsid w:val="00992C86"/>
    <w:rsid w:val="00992E18"/>
    <w:rsid w:val="00992E35"/>
    <w:rsid w:val="00992F9F"/>
    <w:rsid w:val="009931F7"/>
    <w:rsid w:val="009932DB"/>
    <w:rsid w:val="00993319"/>
    <w:rsid w:val="00993585"/>
    <w:rsid w:val="009936B5"/>
    <w:rsid w:val="0099373B"/>
    <w:rsid w:val="00993914"/>
    <w:rsid w:val="00993A07"/>
    <w:rsid w:val="00993B0C"/>
    <w:rsid w:val="00993B40"/>
    <w:rsid w:val="00993C1D"/>
    <w:rsid w:val="00993DB3"/>
    <w:rsid w:val="00993F2A"/>
    <w:rsid w:val="00994173"/>
    <w:rsid w:val="009941C9"/>
    <w:rsid w:val="0099444D"/>
    <w:rsid w:val="009946A4"/>
    <w:rsid w:val="00994AE5"/>
    <w:rsid w:val="00994D21"/>
    <w:rsid w:val="009950F1"/>
    <w:rsid w:val="00995138"/>
    <w:rsid w:val="00995158"/>
    <w:rsid w:val="00995711"/>
    <w:rsid w:val="00995768"/>
    <w:rsid w:val="00995963"/>
    <w:rsid w:val="00995FDB"/>
    <w:rsid w:val="00996078"/>
    <w:rsid w:val="0099622F"/>
    <w:rsid w:val="0099626F"/>
    <w:rsid w:val="00996576"/>
    <w:rsid w:val="0099669D"/>
    <w:rsid w:val="009969D3"/>
    <w:rsid w:val="00996A11"/>
    <w:rsid w:val="00996B29"/>
    <w:rsid w:val="00997005"/>
    <w:rsid w:val="0099707C"/>
    <w:rsid w:val="009971E8"/>
    <w:rsid w:val="009971F5"/>
    <w:rsid w:val="00997288"/>
    <w:rsid w:val="00997367"/>
    <w:rsid w:val="009973F1"/>
    <w:rsid w:val="00997437"/>
    <w:rsid w:val="00997665"/>
    <w:rsid w:val="009978ED"/>
    <w:rsid w:val="00997C44"/>
    <w:rsid w:val="00997E19"/>
    <w:rsid w:val="009A002C"/>
    <w:rsid w:val="009A020B"/>
    <w:rsid w:val="009A0647"/>
    <w:rsid w:val="009A06A6"/>
    <w:rsid w:val="009A077B"/>
    <w:rsid w:val="009A07C4"/>
    <w:rsid w:val="009A07F5"/>
    <w:rsid w:val="009A08E4"/>
    <w:rsid w:val="009A0938"/>
    <w:rsid w:val="009A0D02"/>
    <w:rsid w:val="009A0E76"/>
    <w:rsid w:val="009A0E97"/>
    <w:rsid w:val="009A1184"/>
    <w:rsid w:val="009A13C7"/>
    <w:rsid w:val="009A150B"/>
    <w:rsid w:val="009A1630"/>
    <w:rsid w:val="009A176C"/>
    <w:rsid w:val="009A188E"/>
    <w:rsid w:val="009A1A0A"/>
    <w:rsid w:val="009A1A7D"/>
    <w:rsid w:val="009A1AD1"/>
    <w:rsid w:val="009A1EE4"/>
    <w:rsid w:val="009A2054"/>
    <w:rsid w:val="009A211A"/>
    <w:rsid w:val="009A2572"/>
    <w:rsid w:val="009A2671"/>
    <w:rsid w:val="009A269C"/>
    <w:rsid w:val="009A2B2D"/>
    <w:rsid w:val="009A2BF6"/>
    <w:rsid w:val="009A2C7A"/>
    <w:rsid w:val="009A2D15"/>
    <w:rsid w:val="009A2D19"/>
    <w:rsid w:val="009A2F23"/>
    <w:rsid w:val="009A2FFD"/>
    <w:rsid w:val="009A32AC"/>
    <w:rsid w:val="009A3417"/>
    <w:rsid w:val="009A3877"/>
    <w:rsid w:val="009A39C3"/>
    <w:rsid w:val="009A39EC"/>
    <w:rsid w:val="009A4026"/>
    <w:rsid w:val="009A4120"/>
    <w:rsid w:val="009A415D"/>
    <w:rsid w:val="009A42FA"/>
    <w:rsid w:val="009A4306"/>
    <w:rsid w:val="009A48C3"/>
    <w:rsid w:val="009A4C04"/>
    <w:rsid w:val="009A4DE1"/>
    <w:rsid w:val="009A4FC1"/>
    <w:rsid w:val="009A5085"/>
    <w:rsid w:val="009A5175"/>
    <w:rsid w:val="009A53BC"/>
    <w:rsid w:val="009A55A8"/>
    <w:rsid w:val="009A5A8D"/>
    <w:rsid w:val="009A5D06"/>
    <w:rsid w:val="009A5DDA"/>
    <w:rsid w:val="009A6094"/>
    <w:rsid w:val="009A60E6"/>
    <w:rsid w:val="009A68C3"/>
    <w:rsid w:val="009A6B23"/>
    <w:rsid w:val="009A6DD8"/>
    <w:rsid w:val="009A6DFE"/>
    <w:rsid w:val="009A6E77"/>
    <w:rsid w:val="009A6F03"/>
    <w:rsid w:val="009A7128"/>
    <w:rsid w:val="009A719D"/>
    <w:rsid w:val="009A752D"/>
    <w:rsid w:val="009A7783"/>
    <w:rsid w:val="009A783A"/>
    <w:rsid w:val="009A78D1"/>
    <w:rsid w:val="009A7C05"/>
    <w:rsid w:val="009A7F5E"/>
    <w:rsid w:val="009B03A8"/>
    <w:rsid w:val="009B0601"/>
    <w:rsid w:val="009B0755"/>
    <w:rsid w:val="009B0AE8"/>
    <w:rsid w:val="009B0CE8"/>
    <w:rsid w:val="009B0D61"/>
    <w:rsid w:val="009B0E70"/>
    <w:rsid w:val="009B0F46"/>
    <w:rsid w:val="009B0FCE"/>
    <w:rsid w:val="009B106C"/>
    <w:rsid w:val="009B11C3"/>
    <w:rsid w:val="009B12FF"/>
    <w:rsid w:val="009B1341"/>
    <w:rsid w:val="009B134F"/>
    <w:rsid w:val="009B1557"/>
    <w:rsid w:val="009B158D"/>
    <w:rsid w:val="009B15F4"/>
    <w:rsid w:val="009B175A"/>
    <w:rsid w:val="009B1CB9"/>
    <w:rsid w:val="009B1F9B"/>
    <w:rsid w:val="009B1FD6"/>
    <w:rsid w:val="009B20C2"/>
    <w:rsid w:val="009B230D"/>
    <w:rsid w:val="009B2707"/>
    <w:rsid w:val="009B289C"/>
    <w:rsid w:val="009B28F4"/>
    <w:rsid w:val="009B29C8"/>
    <w:rsid w:val="009B2AFB"/>
    <w:rsid w:val="009B2C89"/>
    <w:rsid w:val="009B30A0"/>
    <w:rsid w:val="009B31A5"/>
    <w:rsid w:val="009B32F0"/>
    <w:rsid w:val="009B33A8"/>
    <w:rsid w:val="009B348B"/>
    <w:rsid w:val="009B3613"/>
    <w:rsid w:val="009B3721"/>
    <w:rsid w:val="009B3A97"/>
    <w:rsid w:val="009B40DD"/>
    <w:rsid w:val="009B414B"/>
    <w:rsid w:val="009B4283"/>
    <w:rsid w:val="009B453C"/>
    <w:rsid w:val="009B4571"/>
    <w:rsid w:val="009B4620"/>
    <w:rsid w:val="009B47D1"/>
    <w:rsid w:val="009B4903"/>
    <w:rsid w:val="009B4B51"/>
    <w:rsid w:val="009B4F92"/>
    <w:rsid w:val="009B505C"/>
    <w:rsid w:val="009B50BB"/>
    <w:rsid w:val="009B51BD"/>
    <w:rsid w:val="009B539C"/>
    <w:rsid w:val="009B5840"/>
    <w:rsid w:val="009B5899"/>
    <w:rsid w:val="009B5934"/>
    <w:rsid w:val="009B5A06"/>
    <w:rsid w:val="009B5BA2"/>
    <w:rsid w:val="009B5C8F"/>
    <w:rsid w:val="009B611D"/>
    <w:rsid w:val="009B628D"/>
    <w:rsid w:val="009B64D6"/>
    <w:rsid w:val="009B6576"/>
    <w:rsid w:val="009B6582"/>
    <w:rsid w:val="009B667B"/>
    <w:rsid w:val="009B674E"/>
    <w:rsid w:val="009B6AF9"/>
    <w:rsid w:val="009B6C24"/>
    <w:rsid w:val="009B6ED8"/>
    <w:rsid w:val="009B7018"/>
    <w:rsid w:val="009B75C3"/>
    <w:rsid w:val="009B76D9"/>
    <w:rsid w:val="009B79C8"/>
    <w:rsid w:val="009B7AEF"/>
    <w:rsid w:val="009B7D52"/>
    <w:rsid w:val="009B7FD9"/>
    <w:rsid w:val="009C00D3"/>
    <w:rsid w:val="009C0332"/>
    <w:rsid w:val="009C0658"/>
    <w:rsid w:val="009C0829"/>
    <w:rsid w:val="009C0C4A"/>
    <w:rsid w:val="009C0CC3"/>
    <w:rsid w:val="009C0D8F"/>
    <w:rsid w:val="009C0FC2"/>
    <w:rsid w:val="009C100B"/>
    <w:rsid w:val="009C101A"/>
    <w:rsid w:val="009C10FF"/>
    <w:rsid w:val="009C143E"/>
    <w:rsid w:val="009C193D"/>
    <w:rsid w:val="009C19D6"/>
    <w:rsid w:val="009C1B0E"/>
    <w:rsid w:val="009C2107"/>
    <w:rsid w:val="009C21D5"/>
    <w:rsid w:val="009C2240"/>
    <w:rsid w:val="009C2243"/>
    <w:rsid w:val="009C2487"/>
    <w:rsid w:val="009C25F6"/>
    <w:rsid w:val="009C28B1"/>
    <w:rsid w:val="009C291F"/>
    <w:rsid w:val="009C2BBF"/>
    <w:rsid w:val="009C30B3"/>
    <w:rsid w:val="009C3773"/>
    <w:rsid w:val="009C3C4D"/>
    <w:rsid w:val="009C40B4"/>
    <w:rsid w:val="009C40C5"/>
    <w:rsid w:val="009C45F1"/>
    <w:rsid w:val="009C4C2C"/>
    <w:rsid w:val="009C4F57"/>
    <w:rsid w:val="009C5433"/>
    <w:rsid w:val="009C543E"/>
    <w:rsid w:val="009C54BD"/>
    <w:rsid w:val="009C574E"/>
    <w:rsid w:val="009C592E"/>
    <w:rsid w:val="009C5A0D"/>
    <w:rsid w:val="009C5BA2"/>
    <w:rsid w:val="009C5C80"/>
    <w:rsid w:val="009C5C9F"/>
    <w:rsid w:val="009C6229"/>
    <w:rsid w:val="009C6572"/>
    <w:rsid w:val="009C66DE"/>
    <w:rsid w:val="009C67E9"/>
    <w:rsid w:val="009C6B7B"/>
    <w:rsid w:val="009C6BF9"/>
    <w:rsid w:val="009C6CD2"/>
    <w:rsid w:val="009C7B77"/>
    <w:rsid w:val="009C7D5B"/>
    <w:rsid w:val="009C7D94"/>
    <w:rsid w:val="009C7E9B"/>
    <w:rsid w:val="009CC56F"/>
    <w:rsid w:val="009D02EF"/>
    <w:rsid w:val="009D03F3"/>
    <w:rsid w:val="009D0463"/>
    <w:rsid w:val="009D0570"/>
    <w:rsid w:val="009D07D8"/>
    <w:rsid w:val="009D08D6"/>
    <w:rsid w:val="009D0A26"/>
    <w:rsid w:val="009D0BF1"/>
    <w:rsid w:val="009D11AF"/>
    <w:rsid w:val="009D12CB"/>
    <w:rsid w:val="009D1454"/>
    <w:rsid w:val="009D1478"/>
    <w:rsid w:val="009D1708"/>
    <w:rsid w:val="009D1C35"/>
    <w:rsid w:val="009D1C85"/>
    <w:rsid w:val="009D1D2A"/>
    <w:rsid w:val="009D1D4C"/>
    <w:rsid w:val="009D1ED3"/>
    <w:rsid w:val="009D1EE1"/>
    <w:rsid w:val="009D2062"/>
    <w:rsid w:val="009D247D"/>
    <w:rsid w:val="009D26CF"/>
    <w:rsid w:val="009D2974"/>
    <w:rsid w:val="009D2AC1"/>
    <w:rsid w:val="009D2B19"/>
    <w:rsid w:val="009D2FAD"/>
    <w:rsid w:val="009D2FDA"/>
    <w:rsid w:val="009D335E"/>
    <w:rsid w:val="009D341D"/>
    <w:rsid w:val="009D353F"/>
    <w:rsid w:val="009D369C"/>
    <w:rsid w:val="009D3948"/>
    <w:rsid w:val="009D3E43"/>
    <w:rsid w:val="009D4040"/>
    <w:rsid w:val="009D45E7"/>
    <w:rsid w:val="009D4742"/>
    <w:rsid w:val="009D48FE"/>
    <w:rsid w:val="009D4996"/>
    <w:rsid w:val="009D4B17"/>
    <w:rsid w:val="009D516A"/>
    <w:rsid w:val="009D5391"/>
    <w:rsid w:val="009D53E9"/>
    <w:rsid w:val="009D5682"/>
    <w:rsid w:val="009D5711"/>
    <w:rsid w:val="009D5DBA"/>
    <w:rsid w:val="009D5EDD"/>
    <w:rsid w:val="009D6396"/>
    <w:rsid w:val="009D6658"/>
    <w:rsid w:val="009D6805"/>
    <w:rsid w:val="009D69DE"/>
    <w:rsid w:val="009D6A66"/>
    <w:rsid w:val="009D7024"/>
    <w:rsid w:val="009D70C9"/>
    <w:rsid w:val="009D7207"/>
    <w:rsid w:val="009D7419"/>
    <w:rsid w:val="009D759D"/>
    <w:rsid w:val="009D7697"/>
    <w:rsid w:val="009D7D4F"/>
    <w:rsid w:val="009D7DDC"/>
    <w:rsid w:val="009E00E7"/>
    <w:rsid w:val="009E01CB"/>
    <w:rsid w:val="009E0280"/>
    <w:rsid w:val="009E07F0"/>
    <w:rsid w:val="009E0AEF"/>
    <w:rsid w:val="009E0D47"/>
    <w:rsid w:val="009E0E7C"/>
    <w:rsid w:val="009E0FD6"/>
    <w:rsid w:val="009E1008"/>
    <w:rsid w:val="009E1146"/>
    <w:rsid w:val="009E1242"/>
    <w:rsid w:val="009E1287"/>
    <w:rsid w:val="009E1607"/>
    <w:rsid w:val="009E160B"/>
    <w:rsid w:val="009E1626"/>
    <w:rsid w:val="009E1691"/>
    <w:rsid w:val="009E18A1"/>
    <w:rsid w:val="009E1979"/>
    <w:rsid w:val="009E1BB1"/>
    <w:rsid w:val="009E1BD4"/>
    <w:rsid w:val="009E1CE5"/>
    <w:rsid w:val="009E1DC8"/>
    <w:rsid w:val="009E1EA4"/>
    <w:rsid w:val="009E2224"/>
    <w:rsid w:val="009E2272"/>
    <w:rsid w:val="009E23A9"/>
    <w:rsid w:val="009E2494"/>
    <w:rsid w:val="009E2818"/>
    <w:rsid w:val="009E2821"/>
    <w:rsid w:val="009E2C0D"/>
    <w:rsid w:val="009E306C"/>
    <w:rsid w:val="009E30CD"/>
    <w:rsid w:val="009E3189"/>
    <w:rsid w:val="009E3524"/>
    <w:rsid w:val="009E3FBD"/>
    <w:rsid w:val="009E4039"/>
    <w:rsid w:val="009E40CE"/>
    <w:rsid w:val="009E411D"/>
    <w:rsid w:val="009E4138"/>
    <w:rsid w:val="009E4195"/>
    <w:rsid w:val="009E445F"/>
    <w:rsid w:val="009E4AC6"/>
    <w:rsid w:val="009E4C26"/>
    <w:rsid w:val="009E4EC3"/>
    <w:rsid w:val="009E5088"/>
    <w:rsid w:val="009E5267"/>
    <w:rsid w:val="009E52CB"/>
    <w:rsid w:val="009E5318"/>
    <w:rsid w:val="009E558F"/>
    <w:rsid w:val="009E55B6"/>
    <w:rsid w:val="009E5744"/>
    <w:rsid w:val="009E57E9"/>
    <w:rsid w:val="009E580D"/>
    <w:rsid w:val="009E5A2E"/>
    <w:rsid w:val="009E5F4D"/>
    <w:rsid w:val="009E5F68"/>
    <w:rsid w:val="009E6014"/>
    <w:rsid w:val="009E60BC"/>
    <w:rsid w:val="009E60FB"/>
    <w:rsid w:val="009E6217"/>
    <w:rsid w:val="009E6278"/>
    <w:rsid w:val="009E629C"/>
    <w:rsid w:val="009E64B8"/>
    <w:rsid w:val="009E6B9F"/>
    <w:rsid w:val="009E6BDE"/>
    <w:rsid w:val="009E6C3D"/>
    <w:rsid w:val="009E6EB1"/>
    <w:rsid w:val="009E6F52"/>
    <w:rsid w:val="009E70CE"/>
    <w:rsid w:val="009E7117"/>
    <w:rsid w:val="009E71E8"/>
    <w:rsid w:val="009E7619"/>
    <w:rsid w:val="009E7712"/>
    <w:rsid w:val="009E7947"/>
    <w:rsid w:val="009E7E4C"/>
    <w:rsid w:val="009E7E87"/>
    <w:rsid w:val="009E7F71"/>
    <w:rsid w:val="009E7FB5"/>
    <w:rsid w:val="009F05BD"/>
    <w:rsid w:val="009F0A2D"/>
    <w:rsid w:val="009F0BB3"/>
    <w:rsid w:val="009F0CE9"/>
    <w:rsid w:val="009F0EBD"/>
    <w:rsid w:val="009F0FAF"/>
    <w:rsid w:val="009F13A7"/>
    <w:rsid w:val="009F1D2F"/>
    <w:rsid w:val="009F239E"/>
    <w:rsid w:val="009F25B7"/>
    <w:rsid w:val="009F274D"/>
    <w:rsid w:val="009F2CE4"/>
    <w:rsid w:val="009F2D33"/>
    <w:rsid w:val="009F31E2"/>
    <w:rsid w:val="009F33EE"/>
    <w:rsid w:val="009F34A5"/>
    <w:rsid w:val="009F36DF"/>
    <w:rsid w:val="009F372B"/>
    <w:rsid w:val="009F374D"/>
    <w:rsid w:val="009F38C4"/>
    <w:rsid w:val="009F39F4"/>
    <w:rsid w:val="009F3A1B"/>
    <w:rsid w:val="009F3C30"/>
    <w:rsid w:val="009F3C96"/>
    <w:rsid w:val="009F3F66"/>
    <w:rsid w:val="009F431F"/>
    <w:rsid w:val="009F459F"/>
    <w:rsid w:val="009F46D9"/>
    <w:rsid w:val="009F4753"/>
    <w:rsid w:val="009F47B9"/>
    <w:rsid w:val="009F4B2A"/>
    <w:rsid w:val="009F4BA3"/>
    <w:rsid w:val="009F4F5B"/>
    <w:rsid w:val="009F4FA8"/>
    <w:rsid w:val="009F509F"/>
    <w:rsid w:val="009F547A"/>
    <w:rsid w:val="009F56DA"/>
    <w:rsid w:val="009F58DA"/>
    <w:rsid w:val="009F5AD6"/>
    <w:rsid w:val="009F5BCD"/>
    <w:rsid w:val="009F5DB8"/>
    <w:rsid w:val="009F5FBD"/>
    <w:rsid w:val="009F682A"/>
    <w:rsid w:val="009F6845"/>
    <w:rsid w:val="009F6908"/>
    <w:rsid w:val="009F6DC6"/>
    <w:rsid w:val="009F6EB5"/>
    <w:rsid w:val="009F70C4"/>
    <w:rsid w:val="009F7157"/>
    <w:rsid w:val="009F719F"/>
    <w:rsid w:val="009F7205"/>
    <w:rsid w:val="009F7227"/>
    <w:rsid w:val="009F7466"/>
    <w:rsid w:val="009F74A0"/>
    <w:rsid w:val="009F78C7"/>
    <w:rsid w:val="009F7909"/>
    <w:rsid w:val="009F7C99"/>
    <w:rsid w:val="009F7E34"/>
    <w:rsid w:val="00A004F0"/>
    <w:rsid w:val="00A005A3"/>
    <w:rsid w:val="00A007AB"/>
    <w:rsid w:val="00A00847"/>
    <w:rsid w:val="00A009FE"/>
    <w:rsid w:val="00A00C41"/>
    <w:rsid w:val="00A00CAB"/>
    <w:rsid w:val="00A010F7"/>
    <w:rsid w:val="00A01154"/>
    <w:rsid w:val="00A01237"/>
    <w:rsid w:val="00A012BD"/>
    <w:rsid w:val="00A014C8"/>
    <w:rsid w:val="00A016BB"/>
    <w:rsid w:val="00A0173D"/>
    <w:rsid w:val="00A01A6E"/>
    <w:rsid w:val="00A01B75"/>
    <w:rsid w:val="00A01C6F"/>
    <w:rsid w:val="00A01D34"/>
    <w:rsid w:val="00A01E5B"/>
    <w:rsid w:val="00A020DA"/>
    <w:rsid w:val="00A02310"/>
    <w:rsid w:val="00A02A47"/>
    <w:rsid w:val="00A02C6C"/>
    <w:rsid w:val="00A02CCC"/>
    <w:rsid w:val="00A02DD7"/>
    <w:rsid w:val="00A02F49"/>
    <w:rsid w:val="00A02F78"/>
    <w:rsid w:val="00A03027"/>
    <w:rsid w:val="00A0306F"/>
    <w:rsid w:val="00A030D7"/>
    <w:rsid w:val="00A0365B"/>
    <w:rsid w:val="00A03870"/>
    <w:rsid w:val="00A03A74"/>
    <w:rsid w:val="00A03F05"/>
    <w:rsid w:val="00A0407D"/>
    <w:rsid w:val="00A04423"/>
    <w:rsid w:val="00A0442E"/>
    <w:rsid w:val="00A04FB3"/>
    <w:rsid w:val="00A05448"/>
    <w:rsid w:val="00A0551D"/>
    <w:rsid w:val="00A05A59"/>
    <w:rsid w:val="00A05C41"/>
    <w:rsid w:val="00A05CEF"/>
    <w:rsid w:val="00A05D95"/>
    <w:rsid w:val="00A05EF6"/>
    <w:rsid w:val="00A06070"/>
    <w:rsid w:val="00A061CF"/>
    <w:rsid w:val="00A06376"/>
    <w:rsid w:val="00A0683D"/>
    <w:rsid w:val="00A06BD3"/>
    <w:rsid w:val="00A06E26"/>
    <w:rsid w:val="00A06E4B"/>
    <w:rsid w:val="00A06E89"/>
    <w:rsid w:val="00A06F0C"/>
    <w:rsid w:val="00A07503"/>
    <w:rsid w:val="00A0753B"/>
    <w:rsid w:val="00A078CE"/>
    <w:rsid w:val="00A07A05"/>
    <w:rsid w:val="00A07B04"/>
    <w:rsid w:val="00A07B81"/>
    <w:rsid w:val="00A1013B"/>
    <w:rsid w:val="00A10230"/>
    <w:rsid w:val="00A10342"/>
    <w:rsid w:val="00A104D1"/>
    <w:rsid w:val="00A10D01"/>
    <w:rsid w:val="00A10EFC"/>
    <w:rsid w:val="00A11365"/>
    <w:rsid w:val="00A114E7"/>
    <w:rsid w:val="00A1158C"/>
    <w:rsid w:val="00A11A81"/>
    <w:rsid w:val="00A11A95"/>
    <w:rsid w:val="00A11B59"/>
    <w:rsid w:val="00A11C34"/>
    <w:rsid w:val="00A11DEE"/>
    <w:rsid w:val="00A11E81"/>
    <w:rsid w:val="00A12018"/>
    <w:rsid w:val="00A1210A"/>
    <w:rsid w:val="00A121A5"/>
    <w:rsid w:val="00A122C5"/>
    <w:rsid w:val="00A122E6"/>
    <w:rsid w:val="00A12481"/>
    <w:rsid w:val="00A12489"/>
    <w:rsid w:val="00A127DD"/>
    <w:rsid w:val="00A12A6B"/>
    <w:rsid w:val="00A12C11"/>
    <w:rsid w:val="00A13404"/>
    <w:rsid w:val="00A1357E"/>
    <w:rsid w:val="00A13759"/>
    <w:rsid w:val="00A13767"/>
    <w:rsid w:val="00A13871"/>
    <w:rsid w:val="00A13A35"/>
    <w:rsid w:val="00A13A9B"/>
    <w:rsid w:val="00A13F44"/>
    <w:rsid w:val="00A13FAD"/>
    <w:rsid w:val="00A141AA"/>
    <w:rsid w:val="00A14234"/>
    <w:rsid w:val="00A145A8"/>
    <w:rsid w:val="00A147FD"/>
    <w:rsid w:val="00A14A5C"/>
    <w:rsid w:val="00A14B8C"/>
    <w:rsid w:val="00A14E8C"/>
    <w:rsid w:val="00A15208"/>
    <w:rsid w:val="00A1534F"/>
    <w:rsid w:val="00A153B8"/>
    <w:rsid w:val="00A1566E"/>
    <w:rsid w:val="00A15D39"/>
    <w:rsid w:val="00A15E7F"/>
    <w:rsid w:val="00A160D1"/>
    <w:rsid w:val="00A1638E"/>
    <w:rsid w:val="00A16698"/>
    <w:rsid w:val="00A169AC"/>
    <w:rsid w:val="00A16F22"/>
    <w:rsid w:val="00A16F9C"/>
    <w:rsid w:val="00A1735A"/>
    <w:rsid w:val="00A1749D"/>
    <w:rsid w:val="00A175D7"/>
    <w:rsid w:val="00A1766C"/>
    <w:rsid w:val="00A17733"/>
    <w:rsid w:val="00A17983"/>
    <w:rsid w:val="00A17BB4"/>
    <w:rsid w:val="00A17C84"/>
    <w:rsid w:val="00A2012C"/>
    <w:rsid w:val="00A20198"/>
    <w:rsid w:val="00A20553"/>
    <w:rsid w:val="00A20777"/>
    <w:rsid w:val="00A2093A"/>
    <w:rsid w:val="00A20A47"/>
    <w:rsid w:val="00A20CC4"/>
    <w:rsid w:val="00A20DB1"/>
    <w:rsid w:val="00A20E55"/>
    <w:rsid w:val="00A20E99"/>
    <w:rsid w:val="00A20FE0"/>
    <w:rsid w:val="00A21054"/>
    <w:rsid w:val="00A21247"/>
    <w:rsid w:val="00A21537"/>
    <w:rsid w:val="00A2154A"/>
    <w:rsid w:val="00A217D8"/>
    <w:rsid w:val="00A218AD"/>
    <w:rsid w:val="00A21A42"/>
    <w:rsid w:val="00A21E4C"/>
    <w:rsid w:val="00A21F9B"/>
    <w:rsid w:val="00A220B2"/>
    <w:rsid w:val="00A221A5"/>
    <w:rsid w:val="00A225CC"/>
    <w:rsid w:val="00A22604"/>
    <w:rsid w:val="00A2284C"/>
    <w:rsid w:val="00A22943"/>
    <w:rsid w:val="00A22C1B"/>
    <w:rsid w:val="00A22DC0"/>
    <w:rsid w:val="00A22FB2"/>
    <w:rsid w:val="00A23183"/>
    <w:rsid w:val="00A233B6"/>
    <w:rsid w:val="00A23502"/>
    <w:rsid w:val="00A23538"/>
    <w:rsid w:val="00A237DB"/>
    <w:rsid w:val="00A23942"/>
    <w:rsid w:val="00A23BEF"/>
    <w:rsid w:val="00A23D1D"/>
    <w:rsid w:val="00A23DBF"/>
    <w:rsid w:val="00A23E24"/>
    <w:rsid w:val="00A23F50"/>
    <w:rsid w:val="00A2408E"/>
    <w:rsid w:val="00A242E6"/>
    <w:rsid w:val="00A24539"/>
    <w:rsid w:val="00A24856"/>
    <w:rsid w:val="00A24C2F"/>
    <w:rsid w:val="00A24C73"/>
    <w:rsid w:val="00A24DFE"/>
    <w:rsid w:val="00A253C9"/>
    <w:rsid w:val="00A25434"/>
    <w:rsid w:val="00A25564"/>
    <w:rsid w:val="00A25627"/>
    <w:rsid w:val="00A25850"/>
    <w:rsid w:val="00A25884"/>
    <w:rsid w:val="00A259EA"/>
    <w:rsid w:val="00A25CFD"/>
    <w:rsid w:val="00A25F23"/>
    <w:rsid w:val="00A25FBE"/>
    <w:rsid w:val="00A2604B"/>
    <w:rsid w:val="00A268F1"/>
    <w:rsid w:val="00A269E2"/>
    <w:rsid w:val="00A26B3F"/>
    <w:rsid w:val="00A26F38"/>
    <w:rsid w:val="00A26FA7"/>
    <w:rsid w:val="00A270A3"/>
    <w:rsid w:val="00A2720A"/>
    <w:rsid w:val="00A2758A"/>
    <w:rsid w:val="00A27639"/>
    <w:rsid w:val="00A276E0"/>
    <w:rsid w:val="00A27A00"/>
    <w:rsid w:val="00A27A8C"/>
    <w:rsid w:val="00A27B4C"/>
    <w:rsid w:val="00A27BB4"/>
    <w:rsid w:val="00A27BBE"/>
    <w:rsid w:val="00A27E13"/>
    <w:rsid w:val="00A3004C"/>
    <w:rsid w:val="00A301BA"/>
    <w:rsid w:val="00A301F9"/>
    <w:rsid w:val="00A30413"/>
    <w:rsid w:val="00A30467"/>
    <w:rsid w:val="00A30500"/>
    <w:rsid w:val="00A30710"/>
    <w:rsid w:val="00A30862"/>
    <w:rsid w:val="00A30A0A"/>
    <w:rsid w:val="00A30BC1"/>
    <w:rsid w:val="00A30C93"/>
    <w:rsid w:val="00A30D92"/>
    <w:rsid w:val="00A30DE0"/>
    <w:rsid w:val="00A30DFD"/>
    <w:rsid w:val="00A30F00"/>
    <w:rsid w:val="00A31067"/>
    <w:rsid w:val="00A312D0"/>
    <w:rsid w:val="00A31438"/>
    <w:rsid w:val="00A3156F"/>
    <w:rsid w:val="00A318C5"/>
    <w:rsid w:val="00A31926"/>
    <w:rsid w:val="00A31955"/>
    <w:rsid w:val="00A31F9D"/>
    <w:rsid w:val="00A3203C"/>
    <w:rsid w:val="00A32449"/>
    <w:rsid w:val="00A327E5"/>
    <w:rsid w:val="00A32ACB"/>
    <w:rsid w:val="00A32C6F"/>
    <w:rsid w:val="00A32CA0"/>
    <w:rsid w:val="00A32D3A"/>
    <w:rsid w:val="00A32D53"/>
    <w:rsid w:val="00A330C6"/>
    <w:rsid w:val="00A331D5"/>
    <w:rsid w:val="00A33278"/>
    <w:rsid w:val="00A33415"/>
    <w:rsid w:val="00A336B9"/>
    <w:rsid w:val="00A337AA"/>
    <w:rsid w:val="00A337E3"/>
    <w:rsid w:val="00A339E2"/>
    <w:rsid w:val="00A339E5"/>
    <w:rsid w:val="00A33F6F"/>
    <w:rsid w:val="00A34126"/>
    <w:rsid w:val="00A342A7"/>
    <w:rsid w:val="00A346CF"/>
    <w:rsid w:val="00A348C3"/>
    <w:rsid w:val="00A34C29"/>
    <w:rsid w:val="00A34CF7"/>
    <w:rsid w:val="00A3526D"/>
    <w:rsid w:val="00A35785"/>
    <w:rsid w:val="00A3586A"/>
    <w:rsid w:val="00A35902"/>
    <w:rsid w:val="00A359B4"/>
    <w:rsid w:val="00A35B27"/>
    <w:rsid w:val="00A35B61"/>
    <w:rsid w:val="00A35C30"/>
    <w:rsid w:val="00A35C6D"/>
    <w:rsid w:val="00A35CC7"/>
    <w:rsid w:val="00A35E38"/>
    <w:rsid w:val="00A363A1"/>
    <w:rsid w:val="00A366E6"/>
    <w:rsid w:val="00A367A7"/>
    <w:rsid w:val="00A368C3"/>
    <w:rsid w:val="00A36904"/>
    <w:rsid w:val="00A36980"/>
    <w:rsid w:val="00A36A3F"/>
    <w:rsid w:val="00A36A90"/>
    <w:rsid w:val="00A36B81"/>
    <w:rsid w:val="00A3706E"/>
    <w:rsid w:val="00A3727D"/>
    <w:rsid w:val="00A374C5"/>
    <w:rsid w:val="00A374F3"/>
    <w:rsid w:val="00A3761C"/>
    <w:rsid w:val="00A37A1B"/>
    <w:rsid w:val="00A37B35"/>
    <w:rsid w:val="00A37F3B"/>
    <w:rsid w:val="00A37F3F"/>
    <w:rsid w:val="00A40595"/>
    <w:rsid w:val="00A406A9"/>
    <w:rsid w:val="00A40E7D"/>
    <w:rsid w:val="00A41043"/>
    <w:rsid w:val="00A410E7"/>
    <w:rsid w:val="00A41151"/>
    <w:rsid w:val="00A41257"/>
    <w:rsid w:val="00A412E1"/>
    <w:rsid w:val="00A413E5"/>
    <w:rsid w:val="00A41706"/>
    <w:rsid w:val="00A41FAF"/>
    <w:rsid w:val="00A4251C"/>
    <w:rsid w:val="00A4253E"/>
    <w:rsid w:val="00A42957"/>
    <w:rsid w:val="00A42C2F"/>
    <w:rsid w:val="00A436C2"/>
    <w:rsid w:val="00A43C5D"/>
    <w:rsid w:val="00A43D91"/>
    <w:rsid w:val="00A43F22"/>
    <w:rsid w:val="00A43F99"/>
    <w:rsid w:val="00A43FC7"/>
    <w:rsid w:val="00A4428B"/>
    <w:rsid w:val="00A44291"/>
    <w:rsid w:val="00A44439"/>
    <w:rsid w:val="00A44454"/>
    <w:rsid w:val="00A4448E"/>
    <w:rsid w:val="00A444BD"/>
    <w:rsid w:val="00A44594"/>
    <w:rsid w:val="00A445DC"/>
    <w:rsid w:val="00A44756"/>
    <w:rsid w:val="00A44A29"/>
    <w:rsid w:val="00A4500D"/>
    <w:rsid w:val="00A45B84"/>
    <w:rsid w:val="00A45DDD"/>
    <w:rsid w:val="00A45F1F"/>
    <w:rsid w:val="00A4637F"/>
    <w:rsid w:val="00A463AE"/>
    <w:rsid w:val="00A4649A"/>
    <w:rsid w:val="00A4650C"/>
    <w:rsid w:val="00A46865"/>
    <w:rsid w:val="00A4691F"/>
    <w:rsid w:val="00A46938"/>
    <w:rsid w:val="00A46C4C"/>
    <w:rsid w:val="00A46E2A"/>
    <w:rsid w:val="00A46E5D"/>
    <w:rsid w:val="00A46F58"/>
    <w:rsid w:val="00A471B2"/>
    <w:rsid w:val="00A4747A"/>
    <w:rsid w:val="00A474E1"/>
    <w:rsid w:val="00A4769A"/>
    <w:rsid w:val="00A4780D"/>
    <w:rsid w:val="00A47833"/>
    <w:rsid w:val="00A47934"/>
    <w:rsid w:val="00A47B4A"/>
    <w:rsid w:val="00A47C13"/>
    <w:rsid w:val="00A47D4D"/>
    <w:rsid w:val="00A47DC5"/>
    <w:rsid w:val="00A47F51"/>
    <w:rsid w:val="00A500F3"/>
    <w:rsid w:val="00A50295"/>
    <w:rsid w:val="00A503A7"/>
    <w:rsid w:val="00A5048A"/>
    <w:rsid w:val="00A506EC"/>
    <w:rsid w:val="00A50753"/>
    <w:rsid w:val="00A5079D"/>
    <w:rsid w:val="00A5099C"/>
    <w:rsid w:val="00A509C2"/>
    <w:rsid w:val="00A50A2B"/>
    <w:rsid w:val="00A51066"/>
    <w:rsid w:val="00A5110C"/>
    <w:rsid w:val="00A51111"/>
    <w:rsid w:val="00A51313"/>
    <w:rsid w:val="00A5131C"/>
    <w:rsid w:val="00A5132B"/>
    <w:rsid w:val="00A51489"/>
    <w:rsid w:val="00A51799"/>
    <w:rsid w:val="00A517C2"/>
    <w:rsid w:val="00A518F4"/>
    <w:rsid w:val="00A51B60"/>
    <w:rsid w:val="00A51C28"/>
    <w:rsid w:val="00A51C95"/>
    <w:rsid w:val="00A51D3C"/>
    <w:rsid w:val="00A52060"/>
    <w:rsid w:val="00A521C2"/>
    <w:rsid w:val="00A52C4D"/>
    <w:rsid w:val="00A52D45"/>
    <w:rsid w:val="00A52DFE"/>
    <w:rsid w:val="00A52E5B"/>
    <w:rsid w:val="00A52EF4"/>
    <w:rsid w:val="00A5304E"/>
    <w:rsid w:val="00A53151"/>
    <w:rsid w:val="00A53207"/>
    <w:rsid w:val="00A53425"/>
    <w:rsid w:val="00A534F1"/>
    <w:rsid w:val="00A536CB"/>
    <w:rsid w:val="00A537BD"/>
    <w:rsid w:val="00A53829"/>
    <w:rsid w:val="00A538B1"/>
    <w:rsid w:val="00A539DA"/>
    <w:rsid w:val="00A539DD"/>
    <w:rsid w:val="00A53AE6"/>
    <w:rsid w:val="00A54068"/>
    <w:rsid w:val="00A5407B"/>
    <w:rsid w:val="00A54428"/>
    <w:rsid w:val="00A54524"/>
    <w:rsid w:val="00A54A4F"/>
    <w:rsid w:val="00A54DEF"/>
    <w:rsid w:val="00A5515E"/>
    <w:rsid w:val="00A55272"/>
    <w:rsid w:val="00A55381"/>
    <w:rsid w:val="00A553E5"/>
    <w:rsid w:val="00A55407"/>
    <w:rsid w:val="00A55532"/>
    <w:rsid w:val="00A555F1"/>
    <w:rsid w:val="00A55600"/>
    <w:rsid w:val="00A55633"/>
    <w:rsid w:val="00A5578E"/>
    <w:rsid w:val="00A558E3"/>
    <w:rsid w:val="00A5592F"/>
    <w:rsid w:val="00A5595A"/>
    <w:rsid w:val="00A55ADD"/>
    <w:rsid w:val="00A55E6E"/>
    <w:rsid w:val="00A55FC2"/>
    <w:rsid w:val="00A55FC7"/>
    <w:rsid w:val="00A56156"/>
    <w:rsid w:val="00A5631F"/>
    <w:rsid w:val="00A5634F"/>
    <w:rsid w:val="00A563BF"/>
    <w:rsid w:val="00A56408"/>
    <w:rsid w:val="00A564F5"/>
    <w:rsid w:val="00A5651E"/>
    <w:rsid w:val="00A5671F"/>
    <w:rsid w:val="00A56947"/>
    <w:rsid w:val="00A57037"/>
    <w:rsid w:val="00A57048"/>
    <w:rsid w:val="00A570B6"/>
    <w:rsid w:val="00A571A8"/>
    <w:rsid w:val="00A572CF"/>
    <w:rsid w:val="00A5734A"/>
    <w:rsid w:val="00A5762C"/>
    <w:rsid w:val="00A5791C"/>
    <w:rsid w:val="00A57C22"/>
    <w:rsid w:val="00A57E1C"/>
    <w:rsid w:val="00A57F29"/>
    <w:rsid w:val="00A60269"/>
    <w:rsid w:val="00A602A4"/>
    <w:rsid w:val="00A605B0"/>
    <w:rsid w:val="00A60682"/>
    <w:rsid w:val="00A607AD"/>
    <w:rsid w:val="00A6081D"/>
    <w:rsid w:val="00A608AF"/>
    <w:rsid w:val="00A60C7C"/>
    <w:rsid w:val="00A60F67"/>
    <w:rsid w:val="00A611BB"/>
    <w:rsid w:val="00A6127C"/>
    <w:rsid w:val="00A61406"/>
    <w:rsid w:val="00A615EB"/>
    <w:rsid w:val="00A61687"/>
    <w:rsid w:val="00A6176A"/>
    <w:rsid w:val="00A617D8"/>
    <w:rsid w:val="00A61803"/>
    <w:rsid w:val="00A61A4B"/>
    <w:rsid w:val="00A61B52"/>
    <w:rsid w:val="00A61B78"/>
    <w:rsid w:val="00A61EBE"/>
    <w:rsid w:val="00A61F46"/>
    <w:rsid w:val="00A62093"/>
    <w:rsid w:val="00A62A0E"/>
    <w:rsid w:val="00A62A0F"/>
    <w:rsid w:val="00A62CA5"/>
    <w:rsid w:val="00A62CF9"/>
    <w:rsid w:val="00A62CFB"/>
    <w:rsid w:val="00A62D7F"/>
    <w:rsid w:val="00A62DDF"/>
    <w:rsid w:val="00A62F66"/>
    <w:rsid w:val="00A63124"/>
    <w:rsid w:val="00A63377"/>
    <w:rsid w:val="00A6392C"/>
    <w:rsid w:val="00A639AA"/>
    <w:rsid w:val="00A64066"/>
    <w:rsid w:val="00A6418C"/>
    <w:rsid w:val="00A641AD"/>
    <w:rsid w:val="00A647D7"/>
    <w:rsid w:val="00A64925"/>
    <w:rsid w:val="00A64956"/>
    <w:rsid w:val="00A64C8A"/>
    <w:rsid w:val="00A65009"/>
    <w:rsid w:val="00A6508B"/>
    <w:rsid w:val="00A651F7"/>
    <w:rsid w:val="00A65334"/>
    <w:rsid w:val="00A653AE"/>
    <w:rsid w:val="00A65639"/>
    <w:rsid w:val="00A65818"/>
    <w:rsid w:val="00A65911"/>
    <w:rsid w:val="00A65927"/>
    <w:rsid w:val="00A65B49"/>
    <w:rsid w:val="00A65BC1"/>
    <w:rsid w:val="00A65BCF"/>
    <w:rsid w:val="00A65D3C"/>
    <w:rsid w:val="00A65EB8"/>
    <w:rsid w:val="00A65F1E"/>
    <w:rsid w:val="00A65F64"/>
    <w:rsid w:val="00A6609B"/>
    <w:rsid w:val="00A6617A"/>
    <w:rsid w:val="00A661E0"/>
    <w:rsid w:val="00A662F6"/>
    <w:rsid w:val="00A663BC"/>
    <w:rsid w:val="00A667C6"/>
    <w:rsid w:val="00A667E4"/>
    <w:rsid w:val="00A66B5A"/>
    <w:rsid w:val="00A66E49"/>
    <w:rsid w:val="00A66E84"/>
    <w:rsid w:val="00A66E93"/>
    <w:rsid w:val="00A67141"/>
    <w:rsid w:val="00A67226"/>
    <w:rsid w:val="00A672D7"/>
    <w:rsid w:val="00A67335"/>
    <w:rsid w:val="00A6766E"/>
    <w:rsid w:val="00A67731"/>
    <w:rsid w:val="00A67A5B"/>
    <w:rsid w:val="00A70384"/>
    <w:rsid w:val="00A706E6"/>
    <w:rsid w:val="00A70758"/>
    <w:rsid w:val="00A7095B"/>
    <w:rsid w:val="00A70A49"/>
    <w:rsid w:val="00A70B81"/>
    <w:rsid w:val="00A712FC"/>
    <w:rsid w:val="00A714EF"/>
    <w:rsid w:val="00A71957"/>
    <w:rsid w:val="00A71BC6"/>
    <w:rsid w:val="00A71C95"/>
    <w:rsid w:val="00A71E69"/>
    <w:rsid w:val="00A71FAA"/>
    <w:rsid w:val="00A7236B"/>
    <w:rsid w:val="00A723D0"/>
    <w:rsid w:val="00A725F2"/>
    <w:rsid w:val="00A72603"/>
    <w:rsid w:val="00A72616"/>
    <w:rsid w:val="00A72682"/>
    <w:rsid w:val="00A72A15"/>
    <w:rsid w:val="00A72B79"/>
    <w:rsid w:val="00A72D85"/>
    <w:rsid w:val="00A72E7D"/>
    <w:rsid w:val="00A72F09"/>
    <w:rsid w:val="00A731E4"/>
    <w:rsid w:val="00A735DD"/>
    <w:rsid w:val="00A73ACD"/>
    <w:rsid w:val="00A73B43"/>
    <w:rsid w:val="00A73BB9"/>
    <w:rsid w:val="00A73CDB"/>
    <w:rsid w:val="00A73ED0"/>
    <w:rsid w:val="00A74016"/>
    <w:rsid w:val="00A741F3"/>
    <w:rsid w:val="00A74390"/>
    <w:rsid w:val="00A74407"/>
    <w:rsid w:val="00A74660"/>
    <w:rsid w:val="00A747E8"/>
    <w:rsid w:val="00A74A13"/>
    <w:rsid w:val="00A74B0C"/>
    <w:rsid w:val="00A74D31"/>
    <w:rsid w:val="00A74F17"/>
    <w:rsid w:val="00A7501C"/>
    <w:rsid w:val="00A75240"/>
    <w:rsid w:val="00A75411"/>
    <w:rsid w:val="00A75846"/>
    <w:rsid w:val="00A75865"/>
    <w:rsid w:val="00A758F1"/>
    <w:rsid w:val="00A75A54"/>
    <w:rsid w:val="00A75C42"/>
    <w:rsid w:val="00A75C79"/>
    <w:rsid w:val="00A75EE7"/>
    <w:rsid w:val="00A75F7C"/>
    <w:rsid w:val="00A76280"/>
    <w:rsid w:val="00A764F2"/>
    <w:rsid w:val="00A76791"/>
    <w:rsid w:val="00A767DC"/>
    <w:rsid w:val="00A767E8"/>
    <w:rsid w:val="00A76826"/>
    <w:rsid w:val="00A769FE"/>
    <w:rsid w:val="00A76B6A"/>
    <w:rsid w:val="00A76B88"/>
    <w:rsid w:val="00A76BBC"/>
    <w:rsid w:val="00A76D86"/>
    <w:rsid w:val="00A76ECC"/>
    <w:rsid w:val="00A770F5"/>
    <w:rsid w:val="00A77263"/>
    <w:rsid w:val="00A773C6"/>
    <w:rsid w:val="00A77529"/>
    <w:rsid w:val="00A776F3"/>
    <w:rsid w:val="00A77735"/>
    <w:rsid w:val="00A77AF3"/>
    <w:rsid w:val="00A77B55"/>
    <w:rsid w:val="00A77C92"/>
    <w:rsid w:val="00A77EA7"/>
    <w:rsid w:val="00A80103"/>
    <w:rsid w:val="00A801F9"/>
    <w:rsid w:val="00A80252"/>
    <w:rsid w:val="00A802FC"/>
    <w:rsid w:val="00A80692"/>
    <w:rsid w:val="00A80972"/>
    <w:rsid w:val="00A80B81"/>
    <w:rsid w:val="00A80CC4"/>
    <w:rsid w:val="00A80D92"/>
    <w:rsid w:val="00A81418"/>
    <w:rsid w:val="00A8192F"/>
    <w:rsid w:val="00A81963"/>
    <w:rsid w:val="00A81A79"/>
    <w:rsid w:val="00A81BBD"/>
    <w:rsid w:val="00A823ED"/>
    <w:rsid w:val="00A8253E"/>
    <w:rsid w:val="00A825AA"/>
    <w:rsid w:val="00A828D0"/>
    <w:rsid w:val="00A82913"/>
    <w:rsid w:val="00A82A58"/>
    <w:rsid w:val="00A82F26"/>
    <w:rsid w:val="00A834C2"/>
    <w:rsid w:val="00A836C3"/>
    <w:rsid w:val="00A8380F"/>
    <w:rsid w:val="00A839E9"/>
    <w:rsid w:val="00A83A58"/>
    <w:rsid w:val="00A83A79"/>
    <w:rsid w:val="00A83AF1"/>
    <w:rsid w:val="00A83BE4"/>
    <w:rsid w:val="00A83E8E"/>
    <w:rsid w:val="00A845BC"/>
    <w:rsid w:val="00A8469D"/>
    <w:rsid w:val="00A84AA8"/>
    <w:rsid w:val="00A84D55"/>
    <w:rsid w:val="00A84E64"/>
    <w:rsid w:val="00A84EDF"/>
    <w:rsid w:val="00A85073"/>
    <w:rsid w:val="00A85290"/>
    <w:rsid w:val="00A8539B"/>
    <w:rsid w:val="00A853A3"/>
    <w:rsid w:val="00A85429"/>
    <w:rsid w:val="00A85552"/>
    <w:rsid w:val="00A856F9"/>
    <w:rsid w:val="00A85984"/>
    <w:rsid w:val="00A85A4F"/>
    <w:rsid w:val="00A85B24"/>
    <w:rsid w:val="00A85CC7"/>
    <w:rsid w:val="00A8654F"/>
    <w:rsid w:val="00A86660"/>
    <w:rsid w:val="00A867F9"/>
    <w:rsid w:val="00A8691B"/>
    <w:rsid w:val="00A86C4A"/>
    <w:rsid w:val="00A86C9B"/>
    <w:rsid w:val="00A87160"/>
    <w:rsid w:val="00A8766F"/>
    <w:rsid w:val="00A877EC"/>
    <w:rsid w:val="00A878FD"/>
    <w:rsid w:val="00A87AEF"/>
    <w:rsid w:val="00A87D21"/>
    <w:rsid w:val="00A9004E"/>
    <w:rsid w:val="00A900B9"/>
    <w:rsid w:val="00A901C2"/>
    <w:rsid w:val="00A904F8"/>
    <w:rsid w:val="00A90610"/>
    <w:rsid w:val="00A90B28"/>
    <w:rsid w:val="00A90D2F"/>
    <w:rsid w:val="00A912D2"/>
    <w:rsid w:val="00A916F4"/>
    <w:rsid w:val="00A91962"/>
    <w:rsid w:val="00A91A02"/>
    <w:rsid w:val="00A91B44"/>
    <w:rsid w:val="00A91B88"/>
    <w:rsid w:val="00A91CCB"/>
    <w:rsid w:val="00A91D7F"/>
    <w:rsid w:val="00A91DA2"/>
    <w:rsid w:val="00A92005"/>
    <w:rsid w:val="00A92311"/>
    <w:rsid w:val="00A9236D"/>
    <w:rsid w:val="00A92384"/>
    <w:rsid w:val="00A924D5"/>
    <w:rsid w:val="00A92C01"/>
    <w:rsid w:val="00A92C77"/>
    <w:rsid w:val="00A93057"/>
    <w:rsid w:val="00A935FA"/>
    <w:rsid w:val="00A936FE"/>
    <w:rsid w:val="00A93705"/>
    <w:rsid w:val="00A937EE"/>
    <w:rsid w:val="00A93BC3"/>
    <w:rsid w:val="00A93D7B"/>
    <w:rsid w:val="00A93ECC"/>
    <w:rsid w:val="00A941E6"/>
    <w:rsid w:val="00A94411"/>
    <w:rsid w:val="00A94478"/>
    <w:rsid w:val="00A94503"/>
    <w:rsid w:val="00A946D6"/>
    <w:rsid w:val="00A946EE"/>
    <w:rsid w:val="00A948FE"/>
    <w:rsid w:val="00A949FC"/>
    <w:rsid w:val="00A94AE7"/>
    <w:rsid w:val="00A94B75"/>
    <w:rsid w:val="00A94DEF"/>
    <w:rsid w:val="00A94F48"/>
    <w:rsid w:val="00A95056"/>
    <w:rsid w:val="00A955C7"/>
    <w:rsid w:val="00A956FE"/>
    <w:rsid w:val="00A9574B"/>
    <w:rsid w:val="00A95A80"/>
    <w:rsid w:val="00A95AD8"/>
    <w:rsid w:val="00A95B60"/>
    <w:rsid w:val="00A95B63"/>
    <w:rsid w:val="00A95D44"/>
    <w:rsid w:val="00A95E29"/>
    <w:rsid w:val="00A96262"/>
    <w:rsid w:val="00A9633B"/>
    <w:rsid w:val="00A96353"/>
    <w:rsid w:val="00A964BB"/>
    <w:rsid w:val="00A969A1"/>
    <w:rsid w:val="00A96C9D"/>
    <w:rsid w:val="00A96DFE"/>
    <w:rsid w:val="00A970C4"/>
    <w:rsid w:val="00A97177"/>
    <w:rsid w:val="00A97213"/>
    <w:rsid w:val="00A9791F"/>
    <w:rsid w:val="00A97FCF"/>
    <w:rsid w:val="00AA018C"/>
    <w:rsid w:val="00AA01B7"/>
    <w:rsid w:val="00AA052A"/>
    <w:rsid w:val="00AA06B5"/>
    <w:rsid w:val="00AA06BD"/>
    <w:rsid w:val="00AA0754"/>
    <w:rsid w:val="00AA08D1"/>
    <w:rsid w:val="00AA095C"/>
    <w:rsid w:val="00AA0A40"/>
    <w:rsid w:val="00AA0C38"/>
    <w:rsid w:val="00AA0CCF"/>
    <w:rsid w:val="00AA0FA2"/>
    <w:rsid w:val="00AA0FF4"/>
    <w:rsid w:val="00AA10A7"/>
    <w:rsid w:val="00AA14AA"/>
    <w:rsid w:val="00AA17CB"/>
    <w:rsid w:val="00AA18B6"/>
    <w:rsid w:val="00AA1939"/>
    <w:rsid w:val="00AA19CF"/>
    <w:rsid w:val="00AA19E0"/>
    <w:rsid w:val="00AA1A9D"/>
    <w:rsid w:val="00AA1DFA"/>
    <w:rsid w:val="00AA2077"/>
    <w:rsid w:val="00AA2235"/>
    <w:rsid w:val="00AA24B7"/>
    <w:rsid w:val="00AA26BA"/>
    <w:rsid w:val="00AA28D4"/>
    <w:rsid w:val="00AA29E5"/>
    <w:rsid w:val="00AA29F3"/>
    <w:rsid w:val="00AA2C8E"/>
    <w:rsid w:val="00AA2EE5"/>
    <w:rsid w:val="00AA2F86"/>
    <w:rsid w:val="00AA2FC7"/>
    <w:rsid w:val="00AA30F5"/>
    <w:rsid w:val="00AA3103"/>
    <w:rsid w:val="00AA32BB"/>
    <w:rsid w:val="00AA34F8"/>
    <w:rsid w:val="00AA3780"/>
    <w:rsid w:val="00AA3909"/>
    <w:rsid w:val="00AA3979"/>
    <w:rsid w:val="00AA3E13"/>
    <w:rsid w:val="00AA4070"/>
    <w:rsid w:val="00AA4320"/>
    <w:rsid w:val="00AA43A5"/>
    <w:rsid w:val="00AA4575"/>
    <w:rsid w:val="00AA48FC"/>
    <w:rsid w:val="00AA491F"/>
    <w:rsid w:val="00AA4932"/>
    <w:rsid w:val="00AA494B"/>
    <w:rsid w:val="00AA4AB8"/>
    <w:rsid w:val="00AA4E27"/>
    <w:rsid w:val="00AA4E3C"/>
    <w:rsid w:val="00AA5292"/>
    <w:rsid w:val="00AA549D"/>
    <w:rsid w:val="00AA59AD"/>
    <w:rsid w:val="00AA5A4E"/>
    <w:rsid w:val="00AA5C34"/>
    <w:rsid w:val="00AA5CF7"/>
    <w:rsid w:val="00AA5D5D"/>
    <w:rsid w:val="00AA66F1"/>
    <w:rsid w:val="00AA68C4"/>
    <w:rsid w:val="00AA691C"/>
    <w:rsid w:val="00AA69D5"/>
    <w:rsid w:val="00AA69F1"/>
    <w:rsid w:val="00AA6B06"/>
    <w:rsid w:val="00AA6BA3"/>
    <w:rsid w:val="00AA6D71"/>
    <w:rsid w:val="00AA6D86"/>
    <w:rsid w:val="00AA6DBD"/>
    <w:rsid w:val="00AA748F"/>
    <w:rsid w:val="00AA7788"/>
    <w:rsid w:val="00AA7C3C"/>
    <w:rsid w:val="00AA7F09"/>
    <w:rsid w:val="00AA7FEC"/>
    <w:rsid w:val="00AB00F3"/>
    <w:rsid w:val="00AB0267"/>
    <w:rsid w:val="00AB04F2"/>
    <w:rsid w:val="00AB0504"/>
    <w:rsid w:val="00AB0602"/>
    <w:rsid w:val="00AB0666"/>
    <w:rsid w:val="00AB0A80"/>
    <w:rsid w:val="00AB0B49"/>
    <w:rsid w:val="00AB0EC0"/>
    <w:rsid w:val="00AB0F15"/>
    <w:rsid w:val="00AB11B9"/>
    <w:rsid w:val="00AB1574"/>
    <w:rsid w:val="00AB1A0F"/>
    <w:rsid w:val="00AB1C83"/>
    <w:rsid w:val="00AB1F30"/>
    <w:rsid w:val="00AB1FE3"/>
    <w:rsid w:val="00AB2313"/>
    <w:rsid w:val="00AB2453"/>
    <w:rsid w:val="00AB2821"/>
    <w:rsid w:val="00AB29EE"/>
    <w:rsid w:val="00AB2D6E"/>
    <w:rsid w:val="00AB2DF1"/>
    <w:rsid w:val="00AB2DF6"/>
    <w:rsid w:val="00AB2EAD"/>
    <w:rsid w:val="00AB302A"/>
    <w:rsid w:val="00AB309A"/>
    <w:rsid w:val="00AB30E0"/>
    <w:rsid w:val="00AB3139"/>
    <w:rsid w:val="00AB319B"/>
    <w:rsid w:val="00AB35EE"/>
    <w:rsid w:val="00AB369C"/>
    <w:rsid w:val="00AB3760"/>
    <w:rsid w:val="00AB3CF7"/>
    <w:rsid w:val="00AB3DB6"/>
    <w:rsid w:val="00AB3EEB"/>
    <w:rsid w:val="00AB3F54"/>
    <w:rsid w:val="00AB4171"/>
    <w:rsid w:val="00AB425A"/>
    <w:rsid w:val="00AB4506"/>
    <w:rsid w:val="00AB473B"/>
    <w:rsid w:val="00AB486E"/>
    <w:rsid w:val="00AB4D30"/>
    <w:rsid w:val="00AB4D5F"/>
    <w:rsid w:val="00AB539D"/>
    <w:rsid w:val="00AB56CA"/>
    <w:rsid w:val="00AB572F"/>
    <w:rsid w:val="00AB57B0"/>
    <w:rsid w:val="00AB5D45"/>
    <w:rsid w:val="00AB5FB9"/>
    <w:rsid w:val="00AB6150"/>
    <w:rsid w:val="00AB6312"/>
    <w:rsid w:val="00AB6661"/>
    <w:rsid w:val="00AB6694"/>
    <w:rsid w:val="00AB6770"/>
    <w:rsid w:val="00AB6CB7"/>
    <w:rsid w:val="00AB6DC9"/>
    <w:rsid w:val="00AB6DF4"/>
    <w:rsid w:val="00AB710C"/>
    <w:rsid w:val="00AB71E5"/>
    <w:rsid w:val="00AB784C"/>
    <w:rsid w:val="00AB788B"/>
    <w:rsid w:val="00AB78A6"/>
    <w:rsid w:val="00AB795F"/>
    <w:rsid w:val="00AB797C"/>
    <w:rsid w:val="00AB7C8F"/>
    <w:rsid w:val="00AB7D41"/>
    <w:rsid w:val="00AB7DE0"/>
    <w:rsid w:val="00AC005F"/>
    <w:rsid w:val="00AC00B4"/>
    <w:rsid w:val="00AC02B7"/>
    <w:rsid w:val="00AC0412"/>
    <w:rsid w:val="00AC0444"/>
    <w:rsid w:val="00AC05F1"/>
    <w:rsid w:val="00AC08FD"/>
    <w:rsid w:val="00AC0BE0"/>
    <w:rsid w:val="00AC0C9F"/>
    <w:rsid w:val="00AC0CE4"/>
    <w:rsid w:val="00AC0D5A"/>
    <w:rsid w:val="00AC114F"/>
    <w:rsid w:val="00AC134B"/>
    <w:rsid w:val="00AC147E"/>
    <w:rsid w:val="00AC1DB9"/>
    <w:rsid w:val="00AC2340"/>
    <w:rsid w:val="00AC26B0"/>
    <w:rsid w:val="00AC2883"/>
    <w:rsid w:val="00AC2D81"/>
    <w:rsid w:val="00AC306E"/>
    <w:rsid w:val="00AC31DA"/>
    <w:rsid w:val="00AC3243"/>
    <w:rsid w:val="00AC33E8"/>
    <w:rsid w:val="00AC36FE"/>
    <w:rsid w:val="00AC37F0"/>
    <w:rsid w:val="00AC37FB"/>
    <w:rsid w:val="00AC3AC6"/>
    <w:rsid w:val="00AC406A"/>
    <w:rsid w:val="00AC41C1"/>
    <w:rsid w:val="00AC4248"/>
    <w:rsid w:val="00AC42FD"/>
    <w:rsid w:val="00AC45AF"/>
    <w:rsid w:val="00AC4762"/>
    <w:rsid w:val="00AC4AA8"/>
    <w:rsid w:val="00AC4B74"/>
    <w:rsid w:val="00AC4C07"/>
    <w:rsid w:val="00AC4DB6"/>
    <w:rsid w:val="00AC52B0"/>
    <w:rsid w:val="00AC53A1"/>
    <w:rsid w:val="00AC57D7"/>
    <w:rsid w:val="00AC587B"/>
    <w:rsid w:val="00AC5ACA"/>
    <w:rsid w:val="00AC5AD0"/>
    <w:rsid w:val="00AC5BA1"/>
    <w:rsid w:val="00AC5BB9"/>
    <w:rsid w:val="00AC6086"/>
    <w:rsid w:val="00AC68EB"/>
    <w:rsid w:val="00AC699F"/>
    <w:rsid w:val="00AC6AD2"/>
    <w:rsid w:val="00AC6B52"/>
    <w:rsid w:val="00AC6BDF"/>
    <w:rsid w:val="00AC6D7A"/>
    <w:rsid w:val="00AC6D7F"/>
    <w:rsid w:val="00AC6EC7"/>
    <w:rsid w:val="00AC71B7"/>
    <w:rsid w:val="00AC71D7"/>
    <w:rsid w:val="00AC74AF"/>
    <w:rsid w:val="00AC7590"/>
    <w:rsid w:val="00AC7795"/>
    <w:rsid w:val="00AC78A2"/>
    <w:rsid w:val="00AC7B6C"/>
    <w:rsid w:val="00AC7C43"/>
    <w:rsid w:val="00AC7ECE"/>
    <w:rsid w:val="00AC7FE3"/>
    <w:rsid w:val="00AD01C6"/>
    <w:rsid w:val="00AD0289"/>
    <w:rsid w:val="00AD028B"/>
    <w:rsid w:val="00AD0291"/>
    <w:rsid w:val="00AD037D"/>
    <w:rsid w:val="00AD0497"/>
    <w:rsid w:val="00AD06E4"/>
    <w:rsid w:val="00AD08DC"/>
    <w:rsid w:val="00AD0CF6"/>
    <w:rsid w:val="00AD0EA3"/>
    <w:rsid w:val="00AD0F1F"/>
    <w:rsid w:val="00AD10E4"/>
    <w:rsid w:val="00AD11DB"/>
    <w:rsid w:val="00AD11E9"/>
    <w:rsid w:val="00AD1307"/>
    <w:rsid w:val="00AD1365"/>
    <w:rsid w:val="00AD1376"/>
    <w:rsid w:val="00AD1394"/>
    <w:rsid w:val="00AD13B0"/>
    <w:rsid w:val="00AD15BB"/>
    <w:rsid w:val="00AD1793"/>
    <w:rsid w:val="00AD181F"/>
    <w:rsid w:val="00AD1E70"/>
    <w:rsid w:val="00AD1EFC"/>
    <w:rsid w:val="00AD218B"/>
    <w:rsid w:val="00AD227D"/>
    <w:rsid w:val="00AD22F5"/>
    <w:rsid w:val="00AD24AC"/>
    <w:rsid w:val="00AD258B"/>
    <w:rsid w:val="00AD273F"/>
    <w:rsid w:val="00AD27CF"/>
    <w:rsid w:val="00AD27DA"/>
    <w:rsid w:val="00AD27FB"/>
    <w:rsid w:val="00AD2B83"/>
    <w:rsid w:val="00AD2C4A"/>
    <w:rsid w:val="00AD2E55"/>
    <w:rsid w:val="00AD3402"/>
    <w:rsid w:val="00AD34D9"/>
    <w:rsid w:val="00AD35B5"/>
    <w:rsid w:val="00AD36C3"/>
    <w:rsid w:val="00AD3A2A"/>
    <w:rsid w:val="00AD3AC9"/>
    <w:rsid w:val="00AD3BE7"/>
    <w:rsid w:val="00AD3D08"/>
    <w:rsid w:val="00AD3ED6"/>
    <w:rsid w:val="00AD3F92"/>
    <w:rsid w:val="00AD437E"/>
    <w:rsid w:val="00AD43AB"/>
    <w:rsid w:val="00AD483A"/>
    <w:rsid w:val="00AD492F"/>
    <w:rsid w:val="00AD4D5D"/>
    <w:rsid w:val="00AD4DC2"/>
    <w:rsid w:val="00AD4E90"/>
    <w:rsid w:val="00AD5264"/>
    <w:rsid w:val="00AD5346"/>
    <w:rsid w:val="00AD53CE"/>
    <w:rsid w:val="00AD5501"/>
    <w:rsid w:val="00AD57A8"/>
    <w:rsid w:val="00AD5874"/>
    <w:rsid w:val="00AD597B"/>
    <w:rsid w:val="00AD5A20"/>
    <w:rsid w:val="00AD5B22"/>
    <w:rsid w:val="00AD5DE7"/>
    <w:rsid w:val="00AD5E03"/>
    <w:rsid w:val="00AD5E04"/>
    <w:rsid w:val="00AD5E7F"/>
    <w:rsid w:val="00AD5F39"/>
    <w:rsid w:val="00AD5F9F"/>
    <w:rsid w:val="00AD60E2"/>
    <w:rsid w:val="00AD64E5"/>
    <w:rsid w:val="00AD65F8"/>
    <w:rsid w:val="00AD670F"/>
    <w:rsid w:val="00AD67D7"/>
    <w:rsid w:val="00AD6868"/>
    <w:rsid w:val="00AD6A28"/>
    <w:rsid w:val="00AD6E45"/>
    <w:rsid w:val="00AD6FC1"/>
    <w:rsid w:val="00AD6FD8"/>
    <w:rsid w:val="00AD7874"/>
    <w:rsid w:val="00AD7947"/>
    <w:rsid w:val="00AD7964"/>
    <w:rsid w:val="00AD7A59"/>
    <w:rsid w:val="00AD7B0A"/>
    <w:rsid w:val="00AD7BBC"/>
    <w:rsid w:val="00AD7EC1"/>
    <w:rsid w:val="00AD7FD8"/>
    <w:rsid w:val="00AE016D"/>
    <w:rsid w:val="00AE0196"/>
    <w:rsid w:val="00AE0388"/>
    <w:rsid w:val="00AE06AA"/>
    <w:rsid w:val="00AE0960"/>
    <w:rsid w:val="00AE0B18"/>
    <w:rsid w:val="00AE0CAE"/>
    <w:rsid w:val="00AE0F32"/>
    <w:rsid w:val="00AE0F37"/>
    <w:rsid w:val="00AE125A"/>
    <w:rsid w:val="00AE13D0"/>
    <w:rsid w:val="00AE17E2"/>
    <w:rsid w:val="00AE1D16"/>
    <w:rsid w:val="00AE1D76"/>
    <w:rsid w:val="00AE201C"/>
    <w:rsid w:val="00AE20AD"/>
    <w:rsid w:val="00AE21B4"/>
    <w:rsid w:val="00AE2248"/>
    <w:rsid w:val="00AE228E"/>
    <w:rsid w:val="00AE2528"/>
    <w:rsid w:val="00AE2564"/>
    <w:rsid w:val="00AE286E"/>
    <w:rsid w:val="00AE29ED"/>
    <w:rsid w:val="00AE2D29"/>
    <w:rsid w:val="00AE30C7"/>
    <w:rsid w:val="00AE32FC"/>
    <w:rsid w:val="00AE352A"/>
    <w:rsid w:val="00AE3815"/>
    <w:rsid w:val="00AE38CA"/>
    <w:rsid w:val="00AE3A1A"/>
    <w:rsid w:val="00AE3DD7"/>
    <w:rsid w:val="00AE3DFB"/>
    <w:rsid w:val="00AE3EDB"/>
    <w:rsid w:val="00AE3F24"/>
    <w:rsid w:val="00AE420B"/>
    <w:rsid w:val="00AE4375"/>
    <w:rsid w:val="00AE444E"/>
    <w:rsid w:val="00AE47B4"/>
    <w:rsid w:val="00AE4852"/>
    <w:rsid w:val="00AE497F"/>
    <w:rsid w:val="00AE4B01"/>
    <w:rsid w:val="00AE4B2E"/>
    <w:rsid w:val="00AE51F2"/>
    <w:rsid w:val="00AE562B"/>
    <w:rsid w:val="00AE5806"/>
    <w:rsid w:val="00AE5892"/>
    <w:rsid w:val="00AE6271"/>
    <w:rsid w:val="00AE62B0"/>
    <w:rsid w:val="00AE6469"/>
    <w:rsid w:val="00AE6852"/>
    <w:rsid w:val="00AE69E3"/>
    <w:rsid w:val="00AE6B50"/>
    <w:rsid w:val="00AE6C20"/>
    <w:rsid w:val="00AE6D48"/>
    <w:rsid w:val="00AE6F2A"/>
    <w:rsid w:val="00AE700F"/>
    <w:rsid w:val="00AE701E"/>
    <w:rsid w:val="00AE7039"/>
    <w:rsid w:val="00AE72FA"/>
    <w:rsid w:val="00AE76BC"/>
    <w:rsid w:val="00AE774B"/>
    <w:rsid w:val="00AE79EC"/>
    <w:rsid w:val="00AE7A08"/>
    <w:rsid w:val="00AE7C2F"/>
    <w:rsid w:val="00AF0107"/>
    <w:rsid w:val="00AF0130"/>
    <w:rsid w:val="00AF06E5"/>
    <w:rsid w:val="00AF08A8"/>
    <w:rsid w:val="00AF091C"/>
    <w:rsid w:val="00AF0929"/>
    <w:rsid w:val="00AF0AA1"/>
    <w:rsid w:val="00AF0BEB"/>
    <w:rsid w:val="00AF1110"/>
    <w:rsid w:val="00AF128B"/>
    <w:rsid w:val="00AF14F4"/>
    <w:rsid w:val="00AF16FB"/>
    <w:rsid w:val="00AF17A8"/>
    <w:rsid w:val="00AF18AF"/>
    <w:rsid w:val="00AF1AE3"/>
    <w:rsid w:val="00AF1DAC"/>
    <w:rsid w:val="00AF1F23"/>
    <w:rsid w:val="00AF2179"/>
    <w:rsid w:val="00AF21CA"/>
    <w:rsid w:val="00AF22E0"/>
    <w:rsid w:val="00AF23FE"/>
    <w:rsid w:val="00AF260A"/>
    <w:rsid w:val="00AF2ACC"/>
    <w:rsid w:val="00AF2B4D"/>
    <w:rsid w:val="00AF2CD9"/>
    <w:rsid w:val="00AF2DE3"/>
    <w:rsid w:val="00AF2EE8"/>
    <w:rsid w:val="00AF2F42"/>
    <w:rsid w:val="00AF3108"/>
    <w:rsid w:val="00AF33E2"/>
    <w:rsid w:val="00AF35B0"/>
    <w:rsid w:val="00AF3647"/>
    <w:rsid w:val="00AF38C2"/>
    <w:rsid w:val="00AF390C"/>
    <w:rsid w:val="00AF3C89"/>
    <w:rsid w:val="00AF41F8"/>
    <w:rsid w:val="00AF4272"/>
    <w:rsid w:val="00AF4300"/>
    <w:rsid w:val="00AF4419"/>
    <w:rsid w:val="00AF4652"/>
    <w:rsid w:val="00AF46D1"/>
    <w:rsid w:val="00AF4DA5"/>
    <w:rsid w:val="00AF4E0F"/>
    <w:rsid w:val="00AF4FA2"/>
    <w:rsid w:val="00AF50F3"/>
    <w:rsid w:val="00AF5645"/>
    <w:rsid w:val="00AF56AE"/>
    <w:rsid w:val="00AF5746"/>
    <w:rsid w:val="00AF594E"/>
    <w:rsid w:val="00AF5B93"/>
    <w:rsid w:val="00AF5EED"/>
    <w:rsid w:val="00AF623B"/>
    <w:rsid w:val="00AF62F3"/>
    <w:rsid w:val="00AF652D"/>
    <w:rsid w:val="00AF6795"/>
    <w:rsid w:val="00AF6822"/>
    <w:rsid w:val="00AF685B"/>
    <w:rsid w:val="00AF6AB2"/>
    <w:rsid w:val="00AF6D8F"/>
    <w:rsid w:val="00AF6F68"/>
    <w:rsid w:val="00AF7117"/>
    <w:rsid w:val="00AF7167"/>
    <w:rsid w:val="00AF7770"/>
    <w:rsid w:val="00AF7812"/>
    <w:rsid w:val="00AF791C"/>
    <w:rsid w:val="00AF7988"/>
    <w:rsid w:val="00AF7ABF"/>
    <w:rsid w:val="00AF7B23"/>
    <w:rsid w:val="00AF7B57"/>
    <w:rsid w:val="00B000AC"/>
    <w:rsid w:val="00B0044A"/>
    <w:rsid w:val="00B00468"/>
    <w:rsid w:val="00B0047A"/>
    <w:rsid w:val="00B004F2"/>
    <w:rsid w:val="00B0050E"/>
    <w:rsid w:val="00B00561"/>
    <w:rsid w:val="00B0064D"/>
    <w:rsid w:val="00B00734"/>
    <w:rsid w:val="00B00753"/>
    <w:rsid w:val="00B00A6A"/>
    <w:rsid w:val="00B00CEA"/>
    <w:rsid w:val="00B00DA7"/>
    <w:rsid w:val="00B00DB9"/>
    <w:rsid w:val="00B00E29"/>
    <w:rsid w:val="00B01387"/>
    <w:rsid w:val="00B0153C"/>
    <w:rsid w:val="00B015B0"/>
    <w:rsid w:val="00B015C1"/>
    <w:rsid w:val="00B0169B"/>
    <w:rsid w:val="00B01749"/>
    <w:rsid w:val="00B01843"/>
    <w:rsid w:val="00B01C76"/>
    <w:rsid w:val="00B01C82"/>
    <w:rsid w:val="00B01EA8"/>
    <w:rsid w:val="00B01F73"/>
    <w:rsid w:val="00B021C6"/>
    <w:rsid w:val="00B02375"/>
    <w:rsid w:val="00B0239A"/>
    <w:rsid w:val="00B024BF"/>
    <w:rsid w:val="00B02661"/>
    <w:rsid w:val="00B0266D"/>
    <w:rsid w:val="00B02755"/>
    <w:rsid w:val="00B0279A"/>
    <w:rsid w:val="00B028F3"/>
    <w:rsid w:val="00B02A63"/>
    <w:rsid w:val="00B02A87"/>
    <w:rsid w:val="00B02AE4"/>
    <w:rsid w:val="00B02E84"/>
    <w:rsid w:val="00B031C7"/>
    <w:rsid w:val="00B032F6"/>
    <w:rsid w:val="00B03344"/>
    <w:rsid w:val="00B03346"/>
    <w:rsid w:val="00B03646"/>
    <w:rsid w:val="00B0380B"/>
    <w:rsid w:val="00B03C07"/>
    <w:rsid w:val="00B0421C"/>
    <w:rsid w:val="00B0442A"/>
    <w:rsid w:val="00B0449B"/>
    <w:rsid w:val="00B044ED"/>
    <w:rsid w:val="00B04640"/>
    <w:rsid w:val="00B04C22"/>
    <w:rsid w:val="00B04F91"/>
    <w:rsid w:val="00B052A1"/>
    <w:rsid w:val="00B053DA"/>
    <w:rsid w:val="00B05581"/>
    <w:rsid w:val="00B0584B"/>
    <w:rsid w:val="00B05993"/>
    <w:rsid w:val="00B05CC2"/>
    <w:rsid w:val="00B05D08"/>
    <w:rsid w:val="00B06307"/>
    <w:rsid w:val="00B0647B"/>
    <w:rsid w:val="00B065A0"/>
    <w:rsid w:val="00B06888"/>
    <w:rsid w:val="00B0691B"/>
    <w:rsid w:val="00B06B44"/>
    <w:rsid w:val="00B06BDC"/>
    <w:rsid w:val="00B06E45"/>
    <w:rsid w:val="00B07253"/>
    <w:rsid w:val="00B07308"/>
    <w:rsid w:val="00B0761D"/>
    <w:rsid w:val="00B07698"/>
    <w:rsid w:val="00B07B9D"/>
    <w:rsid w:val="00B07CC8"/>
    <w:rsid w:val="00B07D7E"/>
    <w:rsid w:val="00B07EA9"/>
    <w:rsid w:val="00B10125"/>
    <w:rsid w:val="00B104AA"/>
    <w:rsid w:val="00B10584"/>
    <w:rsid w:val="00B10670"/>
    <w:rsid w:val="00B108FD"/>
    <w:rsid w:val="00B10D3F"/>
    <w:rsid w:val="00B11078"/>
    <w:rsid w:val="00B1127C"/>
    <w:rsid w:val="00B112BC"/>
    <w:rsid w:val="00B1155E"/>
    <w:rsid w:val="00B11BDE"/>
    <w:rsid w:val="00B11CC5"/>
    <w:rsid w:val="00B11D46"/>
    <w:rsid w:val="00B11DF5"/>
    <w:rsid w:val="00B11E81"/>
    <w:rsid w:val="00B12003"/>
    <w:rsid w:val="00B1230C"/>
    <w:rsid w:val="00B1231D"/>
    <w:rsid w:val="00B126D4"/>
    <w:rsid w:val="00B127BE"/>
    <w:rsid w:val="00B12855"/>
    <w:rsid w:val="00B12A20"/>
    <w:rsid w:val="00B12CC6"/>
    <w:rsid w:val="00B12E14"/>
    <w:rsid w:val="00B12F0A"/>
    <w:rsid w:val="00B12FA0"/>
    <w:rsid w:val="00B13067"/>
    <w:rsid w:val="00B130D2"/>
    <w:rsid w:val="00B131B8"/>
    <w:rsid w:val="00B13330"/>
    <w:rsid w:val="00B135BD"/>
    <w:rsid w:val="00B13619"/>
    <w:rsid w:val="00B139E4"/>
    <w:rsid w:val="00B13A02"/>
    <w:rsid w:val="00B13AE7"/>
    <w:rsid w:val="00B13B9F"/>
    <w:rsid w:val="00B13BE5"/>
    <w:rsid w:val="00B143B6"/>
    <w:rsid w:val="00B14507"/>
    <w:rsid w:val="00B145D2"/>
    <w:rsid w:val="00B145F7"/>
    <w:rsid w:val="00B14943"/>
    <w:rsid w:val="00B14A1C"/>
    <w:rsid w:val="00B1551C"/>
    <w:rsid w:val="00B15897"/>
    <w:rsid w:val="00B15AA1"/>
    <w:rsid w:val="00B15B7F"/>
    <w:rsid w:val="00B15C04"/>
    <w:rsid w:val="00B15C69"/>
    <w:rsid w:val="00B15D16"/>
    <w:rsid w:val="00B15D9A"/>
    <w:rsid w:val="00B15E88"/>
    <w:rsid w:val="00B15EE8"/>
    <w:rsid w:val="00B161F3"/>
    <w:rsid w:val="00B16607"/>
    <w:rsid w:val="00B16748"/>
    <w:rsid w:val="00B16763"/>
    <w:rsid w:val="00B16A19"/>
    <w:rsid w:val="00B1740D"/>
    <w:rsid w:val="00B17700"/>
    <w:rsid w:val="00B177E1"/>
    <w:rsid w:val="00B177E3"/>
    <w:rsid w:val="00B17954"/>
    <w:rsid w:val="00B179B3"/>
    <w:rsid w:val="00B179DA"/>
    <w:rsid w:val="00B17DA2"/>
    <w:rsid w:val="00B17E3A"/>
    <w:rsid w:val="00B20074"/>
    <w:rsid w:val="00B20139"/>
    <w:rsid w:val="00B201C4"/>
    <w:rsid w:val="00B204B0"/>
    <w:rsid w:val="00B204C0"/>
    <w:rsid w:val="00B2073E"/>
    <w:rsid w:val="00B209AC"/>
    <w:rsid w:val="00B20A37"/>
    <w:rsid w:val="00B20B07"/>
    <w:rsid w:val="00B20C29"/>
    <w:rsid w:val="00B20CBC"/>
    <w:rsid w:val="00B20DB2"/>
    <w:rsid w:val="00B2118A"/>
    <w:rsid w:val="00B21426"/>
    <w:rsid w:val="00B21561"/>
    <w:rsid w:val="00B21AE9"/>
    <w:rsid w:val="00B21C70"/>
    <w:rsid w:val="00B21C83"/>
    <w:rsid w:val="00B21E89"/>
    <w:rsid w:val="00B21FF8"/>
    <w:rsid w:val="00B22196"/>
    <w:rsid w:val="00B223FE"/>
    <w:rsid w:val="00B226B5"/>
    <w:rsid w:val="00B229A3"/>
    <w:rsid w:val="00B229C8"/>
    <w:rsid w:val="00B22AC1"/>
    <w:rsid w:val="00B22F26"/>
    <w:rsid w:val="00B23138"/>
    <w:rsid w:val="00B231DE"/>
    <w:rsid w:val="00B232B9"/>
    <w:rsid w:val="00B232EE"/>
    <w:rsid w:val="00B233ED"/>
    <w:rsid w:val="00B23768"/>
    <w:rsid w:val="00B238A1"/>
    <w:rsid w:val="00B23999"/>
    <w:rsid w:val="00B23A90"/>
    <w:rsid w:val="00B23FFA"/>
    <w:rsid w:val="00B240AD"/>
    <w:rsid w:val="00B24239"/>
    <w:rsid w:val="00B242C9"/>
    <w:rsid w:val="00B245AF"/>
    <w:rsid w:val="00B24679"/>
    <w:rsid w:val="00B2487C"/>
    <w:rsid w:val="00B24AEE"/>
    <w:rsid w:val="00B24CFB"/>
    <w:rsid w:val="00B24EAB"/>
    <w:rsid w:val="00B2502D"/>
    <w:rsid w:val="00B2506C"/>
    <w:rsid w:val="00B2512B"/>
    <w:rsid w:val="00B25133"/>
    <w:rsid w:val="00B2525D"/>
    <w:rsid w:val="00B2566E"/>
    <w:rsid w:val="00B2571C"/>
    <w:rsid w:val="00B257D7"/>
    <w:rsid w:val="00B25857"/>
    <w:rsid w:val="00B25AAA"/>
    <w:rsid w:val="00B25BED"/>
    <w:rsid w:val="00B25C22"/>
    <w:rsid w:val="00B25EDE"/>
    <w:rsid w:val="00B261A6"/>
    <w:rsid w:val="00B261D1"/>
    <w:rsid w:val="00B263B1"/>
    <w:rsid w:val="00B26682"/>
    <w:rsid w:val="00B26AF6"/>
    <w:rsid w:val="00B26B93"/>
    <w:rsid w:val="00B26FEB"/>
    <w:rsid w:val="00B26FF5"/>
    <w:rsid w:val="00B2742A"/>
    <w:rsid w:val="00B274B9"/>
    <w:rsid w:val="00B2762C"/>
    <w:rsid w:val="00B276BC"/>
    <w:rsid w:val="00B277A0"/>
    <w:rsid w:val="00B2780A"/>
    <w:rsid w:val="00B27B22"/>
    <w:rsid w:val="00B27B8D"/>
    <w:rsid w:val="00B30199"/>
    <w:rsid w:val="00B30490"/>
    <w:rsid w:val="00B30652"/>
    <w:rsid w:val="00B306C2"/>
    <w:rsid w:val="00B309DB"/>
    <w:rsid w:val="00B311F4"/>
    <w:rsid w:val="00B3128B"/>
    <w:rsid w:val="00B314D5"/>
    <w:rsid w:val="00B31874"/>
    <w:rsid w:val="00B31A66"/>
    <w:rsid w:val="00B31BBE"/>
    <w:rsid w:val="00B31C47"/>
    <w:rsid w:val="00B31E14"/>
    <w:rsid w:val="00B31F3B"/>
    <w:rsid w:val="00B31F43"/>
    <w:rsid w:val="00B32037"/>
    <w:rsid w:val="00B3283A"/>
    <w:rsid w:val="00B328FA"/>
    <w:rsid w:val="00B32934"/>
    <w:rsid w:val="00B32A2C"/>
    <w:rsid w:val="00B32C74"/>
    <w:rsid w:val="00B32ED3"/>
    <w:rsid w:val="00B32EF3"/>
    <w:rsid w:val="00B3304C"/>
    <w:rsid w:val="00B3308F"/>
    <w:rsid w:val="00B33192"/>
    <w:rsid w:val="00B33368"/>
    <w:rsid w:val="00B333D9"/>
    <w:rsid w:val="00B336F3"/>
    <w:rsid w:val="00B33808"/>
    <w:rsid w:val="00B33979"/>
    <w:rsid w:val="00B33A4A"/>
    <w:rsid w:val="00B33A8C"/>
    <w:rsid w:val="00B33B40"/>
    <w:rsid w:val="00B33B63"/>
    <w:rsid w:val="00B33C99"/>
    <w:rsid w:val="00B33D3A"/>
    <w:rsid w:val="00B33F6B"/>
    <w:rsid w:val="00B3468F"/>
    <w:rsid w:val="00B34A6E"/>
    <w:rsid w:val="00B34D39"/>
    <w:rsid w:val="00B34D9F"/>
    <w:rsid w:val="00B34E5D"/>
    <w:rsid w:val="00B34EA6"/>
    <w:rsid w:val="00B34EC7"/>
    <w:rsid w:val="00B35049"/>
    <w:rsid w:val="00B35209"/>
    <w:rsid w:val="00B35285"/>
    <w:rsid w:val="00B3528E"/>
    <w:rsid w:val="00B3531F"/>
    <w:rsid w:val="00B354A0"/>
    <w:rsid w:val="00B36073"/>
    <w:rsid w:val="00B36383"/>
    <w:rsid w:val="00B36643"/>
    <w:rsid w:val="00B367F6"/>
    <w:rsid w:val="00B36887"/>
    <w:rsid w:val="00B36AB2"/>
    <w:rsid w:val="00B36BC0"/>
    <w:rsid w:val="00B36C0F"/>
    <w:rsid w:val="00B3705A"/>
    <w:rsid w:val="00B371FC"/>
    <w:rsid w:val="00B37208"/>
    <w:rsid w:val="00B37523"/>
    <w:rsid w:val="00B376DB"/>
    <w:rsid w:val="00B37746"/>
    <w:rsid w:val="00B37B65"/>
    <w:rsid w:val="00B37BB4"/>
    <w:rsid w:val="00B37C03"/>
    <w:rsid w:val="00B37E04"/>
    <w:rsid w:val="00B3964D"/>
    <w:rsid w:val="00B40066"/>
    <w:rsid w:val="00B40172"/>
    <w:rsid w:val="00B408D8"/>
    <w:rsid w:val="00B40964"/>
    <w:rsid w:val="00B40D21"/>
    <w:rsid w:val="00B40E2F"/>
    <w:rsid w:val="00B40F98"/>
    <w:rsid w:val="00B412BC"/>
    <w:rsid w:val="00B41380"/>
    <w:rsid w:val="00B414F8"/>
    <w:rsid w:val="00B41583"/>
    <w:rsid w:val="00B415FD"/>
    <w:rsid w:val="00B416CD"/>
    <w:rsid w:val="00B417B5"/>
    <w:rsid w:val="00B418F9"/>
    <w:rsid w:val="00B41998"/>
    <w:rsid w:val="00B41A89"/>
    <w:rsid w:val="00B41D58"/>
    <w:rsid w:val="00B42190"/>
    <w:rsid w:val="00B423AB"/>
    <w:rsid w:val="00B425B2"/>
    <w:rsid w:val="00B425F0"/>
    <w:rsid w:val="00B426F2"/>
    <w:rsid w:val="00B42739"/>
    <w:rsid w:val="00B4276C"/>
    <w:rsid w:val="00B428F2"/>
    <w:rsid w:val="00B42C22"/>
    <w:rsid w:val="00B42F5C"/>
    <w:rsid w:val="00B42F99"/>
    <w:rsid w:val="00B43160"/>
    <w:rsid w:val="00B4324B"/>
    <w:rsid w:val="00B438B0"/>
    <w:rsid w:val="00B43E37"/>
    <w:rsid w:val="00B43FCB"/>
    <w:rsid w:val="00B44113"/>
    <w:rsid w:val="00B441CE"/>
    <w:rsid w:val="00B443C6"/>
    <w:rsid w:val="00B44621"/>
    <w:rsid w:val="00B448BC"/>
    <w:rsid w:val="00B4493E"/>
    <w:rsid w:val="00B449A5"/>
    <w:rsid w:val="00B44A32"/>
    <w:rsid w:val="00B44EBB"/>
    <w:rsid w:val="00B44EF0"/>
    <w:rsid w:val="00B44F3B"/>
    <w:rsid w:val="00B44FA4"/>
    <w:rsid w:val="00B451A0"/>
    <w:rsid w:val="00B4559B"/>
    <w:rsid w:val="00B45847"/>
    <w:rsid w:val="00B45A17"/>
    <w:rsid w:val="00B45A2F"/>
    <w:rsid w:val="00B45C9E"/>
    <w:rsid w:val="00B45D2A"/>
    <w:rsid w:val="00B45F11"/>
    <w:rsid w:val="00B45F8E"/>
    <w:rsid w:val="00B4616F"/>
    <w:rsid w:val="00B46221"/>
    <w:rsid w:val="00B4638E"/>
    <w:rsid w:val="00B4660B"/>
    <w:rsid w:val="00B46763"/>
    <w:rsid w:val="00B46785"/>
    <w:rsid w:val="00B4688C"/>
    <w:rsid w:val="00B4698E"/>
    <w:rsid w:val="00B469DD"/>
    <w:rsid w:val="00B46C8E"/>
    <w:rsid w:val="00B46F0C"/>
    <w:rsid w:val="00B4702F"/>
    <w:rsid w:val="00B474E3"/>
    <w:rsid w:val="00B47A58"/>
    <w:rsid w:val="00B47B13"/>
    <w:rsid w:val="00B47DF2"/>
    <w:rsid w:val="00B47E23"/>
    <w:rsid w:val="00B50027"/>
    <w:rsid w:val="00B502A8"/>
    <w:rsid w:val="00B50383"/>
    <w:rsid w:val="00B503CE"/>
    <w:rsid w:val="00B507B3"/>
    <w:rsid w:val="00B5086C"/>
    <w:rsid w:val="00B50D81"/>
    <w:rsid w:val="00B50DB7"/>
    <w:rsid w:val="00B5136A"/>
    <w:rsid w:val="00B517EF"/>
    <w:rsid w:val="00B519E6"/>
    <w:rsid w:val="00B51BCE"/>
    <w:rsid w:val="00B51D0A"/>
    <w:rsid w:val="00B51E3B"/>
    <w:rsid w:val="00B51E84"/>
    <w:rsid w:val="00B5213F"/>
    <w:rsid w:val="00B52220"/>
    <w:rsid w:val="00B5242B"/>
    <w:rsid w:val="00B5259F"/>
    <w:rsid w:val="00B5270C"/>
    <w:rsid w:val="00B528C2"/>
    <w:rsid w:val="00B52C55"/>
    <w:rsid w:val="00B52C85"/>
    <w:rsid w:val="00B52E98"/>
    <w:rsid w:val="00B5321D"/>
    <w:rsid w:val="00B5325D"/>
    <w:rsid w:val="00B5350E"/>
    <w:rsid w:val="00B535B2"/>
    <w:rsid w:val="00B53A7F"/>
    <w:rsid w:val="00B53DE5"/>
    <w:rsid w:val="00B53EB0"/>
    <w:rsid w:val="00B53EB8"/>
    <w:rsid w:val="00B543CE"/>
    <w:rsid w:val="00B544FC"/>
    <w:rsid w:val="00B5468B"/>
    <w:rsid w:val="00B5494D"/>
    <w:rsid w:val="00B54BFB"/>
    <w:rsid w:val="00B54D24"/>
    <w:rsid w:val="00B54FE5"/>
    <w:rsid w:val="00B5504B"/>
    <w:rsid w:val="00B55250"/>
    <w:rsid w:val="00B55692"/>
    <w:rsid w:val="00B5591A"/>
    <w:rsid w:val="00B55A55"/>
    <w:rsid w:val="00B55AEA"/>
    <w:rsid w:val="00B55ECF"/>
    <w:rsid w:val="00B56263"/>
    <w:rsid w:val="00B562BE"/>
    <w:rsid w:val="00B562CF"/>
    <w:rsid w:val="00B56303"/>
    <w:rsid w:val="00B564F0"/>
    <w:rsid w:val="00B56770"/>
    <w:rsid w:val="00B567DE"/>
    <w:rsid w:val="00B568F0"/>
    <w:rsid w:val="00B56B89"/>
    <w:rsid w:val="00B56DE7"/>
    <w:rsid w:val="00B56E0F"/>
    <w:rsid w:val="00B56FBB"/>
    <w:rsid w:val="00B570F5"/>
    <w:rsid w:val="00B57391"/>
    <w:rsid w:val="00B578AF"/>
    <w:rsid w:val="00B578F2"/>
    <w:rsid w:val="00B579A7"/>
    <w:rsid w:val="00B57D9B"/>
    <w:rsid w:val="00B57EA8"/>
    <w:rsid w:val="00B600B3"/>
    <w:rsid w:val="00B60964"/>
    <w:rsid w:val="00B60983"/>
    <w:rsid w:val="00B60F8F"/>
    <w:rsid w:val="00B60FE7"/>
    <w:rsid w:val="00B61107"/>
    <w:rsid w:val="00B614A6"/>
    <w:rsid w:val="00B616CC"/>
    <w:rsid w:val="00B619EC"/>
    <w:rsid w:val="00B61B15"/>
    <w:rsid w:val="00B61C79"/>
    <w:rsid w:val="00B61F5E"/>
    <w:rsid w:val="00B62037"/>
    <w:rsid w:val="00B621E0"/>
    <w:rsid w:val="00B6225E"/>
    <w:rsid w:val="00B62475"/>
    <w:rsid w:val="00B624BB"/>
    <w:rsid w:val="00B626B8"/>
    <w:rsid w:val="00B62F3B"/>
    <w:rsid w:val="00B63248"/>
    <w:rsid w:val="00B633A3"/>
    <w:rsid w:val="00B63546"/>
    <w:rsid w:val="00B63CFF"/>
    <w:rsid w:val="00B63D8C"/>
    <w:rsid w:val="00B64377"/>
    <w:rsid w:val="00B64476"/>
    <w:rsid w:val="00B64651"/>
    <w:rsid w:val="00B6490E"/>
    <w:rsid w:val="00B64C35"/>
    <w:rsid w:val="00B64DE4"/>
    <w:rsid w:val="00B64E80"/>
    <w:rsid w:val="00B6527B"/>
    <w:rsid w:val="00B65934"/>
    <w:rsid w:val="00B65999"/>
    <w:rsid w:val="00B65C45"/>
    <w:rsid w:val="00B65CD6"/>
    <w:rsid w:val="00B65FF0"/>
    <w:rsid w:val="00B66081"/>
    <w:rsid w:val="00B660F5"/>
    <w:rsid w:val="00B6618D"/>
    <w:rsid w:val="00B66233"/>
    <w:rsid w:val="00B6649F"/>
    <w:rsid w:val="00B664E9"/>
    <w:rsid w:val="00B666B5"/>
    <w:rsid w:val="00B66702"/>
    <w:rsid w:val="00B66E5C"/>
    <w:rsid w:val="00B670DC"/>
    <w:rsid w:val="00B67140"/>
    <w:rsid w:val="00B67318"/>
    <w:rsid w:val="00B67332"/>
    <w:rsid w:val="00B673CB"/>
    <w:rsid w:val="00B67865"/>
    <w:rsid w:val="00B679A7"/>
    <w:rsid w:val="00B67BAF"/>
    <w:rsid w:val="00B67BC1"/>
    <w:rsid w:val="00B67BF3"/>
    <w:rsid w:val="00B67C57"/>
    <w:rsid w:val="00B67D19"/>
    <w:rsid w:val="00B67DC2"/>
    <w:rsid w:val="00B67E37"/>
    <w:rsid w:val="00B67E63"/>
    <w:rsid w:val="00B67FDE"/>
    <w:rsid w:val="00B700B6"/>
    <w:rsid w:val="00B702DC"/>
    <w:rsid w:val="00B704E6"/>
    <w:rsid w:val="00B70621"/>
    <w:rsid w:val="00B70646"/>
    <w:rsid w:val="00B7075B"/>
    <w:rsid w:val="00B707AB"/>
    <w:rsid w:val="00B70892"/>
    <w:rsid w:val="00B709F4"/>
    <w:rsid w:val="00B70CB3"/>
    <w:rsid w:val="00B70CEB"/>
    <w:rsid w:val="00B710EE"/>
    <w:rsid w:val="00B7141A"/>
    <w:rsid w:val="00B714B1"/>
    <w:rsid w:val="00B7163D"/>
    <w:rsid w:val="00B718A5"/>
    <w:rsid w:val="00B71983"/>
    <w:rsid w:val="00B71A22"/>
    <w:rsid w:val="00B71CFB"/>
    <w:rsid w:val="00B71DF7"/>
    <w:rsid w:val="00B72081"/>
    <w:rsid w:val="00B72170"/>
    <w:rsid w:val="00B72470"/>
    <w:rsid w:val="00B7298C"/>
    <w:rsid w:val="00B72AE2"/>
    <w:rsid w:val="00B72B47"/>
    <w:rsid w:val="00B73023"/>
    <w:rsid w:val="00B731B2"/>
    <w:rsid w:val="00B73432"/>
    <w:rsid w:val="00B73535"/>
    <w:rsid w:val="00B73653"/>
    <w:rsid w:val="00B73C71"/>
    <w:rsid w:val="00B73E64"/>
    <w:rsid w:val="00B73E8B"/>
    <w:rsid w:val="00B73F5E"/>
    <w:rsid w:val="00B7408A"/>
    <w:rsid w:val="00B741EB"/>
    <w:rsid w:val="00B745B5"/>
    <w:rsid w:val="00B74812"/>
    <w:rsid w:val="00B749D9"/>
    <w:rsid w:val="00B74B93"/>
    <w:rsid w:val="00B75282"/>
    <w:rsid w:val="00B75439"/>
    <w:rsid w:val="00B75483"/>
    <w:rsid w:val="00B755F7"/>
    <w:rsid w:val="00B7560D"/>
    <w:rsid w:val="00B75740"/>
    <w:rsid w:val="00B75756"/>
    <w:rsid w:val="00B75821"/>
    <w:rsid w:val="00B75A11"/>
    <w:rsid w:val="00B7683B"/>
    <w:rsid w:val="00B76946"/>
    <w:rsid w:val="00B76AD4"/>
    <w:rsid w:val="00B76B97"/>
    <w:rsid w:val="00B76C0B"/>
    <w:rsid w:val="00B76FD8"/>
    <w:rsid w:val="00B77107"/>
    <w:rsid w:val="00B7722D"/>
    <w:rsid w:val="00B775F7"/>
    <w:rsid w:val="00B776FB"/>
    <w:rsid w:val="00B778A3"/>
    <w:rsid w:val="00B77CCC"/>
    <w:rsid w:val="00B77F75"/>
    <w:rsid w:val="00B77F81"/>
    <w:rsid w:val="00B800E4"/>
    <w:rsid w:val="00B8035A"/>
    <w:rsid w:val="00B80371"/>
    <w:rsid w:val="00B80379"/>
    <w:rsid w:val="00B803F6"/>
    <w:rsid w:val="00B8048C"/>
    <w:rsid w:val="00B804AD"/>
    <w:rsid w:val="00B80983"/>
    <w:rsid w:val="00B80B31"/>
    <w:rsid w:val="00B80ED8"/>
    <w:rsid w:val="00B80F13"/>
    <w:rsid w:val="00B80F3B"/>
    <w:rsid w:val="00B80FA6"/>
    <w:rsid w:val="00B81232"/>
    <w:rsid w:val="00B816B9"/>
    <w:rsid w:val="00B81AF1"/>
    <w:rsid w:val="00B81E20"/>
    <w:rsid w:val="00B82019"/>
    <w:rsid w:val="00B820E2"/>
    <w:rsid w:val="00B82381"/>
    <w:rsid w:val="00B8257C"/>
    <w:rsid w:val="00B82659"/>
    <w:rsid w:val="00B82706"/>
    <w:rsid w:val="00B82841"/>
    <w:rsid w:val="00B8284A"/>
    <w:rsid w:val="00B828A9"/>
    <w:rsid w:val="00B828C6"/>
    <w:rsid w:val="00B82966"/>
    <w:rsid w:val="00B82990"/>
    <w:rsid w:val="00B829B4"/>
    <w:rsid w:val="00B82D91"/>
    <w:rsid w:val="00B82FDB"/>
    <w:rsid w:val="00B83062"/>
    <w:rsid w:val="00B830F6"/>
    <w:rsid w:val="00B835FC"/>
    <w:rsid w:val="00B83809"/>
    <w:rsid w:val="00B838C9"/>
    <w:rsid w:val="00B83A6F"/>
    <w:rsid w:val="00B83AD8"/>
    <w:rsid w:val="00B83BE3"/>
    <w:rsid w:val="00B83D49"/>
    <w:rsid w:val="00B845A8"/>
    <w:rsid w:val="00B8461C"/>
    <w:rsid w:val="00B84694"/>
    <w:rsid w:val="00B84C5A"/>
    <w:rsid w:val="00B84D2A"/>
    <w:rsid w:val="00B84DD6"/>
    <w:rsid w:val="00B8517D"/>
    <w:rsid w:val="00B85258"/>
    <w:rsid w:val="00B85483"/>
    <w:rsid w:val="00B85826"/>
    <w:rsid w:val="00B85871"/>
    <w:rsid w:val="00B858CB"/>
    <w:rsid w:val="00B85F67"/>
    <w:rsid w:val="00B85F7C"/>
    <w:rsid w:val="00B86212"/>
    <w:rsid w:val="00B862D7"/>
    <w:rsid w:val="00B86391"/>
    <w:rsid w:val="00B86562"/>
    <w:rsid w:val="00B8674C"/>
    <w:rsid w:val="00B868CF"/>
    <w:rsid w:val="00B86B1C"/>
    <w:rsid w:val="00B86C32"/>
    <w:rsid w:val="00B86CA8"/>
    <w:rsid w:val="00B87071"/>
    <w:rsid w:val="00B87111"/>
    <w:rsid w:val="00B873EF"/>
    <w:rsid w:val="00B8742B"/>
    <w:rsid w:val="00B875A8"/>
    <w:rsid w:val="00B87669"/>
    <w:rsid w:val="00B876C4"/>
    <w:rsid w:val="00B8777E"/>
    <w:rsid w:val="00B87BFB"/>
    <w:rsid w:val="00B87D15"/>
    <w:rsid w:val="00B87D3F"/>
    <w:rsid w:val="00B87E60"/>
    <w:rsid w:val="00B9003A"/>
    <w:rsid w:val="00B90042"/>
    <w:rsid w:val="00B9022F"/>
    <w:rsid w:val="00B90380"/>
    <w:rsid w:val="00B90440"/>
    <w:rsid w:val="00B90642"/>
    <w:rsid w:val="00B9072B"/>
    <w:rsid w:val="00B9079B"/>
    <w:rsid w:val="00B90C0B"/>
    <w:rsid w:val="00B9119E"/>
    <w:rsid w:val="00B9123A"/>
    <w:rsid w:val="00B9123E"/>
    <w:rsid w:val="00B91287"/>
    <w:rsid w:val="00B914A4"/>
    <w:rsid w:val="00B914B8"/>
    <w:rsid w:val="00B91687"/>
    <w:rsid w:val="00B91781"/>
    <w:rsid w:val="00B9178C"/>
    <w:rsid w:val="00B91820"/>
    <w:rsid w:val="00B91821"/>
    <w:rsid w:val="00B9187A"/>
    <w:rsid w:val="00B91917"/>
    <w:rsid w:val="00B91DD0"/>
    <w:rsid w:val="00B91F60"/>
    <w:rsid w:val="00B91F71"/>
    <w:rsid w:val="00B9258B"/>
    <w:rsid w:val="00B92763"/>
    <w:rsid w:val="00B9278C"/>
    <w:rsid w:val="00B927E4"/>
    <w:rsid w:val="00B92906"/>
    <w:rsid w:val="00B92A71"/>
    <w:rsid w:val="00B92C38"/>
    <w:rsid w:val="00B92CBA"/>
    <w:rsid w:val="00B92F45"/>
    <w:rsid w:val="00B93021"/>
    <w:rsid w:val="00B93030"/>
    <w:rsid w:val="00B93224"/>
    <w:rsid w:val="00B9333B"/>
    <w:rsid w:val="00B93458"/>
    <w:rsid w:val="00B93476"/>
    <w:rsid w:val="00B936D2"/>
    <w:rsid w:val="00B938DC"/>
    <w:rsid w:val="00B93D3B"/>
    <w:rsid w:val="00B93DAD"/>
    <w:rsid w:val="00B93E8D"/>
    <w:rsid w:val="00B93E8E"/>
    <w:rsid w:val="00B93F66"/>
    <w:rsid w:val="00B93FAD"/>
    <w:rsid w:val="00B9408D"/>
    <w:rsid w:val="00B940FD"/>
    <w:rsid w:val="00B94191"/>
    <w:rsid w:val="00B9425A"/>
    <w:rsid w:val="00B9444C"/>
    <w:rsid w:val="00B946DB"/>
    <w:rsid w:val="00B94847"/>
    <w:rsid w:val="00B94A1D"/>
    <w:rsid w:val="00B94C6E"/>
    <w:rsid w:val="00B950FE"/>
    <w:rsid w:val="00B9521E"/>
    <w:rsid w:val="00B9523B"/>
    <w:rsid w:val="00B956DA"/>
    <w:rsid w:val="00B956DE"/>
    <w:rsid w:val="00B95928"/>
    <w:rsid w:val="00B95EB4"/>
    <w:rsid w:val="00B96088"/>
    <w:rsid w:val="00B96852"/>
    <w:rsid w:val="00B96898"/>
    <w:rsid w:val="00B9698B"/>
    <w:rsid w:val="00B969A6"/>
    <w:rsid w:val="00B96D05"/>
    <w:rsid w:val="00B96D20"/>
    <w:rsid w:val="00B96F69"/>
    <w:rsid w:val="00B97088"/>
    <w:rsid w:val="00B970BA"/>
    <w:rsid w:val="00B973EA"/>
    <w:rsid w:val="00B976B8"/>
    <w:rsid w:val="00B9788D"/>
    <w:rsid w:val="00B978EE"/>
    <w:rsid w:val="00B97A89"/>
    <w:rsid w:val="00B97CA6"/>
    <w:rsid w:val="00B97E7D"/>
    <w:rsid w:val="00B97E9C"/>
    <w:rsid w:val="00B97ED4"/>
    <w:rsid w:val="00BA0028"/>
    <w:rsid w:val="00BA0299"/>
    <w:rsid w:val="00BA03C0"/>
    <w:rsid w:val="00BA0442"/>
    <w:rsid w:val="00BA066C"/>
    <w:rsid w:val="00BA0C59"/>
    <w:rsid w:val="00BA1074"/>
    <w:rsid w:val="00BA115D"/>
    <w:rsid w:val="00BA11A2"/>
    <w:rsid w:val="00BA1302"/>
    <w:rsid w:val="00BA1450"/>
    <w:rsid w:val="00BA19F6"/>
    <w:rsid w:val="00BA1A8A"/>
    <w:rsid w:val="00BA1B83"/>
    <w:rsid w:val="00BA1B90"/>
    <w:rsid w:val="00BA1DF1"/>
    <w:rsid w:val="00BA202B"/>
    <w:rsid w:val="00BA2404"/>
    <w:rsid w:val="00BA2520"/>
    <w:rsid w:val="00BA25EC"/>
    <w:rsid w:val="00BA265A"/>
    <w:rsid w:val="00BA2906"/>
    <w:rsid w:val="00BA2A2F"/>
    <w:rsid w:val="00BA2AEB"/>
    <w:rsid w:val="00BA2CC4"/>
    <w:rsid w:val="00BA2D44"/>
    <w:rsid w:val="00BA2D75"/>
    <w:rsid w:val="00BA2DAD"/>
    <w:rsid w:val="00BA2DDE"/>
    <w:rsid w:val="00BA2F80"/>
    <w:rsid w:val="00BA2F9C"/>
    <w:rsid w:val="00BA2FEE"/>
    <w:rsid w:val="00BA31D7"/>
    <w:rsid w:val="00BA3245"/>
    <w:rsid w:val="00BA3258"/>
    <w:rsid w:val="00BA33A6"/>
    <w:rsid w:val="00BA33B3"/>
    <w:rsid w:val="00BA365C"/>
    <w:rsid w:val="00BA3B94"/>
    <w:rsid w:val="00BA3E2E"/>
    <w:rsid w:val="00BA3E59"/>
    <w:rsid w:val="00BA3E87"/>
    <w:rsid w:val="00BA3F8C"/>
    <w:rsid w:val="00BA4189"/>
    <w:rsid w:val="00BA4608"/>
    <w:rsid w:val="00BA46BA"/>
    <w:rsid w:val="00BA46C3"/>
    <w:rsid w:val="00BA488A"/>
    <w:rsid w:val="00BA48C7"/>
    <w:rsid w:val="00BA48EE"/>
    <w:rsid w:val="00BA497B"/>
    <w:rsid w:val="00BA4DE6"/>
    <w:rsid w:val="00BA4F50"/>
    <w:rsid w:val="00BA5155"/>
    <w:rsid w:val="00BA51A3"/>
    <w:rsid w:val="00BA5338"/>
    <w:rsid w:val="00BA5368"/>
    <w:rsid w:val="00BA5479"/>
    <w:rsid w:val="00BA54C5"/>
    <w:rsid w:val="00BA54F0"/>
    <w:rsid w:val="00BA55C4"/>
    <w:rsid w:val="00BA5A81"/>
    <w:rsid w:val="00BA5B86"/>
    <w:rsid w:val="00BA5D88"/>
    <w:rsid w:val="00BA5E4F"/>
    <w:rsid w:val="00BA5EAB"/>
    <w:rsid w:val="00BA5EAE"/>
    <w:rsid w:val="00BA6327"/>
    <w:rsid w:val="00BA634A"/>
    <w:rsid w:val="00BA650A"/>
    <w:rsid w:val="00BA658E"/>
    <w:rsid w:val="00BA67DD"/>
    <w:rsid w:val="00BA6DF2"/>
    <w:rsid w:val="00BA6E56"/>
    <w:rsid w:val="00BA7025"/>
    <w:rsid w:val="00BA720F"/>
    <w:rsid w:val="00BA72B6"/>
    <w:rsid w:val="00BA7BE9"/>
    <w:rsid w:val="00BA7E83"/>
    <w:rsid w:val="00BA7F11"/>
    <w:rsid w:val="00BB0119"/>
    <w:rsid w:val="00BB012C"/>
    <w:rsid w:val="00BB013E"/>
    <w:rsid w:val="00BB0645"/>
    <w:rsid w:val="00BB0A0F"/>
    <w:rsid w:val="00BB0C6D"/>
    <w:rsid w:val="00BB0CC5"/>
    <w:rsid w:val="00BB1100"/>
    <w:rsid w:val="00BB11DF"/>
    <w:rsid w:val="00BB1307"/>
    <w:rsid w:val="00BB139F"/>
    <w:rsid w:val="00BB160B"/>
    <w:rsid w:val="00BB1AAD"/>
    <w:rsid w:val="00BB1B15"/>
    <w:rsid w:val="00BB1B28"/>
    <w:rsid w:val="00BB1B6A"/>
    <w:rsid w:val="00BB1D9A"/>
    <w:rsid w:val="00BB1E5F"/>
    <w:rsid w:val="00BB2381"/>
    <w:rsid w:val="00BB238A"/>
    <w:rsid w:val="00BB23C2"/>
    <w:rsid w:val="00BB265D"/>
    <w:rsid w:val="00BB2B2F"/>
    <w:rsid w:val="00BB2FB0"/>
    <w:rsid w:val="00BB3143"/>
    <w:rsid w:val="00BB3357"/>
    <w:rsid w:val="00BB3603"/>
    <w:rsid w:val="00BB38AA"/>
    <w:rsid w:val="00BB39CC"/>
    <w:rsid w:val="00BB3B91"/>
    <w:rsid w:val="00BB3B92"/>
    <w:rsid w:val="00BB4200"/>
    <w:rsid w:val="00BB4F57"/>
    <w:rsid w:val="00BB538E"/>
    <w:rsid w:val="00BB54B5"/>
    <w:rsid w:val="00BB58B1"/>
    <w:rsid w:val="00BB6123"/>
    <w:rsid w:val="00BB62AC"/>
    <w:rsid w:val="00BB6305"/>
    <w:rsid w:val="00BB630E"/>
    <w:rsid w:val="00BB6483"/>
    <w:rsid w:val="00BB64C4"/>
    <w:rsid w:val="00BB665F"/>
    <w:rsid w:val="00BB695B"/>
    <w:rsid w:val="00BB6A6B"/>
    <w:rsid w:val="00BB6AC8"/>
    <w:rsid w:val="00BB6D4D"/>
    <w:rsid w:val="00BB6E7F"/>
    <w:rsid w:val="00BB6EF2"/>
    <w:rsid w:val="00BB7040"/>
    <w:rsid w:val="00BB7064"/>
    <w:rsid w:val="00BB70A0"/>
    <w:rsid w:val="00BB70D7"/>
    <w:rsid w:val="00BB7186"/>
    <w:rsid w:val="00BB7215"/>
    <w:rsid w:val="00BB721E"/>
    <w:rsid w:val="00BB72C1"/>
    <w:rsid w:val="00BB753A"/>
    <w:rsid w:val="00BB757C"/>
    <w:rsid w:val="00BB7696"/>
    <w:rsid w:val="00BB770F"/>
    <w:rsid w:val="00BB7873"/>
    <w:rsid w:val="00BB7AC5"/>
    <w:rsid w:val="00BB7AD5"/>
    <w:rsid w:val="00BB7B7A"/>
    <w:rsid w:val="00BB7C25"/>
    <w:rsid w:val="00BB7F9F"/>
    <w:rsid w:val="00BC016D"/>
    <w:rsid w:val="00BC0209"/>
    <w:rsid w:val="00BC04A0"/>
    <w:rsid w:val="00BC0718"/>
    <w:rsid w:val="00BC0856"/>
    <w:rsid w:val="00BC09D8"/>
    <w:rsid w:val="00BC0D9C"/>
    <w:rsid w:val="00BC0F75"/>
    <w:rsid w:val="00BC1160"/>
    <w:rsid w:val="00BC1188"/>
    <w:rsid w:val="00BC13DD"/>
    <w:rsid w:val="00BC13E3"/>
    <w:rsid w:val="00BC1744"/>
    <w:rsid w:val="00BC18B2"/>
    <w:rsid w:val="00BC18D3"/>
    <w:rsid w:val="00BC1A63"/>
    <w:rsid w:val="00BC1BE4"/>
    <w:rsid w:val="00BC1C2A"/>
    <w:rsid w:val="00BC1C3D"/>
    <w:rsid w:val="00BC1D14"/>
    <w:rsid w:val="00BC1EF1"/>
    <w:rsid w:val="00BC2333"/>
    <w:rsid w:val="00BC23BF"/>
    <w:rsid w:val="00BC2993"/>
    <w:rsid w:val="00BC2B11"/>
    <w:rsid w:val="00BC2B48"/>
    <w:rsid w:val="00BC2B5E"/>
    <w:rsid w:val="00BC2C93"/>
    <w:rsid w:val="00BC35FE"/>
    <w:rsid w:val="00BC392D"/>
    <w:rsid w:val="00BC395B"/>
    <w:rsid w:val="00BC3BDE"/>
    <w:rsid w:val="00BC3DE9"/>
    <w:rsid w:val="00BC3E95"/>
    <w:rsid w:val="00BC3EC5"/>
    <w:rsid w:val="00BC4139"/>
    <w:rsid w:val="00BC4309"/>
    <w:rsid w:val="00BC451C"/>
    <w:rsid w:val="00BC4887"/>
    <w:rsid w:val="00BC4AE4"/>
    <w:rsid w:val="00BC4CEF"/>
    <w:rsid w:val="00BC4DEC"/>
    <w:rsid w:val="00BC5353"/>
    <w:rsid w:val="00BC5686"/>
    <w:rsid w:val="00BC5927"/>
    <w:rsid w:val="00BC5F69"/>
    <w:rsid w:val="00BC6130"/>
    <w:rsid w:val="00BC63A9"/>
    <w:rsid w:val="00BC63C1"/>
    <w:rsid w:val="00BC63DC"/>
    <w:rsid w:val="00BC6585"/>
    <w:rsid w:val="00BC65B8"/>
    <w:rsid w:val="00BC6A1A"/>
    <w:rsid w:val="00BC6B2D"/>
    <w:rsid w:val="00BC6B6C"/>
    <w:rsid w:val="00BC6C6D"/>
    <w:rsid w:val="00BC6D03"/>
    <w:rsid w:val="00BC6E03"/>
    <w:rsid w:val="00BC7000"/>
    <w:rsid w:val="00BC71DB"/>
    <w:rsid w:val="00BC77E8"/>
    <w:rsid w:val="00BC7822"/>
    <w:rsid w:val="00BC7E22"/>
    <w:rsid w:val="00BD0050"/>
    <w:rsid w:val="00BD0062"/>
    <w:rsid w:val="00BD019F"/>
    <w:rsid w:val="00BD01AF"/>
    <w:rsid w:val="00BD02F2"/>
    <w:rsid w:val="00BD0582"/>
    <w:rsid w:val="00BD0A2F"/>
    <w:rsid w:val="00BD0B93"/>
    <w:rsid w:val="00BD0EEB"/>
    <w:rsid w:val="00BD0F4C"/>
    <w:rsid w:val="00BD134B"/>
    <w:rsid w:val="00BD1581"/>
    <w:rsid w:val="00BD16B7"/>
    <w:rsid w:val="00BD1810"/>
    <w:rsid w:val="00BD18FF"/>
    <w:rsid w:val="00BD1BF1"/>
    <w:rsid w:val="00BD1C9E"/>
    <w:rsid w:val="00BD1D57"/>
    <w:rsid w:val="00BD21C3"/>
    <w:rsid w:val="00BD2380"/>
    <w:rsid w:val="00BD23F1"/>
    <w:rsid w:val="00BD2468"/>
    <w:rsid w:val="00BD2604"/>
    <w:rsid w:val="00BD265A"/>
    <w:rsid w:val="00BD2819"/>
    <w:rsid w:val="00BD2964"/>
    <w:rsid w:val="00BD2D04"/>
    <w:rsid w:val="00BD3081"/>
    <w:rsid w:val="00BD30C6"/>
    <w:rsid w:val="00BD3132"/>
    <w:rsid w:val="00BD315A"/>
    <w:rsid w:val="00BD362C"/>
    <w:rsid w:val="00BD3902"/>
    <w:rsid w:val="00BD39D9"/>
    <w:rsid w:val="00BD3F63"/>
    <w:rsid w:val="00BD4025"/>
    <w:rsid w:val="00BD43B9"/>
    <w:rsid w:val="00BD4688"/>
    <w:rsid w:val="00BD4B5F"/>
    <w:rsid w:val="00BD4BC9"/>
    <w:rsid w:val="00BD4C74"/>
    <w:rsid w:val="00BD4D77"/>
    <w:rsid w:val="00BD4DF9"/>
    <w:rsid w:val="00BD4ED1"/>
    <w:rsid w:val="00BD4FD4"/>
    <w:rsid w:val="00BD5060"/>
    <w:rsid w:val="00BD521D"/>
    <w:rsid w:val="00BD5264"/>
    <w:rsid w:val="00BD52D5"/>
    <w:rsid w:val="00BD5380"/>
    <w:rsid w:val="00BD5695"/>
    <w:rsid w:val="00BD5A5F"/>
    <w:rsid w:val="00BD5B99"/>
    <w:rsid w:val="00BD5C5E"/>
    <w:rsid w:val="00BD5E88"/>
    <w:rsid w:val="00BD5F17"/>
    <w:rsid w:val="00BD5F72"/>
    <w:rsid w:val="00BD60E0"/>
    <w:rsid w:val="00BD638B"/>
    <w:rsid w:val="00BD671E"/>
    <w:rsid w:val="00BD69D9"/>
    <w:rsid w:val="00BD6A06"/>
    <w:rsid w:val="00BD6A39"/>
    <w:rsid w:val="00BD6E5F"/>
    <w:rsid w:val="00BD6EC9"/>
    <w:rsid w:val="00BD710E"/>
    <w:rsid w:val="00BD72EB"/>
    <w:rsid w:val="00BD736D"/>
    <w:rsid w:val="00BD7504"/>
    <w:rsid w:val="00BD76C8"/>
    <w:rsid w:val="00BD77D0"/>
    <w:rsid w:val="00BD7A0B"/>
    <w:rsid w:val="00BD7BAE"/>
    <w:rsid w:val="00BD7D79"/>
    <w:rsid w:val="00BD7EA9"/>
    <w:rsid w:val="00BD7EC0"/>
    <w:rsid w:val="00BE0073"/>
    <w:rsid w:val="00BE0434"/>
    <w:rsid w:val="00BE04D8"/>
    <w:rsid w:val="00BE0542"/>
    <w:rsid w:val="00BE0876"/>
    <w:rsid w:val="00BE0BB1"/>
    <w:rsid w:val="00BE0C43"/>
    <w:rsid w:val="00BE0D30"/>
    <w:rsid w:val="00BE13F3"/>
    <w:rsid w:val="00BE1A6F"/>
    <w:rsid w:val="00BE1BF2"/>
    <w:rsid w:val="00BE1BF3"/>
    <w:rsid w:val="00BE1CFE"/>
    <w:rsid w:val="00BE1E0F"/>
    <w:rsid w:val="00BE1F44"/>
    <w:rsid w:val="00BE2274"/>
    <w:rsid w:val="00BE233C"/>
    <w:rsid w:val="00BE2451"/>
    <w:rsid w:val="00BE26BB"/>
    <w:rsid w:val="00BE27BD"/>
    <w:rsid w:val="00BE280A"/>
    <w:rsid w:val="00BE292B"/>
    <w:rsid w:val="00BE2ACC"/>
    <w:rsid w:val="00BE2B43"/>
    <w:rsid w:val="00BE2C25"/>
    <w:rsid w:val="00BE2D4E"/>
    <w:rsid w:val="00BE2DAF"/>
    <w:rsid w:val="00BE2E98"/>
    <w:rsid w:val="00BE2F6C"/>
    <w:rsid w:val="00BE328F"/>
    <w:rsid w:val="00BE3290"/>
    <w:rsid w:val="00BE3380"/>
    <w:rsid w:val="00BE33B0"/>
    <w:rsid w:val="00BE3411"/>
    <w:rsid w:val="00BE37C1"/>
    <w:rsid w:val="00BE37ED"/>
    <w:rsid w:val="00BE3811"/>
    <w:rsid w:val="00BE3DED"/>
    <w:rsid w:val="00BE4316"/>
    <w:rsid w:val="00BE44B3"/>
    <w:rsid w:val="00BE46EE"/>
    <w:rsid w:val="00BE4746"/>
    <w:rsid w:val="00BE481A"/>
    <w:rsid w:val="00BE4F01"/>
    <w:rsid w:val="00BE4F1A"/>
    <w:rsid w:val="00BE4F32"/>
    <w:rsid w:val="00BE500A"/>
    <w:rsid w:val="00BE5036"/>
    <w:rsid w:val="00BE50C0"/>
    <w:rsid w:val="00BE50F8"/>
    <w:rsid w:val="00BE5315"/>
    <w:rsid w:val="00BE53CB"/>
    <w:rsid w:val="00BE543A"/>
    <w:rsid w:val="00BE54DC"/>
    <w:rsid w:val="00BE5B2A"/>
    <w:rsid w:val="00BE5CBE"/>
    <w:rsid w:val="00BE5CC7"/>
    <w:rsid w:val="00BE5EFF"/>
    <w:rsid w:val="00BE61A6"/>
    <w:rsid w:val="00BE628A"/>
    <w:rsid w:val="00BE62BD"/>
    <w:rsid w:val="00BE64E4"/>
    <w:rsid w:val="00BE65A8"/>
    <w:rsid w:val="00BE68FA"/>
    <w:rsid w:val="00BE6A80"/>
    <w:rsid w:val="00BE6A91"/>
    <w:rsid w:val="00BE6B88"/>
    <w:rsid w:val="00BE6EB2"/>
    <w:rsid w:val="00BE6F79"/>
    <w:rsid w:val="00BE704C"/>
    <w:rsid w:val="00BE72FB"/>
    <w:rsid w:val="00BE73B3"/>
    <w:rsid w:val="00BE76D6"/>
    <w:rsid w:val="00BE77EC"/>
    <w:rsid w:val="00BE780E"/>
    <w:rsid w:val="00BE7A50"/>
    <w:rsid w:val="00BE7AF7"/>
    <w:rsid w:val="00BE7B8C"/>
    <w:rsid w:val="00BF004F"/>
    <w:rsid w:val="00BF01A0"/>
    <w:rsid w:val="00BF0383"/>
    <w:rsid w:val="00BF088A"/>
    <w:rsid w:val="00BF0924"/>
    <w:rsid w:val="00BF09D3"/>
    <w:rsid w:val="00BF0A7E"/>
    <w:rsid w:val="00BF0AFD"/>
    <w:rsid w:val="00BF0CC4"/>
    <w:rsid w:val="00BF0DAE"/>
    <w:rsid w:val="00BF11AA"/>
    <w:rsid w:val="00BF12E9"/>
    <w:rsid w:val="00BF1778"/>
    <w:rsid w:val="00BF18E3"/>
    <w:rsid w:val="00BF19D3"/>
    <w:rsid w:val="00BF1B51"/>
    <w:rsid w:val="00BF1D1D"/>
    <w:rsid w:val="00BF1E9D"/>
    <w:rsid w:val="00BF1F68"/>
    <w:rsid w:val="00BF214C"/>
    <w:rsid w:val="00BF216B"/>
    <w:rsid w:val="00BF21A2"/>
    <w:rsid w:val="00BF22C0"/>
    <w:rsid w:val="00BF26A3"/>
    <w:rsid w:val="00BF2733"/>
    <w:rsid w:val="00BF2BE4"/>
    <w:rsid w:val="00BF2D2D"/>
    <w:rsid w:val="00BF2D32"/>
    <w:rsid w:val="00BF2F26"/>
    <w:rsid w:val="00BF3191"/>
    <w:rsid w:val="00BF3890"/>
    <w:rsid w:val="00BF3CF3"/>
    <w:rsid w:val="00BF3EBC"/>
    <w:rsid w:val="00BF45A0"/>
    <w:rsid w:val="00BF45F8"/>
    <w:rsid w:val="00BF491A"/>
    <w:rsid w:val="00BF4950"/>
    <w:rsid w:val="00BF4B44"/>
    <w:rsid w:val="00BF4B9C"/>
    <w:rsid w:val="00BF4D7B"/>
    <w:rsid w:val="00BF4DFF"/>
    <w:rsid w:val="00BF4E78"/>
    <w:rsid w:val="00BF515E"/>
    <w:rsid w:val="00BF538B"/>
    <w:rsid w:val="00BF5492"/>
    <w:rsid w:val="00BF565B"/>
    <w:rsid w:val="00BF5957"/>
    <w:rsid w:val="00BF5FF1"/>
    <w:rsid w:val="00BF6129"/>
    <w:rsid w:val="00BF6160"/>
    <w:rsid w:val="00BF62C4"/>
    <w:rsid w:val="00BF64CF"/>
    <w:rsid w:val="00BF6B35"/>
    <w:rsid w:val="00BF6BCF"/>
    <w:rsid w:val="00BF6BD5"/>
    <w:rsid w:val="00BF6EBA"/>
    <w:rsid w:val="00BF6F9A"/>
    <w:rsid w:val="00BF780D"/>
    <w:rsid w:val="00BF7C73"/>
    <w:rsid w:val="00BF7F79"/>
    <w:rsid w:val="00BF7F9B"/>
    <w:rsid w:val="00C0013C"/>
    <w:rsid w:val="00C003ED"/>
    <w:rsid w:val="00C004CD"/>
    <w:rsid w:val="00C004F1"/>
    <w:rsid w:val="00C0052D"/>
    <w:rsid w:val="00C006FF"/>
    <w:rsid w:val="00C00737"/>
    <w:rsid w:val="00C007A5"/>
    <w:rsid w:val="00C00A75"/>
    <w:rsid w:val="00C0134F"/>
    <w:rsid w:val="00C014C0"/>
    <w:rsid w:val="00C0154B"/>
    <w:rsid w:val="00C016CF"/>
    <w:rsid w:val="00C01789"/>
    <w:rsid w:val="00C01844"/>
    <w:rsid w:val="00C0186B"/>
    <w:rsid w:val="00C01C56"/>
    <w:rsid w:val="00C020BB"/>
    <w:rsid w:val="00C02496"/>
    <w:rsid w:val="00C02517"/>
    <w:rsid w:val="00C0260F"/>
    <w:rsid w:val="00C0285C"/>
    <w:rsid w:val="00C02AAD"/>
    <w:rsid w:val="00C02BC8"/>
    <w:rsid w:val="00C02EC6"/>
    <w:rsid w:val="00C03181"/>
    <w:rsid w:val="00C03379"/>
    <w:rsid w:val="00C034CE"/>
    <w:rsid w:val="00C035C7"/>
    <w:rsid w:val="00C03836"/>
    <w:rsid w:val="00C039A0"/>
    <w:rsid w:val="00C03A30"/>
    <w:rsid w:val="00C03AA0"/>
    <w:rsid w:val="00C03BC7"/>
    <w:rsid w:val="00C03C51"/>
    <w:rsid w:val="00C03E92"/>
    <w:rsid w:val="00C04039"/>
    <w:rsid w:val="00C0429F"/>
    <w:rsid w:val="00C044D6"/>
    <w:rsid w:val="00C0453A"/>
    <w:rsid w:val="00C04CBD"/>
    <w:rsid w:val="00C050D5"/>
    <w:rsid w:val="00C05343"/>
    <w:rsid w:val="00C053CC"/>
    <w:rsid w:val="00C05594"/>
    <w:rsid w:val="00C056BA"/>
    <w:rsid w:val="00C057C9"/>
    <w:rsid w:val="00C05827"/>
    <w:rsid w:val="00C058DC"/>
    <w:rsid w:val="00C05D28"/>
    <w:rsid w:val="00C06280"/>
    <w:rsid w:val="00C062B5"/>
    <w:rsid w:val="00C06537"/>
    <w:rsid w:val="00C06602"/>
    <w:rsid w:val="00C067DC"/>
    <w:rsid w:val="00C06B54"/>
    <w:rsid w:val="00C06C0F"/>
    <w:rsid w:val="00C06FEA"/>
    <w:rsid w:val="00C07045"/>
    <w:rsid w:val="00C071E2"/>
    <w:rsid w:val="00C071EC"/>
    <w:rsid w:val="00C073AF"/>
    <w:rsid w:val="00C076A2"/>
    <w:rsid w:val="00C077E8"/>
    <w:rsid w:val="00C078D1"/>
    <w:rsid w:val="00C07D67"/>
    <w:rsid w:val="00C07FA3"/>
    <w:rsid w:val="00C10072"/>
    <w:rsid w:val="00C10383"/>
    <w:rsid w:val="00C105D2"/>
    <w:rsid w:val="00C106C7"/>
    <w:rsid w:val="00C10751"/>
    <w:rsid w:val="00C107E5"/>
    <w:rsid w:val="00C1089B"/>
    <w:rsid w:val="00C10FAD"/>
    <w:rsid w:val="00C10FE0"/>
    <w:rsid w:val="00C111B8"/>
    <w:rsid w:val="00C11209"/>
    <w:rsid w:val="00C112BD"/>
    <w:rsid w:val="00C1136A"/>
    <w:rsid w:val="00C11451"/>
    <w:rsid w:val="00C11733"/>
    <w:rsid w:val="00C11760"/>
    <w:rsid w:val="00C117CE"/>
    <w:rsid w:val="00C11BFE"/>
    <w:rsid w:val="00C11E1A"/>
    <w:rsid w:val="00C1225A"/>
    <w:rsid w:val="00C12301"/>
    <w:rsid w:val="00C125D9"/>
    <w:rsid w:val="00C12831"/>
    <w:rsid w:val="00C129E0"/>
    <w:rsid w:val="00C12ABE"/>
    <w:rsid w:val="00C12DA9"/>
    <w:rsid w:val="00C12FD5"/>
    <w:rsid w:val="00C13250"/>
    <w:rsid w:val="00C132EE"/>
    <w:rsid w:val="00C13625"/>
    <w:rsid w:val="00C1376C"/>
    <w:rsid w:val="00C1377A"/>
    <w:rsid w:val="00C13816"/>
    <w:rsid w:val="00C13A46"/>
    <w:rsid w:val="00C13CDA"/>
    <w:rsid w:val="00C13CFD"/>
    <w:rsid w:val="00C13F5F"/>
    <w:rsid w:val="00C1407A"/>
    <w:rsid w:val="00C14123"/>
    <w:rsid w:val="00C141C2"/>
    <w:rsid w:val="00C14710"/>
    <w:rsid w:val="00C1475C"/>
    <w:rsid w:val="00C148DC"/>
    <w:rsid w:val="00C14B8D"/>
    <w:rsid w:val="00C14E3E"/>
    <w:rsid w:val="00C14F18"/>
    <w:rsid w:val="00C15892"/>
    <w:rsid w:val="00C15A37"/>
    <w:rsid w:val="00C15A8B"/>
    <w:rsid w:val="00C15A96"/>
    <w:rsid w:val="00C15C08"/>
    <w:rsid w:val="00C15E8D"/>
    <w:rsid w:val="00C15F77"/>
    <w:rsid w:val="00C15FAB"/>
    <w:rsid w:val="00C16009"/>
    <w:rsid w:val="00C1631D"/>
    <w:rsid w:val="00C16422"/>
    <w:rsid w:val="00C1691A"/>
    <w:rsid w:val="00C16A23"/>
    <w:rsid w:val="00C16B20"/>
    <w:rsid w:val="00C16D8E"/>
    <w:rsid w:val="00C16DC3"/>
    <w:rsid w:val="00C16EBF"/>
    <w:rsid w:val="00C17233"/>
    <w:rsid w:val="00C1723B"/>
    <w:rsid w:val="00C17261"/>
    <w:rsid w:val="00C1738F"/>
    <w:rsid w:val="00C173D3"/>
    <w:rsid w:val="00C1743E"/>
    <w:rsid w:val="00C17449"/>
    <w:rsid w:val="00C17897"/>
    <w:rsid w:val="00C179FF"/>
    <w:rsid w:val="00C17AA2"/>
    <w:rsid w:val="00C17AAA"/>
    <w:rsid w:val="00C17AB5"/>
    <w:rsid w:val="00C17B37"/>
    <w:rsid w:val="00C17E85"/>
    <w:rsid w:val="00C17F9C"/>
    <w:rsid w:val="00C20086"/>
    <w:rsid w:val="00C200C0"/>
    <w:rsid w:val="00C20158"/>
    <w:rsid w:val="00C2029B"/>
    <w:rsid w:val="00C2080F"/>
    <w:rsid w:val="00C20835"/>
    <w:rsid w:val="00C208B8"/>
    <w:rsid w:val="00C20A5E"/>
    <w:rsid w:val="00C20ADD"/>
    <w:rsid w:val="00C20C06"/>
    <w:rsid w:val="00C212D7"/>
    <w:rsid w:val="00C2145E"/>
    <w:rsid w:val="00C21564"/>
    <w:rsid w:val="00C2161A"/>
    <w:rsid w:val="00C21666"/>
    <w:rsid w:val="00C21B1B"/>
    <w:rsid w:val="00C21D90"/>
    <w:rsid w:val="00C21D99"/>
    <w:rsid w:val="00C221A2"/>
    <w:rsid w:val="00C223C4"/>
    <w:rsid w:val="00C22604"/>
    <w:rsid w:val="00C22689"/>
    <w:rsid w:val="00C22B84"/>
    <w:rsid w:val="00C22D2C"/>
    <w:rsid w:val="00C23238"/>
    <w:rsid w:val="00C2335F"/>
    <w:rsid w:val="00C23747"/>
    <w:rsid w:val="00C2381E"/>
    <w:rsid w:val="00C23A68"/>
    <w:rsid w:val="00C23AEE"/>
    <w:rsid w:val="00C23B58"/>
    <w:rsid w:val="00C2405A"/>
    <w:rsid w:val="00C246F2"/>
    <w:rsid w:val="00C2475C"/>
    <w:rsid w:val="00C248F5"/>
    <w:rsid w:val="00C24B90"/>
    <w:rsid w:val="00C24BD6"/>
    <w:rsid w:val="00C24BDA"/>
    <w:rsid w:val="00C24FF0"/>
    <w:rsid w:val="00C2504D"/>
    <w:rsid w:val="00C25295"/>
    <w:rsid w:val="00C254C0"/>
    <w:rsid w:val="00C255B6"/>
    <w:rsid w:val="00C2573E"/>
    <w:rsid w:val="00C2574F"/>
    <w:rsid w:val="00C25E7A"/>
    <w:rsid w:val="00C25E88"/>
    <w:rsid w:val="00C264E5"/>
    <w:rsid w:val="00C26575"/>
    <w:rsid w:val="00C26779"/>
    <w:rsid w:val="00C26DFB"/>
    <w:rsid w:val="00C272C3"/>
    <w:rsid w:val="00C27523"/>
    <w:rsid w:val="00C275A6"/>
    <w:rsid w:val="00C27667"/>
    <w:rsid w:val="00C27830"/>
    <w:rsid w:val="00C301C0"/>
    <w:rsid w:val="00C301C5"/>
    <w:rsid w:val="00C302F2"/>
    <w:rsid w:val="00C3038B"/>
    <w:rsid w:val="00C3040F"/>
    <w:rsid w:val="00C3063E"/>
    <w:rsid w:val="00C309B5"/>
    <w:rsid w:val="00C30D36"/>
    <w:rsid w:val="00C30E4D"/>
    <w:rsid w:val="00C31067"/>
    <w:rsid w:val="00C31261"/>
    <w:rsid w:val="00C316CA"/>
    <w:rsid w:val="00C31D3B"/>
    <w:rsid w:val="00C32247"/>
    <w:rsid w:val="00C32276"/>
    <w:rsid w:val="00C327C3"/>
    <w:rsid w:val="00C32CEB"/>
    <w:rsid w:val="00C32F1F"/>
    <w:rsid w:val="00C33240"/>
    <w:rsid w:val="00C33249"/>
    <w:rsid w:val="00C332F9"/>
    <w:rsid w:val="00C3335A"/>
    <w:rsid w:val="00C33375"/>
    <w:rsid w:val="00C335A1"/>
    <w:rsid w:val="00C33670"/>
    <w:rsid w:val="00C336E4"/>
    <w:rsid w:val="00C339D3"/>
    <w:rsid w:val="00C33B04"/>
    <w:rsid w:val="00C33DEF"/>
    <w:rsid w:val="00C33E33"/>
    <w:rsid w:val="00C33F92"/>
    <w:rsid w:val="00C341A7"/>
    <w:rsid w:val="00C34394"/>
    <w:rsid w:val="00C34500"/>
    <w:rsid w:val="00C3467A"/>
    <w:rsid w:val="00C34697"/>
    <w:rsid w:val="00C34849"/>
    <w:rsid w:val="00C3491C"/>
    <w:rsid w:val="00C34951"/>
    <w:rsid w:val="00C34E42"/>
    <w:rsid w:val="00C34E7A"/>
    <w:rsid w:val="00C35044"/>
    <w:rsid w:val="00C3514B"/>
    <w:rsid w:val="00C3527A"/>
    <w:rsid w:val="00C3559B"/>
    <w:rsid w:val="00C3567D"/>
    <w:rsid w:val="00C3591A"/>
    <w:rsid w:val="00C35941"/>
    <w:rsid w:val="00C35AF9"/>
    <w:rsid w:val="00C35CBE"/>
    <w:rsid w:val="00C35D54"/>
    <w:rsid w:val="00C35D88"/>
    <w:rsid w:val="00C35E93"/>
    <w:rsid w:val="00C35F7B"/>
    <w:rsid w:val="00C362D2"/>
    <w:rsid w:val="00C36335"/>
    <w:rsid w:val="00C3648A"/>
    <w:rsid w:val="00C364DA"/>
    <w:rsid w:val="00C3671A"/>
    <w:rsid w:val="00C367C5"/>
    <w:rsid w:val="00C367C7"/>
    <w:rsid w:val="00C367D7"/>
    <w:rsid w:val="00C36A9B"/>
    <w:rsid w:val="00C36AD3"/>
    <w:rsid w:val="00C36C35"/>
    <w:rsid w:val="00C36E33"/>
    <w:rsid w:val="00C36F8D"/>
    <w:rsid w:val="00C37134"/>
    <w:rsid w:val="00C373D9"/>
    <w:rsid w:val="00C3771B"/>
    <w:rsid w:val="00C37828"/>
    <w:rsid w:val="00C37E82"/>
    <w:rsid w:val="00C400AC"/>
    <w:rsid w:val="00C401B2"/>
    <w:rsid w:val="00C40319"/>
    <w:rsid w:val="00C40728"/>
    <w:rsid w:val="00C408E7"/>
    <w:rsid w:val="00C4091E"/>
    <w:rsid w:val="00C40932"/>
    <w:rsid w:val="00C409C3"/>
    <w:rsid w:val="00C40F80"/>
    <w:rsid w:val="00C4113C"/>
    <w:rsid w:val="00C4151E"/>
    <w:rsid w:val="00C41664"/>
    <w:rsid w:val="00C416A8"/>
    <w:rsid w:val="00C417A8"/>
    <w:rsid w:val="00C41940"/>
    <w:rsid w:val="00C41985"/>
    <w:rsid w:val="00C419A3"/>
    <w:rsid w:val="00C41E05"/>
    <w:rsid w:val="00C420CA"/>
    <w:rsid w:val="00C421F0"/>
    <w:rsid w:val="00C423F6"/>
    <w:rsid w:val="00C42672"/>
    <w:rsid w:val="00C427EB"/>
    <w:rsid w:val="00C42AB5"/>
    <w:rsid w:val="00C42B20"/>
    <w:rsid w:val="00C42CFD"/>
    <w:rsid w:val="00C42D05"/>
    <w:rsid w:val="00C42D97"/>
    <w:rsid w:val="00C42DF5"/>
    <w:rsid w:val="00C42EB7"/>
    <w:rsid w:val="00C42ECC"/>
    <w:rsid w:val="00C43904"/>
    <w:rsid w:val="00C43B0A"/>
    <w:rsid w:val="00C43C5E"/>
    <w:rsid w:val="00C44483"/>
    <w:rsid w:val="00C44499"/>
    <w:rsid w:val="00C448C0"/>
    <w:rsid w:val="00C449DB"/>
    <w:rsid w:val="00C44D6E"/>
    <w:rsid w:val="00C44E9C"/>
    <w:rsid w:val="00C45133"/>
    <w:rsid w:val="00C454A8"/>
    <w:rsid w:val="00C45502"/>
    <w:rsid w:val="00C45526"/>
    <w:rsid w:val="00C4563C"/>
    <w:rsid w:val="00C458BA"/>
    <w:rsid w:val="00C459D2"/>
    <w:rsid w:val="00C45E72"/>
    <w:rsid w:val="00C45E8F"/>
    <w:rsid w:val="00C46054"/>
    <w:rsid w:val="00C46217"/>
    <w:rsid w:val="00C462D2"/>
    <w:rsid w:val="00C46375"/>
    <w:rsid w:val="00C46378"/>
    <w:rsid w:val="00C469F6"/>
    <w:rsid w:val="00C46D15"/>
    <w:rsid w:val="00C46FA0"/>
    <w:rsid w:val="00C472AA"/>
    <w:rsid w:val="00C47306"/>
    <w:rsid w:val="00C4749E"/>
    <w:rsid w:val="00C4752A"/>
    <w:rsid w:val="00C47A2F"/>
    <w:rsid w:val="00C47C4F"/>
    <w:rsid w:val="00C47DF7"/>
    <w:rsid w:val="00C47F0E"/>
    <w:rsid w:val="00C501CB"/>
    <w:rsid w:val="00C50220"/>
    <w:rsid w:val="00C504EF"/>
    <w:rsid w:val="00C507DC"/>
    <w:rsid w:val="00C50A81"/>
    <w:rsid w:val="00C50D2C"/>
    <w:rsid w:val="00C50E2E"/>
    <w:rsid w:val="00C51360"/>
    <w:rsid w:val="00C514B6"/>
    <w:rsid w:val="00C51619"/>
    <w:rsid w:val="00C5201E"/>
    <w:rsid w:val="00C523F5"/>
    <w:rsid w:val="00C525F5"/>
    <w:rsid w:val="00C52908"/>
    <w:rsid w:val="00C5298D"/>
    <w:rsid w:val="00C53052"/>
    <w:rsid w:val="00C5306A"/>
    <w:rsid w:val="00C53128"/>
    <w:rsid w:val="00C534A5"/>
    <w:rsid w:val="00C5352E"/>
    <w:rsid w:val="00C538ED"/>
    <w:rsid w:val="00C5390C"/>
    <w:rsid w:val="00C5394F"/>
    <w:rsid w:val="00C53978"/>
    <w:rsid w:val="00C539AF"/>
    <w:rsid w:val="00C53C06"/>
    <w:rsid w:val="00C53E19"/>
    <w:rsid w:val="00C53FC2"/>
    <w:rsid w:val="00C54363"/>
    <w:rsid w:val="00C54620"/>
    <w:rsid w:val="00C549DB"/>
    <w:rsid w:val="00C54AC5"/>
    <w:rsid w:val="00C54C47"/>
    <w:rsid w:val="00C54E12"/>
    <w:rsid w:val="00C54F1D"/>
    <w:rsid w:val="00C5501E"/>
    <w:rsid w:val="00C55159"/>
    <w:rsid w:val="00C5537C"/>
    <w:rsid w:val="00C55481"/>
    <w:rsid w:val="00C555C5"/>
    <w:rsid w:val="00C55616"/>
    <w:rsid w:val="00C5579A"/>
    <w:rsid w:val="00C5582C"/>
    <w:rsid w:val="00C56114"/>
    <w:rsid w:val="00C56210"/>
    <w:rsid w:val="00C5632D"/>
    <w:rsid w:val="00C5665C"/>
    <w:rsid w:val="00C567CD"/>
    <w:rsid w:val="00C56BAF"/>
    <w:rsid w:val="00C56C3A"/>
    <w:rsid w:val="00C56EBC"/>
    <w:rsid w:val="00C57176"/>
    <w:rsid w:val="00C57385"/>
    <w:rsid w:val="00C57569"/>
    <w:rsid w:val="00C5756C"/>
    <w:rsid w:val="00C5760A"/>
    <w:rsid w:val="00C578E1"/>
    <w:rsid w:val="00C60100"/>
    <w:rsid w:val="00C6010C"/>
    <w:rsid w:val="00C602EE"/>
    <w:rsid w:val="00C605DE"/>
    <w:rsid w:val="00C606C0"/>
    <w:rsid w:val="00C609EA"/>
    <w:rsid w:val="00C60B2E"/>
    <w:rsid w:val="00C60C72"/>
    <w:rsid w:val="00C60E5A"/>
    <w:rsid w:val="00C60F1E"/>
    <w:rsid w:val="00C60FD0"/>
    <w:rsid w:val="00C61012"/>
    <w:rsid w:val="00C611C4"/>
    <w:rsid w:val="00C6123D"/>
    <w:rsid w:val="00C6132E"/>
    <w:rsid w:val="00C614D2"/>
    <w:rsid w:val="00C61523"/>
    <w:rsid w:val="00C61BE8"/>
    <w:rsid w:val="00C61CBE"/>
    <w:rsid w:val="00C6201A"/>
    <w:rsid w:val="00C62429"/>
    <w:rsid w:val="00C626E5"/>
    <w:rsid w:val="00C62778"/>
    <w:rsid w:val="00C629D4"/>
    <w:rsid w:val="00C62B8E"/>
    <w:rsid w:val="00C62D9D"/>
    <w:rsid w:val="00C62E21"/>
    <w:rsid w:val="00C63252"/>
    <w:rsid w:val="00C636B1"/>
    <w:rsid w:val="00C6379B"/>
    <w:rsid w:val="00C63BD8"/>
    <w:rsid w:val="00C63D4F"/>
    <w:rsid w:val="00C63D68"/>
    <w:rsid w:val="00C6414D"/>
    <w:rsid w:val="00C641AE"/>
    <w:rsid w:val="00C64722"/>
    <w:rsid w:val="00C648E6"/>
    <w:rsid w:val="00C64BED"/>
    <w:rsid w:val="00C64CEA"/>
    <w:rsid w:val="00C64D43"/>
    <w:rsid w:val="00C64FC1"/>
    <w:rsid w:val="00C64FF6"/>
    <w:rsid w:val="00C65194"/>
    <w:rsid w:val="00C65396"/>
    <w:rsid w:val="00C6594D"/>
    <w:rsid w:val="00C65972"/>
    <w:rsid w:val="00C65C96"/>
    <w:rsid w:val="00C65CFC"/>
    <w:rsid w:val="00C65D07"/>
    <w:rsid w:val="00C65FA5"/>
    <w:rsid w:val="00C660E1"/>
    <w:rsid w:val="00C66486"/>
    <w:rsid w:val="00C66A15"/>
    <w:rsid w:val="00C66A91"/>
    <w:rsid w:val="00C66AFD"/>
    <w:rsid w:val="00C670CB"/>
    <w:rsid w:val="00C6714F"/>
    <w:rsid w:val="00C6722F"/>
    <w:rsid w:val="00C67CB6"/>
    <w:rsid w:val="00C67CE1"/>
    <w:rsid w:val="00C70190"/>
    <w:rsid w:val="00C701B4"/>
    <w:rsid w:val="00C702AA"/>
    <w:rsid w:val="00C702C9"/>
    <w:rsid w:val="00C703EF"/>
    <w:rsid w:val="00C7054C"/>
    <w:rsid w:val="00C705E9"/>
    <w:rsid w:val="00C708A9"/>
    <w:rsid w:val="00C70975"/>
    <w:rsid w:val="00C70A60"/>
    <w:rsid w:val="00C70B2A"/>
    <w:rsid w:val="00C70D09"/>
    <w:rsid w:val="00C71099"/>
    <w:rsid w:val="00C7119B"/>
    <w:rsid w:val="00C712CE"/>
    <w:rsid w:val="00C7148E"/>
    <w:rsid w:val="00C719F3"/>
    <w:rsid w:val="00C71C79"/>
    <w:rsid w:val="00C722EA"/>
    <w:rsid w:val="00C72453"/>
    <w:rsid w:val="00C72553"/>
    <w:rsid w:val="00C72579"/>
    <w:rsid w:val="00C72D8B"/>
    <w:rsid w:val="00C73281"/>
    <w:rsid w:val="00C736FB"/>
    <w:rsid w:val="00C73916"/>
    <w:rsid w:val="00C73B20"/>
    <w:rsid w:val="00C73BFD"/>
    <w:rsid w:val="00C743DF"/>
    <w:rsid w:val="00C7499E"/>
    <w:rsid w:val="00C74CBA"/>
    <w:rsid w:val="00C74E90"/>
    <w:rsid w:val="00C750FE"/>
    <w:rsid w:val="00C75199"/>
    <w:rsid w:val="00C751E4"/>
    <w:rsid w:val="00C7523F"/>
    <w:rsid w:val="00C753D5"/>
    <w:rsid w:val="00C7556A"/>
    <w:rsid w:val="00C756E2"/>
    <w:rsid w:val="00C75706"/>
    <w:rsid w:val="00C75CEF"/>
    <w:rsid w:val="00C75F25"/>
    <w:rsid w:val="00C7601C"/>
    <w:rsid w:val="00C760B6"/>
    <w:rsid w:val="00C76342"/>
    <w:rsid w:val="00C76AAD"/>
    <w:rsid w:val="00C76AF4"/>
    <w:rsid w:val="00C76BD9"/>
    <w:rsid w:val="00C76E01"/>
    <w:rsid w:val="00C772A6"/>
    <w:rsid w:val="00C773FB"/>
    <w:rsid w:val="00C7768F"/>
    <w:rsid w:val="00C776BA"/>
    <w:rsid w:val="00C777AA"/>
    <w:rsid w:val="00C778FF"/>
    <w:rsid w:val="00C77A52"/>
    <w:rsid w:val="00C77AD5"/>
    <w:rsid w:val="00C77F00"/>
    <w:rsid w:val="00C77FC3"/>
    <w:rsid w:val="00C78975"/>
    <w:rsid w:val="00C803E0"/>
    <w:rsid w:val="00C80417"/>
    <w:rsid w:val="00C8090A"/>
    <w:rsid w:val="00C80C62"/>
    <w:rsid w:val="00C80FE3"/>
    <w:rsid w:val="00C81103"/>
    <w:rsid w:val="00C81687"/>
    <w:rsid w:val="00C816FD"/>
    <w:rsid w:val="00C81865"/>
    <w:rsid w:val="00C81CB3"/>
    <w:rsid w:val="00C81E9D"/>
    <w:rsid w:val="00C81EE8"/>
    <w:rsid w:val="00C81EF4"/>
    <w:rsid w:val="00C82111"/>
    <w:rsid w:val="00C8225C"/>
    <w:rsid w:val="00C82267"/>
    <w:rsid w:val="00C824F3"/>
    <w:rsid w:val="00C825F2"/>
    <w:rsid w:val="00C825FA"/>
    <w:rsid w:val="00C8261C"/>
    <w:rsid w:val="00C82880"/>
    <w:rsid w:val="00C82967"/>
    <w:rsid w:val="00C82CA3"/>
    <w:rsid w:val="00C82D8E"/>
    <w:rsid w:val="00C82DA5"/>
    <w:rsid w:val="00C8333C"/>
    <w:rsid w:val="00C83692"/>
    <w:rsid w:val="00C836AD"/>
    <w:rsid w:val="00C8379D"/>
    <w:rsid w:val="00C839DA"/>
    <w:rsid w:val="00C83A45"/>
    <w:rsid w:val="00C83B40"/>
    <w:rsid w:val="00C83BA4"/>
    <w:rsid w:val="00C843A5"/>
    <w:rsid w:val="00C8463B"/>
    <w:rsid w:val="00C84702"/>
    <w:rsid w:val="00C847BC"/>
    <w:rsid w:val="00C848DF"/>
    <w:rsid w:val="00C849C9"/>
    <w:rsid w:val="00C84F83"/>
    <w:rsid w:val="00C85042"/>
    <w:rsid w:val="00C851D0"/>
    <w:rsid w:val="00C85321"/>
    <w:rsid w:val="00C85441"/>
    <w:rsid w:val="00C856C3"/>
    <w:rsid w:val="00C85885"/>
    <w:rsid w:val="00C8592E"/>
    <w:rsid w:val="00C85D0E"/>
    <w:rsid w:val="00C85DBE"/>
    <w:rsid w:val="00C85DDF"/>
    <w:rsid w:val="00C85F11"/>
    <w:rsid w:val="00C85F71"/>
    <w:rsid w:val="00C8635C"/>
    <w:rsid w:val="00C8643E"/>
    <w:rsid w:val="00C865B6"/>
    <w:rsid w:val="00C866F9"/>
    <w:rsid w:val="00C86722"/>
    <w:rsid w:val="00C86725"/>
    <w:rsid w:val="00C86852"/>
    <w:rsid w:val="00C86917"/>
    <w:rsid w:val="00C8754E"/>
    <w:rsid w:val="00C8756A"/>
    <w:rsid w:val="00C8791C"/>
    <w:rsid w:val="00C87B68"/>
    <w:rsid w:val="00C87C7E"/>
    <w:rsid w:val="00C87C96"/>
    <w:rsid w:val="00C87EE6"/>
    <w:rsid w:val="00C90012"/>
    <w:rsid w:val="00C902EA"/>
    <w:rsid w:val="00C90538"/>
    <w:rsid w:val="00C9083A"/>
    <w:rsid w:val="00C908E1"/>
    <w:rsid w:val="00C90A9D"/>
    <w:rsid w:val="00C90C86"/>
    <w:rsid w:val="00C90D13"/>
    <w:rsid w:val="00C90EC4"/>
    <w:rsid w:val="00C911F5"/>
    <w:rsid w:val="00C912BE"/>
    <w:rsid w:val="00C91431"/>
    <w:rsid w:val="00C914E5"/>
    <w:rsid w:val="00C91611"/>
    <w:rsid w:val="00C91901"/>
    <w:rsid w:val="00C91AB2"/>
    <w:rsid w:val="00C91C89"/>
    <w:rsid w:val="00C91E6B"/>
    <w:rsid w:val="00C92000"/>
    <w:rsid w:val="00C9218E"/>
    <w:rsid w:val="00C9251B"/>
    <w:rsid w:val="00C92607"/>
    <w:rsid w:val="00C9284F"/>
    <w:rsid w:val="00C929A6"/>
    <w:rsid w:val="00C92C71"/>
    <w:rsid w:val="00C92E4E"/>
    <w:rsid w:val="00C92ECD"/>
    <w:rsid w:val="00C92EF8"/>
    <w:rsid w:val="00C9307E"/>
    <w:rsid w:val="00C930CB"/>
    <w:rsid w:val="00C93218"/>
    <w:rsid w:val="00C932D7"/>
    <w:rsid w:val="00C932E6"/>
    <w:rsid w:val="00C934DA"/>
    <w:rsid w:val="00C9397A"/>
    <w:rsid w:val="00C93C75"/>
    <w:rsid w:val="00C93FD5"/>
    <w:rsid w:val="00C940DD"/>
    <w:rsid w:val="00C94176"/>
    <w:rsid w:val="00C94352"/>
    <w:rsid w:val="00C9438F"/>
    <w:rsid w:val="00C94466"/>
    <w:rsid w:val="00C94618"/>
    <w:rsid w:val="00C946EA"/>
    <w:rsid w:val="00C94904"/>
    <w:rsid w:val="00C949A3"/>
    <w:rsid w:val="00C94B64"/>
    <w:rsid w:val="00C94E3A"/>
    <w:rsid w:val="00C94E66"/>
    <w:rsid w:val="00C950BC"/>
    <w:rsid w:val="00C951DA"/>
    <w:rsid w:val="00C95291"/>
    <w:rsid w:val="00C954F0"/>
    <w:rsid w:val="00C95504"/>
    <w:rsid w:val="00C95778"/>
    <w:rsid w:val="00C958B3"/>
    <w:rsid w:val="00C95A33"/>
    <w:rsid w:val="00C95AFE"/>
    <w:rsid w:val="00C95C3C"/>
    <w:rsid w:val="00C95DC4"/>
    <w:rsid w:val="00C96476"/>
    <w:rsid w:val="00C967A7"/>
    <w:rsid w:val="00C96838"/>
    <w:rsid w:val="00C96A1A"/>
    <w:rsid w:val="00C96B5F"/>
    <w:rsid w:val="00C96BD0"/>
    <w:rsid w:val="00C96BF1"/>
    <w:rsid w:val="00C96C5F"/>
    <w:rsid w:val="00C96C90"/>
    <w:rsid w:val="00C96CEA"/>
    <w:rsid w:val="00C96D43"/>
    <w:rsid w:val="00C97415"/>
    <w:rsid w:val="00C9759A"/>
    <w:rsid w:val="00C975F0"/>
    <w:rsid w:val="00C9789B"/>
    <w:rsid w:val="00C978A8"/>
    <w:rsid w:val="00C9792F"/>
    <w:rsid w:val="00C97A2C"/>
    <w:rsid w:val="00C97C1D"/>
    <w:rsid w:val="00C97C4A"/>
    <w:rsid w:val="00CA0044"/>
    <w:rsid w:val="00CA0321"/>
    <w:rsid w:val="00CA03D8"/>
    <w:rsid w:val="00CA0451"/>
    <w:rsid w:val="00CA0551"/>
    <w:rsid w:val="00CA0950"/>
    <w:rsid w:val="00CA0C60"/>
    <w:rsid w:val="00CA0DFE"/>
    <w:rsid w:val="00CA1405"/>
    <w:rsid w:val="00CA1496"/>
    <w:rsid w:val="00CA1611"/>
    <w:rsid w:val="00CA1987"/>
    <w:rsid w:val="00CA1B28"/>
    <w:rsid w:val="00CA204B"/>
    <w:rsid w:val="00CA2058"/>
    <w:rsid w:val="00CA2257"/>
    <w:rsid w:val="00CA2397"/>
    <w:rsid w:val="00CA25F8"/>
    <w:rsid w:val="00CA26C6"/>
    <w:rsid w:val="00CA2996"/>
    <w:rsid w:val="00CA29E0"/>
    <w:rsid w:val="00CA2A44"/>
    <w:rsid w:val="00CA2A51"/>
    <w:rsid w:val="00CA3339"/>
    <w:rsid w:val="00CA3395"/>
    <w:rsid w:val="00CA33EA"/>
    <w:rsid w:val="00CA3480"/>
    <w:rsid w:val="00CA364D"/>
    <w:rsid w:val="00CA3928"/>
    <w:rsid w:val="00CA3D87"/>
    <w:rsid w:val="00CA3EA9"/>
    <w:rsid w:val="00CA3FA8"/>
    <w:rsid w:val="00CA473D"/>
    <w:rsid w:val="00CA49D8"/>
    <w:rsid w:val="00CA4F78"/>
    <w:rsid w:val="00CA4FA6"/>
    <w:rsid w:val="00CA5017"/>
    <w:rsid w:val="00CA5057"/>
    <w:rsid w:val="00CA5277"/>
    <w:rsid w:val="00CA53DD"/>
    <w:rsid w:val="00CA5534"/>
    <w:rsid w:val="00CA5549"/>
    <w:rsid w:val="00CA5AC5"/>
    <w:rsid w:val="00CA5B54"/>
    <w:rsid w:val="00CA5C95"/>
    <w:rsid w:val="00CA5D79"/>
    <w:rsid w:val="00CA5E2F"/>
    <w:rsid w:val="00CA5F67"/>
    <w:rsid w:val="00CA608B"/>
    <w:rsid w:val="00CA6213"/>
    <w:rsid w:val="00CA62B1"/>
    <w:rsid w:val="00CA62F3"/>
    <w:rsid w:val="00CA641A"/>
    <w:rsid w:val="00CA679D"/>
    <w:rsid w:val="00CA6A51"/>
    <w:rsid w:val="00CA753B"/>
    <w:rsid w:val="00CA79B9"/>
    <w:rsid w:val="00CA7CAE"/>
    <w:rsid w:val="00CA7E87"/>
    <w:rsid w:val="00CA7F75"/>
    <w:rsid w:val="00CA7FFB"/>
    <w:rsid w:val="00CB0185"/>
    <w:rsid w:val="00CB01C4"/>
    <w:rsid w:val="00CB0269"/>
    <w:rsid w:val="00CB0333"/>
    <w:rsid w:val="00CB0450"/>
    <w:rsid w:val="00CB06F1"/>
    <w:rsid w:val="00CB0846"/>
    <w:rsid w:val="00CB08B9"/>
    <w:rsid w:val="00CB0A2B"/>
    <w:rsid w:val="00CB0A67"/>
    <w:rsid w:val="00CB0B41"/>
    <w:rsid w:val="00CB0B6E"/>
    <w:rsid w:val="00CB0EB3"/>
    <w:rsid w:val="00CB1002"/>
    <w:rsid w:val="00CB118D"/>
    <w:rsid w:val="00CB119B"/>
    <w:rsid w:val="00CB1351"/>
    <w:rsid w:val="00CB1358"/>
    <w:rsid w:val="00CB135F"/>
    <w:rsid w:val="00CB137C"/>
    <w:rsid w:val="00CB1568"/>
    <w:rsid w:val="00CB1767"/>
    <w:rsid w:val="00CB1A0F"/>
    <w:rsid w:val="00CB1F03"/>
    <w:rsid w:val="00CB1FB2"/>
    <w:rsid w:val="00CB205D"/>
    <w:rsid w:val="00CB228E"/>
    <w:rsid w:val="00CB24BC"/>
    <w:rsid w:val="00CB25EA"/>
    <w:rsid w:val="00CB2696"/>
    <w:rsid w:val="00CB27CB"/>
    <w:rsid w:val="00CB2CDB"/>
    <w:rsid w:val="00CB2F6D"/>
    <w:rsid w:val="00CB2F72"/>
    <w:rsid w:val="00CB2FE2"/>
    <w:rsid w:val="00CB3010"/>
    <w:rsid w:val="00CB3206"/>
    <w:rsid w:val="00CB34AE"/>
    <w:rsid w:val="00CB3594"/>
    <w:rsid w:val="00CB3998"/>
    <w:rsid w:val="00CB39D9"/>
    <w:rsid w:val="00CB3B8E"/>
    <w:rsid w:val="00CB3C34"/>
    <w:rsid w:val="00CB3DCF"/>
    <w:rsid w:val="00CB3E67"/>
    <w:rsid w:val="00CB4131"/>
    <w:rsid w:val="00CB418B"/>
    <w:rsid w:val="00CB4384"/>
    <w:rsid w:val="00CB444A"/>
    <w:rsid w:val="00CB44EB"/>
    <w:rsid w:val="00CB453C"/>
    <w:rsid w:val="00CB4542"/>
    <w:rsid w:val="00CB488F"/>
    <w:rsid w:val="00CB496A"/>
    <w:rsid w:val="00CB4C37"/>
    <w:rsid w:val="00CB4C65"/>
    <w:rsid w:val="00CB4CBA"/>
    <w:rsid w:val="00CB4D3C"/>
    <w:rsid w:val="00CB4E3D"/>
    <w:rsid w:val="00CB510D"/>
    <w:rsid w:val="00CB54C3"/>
    <w:rsid w:val="00CB5544"/>
    <w:rsid w:val="00CB55D7"/>
    <w:rsid w:val="00CB57E7"/>
    <w:rsid w:val="00CB595A"/>
    <w:rsid w:val="00CB595C"/>
    <w:rsid w:val="00CB5BE7"/>
    <w:rsid w:val="00CB5D0D"/>
    <w:rsid w:val="00CB5D36"/>
    <w:rsid w:val="00CB6284"/>
    <w:rsid w:val="00CB646C"/>
    <w:rsid w:val="00CB6685"/>
    <w:rsid w:val="00CB672D"/>
    <w:rsid w:val="00CB676D"/>
    <w:rsid w:val="00CB67A7"/>
    <w:rsid w:val="00CB686C"/>
    <w:rsid w:val="00CB6946"/>
    <w:rsid w:val="00CB6965"/>
    <w:rsid w:val="00CB6C7A"/>
    <w:rsid w:val="00CB71B1"/>
    <w:rsid w:val="00CB71D1"/>
    <w:rsid w:val="00CB7549"/>
    <w:rsid w:val="00CB75DA"/>
    <w:rsid w:val="00CB7631"/>
    <w:rsid w:val="00CB7AA2"/>
    <w:rsid w:val="00CB7C0F"/>
    <w:rsid w:val="00CC0130"/>
    <w:rsid w:val="00CC0138"/>
    <w:rsid w:val="00CC01BD"/>
    <w:rsid w:val="00CC01E8"/>
    <w:rsid w:val="00CC0245"/>
    <w:rsid w:val="00CC0372"/>
    <w:rsid w:val="00CC0796"/>
    <w:rsid w:val="00CC087E"/>
    <w:rsid w:val="00CC092E"/>
    <w:rsid w:val="00CC0939"/>
    <w:rsid w:val="00CC0D54"/>
    <w:rsid w:val="00CC0F9F"/>
    <w:rsid w:val="00CC17C2"/>
    <w:rsid w:val="00CC1B4E"/>
    <w:rsid w:val="00CC1ECE"/>
    <w:rsid w:val="00CC2031"/>
    <w:rsid w:val="00CC2116"/>
    <w:rsid w:val="00CC21DD"/>
    <w:rsid w:val="00CC241A"/>
    <w:rsid w:val="00CC2436"/>
    <w:rsid w:val="00CC2679"/>
    <w:rsid w:val="00CC267B"/>
    <w:rsid w:val="00CC2764"/>
    <w:rsid w:val="00CC27DA"/>
    <w:rsid w:val="00CC2AED"/>
    <w:rsid w:val="00CC2B7C"/>
    <w:rsid w:val="00CC2BBF"/>
    <w:rsid w:val="00CC2C9A"/>
    <w:rsid w:val="00CC3313"/>
    <w:rsid w:val="00CC336F"/>
    <w:rsid w:val="00CC349A"/>
    <w:rsid w:val="00CC3BA7"/>
    <w:rsid w:val="00CC3CB3"/>
    <w:rsid w:val="00CC3CFB"/>
    <w:rsid w:val="00CC3E55"/>
    <w:rsid w:val="00CC3FDE"/>
    <w:rsid w:val="00CC4324"/>
    <w:rsid w:val="00CC43AD"/>
    <w:rsid w:val="00CC4676"/>
    <w:rsid w:val="00CC46CF"/>
    <w:rsid w:val="00CC4738"/>
    <w:rsid w:val="00CC4795"/>
    <w:rsid w:val="00CC4C5A"/>
    <w:rsid w:val="00CC4DD7"/>
    <w:rsid w:val="00CC5C11"/>
    <w:rsid w:val="00CC5F28"/>
    <w:rsid w:val="00CC601C"/>
    <w:rsid w:val="00CC6184"/>
    <w:rsid w:val="00CC64AC"/>
    <w:rsid w:val="00CC64E0"/>
    <w:rsid w:val="00CC657E"/>
    <w:rsid w:val="00CC6D6D"/>
    <w:rsid w:val="00CC6FD0"/>
    <w:rsid w:val="00CC737E"/>
    <w:rsid w:val="00CC7700"/>
    <w:rsid w:val="00CC7803"/>
    <w:rsid w:val="00CC78C8"/>
    <w:rsid w:val="00CC7A2E"/>
    <w:rsid w:val="00CC7A6C"/>
    <w:rsid w:val="00CC7B00"/>
    <w:rsid w:val="00CC7B0E"/>
    <w:rsid w:val="00CC7D91"/>
    <w:rsid w:val="00CC7F46"/>
    <w:rsid w:val="00CC7FEE"/>
    <w:rsid w:val="00CD010B"/>
    <w:rsid w:val="00CD0131"/>
    <w:rsid w:val="00CD017B"/>
    <w:rsid w:val="00CD0191"/>
    <w:rsid w:val="00CD026E"/>
    <w:rsid w:val="00CD034A"/>
    <w:rsid w:val="00CD05E7"/>
    <w:rsid w:val="00CD079B"/>
    <w:rsid w:val="00CD09B6"/>
    <w:rsid w:val="00CD0ABA"/>
    <w:rsid w:val="00CD0CF4"/>
    <w:rsid w:val="00CD0D02"/>
    <w:rsid w:val="00CD0D1A"/>
    <w:rsid w:val="00CD0F93"/>
    <w:rsid w:val="00CD10C3"/>
    <w:rsid w:val="00CD1230"/>
    <w:rsid w:val="00CD1470"/>
    <w:rsid w:val="00CD148F"/>
    <w:rsid w:val="00CD1803"/>
    <w:rsid w:val="00CD18D9"/>
    <w:rsid w:val="00CD19F4"/>
    <w:rsid w:val="00CD1B98"/>
    <w:rsid w:val="00CD1CB0"/>
    <w:rsid w:val="00CD1DD8"/>
    <w:rsid w:val="00CD1FD4"/>
    <w:rsid w:val="00CD22AE"/>
    <w:rsid w:val="00CD234E"/>
    <w:rsid w:val="00CD23C6"/>
    <w:rsid w:val="00CD2425"/>
    <w:rsid w:val="00CD247C"/>
    <w:rsid w:val="00CD278A"/>
    <w:rsid w:val="00CD2E11"/>
    <w:rsid w:val="00CD31EE"/>
    <w:rsid w:val="00CD334C"/>
    <w:rsid w:val="00CD341A"/>
    <w:rsid w:val="00CD34B3"/>
    <w:rsid w:val="00CD3783"/>
    <w:rsid w:val="00CD37AE"/>
    <w:rsid w:val="00CD3830"/>
    <w:rsid w:val="00CD38E3"/>
    <w:rsid w:val="00CD3972"/>
    <w:rsid w:val="00CD3CC4"/>
    <w:rsid w:val="00CD3E30"/>
    <w:rsid w:val="00CD42C3"/>
    <w:rsid w:val="00CD42CF"/>
    <w:rsid w:val="00CD4394"/>
    <w:rsid w:val="00CD4883"/>
    <w:rsid w:val="00CD4B2C"/>
    <w:rsid w:val="00CD4CA2"/>
    <w:rsid w:val="00CD4DF0"/>
    <w:rsid w:val="00CD4E80"/>
    <w:rsid w:val="00CD4EBE"/>
    <w:rsid w:val="00CD51A7"/>
    <w:rsid w:val="00CD52ED"/>
    <w:rsid w:val="00CD5311"/>
    <w:rsid w:val="00CD5569"/>
    <w:rsid w:val="00CD5773"/>
    <w:rsid w:val="00CD5914"/>
    <w:rsid w:val="00CD59C4"/>
    <w:rsid w:val="00CD5CFC"/>
    <w:rsid w:val="00CD6257"/>
    <w:rsid w:val="00CD62CB"/>
    <w:rsid w:val="00CD6453"/>
    <w:rsid w:val="00CD646F"/>
    <w:rsid w:val="00CD64C1"/>
    <w:rsid w:val="00CD663E"/>
    <w:rsid w:val="00CD6C55"/>
    <w:rsid w:val="00CD6D43"/>
    <w:rsid w:val="00CD6F50"/>
    <w:rsid w:val="00CD7020"/>
    <w:rsid w:val="00CD70E5"/>
    <w:rsid w:val="00CD72DF"/>
    <w:rsid w:val="00CD730F"/>
    <w:rsid w:val="00CD7417"/>
    <w:rsid w:val="00CD74B0"/>
    <w:rsid w:val="00CD786C"/>
    <w:rsid w:val="00CD7B13"/>
    <w:rsid w:val="00CD7D26"/>
    <w:rsid w:val="00CD7EFD"/>
    <w:rsid w:val="00CE005C"/>
    <w:rsid w:val="00CE036F"/>
    <w:rsid w:val="00CE03E0"/>
    <w:rsid w:val="00CE04BD"/>
    <w:rsid w:val="00CE0898"/>
    <w:rsid w:val="00CE0ABA"/>
    <w:rsid w:val="00CE0B04"/>
    <w:rsid w:val="00CE0EEC"/>
    <w:rsid w:val="00CE0F6C"/>
    <w:rsid w:val="00CE1466"/>
    <w:rsid w:val="00CE1521"/>
    <w:rsid w:val="00CE17D9"/>
    <w:rsid w:val="00CE1A8A"/>
    <w:rsid w:val="00CE2506"/>
    <w:rsid w:val="00CE2988"/>
    <w:rsid w:val="00CE29DB"/>
    <w:rsid w:val="00CE2A47"/>
    <w:rsid w:val="00CE31FF"/>
    <w:rsid w:val="00CE37C3"/>
    <w:rsid w:val="00CE37E4"/>
    <w:rsid w:val="00CE38AC"/>
    <w:rsid w:val="00CE3974"/>
    <w:rsid w:val="00CE3C87"/>
    <w:rsid w:val="00CE3C9E"/>
    <w:rsid w:val="00CE3EA3"/>
    <w:rsid w:val="00CE3ED1"/>
    <w:rsid w:val="00CE3FB8"/>
    <w:rsid w:val="00CE4185"/>
    <w:rsid w:val="00CE45F0"/>
    <w:rsid w:val="00CE4762"/>
    <w:rsid w:val="00CE48EF"/>
    <w:rsid w:val="00CE4A90"/>
    <w:rsid w:val="00CE4C50"/>
    <w:rsid w:val="00CE4E69"/>
    <w:rsid w:val="00CE4F82"/>
    <w:rsid w:val="00CE52E2"/>
    <w:rsid w:val="00CE554A"/>
    <w:rsid w:val="00CE5854"/>
    <w:rsid w:val="00CE5AF0"/>
    <w:rsid w:val="00CE5CB7"/>
    <w:rsid w:val="00CE5FC3"/>
    <w:rsid w:val="00CE6088"/>
    <w:rsid w:val="00CE60DE"/>
    <w:rsid w:val="00CE64AA"/>
    <w:rsid w:val="00CE67D8"/>
    <w:rsid w:val="00CE6837"/>
    <w:rsid w:val="00CE6A6B"/>
    <w:rsid w:val="00CE6BAA"/>
    <w:rsid w:val="00CE6C06"/>
    <w:rsid w:val="00CE7409"/>
    <w:rsid w:val="00CE7429"/>
    <w:rsid w:val="00CE750A"/>
    <w:rsid w:val="00CE7545"/>
    <w:rsid w:val="00CE7561"/>
    <w:rsid w:val="00CE7582"/>
    <w:rsid w:val="00CE7991"/>
    <w:rsid w:val="00CE7BF6"/>
    <w:rsid w:val="00CE7C00"/>
    <w:rsid w:val="00CE7DB1"/>
    <w:rsid w:val="00CF0138"/>
    <w:rsid w:val="00CF0200"/>
    <w:rsid w:val="00CF028F"/>
    <w:rsid w:val="00CF0A2B"/>
    <w:rsid w:val="00CF0A3C"/>
    <w:rsid w:val="00CF0AB1"/>
    <w:rsid w:val="00CF0BFB"/>
    <w:rsid w:val="00CF0E15"/>
    <w:rsid w:val="00CF119B"/>
    <w:rsid w:val="00CF12A7"/>
    <w:rsid w:val="00CF156D"/>
    <w:rsid w:val="00CF1706"/>
    <w:rsid w:val="00CF1928"/>
    <w:rsid w:val="00CF1AF3"/>
    <w:rsid w:val="00CF1FBA"/>
    <w:rsid w:val="00CF2012"/>
    <w:rsid w:val="00CF2071"/>
    <w:rsid w:val="00CF239D"/>
    <w:rsid w:val="00CF24C3"/>
    <w:rsid w:val="00CF24FD"/>
    <w:rsid w:val="00CF2588"/>
    <w:rsid w:val="00CF27CA"/>
    <w:rsid w:val="00CF287B"/>
    <w:rsid w:val="00CF29E9"/>
    <w:rsid w:val="00CF2A06"/>
    <w:rsid w:val="00CF2A95"/>
    <w:rsid w:val="00CF2BDE"/>
    <w:rsid w:val="00CF304D"/>
    <w:rsid w:val="00CF31C0"/>
    <w:rsid w:val="00CF3288"/>
    <w:rsid w:val="00CF32DF"/>
    <w:rsid w:val="00CF3416"/>
    <w:rsid w:val="00CF344F"/>
    <w:rsid w:val="00CF3643"/>
    <w:rsid w:val="00CF36F2"/>
    <w:rsid w:val="00CF3B31"/>
    <w:rsid w:val="00CF3BC7"/>
    <w:rsid w:val="00CF44AD"/>
    <w:rsid w:val="00CF45A5"/>
    <w:rsid w:val="00CF48F6"/>
    <w:rsid w:val="00CF4913"/>
    <w:rsid w:val="00CF4987"/>
    <w:rsid w:val="00CF4A86"/>
    <w:rsid w:val="00CF4AD1"/>
    <w:rsid w:val="00CF515B"/>
    <w:rsid w:val="00CF527D"/>
    <w:rsid w:val="00CF55BB"/>
    <w:rsid w:val="00CF55F6"/>
    <w:rsid w:val="00CF561C"/>
    <w:rsid w:val="00CF5658"/>
    <w:rsid w:val="00CF59A7"/>
    <w:rsid w:val="00CF5C50"/>
    <w:rsid w:val="00CF5C68"/>
    <w:rsid w:val="00CF5E1D"/>
    <w:rsid w:val="00CF5F9C"/>
    <w:rsid w:val="00CF67BD"/>
    <w:rsid w:val="00CF68AF"/>
    <w:rsid w:val="00CF69A8"/>
    <w:rsid w:val="00CF6A2D"/>
    <w:rsid w:val="00CF6C76"/>
    <w:rsid w:val="00CF7126"/>
    <w:rsid w:val="00CF71DA"/>
    <w:rsid w:val="00CF73EA"/>
    <w:rsid w:val="00CF7470"/>
    <w:rsid w:val="00CF7683"/>
    <w:rsid w:val="00CF7944"/>
    <w:rsid w:val="00CF7C90"/>
    <w:rsid w:val="00CF7F9D"/>
    <w:rsid w:val="00D001C1"/>
    <w:rsid w:val="00D00434"/>
    <w:rsid w:val="00D00455"/>
    <w:rsid w:val="00D008F3"/>
    <w:rsid w:val="00D00958"/>
    <w:rsid w:val="00D00E1A"/>
    <w:rsid w:val="00D00F95"/>
    <w:rsid w:val="00D012F2"/>
    <w:rsid w:val="00D0175B"/>
    <w:rsid w:val="00D01839"/>
    <w:rsid w:val="00D0183A"/>
    <w:rsid w:val="00D0187C"/>
    <w:rsid w:val="00D01941"/>
    <w:rsid w:val="00D01A5B"/>
    <w:rsid w:val="00D01B3C"/>
    <w:rsid w:val="00D01D06"/>
    <w:rsid w:val="00D01D73"/>
    <w:rsid w:val="00D0230F"/>
    <w:rsid w:val="00D024E5"/>
    <w:rsid w:val="00D027A5"/>
    <w:rsid w:val="00D027B2"/>
    <w:rsid w:val="00D027B8"/>
    <w:rsid w:val="00D02859"/>
    <w:rsid w:val="00D02EB1"/>
    <w:rsid w:val="00D0367B"/>
    <w:rsid w:val="00D03736"/>
    <w:rsid w:val="00D0378D"/>
    <w:rsid w:val="00D03880"/>
    <w:rsid w:val="00D03A67"/>
    <w:rsid w:val="00D03B61"/>
    <w:rsid w:val="00D03B7D"/>
    <w:rsid w:val="00D03CC7"/>
    <w:rsid w:val="00D03E01"/>
    <w:rsid w:val="00D03F40"/>
    <w:rsid w:val="00D041E9"/>
    <w:rsid w:val="00D04345"/>
    <w:rsid w:val="00D04477"/>
    <w:rsid w:val="00D046C5"/>
    <w:rsid w:val="00D047CC"/>
    <w:rsid w:val="00D04817"/>
    <w:rsid w:val="00D04887"/>
    <w:rsid w:val="00D04A9D"/>
    <w:rsid w:val="00D05678"/>
    <w:rsid w:val="00D0568B"/>
    <w:rsid w:val="00D05823"/>
    <w:rsid w:val="00D05D8D"/>
    <w:rsid w:val="00D05E3D"/>
    <w:rsid w:val="00D05EA4"/>
    <w:rsid w:val="00D06538"/>
    <w:rsid w:val="00D06773"/>
    <w:rsid w:val="00D06EA0"/>
    <w:rsid w:val="00D070DC"/>
    <w:rsid w:val="00D07189"/>
    <w:rsid w:val="00D07238"/>
    <w:rsid w:val="00D073CF"/>
    <w:rsid w:val="00D0769F"/>
    <w:rsid w:val="00D077BB"/>
    <w:rsid w:val="00D07923"/>
    <w:rsid w:val="00D07C1C"/>
    <w:rsid w:val="00D07C6F"/>
    <w:rsid w:val="00D07DA0"/>
    <w:rsid w:val="00D07DD7"/>
    <w:rsid w:val="00D07DD9"/>
    <w:rsid w:val="00D10096"/>
    <w:rsid w:val="00D10B8D"/>
    <w:rsid w:val="00D10D47"/>
    <w:rsid w:val="00D11093"/>
    <w:rsid w:val="00D1109C"/>
    <w:rsid w:val="00D112EC"/>
    <w:rsid w:val="00D112F9"/>
    <w:rsid w:val="00D113C0"/>
    <w:rsid w:val="00D113E4"/>
    <w:rsid w:val="00D11526"/>
    <w:rsid w:val="00D115E0"/>
    <w:rsid w:val="00D11772"/>
    <w:rsid w:val="00D11844"/>
    <w:rsid w:val="00D11DC6"/>
    <w:rsid w:val="00D11DE5"/>
    <w:rsid w:val="00D11F7B"/>
    <w:rsid w:val="00D11FE1"/>
    <w:rsid w:val="00D12478"/>
    <w:rsid w:val="00D12578"/>
    <w:rsid w:val="00D12605"/>
    <w:rsid w:val="00D12626"/>
    <w:rsid w:val="00D126F7"/>
    <w:rsid w:val="00D1272F"/>
    <w:rsid w:val="00D12773"/>
    <w:rsid w:val="00D12774"/>
    <w:rsid w:val="00D12779"/>
    <w:rsid w:val="00D12781"/>
    <w:rsid w:val="00D127D3"/>
    <w:rsid w:val="00D1283C"/>
    <w:rsid w:val="00D128DA"/>
    <w:rsid w:val="00D12926"/>
    <w:rsid w:val="00D12A40"/>
    <w:rsid w:val="00D12A56"/>
    <w:rsid w:val="00D13063"/>
    <w:rsid w:val="00D1316F"/>
    <w:rsid w:val="00D131AA"/>
    <w:rsid w:val="00D131D0"/>
    <w:rsid w:val="00D133F0"/>
    <w:rsid w:val="00D134BF"/>
    <w:rsid w:val="00D1392F"/>
    <w:rsid w:val="00D13AF2"/>
    <w:rsid w:val="00D13B0C"/>
    <w:rsid w:val="00D13DB3"/>
    <w:rsid w:val="00D13EED"/>
    <w:rsid w:val="00D1431D"/>
    <w:rsid w:val="00D144D4"/>
    <w:rsid w:val="00D14701"/>
    <w:rsid w:val="00D14831"/>
    <w:rsid w:val="00D14885"/>
    <w:rsid w:val="00D14913"/>
    <w:rsid w:val="00D14C47"/>
    <w:rsid w:val="00D14CBE"/>
    <w:rsid w:val="00D14CD9"/>
    <w:rsid w:val="00D14E71"/>
    <w:rsid w:val="00D14FEB"/>
    <w:rsid w:val="00D15061"/>
    <w:rsid w:val="00D15077"/>
    <w:rsid w:val="00D15303"/>
    <w:rsid w:val="00D1568F"/>
    <w:rsid w:val="00D156A0"/>
    <w:rsid w:val="00D156B4"/>
    <w:rsid w:val="00D15801"/>
    <w:rsid w:val="00D15BC1"/>
    <w:rsid w:val="00D15D44"/>
    <w:rsid w:val="00D15DE4"/>
    <w:rsid w:val="00D15E1F"/>
    <w:rsid w:val="00D15FC3"/>
    <w:rsid w:val="00D16457"/>
    <w:rsid w:val="00D16542"/>
    <w:rsid w:val="00D1660A"/>
    <w:rsid w:val="00D16782"/>
    <w:rsid w:val="00D168F6"/>
    <w:rsid w:val="00D16A27"/>
    <w:rsid w:val="00D16A93"/>
    <w:rsid w:val="00D16AD2"/>
    <w:rsid w:val="00D1700D"/>
    <w:rsid w:val="00D171B0"/>
    <w:rsid w:val="00D17D21"/>
    <w:rsid w:val="00D20016"/>
    <w:rsid w:val="00D2008A"/>
    <w:rsid w:val="00D20381"/>
    <w:rsid w:val="00D20532"/>
    <w:rsid w:val="00D20536"/>
    <w:rsid w:val="00D2062B"/>
    <w:rsid w:val="00D206B5"/>
    <w:rsid w:val="00D2090E"/>
    <w:rsid w:val="00D20D21"/>
    <w:rsid w:val="00D20F86"/>
    <w:rsid w:val="00D21068"/>
    <w:rsid w:val="00D210B9"/>
    <w:rsid w:val="00D2133A"/>
    <w:rsid w:val="00D21467"/>
    <w:rsid w:val="00D2146F"/>
    <w:rsid w:val="00D214B0"/>
    <w:rsid w:val="00D21674"/>
    <w:rsid w:val="00D217C4"/>
    <w:rsid w:val="00D21BC5"/>
    <w:rsid w:val="00D21D97"/>
    <w:rsid w:val="00D2209D"/>
    <w:rsid w:val="00D22498"/>
    <w:rsid w:val="00D225E3"/>
    <w:rsid w:val="00D2297D"/>
    <w:rsid w:val="00D229DB"/>
    <w:rsid w:val="00D229F1"/>
    <w:rsid w:val="00D22BEF"/>
    <w:rsid w:val="00D22C5B"/>
    <w:rsid w:val="00D22F1C"/>
    <w:rsid w:val="00D23007"/>
    <w:rsid w:val="00D23477"/>
    <w:rsid w:val="00D234A2"/>
    <w:rsid w:val="00D235C6"/>
    <w:rsid w:val="00D23652"/>
    <w:rsid w:val="00D23B68"/>
    <w:rsid w:val="00D23C02"/>
    <w:rsid w:val="00D23C27"/>
    <w:rsid w:val="00D23D6B"/>
    <w:rsid w:val="00D23D85"/>
    <w:rsid w:val="00D23D97"/>
    <w:rsid w:val="00D24113"/>
    <w:rsid w:val="00D241A7"/>
    <w:rsid w:val="00D245EF"/>
    <w:rsid w:val="00D24EE6"/>
    <w:rsid w:val="00D24FC2"/>
    <w:rsid w:val="00D25557"/>
    <w:rsid w:val="00D25686"/>
    <w:rsid w:val="00D25752"/>
    <w:rsid w:val="00D258A5"/>
    <w:rsid w:val="00D25BF1"/>
    <w:rsid w:val="00D25CC1"/>
    <w:rsid w:val="00D25F0A"/>
    <w:rsid w:val="00D2611C"/>
    <w:rsid w:val="00D264D9"/>
    <w:rsid w:val="00D26525"/>
    <w:rsid w:val="00D26652"/>
    <w:rsid w:val="00D2670D"/>
    <w:rsid w:val="00D267A1"/>
    <w:rsid w:val="00D26879"/>
    <w:rsid w:val="00D26DE6"/>
    <w:rsid w:val="00D26E5D"/>
    <w:rsid w:val="00D26F1D"/>
    <w:rsid w:val="00D271F8"/>
    <w:rsid w:val="00D2734E"/>
    <w:rsid w:val="00D2747C"/>
    <w:rsid w:val="00D275F0"/>
    <w:rsid w:val="00D27642"/>
    <w:rsid w:val="00D276A4"/>
    <w:rsid w:val="00D27C88"/>
    <w:rsid w:val="00D27D61"/>
    <w:rsid w:val="00D27EBB"/>
    <w:rsid w:val="00D27EF1"/>
    <w:rsid w:val="00D27F61"/>
    <w:rsid w:val="00D300D5"/>
    <w:rsid w:val="00D30A5B"/>
    <w:rsid w:val="00D30D36"/>
    <w:rsid w:val="00D30E9F"/>
    <w:rsid w:val="00D3108F"/>
    <w:rsid w:val="00D312F3"/>
    <w:rsid w:val="00D31498"/>
    <w:rsid w:val="00D31E44"/>
    <w:rsid w:val="00D31E8A"/>
    <w:rsid w:val="00D3201C"/>
    <w:rsid w:val="00D3224F"/>
    <w:rsid w:val="00D32347"/>
    <w:rsid w:val="00D324F6"/>
    <w:rsid w:val="00D325F1"/>
    <w:rsid w:val="00D32612"/>
    <w:rsid w:val="00D32A60"/>
    <w:rsid w:val="00D32C6D"/>
    <w:rsid w:val="00D32FE0"/>
    <w:rsid w:val="00D330DC"/>
    <w:rsid w:val="00D330F2"/>
    <w:rsid w:val="00D3351C"/>
    <w:rsid w:val="00D3358A"/>
    <w:rsid w:val="00D338B0"/>
    <w:rsid w:val="00D33CB4"/>
    <w:rsid w:val="00D33FD6"/>
    <w:rsid w:val="00D34253"/>
    <w:rsid w:val="00D347DE"/>
    <w:rsid w:val="00D34AA1"/>
    <w:rsid w:val="00D34B16"/>
    <w:rsid w:val="00D34BAA"/>
    <w:rsid w:val="00D34D5B"/>
    <w:rsid w:val="00D34D93"/>
    <w:rsid w:val="00D34E06"/>
    <w:rsid w:val="00D34F59"/>
    <w:rsid w:val="00D3505E"/>
    <w:rsid w:val="00D35150"/>
    <w:rsid w:val="00D35233"/>
    <w:rsid w:val="00D35328"/>
    <w:rsid w:val="00D3539C"/>
    <w:rsid w:val="00D3540C"/>
    <w:rsid w:val="00D3548C"/>
    <w:rsid w:val="00D355B0"/>
    <w:rsid w:val="00D35A10"/>
    <w:rsid w:val="00D35A7D"/>
    <w:rsid w:val="00D35B84"/>
    <w:rsid w:val="00D35D29"/>
    <w:rsid w:val="00D35E2F"/>
    <w:rsid w:val="00D36354"/>
    <w:rsid w:val="00D3646E"/>
    <w:rsid w:val="00D365ED"/>
    <w:rsid w:val="00D36618"/>
    <w:rsid w:val="00D36650"/>
    <w:rsid w:val="00D368A9"/>
    <w:rsid w:val="00D368EA"/>
    <w:rsid w:val="00D36AC1"/>
    <w:rsid w:val="00D36B9C"/>
    <w:rsid w:val="00D36D75"/>
    <w:rsid w:val="00D36E07"/>
    <w:rsid w:val="00D3723F"/>
    <w:rsid w:val="00D3749E"/>
    <w:rsid w:val="00D37BC9"/>
    <w:rsid w:val="00D37E57"/>
    <w:rsid w:val="00D37F7C"/>
    <w:rsid w:val="00D37F8D"/>
    <w:rsid w:val="00D38BFE"/>
    <w:rsid w:val="00D40203"/>
    <w:rsid w:val="00D40290"/>
    <w:rsid w:val="00D40347"/>
    <w:rsid w:val="00D40462"/>
    <w:rsid w:val="00D404FB"/>
    <w:rsid w:val="00D4054F"/>
    <w:rsid w:val="00D40AAB"/>
    <w:rsid w:val="00D40B1C"/>
    <w:rsid w:val="00D40C69"/>
    <w:rsid w:val="00D410C3"/>
    <w:rsid w:val="00D411B0"/>
    <w:rsid w:val="00D4134F"/>
    <w:rsid w:val="00D4151E"/>
    <w:rsid w:val="00D41618"/>
    <w:rsid w:val="00D416D1"/>
    <w:rsid w:val="00D4171E"/>
    <w:rsid w:val="00D41795"/>
    <w:rsid w:val="00D41E8C"/>
    <w:rsid w:val="00D41ED5"/>
    <w:rsid w:val="00D41F88"/>
    <w:rsid w:val="00D4204A"/>
    <w:rsid w:val="00D421F9"/>
    <w:rsid w:val="00D4244C"/>
    <w:rsid w:val="00D427E8"/>
    <w:rsid w:val="00D429F5"/>
    <w:rsid w:val="00D433F5"/>
    <w:rsid w:val="00D4349F"/>
    <w:rsid w:val="00D43516"/>
    <w:rsid w:val="00D4389B"/>
    <w:rsid w:val="00D4391E"/>
    <w:rsid w:val="00D43B4A"/>
    <w:rsid w:val="00D43C34"/>
    <w:rsid w:val="00D43F26"/>
    <w:rsid w:val="00D440A0"/>
    <w:rsid w:val="00D441B2"/>
    <w:rsid w:val="00D442B8"/>
    <w:rsid w:val="00D443FE"/>
    <w:rsid w:val="00D449AA"/>
    <w:rsid w:val="00D44A64"/>
    <w:rsid w:val="00D44BF4"/>
    <w:rsid w:val="00D44D00"/>
    <w:rsid w:val="00D44E1A"/>
    <w:rsid w:val="00D45333"/>
    <w:rsid w:val="00D458E9"/>
    <w:rsid w:val="00D45979"/>
    <w:rsid w:val="00D45D2B"/>
    <w:rsid w:val="00D45D8B"/>
    <w:rsid w:val="00D45E08"/>
    <w:rsid w:val="00D45EC8"/>
    <w:rsid w:val="00D45F69"/>
    <w:rsid w:val="00D45F92"/>
    <w:rsid w:val="00D45FE2"/>
    <w:rsid w:val="00D4603F"/>
    <w:rsid w:val="00D465B9"/>
    <w:rsid w:val="00D467E1"/>
    <w:rsid w:val="00D46825"/>
    <w:rsid w:val="00D468B4"/>
    <w:rsid w:val="00D46CD5"/>
    <w:rsid w:val="00D472AE"/>
    <w:rsid w:val="00D472F1"/>
    <w:rsid w:val="00D47496"/>
    <w:rsid w:val="00D474B6"/>
    <w:rsid w:val="00D47A78"/>
    <w:rsid w:val="00D47E4C"/>
    <w:rsid w:val="00D5006C"/>
    <w:rsid w:val="00D50189"/>
    <w:rsid w:val="00D5022D"/>
    <w:rsid w:val="00D504B8"/>
    <w:rsid w:val="00D50A1B"/>
    <w:rsid w:val="00D50A5A"/>
    <w:rsid w:val="00D50E97"/>
    <w:rsid w:val="00D510B5"/>
    <w:rsid w:val="00D5110B"/>
    <w:rsid w:val="00D51144"/>
    <w:rsid w:val="00D514B9"/>
    <w:rsid w:val="00D5172F"/>
    <w:rsid w:val="00D518DA"/>
    <w:rsid w:val="00D51A3A"/>
    <w:rsid w:val="00D5201E"/>
    <w:rsid w:val="00D5217A"/>
    <w:rsid w:val="00D521EB"/>
    <w:rsid w:val="00D5226C"/>
    <w:rsid w:val="00D523A9"/>
    <w:rsid w:val="00D523B2"/>
    <w:rsid w:val="00D526CD"/>
    <w:rsid w:val="00D5272E"/>
    <w:rsid w:val="00D52EDE"/>
    <w:rsid w:val="00D53185"/>
    <w:rsid w:val="00D531CA"/>
    <w:rsid w:val="00D53C30"/>
    <w:rsid w:val="00D53C3F"/>
    <w:rsid w:val="00D53C68"/>
    <w:rsid w:val="00D53CD2"/>
    <w:rsid w:val="00D53DF8"/>
    <w:rsid w:val="00D543AA"/>
    <w:rsid w:val="00D544E0"/>
    <w:rsid w:val="00D54613"/>
    <w:rsid w:val="00D54839"/>
    <w:rsid w:val="00D54892"/>
    <w:rsid w:val="00D54A10"/>
    <w:rsid w:val="00D54B2B"/>
    <w:rsid w:val="00D54FA3"/>
    <w:rsid w:val="00D55042"/>
    <w:rsid w:val="00D5505F"/>
    <w:rsid w:val="00D55130"/>
    <w:rsid w:val="00D55475"/>
    <w:rsid w:val="00D5549A"/>
    <w:rsid w:val="00D554BC"/>
    <w:rsid w:val="00D55B01"/>
    <w:rsid w:val="00D55C32"/>
    <w:rsid w:val="00D56074"/>
    <w:rsid w:val="00D561F2"/>
    <w:rsid w:val="00D56234"/>
    <w:rsid w:val="00D5643D"/>
    <w:rsid w:val="00D565F4"/>
    <w:rsid w:val="00D56690"/>
    <w:rsid w:val="00D566AC"/>
    <w:rsid w:val="00D56826"/>
    <w:rsid w:val="00D5682E"/>
    <w:rsid w:val="00D56AA0"/>
    <w:rsid w:val="00D56AF1"/>
    <w:rsid w:val="00D57001"/>
    <w:rsid w:val="00D57203"/>
    <w:rsid w:val="00D57210"/>
    <w:rsid w:val="00D572EA"/>
    <w:rsid w:val="00D57490"/>
    <w:rsid w:val="00D57D11"/>
    <w:rsid w:val="00D57D22"/>
    <w:rsid w:val="00D57F08"/>
    <w:rsid w:val="00D603CE"/>
    <w:rsid w:val="00D60451"/>
    <w:rsid w:val="00D60486"/>
    <w:rsid w:val="00D604AD"/>
    <w:rsid w:val="00D607C9"/>
    <w:rsid w:val="00D60893"/>
    <w:rsid w:val="00D608FC"/>
    <w:rsid w:val="00D609D7"/>
    <w:rsid w:val="00D60B83"/>
    <w:rsid w:val="00D60D30"/>
    <w:rsid w:val="00D60E19"/>
    <w:rsid w:val="00D6126E"/>
    <w:rsid w:val="00D6144C"/>
    <w:rsid w:val="00D615A2"/>
    <w:rsid w:val="00D61630"/>
    <w:rsid w:val="00D61F3C"/>
    <w:rsid w:val="00D622B0"/>
    <w:rsid w:val="00D625FF"/>
    <w:rsid w:val="00D62687"/>
    <w:rsid w:val="00D6288D"/>
    <w:rsid w:val="00D62B6F"/>
    <w:rsid w:val="00D62BA7"/>
    <w:rsid w:val="00D62C52"/>
    <w:rsid w:val="00D62CCA"/>
    <w:rsid w:val="00D6303F"/>
    <w:rsid w:val="00D631A1"/>
    <w:rsid w:val="00D6330F"/>
    <w:rsid w:val="00D634E8"/>
    <w:rsid w:val="00D63590"/>
    <w:rsid w:val="00D636E5"/>
    <w:rsid w:val="00D639B2"/>
    <w:rsid w:val="00D63DD3"/>
    <w:rsid w:val="00D64225"/>
    <w:rsid w:val="00D647CA"/>
    <w:rsid w:val="00D64881"/>
    <w:rsid w:val="00D648E5"/>
    <w:rsid w:val="00D64A25"/>
    <w:rsid w:val="00D64C07"/>
    <w:rsid w:val="00D64D7A"/>
    <w:rsid w:val="00D64DB6"/>
    <w:rsid w:val="00D64E5E"/>
    <w:rsid w:val="00D65150"/>
    <w:rsid w:val="00D6539D"/>
    <w:rsid w:val="00D65843"/>
    <w:rsid w:val="00D6589B"/>
    <w:rsid w:val="00D65960"/>
    <w:rsid w:val="00D65B46"/>
    <w:rsid w:val="00D65BE3"/>
    <w:rsid w:val="00D65DF8"/>
    <w:rsid w:val="00D65E76"/>
    <w:rsid w:val="00D665AF"/>
    <w:rsid w:val="00D66915"/>
    <w:rsid w:val="00D66B8C"/>
    <w:rsid w:val="00D6758A"/>
    <w:rsid w:val="00D675FB"/>
    <w:rsid w:val="00D67771"/>
    <w:rsid w:val="00D67866"/>
    <w:rsid w:val="00D6787C"/>
    <w:rsid w:val="00D679BE"/>
    <w:rsid w:val="00D70115"/>
    <w:rsid w:val="00D70386"/>
    <w:rsid w:val="00D7049C"/>
    <w:rsid w:val="00D70758"/>
    <w:rsid w:val="00D7076E"/>
    <w:rsid w:val="00D707E7"/>
    <w:rsid w:val="00D708C6"/>
    <w:rsid w:val="00D70B62"/>
    <w:rsid w:val="00D71064"/>
    <w:rsid w:val="00D71187"/>
    <w:rsid w:val="00D711BB"/>
    <w:rsid w:val="00D71386"/>
    <w:rsid w:val="00D7159F"/>
    <w:rsid w:val="00D71758"/>
    <w:rsid w:val="00D71814"/>
    <w:rsid w:val="00D7187C"/>
    <w:rsid w:val="00D71ABA"/>
    <w:rsid w:val="00D71B36"/>
    <w:rsid w:val="00D71B9D"/>
    <w:rsid w:val="00D7225F"/>
    <w:rsid w:val="00D72A91"/>
    <w:rsid w:val="00D72C18"/>
    <w:rsid w:val="00D72CAC"/>
    <w:rsid w:val="00D72CCB"/>
    <w:rsid w:val="00D72D72"/>
    <w:rsid w:val="00D73215"/>
    <w:rsid w:val="00D732C0"/>
    <w:rsid w:val="00D73424"/>
    <w:rsid w:val="00D7354C"/>
    <w:rsid w:val="00D73580"/>
    <w:rsid w:val="00D735BF"/>
    <w:rsid w:val="00D73663"/>
    <w:rsid w:val="00D73721"/>
    <w:rsid w:val="00D738A2"/>
    <w:rsid w:val="00D738E5"/>
    <w:rsid w:val="00D73A76"/>
    <w:rsid w:val="00D73C9C"/>
    <w:rsid w:val="00D73F5E"/>
    <w:rsid w:val="00D74056"/>
    <w:rsid w:val="00D741FA"/>
    <w:rsid w:val="00D7424F"/>
    <w:rsid w:val="00D74933"/>
    <w:rsid w:val="00D74C00"/>
    <w:rsid w:val="00D750AD"/>
    <w:rsid w:val="00D754CC"/>
    <w:rsid w:val="00D755C9"/>
    <w:rsid w:val="00D75662"/>
    <w:rsid w:val="00D758A2"/>
    <w:rsid w:val="00D75B6A"/>
    <w:rsid w:val="00D75DFE"/>
    <w:rsid w:val="00D75E41"/>
    <w:rsid w:val="00D75F85"/>
    <w:rsid w:val="00D76004"/>
    <w:rsid w:val="00D7635E"/>
    <w:rsid w:val="00D76555"/>
    <w:rsid w:val="00D76C78"/>
    <w:rsid w:val="00D774AD"/>
    <w:rsid w:val="00D77BC8"/>
    <w:rsid w:val="00D77C5C"/>
    <w:rsid w:val="00D77F6B"/>
    <w:rsid w:val="00D77FAA"/>
    <w:rsid w:val="00D77FF4"/>
    <w:rsid w:val="00D8005E"/>
    <w:rsid w:val="00D801AF"/>
    <w:rsid w:val="00D80440"/>
    <w:rsid w:val="00D804CB"/>
    <w:rsid w:val="00D805B5"/>
    <w:rsid w:val="00D80870"/>
    <w:rsid w:val="00D80903"/>
    <w:rsid w:val="00D80B55"/>
    <w:rsid w:val="00D812C2"/>
    <w:rsid w:val="00D8135F"/>
    <w:rsid w:val="00D81462"/>
    <w:rsid w:val="00D81522"/>
    <w:rsid w:val="00D8153A"/>
    <w:rsid w:val="00D815B0"/>
    <w:rsid w:val="00D8195B"/>
    <w:rsid w:val="00D81964"/>
    <w:rsid w:val="00D819DB"/>
    <w:rsid w:val="00D819E8"/>
    <w:rsid w:val="00D81C22"/>
    <w:rsid w:val="00D81C71"/>
    <w:rsid w:val="00D81C9B"/>
    <w:rsid w:val="00D81CF9"/>
    <w:rsid w:val="00D81D3B"/>
    <w:rsid w:val="00D81D68"/>
    <w:rsid w:val="00D81DE5"/>
    <w:rsid w:val="00D823FA"/>
    <w:rsid w:val="00D8243F"/>
    <w:rsid w:val="00D82529"/>
    <w:rsid w:val="00D82592"/>
    <w:rsid w:val="00D825C0"/>
    <w:rsid w:val="00D82D41"/>
    <w:rsid w:val="00D8310B"/>
    <w:rsid w:val="00D832F9"/>
    <w:rsid w:val="00D832FD"/>
    <w:rsid w:val="00D833E9"/>
    <w:rsid w:val="00D83608"/>
    <w:rsid w:val="00D83876"/>
    <w:rsid w:val="00D83AEF"/>
    <w:rsid w:val="00D83AFB"/>
    <w:rsid w:val="00D83B09"/>
    <w:rsid w:val="00D84312"/>
    <w:rsid w:val="00D843CA"/>
    <w:rsid w:val="00D8489C"/>
    <w:rsid w:val="00D848E9"/>
    <w:rsid w:val="00D849D9"/>
    <w:rsid w:val="00D849E1"/>
    <w:rsid w:val="00D84D99"/>
    <w:rsid w:val="00D84DB0"/>
    <w:rsid w:val="00D84DBE"/>
    <w:rsid w:val="00D84DF8"/>
    <w:rsid w:val="00D85043"/>
    <w:rsid w:val="00D85686"/>
    <w:rsid w:val="00D858B9"/>
    <w:rsid w:val="00D85908"/>
    <w:rsid w:val="00D85CE5"/>
    <w:rsid w:val="00D85D50"/>
    <w:rsid w:val="00D85D6D"/>
    <w:rsid w:val="00D85E6E"/>
    <w:rsid w:val="00D85E99"/>
    <w:rsid w:val="00D85FC9"/>
    <w:rsid w:val="00D860B8"/>
    <w:rsid w:val="00D86306"/>
    <w:rsid w:val="00D8631F"/>
    <w:rsid w:val="00D865DD"/>
    <w:rsid w:val="00D86868"/>
    <w:rsid w:val="00D868D7"/>
    <w:rsid w:val="00D86B88"/>
    <w:rsid w:val="00D86BCA"/>
    <w:rsid w:val="00D86CAA"/>
    <w:rsid w:val="00D86DE1"/>
    <w:rsid w:val="00D87068"/>
    <w:rsid w:val="00D87400"/>
    <w:rsid w:val="00D87457"/>
    <w:rsid w:val="00D87562"/>
    <w:rsid w:val="00D876C5"/>
    <w:rsid w:val="00D8792C"/>
    <w:rsid w:val="00D87997"/>
    <w:rsid w:val="00D87A97"/>
    <w:rsid w:val="00D87B13"/>
    <w:rsid w:val="00D87CD7"/>
    <w:rsid w:val="00D90005"/>
    <w:rsid w:val="00D900C0"/>
    <w:rsid w:val="00D905A9"/>
    <w:rsid w:val="00D905F0"/>
    <w:rsid w:val="00D9068B"/>
    <w:rsid w:val="00D906A1"/>
    <w:rsid w:val="00D907B9"/>
    <w:rsid w:val="00D90BE3"/>
    <w:rsid w:val="00D90C23"/>
    <w:rsid w:val="00D9125A"/>
    <w:rsid w:val="00D915EE"/>
    <w:rsid w:val="00D91C8C"/>
    <w:rsid w:val="00D92230"/>
    <w:rsid w:val="00D9230B"/>
    <w:rsid w:val="00D925CD"/>
    <w:rsid w:val="00D926A5"/>
    <w:rsid w:val="00D9279E"/>
    <w:rsid w:val="00D92830"/>
    <w:rsid w:val="00D9299D"/>
    <w:rsid w:val="00D92B86"/>
    <w:rsid w:val="00D92BD6"/>
    <w:rsid w:val="00D93433"/>
    <w:rsid w:val="00D938A3"/>
    <w:rsid w:val="00D93E1D"/>
    <w:rsid w:val="00D94063"/>
    <w:rsid w:val="00D942A0"/>
    <w:rsid w:val="00D9434D"/>
    <w:rsid w:val="00D94451"/>
    <w:rsid w:val="00D94647"/>
    <w:rsid w:val="00D948AD"/>
    <w:rsid w:val="00D94CA3"/>
    <w:rsid w:val="00D94D2C"/>
    <w:rsid w:val="00D94DBC"/>
    <w:rsid w:val="00D94E84"/>
    <w:rsid w:val="00D94F9D"/>
    <w:rsid w:val="00D95091"/>
    <w:rsid w:val="00D9544C"/>
    <w:rsid w:val="00D955DC"/>
    <w:rsid w:val="00D95675"/>
    <w:rsid w:val="00D95797"/>
    <w:rsid w:val="00D959A2"/>
    <w:rsid w:val="00D95C83"/>
    <w:rsid w:val="00D95E00"/>
    <w:rsid w:val="00D95EAD"/>
    <w:rsid w:val="00D96099"/>
    <w:rsid w:val="00D96122"/>
    <w:rsid w:val="00D96272"/>
    <w:rsid w:val="00D96334"/>
    <w:rsid w:val="00D96B9C"/>
    <w:rsid w:val="00D96D0E"/>
    <w:rsid w:val="00D97038"/>
    <w:rsid w:val="00D972DC"/>
    <w:rsid w:val="00D97363"/>
    <w:rsid w:val="00D9736C"/>
    <w:rsid w:val="00D97385"/>
    <w:rsid w:val="00D97553"/>
    <w:rsid w:val="00D97590"/>
    <w:rsid w:val="00D97710"/>
    <w:rsid w:val="00D9778C"/>
    <w:rsid w:val="00D9794A"/>
    <w:rsid w:val="00D97A4C"/>
    <w:rsid w:val="00D97D01"/>
    <w:rsid w:val="00DA010E"/>
    <w:rsid w:val="00DA022F"/>
    <w:rsid w:val="00DA02F3"/>
    <w:rsid w:val="00DA047F"/>
    <w:rsid w:val="00DA0504"/>
    <w:rsid w:val="00DA0511"/>
    <w:rsid w:val="00DA0740"/>
    <w:rsid w:val="00DA0755"/>
    <w:rsid w:val="00DA0923"/>
    <w:rsid w:val="00DA096F"/>
    <w:rsid w:val="00DA0A67"/>
    <w:rsid w:val="00DA0B02"/>
    <w:rsid w:val="00DA0D96"/>
    <w:rsid w:val="00DA0F7B"/>
    <w:rsid w:val="00DA0FC6"/>
    <w:rsid w:val="00DA11E3"/>
    <w:rsid w:val="00DA15E4"/>
    <w:rsid w:val="00DA1662"/>
    <w:rsid w:val="00DA16B4"/>
    <w:rsid w:val="00DA1E35"/>
    <w:rsid w:val="00DA1F79"/>
    <w:rsid w:val="00DA2005"/>
    <w:rsid w:val="00DA20B1"/>
    <w:rsid w:val="00DA222F"/>
    <w:rsid w:val="00DA22EA"/>
    <w:rsid w:val="00DA2313"/>
    <w:rsid w:val="00DA24FD"/>
    <w:rsid w:val="00DA28DC"/>
    <w:rsid w:val="00DA2D2C"/>
    <w:rsid w:val="00DA2E22"/>
    <w:rsid w:val="00DA2E82"/>
    <w:rsid w:val="00DA307D"/>
    <w:rsid w:val="00DA3677"/>
    <w:rsid w:val="00DA3AA1"/>
    <w:rsid w:val="00DA3F5C"/>
    <w:rsid w:val="00DA483C"/>
    <w:rsid w:val="00DA4BA6"/>
    <w:rsid w:val="00DA4D20"/>
    <w:rsid w:val="00DA4DA7"/>
    <w:rsid w:val="00DA4EA7"/>
    <w:rsid w:val="00DA5000"/>
    <w:rsid w:val="00DA550D"/>
    <w:rsid w:val="00DA5579"/>
    <w:rsid w:val="00DA56C1"/>
    <w:rsid w:val="00DA5721"/>
    <w:rsid w:val="00DA5A32"/>
    <w:rsid w:val="00DA5B24"/>
    <w:rsid w:val="00DA5C6E"/>
    <w:rsid w:val="00DA5F4B"/>
    <w:rsid w:val="00DA6386"/>
    <w:rsid w:val="00DA6978"/>
    <w:rsid w:val="00DA69D9"/>
    <w:rsid w:val="00DA6B5C"/>
    <w:rsid w:val="00DA6E15"/>
    <w:rsid w:val="00DA6EAC"/>
    <w:rsid w:val="00DA6F8F"/>
    <w:rsid w:val="00DA708D"/>
    <w:rsid w:val="00DA7576"/>
    <w:rsid w:val="00DA76CB"/>
    <w:rsid w:val="00DA79CD"/>
    <w:rsid w:val="00DA7CD3"/>
    <w:rsid w:val="00DA7D93"/>
    <w:rsid w:val="00DB0290"/>
    <w:rsid w:val="00DB04F9"/>
    <w:rsid w:val="00DB0906"/>
    <w:rsid w:val="00DB0A5E"/>
    <w:rsid w:val="00DB0B3B"/>
    <w:rsid w:val="00DB0D18"/>
    <w:rsid w:val="00DB0D50"/>
    <w:rsid w:val="00DB10BC"/>
    <w:rsid w:val="00DB1167"/>
    <w:rsid w:val="00DB12F8"/>
    <w:rsid w:val="00DB130F"/>
    <w:rsid w:val="00DB1315"/>
    <w:rsid w:val="00DB1433"/>
    <w:rsid w:val="00DB1C58"/>
    <w:rsid w:val="00DB1C91"/>
    <w:rsid w:val="00DB1E23"/>
    <w:rsid w:val="00DB20CB"/>
    <w:rsid w:val="00DB2582"/>
    <w:rsid w:val="00DB279E"/>
    <w:rsid w:val="00DB28BD"/>
    <w:rsid w:val="00DB29BA"/>
    <w:rsid w:val="00DB2AA1"/>
    <w:rsid w:val="00DB2C8F"/>
    <w:rsid w:val="00DB2D25"/>
    <w:rsid w:val="00DB2EC6"/>
    <w:rsid w:val="00DB2EF3"/>
    <w:rsid w:val="00DB2F93"/>
    <w:rsid w:val="00DB3417"/>
    <w:rsid w:val="00DB3662"/>
    <w:rsid w:val="00DB36A2"/>
    <w:rsid w:val="00DB36B0"/>
    <w:rsid w:val="00DB39C1"/>
    <w:rsid w:val="00DB3AF4"/>
    <w:rsid w:val="00DB3BAC"/>
    <w:rsid w:val="00DB3BB1"/>
    <w:rsid w:val="00DB3D00"/>
    <w:rsid w:val="00DB4120"/>
    <w:rsid w:val="00DB41E2"/>
    <w:rsid w:val="00DB439F"/>
    <w:rsid w:val="00DB4571"/>
    <w:rsid w:val="00DB4722"/>
    <w:rsid w:val="00DB4A83"/>
    <w:rsid w:val="00DB4B01"/>
    <w:rsid w:val="00DB4C9B"/>
    <w:rsid w:val="00DB5300"/>
    <w:rsid w:val="00DB5416"/>
    <w:rsid w:val="00DB5596"/>
    <w:rsid w:val="00DB5605"/>
    <w:rsid w:val="00DB57A7"/>
    <w:rsid w:val="00DB58B4"/>
    <w:rsid w:val="00DB5A38"/>
    <w:rsid w:val="00DB5AA6"/>
    <w:rsid w:val="00DB5B03"/>
    <w:rsid w:val="00DB5C44"/>
    <w:rsid w:val="00DB5EBC"/>
    <w:rsid w:val="00DB644D"/>
    <w:rsid w:val="00DB6802"/>
    <w:rsid w:val="00DB6C44"/>
    <w:rsid w:val="00DB7172"/>
    <w:rsid w:val="00DB72BD"/>
    <w:rsid w:val="00DB759C"/>
    <w:rsid w:val="00DB7657"/>
    <w:rsid w:val="00DB76D3"/>
    <w:rsid w:val="00DB7778"/>
    <w:rsid w:val="00DB787F"/>
    <w:rsid w:val="00DB7966"/>
    <w:rsid w:val="00DB7DF6"/>
    <w:rsid w:val="00DB7E85"/>
    <w:rsid w:val="00DB7F1A"/>
    <w:rsid w:val="00DB7F89"/>
    <w:rsid w:val="00DC005C"/>
    <w:rsid w:val="00DC018F"/>
    <w:rsid w:val="00DC01DB"/>
    <w:rsid w:val="00DC0412"/>
    <w:rsid w:val="00DC06C2"/>
    <w:rsid w:val="00DC0A4C"/>
    <w:rsid w:val="00DC0C2B"/>
    <w:rsid w:val="00DC0C5C"/>
    <w:rsid w:val="00DC0D25"/>
    <w:rsid w:val="00DC0FDC"/>
    <w:rsid w:val="00DC10F4"/>
    <w:rsid w:val="00DC16E0"/>
    <w:rsid w:val="00DC1731"/>
    <w:rsid w:val="00DC178D"/>
    <w:rsid w:val="00DC1AC9"/>
    <w:rsid w:val="00DC1B99"/>
    <w:rsid w:val="00DC1D09"/>
    <w:rsid w:val="00DC1E6A"/>
    <w:rsid w:val="00DC20AA"/>
    <w:rsid w:val="00DC20DF"/>
    <w:rsid w:val="00DC2435"/>
    <w:rsid w:val="00DC243D"/>
    <w:rsid w:val="00DC2655"/>
    <w:rsid w:val="00DC2857"/>
    <w:rsid w:val="00DC2964"/>
    <w:rsid w:val="00DC2D6D"/>
    <w:rsid w:val="00DC2D84"/>
    <w:rsid w:val="00DC3449"/>
    <w:rsid w:val="00DC375F"/>
    <w:rsid w:val="00DC37F5"/>
    <w:rsid w:val="00DC3B1D"/>
    <w:rsid w:val="00DC3C19"/>
    <w:rsid w:val="00DC3D2F"/>
    <w:rsid w:val="00DC42D4"/>
    <w:rsid w:val="00DC430E"/>
    <w:rsid w:val="00DC465B"/>
    <w:rsid w:val="00DC480B"/>
    <w:rsid w:val="00DC482A"/>
    <w:rsid w:val="00DC4922"/>
    <w:rsid w:val="00DC4A67"/>
    <w:rsid w:val="00DC4C30"/>
    <w:rsid w:val="00DC4E68"/>
    <w:rsid w:val="00DC4F9A"/>
    <w:rsid w:val="00DC5234"/>
    <w:rsid w:val="00DC569F"/>
    <w:rsid w:val="00DC59E1"/>
    <w:rsid w:val="00DC5BC2"/>
    <w:rsid w:val="00DC5E54"/>
    <w:rsid w:val="00DC5F9D"/>
    <w:rsid w:val="00DC6154"/>
    <w:rsid w:val="00DC665A"/>
    <w:rsid w:val="00DC667A"/>
    <w:rsid w:val="00DC6767"/>
    <w:rsid w:val="00DC6A6E"/>
    <w:rsid w:val="00DC6BD4"/>
    <w:rsid w:val="00DC77F5"/>
    <w:rsid w:val="00DC7C02"/>
    <w:rsid w:val="00DC7CF0"/>
    <w:rsid w:val="00DC7D04"/>
    <w:rsid w:val="00DC7EC3"/>
    <w:rsid w:val="00DC7F74"/>
    <w:rsid w:val="00DD0112"/>
    <w:rsid w:val="00DD0253"/>
    <w:rsid w:val="00DD02B8"/>
    <w:rsid w:val="00DD03B6"/>
    <w:rsid w:val="00DD0507"/>
    <w:rsid w:val="00DD069B"/>
    <w:rsid w:val="00DD070D"/>
    <w:rsid w:val="00DD079F"/>
    <w:rsid w:val="00DD0AB0"/>
    <w:rsid w:val="00DD0B5A"/>
    <w:rsid w:val="00DD0B69"/>
    <w:rsid w:val="00DD0CDE"/>
    <w:rsid w:val="00DD0DD3"/>
    <w:rsid w:val="00DD1020"/>
    <w:rsid w:val="00DD12FF"/>
    <w:rsid w:val="00DD14B3"/>
    <w:rsid w:val="00DD170C"/>
    <w:rsid w:val="00DD17D2"/>
    <w:rsid w:val="00DD1A69"/>
    <w:rsid w:val="00DD1D34"/>
    <w:rsid w:val="00DD1F0B"/>
    <w:rsid w:val="00DD2025"/>
    <w:rsid w:val="00DD2262"/>
    <w:rsid w:val="00DD239D"/>
    <w:rsid w:val="00DD2697"/>
    <w:rsid w:val="00DD2754"/>
    <w:rsid w:val="00DD2A1E"/>
    <w:rsid w:val="00DD2E78"/>
    <w:rsid w:val="00DD3312"/>
    <w:rsid w:val="00DD34B5"/>
    <w:rsid w:val="00DD380E"/>
    <w:rsid w:val="00DD3816"/>
    <w:rsid w:val="00DD39B6"/>
    <w:rsid w:val="00DD3CFD"/>
    <w:rsid w:val="00DD3D48"/>
    <w:rsid w:val="00DD3FA9"/>
    <w:rsid w:val="00DD3FF4"/>
    <w:rsid w:val="00DD4616"/>
    <w:rsid w:val="00DD4747"/>
    <w:rsid w:val="00DD4763"/>
    <w:rsid w:val="00DD481B"/>
    <w:rsid w:val="00DD4996"/>
    <w:rsid w:val="00DD4A46"/>
    <w:rsid w:val="00DD4A4A"/>
    <w:rsid w:val="00DD4C2D"/>
    <w:rsid w:val="00DD4D36"/>
    <w:rsid w:val="00DD4D69"/>
    <w:rsid w:val="00DD4F18"/>
    <w:rsid w:val="00DD504E"/>
    <w:rsid w:val="00DD5246"/>
    <w:rsid w:val="00DD52B5"/>
    <w:rsid w:val="00DD5487"/>
    <w:rsid w:val="00DD55F4"/>
    <w:rsid w:val="00DD5B0A"/>
    <w:rsid w:val="00DD5ECF"/>
    <w:rsid w:val="00DD5F28"/>
    <w:rsid w:val="00DD5FE3"/>
    <w:rsid w:val="00DD61AA"/>
    <w:rsid w:val="00DD68EC"/>
    <w:rsid w:val="00DD6BF9"/>
    <w:rsid w:val="00DD6F04"/>
    <w:rsid w:val="00DD70D9"/>
    <w:rsid w:val="00DD710D"/>
    <w:rsid w:val="00DD77AB"/>
    <w:rsid w:val="00DD77BF"/>
    <w:rsid w:val="00DD7851"/>
    <w:rsid w:val="00DD79A4"/>
    <w:rsid w:val="00DD79DA"/>
    <w:rsid w:val="00DD7AEF"/>
    <w:rsid w:val="00DD7C91"/>
    <w:rsid w:val="00DD7C9F"/>
    <w:rsid w:val="00DE00E5"/>
    <w:rsid w:val="00DE0311"/>
    <w:rsid w:val="00DE06DE"/>
    <w:rsid w:val="00DE0DC6"/>
    <w:rsid w:val="00DE1A6A"/>
    <w:rsid w:val="00DE1ACA"/>
    <w:rsid w:val="00DE1B62"/>
    <w:rsid w:val="00DE1BC4"/>
    <w:rsid w:val="00DE1CAD"/>
    <w:rsid w:val="00DE1CDA"/>
    <w:rsid w:val="00DE1DDA"/>
    <w:rsid w:val="00DE20FB"/>
    <w:rsid w:val="00DE2292"/>
    <w:rsid w:val="00DE2497"/>
    <w:rsid w:val="00DE2898"/>
    <w:rsid w:val="00DE2AA3"/>
    <w:rsid w:val="00DE2B58"/>
    <w:rsid w:val="00DE2F2A"/>
    <w:rsid w:val="00DE2FA7"/>
    <w:rsid w:val="00DE3029"/>
    <w:rsid w:val="00DE31C7"/>
    <w:rsid w:val="00DE32C4"/>
    <w:rsid w:val="00DE3543"/>
    <w:rsid w:val="00DE357B"/>
    <w:rsid w:val="00DE364C"/>
    <w:rsid w:val="00DE39D7"/>
    <w:rsid w:val="00DE3B2E"/>
    <w:rsid w:val="00DE3B41"/>
    <w:rsid w:val="00DE3B7E"/>
    <w:rsid w:val="00DE47FD"/>
    <w:rsid w:val="00DE481E"/>
    <w:rsid w:val="00DE48D5"/>
    <w:rsid w:val="00DE4915"/>
    <w:rsid w:val="00DE4975"/>
    <w:rsid w:val="00DE4FA5"/>
    <w:rsid w:val="00DE5020"/>
    <w:rsid w:val="00DE50F8"/>
    <w:rsid w:val="00DE522E"/>
    <w:rsid w:val="00DE57D3"/>
    <w:rsid w:val="00DE5ADF"/>
    <w:rsid w:val="00DE5FEA"/>
    <w:rsid w:val="00DE631D"/>
    <w:rsid w:val="00DE637D"/>
    <w:rsid w:val="00DE6624"/>
    <w:rsid w:val="00DE6774"/>
    <w:rsid w:val="00DE680C"/>
    <w:rsid w:val="00DE68C8"/>
    <w:rsid w:val="00DE6B69"/>
    <w:rsid w:val="00DE6CA1"/>
    <w:rsid w:val="00DE7064"/>
    <w:rsid w:val="00DE70CC"/>
    <w:rsid w:val="00DE73B8"/>
    <w:rsid w:val="00DE73E2"/>
    <w:rsid w:val="00DE748F"/>
    <w:rsid w:val="00DE7499"/>
    <w:rsid w:val="00DE77EC"/>
    <w:rsid w:val="00DE7D46"/>
    <w:rsid w:val="00DF015B"/>
    <w:rsid w:val="00DF0370"/>
    <w:rsid w:val="00DF08DC"/>
    <w:rsid w:val="00DF0A05"/>
    <w:rsid w:val="00DF0A56"/>
    <w:rsid w:val="00DF0D77"/>
    <w:rsid w:val="00DF0ECA"/>
    <w:rsid w:val="00DF105B"/>
    <w:rsid w:val="00DF105E"/>
    <w:rsid w:val="00DF1084"/>
    <w:rsid w:val="00DF1198"/>
    <w:rsid w:val="00DF1375"/>
    <w:rsid w:val="00DF1562"/>
    <w:rsid w:val="00DF1969"/>
    <w:rsid w:val="00DF1A19"/>
    <w:rsid w:val="00DF1D77"/>
    <w:rsid w:val="00DF1DD8"/>
    <w:rsid w:val="00DF1E0F"/>
    <w:rsid w:val="00DF2163"/>
    <w:rsid w:val="00DF224E"/>
    <w:rsid w:val="00DF24D8"/>
    <w:rsid w:val="00DF2873"/>
    <w:rsid w:val="00DF29C9"/>
    <w:rsid w:val="00DF2B30"/>
    <w:rsid w:val="00DF2B85"/>
    <w:rsid w:val="00DF2BF1"/>
    <w:rsid w:val="00DF2DCC"/>
    <w:rsid w:val="00DF2E18"/>
    <w:rsid w:val="00DF31C6"/>
    <w:rsid w:val="00DF346D"/>
    <w:rsid w:val="00DF3658"/>
    <w:rsid w:val="00DF3E95"/>
    <w:rsid w:val="00DF3EAB"/>
    <w:rsid w:val="00DF3F42"/>
    <w:rsid w:val="00DF4175"/>
    <w:rsid w:val="00DF48ED"/>
    <w:rsid w:val="00DF490D"/>
    <w:rsid w:val="00DF4931"/>
    <w:rsid w:val="00DF4BD2"/>
    <w:rsid w:val="00DF4D51"/>
    <w:rsid w:val="00DF4D55"/>
    <w:rsid w:val="00DF4D65"/>
    <w:rsid w:val="00DF4DDE"/>
    <w:rsid w:val="00DF4F42"/>
    <w:rsid w:val="00DF5208"/>
    <w:rsid w:val="00DF5275"/>
    <w:rsid w:val="00DF5286"/>
    <w:rsid w:val="00DF535F"/>
    <w:rsid w:val="00DF5426"/>
    <w:rsid w:val="00DF5462"/>
    <w:rsid w:val="00DF54A0"/>
    <w:rsid w:val="00DF5702"/>
    <w:rsid w:val="00DF5853"/>
    <w:rsid w:val="00DF59FD"/>
    <w:rsid w:val="00DF5A41"/>
    <w:rsid w:val="00DF5C2E"/>
    <w:rsid w:val="00DF5E27"/>
    <w:rsid w:val="00DF5ED7"/>
    <w:rsid w:val="00DF619D"/>
    <w:rsid w:val="00DF627B"/>
    <w:rsid w:val="00DF635B"/>
    <w:rsid w:val="00DF6404"/>
    <w:rsid w:val="00DF6679"/>
    <w:rsid w:val="00DF6946"/>
    <w:rsid w:val="00DF6D6A"/>
    <w:rsid w:val="00DF7132"/>
    <w:rsid w:val="00DF7456"/>
    <w:rsid w:val="00DF7511"/>
    <w:rsid w:val="00DF75E5"/>
    <w:rsid w:val="00DF78A5"/>
    <w:rsid w:val="00DF79A0"/>
    <w:rsid w:val="00DF79E8"/>
    <w:rsid w:val="00DF7B66"/>
    <w:rsid w:val="00DF7CB1"/>
    <w:rsid w:val="00E00437"/>
    <w:rsid w:val="00E0082D"/>
    <w:rsid w:val="00E00B0D"/>
    <w:rsid w:val="00E00C49"/>
    <w:rsid w:val="00E00E22"/>
    <w:rsid w:val="00E0120D"/>
    <w:rsid w:val="00E01509"/>
    <w:rsid w:val="00E015D8"/>
    <w:rsid w:val="00E016F0"/>
    <w:rsid w:val="00E01738"/>
    <w:rsid w:val="00E018D3"/>
    <w:rsid w:val="00E01B37"/>
    <w:rsid w:val="00E01CC4"/>
    <w:rsid w:val="00E026BA"/>
    <w:rsid w:val="00E027D9"/>
    <w:rsid w:val="00E02B24"/>
    <w:rsid w:val="00E02B9F"/>
    <w:rsid w:val="00E02D90"/>
    <w:rsid w:val="00E02DAA"/>
    <w:rsid w:val="00E02FC2"/>
    <w:rsid w:val="00E0302A"/>
    <w:rsid w:val="00E030E6"/>
    <w:rsid w:val="00E030FB"/>
    <w:rsid w:val="00E0342D"/>
    <w:rsid w:val="00E0349E"/>
    <w:rsid w:val="00E03595"/>
    <w:rsid w:val="00E037CE"/>
    <w:rsid w:val="00E03A5E"/>
    <w:rsid w:val="00E04033"/>
    <w:rsid w:val="00E0415C"/>
    <w:rsid w:val="00E04581"/>
    <w:rsid w:val="00E0464B"/>
    <w:rsid w:val="00E04712"/>
    <w:rsid w:val="00E04B1C"/>
    <w:rsid w:val="00E04E6E"/>
    <w:rsid w:val="00E04F4F"/>
    <w:rsid w:val="00E050BD"/>
    <w:rsid w:val="00E051DA"/>
    <w:rsid w:val="00E05328"/>
    <w:rsid w:val="00E054BC"/>
    <w:rsid w:val="00E05912"/>
    <w:rsid w:val="00E05A7F"/>
    <w:rsid w:val="00E05AA1"/>
    <w:rsid w:val="00E05C60"/>
    <w:rsid w:val="00E05CF1"/>
    <w:rsid w:val="00E05D38"/>
    <w:rsid w:val="00E05DA0"/>
    <w:rsid w:val="00E06036"/>
    <w:rsid w:val="00E06047"/>
    <w:rsid w:val="00E06293"/>
    <w:rsid w:val="00E0643E"/>
    <w:rsid w:val="00E06475"/>
    <w:rsid w:val="00E06480"/>
    <w:rsid w:val="00E064D5"/>
    <w:rsid w:val="00E0667D"/>
    <w:rsid w:val="00E066A3"/>
    <w:rsid w:val="00E0689F"/>
    <w:rsid w:val="00E06926"/>
    <w:rsid w:val="00E06A12"/>
    <w:rsid w:val="00E06B43"/>
    <w:rsid w:val="00E06D4A"/>
    <w:rsid w:val="00E06E10"/>
    <w:rsid w:val="00E06EB8"/>
    <w:rsid w:val="00E06F82"/>
    <w:rsid w:val="00E07088"/>
    <w:rsid w:val="00E070F5"/>
    <w:rsid w:val="00E0716A"/>
    <w:rsid w:val="00E076BA"/>
    <w:rsid w:val="00E07853"/>
    <w:rsid w:val="00E07A18"/>
    <w:rsid w:val="00E07BF7"/>
    <w:rsid w:val="00E07C3B"/>
    <w:rsid w:val="00E07F0F"/>
    <w:rsid w:val="00E10107"/>
    <w:rsid w:val="00E10269"/>
    <w:rsid w:val="00E10519"/>
    <w:rsid w:val="00E10B04"/>
    <w:rsid w:val="00E10C38"/>
    <w:rsid w:val="00E10E27"/>
    <w:rsid w:val="00E10E46"/>
    <w:rsid w:val="00E10FEF"/>
    <w:rsid w:val="00E1116B"/>
    <w:rsid w:val="00E1126A"/>
    <w:rsid w:val="00E11478"/>
    <w:rsid w:val="00E114D0"/>
    <w:rsid w:val="00E1173B"/>
    <w:rsid w:val="00E117E9"/>
    <w:rsid w:val="00E119B4"/>
    <w:rsid w:val="00E11A11"/>
    <w:rsid w:val="00E11A17"/>
    <w:rsid w:val="00E11A56"/>
    <w:rsid w:val="00E11D92"/>
    <w:rsid w:val="00E11E28"/>
    <w:rsid w:val="00E11EFD"/>
    <w:rsid w:val="00E120F2"/>
    <w:rsid w:val="00E129FC"/>
    <w:rsid w:val="00E12EE0"/>
    <w:rsid w:val="00E130D1"/>
    <w:rsid w:val="00E1313E"/>
    <w:rsid w:val="00E13394"/>
    <w:rsid w:val="00E1339F"/>
    <w:rsid w:val="00E135B3"/>
    <w:rsid w:val="00E1375D"/>
    <w:rsid w:val="00E13ACA"/>
    <w:rsid w:val="00E13B26"/>
    <w:rsid w:val="00E13B6B"/>
    <w:rsid w:val="00E13C84"/>
    <w:rsid w:val="00E13CC7"/>
    <w:rsid w:val="00E13D05"/>
    <w:rsid w:val="00E1409D"/>
    <w:rsid w:val="00E1412E"/>
    <w:rsid w:val="00E1434B"/>
    <w:rsid w:val="00E143B8"/>
    <w:rsid w:val="00E144C4"/>
    <w:rsid w:val="00E14558"/>
    <w:rsid w:val="00E14596"/>
    <w:rsid w:val="00E14673"/>
    <w:rsid w:val="00E148B4"/>
    <w:rsid w:val="00E14C74"/>
    <w:rsid w:val="00E14CC1"/>
    <w:rsid w:val="00E14D50"/>
    <w:rsid w:val="00E14D52"/>
    <w:rsid w:val="00E1534A"/>
    <w:rsid w:val="00E153D7"/>
    <w:rsid w:val="00E15418"/>
    <w:rsid w:val="00E15440"/>
    <w:rsid w:val="00E154E1"/>
    <w:rsid w:val="00E158E6"/>
    <w:rsid w:val="00E15A64"/>
    <w:rsid w:val="00E15B0F"/>
    <w:rsid w:val="00E15C41"/>
    <w:rsid w:val="00E15EF5"/>
    <w:rsid w:val="00E15F80"/>
    <w:rsid w:val="00E161C5"/>
    <w:rsid w:val="00E1664D"/>
    <w:rsid w:val="00E16B9F"/>
    <w:rsid w:val="00E16DCD"/>
    <w:rsid w:val="00E171DB"/>
    <w:rsid w:val="00E17245"/>
    <w:rsid w:val="00E1778C"/>
    <w:rsid w:val="00E17BD6"/>
    <w:rsid w:val="00E17C54"/>
    <w:rsid w:val="00E17D60"/>
    <w:rsid w:val="00E17E3A"/>
    <w:rsid w:val="00E17E56"/>
    <w:rsid w:val="00E17F52"/>
    <w:rsid w:val="00E20328"/>
    <w:rsid w:val="00E206E8"/>
    <w:rsid w:val="00E20935"/>
    <w:rsid w:val="00E20D94"/>
    <w:rsid w:val="00E20DFC"/>
    <w:rsid w:val="00E20EB5"/>
    <w:rsid w:val="00E21017"/>
    <w:rsid w:val="00E21378"/>
    <w:rsid w:val="00E2137D"/>
    <w:rsid w:val="00E21392"/>
    <w:rsid w:val="00E213F5"/>
    <w:rsid w:val="00E21605"/>
    <w:rsid w:val="00E2198A"/>
    <w:rsid w:val="00E21B71"/>
    <w:rsid w:val="00E21F8D"/>
    <w:rsid w:val="00E2217C"/>
    <w:rsid w:val="00E22487"/>
    <w:rsid w:val="00E22934"/>
    <w:rsid w:val="00E229FB"/>
    <w:rsid w:val="00E22A63"/>
    <w:rsid w:val="00E22B24"/>
    <w:rsid w:val="00E22CA7"/>
    <w:rsid w:val="00E22CF3"/>
    <w:rsid w:val="00E22D47"/>
    <w:rsid w:val="00E22EF8"/>
    <w:rsid w:val="00E22F15"/>
    <w:rsid w:val="00E23069"/>
    <w:rsid w:val="00E230D5"/>
    <w:rsid w:val="00E230E4"/>
    <w:rsid w:val="00E234D4"/>
    <w:rsid w:val="00E235CD"/>
    <w:rsid w:val="00E237C9"/>
    <w:rsid w:val="00E23B26"/>
    <w:rsid w:val="00E23B70"/>
    <w:rsid w:val="00E23B90"/>
    <w:rsid w:val="00E23FCF"/>
    <w:rsid w:val="00E23FF6"/>
    <w:rsid w:val="00E24035"/>
    <w:rsid w:val="00E2433F"/>
    <w:rsid w:val="00E2452B"/>
    <w:rsid w:val="00E24ECD"/>
    <w:rsid w:val="00E24F15"/>
    <w:rsid w:val="00E250B6"/>
    <w:rsid w:val="00E2534B"/>
    <w:rsid w:val="00E25351"/>
    <w:rsid w:val="00E256CA"/>
    <w:rsid w:val="00E25723"/>
    <w:rsid w:val="00E258D8"/>
    <w:rsid w:val="00E259EF"/>
    <w:rsid w:val="00E25BE8"/>
    <w:rsid w:val="00E25D37"/>
    <w:rsid w:val="00E25F14"/>
    <w:rsid w:val="00E26165"/>
    <w:rsid w:val="00E26702"/>
    <w:rsid w:val="00E268B1"/>
    <w:rsid w:val="00E26AD4"/>
    <w:rsid w:val="00E26DF3"/>
    <w:rsid w:val="00E271B7"/>
    <w:rsid w:val="00E27518"/>
    <w:rsid w:val="00E27565"/>
    <w:rsid w:val="00E27864"/>
    <w:rsid w:val="00E27A8B"/>
    <w:rsid w:val="00E27AAA"/>
    <w:rsid w:val="00E27B29"/>
    <w:rsid w:val="00E27D53"/>
    <w:rsid w:val="00E27E15"/>
    <w:rsid w:val="00E301C9"/>
    <w:rsid w:val="00E30676"/>
    <w:rsid w:val="00E30AE2"/>
    <w:rsid w:val="00E30C53"/>
    <w:rsid w:val="00E311B3"/>
    <w:rsid w:val="00E311B5"/>
    <w:rsid w:val="00E311CF"/>
    <w:rsid w:val="00E31337"/>
    <w:rsid w:val="00E313BD"/>
    <w:rsid w:val="00E31402"/>
    <w:rsid w:val="00E31A60"/>
    <w:rsid w:val="00E31C58"/>
    <w:rsid w:val="00E31D0B"/>
    <w:rsid w:val="00E31DCD"/>
    <w:rsid w:val="00E31F80"/>
    <w:rsid w:val="00E320FF"/>
    <w:rsid w:val="00E32232"/>
    <w:rsid w:val="00E3229D"/>
    <w:rsid w:val="00E322A8"/>
    <w:rsid w:val="00E322DD"/>
    <w:rsid w:val="00E323AC"/>
    <w:rsid w:val="00E324C5"/>
    <w:rsid w:val="00E3257A"/>
    <w:rsid w:val="00E326A0"/>
    <w:rsid w:val="00E329FC"/>
    <w:rsid w:val="00E32A9C"/>
    <w:rsid w:val="00E32B62"/>
    <w:rsid w:val="00E32B9A"/>
    <w:rsid w:val="00E32BC4"/>
    <w:rsid w:val="00E32C45"/>
    <w:rsid w:val="00E32D7C"/>
    <w:rsid w:val="00E33012"/>
    <w:rsid w:val="00E330FC"/>
    <w:rsid w:val="00E331A8"/>
    <w:rsid w:val="00E33305"/>
    <w:rsid w:val="00E33311"/>
    <w:rsid w:val="00E333B0"/>
    <w:rsid w:val="00E33D18"/>
    <w:rsid w:val="00E3415F"/>
    <w:rsid w:val="00E34257"/>
    <w:rsid w:val="00E3428A"/>
    <w:rsid w:val="00E344C9"/>
    <w:rsid w:val="00E34518"/>
    <w:rsid w:val="00E347CA"/>
    <w:rsid w:val="00E348D3"/>
    <w:rsid w:val="00E34936"/>
    <w:rsid w:val="00E34AD2"/>
    <w:rsid w:val="00E34ADC"/>
    <w:rsid w:val="00E34B5D"/>
    <w:rsid w:val="00E34BBF"/>
    <w:rsid w:val="00E34C09"/>
    <w:rsid w:val="00E34EA0"/>
    <w:rsid w:val="00E34FE7"/>
    <w:rsid w:val="00E35026"/>
    <w:rsid w:val="00E3514A"/>
    <w:rsid w:val="00E35167"/>
    <w:rsid w:val="00E3528F"/>
    <w:rsid w:val="00E35434"/>
    <w:rsid w:val="00E3558F"/>
    <w:rsid w:val="00E356E0"/>
    <w:rsid w:val="00E356FE"/>
    <w:rsid w:val="00E35792"/>
    <w:rsid w:val="00E35A92"/>
    <w:rsid w:val="00E35B7A"/>
    <w:rsid w:val="00E35B8B"/>
    <w:rsid w:val="00E35FCB"/>
    <w:rsid w:val="00E35FD8"/>
    <w:rsid w:val="00E36025"/>
    <w:rsid w:val="00E365EA"/>
    <w:rsid w:val="00E3689D"/>
    <w:rsid w:val="00E36AAC"/>
    <w:rsid w:val="00E36D92"/>
    <w:rsid w:val="00E36E4C"/>
    <w:rsid w:val="00E36F6D"/>
    <w:rsid w:val="00E3722C"/>
    <w:rsid w:val="00E374E1"/>
    <w:rsid w:val="00E37887"/>
    <w:rsid w:val="00E37C37"/>
    <w:rsid w:val="00E37E7C"/>
    <w:rsid w:val="00E40709"/>
    <w:rsid w:val="00E40C02"/>
    <w:rsid w:val="00E40D92"/>
    <w:rsid w:val="00E40D9D"/>
    <w:rsid w:val="00E40E0E"/>
    <w:rsid w:val="00E40E4D"/>
    <w:rsid w:val="00E40E7D"/>
    <w:rsid w:val="00E41015"/>
    <w:rsid w:val="00E411AB"/>
    <w:rsid w:val="00E4127B"/>
    <w:rsid w:val="00E4156D"/>
    <w:rsid w:val="00E417CC"/>
    <w:rsid w:val="00E417D7"/>
    <w:rsid w:val="00E4187F"/>
    <w:rsid w:val="00E419DF"/>
    <w:rsid w:val="00E41A28"/>
    <w:rsid w:val="00E41D59"/>
    <w:rsid w:val="00E42098"/>
    <w:rsid w:val="00E4212C"/>
    <w:rsid w:val="00E42235"/>
    <w:rsid w:val="00E42265"/>
    <w:rsid w:val="00E4283A"/>
    <w:rsid w:val="00E4288A"/>
    <w:rsid w:val="00E42B06"/>
    <w:rsid w:val="00E42C30"/>
    <w:rsid w:val="00E42C36"/>
    <w:rsid w:val="00E42E8D"/>
    <w:rsid w:val="00E42F2B"/>
    <w:rsid w:val="00E43086"/>
    <w:rsid w:val="00E43134"/>
    <w:rsid w:val="00E43137"/>
    <w:rsid w:val="00E431EB"/>
    <w:rsid w:val="00E43283"/>
    <w:rsid w:val="00E43365"/>
    <w:rsid w:val="00E43515"/>
    <w:rsid w:val="00E4355B"/>
    <w:rsid w:val="00E436BD"/>
    <w:rsid w:val="00E43964"/>
    <w:rsid w:val="00E43977"/>
    <w:rsid w:val="00E43AE5"/>
    <w:rsid w:val="00E43ED9"/>
    <w:rsid w:val="00E440A3"/>
    <w:rsid w:val="00E444F4"/>
    <w:rsid w:val="00E4463B"/>
    <w:rsid w:val="00E44879"/>
    <w:rsid w:val="00E448FC"/>
    <w:rsid w:val="00E44976"/>
    <w:rsid w:val="00E449FC"/>
    <w:rsid w:val="00E44A7A"/>
    <w:rsid w:val="00E44D13"/>
    <w:rsid w:val="00E44DEA"/>
    <w:rsid w:val="00E44E1B"/>
    <w:rsid w:val="00E44E61"/>
    <w:rsid w:val="00E44FA7"/>
    <w:rsid w:val="00E4506C"/>
    <w:rsid w:val="00E451EF"/>
    <w:rsid w:val="00E45426"/>
    <w:rsid w:val="00E454EF"/>
    <w:rsid w:val="00E458DE"/>
    <w:rsid w:val="00E458FF"/>
    <w:rsid w:val="00E45DD0"/>
    <w:rsid w:val="00E45DD2"/>
    <w:rsid w:val="00E45E67"/>
    <w:rsid w:val="00E46415"/>
    <w:rsid w:val="00E464B4"/>
    <w:rsid w:val="00E4683A"/>
    <w:rsid w:val="00E46881"/>
    <w:rsid w:val="00E46CA7"/>
    <w:rsid w:val="00E46FB1"/>
    <w:rsid w:val="00E4702A"/>
    <w:rsid w:val="00E47059"/>
    <w:rsid w:val="00E4714C"/>
    <w:rsid w:val="00E47453"/>
    <w:rsid w:val="00E474C4"/>
    <w:rsid w:val="00E476C8"/>
    <w:rsid w:val="00E47887"/>
    <w:rsid w:val="00E478C2"/>
    <w:rsid w:val="00E5007F"/>
    <w:rsid w:val="00E50254"/>
    <w:rsid w:val="00E5057D"/>
    <w:rsid w:val="00E50654"/>
    <w:rsid w:val="00E50C60"/>
    <w:rsid w:val="00E50EF0"/>
    <w:rsid w:val="00E51074"/>
    <w:rsid w:val="00E51330"/>
    <w:rsid w:val="00E51498"/>
    <w:rsid w:val="00E514DD"/>
    <w:rsid w:val="00E514EE"/>
    <w:rsid w:val="00E51557"/>
    <w:rsid w:val="00E519CD"/>
    <w:rsid w:val="00E51BE0"/>
    <w:rsid w:val="00E51E5E"/>
    <w:rsid w:val="00E521E3"/>
    <w:rsid w:val="00E526CF"/>
    <w:rsid w:val="00E52764"/>
    <w:rsid w:val="00E527C4"/>
    <w:rsid w:val="00E52A38"/>
    <w:rsid w:val="00E52B72"/>
    <w:rsid w:val="00E52CBC"/>
    <w:rsid w:val="00E531CB"/>
    <w:rsid w:val="00E53260"/>
    <w:rsid w:val="00E53311"/>
    <w:rsid w:val="00E534B5"/>
    <w:rsid w:val="00E537E1"/>
    <w:rsid w:val="00E5399D"/>
    <w:rsid w:val="00E539D3"/>
    <w:rsid w:val="00E54019"/>
    <w:rsid w:val="00E5444C"/>
    <w:rsid w:val="00E54500"/>
    <w:rsid w:val="00E545F2"/>
    <w:rsid w:val="00E54792"/>
    <w:rsid w:val="00E54880"/>
    <w:rsid w:val="00E54A01"/>
    <w:rsid w:val="00E54AC7"/>
    <w:rsid w:val="00E54DFC"/>
    <w:rsid w:val="00E55334"/>
    <w:rsid w:val="00E5543A"/>
    <w:rsid w:val="00E556D6"/>
    <w:rsid w:val="00E5580B"/>
    <w:rsid w:val="00E558A6"/>
    <w:rsid w:val="00E55ABF"/>
    <w:rsid w:val="00E55FF0"/>
    <w:rsid w:val="00E561CA"/>
    <w:rsid w:val="00E5624E"/>
    <w:rsid w:val="00E56376"/>
    <w:rsid w:val="00E56402"/>
    <w:rsid w:val="00E564C3"/>
    <w:rsid w:val="00E56628"/>
    <w:rsid w:val="00E56686"/>
    <w:rsid w:val="00E5678E"/>
    <w:rsid w:val="00E56A93"/>
    <w:rsid w:val="00E56D96"/>
    <w:rsid w:val="00E56E16"/>
    <w:rsid w:val="00E5717C"/>
    <w:rsid w:val="00E57263"/>
    <w:rsid w:val="00E573A1"/>
    <w:rsid w:val="00E573B4"/>
    <w:rsid w:val="00E573DE"/>
    <w:rsid w:val="00E57551"/>
    <w:rsid w:val="00E57691"/>
    <w:rsid w:val="00E578B6"/>
    <w:rsid w:val="00E57C02"/>
    <w:rsid w:val="00E57ECE"/>
    <w:rsid w:val="00E60072"/>
    <w:rsid w:val="00E6036D"/>
    <w:rsid w:val="00E6072A"/>
    <w:rsid w:val="00E609F5"/>
    <w:rsid w:val="00E60ED5"/>
    <w:rsid w:val="00E61099"/>
    <w:rsid w:val="00E6116E"/>
    <w:rsid w:val="00E615B5"/>
    <w:rsid w:val="00E61640"/>
    <w:rsid w:val="00E616CE"/>
    <w:rsid w:val="00E61AF5"/>
    <w:rsid w:val="00E61D70"/>
    <w:rsid w:val="00E61FA7"/>
    <w:rsid w:val="00E620ED"/>
    <w:rsid w:val="00E62316"/>
    <w:rsid w:val="00E62759"/>
    <w:rsid w:val="00E62880"/>
    <w:rsid w:val="00E62B4C"/>
    <w:rsid w:val="00E62C82"/>
    <w:rsid w:val="00E62ED1"/>
    <w:rsid w:val="00E63070"/>
    <w:rsid w:val="00E630FC"/>
    <w:rsid w:val="00E631D4"/>
    <w:rsid w:val="00E64019"/>
    <w:rsid w:val="00E640E9"/>
    <w:rsid w:val="00E641BD"/>
    <w:rsid w:val="00E64999"/>
    <w:rsid w:val="00E64A0C"/>
    <w:rsid w:val="00E64EEA"/>
    <w:rsid w:val="00E65119"/>
    <w:rsid w:val="00E653BB"/>
    <w:rsid w:val="00E65515"/>
    <w:rsid w:val="00E656D4"/>
    <w:rsid w:val="00E659CA"/>
    <w:rsid w:val="00E65B74"/>
    <w:rsid w:val="00E65CAA"/>
    <w:rsid w:val="00E6611F"/>
    <w:rsid w:val="00E66273"/>
    <w:rsid w:val="00E6627A"/>
    <w:rsid w:val="00E66514"/>
    <w:rsid w:val="00E667E1"/>
    <w:rsid w:val="00E6686C"/>
    <w:rsid w:val="00E66A9A"/>
    <w:rsid w:val="00E66B03"/>
    <w:rsid w:val="00E66BAF"/>
    <w:rsid w:val="00E66F53"/>
    <w:rsid w:val="00E66F77"/>
    <w:rsid w:val="00E671FA"/>
    <w:rsid w:val="00E6725C"/>
    <w:rsid w:val="00E673D5"/>
    <w:rsid w:val="00E674E3"/>
    <w:rsid w:val="00E67565"/>
    <w:rsid w:val="00E679C4"/>
    <w:rsid w:val="00E67F4B"/>
    <w:rsid w:val="00E7009E"/>
    <w:rsid w:val="00E701E8"/>
    <w:rsid w:val="00E70433"/>
    <w:rsid w:val="00E70754"/>
    <w:rsid w:val="00E70AD5"/>
    <w:rsid w:val="00E70EDA"/>
    <w:rsid w:val="00E71094"/>
    <w:rsid w:val="00E71399"/>
    <w:rsid w:val="00E718AC"/>
    <w:rsid w:val="00E718CA"/>
    <w:rsid w:val="00E71B24"/>
    <w:rsid w:val="00E71D09"/>
    <w:rsid w:val="00E71E2D"/>
    <w:rsid w:val="00E7247F"/>
    <w:rsid w:val="00E724FB"/>
    <w:rsid w:val="00E72993"/>
    <w:rsid w:val="00E729A3"/>
    <w:rsid w:val="00E73151"/>
    <w:rsid w:val="00E7316A"/>
    <w:rsid w:val="00E731A4"/>
    <w:rsid w:val="00E731AF"/>
    <w:rsid w:val="00E731BB"/>
    <w:rsid w:val="00E73330"/>
    <w:rsid w:val="00E7335B"/>
    <w:rsid w:val="00E733DE"/>
    <w:rsid w:val="00E735A5"/>
    <w:rsid w:val="00E73979"/>
    <w:rsid w:val="00E73A57"/>
    <w:rsid w:val="00E73D57"/>
    <w:rsid w:val="00E73D7C"/>
    <w:rsid w:val="00E740EB"/>
    <w:rsid w:val="00E74250"/>
    <w:rsid w:val="00E7435B"/>
    <w:rsid w:val="00E74950"/>
    <w:rsid w:val="00E74951"/>
    <w:rsid w:val="00E74A78"/>
    <w:rsid w:val="00E74F0B"/>
    <w:rsid w:val="00E750C3"/>
    <w:rsid w:val="00E7511A"/>
    <w:rsid w:val="00E752BF"/>
    <w:rsid w:val="00E752F9"/>
    <w:rsid w:val="00E7552C"/>
    <w:rsid w:val="00E757CE"/>
    <w:rsid w:val="00E75955"/>
    <w:rsid w:val="00E75997"/>
    <w:rsid w:val="00E7643F"/>
    <w:rsid w:val="00E764CA"/>
    <w:rsid w:val="00E764F0"/>
    <w:rsid w:val="00E76754"/>
    <w:rsid w:val="00E767F6"/>
    <w:rsid w:val="00E768EF"/>
    <w:rsid w:val="00E76C75"/>
    <w:rsid w:val="00E7712D"/>
    <w:rsid w:val="00E7717E"/>
    <w:rsid w:val="00E771F8"/>
    <w:rsid w:val="00E773F0"/>
    <w:rsid w:val="00E77543"/>
    <w:rsid w:val="00E775B1"/>
    <w:rsid w:val="00E777E7"/>
    <w:rsid w:val="00E77804"/>
    <w:rsid w:val="00E77E69"/>
    <w:rsid w:val="00E77F55"/>
    <w:rsid w:val="00E77FDA"/>
    <w:rsid w:val="00E801D0"/>
    <w:rsid w:val="00E80723"/>
    <w:rsid w:val="00E809AA"/>
    <w:rsid w:val="00E80A15"/>
    <w:rsid w:val="00E80A89"/>
    <w:rsid w:val="00E80DA4"/>
    <w:rsid w:val="00E80E37"/>
    <w:rsid w:val="00E810C0"/>
    <w:rsid w:val="00E81114"/>
    <w:rsid w:val="00E812C4"/>
    <w:rsid w:val="00E81736"/>
    <w:rsid w:val="00E81A52"/>
    <w:rsid w:val="00E81B2A"/>
    <w:rsid w:val="00E81CAF"/>
    <w:rsid w:val="00E81D57"/>
    <w:rsid w:val="00E81E2E"/>
    <w:rsid w:val="00E81EC1"/>
    <w:rsid w:val="00E82252"/>
    <w:rsid w:val="00E825B2"/>
    <w:rsid w:val="00E8292E"/>
    <w:rsid w:val="00E82BB4"/>
    <w:rsid w:val="00E82E40"/>
    <w:rsid w:val="00E830D5"/>
    <w:rsid w:val="00E835D3"/>
    <w:rsid w:val="00E836BC"/>
    <w:rsid w:val="00E83762"/>
    <w:rsid w:val="00E838CD"/>
    <w:rsid w:val="00E83B7B"/>
    <w:rsid w:val="00E83BF3"/>
    <w:rsid w:val="00E83C5F"/>
    <w:rsid w:val="00E846C9"/>
    <w:rsid w:val="00E847D6"/>
    <w:rsid w:val="00E848C3"/>
    <w:rsid w:val="00E8490A"/>
    <w:rsid w:val="00E84A1C"/>
    <w:rsid w:val="00E84AD2"/>
    <w:rsid w:val="00E84EEE"/>
    <w:rsid w:val="00E84F97"/>
    <w:rsid w:val="00E85032"/>
    <w:rsid w:val="00E85095"/>
    <w:rsid w:val="00E85127"/>
    <w:rsid w:val="00E85695"/>
    <w:rsid w:val="00E8588A"/>
    <w:rsid w:val="00E85BB6"/>
    <w:rsid w:val="00E85C51"/>
    <w:rsid w:val="00E85E3F"/>
    <w:rsid w:val="00E860C2"/>
    <w:rsid w:val="00E8612C"/>
    <w:rsid w:val="00E865F0"/>
    <w:rsid w:val="00E86680"/>
    <w:rsid w:val="00E86D76"/>
    <w:rsid w:val="00E86DF1"/>
    <w:rsid w:val="00E870F4"/>
    <w:rsid w:val="00E8737C"/>
    <w:rsid w:val="00E87988"/>
    <w:rsid w:val="00E87B1F"/>
    <w:rsid w:val="00E87F78"/>
    <w:rsid w:val="00E90005"/>
    <w:rsid w:val="00E9008D"/>
    <w:rsid w:val="00E900D8"/>
    <w:rsid w:val="00E901C8"/>
    <w:rsid w:val="00E902F6"/>
    <w:rsid w:val="00E90589"/>
    <w:rsid w:val="00E905DA"/>
    <w:rsid w:val="00E90966"/>
    <w:rsid w:val="00E9096D"/>
    <w:rsid w:val="00E90971"/>
    <w:rsid w:val="00E90C4B"/>
    <w:rsid w:val="00E90D86"/>
    <w:rsid w:val="00E914F5"/>
    <w:rsid w:val="00E91729"/>
    <w:rsid w:val="00E91B8F"/>
    <w:rsid w:val="00E91CED"/>
    <w:rsid w:val="00E91EF5"/>
    <w:rsid w:val="00E92046"/>
    <w:rsid w:val="00E920F6"/>
    <w:rsid w:val="00E92351"/>
    <w:rsid w:val="00E9260E"/>
    <w:rsid w:val="00E92624"/>
    <w:rsid w:val="00E926B1"/>
    <w:rsid w:val="00E927B5"/>
    <w:rsid w:val="00E92EAD"/>
    <w:rsid w:val="00E92EC8"/>
    <w:rsid w:val="00E930E7"/>
    <w:rsid w:val="00E9329C"/>
    <w:rsid w:val="00E937EC"/>
    <w:rsid w:val="00E940B1"/>
    <w:rsid w:val="00E941F2"/>
    <w:rsid w:val="00E94387"/>
    <w:rsid w:val="00E94487"/>
    <w:rsid w:val="00E945D4"/>
    <w:rsid w:val="00E947E4"/>
    <w:rsid w:val="00E947EA"/>
    <w:rsid w:val="00E94ACB"/>
    <w:rsid w:val="00E94C8E"/>
    <w:rsid w:val="00E94FC8"/>
    <w:rsid w:val="00E951B1"/>
    <w:rsid w:val="00E95372"/>
    <w:rsid w:val="00E95865"/>
    <w:rsid w:val="00E958BA"/>
    <w:rsid w:val="00E95989"/>
    <w:rsid w:val="00E95BAD"/>
    <w:rsid w:val="00E95D3E"/>
    <w:rsid w:val="00E96334"/>
    <w:rsid w:val="00E964E4"/>
    <w:rsid w:val="00E967DE"/>
    <w:rsid w:val="00E96B73"/>
    <w:rsid w:val="00E970CD"/>
    <w:rsid w:val="00E97290"/>
    <w:rsid w:val="00E97332"/>
    <w:rsid w:val="00E976D6"/>
    <w:rsid w:val="00E97A19"/>
    <w:rsid w:val="00EA0343"/>
    <w:rsid w:val="00EA03BD"/>
    <w:rsid w:val="00EA078A"/>
    <w:rsid w:val="00EA0853"/>
    <w:rsid w:val="00EA08DE"/>
    <w:rsid w:val="00EA0A94"/>
    <w:rsid w:val="00EA0CAA"/>
    <w:rsid w:val="00EA1054"/>
    <w:rsid w:val="00EA1062"/>
    <w:rsid w:val="00EA1771"/>
    <w:rsid w:val="00EA17B5"/>
    <w:rsid w:val="00EA1AC7"/>
    <w:rsid w:val="00EA1C7B"/>
    <w:rsid w:val="00EA1D75"/>
    <w:rsid w:val="00EA1FA8"/>
    <w:rsid w:val="00EA259F"/>
    <w:rsid w:val="00EA2897"/>
    <w:rsid w:val="00EA28D5"/>
    <w:rsid w:val="00EA2951"/>
    <w:rsid w:val="00EA311F"/>
    <w:rsid w:val="00EA3658"/>
    <w:rsid w:val="00EA3AB2"/>
    <w:rsid w:val="00EA3BF9"/>
    <w:rsid w:val="00EA3CE2"/>
    <w:rsid w:val="00EA3DED"/>
    <w:rsid w:val="00EA3F4F"/>
    <w:rsid w:val="00EA4103"/>
    <w:rsid w:val="00EA4111"/>
    <w:rsid w:val="00EA4117"/>
    <w:rsid w:val="00EA4149"/>
    <w:rsid w:val="00EA42B6"/>
    <w:rsid w:val="00EA43E7"/>
    <w:rsid w:val="00EA4818"/>
    <w:rsid w:val="00EA496A"/>
    <w:rsid w:val="00EA49C4"/>
    <w:rsid w:val="00EA4A3E"/>
    <w:rsid w:val="00EA4CD5"/>
    <w:rsid w:val="00EA4E8D"/>
    <w:rsid w:val="00EA4FA2"/>
    <w:rsid w:val="00EA4FAE"/>
    <w:rsid w:val="00EA50CB"/>
    <w:rsid w:val="00EA51A3"/>
    <w:rsid w:val="00EA52B1"/>
    <w:rsid w:val="00EA5304"/>
    <w:rsid w:val="00EA5306"/>
    <w:rsid w:val="00EA53A8"/>
    <w:rsid w:val="00EA54D5"/>
    <w:rsid w:val="00EA552C"/>
    <w:rsid w:val="00EA55D3"/>
    <w:rsid w:val="00EA55E5"/>
    <w:rsid w:val="00EA58D1"/>
    <w:rsid w:val="00EA5A53"/>
    <w:rsid w:val="00EA5B33"/>
    <w:rsid w:val="00EA5C2A"/>
    <w:rsid w:val="00EA5EF0"/>
    <w:rsid w:val="00EA5F35"/>
    <w:rsid w:val="00EA60DC"/>
    <w:rsid w:val="00EA6225"/>
    <w:rsid w:val="00EA63DD"/>
    <w:rsid w:val="00EA6430"/>
    <w:rsid w:val="00EA6632"/>
    <w:rsid w:val="00EA66FD"/>
    <w:rsid w:val="00EA6792"/>
    <w:rsid w:val="00EA698E"/>
    <w:rsid w:val="00EA6C0B"/>
    <w:rsid w:val="00EA6CBD"/>
    <w:rsid w:val="00EA73E3"/>
    <w:rsid w:val="00EA759D"/>
    <w:rsid w:val="00EA794C"/>
    <w:rsid w:val="00EB04F7"/>
    <w:rsid w:val="00EB0569"/>
    <w:rsid w:val="00EB0AA4"/>
    <w:rsid w:val="00EB0B1D"/>
    <w:rsid w:val="00EB0B5F"/>
    <w:rsid w:val="00EB0E61"/>
    <w:rsid w:val="00EB0EDB"/>
    <w:rsid w:val="00EB115A"/>
    <w:rsid w:val="00EB1217"/>
    <w:rsid w:val="00EB126C"/>
    <w:rsid w:val="00EB140C"/>
    <w:rsid w:val="00EB1573"/>
    <w:rsid w:val="00EB1968"/>
    <w:rsid w:val="00EB19DF"/>
    <w:rsid w:val="00EB1DF3"/>
    <w:rsid w:val="00EB2014"/>
    <w:rsid w:val="00EB202F"/>
    <w:rsid w:val="00EB20D1"/>
    <w:rsid w:val="00EB2375"/>
    <w:rsid w:val="00EB26A5"/>
    <w:rsid w:val="00EB2731"/>
    <w:rsid w:val="00EB2811"/>
    <w:rsid w:val="00EB296C"/>
    <w:rsid w:val="00EB2D85"/>
    <w:rsid w:val="00EB2EE2"/>
    <w:rsid w:val="00EB2F2A"/>
    <w:rsid w:val="00EB2FD9"/>
    <w:rsid w:val="00EB3110"/>
    <w:rsid w:val="00EB311F"/>
    <w:rsid w:val="00EB3244"/>
    <w:rsid w:val="00EB329E"/>
    <w:rsid w:val="00EB3355"/>
    <w:rsid w:val="00EB3418"/>
    <w:rsid w:val="00EB3592"/>
    <w:rsid w:val="00EB3939"/>
    <w:rsid w:val="00EB401A"/>
    <w:rsid w:val="00EB4271"/>
    <w:rsid w:val="00EB4632"/>
    <w:rsid w:val="00EB468D"/>
    <w:rsid w:val="00EB47BD"/>
    <w:rsid w:val="00EB49EB"/>
    <w:rsid w:val="00EB4EFF"/>
    <w:rsid w:val="00EB5238"/>
    <w:rsid w:val="00EB52AE"/>
    <w:rsid w:val="00EB572B"/>
    <w:rsid w:val="00EB5841"/>
    <w:rsid w:val="00EB5A9A"/>
    <w:rsid w:val="00EB5C61"/>
    <w:rsid w:val="00EB5CD2"/>
    <w:rsid w:val="00EB61DF"/>
    <w:rsid w:val="00EB63B2"/>
    <w:rsid w:val="00EB6426"/>
    <w:rsid w:val="00EB6627"/>
    <w:rsid w:val="00EB68A5"/>
    <w:rsid w:val="00EB6E1B"/>
    <w:rsid w:val="00EB70CA"/>
    <w:rsid w:val="00EB72ED"/>
    <w:rsid w:val="00EB7364"/>
    <w:rsid w:val="00EB7457"/>
    <w:rsid w:val="00EB7488"/>
    <w:rsid w:val="00EB7491"/>
    <w:rsid w:val="00EB76DE"/>
    <w:rsid w:val="00EB7A6C"/>
    <w:rsid w:val="00EB7FE4"/>
    <w:rsid w:val="00EC0111"/>
    <w:rsid w:val="00EC027B"/>
    <w:rsid w:val="00EC08BE"/>
    <w:rsid w:val="00EC0B57"/>
    <w:rsid w:val="00EC0CA6"/>
    <w:rsid w:val="00EC1081"/>
    <w:rsid w:val="00EC11E6"/>
    <w:rsid w:val="00EC120E"/>
    <w:rsid w:val="00EC12D6"/>
    <w:rsid w:val="00EC173A"/>
    <w:rsid w:val="00EC1744"/>
    <w:rsid w:val="00EC17A8"/>
    <w:rsid w:val="00EC1921"/>
    <w:rsid w:val="00EC1AC0"/>
    <w:rsid w:val="00EC1E38"/>
    <w:rsid w:val="00EC20CE"/>
    <w:rsid w:val="00EC2657"/>
    <w:rsid w:val="00EC275B"/>
    <w:rsid w:val="00EC29F9"/>
    <w:rsid w:val="00EC2A8D"/>
    <w:rsid w:val="00EC2AF9"/>
    <w:rsid w:val="00EC2B6F"/>
    <w:rsid w:val="00EC34AC"/>
    <w:rsid w:val="00EC367E"/>
    <w:rsid w:val="00EC374F"/>
    <w:rsid w:val="00EC375A"/>
    <w:rsid w:val="00EC3E64"/>
    <w:rsid w:val="00EC3EA8"/>
    <w:rsid w:val="00EC423A"/>
    <w:rsid w:val="00EC4795"/>
    <w:rsid w:val="00EC4CB7"/>
    <w:rsid w:val="00EC4F3C"/>
    <w:rsid w:val="00EC53C2"/>
    <w:rsid w:val="00EC5411"/>
    <w:rsid w:val="00EC58EA"/>
    <w:rsid w:val="00EC592B"/>
    <w:rsid w:val="00EC5BC2"/>
    <w:rsid w:val="00EC5C13"/>
    <w:rsid w:val="00EC5C6A"/>
    <w:rsid w:val="00EC5DFA"/>
    <w:rsid w:val="00EC5E54"/>
    <w:rsid w:val="00EC5FD0"/>
    <w:rsid w:val="00EC604F"/>
    <w:rsid w:val="00EC6409"/>
    <w:rsid w:val="00EC65BB"/>
    <w:rsid w:val="00EC66B7"/>
    <w:rsid w:val="00EC67AF"/>
    <w:rsid w:val="00EC67C6"/>
    <w:rsid w:val="00EC6816"/>
    <w:rsid w:val="00EC6B28"/>
    <w:rsid w:val="00EC6DD3"/>
    <w:rsid w:val="00EC6F10"/>
    <w:rsid w:val="00EC6F8C"/>
    <w:rsid w:val="00EC720B"/>
    <w:rsid w:val="00EC76F5"/>
    <w:rsid w:val="00EC7830"/>
    <w:rsid w:val="00EC78DD"/>
    <w:rsid w:val="00EC7A88"/>
    <w:rsid w:val="00EC7BE8"/>
    <w:rsid w:val="00EC7D27"/>
    <w:rsid w:val="00EC7E81"/>
    <w:rsid w:val="00ED0070"/>
    <w:rsid w:val="00ED00D5"/>
    <w:rsid w:val="00ED0271"/>
    <w:rsid w:val="00ED0397"/>
    <w:rsid w:val="00ED0408"/>
    <w:rsid w:val="00ED04BB"/>
    <w:rsid w:val="00ED0711"/>
    <w:rsid w:val="00ED0839"/>
    <w:rsid w:val="00ED0928"/>
    <w:rsid w:val="00ED0B88"/>
    <w:rsid w:val="00ED0E03"/>
    <w:rsid w:val="00ED11AA"/>
    <w:rsid w:val="00ED11E4"/>
    <w:rsid w:val="00ED124A"/>
    <w:rsid w:val="00ED12FB"/>
    <w:rsid w:val="00ED1380"/>
    <w:rsid w:val="00ED164F"/>
    <w:rsid w:val="00ED18CA"/>
    <w:rsid w:val="00ED1C93"/>
    <w:rsid w:val="00ED2056"/>
    <w:rsid w:val="00ED2587"/>
    <w:rsid w:val="00ED27F4"/>
    <w:rsid w:val="00ED2822"/>
    <w:rsid w:val="00ED2CE8"/>
    <w:rsid w:val="00ED2D97"/>
    <w:rsid w:val="00ED3631"/>
    <w:rsid w:val="00ED3782"/>
    <w:rsid w:val="00ED3CB9"/>
    <w:rsid w:val="00ED3CD4"/>
    <w:rsid w:val="00ED3D30"/>
    <w:rsid w:val="00ED401F"/>
    <w:rsid w:val="00ED45FC"/>
    <w:rsid w:val="00ED4669"/>
    <w:rsid w:val="00ED4681"/>
    <w:rsid w:val="00ED4700"/>
    <w:rsid w:val="00ED493E"/>
    <w:rsid w:val="00ED4965"/>
    <w:rsid w:val="00ED49A2"/>
    <w:rsid w:val="00ED4D2E"/>
    <w:rsid w:val="00ED51C4"/>
    <w:rsid w:val="00ED5368"/>
    <w:rsid w:val="00ED5427"/>
    <w:rsid w:val="00ED54C3"/>
    <w:rsid w:val="00ED563D"/>
    <w:rsid w:val="00ED5A16"/>
    <w:rsid w:val="00ED5B63"/>
    <w:rsid w:val="00ED5E07"/>
    <w:rsid w:val="00ED5E2B"/>
    <w:rsid w:val="00ED5F26"/>
    <w:rsid w:val="00ED6492"/>
    <w:rsid w:val="00ED6604"/>
    <w:rsid w:val="00ED668C"/>
    <w:rsid w:val="00ED6851"/>
    <w:rsid w:val="00ED6939"/>
    <w:rsid w:val="00ED6978"/>
    <w:rsid w:val="00ED6C8C"/>
    <w:rsid w:val="00ED6D34"/>
    <w:rsid w:val="00ED71EB"/>
    <w:rsid w:val="00ED732C"/>
    <w:rsid w:val="00ED7488"/>
    <w:rsid w:val="00ED74EC"/>
    <w:rsid w:val="00ED7A9B"/>
    <w:rsid w:val="00ED7D5E"/>
    <w:rsid w:val="00ED7E0F"/>
    <w:rsid w:val="00ED7E15"/>
    <w:rsid w:val="00ED7E71"/>
    <w:rsid w:val="00EE0070"/>
    <w:rsid w:val="00EE027A"/>
    <w:rsid w:val="00EE034D"/>
    <w:rsid w:val="00EE0773"/>
    <w:rsid w:val="00EE089F"/>
    <w:rsid w:val="00EE08CF"/>
    <w:rsid w:val="00EE0914"/>
    <w:rsid w:val="00EE0B91"/>
    <w:rsid w:val="00EE0EA2"/>
    <w:rsid w:val="00EE10C1"/>
    <w:rsid w:val="00EE18D7"/>
    <w:rsid w:val="00EE19C8"/>
    <w:rsid w:val="00EE1A4F"/>
    <w:rsid w:val="00EE1C59"/>
    <w:rsid w:val="00EE1D07"/>
    <w:rsid w:val="00EE1DF9"/>
    <w:rsid w:val="00EE1F81"/>
    <w:rsid w:val="00EE1FF6"/>
    <w:rsid w:val="00EE2088"/>
    <w:rsid w:val="00EE24B1"/>
    <w:rsid w:val="00EE24DE"/>
    <w:rsid w:val="00EE278C"/>
    <w:rsid w:val="00EE2D26"/>
    <w:rsid w:val="00EE2E50"/>
    <w:rsid w:val="00EE2FAC"/>
    <w:rsid w:val="00EE2FC2"/>
    <w:rsid w:val="00EE312A"/>
    <w:rsid w:val="00EE31F4"/>
    <w:rsid w:val="00EE32D5"/>
    <w:rsid w:val="00EE3456"/>
    <w:rsid w:val="00EE35AF"/>
    <w:rsid w:val="00EE3A2A"/>
    <w:rsid w:val="00EE3ADD"/>
    <w:rsid w:val="00EE3AE6"/>
    <w:rsid w:val="00EE3DF3"/>
    <w:rsid w:val="00EE3E66"/>
    <w:rsid w:val="00EE3F26"/>
    <w:rsid w:val="00EE3F4F"/>
    <w:rsid w:val="00EE4010"/>
    <w:rsid w:val="00EE41FD"/>
    <w:rsid w:val="00EE443A"/>
    <w:rsid w:val="00EE4536"/>
    <w:rsid w:val="00EE478F"/>
    <w:rsid w:val="00EE4A60"/>
    <w:rsid w:val="00EE5060"/>
    <w:rsid w:val="00EE50E0"/>
    <w:rsid w:val="00EE530A"/>
    <w:rsid w:val="00EE553C"/>
    <w:rsid w:val="00EE575B"/>
    <w:rsid w:val="00EE5818"/>
    <w:rsid w:val="00EE5872"/>
    <w:rsid w:val="00EE5B4D"/>
    <w:rsid w:val="00EE5CA4"/>
    <w:rsid w:val="00EE5F2A"/>
    <w:rsid w:val="00EE61A7"/>
    <w:rsid w:val="00EE632B"/>
    <w:rsid w:val="00EE63E0"/>
    <w:rsid w:val="00EE653D"/>
    <w:rsid w:val="00EE665F"/>
    <w:rsid w:val="00EE6671"/>
    <w:rsid w:val="00EE67E4"/>
    <w:rsid w:val="00EE6C5F"/>
    <w:rsid w:val="00EE710D"/>
    <w:rsid w:val="00EE711C"/>
    <w:rsid w:val="00EE71F6"/>
    <w:rsid w:val="00EE76C2"/>
    <w:rsid w:val="00EE7927"/>
    <w:rsid w:val="00EE79ED"/>
    <w:rsid w:val="00EE7C86"/>
    <w:rsid w:val="00EE7F60"/>
    <w:rsid w:val="00EE7FC8"/>
    <w:rsid w:val="00EF037E"/>
    <w:rsid w:val="00EF057B"/>
    <w:rsid w:val="00EF0663"/>
    <w:rsid w:val="00EF0887"/>
    <w:rsid w:val="00EF098D"/>
    <w:rsid w:val="00EF11DD"/>
    <w:rsid w:val="00EF1486"/>
    <w:rsid w:val="00EF14C8"/>
    <w:rsid w:val="00EF1895"/>
    <w:rsid w:val="00EF18CC"/>
    <w:rsid w:val="00EF199A"/>
    <w:rsid w:val="00EF267B"/>
    <w:rsid w:val="00EF270E"/>
    <w:rsid w:val="00EF27C0"/>
    <w:rsid w:val="00EF2A79"/>
    <w:rsid w:val="00EF2C98"/>
    <w:rsid w:val="00EF2DA6"/>
    <w:rsid w:val="00EF2DEC"/>
    <w:rsid w:val="00EF348A"/>
    <w:rsid w:val="00EF348D"/>
    <w:rsid w:val="00EF35FB"/>
    <w:rsid w:val="00EF3C22"/>
    <w:rsid w:val="00EF3C6A"/>
    <w:rsid w:val="00EF3D94"/>
    <w:rsid w:val="00EF3E8F"/>
    <w:rsid w:val="00EF3FE1"/>
    <w:rsid w:val="00EF4908"/>
    <w:rsid w:val="00EF4938"/>
    <w:rsid w:val="00EF4D62"/>
    <w:rsid w:val="00EF4DA9"/>
    <w:rsid w:val="00EF4DB9"/>
    <w:rsid w:val="00EF4E63"/>
    <w:rsid w:val="00EF4E87"/>
    <w:rsid w:val="00EF50CD"/>
    <w:rsid w:val="00EF5208"/>
    <w:rsid w:val="00EF5319"/>
    <w:rsid w:val="00EF5360"/>
    <w:rsid w:val="00EF5389"/>
    <w:rsid w:val="00EF5723"/>
    <w:rsid w:val="00EF5881"/>
    <w:rsid w:val="00EF5A7D"/>
    <w:rsid w:val="00EF5B7F"/>
    <w:rsid w:val="00EF5EDF"/>
    <w:rsid w:val="00EF622B"/>
    <w:rsid w:val="00EF6689"/>
    <w:rsid w:val="00EF688F"/>
    <w:rsid w:val="00EF68FB"/>
    <w:rsid w:val="00EF6A98"/>
    <w:rsid w:val="00EF6BF5"/>
    <w:rsid w:val="00EF6C14"/>
    <w:rsid w:val="00EF6D1F"/>
    <w:rsid w:val="00EF707C"/>
    <w:rsid w:val="00EF7296"/>
    <w:rsid w:val="00EF7415"/>
    <w:rsid w:val="00EF759C"/>
    <w:rsid w:val="00EF76C2"/>
    <w:rsid w:val="00EF79F0"/>
    <w:rsid w:val="00EF7A50"/>
    <w:rsid w:val="00EF7AE3"/>
    <w:rsid w:val="00EF7C22"/>
    <w:rsid w:val="00EF7DE6"/>
    <w:rsid w:val="00EF7EB0"/>
    <w:rsid w:val="00EF7EF0"/>
    <w:rsid w:val="00EF7F65"/>
    <w:rsid w:val="00EF7F7C"/>
    <w:rsid w:val="00F001C4"/>
    <w:rsid w:val="00F0069D"/>
    <w:rsid w:val="00F006B0"/>
    <w:rsid w:val="00F00897"/>
    <w:rsid w:val="00F008E8"/>
    <w:rsid w:val="00F009CD"/>
    <w:rsid w:val="00F009E0"/>
    <w:rsid w:val="00F00CB3"/>
    <w:rsid w:val="00F00CDB"/>
    <w:rsid w:val="00F00D98"/>
    <w:rsid w:val="00F00EEE"/>
    <w:rsid w:val="00F00EEF"/>
    <w:rsid w:val="00F00F4F"/>
    <w:rsid w:val="00F00F92"/>
    <w:rsid w:val="00F0126F"/>
    <w:rsid w:val="00F014DD"/>
    <w:rsid w:val="00F01C49"/>
    <w:rsid w:val="00F0219A"/>
    <w:rsid w:val="00F023D8"/>
    <w:rsid w:val="00F0277E"/>
    <w:rsid w:val="00F02C85"/>
    <w:rsid w:val="00F02D48"/>
    <w:rsid w:val="00F02E75"/>
    <w:rsid w:val="00F02F26"/>
    <w:rsid w:val="00F030DD"/>
    <w:rsid w:val="00F031D6"/>
    <w:rsid w:val="00F033CF"/>
    <w:rsid w:val="00F03482"/>
    <w:rsid w:val="00F036A3"/>
    <w:rsid w:val="00F0370B"/>
    <w:rsid w:val="00F039FC"/>
    <w:rsid w:val="00F03A12"/>
    <w:rsid w:val="00F03B95"/>
    <w:rsid w:val="00F03C35"/>
    <w:rsid w:val="00F042A1"/>
    <w:rsid w:val="00F0434F"/>
    <w:rsid w:val="00F04696"/>
    <w:rsid w:val="00F04714"/>
    <w:rsid w:val="00F047E5"/>
    <w:rsid w:val="00F04937"/>
    <w:rsid w:val="00F04CE2"/>
    <w:rsid w:val="00F04D7B"/>
    <w:rsid w:val="00F04F34"/>
    <w:rsid w:val="00F04F6C"/>
    <w:rsid w:val="00F05043"/>
    <w:rsid w:val="00F05086"/>
    <w:rsid w:val="00F05201"/>
    <w:rsid w:val="00F05459"/>
    <w:rsid w:val="00F054ED"/>
    <w:rsid w:val="00F05CDC"/>
    <w:rsid w:val="00F061C9"/>
    <w:rsid w:val="00F063BF"/>
    <w:rsid w:val="00F06697"/>
    <w:rsid w:val="00F069C8"/>
    <w:rsid w:val="00F06A20"/>
    <w:rsid w:val="00F06C41"/>
    <w:rsid w:val="00F06E27"/>
    <w:rsid w:val="00F07134"/>
    <w:rsid w:val="00F07237"/>
    <w:rsid w:val="00F07373"/>
    <w:rsid w:val="00F077BB"/>
    <w:rsid w:val="00F0797D"/>
    <w:rsid w:val="00F079B3"/>
    <w:rsid w:val="00F07BA9"/>
    <w:rsid w:val="00F07CC8"/>
    <w:rsid w:val="00F07E53"/>
    <w:rsid w:val="00F07E5F"/>
    <w:rsid w:val="00F07F5D"/>
    <w:rsid w:val="00F1000A"/>
    <w:rsid w:val="00F100BF"/>
    <w:rsid w:val="00F1010B"/>
    <w:rsid w:val="00F10239"/>
    <w:rsid w:val="00F102D1"/>
    <w:rsid w:val="00F10432"/>
    <w:rsid w:val="00F104A7"/>
    <w:rsid w:val="00F10A0F"/>
    <w:rsid w:val="00F10BC7"/>
    <w:rsid w:val="00F10E07"/>
    <w:rsid w:val="00F10ED2"/>
    <w:rsid w:val="00F11324"/>
    <w:rsid w:val="00F1133E"/>
    <w:rsid w:val="00F11521"/>
    <w:rsid w:val="00F11591"/>
    <w:rsid w:val="00F11692"/>
    <w:rsid w:val="00F119F9"/>
    <w:rsid w:val="00F11B2E"/>
    <w:rsid w:val="00F11E80"/>
    <w:rsid w:val="00F11F0B"/>
    <w:rsid w:val="00F12031"/>
    <w:rsid w:val="00F1237C"/>
    <w:rsid w:val="00F123E8"/>
    <w:rsid w:val="00F12409"/>
    <w:rsid w:val="00F12625"/>
    <w:rsid w:val="00F12662"/>
    <w:rsid w:val="00F12822"/>
    <w:rsid w:val="00F12833"/>
    <w:rsid w:val="00F13062"/>
    <w:rsid w:val="00F13230"/>
    <w:rsid w:val="00F1339C"/>
    <w:rsid w:val="00F13522"/>
    <w:rsid w:val="00F1392A"/>
    <w:rsid w:val="00F13C2A"/>
    <w:rsid w:val="00F141F1"/>
    <w:rsid w:val="00F1425E"/>
    <w:rsid w:val="00F14587"/>
    <w:rsid w:val="00F145D3"/>
    <w:rsid w:val="00F14889"/>
    <w:rsid w:val="00F14A99"/>
    <w:rsid w:val="00F14AFE"/>
    <w:rsid w:val="00F14B29"/>
    <w:rsid w:val="00F14BB4"/>
    <w:rsid w:val="00F14BCF"/>
    <w:rsid w:val="00F14DFF"/>
    <w:rsid w:val="00F151F6"/>
    <w:rsid w:val="00F15245"/>
    <w:rsid w:val="00F155A8"/>
    <w:rsid w:val="00F15683"/>
    <w:rsid w:val="00F1572B"/>
    <w:rsid w:val="00F15C5A"/>
    <w:rsid w:val="00F15C74"/>
    <w:rsid w:val="00F15D3C"/>
    <w:rsid w:val="00F15E0E"/>
    <w:rsid w:val="00F15FA5"/>
    <w:rsid w:val="00F16145"/>
    <w:rsid w:val="00F161D8"/>
    <w:rsid w:val="00F165CC"/>
    <w:rsid w:val="00F1662D"/>
    <w:rsid w:val="00F16F90"/>
    <w:rsid w:val="00F1753D"/>
    <w:rsid w:val="00F17559"/>
    <w:rsid w:val="00F175F4"/>
    <w:rsid w:val="00F17988"/>
    <w:rsid w:val="00F17BAE"/>
    <w:rsid w:val="00F17BF8"/>
    <w:rsid w:val="00F20031"/>
    <w:rsid w:val="00F201DC"/>
    <w:rsid w:val="00F2041E"/>
    <w:rsid w:val="00F20530"/>
    <w:rsid w:val="00F20815"/>
    <w:rsid w:val="00F208C7"/>
    <w:rsid w:val="00F20B6C"/>
    <w:rsid w:val="00F20CE9"/>
    <w:rsid w:val="00F20FF0"/>
    <w:rsid w:val="00F21281"/>
    <w:rsid w:val="00F2141D"/>
    <w:rsid w:val="00F21438"/>
    <w:rsid w:val="00F21B04"/>
    <w:rsid w:val="00F21C62"/>
    <w:rsid w:val="00F21CAB"/>
    <w:rsid w:val="00F22115"/>
    <w:rsid w:val="00F2211A"/>
    <w:rsid w:val="00F221C0"/>
    <w:rsid w:val="00F22542"/>
    <w:rsid w:val="00F22845"/>
    <w:rsid w:val="00F22AEA"/>
    <w:rsid w:val="00F22D71"/>
    <w:rsid w:val="00F22F37"/>
    <w:rsid w:val="00F22FCE"/>
    <w:rsid w:val="00F23052"/>
    <w:rsid w:val="00F2329F"/>
    <w:rsid w:val="00F233A1"/>
    <w:rsid w:val="00F23596"/>
    <w:rsid w:val="00F23656"/>
    <w:rsid w:val="00F23E15"/>
    <w:rsid w:val="00F24036"/>
    <w:rsid w:val="00F241D9"/>
    <w:rsid w:val="00F244DC"/>
    <w:rsid w:val="00F24920"/>
    <w:rsid w:val="00F24A42"/>
    <w:rsid w:val="00F24A6E"/>
    <w:rsid w:val="00F24B71"/>
    <w:rsid w:val="00F24BD3"/>
    <w:rsid w:val="00F24EE7"/>
    <w:rsid w:val="00F24EFD"/>
    <w:rsid w:val="00F25291"/>
    <w:rsid w:val="00F25313"/>
    <w:rsid w:val="00F25327"/>
    <w:rsid w:val="00F25447"/>
    <w:rsid w:val="00F25466"/>
    <w:rsid w:val="00F255DC"/>
    <w:rsid w:val="00F25AF8"/>
    <w:rsid w:val="00F25BD6"/>
    <w:rsid w:val="00F25D29"/>
    <w:rsid w:val="00F25F11"/>
    <w:rsid w:val="00F25F35"/>
    <w:rsid w:val="00F2600A"/>
    <w:rsid w:val="00F26254"/>
    <w:rsid w:val="00F267E6"/>
    <w:rsid w:val="00F268F9"/>
    <w:rsid w:val="00F269E5"/>
    <w:rsid w:val="00F26AA9"/>
    <w:rsid w:val="00F26BDD"/>
    <w:rsid w:val="00F26C81"/>
    <w:rsid w:val="00F26DAF"/>
    <w:rsid w:val="00F26DC5"/>
    <w:rsid w:val="00F26F93"/>
    <w:rsid w:val="00F272AB"/>
    <w:rsid w:val="00F27460"/>
    <w:rsid w:val="00F27760"/>
    <w:rsid w:val="00F27767"/>
    <w:rsid w:val="00F27782"/>
    <w:rsid w:val="00F27A4F"/>
    <w:rsid w:val="00F27B63"/>
    <w:rsid w:val="00F27BEC"/>
    <w:rsid w:val="00F27C5E"/>
    <w:rsid w:val="00F300F7"/>
    <w:rsid w:val="00F3028C"/>
    <w:rsid w:val="00F303D5"/>
    <w:rsid w:val="00F30529"/>
    <w:rsid w:val="00F30549"/>
    <w:rsid w:val="00F305B7"/>
    <w:rsid w:val="00F305E4"/>
    <w:rsid w:val="00F30738"/>
    <w:rsid w:val="00F307BC"/>
    <w:rsid w:val="00F308B5"/>
    <w:rsid w:val="00F3093F"/>
    <w:rsid w:val="00F30AD1"/>
    <w:rsid w:val="00F30B5C"/>
    <w:rsid w:val="00F3108A"/>
    <w:rsid w:val="00F313D5"/>
    <w:rsid w:val="00F31439"/>
    <w:rsid w:val="00F315E7"/>
    <w:rsid w:val="00F318F0"/>
    <w:rsid w:val="00F31AEB"/>
    <w:rsid w:val="00F31E62"/>
    <w:rsid w:val="00F31E73"/>
    <w:rsid w:val="00F31EEB"/>
    <w:rsid w:val="00F31FCA"/>
    <w:rsid w:val="00F31FE4"/>
    <w:rsid w:val="00F3222E"/>
    <w:rsid w:val="00F322F4"/>
    <w:rsid w:val="00F32682"/>
    <w:rsid w:val="00F3273E"/>
    <w:rsid w:val="00F32906"/>
    <w:rsid w:val="00F32BF2"/>
    <w:rsid w:val="00F32E9D"/>
    <w:rsid w:val="00F32FBA"/>
    <w:rsid w:val="00F3305F"/>
    <w:rsid w:val="00F333C8"/>
    <w:rsid w:val="00F33495"/>
    <w:rsid w:val="00F33809"/>
    <w:rsid w:val="00F339E4"/>
    <w:rsid w:val="00F33B6D"/>
    <w:rsid w:val="00F33F8E"/>
    <w:rsid w:val="00F340EA"/>
    <w:rsid w:val="00F340FE"/>
    <w:rsid w:val="00F3412E"/>
    <w:rsid w:val="00F34221"/>
    <w:rsid w:val="00F342F0"/>
    <w:rsid w:val="00F3431A"/>
    <w:rsid w:val="00F343E2"/>
    <w:rsid w:val="00F3484C"/>
    <w:rsid w:val="00F34AEB"/>
    <w:rsid w:val="00F34B34"/>
    <w:rsid w:val="00F34CF1"/>
    <w:rsid w:val="00F34D06"/>
    <w:rsid w:val="00F34FC5"/>
    <w:rsid w:val="00F35048"/>
    <w:rsid w:val="00F350A0"/>
    <w:rsid w:val="00F352D4"/>
    <w:rsid w:val="00F35306"/>
    <w:rsid w:val="00F35439"/>
    <w:rsid w:val="00F35684"/>
    <w:rsid w:val="00F356EA"/>
    <w:rsid w:val="00F35875"/>
    <w:rsid w:val="00F358F5"/>
    <w:rsid w:val="00F35F68"/>
    <w:rsid w:val="00F360B9"/>
    <w:rsid w:val="00F360EE"/>
    <w:rsid w:val="00F368A7"/>
    <w:rsid w:val="00F36A85"/>
    <w:rsid w:val="00F36AF3"/>
    <w:rsid w:val="00F36E7A"/>
    <w:rsid w:val="00F36F3E"/>
    <w:rsid w:val="00F36F70"/>
    <w:rsid w:val="00F370F2"/>
    <w:rsid w:val="00F3718F"/>
    <w:rsid w:val="00F3736F"/>
    <w:rsid w:val="00F374C1"/>
    <w:rsid w:val="00F379E3"/>
    <w:rsid w:val="00F37A7D"/>
    <w:rsid w:val="00F401F9"/>
    <w:rsid w:val="00F403B1"/>
    <w:rsid w:val="00F403C6"/>
    <w:rsid w:val="00F40405"/>
    <w:rsid w:val="00F40465"/>
    <w:rsid w:val="00F40677"/>
    <w:rsid w:val="00F40765"/>
    <w:rsid w:val="00F4089A"/>
    <w:rsid w:val="00F40BC2"/>
    <w:rsid w:val="00F40D1C"/>
    <w:rsid w:val="00F41085"/>
    <w:rsid w:val="00F4152F"/>
    <w:rsid w:val="00F415C9"/>
    <w:rsid w:val="00F416B8"/>
    <w:rsid w:val="00F4186C"/>
    <w:rsid w:val="00F41A6F"/>
    <w:rsid w:val="00F41D3B"/>
    <w:rsid w:val="00F41DE4"/>
    <w:rsid w:val="00F41F74"/>
    <w:rsid w:val="00F42135"/>
    <w:rsid w:val="00F4223C"/>
    <w:rsid w:val="00F426B2"/>
    <w:rsid w:val="00F42759"/>
    <w:rsid w:val="00F42E17"/>
    <w:rsid w:val="00F42EC1"/>
    <w:rsid w:val="00F43000"/>
    <w:rsid w:val="00F4311C"/>
    <w:rsid w:val="00F432BF"/>
    <w:rsid w:val="00F432FB"/>
    <w:rsid w:val="00F432FD"/>
    <w:rsid w:val="00F43A97"/>
    <w:rsid w:val="00F43E81"/>
    <w:rsid w:val="00F44463"/>
    <w:rsid w:val="00F445DD"/>
    <w:rsid w:val="00F44B6C"/>
    <w:rsid w:val="00F45070"/>
    <w:rsid w:val="00F4516D"/>
    <w:rsid w:val="00F451CC"/>
    <w:rsid w:val="00F45273"/>
    <w:rsid w:val="00F4570C"/>
    <w:rsid w:val="00F4574D"/>
    <w:rsid w:val="00F45808"/>
    <w:rsid w:val="00F459CE"/>
    <w:rsid w:val="00F45A0D"/>
    <w:rsid w:val="00F45C11"/>
    <w:rsid w:val="00F460BD"/>
    <w:rsid w:val="00F4652C"/>
    <w:rsid w:val="00F467BD"/>
    <w:rsid w:val="00F46AEF"/>
    <w:rsid w:val="00F46D9D"/>
    <w:rsid w:val="00F46E6D"/>
    <w:rsid w:val="00F46EFF"/>
    <w:rsid w:val="00F471EC"/>
    <w:rsid w:val="00F4738F"/>
    <w:rsid w:val="00F47596"/>
    <w:rsid w:val="00F475ED"/>
    <w:rsid w:val="00F479FE"/>
    <w:rsid w:val="00F47A7F"/>
    <w:rsid w:val="00F5008D"/>
    <w:rsid w:val="00F501A0"/>
    <w:rsid w:val="00F502A1"/>
    <w:rsid w:val="00F50348"/>
    <w:rsid w:val="00F50554"/>
    <w:rsid w:val="00F50729"/>
    <w:rsid w:val="00F5074C"/>
    <w:rsid w:val="00F50791"/>
    <w:rsid w:val="00F5095D"/>
    <w:rsid w:val="00F50A8B"/>
    <w:rsid w:val="00F50B52"/>
    <w:rsid w:val="00F50DD7"/>
    <w:rsid w:val="00F50ECD"/>
    <w:rsid w:val="00F51392"/>
    <w:rsid w:val="00F519D8"/>
    <w:rsid w:val="00F51A0B"/>
    <w:rsid w:val="00F51DEF"/>
    <w:rsid w:val="00F51F02"/>
    <w:rsid w:val="00F51F47"/>
    <w:rsid w:val="00F52026"/>
    <w:rsid w:val="00F52245"/>
    <w:rsid w:val="00F52517"/>
    <w:rsid w:val="00F527CA"/>
    <w:rsid w:val="00F52944"/>
    <w:rsid w:val="00F530A1"/>
    <w:rsid w:val="00F53305"/>
    <w:rsid w:val="00F53544"/>
    <w:rsid w:val="00F53573"/>
    <w:rsid w:val="00F536B7"/>
    <w:rsid w:val="00F5393F"/>
    <w:rsid w:val="00F5398B"/>
    <w:rsid w:val="00F539FB"/>
    <w:rsid w:val="00F53B89"/>
    <w:rsid w:val="00F53C73"/>
    <w:rsid w:val="00F53C95"/>
    <w:rsid w:val="00F53C9B"/>
    <w:rsid w:val="00F53D12"/>
    <w:rsid w:val="00F53E27"/>
    <w:rsid w:val="00F53E96"/>
    <w:rsid w:val="00F53F34"/>
    <w:rsid w:val="00F540DC"/>
    <w:rsid w:val="00F5412A"/>
    <w:rsid w:val="00F546D6"/>
    <w:rsid w:val="00F54730"/>
    <w:rsid w:val="00F547AD"/>
    <w:rsid w:val="00F547FF"/>
    <w:rsid w:val="00F54D05"/>
    <w:rsid w:val="00F54D3B"/>
    <w:rsid w:val="00F54EAC"/>
    <w:rsid w:val="00F54FB9"/>
    <w:rsid w:val="00F55226"/>
    <w:rsid w:val="00F5565A"/>
    <w:rsid w:val="00F55773"/>
    <w:rsid w:val="00F558E6"/>
    <w:rsid w:val="00F55AAC"/>
    <w:rsid w:val="00F55CE3"/>
    <w:rsid w:val="00F55D01"/>
    <w:rsid w:val="00F5601D"/>
    <w:rsid w:val="00F564F4"/>
    <w:rsid w:val="00F5652E"/>
    <w:rsid w:val="00F56570"/>
    <w:rsid w:val="00F565EA"/>
    <w:rsid w:val="00F5670B"/>
    <w:rsid w:val="00F567B5"/>
    <w:rsid w:val="00F567E3"/>
    <w:rsid w:val="00F5680F"/>
    <w:rsid w:val="00F5696E"/>
    <w:rsid w:val="00F569D5"/>
    <w:rsid w:val="00F56B28"/>
    <w:rsid w:val="00F56C29"/>
    <w:rsid w:val="00F56C45"/>
    <w:rsid w:val="00F56FF1"/>
    <w:rsid w:val="00F5702A"/>
    <w:rsid w:val="00F57199"/>
    <w:rsid w:val="00F5727B"/>
    <w:rsid w:val="00F57574"/>
    <w:rsid w:val="00F57712"/>
    <w:rsid w:val="00F57727"/>
    <w:rsid w:val="00F577CB"/>
    <w:rsid w:val="00F57823"/>
    <w:rsid w:val="00F57B56"/>
    <w:rsid w:val="00F57C4F"/>
    <w:rsid w:val="00F57FD6"/>
    <w:rsid w:val="00F60071"/>
    <w:rsid w:val="00F60489"/>
    <w:rsid w:val="00F60983"/>
    <w:rsid w:val="00F60F83"/>
    <w:rsid w:val="00F61157"/>
    <w:rsid w:val="00F6122A"/>
    <w:rsid w:val="00F61308"/>
    <w:rsid w:val="00F614B0"/>
    <w:rsid w:val="00F615FF"/>
    <w:rsid w:val="00F61D3B"/>
    <w:rsid w:val="00F61E39"/>
    <w:rsid w:val="00F61F10"/>
    <w:rsid w:val="00F61FAD"/>
    <w:rsid w:val="00F61FBE"/>
    <w:rsid w:val="00F620FE"/>
    <w:rsid w:val="00F624E6"/>
    <w:rsid w:val="00F62631"/>
    <w:rsid w:val="00F62699"/>
    <w:rsid w:val="00F629AD"/>
    <w:rsid w:val="00F62B91"/>
    <w:rsid w:val="00F62CA1"/>
    <w:rsid w:val="00F62CC1"/>
    <w:rsid w:val="00F63102"/>
    <w:rsid w:val="00F63303"/>
    <w:rsid w:val="00F63304"/>
    <w:rsid w:val="00F636C8"/>
    <w:rsid w:val="00F636D8"/>
    <w:rsid w:val="00F636F0"/>
    <w:rsid w:val="00F636F3"/>
    <w:rsid w:val="00F63762"/>
    <w:rsid w:val="00F639BA"/>
    <w:rsid w:val="00F63B66"/>
    <w:rsid w:val="00F63B6A"/>
    <w:rsid w:val="00F63CF1"/>
    <w:rsid w:val="00F63F8D"/>
    <w:rsid w:val="00F63FEF"/>
    <w:rsid w:val="00F63FFE"/>
    <w:rsid w:val="00F641F6"/>
    <w:rsid w:val="00F64434"/>
    <w:rsid w:val="00F64647"/>
    <w:rsid w:val="00F6469A"/>
    <w:rsid w:val="00F6476C"/>
    <w:rsid w:val="00F6489F"/>
    <w:rsid w:val="00F64B63"/>
    <w:rsid w:val="00F64F33"/>
    <w:rsid w:val="00F64F4D"/>
    <w:rsid w:val="00F6544D"/>
    <w:rsid w:val="00F65596"/>
    <w:rsid w:val="00F656E7"/>
    <w:rsid w:val="00F65822"/>
    <w:rsid w:val="00F6588B"/>
    <w:rsid w:val="00F6588D"/>
    <w:rsid w:val="00F659F0"/>
    <w:rsid w:val="00F65ED0"/>
    <w:rsid w:val="00F66219"/>
    <w:rsid w:val="00F662A7"/>
    <w:rsid w:val="00F663F1"/>
    <w:rsid w:val="00F666C8"/>
    <w:rsid w:val="00F66CAA"/>
    <w:rsid w:val="00F66EBC"/>
    <w:rsid w:val="00F6701F"/>
    <w:rsid w:val="00F67107"/>
    <w:rsid w:val="00F6713B"/>
    <w:rsid w:val="00F67AD7"/>
    <w:rsid w:val="00F67B05"/>
    <w:rsid w:val="00F67E08"/>
    <w:rsid w:val="00F67E71"/>
    <w:rsid w:val="00F67FFE"/>
    <w:rsid w:val="00F704D5"/>
    <w:rsid w:val="00F70748"/>
    <w:rsid w:val="00F70758"/>
    <w:rsid w:val="00F707F2"/>
    <w:rsid w:val="00F70B83"/>
    <w:rsid w:val="00F70C87"/>
    <w:rsid w:val="00F70C92"/>
    <w:rsid w:val="00F70D20"/>
    <w:rsid w:val="00F70EBC"/>
    <w:rsid w:val="00F70F13"/>
    <w:rsid w:val="00F70FA5"/>
    <w:rsid w:val="00F71160"/>
    <w:rsid w:val="00F712A0"/>
    <w:rsid w:val="00F713BE"/>
    <w:rsid w:val="00F7196E"/>
    <w:rsid w:val="00F719AE"/>
    <w:rsid w:val="00F719B2"/>
    <w:rsid w:val="00F719D8"/>
    <w:rsid w:val="00F71A51"/>
    <w:rsid w:val="00F71B70"/>
    <w:rsid w:val="00F71DBB"/>
    <w:rsid w:val="00F72071"/>
    <w:rsid w:val="00F7208E"/>
    <w:rsid w:val="00F72162"/>
    <w:rsid w:val="00F72618"/>
    <w:rsid w:val="00F728C3"/>
    <w:rsid w:val="00F729EA"/>
    <w:rsid w:val="00F72CFA"/>
    <w:rsid w:val="00F72F3C"/>
    <w:rsid w:val="00F731A2"/>
    <w:rsid w:val="00F73AEA"/>
    <w:rsid w:val="00F73F14"/>
    <w:rsid w:val="00F74416"/>
    <w:rsid w:val="00F74A60"/>
    <w:rsid w:val="00F74D6A"/>
    <w:rsid w:val="00F74E09"/>
    <w:rsid w:val="00F74EE5"/>
    <w:rsid w:val="00F75051"/>
    <w:rsid w:val="00F750E5"/>
    <w:rsid w:val="00F75207"/>
    <w:rsid w:val="00F7559A"/>
    <w:rsid w:val="00F755BF"/>
    <w:rsid w:val="00F75681"/>
    <w:rsid w:val="00F7568A"/>
    <w:rsid w:val="00F75A6C"/>
    <w:rsid w:val="00F76191"/>
    <w:rsid w:val="00F76206"/>
    <w:rsid w:val="00F7626F"/>
    <w:rsid w:val="00F762DB"/>
    <w:rsid w:val="00F763B8"/>
    <w:rsid w:val="00F76697"/>
    <w:rsid w:val="00F766CB"/>
    <w:rsid w:val="00F76817"/>
    <w:rsid w:val="00F76973"/>
    <w:rsid w:val="00F76994"/>
    <w:rsid w:val="00F77227"/>
    <w:rsid w:val="00F77293"/>
    <w:rsid w:val="00F779F5"/>
    <w:rsid w:val="00F77A1A"/>
    <w:rsid w:val="00F77A3F"/>
    <w:rsid w:val="00F77A78"/>
    <w:rsid w:val="00F77B4B"/>
    <w:rsid w:val="00F77B85"/>
    <w:rsid w:val="00F77C52"/>
    <w:rsid w:val="00F802A5"/>
    <w:rsid w:val="00F80423"/>
    <w:rsid w:val="00F804A8"/>
    <w:rsid w:val="00F80620"/>
    <w:rsid w:val="00F80786"/>
    <w:rsid w:val="00F807B4"/>
    <w:rsid w:val="00F80881"/>
    <w:rsid w:val="00F808C3"/>
    <w:rsid w:val="00F80BBC"/>
    <w:rsid w:val="00F80C7B"/>
    <w:rsid w:val="00F80FC1"/>
    <w:rsid w:val="00F81078"/>
    <w:rsid w:val="00F81353"/>
    <w:rsid w:val="00F8135B"/>
    <w:rsid w:val="00F813E4"/>
    <w:rsid w:val="00F81B8B"/>
    <w:rsid w:val="00F81E84"/>
    <w:rsid w:val="00F82075"/>
    <w:rsid w:val="00F82080"/>
    <w:rsid w:val="00F820F5"/>
    <w:rsid w:val="00F82104"/>
    <w:rsid w:val="00F821D7"/>
    <w:rsid w:val="00F82201"/>
    <w:rsid w:val="00F823F8"/>
    <w:rsid w:val="00F82671"/>
    <w:rsid w:val="00F82CBA"/>
    <w:rsid w:val="00F82D6C"/>
    <w:rsid w:val="00F82D83"/>
    <w:rsid w:val="00F8300D"/>
    <w:rsid w:val="00F83272"/>
    <w:rsid w:val="00F83812"/>
    <w:rsid w:val="00F83868"/>
    <w:rsid w:val="00F83988"/>
    <w:rsid w:val="00F83A2D"/>
    <w:rsid w:val="00F83B0E"/>
    <w:rsid w:val="00F83C99"/>
    <w:rsid w:val="00F84546"/>
    <w:rsid w:val="00F845D1"/>
    <w:rsid w:val="00F84976"/>
    <w:rsid w:val="00F84A48"/>
    <w:rsid w:val="00F84B4B"/>
    <w:rsid w:val="00F84E27"/>
    <w:rsid w:val="00F8542A"/>
    <w:rsid w:val="00F854DC"/>
    <w:rsid w:val="00F854E4"/>
    <w:rsid w:val="00F8570E"/>
    <w:rsid w:val="00F857A5"/>
    <w:rsid w:val="00F85AA1"/>
    <w:rsid w:val="00F85D58"/>
    <w:rsid w:val="00F85E68"/>
    <w:rsid w:val="00F862FF"/>
    <w:rsid w:val="00F867AA"/>
    <w:rsid w:val="00F86BF5"/>
    <w:rsid w:val="00F86E10"/>
    <w:rsid w:val="00F87239"/>
    <w:rsid w:val="00F874DB"/>
    <w:rsid w:val="00F875BC"/>
    <w:rsid w:val="00F87619"/>
    <w:rsid w:val="00F876F4"/>
    <w:rsid w:val="00F87C8A"/>
    <w:rsid w:val="00F87F63"/>
    <w:rsid w:val="00F87FF4"/>
    <w:rsid w:val="00F900A0"/>
    <w:rsid w:val="00F904F4"/>
    <w:rsid w:val="00F90598"/>
    <w:rsid w:val="00F9064F"/>
    <w:rsid w:val="00F90960"/>
    <w:rsid w:val="00F90A7F"/>
    <w:rsid w:val="00F90AF7"/>
    <w:rsid w:val="00F90C35"/>
    <w:rsid w:val="00F90CB0"/>
    <w:rsid w:val="00F9102E"/>
    <w:rsid w:val="00F91200"/>
    <w:rsid w:val="00F91307"/>
    <w:rsid w:val="00F9134F"/>
    <w:rsid w:val="00F913AD"/>
    <w:rsid w:val="00F9170A"/>
    <w:rsid w:val="00F91890"/>
    <w:rsid w:val="00F919A3"/>
    <w:rsid w:val="00F91AE4"/>
    <w:rsid w:val="00F91B34"/>
    <w:rsid w:val="00F91B37"/>
    <w:rsid w:val="00F91B72"/>
    <w:rsid w:val="00F91ECC"/>
    <w:rsid w:val="00F91F34"/>
    <w:rsid w:val="00F920BE"/>
    <w:rsid w:val="00F926B0"/>
    <w:rsid w:val="00F928A3"/>
    <w:rsid w:val="00F92936"/>
    <w:rsid w:val="00F92989"/>
    <w:rsid w:val="00F92AD0"/>
    <w:rsid w:val="00F92D7C"/>
    <w:rsid w:val="00F92E78"/>
    <w:rsid w:val="00F92FF1"/>
    <w:rsid w:val="00F933BB"/>
    <w:rsid w:val="00F933F2"/>
    <w:rsid w:val="00F935A3"/>
    <w:rsid w:val="00F938BD"/>
    <w:rsid w:val="00F938D1"/>
    <w:rsid w:val="00F93BB0"/>
    <w:rsid w:val="00F93C09"/>
    <w:rsid w:val="00F93CA5"/>
    <w:rsid w:val="00F93FD9"/>
    <w:rsid w:val="00F940A1"/>
    <w:rsid w:val="00F940C6"/>
    <w:rsid w:val="00F94236"/>
    <w:rsid w:val="00F94259"/>
    <w:rsid w:val="00F9456F"/>
    <w:rsid w:val="00F94762"/>
    <w:rsid w:val="00F94990"/>
    <w:rsid w:val="00F94CD5"/>
    <w:rsid w:val="00F95459"/>
    <w:rsid w:val="00F954F7"/>
    <w:rsid w:val="00F956E7"/>
    <w:rsid w:val="00F9583D"/>
    <w:rsid w:val="00F95897"/>
    <w:rsid w:val="00F95A0C"/>
    <w:rsid w:val="00F95DBB"/>
    <w:rsid w:val="00F95ED9"/>
    <w:rsid w:val="00F95EFC"/>
    <w:rsid w:val="00F961AA"/>
    <w:rsid w:val="00F96272"/>
    <w:rsid w:val="00F964D3"/>
    <w:rsid w:val="00F965E7"/>
    <w:rsid w:val="00F96A90"/>
    <w:rsid w:val="00F96BD3"/>
    <w:rsid w:val="00F96DA0"/>
    <w:rsid w:val="00F96FC7"/>
    <w:rsid w:val="00F9716E"/>
    <w:rsid w:val="00F97197"/>
    <w:rsid w:val="00F9719E"/>
    <w:rsid w:val="00F976D4"/>
    <w:rsid w:val="00F97BCF"/>
    <w:rsid w:val="00F97D27"/>
    <w:rsid w:val="00F97E56"/>
    <w:rsid w:val="00FA005D"/>
    <w:rsid w:val="00FA0208"/>
    <w:rsid w:val="00FA02DF"/>
    <w:rsid w:val="00FA0337"/>
    <w:rsid w:val="00FA03A3"/>
    <w:rsid w:val="00FA053E"/>
    <w:rsid w:val="00FA0609"/>
    <w:rsid w:val="00FA08D1"/>
    <w:rsid w:val="00FA0A62"/>
    <w:rsid w:val="00FA0CC9"/>
    <w:rsid w:val="00FA0CE3"/>
    <w:rsid w:val="00FA13C1"/>
    <w:rsid w:val="00FA1419"/>
    <w:rsid w:val="00FA1436"/>
    <w:rsid w:val="00FA14BC"/>
    <w:rsid w:val="00FA15B7"/>
    <w:rsid w:val="00FA15CF"/>
    <w:rsid w:val="00FA1622"/>
    <w:rsid w:val="00FA16EC"/>
    <w:rsid w:val="00FA1721"/>
    <w:rsid w:val="00FA1841"/>
    <w:rsid w:val="00FA18AB"/>
    <w:rsid w:val="00FA1B2A"/>
    <w:rsid w:val="00FA1B35"/>
    <w:rsid w:val="00FA1C78"/>
    <w:rsid w:val="00FA2018"/>
    <w:rsid w:val="00FA211E"/>
    <w:rsid w:val="00FA230C"/>
    <w:rsid w:val="00FA232F"/>
    <w:rsid w:val="00FA2336"/>
    <w:rsid w:val="00FA23A0"/>
    <w:rsid w:val="00FA240D"/>
    <w:rsid w:val="00FA2640"/>
    <w:rsid w:val="00FA26B3"/>
    <w:rsid w:val="00FA28E1"/>
    <w:rsid w:val="00FA2ABF"/>
    <w:rsid w:val="00FA2BB6"/>
    <w:rsid w:val="00FA2C70"/>
    <w:rsid w:val="00FA2FF3"/>
    <w:rsid w:val="00FA3257"/>
    <w:rsid w:val="00FA3444"/>
    <w:rsid w:val="00FA3521"/>
    <w:rsid w:val="00FA3766"/>
    <w:rsid w:val="00FA37EC"/>
    <w:rsid w:val="00FA38B7"/>
    <w:rsid w:val="00FA3C28"/>
    <w:rsid w:val="00FA4011"/>
    <w:rsid w:val="00FA42C7"/>
    <w:rsid w:val="00FA431C"/>
    <w:rsid w:val="00FA433C"/>
    <w:rsid w:val="00FA43C0"/>
    <w:rsid w:val="00FA4591"/>
    <w:rsid w:val="00FA45E0"/>
    <w:rsid w:val="00FA45FF"/>
    <w:rsid w:val="00FA46A4"/>
    <w:rsid w:val="00FA47C6"/>
    <w:rsid w:val="00FA483D"/>
    <w:rsid w:val="00FA4A24"/>
    <w:rsid w:val="00FA4AD7"/>
    <w:rsid w:val="00FA4BF3"/>
    <w:rsid w:val="00FA4D4A"/>
    <w:rsid w:val="00FA4DC7"/>
    <w:rsid w:val="00FA4FCF"/>
    <w:rsid w:val="00FA5023"/>
    <w:rsid w:val="00FA518D"/>
    <w:rsid w:val="00FA5211"/>
    <w:rsid w:val="00FA526E"/>
    <w:rsid w:val="00FA543F"/>
    <w:rsid w:val="00FA5587"/>
    <w:rsid w:val="00FA580D"/>
    <w:rsid w:val="00FA59F3"/>
    <w:rsid w:val="00FA5BB7"/>
    <w:rsid w:val="00FA5DC8"/>
    <w:rsid w:val="00FA5E06"/>
    <w:rsid w:val="00FA5F12"/>
    <w:rsid w:val="00FA6321"/>
    <w:rsid w:val="00FA636D"/>
    <w:rsid w:val="00FA64F7"/>
    <w:rsid w:val="00FA66CC"/>
    <w:rsid w:val="00FA66E8"/>
    <w:rsid w:val="00FA69D7"/>
    <w:rsid w:val="00FA6B79"/>
    <w:rsid w:val="00FA6D03"/>
    <w:rsid w:val="00FA6D44"/>
    <w:rsid w:val="00FA6DFB"/>
    <w:rsid w:val="00FA6E7D"/>
    <w:rsid w:val="00FA6EE7"/>
    <w:rsid w:val="00FA70BA"/>
    <w:rsid w:val="00FA71E2"/>
    <w:rsid w:val="00FA730E"/>
    <w:rsid w:val="00FA778A"/>
    <w:rsid w:val="00FA7825"/>
    <w:rsid w:val="00FA7A98"/>
    <w:rsid w:val="00FA7C4A"/>
    <w:rsid w:val="00FB0386"/>
    <w:rsid w:val="00FB055E"/>
    <w:rsid w:val="00FB07C6"/>
    <w:rsid w:val="00FB08E1"/>
    <w:rsid w:val="00FB0A70"/>
    <w:rsid w:val="00FB1012"/>
    <w:rsid w:val="00FB10CB"/>
    <w:rsid w:val="00FB12AD"/>
    <w:rsid w:val="00FB133A"/>
    <w:rsid w:val="00FB1435"/>
    <w:rsid w:val="00FB144E"/>
    <w:rsid w:val="00FB1496"/>
    <w:rsid w:val="00FB184A"/>
    <w:rsid w:val="00FB1A70"/>
    <w:rsid w:val="00FB1A98"/>
    <w:rsid w:val="00FB1C38"/>
    <w:rsid w:val="00FB1D62"/>
    <w:rsid w:val="00FB1F59"/>
    <w:rsid w:val="00FB2469"/>
    <w:rsid w:val="00FB2495"/>
    <w:rsid w:val="00FB26BE"/>
    <w:rsid w:val="00FB2A99"/>
    <w:rsid w:val="00FB2AE6"/>
    <w:rsid w:val="00FB2B68"/>
    <w:rsid w:val="00FB2CD4"/>
    <w:rsid w:val="00FB2D56"/>
    <w:rsid w:val="00FB2E6D"/>
    <w:rsid w:val="00FB31B9"/>
    <w:rsid w:val="00FB31EB"/>
    <w:rsid w:val="00FB3242"/>
    <w:rsid w:val="00FB3288"/>
    <w:rsid w:val="00FB3430"/>
    <w:rsid w:val="00FB352E"/>
    <w:rsid w:val="00FB35D8"/>
    <w:rsid w:val="00FB3ABC"/>
    <w:rsid w:val="00FB3C3B"/>
    <w:rsid w:val="00FB40BA"/>
    <w:rsid w:val="00FB41D4"/>
    <w:rsid w:val="00FB42A6"/>
    <w:rsid w:val="00FB470B"/>
    <w:rsid w:val="00FB49A8"/>
    <w:rsid w:val="00FB4A43"/>
    <w:rsid w:val="00FB4D1F"/>
    <w:rsid w:val="00FB4EA4"/>
    <w:rsid w:val="00FB5056"/>
    <w:rsid w:val="00FB581D"/>
    <w:rsid w:val="00FB5896"/>
    <w:rsid w:val="00FB593C"/>
    <w:rsid w:val="00FB595A"/>
    <w:rsid w:val="00FB59F5"/>
    <w:rsid w:val="00FB5BA4"/>
    <w:rsid w:val="00FB5DB8"/>
    <w:rsid w:val="00FB5E1C"/>
    <w:rsid w:val="00FB62AC"/>
    <w:rsid w:val="00FB6623"/>
    <w:rsid w:val="00FB667C"/>
    <w:rsid w:val="00FB6834"/>
    <w:rsid w:val="00FB6B4B"/>
    <w:rsid w:val="00FB6CF2"/>
    <w:rsid w:val="00FB6D10"/>
    <w:rsid w:val="00FB70B2"/>
    <w:rsid w:val="00FB7221"/>
    <w:rsid w:val="00FB7467"/>
    <w:rsid w:val="00FB7542"/>
    <w:rsid w:val="00FB76F1"/>
    <w:rsid w:val="00FB7823"/>
    <w:rsid w:val="00FB799B"/>
    <w:rsid w:val="00FB7AFC"/>
    <w:rsid w:val="00FB7B79"/>
    <w:rsid w:val="00FC0233"/>
    <w:rsid w:val="00FC0347"/>
    <w:rsid w:val="00FC0421"/>
    <w:rsid w:val="00FC0464"/>
    <w:rsid w:val="00FC04EE"/>
    <w:rsid w:val="00FC07DB"/>
    <w:rsid w:val="00FC09E7"/>
    <w:rsid w:val="00FC0ADE"/>
    <w:rsid w:val="00FC0B32"/>
    <w:rsid w:val="00FC0C15"/>
    <w:rsid w:val="00FC0EEC"/>
    <w:rsid w:val="00FC0F2F"/>
    <w:rsid w:val="00FC1471"/>
    <w:rsid w:val="00FC1767"/>
    <w:rsid w:val="00FC1A00"/>
    <w:rsid w:val="00FC1B63"/>
    <w:rsid w:val="00FC1B8D"/>
    <w:rsid w:val="00FC1D08"/>
    <w:rsid w:val="00FC1D2D"/>
    <w:rsid w:val="00FC1D98"/>
    <w:rsid w:val="00FC2159"/>
    <w:rsid w:val="00FC21FE"/>
    <w:rsid w:val="00FC2340"/>
    <w:rsid w:val="00FC261E"/>
    <w:rsid w:val="00FC2626"/>
    <w:rsid w:val="00FC26E7"/>
    <w:rsid w:val="00FC2AA6"/>
    <w:rsid w:val="00FC2C39"/>
    <w:rsid w:val="00FC2C7F"/>
    <w:rsid w:val="00FC2CEE"/>
    <w:rsid w:val="00FC2EF1"/>
    <w:rsid w:val="00FC3339"/>
    <w:rsid w:val="00FC3360"/>
    <w:rsid w:val="00FC33CD"/>
    <w:rsid w:val="00FC36FE"/>
    <w:rsid w:val="00FC381E"/>
    <w:rsid w:val="00FC38F8"/>
    <w:rsid w:val="00FC3951"/>
    <w:rsid w:val="00FC397B"/>
    <w:rsid w:val="00FC3A33"/>
    <w:rsid w:val="00FC3EEB"/>
    <w:rsid w:val="00FC41D9"/>
    <w:rsid w:val="00FC4204"/>
    <w:rsid w:val="00FC4262"/>
    <w:rsid w:val="00FC44B7"/>
    <w:rsid w:val="00FC44C2"/>
    <w:rsid w:val="00FC45B6"/>
    <w:rsid w:val="00FC46CD"/>
    <w:rsid w:val="00FC47A0"/>
    <w:rsid w:val="00FC48CF"/>
    <w:rsid w:val="00FC48DB"/>
    <w:rsid w:val="00FC4A50"/>
    <w:rsid w:val="00FC4A98"/>
    <w:rsid w:val="00FC4AE2"/>
    <w:rsid w:val="00FC5005"/>
    <w:rsid w:val="00FC507E"/>
    <w:rsid w:val="00FC55BE"/>
    <w:rsid w:val="00FC56BC"/>
    <w:rsid w:val="00FC56F3"/>
    <w:rsid w:val="00FC5956"/>
    <w:rsid w:val="00FC5A01"/>
    <w:rsid w:val="00FC6390"/>
    <w:rsid w:val="00FC65DC"/>
    <w:rsid w:val="00FC669D"/>
    <w:rsid w:val="00FC6AF2"/>
    <w:rsid w:val="00FC6B63"/>
    <w:rsid w:val="00FC6C5B"/>
    <w:rsid w:val="00FC6CB8"/>
    <w:rsid w:val="00FC6E12"/>
    <w:rsid w:val="00FC737E"/>
    <w:rsid w:val="00FC740D"/>
    <w:rsid w:val="00FC751C"/>
    <w:rsid w:val="00FC752D"/>
    <w:rsid w:val="00FC7780"/>
    <w:rsid w:val="00FC77A8"/>
    <w:rsid w:val="00FC784A"/>
    <w:rsid w:val="00FC789C"/>
    <w:rsid w:val="00FC797E"/>
    <w:rsid w:val="00FC7B51"/>
    <w:rsid w:val="00FC7C3E"/>
    <w:rsid w:val="00FC7EB0"/>
    <w:rsid w:val="00FD007A"/>
    <w:rsid w:val="00FD01AB"/>
    <w:rsid w:val="00FD028A"/>
    <w:rsid w:val="00FD02BA"/>
    <w:rsid w:val="00FD06C4"/>
    <w:rsid w:val="00FD088E"/>
    <w:rsid w:val="00FD0985"/>
    <w:rsid w:val="00FD0B07"/>
    <w:rsid w:val="00FD0D38"/>
    <w:rsid w:val="00FD0E52"/>
    <w:rsid w:val="00FD0E74"/>
    <w:rsid w:val="00FD122D"/>
    <w:rsid w:val="00FD1253"/>
    <w:rsid w:val="00FD1326"/>
    <w:rsid w:val="00FD136D"/>
    <w:rsid w:val="00FD143A"/>
    <w:rsid w:val="00FD15B5"/>
    <w:rsid w:val="00FD15B6"/>
    <w:rsid w:val="00FD1813"/>
    <w:rsid w:val="00FD1999"/>
    <w:rsid w:val="00FD1D24"/>
    <w:rsid w:val="00FD2036"/>
    <w:rsid w:val="00FD20BE"/>
    <w:rsid w:val="00FD21CB"/>
    <w:rsid w:val="00FD21E6"/>
    <w:rsid w:val="00FD242E"/>
    <w:rsid w:val="00FD2528"/>
    <w:rsid w:val="00FD26A2"/>
    <w:rsid w:val="00FD26BB"/>
    <w:rsid w:val="00FD2751"/>
    <w:rsid w:val="00FD28BC"/>
    <w:rsid w:val="00FD28FE"/>
    <w:rsid w:val="00FD2AF6"/>
    <w:rsid w:val="00FD2C84"/>
    <w:rsid w:val="00FD2EB4"/>
    <w:rsid w:val="00FD2FF0"/>
    <w:rsid w:val="00FD3071"/>
    <w:rsid w:val="00FD34F6"/>
    <w:rsid w:val="00FD3818"/>
    <w:rsid w:val="00FD381E"/>
    <w:rsid w:val="00FD3F8B"/>
    <w:rsid w:val="00FD448D"/>
    <w:rsid w:val="00FD46F1"/>
    <w:rsid w:val="00FD4751"/>
    <w:rsid w:val="00FD47B2"/>
    <w:rsid w:val="00FD4857"/>
    <w:rsid w:val="00FD48E7"/>
    <w:rsid w:val="00FD4A8E"/>
    <w:rsid w:val="00FD4A98"/>
    <w:rsid w:val="00FD4B29"/>
    <w:rsid w:val="00FD4B8E"/>
    <w:rsid w:val="00FD4BC8"/>
    <w:rsid w:val="00FD4FFC"/>
    <w:rsid w:val="00FD5013"/>
    <w:rsid w:val="00FD510E"/>
    <w:rsid w:val="00FD5369"/>
    <w:rsid w:val="00FD5936"/>
    <w:rsid w:val="00FD59DB"/>
    <w:rsid w:val="00FD5CC9"/>
    <w:rsid w:val="00FD5D27"/>
    <w:rsid w:val="00FD5DEF"/>
    <w:rsid w:val="00FD5E11"/>
    <w:rsid w:val="00FD62BF"/>
    <w:rsid w:val="00FD637F"/>
    <w:rsid w:val="00FD63B4"/>
    <w:rsid w:val="00FD67A7"/>
    <w:rsid w:val="00FD69ED"/>
    <w:rsid w:val="00FD6AF7"/>
    <w:rsid w:val="00FD6B5E"/>
    <w:rsid w:val="00FD6B8A"/>
    <w:rsid w:val="00FD6BB7"/>
    <w:rsid w:val="00FD71DC"/>
    <w:rsid w:val="00FD7262"/>
    <w:rsid w:val="00FD7430"/>
    <w:rsid w:val="00FD7A64"/>
    <w:rsid w:val="00FD7D22"/>
    <w:rsid w:val="00FE00F6"/>
    <w:rsid w:val="00FE02AE"/>
    <w:rsid w:val="00FE03F5"/>
    <w:rsid w:val="00FE06C3"/>
    <w:rsid w:val="00FE07DF"/>
    <w:rsid w:val="00FE0AA0"/>
    <w:rsid w:val="00FE0CDB"/>
    <w:rsid w:val="00FE0D03"/>
    <w:rsid w:val="00FE0DD7"/>
    <w:rsid w:val="00FE0DEC"/>
    <w:rsid w:val="00FE0F1E"/>
    <w:rsid w:val="00FE0FE4"/>
    <w:rsid w:val="00FE109C"/>
    <w:rsid w:val="00FE10A6"/>
    <w:rsid w:val="00FE136E"/>
    <w:rsid w:val="00FE14C5"/>
    <w:rsid w:val="00FE1691"/>
    <w:rsid w:val="00FE1695"/>
    <w:rsid w:val="00FE17F9"/>
    <w:rsid w:val="00FE1891"/>
    <w:rsid w:val="00FE19E1"/>
    <w:rsid w:val="00FE1A5A"/>
    <w:rsid w:val="00FE2015"/>
    <w:rsid w:val="00FE252C"/>
    <w:rsid w:val="00FE2546"/>
    <w:rsid w:val="00FE2801"/>
    <w:rsid w:val="00FE2868"/>
    <w:rsid w:val="00FE2976"/>
    <w:rsid w:val="00FE2A67"/>
    <w:rsid w:val="00FE2DF1"/>
    <w:rsid w:val="00FE2E7D"/>
    <w:rsid w:val="00FE2F20"/>
    <w:rsid w:val="00FE3126"/>
    <w:rsid w:val="00FE314B"/>
    <w:rsid w:val="00FE3706"/>
    <w:rsid w:val="00FE3800"/>
    <w:rsid w:val="00FE38B5"/>
    <w:rsid w:val="00FE3B29"/>
    <w:rsid w:val="00FE3D78"/>
    <w:rsid w:val="00FE3EA0"/>
    <w:rsid w:val="00FE3EC3"/>
    <w:rsid w:val="00FE42A0"/>
    <w:rsid w:val="00FE42D3"/>
    <w:rsid w:val="00FE4783"/>
    <w:rsid w:val="00FE492A"/>
    <w:rsid w:val="00FE4A7F"/>
    <w:rsid w:val="00FE4D1A"/>
    <w:rsid w:val="00FE4D91"/>
    <w:rsid w:val="00FE4ED8"/>
    <w:rsid w:val="00FE4FA4"/>
    <w:rsid w:val="00FE5187"/>
    <w:rsid w:val="00FE532C"/>
    <w:rsid w:val="00FE53CA"/>
    <w:rsid w:val="00FE5503"/>
    <w:rsid w:val="00FE587D"/>
    <w:rsid w:val="00FE5BCC"/>
    <w:rsid w:val="00FE5BDC"/>
    <w:rsid w:val="00FE5FCE"/>
    <w:rsid w:val="00FE6094"/>
    <w:rsid w:val="00FE6226"/>
    <w:rsid w:val="00FE6828"/>
    <w:rsid w:val="00FE6A9E"/>
    <w:rsid w:val="00FE6E2E"/>
    <w:rsid w:val="00FE6E3A"/>
    <w:rsid w:val="00FE7056"/>
    <w:rsid w:val="00FE71EA"/>
    <w:rsid w:val="00FE7307"/>
    <w:rsid w:val="00FE7393"/>
    <w:rsid w:val="00FE73F1"/>
    <w:rsid w:val="00FE7780"/>
    <w:rsid w:val="00FE77AF"/>
    <w:rsid w:val="00FE7823"/>
    <w:rsid w:val="00FE7954"/>
    <w:rsid w:val="00FE7B09"/>
    <w:rsid w:val="00FE7B3B"/>
    <w:rsid w:val="00FE7B4A"/>
    <w:rsid w:val="00FE7F09"/>
    <w:rsid w:val="00FF04E7"/>
    <w:rsid w:val="00FF0619"/>
    <w:rsid w:val="00FF07AC"/>
    <w:rsid w:val="00FF0C67"/>
    <w:rsid w:val="00FF1117"/>
    <w:rsid w:val="00FF1229"/>
    <w:rsid w:val="00FF13FA"/>
    <w:rsid w:val="00FF1BD0"/>
    <w:rsid w:val="00FF1BFA"/>
    <w:rsid w:val="00FF1C1E"/>
    <w:rsid w:val="00FF1D22"/>
    <w:rsid w:val="00FF1DC0"/>
    <w:rsid w:val="00FF1E3F"/>
    <w:rsid w:val="00FF23D8"/>
    <w:rsid w:val="00FF2405"/>
    <w:rsid w:val="00FF25C0"/>
    <w:rsid w:val="00FF25C4"/>
    <w:rsid w:val="00FF25EE"/>
    <w:rsid w:val="00FF284B"/>
    <w:rsid w:val="00FF2906"/>
    <w:rsid w:val="00FF2BBD"/>
    <w:rsid w:val="00FF2D3B"/>
    <w:rsid w:val="00FF2DA6"/>
    <w:rsid w:val="00FF2E6B"/>
    <w:rsid w:val="00FF2FA1"/>
    <w:rsid w:val="00FF2FCF"/>
    <w:rsid w:val="00FF3181"/>
    <w:rsid w:val="00FF3645"/>
    <w:rsid w:val="00FF3A92"/>
    <w:rsid w:val="00FF3F74"/>
    <w:rsid w:val="00FF41DA"/>
    <w:rsid w:val="00FF4925"/>
    <w:rsid w:val="00FF4DD9"/>
    <w:rsid w:val="00FF512B"/>
    <w:rsid w:val="00FF5986"/>
    <w:rsid w:val="00FF59A2"/>
    <w:rsid w:val="00FF5D23"/>
    <w:rsid w:val="00FF6156"/>
    <w:rsid w:val="00FF629D"/>
    <w:rsid w:val="00FF640F"/>
    <w:rsid w:val="00FF66A0"/>
    <w:rsid w:val="00FF6A9E"/>
    <w:rsid w:val="00FF6AD9"/>
    <w:rsid w:val="00FF6F48"/>
    <w:rsid w:val="00FF7019"/>
    <w:rsid w:val="00FF750E"/>
    <w:rsid w:val="00FF763C"/>
    <w:rsid w:val="00FF77D2"/>
    <w:rsid w:val="00FF7A71"/>
    <w:rsid w:val="00FF7C34"/>
    <w:rsid w:val="011F2FB0"/>
    <w:rsid w:val="012A4AF2"/>
    <w:rsid w:val="012C3D42"/>
    <w:rsid w:val="012CB808"/>
    <w:rsid w:val="012E1F69"/>
    <w:rsid w:val="0133EC6E"/>
    <w:rsid w:val="01344C62"/>
    <w:rsid w:val="013CD239"/>
    <w:rsid w:val="01558302"/>
    <w:rsid w:val="015A2EE2"/>
    <w:rsid w:val="01718209"/>
    <w:rsid w:val="018380FA"/>
    <w:rsid w:val="018B464A"/>
    <w:rsid w:val="01944887"/>
    <w:rsid w:val="01BC2BC9"/>
    <w:rsid w:val="01C73A83"/>
    <w:rsid w:val="01D07C7A"/>
    <w:rsid w:val="01E95584"/>
    <w:rsid w:val="01EBEBD5"/>
    <w:rsid w:val="01EFA37F"/>
    <w:rsid w:val="020498F5"/>
    <w:rsid w:val="0205B8F3"/>
    <w:rsid w:val="0211BB4A"/>
    <w:rsid w:val="0218A999"/>
    <w:rsid w:val="02222BB5"/>
    <w:rsid w:val="02314DEE"/>
    <w:rsid w:val="023667EB"/>
    <w:rsid w:val="023ADA68"/>
    <w:rsid w:val="02439E5B"/>
    <w:rsid w:val="0251C136"/>
    <w:rsid w:val="025D81B2"/>
    <w:rsid w:val="0282A1B8"/>
    <w:rsid w:val="028BDA05"/>
    <w:rsid w:val="028F414B"/>
    <w:rsid w:val="02981975"/>
    <w:rsid w:val="0298F31E"/>
    <w:rsid w:val="02A0359C"/>
    <w:rsid w:val="02A9EB72"/>
    <w:rsid w:val="02ACFB52"/>
    <w:rsid w:val="02B875BB"/>
    <w:rsid w:val="02B944B3"/>
    <w:rsid w:val="02C9A099"/>
    <w:rsid w:val="02D9CC44"/>
    <w:rsid w:val="02EA07E7"/>
    <w:rsid w:val="02FEF65E"/>
    <w:rsid w:val="02FFA5A3"/>
    <w:rsid w:val="031D82E3"/>
    <w:rsid w:val="031F2652"/>
    <w:rsid w:val="0333AA7A"/>
    <w:rsid w:val="03362EEC"/>
    <w:rsid w:val="033C80FC"/>
    <w:rsid w:val="033EAC34"/>
    <w:rsid w:val="03442B63"/>
    <w:rsid w:val="0348B865"/>
    <w:rsid w:val="035784DA"/>
    <w:rsid w:val="0362B849"/>
    <w:rsid w:val="03872CDE"/>
    <w:rsid w:val="039B643E"/>
    <w:rsid w:val="03B0A193"/>
    <w:rsid w:val="03B61EF1"/>
    <w:rsid w:val="03BF05D4"/>
    <w:rsid w:val="03C675F2"/>
    <w:rsid w:val="03CB345B"/>
    <w:rsid w:val="03D3FFE5"/>
    <w:rsid w:val="03EA90C3"/>
    <w:rsid w:val="03F5B1FC"/>
    <w:rsid w:val="041B74E2"/>
    <w:rsid w:val="041FF1BC"/>
    <w:rsid w:val="042E498E"/>
    <w:rsid w:val="0442AAF1"/>
    <w:rsid w:val="0451173A"/>
    <w:rsid w:val="04536659"/>
    <w:rsid w:val="0477AEDA"/>
    <w:rsid w:val="0487C3CF"/>
    <w:rsid w:val="048B03B0"/>
    <w:rsid w:val="0492EAF0"/>
    <w:rsid w:val="0499FC66"/>
    <w:rsid w:val="049B0419"/>
    <w:rsid w:val="04A2203D"/>
    <w:rsid w:val="04A680D0"/>
    <w:rsid w:val="04B1F9C6"/>
    <w:rsid w:val="04C5C6D6"/>
    <w:rsid w:val="04D01032"/>
    <w:rsid w:val="04D83467"/>
    <w:rsid w:val="04DEF9C9"/>
    <w:rsid w:val="04EF4DD1"/>
    <w:rsid w:val="04F398DB"/>
    <w:rsid w:val="050525CE"/>
    <w:rsid w:val="051C9BAD"/>
    <w:rsid w:val="051F67E1"/>
    <w:rsid w:val="05247682"/>
    <w:rsid w:val="052FADAD"/>
    <w:rsid w:val="053A96C3"/>
    <w:rsid w:val="05459528"/>
    <w:rsid w:val="054C5EB0"/>
    <w:rsid w:val="05555042"/>
    <w:rsid w:val="0567C15F"/>
    <w:rsid w:val="057DF8CE"/>
    <w:rsid w:val="05862BAA"/>
    <w:rsid w:val="058AB5BD"/>
    <w:rsid w:val="058E102B"/>
    <w:rsid w:val="05982803"/>
    <w:rsid w:val="05BA5218"/>
    <w:rsid w:val="05CCEF4F"/>
    <w:rsid w:val="05DBEA5D"/>
    <w:rsid w:val="05EA93DD"/>
    <w:rsid w:val="05EFEB43"/>
    <w:rsid w:val="05FA0645"/>
    <w:rsid w:val="05FFFAD9"/>
    <w:rsid w:val="060E94DB"/>
    <w:rsid w:val="061CBA99"/>
    <w:rsid w:val="061EFF43"/>
    <w:rsid w:val="06218403"/>
    <w:rsid w:val="0623A28C"/>
    <w:rsid w:val="06274EB9"/>
    <w:rsid w:val="06456366"/>
    <w:rsid w:val="064D3EA6"/>
    <w:rsid w:val="0651F00F"/>
    <w:rsid w:val="0665D817"/>
    <w:rsid w:val="06761B03"/>
    <w:rsid w:val="067FA9F4"/>
    <w:rsid w:val="067FE418"/>
    <w:rsid w:val="06825CEE"/>
    <w:rsid w:val="0686B81C"/>
    <w:rsid w:val="068AB1E1"/>
    <w:rsid w:val="068D71A1"/>
    <w:rsid w:val="0694F004"/>
    <w:rsid w:val="0696BA6F"/>
    <w:rsid w:val="06A31EA5"/>
    <w:rsid w:val="06A7E530"/>
    <w:rsid w:val="06AF5FB0"/>
    <w:rsid w:val="06C77682"/>
    <w:rsid w:val="06C85D56"/>
    <w:rsid w:val="06DDB7CF"/>
    <w:rsid w:val="06DF7204"/>
    <w:rsid w:val="06E6180D"/>
    <w:rsid w:val="06E707EF"/>
    <w:rsid w:val="06E7636C"/>
    <w:rsid w:val="06EB8D3A"/>
    <w:rsid w:val="06F9AEB6"/>
    <w:rsid w:val="071BDBB7"/>
    <w:rsid w:val="071FC26F"/>
    <w:rsid w:val="0721A4ED"/>
    <w:rsid w:val="07245C9D"/>
    <w:rsid w:val="072770F3"/>
    <w:rsid w:val="0735F30B"/>
    <w:rsid w:val="07471F1A"/>
    <w:rsid w:val="07576A10"/>
    <w:rsid w:val="075A345B"/>
    <w:rsid w:val="0779BACC"/>
    <w:rsid w:val="0796E661"/>
    <w:rsid w:val="0799604B"/>
    <w:rsid w:val="079BC92A"/>
    <w:rsid w:val="07A45CD5"/>
    <w:rsid w:val="07A48F94"/>
    <w:rsid w:val="07A9FFC9"/>
    <w:rsid w:val="07B1E795"/>
    <w:rsid w:val="07B39158"/>
    <w:rsid w:val="07B96A58"/>
    <w:rsid w:val="07D5C5E3"/>
    <w:rsid w:val="07D74F22"/>
    <w:rsid w:val="07E3482F"/>
    <w:rsid w:val="07E7E3E4"/>
    <w:rsid w:val="07EEB489"/>
    <w:rsid w:val="07FA46B9"/>
    <w:rsid w:val="07FACB8D"/>
    <w:rsid w:val="08071420"/>
    <w:rsid w:val="08129874"/>
    <w:rsid w:val="0812DED3"/>
    <w:rsid w:val="082B2612"/>
    <w:rsid w:val="082D142B"/>
    <w:rsid w:val="082F774E"/>
    <w:rsid w:val="084714B2"/>
    <w:rsid w:val="084A70A7"/>
    <w:rsid w:val="084FD639"/>
    <w:rsid w:val="08502215"/>
    <w:rsid w:val="08555749"/>
    <w:rsid w:val="08580F0C"/>
    <w:rsid w:val="086DA49B"/>
    <w:rsid w:val="0877B3DF"/>
    <w:rsid w:val="088691B6"/>
    <w:rsid w:val="088DDB2D"/>
    <w:rsid w:val="08913347"/>
    <w:rsid w:val="08A734D3"/>
    <w:rsid w:val="08B46C1B"/>
    <w:rsid w:val="08C2D9BC"/>
    <w:rsid w:val="08C3DDF9"/>
    <w:rsid w:val="08CEBCE3"/>
    <w:rsid w:val="08D3830B"/>
    <w:rsid w:val="08ECFCDD"/>
    <w:rsid w:val="08F2EC3B"/>
    <w:rsid w:val="08F3F8C7"/>
    <w:rsid w:val="08F68E71"/>
    <w:rsid w:val="08FC917F"/>
    <w:rsid w:val="09076F99"/>
    <w:rsid w:val="091B5DD7"/>
    <w:rsid w:val="091FDCA5"/>
    <w:rsid w:val="0927B81B"/>
    <w:rsid w:val="0931DA0D"/>
    <w:rsid w:val="09329C5D"/>
    <w:rsid w:val="09365C3E"/>
    <w:rsid w:val="093D149E"/>
    <w:rsid w:val="093D68C4"/>
    <w:rsid w:val="0949D193"/>
    <w:rsid w:val="094D02A9"/>
    <w:rsid w:val="0952F1F8"/>
    <w:rsid w:val="095C02DB"/>
    <w:rsid w:val="09759AF7"/>
    <w:rsid w:val="097FA9CA"/>
    <w:rsid w:val="09843AAC"/>
    <w:rsid w:val="09A45435"/>
    <w:rsid w:val="09ACBD79"/>
    <w:rsid w:val="09B00363"/>
    <w:rsid w:val="09BA2A41"/>
    <w:rsid w:val="09CD0AFF"/>
    <w:rsid w:val="09E764D7"/>
    <w:rsid w:val="09E78C6C"/>
    <w:rsid w:val="09F97405"/>
    <w:rsid w:val="0A000D45"/>
    <w:rsid w:val="0A12EE85"/>
    <w:rsid w:val="0A2648E7"/>
    <w:rsid w:val="0A27D8D2"/>
    <w:rsid w:val="0A3FB7CA"/>
    <w:rsid w:val="0A474C5C"/>
    <w:rsid w:val="0A52A7D3"/>
    <w:rsid w:val="0A5D03E3"/>
    <w:rsid w:val="0A5E1890"/>
    <w:rsid w:val="0A6633A4"/>
    <w:rsid w:val="0A790706"/>
    <w:rsid w:val="0A7F08F5"/>
    <w:rsid w:val="0A88C5A0"/>
    <w:rsid w:val="0A8D7417"/>
    <w:rsid w:val="0A975AD6"/>
    <w:rsid w:val="0AA047CD"/>
    <w:rsid w:val="0AA59C04"/>
    <w:rsid w:val="0AB4F205"/>
    <w:rsid w:val="0AD451A1"/>
    <w:rsid w:val="0AEAEB79"/>
    <w:rsid w:val="0AFAA30C"/>
    <w:rsid w:val="0AFC72C2"/>
    <w:rsid w:val="0B319F49"/>
    <w:rsid w:val="0B38975D"/>
    <w:rsid w:val="0B3EC539"/>
    <w:rsid w:val="0B5D833E"/>
    <w:rsid w:val="0B61BF3D"/>
    <w:rsid w:val="0B6504BB"/>
    <w:rsid w:val="0B66C35C"/>
    <w:rsid w:val="0B6E435A"/>
    <w:rsid w:val="0B6FE34C"/>
    <w:rsid w:val="0B7128FC"/>
    <w:rsid w:val="0B7B5393"/>
    <w:rsid w:val="0B81B2EF"/>
    <w:rsid w:val="0B86EFB0"/>
    <w:rsid w:val="0B8EA836"/>
    <w:rsid w:val="0B9397BE"/>
    <w:rsid w:val="0B97A674"/>
    <w:rsid w:val="0B99C00C"/>
    <w:rsid w:val="0B9B0FB3"/>
    <w:rsid w:val="0BA12C43"/>
    <w:rsid w:val="0BA49E2E"/>
    <w:rsid w:val="0BB78AA3"/>
    <w:rsid w:val="0BC04F95"/>
    <w:rsid w:val="0BC575F2"/>
    <w:rsid w:val="0BC5C410"/>
    <w:rsid w:val="0BC6E019"/>
    <w:rsid w:val="0BC76F75"/>
    <w:rsid w:val="0BD95333"/>
    <w:rsid w:val="0BE60D60"/>
    <w:rsid w:val="0BE95D89"/>
    <w:rsid w:val="0BF894AA"/>
    <w:rsid w:val="0C00A641"/>
    <w:rsid w:val="0C0CDD12"/>
    <w:rsid w:val="0C0D3CF9"/>
    <w:rsid w:val="0C14D2FA"/>
    <w:rsid w:val="0C15F363"/>
    <w:rsid w:val="0C1619D9"/>
    <w:rsid w:val="0C1B185F"/>
    <w:rsid w:val="0C1BB032"/>
    <w:rsid w:val="0C258A4D"/>
    <w:rsid w:val="0C353740"/>
    <w:rsid w:val="0C36E6D2"/>
    <w:rsid w:val="0C3ADA7A"/>
    <w:rsid w:val="0C451E87"/>
    <w:rsid w:val="0C4EC39A"/>
    <w:rsid w:val="0C50F124"/>
    <w:rsid w:val="0C590C5F"/>
    <w:rsid w:val="0C623943"/>
    <w:rsid w:val="0C677E4D"/>
    <w:rsid w:val="0C7213E3"/>
    <w:rsid w:val="0C7B47FD"/>
    <w:rsid w:val="0C8EA852"/>
    <w:rsid w:val="0C8F71FE"/>
    <w:rsid w:val="0C9283EF"/>
    <w:rsid w:val="0C94B9C7"/>
    <w:rsid w:val="0C9E6C6A"/>
    <w:rsid w:val="0CA455FC"/>
    <w:rsid w:val="0CA7675B"/>
    <w:rsid w:val="0CB5E2B5"/>
    <w:rsid w:val="0CB78441"/>
    <w:rsid w:val="0CBD6F2F"/>
    <w:rsid w:val="0CC3EC38"/>
    <w:rsid w:val="0D15B923"/>
    <w:rsid w:val="0D20FB55"/>
    <w:rsid w:val="0D22D98A"/>
    <w:rsid w:val="0D23FB2F"/>
    <w:rsid w:val="0D270A0B"/>
    <w:rsid w:val="0D3C343B"/>
    <w:rsid w:val="0D450F70"/>
    <w:rsid w:val="0D579A98"/>
    <w:rsid w:val="0D5D93B2"/>
    <w:rsid w:val="0D815980"/>
    <w:rsid w:val="0D8D2D05"/>
    <w:rsid w:val="0D8F29F0"/>
    <w:rsid w:val="0D90C7F8"/>
    <w:rsid w:val="0DA36063"/>
    <w:rsid w:val="0DB241FC"/>
    <w:rsid w:val="0DB78392"/>
    <w:rsid w:val="0DC0B758"/>
    <w:rsid w:val="0DC0FE45"/>
    <w:rsid w:val="0DCF1EE7"/>
    <w:rsid w:val="0DD274D8"/>
    <w:rsid w:val="0DF0E684"/>
    <w:rsid w:val="0DF1F570"/>
    <w:rsid w:val="0DF3C598"/>
    <w:rsid w:val="0DF44090"/>
    <w:rsid w:val="0E0E82E0"/>
    <w:rsid w:val="0E1E66AA"/>
    <w:rsid w:val="0E22DE2C"/>
    <w:rsid w:val="0E26F7B7"/>
    <w:rsid w:val="0E346FBF"/>
    <w:rsid w:val="0E3B6B47"/>
    <w:rsid w:val="0E49EF71"/>
    <w:rsid w:val="0E4A2BD1"/>
    <w:rsid w:val="0E58C06C"/>
    <w:rsid w:val="0E5F597C"/>
    <w:rsid w:val="0E795BAF"/>
    <w:rsid w:val="0E9946F0"/>
    <w:rsid w:val="0EA82205"/>
    <w:rsid w:val="0EACFC4B"/>
    <w:rsid w:val="0EB2C5CB"/>
    <w:rsid w:val="0EB7B992"/>
    <w:rsid w:val="0EB9DF22"/>
    <w:rsid w:val="0EBC11D8"/>
    <w:rsid w:val="0EC3C124"/>
    <w:rsid w:val="0EC5E143"/>
    <w:rsid w:val="0EDA03B6"/>
    <w:rsid w:val="0EDB0A33"/>
    <w:rsid w:val="0EDE0BB5"/>
    <w:rsid w:val="0EDF66A4"/>
    <w:rsid w:val="0EE6BAD9"/>
    <w:rsid w:val="0EEB80B4"/>
    <w:rsid w:val="0EED43D4"/>
    <w:rsid w:val="0EFF2F89"/>
    <w:rsid w:val="0F138DC2"/>
    <w:rsid w:val="0F14DED5"/>
    <w:rsid w:val="0F34C310"/>
    <w:rsid w:val="0F354902"/>
    <w:rsid w:val="0F3B6DCB"/>
    <w:rsid w:val="0F5E195D"/>
    <w:rsid w:val="0F5E2D36"/>
    <w:rsid w:val="0F6D1A1F"/>
    <w:rsid w:val="0F6DCB9E"/>
    <w:rsid w:val="0F6E49B9"/>
    <w:rsid w:val="0F6E6717"/>
    <w:rsid w:val="0F7E4A8E"/>
    <w:rsid w:val="0FA04C35"/>
    <w:rsid w:val="0FAF7E3D"/>
    <w:rsid w:val="0FB6D0AF"/>
    <w:rsid w:val="0FBADC77"/>
    <w:rsid w:val="0FCC239C"/>
    <w:rsid w:val="0FD23A85"/>
    <w:rsid w:val="0FD4287C"/>
    <w:rsid w:val="0FE11448"/>
    <w:rsid w:val="0FEB540B"/>
    <w:rsid w:val="0FF282A3"/>
    <w:rsid w:val="0FFC99D5"/>
    <w:rsid w:val="1002ABCA"/>
    <w:rsid w:val="10236F70"/>
    <w:rsid w:val="102ABA16"/>
    <w:rsid w:val="10401C4E"/>
    <w:rsid w:val="10455171"/>
    <w:rsid w:val="10473884"/>
    <w:rsid w:val="104EDDCD"/>
    <w:rsid w:val="104FA7E7"/>
    <w:rsid w:val="104FFCDF"/>
    <w:rsid w:val="105FEDA7"/>
    <w:rsid w:val="1064189B"/>
    <w:rsid w:val="106BDD24"/>
    <w:rsid w:val="107EDA52"/>
    <w:rsid w:val="108F7214"/>
    <w:rsid w:val="10BBD3A7"/>
    <w:rsid w:val="10C12931"/>
    <w:rsid w:val="10C202E9"/>
    <w:rsid w:val="10CE1268"/>
    <w:rsid w:val="10D459A4"/>
    <w:rsid w:val="10EA810E"/>
    <w:rsid w:val="10EAAF7B"/>
    <w:rsid w:val="10FCA43F"/>
    <w:rsid w:val="11049970"/>
    <w:rsid w:val="11125C3E"/>
    <w:rsid w:val="11147285"/>
    <w:rsid w:val="11157849"/>
    <w:rsid w:val="1120F375"/>
    <w:rsid w:val="1122E913"/>
    <w:rsid w:val="11275F69"/>
    <w:rsid w:val="113255FB"/>
    <w:rsid w:val="11341F65"/>
    <w:rsid w:val="1146DAE1"/>
    <w:rsid w:val="11526617"/>
    <w:rsid w:val="11621D68"/>
    <w:rsid w:val="116F2E8C"/>
    <w:rsid w:val="117BAFE1"/>
    <w:rsid w:val="117BE2FA"/>
    <w:rsid w:val="119F1766"/>
    <w:rsid w:val="11A05E0D"/>
    <w:rsid w:val="11AAE58D"/>
    <w:rsid w:val="11AAF35C"/>
    <w:rsid w:val="11AFABE4"/>
    <w:rsid w:val="11CB91F5"/>
    <w:rsid w:val="11D9EF86"/>
    <w:rsid w:val="11DC4789"/>
    <w:rsid w:val="11E0756E"/>
    <w:rsid w:val="11E831B2"/>
    <w:rsid w:val="11EB85CA"/>
    <w:rsid w:val="11EC4FD2"/>
    <w:rsid w:val="11EC85ED"/>
    <w:rsid w:val="1202FAE9"/>
    <w:rsid w:val="12075115"/>
    <w:rsid w:val="12110639"/>
    <w:rsid w:val="1223D86E"/>
    <w:rsid w:val="1226B5E0"/>
    <w:rsid w:val="124725E7"/>
    <w:rsid w:val="1263EFEE"/>
    <w:rsid w:val="12808A66"/>
    <w:rsid w:val="1280E91E"/>
    <w:rsid w:val="128AC37D"/>
    <w:rsid w:val="128CD777"/>
    <w:rsid w:val="12907C2E"/>
    <w:rsid w:val="129587F5"/>
    <w:rsid w:val="12B4C5DD"/>
    <w:rsid w:val="12B63DCB"/>
    <w:rsid w:val="12C25DEC"/>
    <w:rsid w:val="12D82A7D"/>
    <w:rsid w:val="12E5A1ED"/>
    <w:rsid w:val="12F8044F"/>
    <w:rsid w:val="130E04FE"/>
    <w:rsid w:val="1314E74B"/>
    <w:rsid w:val="13164D9F"/>
    <w:rsid w:val="131E83B7"/>
    <w:rsid w:val="132920DD"/>
    <w:rsid w:val="1339BE50"/>
    <w:rsid w:val="134DF610"/>
    <w:rsid w:val="1351AF6A"/>
    <w:rsid w:val="13556150"/>
    <w:rsid w:val="1366CF97"/>
    <w:rsid w:val="1376216F"/>
    <w:rsid w:val="137D5E8E"/>
    <w:rsid w:val="13809175"/>
    <w:rsid w:val="13877FAE"/>
    <w:rsid w:val="139066E5"/>
    <w:rsid w:val="1392ABD6"/>
    <w:rsid w:val="139C7127"/>
    <w:rsid w:val="13B4722A"/>
    <w:rsid w:val="13C03C3A"/>
    <w:rsid w:val="13DBA959"/>
    <w:rsid w:val="13DCF052"/>
    <w:rsid w:val="13FE36C8"/>
    <w:rsid w:val="140E755D"/>
    <w:rsid w:val="1422659B"/>
    <w:rsid w:val="142DE2FA"/>
    <w:rsid w:val="14337796"/>
    <w:rsid w:val="144A29C1"/>
    <w:rsid w:val="1452CC2C"/>
    <w:rsid w:val="1471130F"/>
    <w:rsid w:val="14739C7D"/>
    <w:rsid w:val="148F1E80"/>
    <w:rsid w:val="149F5408"/>
    <w:rsid w:val="14ACA4CA"/>
    <w:rsid w:val="14ADC7C4"/>
    <w:rsid w:val="14B042C4"/>
    <w:rsid w:val="14B43503"/>
    <w:rsid w:val="14D83DA6"/>
    <w:rsid w:val="14DF9F04"/>
    <w:rsid w:val="14F289C8"/>
    <w:rsid w:val="14F5EE10"/>
    <w:rsid w:val="14F9E2B2"/>
    <w:rsid w:val="150DD778"/>
    <w:rsid w:val="15190680"/>
    <w:rsid w:val="151EFA22"/>
    <w:rsid w:val="1530EBFB"/>
    <w:rsid w:val="153146AC"/>
    <w:rsid w:val="153888D5"/>
    <w:rsid w:val="1542DD4C"/>
    <w:rsid w:val="1544E1E5"/>
    <w:rsid w:val="1546AF5F"/>
    <w:rsid w:val="15530A7E"/>
    <w:rsid w:val="15570789"/>
    <w:rsid w:val="155C2DCF"/>
    <w:rsid w:val="155E1C45"/>
    <w:rsid w:val="1568C446"/>
    <w:rsid w:val="15961FB8"/>
    <w:rsid w:val="159B3098"/>
    <w:rsid w:val="159D76DB"/>
    <w:rsid w:val="15AFC2DD"/>
    <w:rsid w:val="15B2EA83"/>
    <w:rsid w:val="15B6DBC8"/>
    <w:rsid w:val="15C4DE8C"/>
    <w:rsid w:val="15C64A1E"/>
    <w:rsid w:val="15ED953D"/>
    <w:rsid w:val="15FA4BA4"/>
    <w:rsid w:val="15FE21E4"/>
    <w:rsid w:val="15FE78FF"/>
    <w:rsid w:val="16040F32"/>
    <w:rsid w:val="160DCEE8"/>
    <w:rsid w:val="1629E644"/>
    <w:rsid w:val="162BFD22"/>
    <w:rsid w:val="162EC571"/>
    <w:rsid w:val="1631798D"/>
    <w:rsid w:val="163DD3AD"/>
    <w:rsid w:val="163FDA04"/>
    <w:rsid w:val="1648B5AE"/>
    <w:rsid w:val="165E307E"/>
    <w:rsid w:val="16748CD5"/>
    <w:rsid w:val="167D34C9"/>
    <w:rsid w:val="1682D4B5"/>
    <w:rsid w:val="16896222"/>
    <w:rsid w:val="168D2155"/>
    <w:rsid w:val="1694BFF4"/>
    <w:rsid w:val="16A72B3E"/>
    <w:rsid w:val="16A76152"/>
    <w:rsid w:val="16A99800"/>
    <w:rsid w:val="16C874AF"/>
    <w:rsid w:val="16CF02E1"/>
    <w:rsid w:val="16CF9976"/>
    <w:rsid w:val="16D2AB94"/>
    <w:rsid w:val="16E24BD4"/>
    <w:rsid w:val="16E570EE"/>
    <w:rsid w:val="16E6531A"/>
    <w:rsid w:val="170071E3"/>
    <w:rsid w:val="170295AF"/>
    <w:rsid w:val="17096C30"/>
    <w:rsid w:val="170FD34F"/>
    <w:rsid w:val="171910BC"/>
    <w:rsid w:val="171DD8DB"/>
    <w:rsid w:val="17274574"/>
    <w:rsid w:val="1727A69C"/>
    <w:rsid w:val="17380C28"/>
    <w:rsid w:val="1745E1B6"/>
    <w:rsid w:val="17468B73"/>
    <w:rsid w:val="1751A523"/>
    <w:rsid w:val="1754D1F4"/>
    <w:rsid w:val="1777AB42"/>
    <w:rsid w:val="1777EBFC"/>
    <w:rsid w:val="177E5A05"/>
    <w:rsid w:val="1785DE7D"/>
    <w:rsid w:val="17905E6C"/>
    <w:rsid w:val="17925F72"/>
    <w:rsid w:val="1799DDAB"/>
    <w:rsid w:val="17B6FCCF"/>
    <w:rsid w:val="17BB5188"/>
    <w:rsid w:val="17C80040"/>
    <w:rsid w:val="17D212B2"/>
    <w:rsid w:val="17E2B618"/>
    <w:rsid w:val="17E65399"/>
    <w:rsid w:val="17E76A44"/>
    <w:rsid w:val="17F71585"/>
    <w:rsid w:val="18046062"/>
    <w:rsid w:val="181193A7"/>
    <w:rsid w:val="18196432"/>
    <w:rsid w:val="18315892"/>
    <w:rsid w:val="1831A782"/>
    <w:rsid w:val="1834EB67"/>
    <w:rsid w:val="18393B88"/>
    <w:rsid w:val="183FC3FE"/>
    <w:rsid w:val="185454F7"/>
    <w:rsid w:val="186360A9"/>
    <w:rsid w:val="18673B4B"/>
    <w:rsid w:val="186A4315"/>
    <w:rsid w:val="189BC1F5"/>
    <w:rsid w:val="189E2AD6"/>
    <w:rsid w:val="18BB7598"/>
    <w:rsid w:val="18CABCED"/>
    <w:rsid w:val="18D30BBD"/>
    <w:rsid w:val="18DCC223"/>
    <w:rsid w:val="18ED8484"/>
    <w:rsid w:val="18F3EC70"/>
    <w:rsid w:val="190B16BB"/>
    <w:rsid w:val="191E5AB2"/>
    <w:rsid w:val="192CA4B9"/>
    <w:rsid w:val="19329805"/>
    <w:rsid w:val="1938AF13"/>
    <w:rsid w:val="193EFDAF"/>
    <w:rsid w:val="194140CF"/>
    <w:rsid w:val="194ED805"/>
    <w:rsid w:val="195002BB"/>
    <w:rsid w:val="1958BAC8"/>
    <w:rsid w:val="1961601F"/>
    <w:rsid w:val="196E0A7A"/>
    <w:rsid w:val="1980F2D1"/>
    <w:rsid w:val="19826A50"/>
    <w:rsid w:val="1986599E"/>
    <w:rsid w:val="19885958"/>
    <w:rsid w:val="198936DE"/>
    <w:rsid w:val="19925664"/>
    <w:rsid w:val="199A78AA"/>
    <w:rsid w:val="19A3AEEE"/>
    <w:rsid w:val="19A70909"/>
    <w:rsid w:val="19B4B358"/>
    <w:rsid w:val="19D0ABA8"/>
    <w:rsid w:val="19D39193"/>
    <w:rsid w:val="19D8B357"/>
    <w:rsid w:val="19DCB0E1"/>
    <w:rsid w:val="19E347F2"/>
    <w:rsid w:val="19F44CAA"/>
    <w:rsid w:val="1A014910"/>
    <w:rsid w:val="1A104B6E"/>
    <w:rsid w:val="1A113D78"/>
    <w:rsid w:val="1A150738"/>
    <w:rsid w:val="1A158AD4"/>
    <w:rsid w:val="1A162EF0"/>
    <w:rsid w:val="1A20C75F"/>
    <w:rsid w:val="1A21BF56"/>
    <w:rsid w:val="1A25E725"/>
    <w:rsid w:val="1A2BC87A"/>
    <w:rsid w:val="1A304D8B"/>
    <w:rsid w:val="1A384A38"/>
    <w:rsid w:val="1A38A252"/>
    <w:rsid w:val="1A3EBC0B"/>
    <w:rsid w:val="1A568AB8"/>
    <w:rsid w:val="1A5860B7"/>
    <w:rsid w:val="1A60B446"/>
    <w:rsid w:val="1A62D725"/>
    <w:rsid w:val="1A64436F"/>
    <w:rsid w:val="1A6CF697"/>
    <w:rsid w:val="1A745AB3"/>
    <w:rsid w:val="1A7760C4"/>
    <w:rsid w:val="1A7C844E"/>
    <w:rsid w:val="1A894FAC"/>
    <w:rsid w:val="1A920371"/>
    <w:rsid w:val="1A9B18EE"/>
    <w:rsid w:val="1A9CE23F"/>
    <w:rsid w:val="1A9F2717"/>
    <w:rsid w:val="1AA7F16E"/>
    <w:rsid w:val="1AA94C47"/>
    <w:rsid w:val="1AB4254F"/>
    <w:rsid w:val="1AD04229"/>
    <w:rsid w:val="1AD4317B"/>
    <w:rsid w:val="1ADBDEB8"/>
    <w:rsid w:val="1AE576C4"/>
    <w:rsid w:val="1AF54870"/>
    <w:rsid w:val="1AFA1BC4"/>
    <w:rsid w:val="1B042FB4"/>
    <w:rsid w:val="1B075E32"/>
    <w:rsid w:val="1B091E40"/>
    <w:rsid w:val="1B1AED40"/>
    <w:rsid w:val="1B1DF89E"/>
    <w:rsid w:val="1B237A67"/>
    <w:rsid w:val="1B2E9C5B"/>
    <w:rsid w:val="1B33ED07"/>
    <w:rsid w:val="1B358D1D"/>
    <w:rsid w:val="1B37917D"/>
    <w:rsid w:val="1B419365"/>
    <w:rsid w:val="1B43A442"/>
    <w:rsid w:val="1B45898A"/>
    <w:rsid w:val="1B523A66"/>
    <w:rsid w:val="1B5DA216"/>
    <w:rsid w:val="1B6E0050"/>
    <w:rsid w:val="1B74E4AD"/>
    <w:rsid w:val="1B7DFA64"/>
    <w:rsid w:val="1B81BDB7"/>
    <w:rsid w:val="1B8989D3"/>
    <w:rsid w:val="1B92D710"/>
    <w:rsid w:val="1B95A700"/>
    <w:rsid w:val="1B9B8CE7"/>
    <w:rsid w:val="1BB7C4D5"/>
    <w:rsid w:val="1BD62CB5"/>
    <w:rsid w:val="1BDAD3D6"/>
    <w:rsid w:val="1BDB167A"/>
    <w:rsid w:val="1BE14097"/>
    <w:rsid w:val="1BF0A9F9"/>
    <w:rsid w:val="1BF2F1E5"/>
    <w:rsid w:val="1BF4F463"/>
    <w:rsid w:val="1BF580BF"/>
    <w:rsid w:val="1BFA65E0"/>
    <w:rsid w:val="1C153860"/>
    <w:rsid w:val="1C18528E"/>
    <w:rsid w:val="1C257475"/>
    <w:rsid w:val="1C2959D0"/>
    <w:rsid w:val="1C2C7D1E"/>
    <w:rsid w:val="1C2CE698"/>
    <w:rsid w:val="1C346751"/>
    <w:rsid w:val="1C3A594B"/>
    <w:rsid w:val="1C515233"/>
    <w:rsid w:val="1C5DC212"/>
    <w:rsid w:val="1C769FBD"/>
    <w:rsid w:val="1C804EF3"/>
    <w:rsid w:val="1C9208D6"/>
    <w:rsid w:val="1CA4C081"/>
    <w:rsid w:val="1CA5B3CB"/>
    <w:rsid w:val="1CB2FC0B"/>
    <w:rsid w:val="1CB74C81"/>
    <w:rsid w:val="1CCBA766"/>
    <w:rsid w:val="1CD0DE1D"/>
    <w:rsid w:val="1CDE89C9"/>
    <w:rsid w:val="1CED2E3B"/>
    <w:rsid w:val="1CED9A6A"/>
    <w:rsid w:val="1CF0EF6A"/>
    <w:rsid w:val="1CFCCB1D"/>
    <w:rsid w:val="1CFF3468"/>
    <w:rsid w:val="1CFF5286"/>
    <w:rsid w:val="1D01C8B3"/>
    <w:rsid w:val="1D0C7816"/>
    <w:rsid w:val="1D1E7AE1"/>
    <w:rsid w:val="1D315B41"/>
    <w:rsid w:val="1D419BC8"/>
    <w:rsid w:val="1D4E3EB3"/>
    <w:rsid w:val="1D505263"/>
    <w:rsid w:val="1D63E902"/>
    <w:rsid w:val="1D66055C"/>
    <w:rsid w:val="1D6935AB"/>
    <w:rsid w:val="1D6EA00C"/>
    <w:rsid w:val="1D717CA6"/>
    <w:rsid w:val="1D979EDB"/>
    <w:rsid w:val="1DA47958"/>
    <w:rsid w:val="1DC1729A"/>
    <w:rsid w:val="1DC5A469"/>
    <w:rsid w:val="1DCBC629"/>
    <w:rsid w:val="1DD465FF"/>
    <w:rsid w:val="1DD62FDB"/>
    <w:rsid w:val="1DE8AE16"/>
    <w:rsid w:val="1E19AF12"/>
    <w:rsid w:val="1E19E588"/>
    <w:rsid w:val="1E1A12E2"/>
    <w:rsid w:val="1E1E25A7"/>
    <w:rsid w:val="1E221D5E"/>
    <w:rsid w:val="1E2377BE"/>
    <w:rsid w:val="1E25488C"/>
    <w:rsid w:val="1E29AF84"/>
    <w:rsid w:val="1E32D8F5"/>
    <w:rsid w:val="1E565373"/>
    <w:rsid w:val="1E62980B"/>
    <w:rsid w:val="1E73A9BE"/>
    <w:rsid w:val="1E762361"/>
    <w:rsid w:val="1E96AE74"/>
    <w:rsid w:val="1EAF22B7"/>
    <w:rsid w:val="1EB3E8D3"/>
    <w:rsid w:val="1EBFFA15"/>
    <w:rsid w:val="1EC8A5DA"/>
    <w:rsid w:val="1ED240E2"/>
    <w:rsid w:val="1EEC1D41"/>
    <w:rsid w:val="1EF06B48"/>
    <w:rsid w:val="1EF2CF56"/>
    <w:rsid w:val="1EF2DBBE"/>
    <w:rsid w:val="1EF6A36F"/>
    <w:rsid w:val="1F054969"/>
    <w:rsid w:val="1F0D0058"/>
    <w:rsid w:val="1F0E2F42"/>
    <w:rsid w:val="1F160884"/>
    <w:rsid w:val="1F2A4468"/>
    <w:rsid w:val="1F308BFC"/>
    <w:rsid w:val="1F31CE71"/>
    <w:rsid w:val="1F40CD50"/>
    <w:rsid w:val="1F546510"/>
    <w:rsid w:val="1F7077FE"/>
    <w:rsid w:val="1F8CC454"/>
    <w:rsid w:val="1F99A1E3"/>
    <w:rsid w:val="1F9A44CE"/>
    <w:rsid w:val="1FBA8EB4"/>
    <w:rsid w:val="1FBC1FF0"/>
    <w:rsid w:val="1FBC42C7"/>
    <w:rsid w:val="1FBCC67F"/>
    <w:rsid w:val="1FCED65C"/>
    <w:rsid w:val="1FD892F7"/>
    <w:rsid w:val="1FE8DBB8"/>
    <w:rsid w:val="20006D5C"/>
    <w:rsid w:val="200C1D05"/>
    <w:rsid w:val="2020E3E5"/>
    <w:rsid w:val="2025F134"/>
    <w:rsid w:val="2032393C"/>
    <w:rsid w:val="20350CAF"/>
    <w:rsid w:val="20467DAE"/>
    <w:rsid w:val="204AA58E"/>
    <w:rsid w:val="204DA77E"/>
    <w:rsid w:val="204E492F"/>
    <w:rsid w:val="20541367"/>
    <w:rsid w:val="2054747F"/>
    <w:rsid w:val="20569BB3"/>
    <w:rsid w:val="20739134"/>
    <w:rsid w:val="207468A9"/>
    <w:rsid w:val="20793E00"/>
    <w:rsid w:val="208FCB14"/>
    <w:rsid w:val="2093787E"/>
    <w:rsid w:val="209CCFFC"/>
    <w:rsid w:val="20A5CC72"/>
    <w:rsid w:val="20A75DDD"/>
    <w:rsid w:val="20C4C2CB"/>
    <w:rsid w:val="20DC6332"/>
    <w:rsid w:val="20E366DD"/>
    <w:rsid w:val="20E48146"/>
    <w:rsid w:val="20F8A293"/>
    <w:rsid w:val="20F94224"/>
    <w:rsid w:val="210372DB"/>
    <w:rsid w:val="2105F381"/>
    <w:rsid w:val="210E0A72"/>
    <w:rsid w:val="210F6F16"/>
    <w:rsid w:val="211230EB"/>
    <w:rsid w:val="2116B82F"/>
    <w:rsid w:val="21175623"/>
    <w:rsid w:val="212A6254"/>
    <w:rsid w:val="212E2F8B"/>
    <w:rsid w:val="213728A3"/>
    <w:rsid w:val="2138A766"/>
    <w:rsid w:val="213EC37E"/>
    <w:rsid w:val="2140332B"/>
    <w:rsid w:val="2145201C"/>
    <w:rsid w:val="2145369A"/>
    <w:rsid w:val="214C3AF8"/>
    <w:rsid w:val="214D38D9"/>
    <w:rsid w:val="21587FB7"/>
    <w:rsid w:val="215B6087"/>
    <w:rsid w:val="2199A14A"/>
    <w:rsid w:val="21A9AE89"/>
    <w:rsid w:val="21AAD671"/>
    <w:rsid w:val="21AEB653"/>
    <w:rsid w:val="21B986BE"/>
    <w:rsid w:val="21DFDDAB"/>
    <w:rsid w:val="21E067A6"/>
    <w:rsid w:val="21E69355"/>
    <w:rsid w:val="21E8FFD8"/>
    <w:rsid w:val="21F655F6"/>
    <w:rsid w:val="22081E5A"/>
    <w:rsid w:val="2215B4C1"/>
    <w:rsid w:val="22181ECF"/>
    <w:rsid w:val="221D7915"/>
    <w:rsid w:val="2224F8DE"/>
    <w:rsid w:val="222FD0F0"/>
    <w:rsid w:val="22329965"/>
    <w:rsid w:val="2235621C"/>
    <w:rsid w:val="223B275E"/>
    <w:rsid w:val="22403160"/>
    <w:rsid w:val="2240759F"/>
    <w:rsid w:val="22409CA9"/>
    <w:rsid w:val="2246EF3D"/>
    <w:rsid w:val="2253CECF"/>
    <w:rsid w:val="2258D040"/>
    <w:rsid w:val="225F76AF"/>
    <w:rsid w:val="22693D23"/>
    <w:rsid w:val="226E761B"/>
    <w:rsid w:val="2273D70F"/>
    <w:rsid w:val="227C20BB"/>
    <w:rsid w:val="227D5638"/>
    <w:rsid w:val="228B48E4"/>
    <w:rsid w:val="228B7F2C"/>
    <w:rsid w:val="229056C2"/>
    <w:rsid w:val="22931172"/>
    <w:rsid w:val="22A1590C"/>
    <w:rsid w:val="22A22202"/>
    <w:rsid w:val="22A40817"/>
    <w:rsid w:val="22A434C8"/>
    <w:rsid w:val="22B0BF19"/>
    <w:rsid w:val="22C60376"/>
    <w:rsid w:val="22CDDBB1"/>
    <w:rsid w:val="22D1782D"/>
    <w:rsid w:val="22E8ECBB"/>
    <w:rsid w:val="22EAA8B2"/>
    <w:rsid w:val="22F018C7"/>
    <w:rsid w:val="230C90F3"/>
    <w:rsid w:val="232BBA2F"/>
    <w:rsid w:val="23367EB0"/>
    <w:rsid w:val="23369696"/>
    <w:rsid w:val="23495BA4"/>
    <w:rsid w:val="235408B1"/>
    <w:rsid w:val="235602F4"/>
    <w:rsid w:val="23697F3E"/>
    <w:rsid w:val="23712FD4"/>
    <w:rsid w:val="239FAE32"/>
    <w:rsid w:val="23A35284"/>
    <w:rsid w:val="23BD23BE"/>
    <w:rsid w:val="23BE182D"/>
    <w:rsid w:val="23CBC2F2"/>
    <w:rsid w:val="23D1C927"/>
    <w:rsid w:val="23D2A243"/>
    <w:rsid w:val="23D50701"/>
    <w:rsid w:val="23D87EC2"/>
    <w:rsid w:val="23EDD198"/>
    <w:rsid w:val="23FD2BC7"/>
    <w:rsid w:val="23FE9B8B"/>
    <w:rsid w:val="2405062F"/>
    <w:rsid w:val="24182110"/>
    <w:rsid w:val="2420A14F"/>
    <w:rsid w:val="242F0790"/>
    <w:rsid w:val="24382E8F"/>
    <w:rsid w:val="243C2825"/>
    <w:rsid w:val="244176C4"/>
    <w:rsid w:val="2442045F"/>
    <w:rsid w:val="244BD6B1"/>
    <w:rsid w:val="2464A5E5"/>
    <w:rsid w:val="247D8E9E"/>
    <w:rsid w:val="24850123"/>
    <w:rsid w:val="248AE6B2"/>
    <w:rsid w:val="248BA7D8"/>
    <w:rsid w:val="2495CFE4"/>
    <w:rsid w:val="249B89C6"/>
    <w:rsid w:val="249DD168"/>
    <w:rsid w:val="24AC70E0"/>
    <w:rsid w:val="24BFA8F5"/>
    <w:rsid w:val="24C89753"/>
    <w:rsid w:val="24D734FB"/>
    <w:rsid w:val="24D798AB"/>
    <w:rsid w:val="24E6B0AC"/>
    <w:rsid w:val="24EEDDC8"/>
    <w:rsid w:val="25044450"/>
    <w:rsid w:val="25071AD9"/>
    <w:rsid w:val="250B89EC"/>
    <w:rsid w:val="250F9F88"/>
    <w:rsid w:val="25116A21"/>
    <w:rsid w:val="251CA8AD"/>
    <w:rsid w:val="252A44F8"/>
    <w:rsid w:val="25304C64"/>
    <w:rsid w:val="25316CD2"/>
    <w:rsid w:val="25343DFE"/>
    <w:rsid w:val="253E1519"/>
    <w:rsid w:val="254DD7F4"/>
    <w:rsid w:val="255404BF"/>
    <w:rsid w:val="255799AD"/>
    <w:rsid w:val="25722781"/>
    <w:rsid w:val="257CF333"/>
    <w:rsid w:val="25855E1B"/>
    <w:rsid w:val="259925E8"/>
    <w:rsid w:val="25AFAB3F"/>
    <w:rsid w:val="25BC1A4A"/>
    <w:rsid w:val="25BE48E0"/>
    <w:rsid w:val="25C1766B"/>
    <w:rsid w:val="25CE1F72"/>
    <w:rsid w:val="25CF83A5"/>
    <w:rsid w:val="25D22D5D"/>
    <w:rsid w:val="25D5CCBD"/>
    <w:rsid w:val="25D7D0F8"/>
    <w:rsid w:val="25E65AC2"/>
    <w:rsid w:val="25E837C6"/>
    <w:rsid w:val="2601B671"/>
    <w:rsid w:val="2606CBF0"/>
    <w:rsid w:val="2606D0BA"/>
    <w:rsid w:val="2610FFDF"/>
    <w:rsid w:val="262D612A"/>
    <w:rsid w:val="264561DF"/>
    <w:rsid w:val="264FC58F"/>
    <w:rsid w:val="2656E58B"/>
    <w:rsid w:val="265A56BA"/>
    <w:rsid w:val="265D7B58"/>
    <w:rsid w:val="2662DF67"/>
    <w:rsid w:val="2667BEC9"/>
    <w:rsid w:val="267040B0"/>
    <w:rsid w:val="2698AF3A"/>
    <w:rsid w:val="269DB35E"/>
    <w:rsid w:val="26A275FB"/>
    <w:rsid w:val="26A33995"/>
    <w:rsid w:val="26ABC741"/>
    <w:rsid w:val="26C777E8"/>
    <w:rsid w:val="26EF8C8E"/>
    <w:rsid w:val="2703FEC2"/>
    <w:rsid w:val="2721E2E3"/>
    <w:rsid w:val="272313F0"/>
    <w:rsid w:val="27246001"/>
    <w:rsid w:val="2726E631"/>
    <w:rsid w:val="27274547"/>
    <w:rsid w:val="272BCE02"/>
    <w:rsid w:val="274294D3"/>
    <w:rsid w:val="2743F929"/>
    <w:rsid w:val="27749859"/>
    <w:rsid w:val="27827E3B"/>
    <w:rsid w:val="278F6314"/>
    <w:rsid w:val="27962DAE"/>
    <w:rsid w:val="279B3CEC"/>
    <w:rsid w:val="279F885F"/>
    <w:rsid w:val="279FB38A"/>
    <w:rsid w:val="27AA0578"/>
    <w:rsid w:val="27ABE1FE"/>
    <w:rsid w:val="27AE69F3"/>
    <w:rsid w:val="27BEE7A4"/>
    <w:rsid w:val="27D819B1"/>
    <w:rsid w:val="27E41979"/>
    <w:rsid w:val="27E81064"/>
    <w:rsid w:val="27EAF018"/>
    <w:rsid w:val="2800E504"/>
    <w:rsid w:val="280EAF64"/>
    <w:rsid w:val="28114742"/>
    <w:rsid w:val="281DD346"/>
    <w:rsid w:val="282381C3"/>
    <w:rsid w:val="28384ADB"/>
    <w:rsid w:val="2839E6AA"/>
    <w:rsid w:val="28498E71"/>
    <w:rsid w:val="284BEAE6"/>
    <w:rsid w:val="286334FE"/>
    <w:rsid w:val="2866F8C2"/>
    <w:rsid w:val="2869DB61"/>
    <w:rsid w:val="286A02A0"/>
    <w:rsid w:val="286D963F"/>
    <w:rsid w:val="28793A51"/>
    <w:rsid w:val="287A8899"/>
    <w:rsid w:val="28837BF2"/>
    <w:rsid w:val="2888C714"/>
    <w:rsid w:val="2890FFEC"/>
    <w:rsid w:val="289EA092"/>
    <w:rsid w:val="28A0B396"/>
    <w:rsid w:val="28A66FB5"/>
    <w:rsid w:val="28A998B5"/>
    <w:rsid w:val="28B9C636"/>
    <w:rsid w:val="28BFD0E9"/>
    <w:rsid w:val="28C3104D"/>
    <w:rsid w:val="28C83791"/>
    <w:rsid w:val="28C8A617"/>
    <w:rsid w:val="28D273D5"/>
    <w:rsid w:val="28D676A6"/>
    <w:rsid w:val="28D8DEBF"/>
    <w:rsid w:val="28E02A67"/>
    <w:rsid w:val="28E41B30"/>
    <w:rsid w:val="28EFF33C"/>
    <w:rsid w:val="28F1E485"/>
    <w:rsid w:val="28F59399"/>
    <w:rsid w:val="28FDEEFD"/>
    <w:rsid w:val="2906A441"/>
    <w:rsid w:val="29081D20"/>
    <w:rsid w:val="290B4D9C"/>
    <w:rsid w:val="29504FBF"/>
    <w:rsid w:val="29564054"/>
    <w:rsid w:val="2959BA36"/>
    <w:rsid w:val="297BF3E1"/>
    <w:rsid w:val="299149E5"/>
    <w:rsid w:val="29990B19"/>
    <w:rsid w:val="299F858A"/>
    <w:rsid w:val="29A4B82F"/>
    <w:rsid w:val="29B48CD1"/>
    <w:rsid w:val="29BE664D"/>
    <w:rsid w:val="29C643AB"/>
    <w:rsid w:val="29C8BDF4"/>
    <w:rsid w:val="29CEAE61"/>
    <w:rsid w:val="29D5722D"/>
    <w:rsid w:val="2A04B1DE"/>
    <w:rsid w:val="2A0D011C"/>
    <w:rsid w:val="2A23C16B"/>
    <w:rsid w:val="2A2964A6"/>
    <w:rsid w:val="2A3BA199"/>
    <w:rsid w:val="2A41E81D"/>
    <w:rsid w:val="2A45E56C"/>
    <w:rsid w:val="2A463E9C"/>
    <w:rsid w:val="2A597677"/>
    <w:rsid w:val="2A5F084C"/>
    <w:rsid w:val="2A655900"/>
    <w:rsid w:val="2A66222C"/>
    <w:rsid w:val="2A6B31C1"/>
    <w:rsid w:val="2A762C30"/>
    <w:rsid w:val="2A7A3C85"/>
    <w:rsid w:val="2A7EA613"/>
    <w:rsid w:val="2A82DCFB"/>
    <w:rsid w:val="2A8335CF"/>
    <w:rsid w:val="2A84C79C"/>
    <w:rsid w:val="2A8BD48C"/>
    <w:rsid w:val="2A9AD568"/>
    <w:rsid w:val="2A9DA8AD"/>
    <w:rsid w:val="2AA12D26"/>
    <w:rsid w:val="2AA8A102"/>
    <w:rsid w:val="2AAEC2EF"/>
    <w:rsid w:val="2AD26BBE"/>
    <w:rsid w:val="2AD3E4DF"/>
    <w:rsid w:val="2AE33E49"/>
    <w:rsid w:val="2AF7C73C"/>
    <w:rsid w:val="2AF9CD95"/>
    <w:rsid w:val="2B096003"/>
    <w:rsid w:val="2B17E0AB"/>
    <w:rsid w:val="2B1AD806"/>
    <w:rsid w:val="2B1CEF12"/>
    <w:rsid w:val="2B24445E"/>
    <w:rsid w:val="2B335089"/>
    <w:rsid w:val="2B34CA2D"/>
    <w:rsid w:val="2B3A1E23"/>
    <w:rsid w:val="2B44943B"/>
    <w:rsid w:val="2B4B4E63"/>
    <w:rsid w:val="2B4CFD12"/>
    <w:rsid w:val="2B584A30"/>
    <w:rsid w:val="2B5D1A5D"/>
    <w:rsid w:val="2B614417"/>
    <w:rsid w:val="2B62A8D9"/>
    <w:rsid w:val="2B63050E"/>
    <w:rsid w:val="2B75858A"/>
    <w:rsid w:val="2B8AD259"/>
    <w:rsid w:val="2B9B0380"/>
    <w:rsid w:val="2BA5CDA4"/>
    <w:rsid w:val="2BA9AC36"/>
    <w:rsid w:val="2BAF16D3"/>
    <w:rsid w:val="2BB39CE5"/>
    <w:rsid w:val="2BC29CEB"/>
    <w:rsid w:val="2BC34FD8"/>
    <w:rsid w:val="2BDC05D7"/>
    <w:rsid w:val="2BDDB74F"/>
    <w:rsid w:val="2BDEA829"/>
    <w:rsid w:val="2BE6646F"/>
    <w:rsid w:val="2BEB2BB3"/>
    <w:rsid w:val="2BFD01DD"/>
    <w:rsid w:val="2BFDB159"/>
    <w:rsid w:val="2C06B4FF"/>
    <w:rsid w:val="2C0C2171"/>
    <w:rsid w:val="2C0D8A18"/>
    <w:rsid w:val="2C0F5AA4"/>
    <w:rsid w:val="2C1B6B87"/>
    <w:rsid w:val="2C40A144"/>
    <w:rsid w:val="2C43E94A"/>
    <w:rsid w:val="2C45F32C"/>
    <w:rsid w:val="2C5301D2"/>
    <w:rsid w:val="2C5D2C76"/>
    <w:rsid w:val="2C6533D6"/>
    <w:rsid w:val="2C6DFB24"/>
    <w:rsid w:val="2C8218B0"/>
    <w:rsid w:val="2C8A0BE8"/>
    <w:rsid w:val="2C8D5A5E"/>
    <w:rsid w:val="2C9E4A00"/>
    <w:rsid w:val="2CA20460"/>
    <w:rsid w:val="2CA87C84"/>
    <w:rsid w:val="2CB6773D"/>
    <w:rsid w:val="2CC54EE7"/>
    <w:rsid w:val="2CCA8D78"/>
    <w:rsid w:val="2CD1DAA6"/>
    <w:rsid w:val="2CD44EF9"/>
    <w:rsid w:val="2CD7CFCD"/>
    <w:rsid w:val="2CDD3A92"/>
    <w:rsid w:val="2CDE17CC"/>
    <w:rsid w:val="2CDEAEDC"/>
    <w:rsid w:val="2CE84264"/>
    <w:rsid w:val="2CF9FA8B"/>
    <w:rsid w:val="2CFBD85A"/>
    <w:rsid w:val="2CFD9824"/>
    <w:rsid w:val="2D03804C"/>
    <w:rsid w:val="2D063441"/>
    <w:rsid w:val="2D1899CA"/>
    <w:rsid w:val="2D2139DE"/>
    <w:rsid w:val="2D23F19D"/>
    <w:rsid w:val="2D41E437"/>
    <w:rsid w:val="2D4CD13A"/>
    <w:rsid w:val="2D4EA3BD"/>
    <w:rsid w:val="2D4F6090"/>
    <w:rsid w:val="2D7D1E01"/>
    <w:rsid w:val="2D862331"/>
    <w:rsid w:val="2D8D80A4"/>
    <w:rsid w:val="2DAEA626"/>
    <w:rsid w:val="2DB19C11"/>
    <w:rsid w:val="2DBAAEF1"/>
    <w:rsid w:val="2DBABB5A"/>
    <w:rsid w:val="2DCC2A31"/>
    <w:rsid w:val="2DCFDF39"/>
    <w:rsid w:val="2DD2E06C"/>
    <w:rsid w:val="2DD40F52"/>
    <w:rsid w:val="2DD7C451"/>
    <w:rsid w:val="2DE64D5B"/>
    <w:rsid w:val="2DE79DBE"/>
    <w:rsid w:val="2DE8E6C5"/>
    <w:rsid w:val="2DF07FDF"/>
    <w:rsid w:val="2DF12252"/>
    <w:rsid w:val="2DF1BD30"/>
    <w:rsid w:val="2DFA9C7D"/>
    <w:rsid w:val="2E049E4F"/>
    <w:rsid w:val="2E13A7E5"/>
    <w:rsid w:val="2E1BDAE9"/>
    <w:rsid w:val="2E261570"/>
    <w:rsid w:val="2E268A4E"/>
    <w:rsid w:val="2E3224FD"/>
    <w:rsid w:val="2E32AFC0"/>
    <w:rsid w:val="2E346046"/>
    <w:rsid w:val="2E46FF2A"/>
    <w:rsid w:val="2E4E2513"/>
    <w:rsid w:val="2E4EC15B"/>
    <w:rsid w:val="2E59C8FA"/>
    <w:rsid w:val="2E5B6D0A"/>
    <w:rsid w:val="2E627081"/>
    <w:rsid w:val="2E86C2BE"/>
    <w:rsid w:val="2E89437E"/>
    <w:rsid w:val="2E8ADED7"/>
    <w:rsid w:val="2E9C5925"/>
    <w:rsid w:val="2EB06DA1"/>
    <w:rsid w:val="2EB55708"/>
    <w:rsid w:val="2EC68617"/>
    <w:rsid w:val="2ECD029B"/>
    <w:rsid w:val="2ED098B3"/>
    <w:rsid w:val="2EEC820B"/>
    <w:rsid w:val="2EF192CB"/>
    <w:rsid w:val="2EF52B71"/>
    <w:rsid w:val="2F0CC38C"/>
    <w:rsid w:val="2F10C78A"/>
    <w:rsid w:val="2F194C0A"/>
    <w:rsid w:val="2F1CC95A"/>
    <w:rsid w:val="2F31E135"/>
    <w:rsid w:val="2F3C3608"/>
    <w:rsid w:val="2F3DAFEF"/>
    <w:rsid w:val="2F3F35DD"/>
    <w:rsid w:val="2F40B299"/>
    <w:rsid w:val="2F42F993"/>
    <w:rsid w:val="2F4408AA"/>
    <w:rsid w:val="2F462F0F"/>
    <w:rsid w:val="2F47126E"/>
    <w:rsid w:val="2F4780F2"/>
    <w:rsid w:val="2F4ABA0C"/>
    <w:rsid w:val="2F4D164C"/>
    <w:rsid w:val="2F52E183"/>
    <w:rsid w:val="2F7A3695"/>
    <w:rsid w:val="2F857A98"/>
    <w:rsid w:val="2F8ECA5D"/>
    <w:rsid w:val="2FA4C413"/>
    <w:rsid w:val="2FAF4D17"/>
    <w:rsid w:val="2FB1639C"/>
    <w:rsid w:val="2FCF5705"/>
    <w:rsid w:val="2FDB3166"/>
    <w:rsid w:val="2FF54BA1"/>
    <w:rsid w:val="2FFF92D9"/>
    <w:rsid w:val="3006BD6C"/>
    <w:rsid w:val="3009F8AE"/>
    <w:rsid w:val="3009F9C3"/>
    <w:rsid w:val="300F80BC"/>
    <w:rsid w:val="3010CA7B"/>
    <w:rsid w:val="301D6B15"/>
    <w:rsid w:val="301FF417"/>
    <w:rsid w:val="3039AA8E"/>
    <w:rsid w:val="303A00E0"/>
    <w:rsid w:val="303A4009"/>
    <w:rsid w:val="303F0B93"/>
    <w:rsid w:val="3049AF52"/>
    <w:rsid w:val="305C1392"/>
    <w:rsid w:val="3066928C"/>
    <w:rsid w:val="30689C90"/>
    <w:rsid w:val="307995C9"/>
    <w:rsid w:val="3079D83D"/>
    <w:rsid w:val="307F8231"/>
    <w:rsid w:val="309504B5"/>
    <w:rsid w:val="3095F40F"/>
    <w:rsid w:val="30BFC4B2"/>
    <w:rsid w:val="30C0ADC1"/>
    <w:rsid w:val="30C30CD2"/>
    <w:rsid w:val="30DD83FA"/>
    <w:rsid w:val="30EC62EC"/>
    <w:rsid w:val="30F056CA"/>
    <w:rsid w:val="30FE9922"/>
    <w:rsid w:val="31023133"/>
    <w:rsid w:val="312251A2"/>
    <w:rsid w:val="312A1C03"/>
    <w:rsid w:val="313177AE"/>
    <w:rsid w:val="3132BC31"/>
    <w:rsid w:val="3139DAA8"/>
    <w:rsid w:val="316A3BF6"/>
    <w:rsid w:val="317E1A78"/>
    <w:rsid w:val="3180E456"/>
    <w:rsid w:val="318FB6DE"/>
    <w:rsid w:val="3196B497"/>
    <w:rsid w:val="319BB73D"/>
    <w:rsid w:val="31B28311"/>
    <w:rsid w:val="31B60C5C"/>
    <w:rsid w:val="31C38409"/>
    <w:rsid w:val="31E02776"/>
    <w:rsid w:val="31E36E58"/>
    <w:rsid w:val="31E73C89"/>
    <w:rsid w:val="31E9975C"/>
    <w:rsid w:val="320BDF04"/>
    <w:rsid w:val="321CFCDE"/>
    <w:rsid w:val="3229E8DF"/>
    <w:rsid w:val="32400C65"/>
    <w:rsid w:val="324AB1B6"/>
    <w:rsid w:val="3251A407"/>
    <w:rsid w:val="3254AB7B"/>
    <w:rsid w:val="325C57C7"/>
    <w:rsid w:val="325CBF0B"/>
    <w:rsid w:val="3261C28D"/>
    <w:rsid w:val="3267713B"/>
    <w:rsid w:val="326ABDD2"/>
    <w:rsid w:val="328971E4"/>
    <w:rsid w:val="329E0D7D"/>
    <w:rsid w:val="329F7270"/>
    <w:rsid w:val="32A28594"/>
    <w:rsid w:val="32A2C969"/>
    <w:rsid w:val="32AD91ED"/>
    <w:rsid w:val="32B43EFB"/>
    <w:rsid w:val="32B79ADC"/>
    <w:rsid w:val="32C503F1"/>
    <w:rsid w:val="32D70AA6"/>
    <w:rsid w:val="32E20D96"/>
    <w:rsid w:val="32ECF558"/>
    <w:rsid w:val="32ED788F"/>
    <w:rsid w:val="32F19C96"/>
    <w:rsid w:val="32F3B8FF"/>
    <w:rsid w:val="32F89AB6"/>
    <w:rsid w:val="3335E032"/>
    <w:rsid w:val="3335F913"/>
    <w:rsid w:val="333EDB64"/>
    <w:rsid w:val="334DC64C"/>
    <w:rsid w:val="336409AD"/>
    <w:rsid w:val="3398448F"/>
    <w:rsid w:val="33B1AA6F"/>
    <w:rsid w:val="33BA4063"/>
    <w:rsid w:val="33C35E4A"/>
    <w:rsid w:val="33C55FCA"/>
    <w:rsid w:val="33D2376B"/>
    <w:rsid w:val="33DB5F3D"/>
    <w:rsid w:val="33E05C19"/>
    <w:rsid w:val="33E8A254"/>
    <w:rsid w:val="33E8EAB4"/>
    <w:rsid w:val="33FA5AC8"/>
    <w:rsid w:val="3402373B"/>
    <w:rsid w:val="3412F0F9"/>
    <w:rsid w:val="34161103"/>
    <w:rsid w:val="34164408"/>
    <w:rsid w:val="342AA406"/>
    <w:rsid w:val="343F0F3B"/>
    <w:rsid w:val="343FEEB3"/>
    <w:rsid w:val="34404DC0"/>
    <w:rsid w:val="344B8888"/>
    <w:rsid w:val="344FC450"/>
    <w:rsid w:val="345BCA22"/>
    <w:rsid w:val="3460E9FE"/>
    <w:rsid w:val="346389B5"/>
    <w:rsid w:val="3469ACFF"/>
    <w:rsid w:val="34717607"/>
    <w:rsid w:val="347450F4"/>
    <w:rsid w:val="347831C2"/>
    <w:rsid w:val="34847CC0"/>
    <w:rsid w:val="34871147"/>
    <w:rsid w:val="348CF36C"/>
    <w:rsid w:val="34A51FD7"/>
    <w:rsid w:val="34A55BD9"/>
    <w:rsid w:val="34A640D1"/>
    <w:rsid w:val="34C0E823"/>
    <w:rsid w:val="34C9818A"/>
    <w:rsid w:val="34D44238"/>
    <w:rsid w:val="34E746D5"/>
    <w:rsid w:val="34E8C7A6"/>
    <w:rsid w:val="34F4C554"/>
    <w:rsid w:val="34FCBE14"/>
    <w:rsid w:val="350563EC"/>
    <w:rsid w:val="350B09B9"/>
    <w:rsid w:val="350E6324"/>
    <w:rsid w:val="35150329"/>
    <w:rsid w:val="352DAC79"/>
    <w:rsid w:val="353AA4CC"/>
    <w:rsid w:val="353CDD50"/>
    <w:rsid w:val="35571702"/>
    <w:rsid w:val="3563276B"/>
    <w:rsid w:val="356F72D0"/>
    <w:rsid w:val="356FC247"/>
    <w:rsid w:val="3572DF63"/>
    <w:rsid w:val="35822385"/>
    <w:rsid w:val="3587413E"/>
    <w:rsid w:val="35925405"/>
    <w:rsid w:val="35A932C8"/>
    <w:rsid w:val="35D10FD8"/>
    <w:rsid w:val="35ECD9A3"/>
    <w:rsid w:val="3606FA37"/>
    <w:rsid w:val="360A4237"/>
    <w:rsid w:val="360A72C2"/>
    <w:rsid w:val="360E20BD"/>
    <w:rsid w:val="361DC49F"/>
    <w:rsid w:val="36222C23"/>
    <w:rsid w:val="36256D55"/>
    <w:rsid w:val="3627703A"/>
    <w:rsid w:val="362B577C"/>
    <w:rsid w:val="36321DF4"/>
    <w:rsid w:val="36329514"/>
    <w:rsid w:val="3635CE04"/>
    <w:rsid w:val="3636328B"/>
    <w:rsid w:val="363A7860"/>
    <w:rsid w:val="363E1C12"/>
    <w:rsid w:val="36425196"/>
    <w:rsid w:val="364A4BEA"/>
    <w:rsid w:val="364A7246"/>
    <w:rsid w:val="365B51FF"/>
    <w:rsid w:val="36637244"/>
    <w:rsid w:val="36651BF3"/>
    <w:rsid w:val="3692B42C"/>
    <w:rsid w:val="3699C43F"/>
    <w:rsid w:val="36A1B665"/>
    <w:rsid w:val="36BCC5F9"/>
    <w:rsid w:val="36CF3E08"/>
    <w:rsid w:val="36E62143"/>
    <w:rsid w:val="36E719B3"/>
    <w:rsid w:val="36F77849"/>
    <w:rsid w:val="3734E16C"/>
    <w:rsid w:val="3746F3B7"/>
    <w:rsid w:val="375689BD"/>
    <w:rsid w:val="3756FD8A"/>
    <w:rsid w:val="375926BE"/>
    <w:rsid w:val="375AD4AF"/>
    <w:rsid w:val="3763A47E"/>
    <w:rsid w:val="377A1AE9"/>
    <w:rsid w:val="378BA72A"/>
    <w:rsid w:val="379BE1C6"/>
    <w:rsid w:val="37AD4B63"/>
    <w:rsid w:val="37B274D6"/>
    <w:rsid w:val="37B3A255"/>
    <w:rsid w:val="37B75FFC"/>
    <w:rsid w:val="37BCB0BF"/>
    <w:rsid w:val="37C78365"/>
    <w:rsid w:val="37C7D2C5"/>
    <w:rsid w:val="37CE6299"/>
    <w:rsid w:val="37CEAD19"/>
    <w:rsid w:val="37E6C9B8"/>
    <w:rsid w:val="37E7ACB7"/>
    <w:rsid w:val="37EA9DB6"/>
    <w:rsid w:val="37F2CF89"/>
    <w:rsid w:val="37F51B95"/>
    <w:rsid w:val="37FD5336"/>
    <w:rsid w:val="381E615D"/>
    <w:rsid w:val="38254B6D"/>
    <w:rsid w:val="38301CB3"/>
    <w:rsid w:val="384652D9"/>
    <w:rsid w:val="384DD2BD"/>
    <w:rsid w:val="3853F471"/>
    <w:rsid w:val="385788BA"/>
    <w:rsid w:val="38615326"/>
    <w:rsid w:val="386744C6"/>
    <w:rsid w:val="388CAC84"/>
    <w:rsid w:val="388D63AE"/>
    <w:rsid w:val="389F016B"/>
    <w:rsid w:val="38A1DCCA"/>
    <w:rsid w:val="38BABE3C"/>
    <w:rsid w:val="38BB7434"/>
    <w:rsid w:val="38C37D49"/>
    <w:rsid w:val="38C52B94"/>
    <w:rsid w:val="38C6B6F1"/>
    <w:rsid w:val="38CA6A0D"/>
    <w:rsid w:val="38D7A44F"/>
    <w:rsid w:val="38E9D446"/>
    <w:rsid w:val="38EFAACE"/>
    <w:rsid w:val="390D5034"/>
    <w:rsid w:val="39278BBD"/>
    <w:rsid w:val="39294B84"/>
    <w:rsid w:val="3932660A"/>
    <w:rsid w:val="39356E00"/>
    <w:rsid w:val="3941DD51"/>
    <w:rsid w:val="3944441D"/>
    <w:rsid w:val="3946D340"/>
    <w:rsid w:val="39518A79"/>
    <w:rsid w:val="3959894A"/>
    <w:rsid w:val="396FCEB6"/>
    <w:rsid w:val="398FE43A"/>
    <w:rsid w:val="3996CBBA"/>
    <w:rsid w:val="3998048C"/>
    <w:rsid w:val="399D649C"/>
    <w:rsid w:val="39A847C2"/>
    <w:rsid w:val="39ADBE08"/>
    <w:rsid w:val="39C25205"/>
    <w:rsid w:val="39D7ECE6"/>
    <w:rsid w:val="39DB0816"/>
    <w:rsid w:val="39DE1967"/>
    <w:rsid w:val="39E721DD"/>
    <w:rsid w:val="39ED61DD"/>
    <w:rsid w:val="39EE948A"/>
    <w:rsid w:val="39F8F1A3"/>
    <w:rsid w:val="3A033034"/>
    <w:rsid w:val="3A094703"/>
    <w:rsid w:val="3A09E319"/>
    <w:rsid w:val="3A1A7F46"/>
    <w:rsid w:val="3A2234CD"/>
    <w:rsid w:val="3A2630D5"/>
    <w:rsid w:val="3A36DD8E"/>
    <w:rsid w:val="3A385AF9"/>
    <w:rsid w:val="3A51CFCB"/>
    <w:rsid w:val="3A6129B0"/>
    <w:rsid w:val="3A71D71D"/>
    <w:rsid w:val="3A850D81"/>
    <w:rsid w:val="3A852847"/>
    <w:rsid w:val="3A8BF3F0"/>
    <w:rsid w:val="3A8C56C4"/>
    <w:rsid w:val="3A9F9BA7"/>
    <w:rsid w:val="3AA8AD37"/>
    <w:rsid w:val="3AB3B019"/>
    <w:rsid w:val="3AC49FF0"/>
    <w:rsid w:val="3ACA3A9B"/>
    <w:rsid w:val="3AD30FEC"/>
    <w:rsid w:val="3AD96DAC"/>
    <w:rsid w:val="3ADB2AFB"/>
    <w:rsid w:val="3AE0435A"/>
    <w:rsid w:val="3B07312C"/>
    <w:rsid w:val="3B0AF436"/>
    <w:rsid w:val="3B0F072B"/>
    <w:rsid w:val="3B152FAC"/>
    <w:rsid w:val="3B257762"/>
    <w:rsid w:val="3B298C96"/>
    <w:rsid w:val="3B3DF90B"/>
    <w:rsid w:val="3B402321"/>
    <w:rsid w:val="3B454EB9"/>
    <w:rsid w:val="3B4BB8B7"/>
    <w:rsid w:val="3B508EC0"/>
    <w:rsid w:val="3B5D1F6F"/>
    <w:rsid w:val="3B70327D"/>
    <w:rsid w:val="3B8CFA8E"/>
    <w:rsid w:val="3B97F44A"/>
    <w:rsid w:val="3B9A936A"/>
    <w:rsid w:val="3BB6F544"/>
    <w:rsid w:val="3BC4891C"/>
    <w:rsid w:val="3BC65D5A"/>
    <w:rsid w:val="3BD34B05"/>
    <w:rsid w:val="3BD86E1F"/>
    <w:rsid w:val="3BDB27AE"/>
    <w:rsid w:val="3BDBC43F"/>
    <w:rsid w:val="3BDC16C7"/>
    <w:rsid w:val="3BDE1F5D"/>
    <w:rsid w:val="3BF7D216"/>
    <w:rsid w:val="3BF91383"/>
    <w:rsid w:val="3C069C71"/>
    <w:rsid w:val="3C114BF5"/>
    <w:rsid w:val="3C2160E6"/>
    <w:rsid w:val="3C24A050"/>
    <w:rsid w:val="3C41AC19"/>
    <w:rsid w:val="3C48DEFF"/>
    <w:rsid w:val="3C570455"/>
    <w:rsid w:val="3C5CC462"/>
    <w:rsid w:val="3C6BB6A6"/>
    <w:rsid w:val="3C766CDF"/>
    <w:rsid w:val="3C77E886"/>
    <w:rsid w:val="3C8167BB"/>
    <w:rsid w:val="3C8325F3"/>
    <w:rsid w:val="3C85B84E"/>
    <w:rsid w:val="3C8F1307"/>
    <w:rsid w:val="3C92DF36"/>
    <w:rsid w:val="3CA4CBAB"/>
    <w:rsid w:val="3CAFD330"/>
    <w:rsid w:val="3CBC2E7F"/>
    <w:rsid w:val="3CBC5B2B"/>
    <w:rsid w:val="3CDAF04F"/>
    <w:rsid w:val="3CE982C9"/>
    <w:rsid w:val="3D118DAA"/>
    <w:rsid w:val="3D1808E0"/>
    <w:rsid w:val="3D18DD51"/>
    <w:rsid w:val="3D1EA60D"/>
    <w:rsid w:val="3D2429BA"/>
    <w:rsid w:val="3D27B168"/>
    <w:rsid w:val="3D287488"/>
    <w:rsid w:val="3D46643E"/>
    <w:rsid w:val="3D47D54E"/>
    <w:rsid w:val="3D4CAC9A"/>
    <w:rsid w:val="3D5AB310"/>
    <w:rsid w:val="3D5F4556"/>
    <w:rsid w:val="3D652573"/>
    <w:rsid w:val="3D686574"/>
    <w:rsid w:val="3D894432"/>
    <w:rsid w:val="3D95689E"/>
    <w:rsid w:val="3D957C6D"/>
    <w:rsid w:val="3D9F958B"/>
    <w:rsid w:val="3DA7BF51"/>
    <w:rsid w:val="3DC18682"/>
    <w:rsid w:val="3DC56A9F"/>
    <w:rsid w:val="3DDA153F"/>
    <w:rsid w:val="3DDC55DC"/>
    <w:rsid w:val="3DE073F2"/>
    <w:rsid w:val="3DE828EF"/>
    <w:rsid w:val="3DEB9A00"/>
    <w:rsid w:val="3DEE6A57"/>
    <w:rsid w:val="3E2023D4"/>
    <w:rsid w:val="3E207B12"/>
    <w:rsid w:val="3E2FADF7"/>
    <w:rsid w:val="3E31CD11"/>
    <w:rsid w:val="3E3EFBF0"/>
    <w:rsid w:val="3E4A959F"/>
    <w:rsid w:val="3E5BA515"/>
    <w:rsid w:val="3E646E88"/>
    <w:rsid w:val="3E69D1EB"/>
    <w:rsid w:val="3E6AD217"/>
    <w:rsid w:val="3E7DAE20"/>
    <w:rsid w:val="3E8175CB"/>
    <w:rsid w:val="3E8CD162"/>
    <w:rsid w:val="3EA33F75"/>
    <w:rsid w:val="3EB4A376"/>
    <w:rsid w:val="3EB7D13C"/>
    <w:rsid w:val="3EC27E9A"/>
    <w:rsid w:val="3ED07DBE"/>
    <w:rsid w:val="3ED18A40"/>
    <w:rsid w:val="3ED37C40"/>
    <w:rsid w:val="3EEA1D7F"/>
    <w:rsid w:val="3EEB8865"/>
    <w:rsid w:val="3EEC94D5"/>
    <w:rsid w:val="3EF2BDA2"/>
    <w:rsid w:val="3EF45EB8"/>
    <w:rsid w:val="3EFE21D9"/>
    <w:rsid w:val="3F0247B4"/>
    <w:rsid w:val="3F02E67E"/>
    <w:rsid w:val="3F069747"/>
    <w:rsid w:val="3F0EA1DE"/>
    <w:rsid w:val="3F1D4D81"/>
    <w:rsid w:val="3F1E4869"/>
    <w:rsid w:val="3F1F3060"/>
    <w:rsid w:val="3F2349BE"/>
    <w:rsid w:val="3F249037"/>
    <w:rsid w:val="3F29FA73"/>
    <w:rsid w:val="3F37A8E3"/>
    <w:rsid w:val="3F3ABDAC"/>
    <w:rsid w:val="3F4B5B74"/>
    <w:rsid w:val="3F4BA255"/>
    <w:rsid w:val="3F6DA968"/>
    <w:rsid w:val="3F7281A9"/>
    <w:rsid w:val="3F77BC0D"/>
    <w:rsid w:val="3F8001EE"/>
    <w:rsid w:val="3F80EAEC"/>
    <w:rsid w:val="3F90931E"/>
    <w:rsid w:val="3F9EAE83"/>
    <w:rsid w:val="3FAFB615"/>
    <w:rsid w:val="3FCC21B9"/>
    <w:rsid w:val="3FE584F9"/>
    <w:rsid w:val="3FE60F9E"/>
    <w:rsid w:val="3FEC7073"/>
    <w:rsid w:val="3FF93ACB"/>
    <w:rsid w:val="400C1E1B"/>
    <w:rsid w:val="400D4D25"/>
    <w:rsid w:val="4022EC6C"/>
    <w:rsid w:val="40243FF4"/>
    <w:rsid w:val="4040CA0C"/>
    <w:rsid w:val="4053AA2C"/>
    <w:rsid w:val="40583720"/>
    <w:rsid w:val="405986C2"/>
    <w:rsid w:val="406C948E"/>
    <w:rsid w:val="407B197E"/>
    <w:rsid w:val="4093A7DA"/>
    <w:rsid w:val="40965C0A"/>
    <w:rsid w:val="409A8B6B"/>
    <w:rsid w:val="409B6953"/>
    <w:rsid w:val="40AEAF4E"/>
    <w:rsid w:val="40B1879A"/>
    <w:rsid w:val="40B97135"/>
    <w:rsid w:val="40D8ABF9"/>
    <w:rsid w:val="40DEB93F"/>
    <w:rsid w:val="40E50823"/>
    <w:rsid w:val="40EAEF86"/>
    <w:rsid w:val="40FEAE3E"/>
    <w:rsid w:val="41275818"/>
    <w:rsid w:val="4129F944"/>
    <w:rsid w:val="412A9DEA"/>
    <w:rsid w:val="41322F9D"/>
    <w:rsid w:val="413BA706"/>
    <w:rsid w:val="415336AA"/>
    <w:rsid w:val="415540A1"/>
    <w:rsid w:val="4186D6C7"/>
    <w:rsid w:val="418B0623"/>
    <w:rsid w:val="419FD81B"/>
    <w:rsid w:val="41AE1AE2"/>
    <w:rsid w:val="41B12FF9"/>
    <w:rsid w:val="41B72AA3"/>
    <w:rsid w:val="41B75915"/>
    <w:rsid w:val="41D870F6"/>
    <w:rsid w:val="41DCD6E0"/>
    <w:rsid w:val="41E208FD"/>
    <w:rsid w:val="41E76649"/>
    <w:rsid w:val="41F16F14"/>
    <w:rsid w:val="41F337EC"/>
    <w:rsid w:val="41FC19A8"/>
    <w:rsid w:val="41FC9859"/>
    <w:rsid w:val="421A9F4A"/>
    <w:rsid w:val="421BDD9D"/>
    <w:rsid w:val="42309620"/>
    <w:rsid w:val="4230CEBD"/>
    <w:rsid w:val="42389501"/>
    <w:rsid w:val="423D93CF"/>
    <w:rsid w:val="4242687C"/>
    <w:rsid w:val="42438A27"/>
    <w:rsid w:val="4253EFC9"/>
    <w:rsid w:val="425768DA"/>
    <w:rsid w:val="425A7C12"/>
    <w:rsid w:val="42638465"/>
    <w:rsid w:val="4266BE44"/>
    <w:rsid w:val="42814E43"/>
    <w:rsid w:val="428D76AA"/>
    <w:rsid w:val="42909210"/>
    <w:rsid w:val="4295C212"/>
    <w:rsid w:val="429B6541"/>
    <w:rsid w:val="42A87DE0"/>
    <w:rsid w:val="42AA8CA1"/>
    <w:rsid w:val="42AAA71D"/>
    <w:rsid w:val="42B3E11D"/>
    <w:rsid w:val="42B3F95C"/>
    <w:rsid w:val="42B44944"/>
    <w:rsid w:val="42B4771D"/>
    <w:rsid w:val="42CD2400"/>
    <w:rsid w:val="42D32EB1"/>
    <w:rsid w:val="42D44928"/>
    <w:rsid w:val="42D4EFAE"/>
    <w:rsid w:val="42D54ABE"/>
    <w:rsid w:val="42D82AB8"/>
    <w:rsid w:val="42DF1215"/>
    <w:rsid w:val="42ED3B56"/>
    <w:rsid w:val="42FC4149"/>
    <w:rsid w:val="42FF9DC6"/>
    <w:rsid w:val="4305BF40"/>
    <w:rsid w:val="43060684"/>
    <w:rsid w:val="430634BB"/>
    <w:rsid w:val="431197C2"/>
    <w:rsid w:val="4315509F"/>
    <w:rsid w:val="431CEA0B"/>
    <w:rsid w:val="431ED6A9"/>
    <w:rsid w:val="4322F3D7"/>
    <w:rsid w:val="43296C2A"/>
    <w:rsid w:val="4331B52B"/>
    <w:rsid w:val="43455D94"/>
    <w:rsid w:val="4362608D"/>
    <w:rsid w:val="4382DAEA"/>
    <w:rsid w:val="4387649F"/>
    <w:rsid w:val="4387EDEA"/>
    <w:rsid w:val="439BC03B"/>
    <w:rsid w:val="43A0F708"/>
    <w:rsid w:val="43AB782C"/>
    <w:rsid w:val="43AC8A69"/>
    <w:rsid w:val="43BC4240"/>
    <w:rsid w:val="43BE5D96"/>
    <w:rsid w:val="43C07B7B"/>
    <w:rsid w:val="43CDBE4C"/>
    <w:rsid w:val="43CEC0EC"/>
    <w:rsid w:val="43DFCC11"/>
    <w:rsid w:val="43E23501"/>
    <w:rsid w:val="43E3475E"/>
    <w:rsid w:val="43E4661B"/>
    <w:rsid w:val="43E763C5"/>
    <w:rsid w:val="43E7B0F4"/>
    <w:rsid w:val="43EBBF06"/>
    <w:rsid w:val="43F83CD9"/>
    <w:rsid w:val="4400E911"/>
    <w:rsid w:val="440528C6"/>
    <w:rsid w:val="440FEA92"/>
    <w:rsid w:val="4416BFCE"/>
    <w:rsid w:val="4419D86D"/>
    <w:rsid w:val="441A56A2"/>
    <w:rsid w:val="4422FF42"/>
    <w:rsid w:val="44374D11"/>
    <w:rsid w:val="443CF1A9"/>
    <w:rsid w:val="444423BA"/>
    <w:rsid w:val="444C6D13"/>
    <w:rsid w:val="44654742"/>
    <w:rsid w:val="446865B7"/>
    <w:rsid w:val="446DE12F"/>
    <w:rsid w:val="4474936D"/>
    <w:rsid w:val="447DBC76"/>
    <w:rsid w:val="448CAFCC"/>
    <w:rsid w:val="449A1569"/>
    <w:rsid w:val="449B1A98"/>
    <w:rsid w:val="449E44F5"/>
    <w:rsid w:val="44A2A844"/>
    <w:rsid w:val="44AEF6D7"/>
    <w:rsid w:val="44B243D5"/>
    <w:rsid w:val="44B33D2A"/>
    <w:rsid w:val="44B86860"/>
    <w:rsid w:val="44C51EE0"/>
    <w:rsid w:val="44D60C79"/>
    <w:rsid w:val="44D94D03"/>
    <w:rsid w:val="44EE5646"/>
    <w:rsid w:val="44F29CAD"/>
    <w:rsid w:val="44F76A9C"/>
    <w:rsid w:val="44FD1307"/>
    <w:rsid w:val="450B3A33"/>
    <w:rsid w:val="4510089D"/>
    <w:rsid w:val="452068B7"/>
    <w:rsid w:val="45263313"/>
    <w:rsid w:val="45346B62"/>
    <w:rsid w:val="45352D84"/>
    <w:rsid w:val="453F8043"/>
    <w:rsid w:val="4545AD72"/>
    <w:rsid w:val="45560B22"/>
    <w:rsid w:val="45564D0E"/>
    <w:rsid w:val="455F38D6"/>
    <w:rsid w:val="4569F4D5"/>
    <w:rsid w:val="45711C0A"/>
    <w:rsid w:val="458B00DF"/>
    <w:rsid w:val="458D3BAB"/>
    <w:rsid w:val="458F508A"/>
    <w:rsid w:val="45900582"/>
    <w:rsid w:val="4593575C"/>
    <w:rsid w:val="459BC38F"/>
    <w:rsid w:val="45B9A09F"/>
    <w:rsid w:val="45C26A7A"/>
    <w:rsid w:val="45CC00A7"/>
    <w:rsid w:val="45D5D84C"/>
    <w:rsid w:val="45D9331F"/>
    <w:rsid w:val="45D9C2DF"/>
    <w:rsid w:val="45E00AA2"/>
    <w:rsid w:val="45E71C7E"/>
    <w:rsid w:val="45EC7949"/>
    <w:rsid w:val="4608272E"/>
    <w:rsid w:val="461C97A2"/>
    <w:rsid w:val="4627561A"/>
    <w:rsid w:val="462DE404"/>
    <w:rsid w:val="463836D4"/>
    <w:rsid w:val="464AE64E"/>
    <w:rsid w:val="464BCBD9"/>
    <w:rsid w:val="464F3AFE"/>
    <w:rsid w:val="4665DDF1"/>
    <w:rsid w:val="466A4CB4"/>
    <w:rsid w:val="4682F76A"/>
    <w:rsid w:val="4683CB15"/>
    <w:rsid w:val="46889F3C"/>
    <w:rsid w:val="468E28CE"/>
    <w:rsid w:val="46A01DF5"/>
    <w:rsid w:val="46A12FC2"/>
    <w:rsid w:val="46A94048"/>
    <w:rsid w:val="46AAB63D"/>
    <w:rsid w:val="46B1F16B"/>
    <w:rsid w:val="46B61FA8"/>
    <w:rsid w:val="46C0710C"/>
    <w:rsid w:val="46CE3C7C"/>
    <w:rsid w:val="46E2CAE4"/>
    <w:rsid w:val="46E822C1"/>
    <w:rsid w:val="46F1DCA0"/>
    <w:rsid w:val="46F7ACA2"/>
    <w:rsid w:val="46F91BA7"/>
    <w:rsid w:val="4706053B"/>
    <w:rsid w:val="4706627F"/>
    <w:rsid w:val="470822FF"/>
    <w:rsid w:val="471B1005"/>
    <w:rsid w:val="471B9052"/>
    <w:rsid w:val="4723127E"/>
    <w:rsid w:val="4723836A"/>
    <w:rsid w:val="472BB64D"/>
    <w:rsid w:val="4730E87F"/>
    <w:rsid w:val="47402110"/>
    <w:rsid w:val="47411FC0"/>
    <w:rsid w:val="47458951"/>
    <w:rsid w:val="474F55B8"/>
    <w:rsid w:val="47573ACD"/>
    <w:rsid w:val="475844DC"/>
    <w:rsid w:val="47651B79"/>
    <w:rsid w:val="4779A7D7"/>
    <w:rsid w:val="47834FCE"/>
    <w:rsid w:val="478ACCEB"/>
    <w:rsid w:val="47A4D836"/>
    <w:rsid w:val="47AF39DB"/>
    <w:rsid w:val="47C037F4"/>
    <w:rsid w:val="47C2F92E"/>
    <w:rsid w:val="47C4D0C0"/>
    <w:rsid w:val="47C814AD"/>
    <w:rsid w:val="47CEFF68"/>
    <w:rsid w:val="47E6E089"/>
    <w:rsid w:val="47E7DDE4"/>
    <w:rsid w:val="47F1B783"/>
    <w:rsid w:val="47FD5B9A"/>
    <w:rsid w:val="480AF835"/>
    <w:rsid w:val="480B3F9D"/>
    <w:rsid w:val="480D7835"/>
    <w:rsid w:val="480E2715"/>
    <w:rsid w:val="481554F2"/>
    <w:rsid w:val="4815D709"/>
    <w:rsid w:val="4818DCE0"/>
    <w:rsid w:val="4819A15D"/>
    <w:rsid w:val="481CEAD0"/>
    <w:rsid w:val="481ECAD8"/>
    <w:rsid w:val="4849DAC8"/>
    <w:rsid w:val="484B399A"/>
    <w:rsid w:val="48575EBA"/>
    <w:rsid w:val="48583642"/>
    <w:rsid w:val="485ADD19"/>
    <w:rsid w:val="48601350"/>
    <w:rsid w:val="486EE99E"/>
    <w:rsid w:val="488754A9"/>
    <w:rsid w:val="488D3B3E"/>
    <w:rsid w:val="488F0854"/>
    <w:rsid w:val="489CFD37"/>
    <w:rsid w:val="48A3DFAF"/>
    <w:rsid w:val="48A75E36"/>
    <w:rsid w:val="48A85531"/>
    <w:rsid w:val="48ABE5AD"/>
    <w:rsid w:val="48AE63DC"/>
    <w:rsid w:val="48BC1B93"/>
    <w:rsid w:val="48BD1E56"/>
    <w:rsid w:val="48C16CC8"/>
    <w:rsid w:val="48C269EA"/>
    <w:rsid w:val="48CB5FA1"/>
    <w:rsid w:val="48CDF152"/>
    <w:rsid w:val="48DAF100"/>
    <w:rsid w:val="48DDA57C"/>
    <w:rsid w:val="48E1973F"/>
    <w:rsid w:val="48E4EDBF"/>
    <w:rsid w:val="48E791CC"/>
    <w:rsid w:val="48ED199C"/>
    <w:rsid w:val="48F1A143"/>
    <w:rsid w:val="490561D9"/>
    <w:rsid w:val="49078E40"/>
    <w:rsid w:val="4909DE46"/>
    <w:rsid w:val="491918E2"/>
    <w:rsid w:val="4926D773"/>
    <w:rsid w:val="49373934"/>
    <w:rsid w:val="493A2BB0"/>
    <w:rsid w:val="493C49B0"/>
    <w:rsid w:val="4943B2B9"/>
    <w:rsid w:val="4944490D"/>
    <w:rsid w:val="494C2176"/>
    <w:rsid w:val="495167AA"/>
    <w:rsid w:val="4956A05E"/>
    <w:rsid w:val="496C5315"/>
    <w:rsid w:val="496D5764"/>
    <w:rsid w:val="496E355F"/>
    <w:rsid w:val="49714EC9"/>
    <w:rsid w:val="4973E290"/>
    <w:rsid w:val="4975720D"/>
    <w:rsid w:val="497DE164"/>
    <w:rsid w:val="4980F23C"/>
    <w:rsid w:val="49824D79"/>
    <w:rsid w:val="498C8B43"/>
    <w:rsid w:val="498E7F32"/>
    <w:rsid w:val="49945611"/>
    <w:rsid w:val="49A0C52F"/>
    <w:rsid w:val="49A17F18"/>
    <w:rsid w:val="49A5ABDE"/>
    <w:rsid w:val="49A77F94"/>
    <w:rsid w:val="49AF893F"/>
    <w:rsid w:val="49B909AB"/>
    <w:rsid w:val="49CD03EF"/>
    <w:rsid w:val="49CE1EF1"/>
    <w:rsid w:val="49D4316B"/>
    <w:rsid w:val="49E50755"/>
    <w:rsid w:val="49EFC240"/>
    <w:rsid w:val="4A032CC9"/>
    <w:rsid w:val="4A1CE5BC"/>
    <w:rsid w:val="4A20A5BA"/>
    <w:rsid w:val="4A239D37"/>
    <w:rsid w:val="4A37A986"/>
    <w:rsid w:val="4A457DD9"/>
    <w:rsid w:val="4A578D35"/>
    <w:rsid w:val="4A5B34BB"/>
    <w:rsid w:val="4A60C39B"/>
    <w:rsid w:val="4A670FEA"/>
    <w:rsid w:val="4A6B8323"/>
    <w:rsid w:val="4A6F1BE3"/>
    <w:rsid w:val="4A705D95"/>
    <w:rsid w:val="4A77AD4E"/>
    <w:rsid w:val="4A88E72C"/>
    <w:rsid w:val="4A8B88A1"/>
    <w:rsid w:val="4A91B72A"/>
    <w:rsid w:val="4AA24091"/>
    <w:rsid w:val="4AA8DBB4"/>
    <w:rsid w:val="4AAC8570"/>
    <w:rsid w:val="4AADCC61"/>
    <w:rsid w:val="4AB5D59C"/>
    <w:rsid w:val="4ACE6A76"/>
    <w:rsid w:val="4AE48418"/>
    <w:rsid w:val="4AED8C1A"/>
    <w:rsid w:val="4AF8424F"/>
    <w:rsid w:val="4AFE8636"/>
    <w:rsid w:val="4B047141"/>
    <w:rsid w:val="4B21A892"/>
    <w:rsid w:val="4B318973"/>
    <w:rsid w:val="4B325209"/>
    <w:rsid w:val="4B3BAD19"/>
    <w:rsid w:val="4B5F2358"/>
    <w:rsid w:val="4B5FCC6E"/>
    <w:rsid w:val="4B654CE5"/>
    <w:rsid w:val="4B6C3B02"/>
    <w:rsid w:val="4B6F904A"/>
    <w:rsid w:val="4B7353FF"/>
    <w:rsid w:val="4B7F41E0"/>
    <w:rsid w:val="4B80DBC3"/>
    <w:rsid w:val="4B836B62"/>
    <w:rsid w:val="4B87E946"/>
    <w:rsid w:val="4B883AFF"/>
    <w:rsid w:val="4B8A614C"/>
    <w:rsid w:val="4B8BAF2A"/>
    <w:rsid w:val="4B8E5F96"/>
    <w:rsid w:val="4B904F68"/>
    <w:rsid w:val="4B98C84C"/>
    <w:rsid w:val="4BA10203"/>
    <w:rsid w:val="4BA3C1E5"/>
    <w:rsid w:val="4BA83143"/>
    <w:rsid w:val="4BAF92F6"/>
    <w:rsid w:val="4BB96F6E"/>
    <w:rsid w:val="4BBB2597"/>
    <w:rsid w:val="4BBFCF9B"/>
    <w:rsid w:val="4BCDAC9A"/>
    <w:rsid w:val="4BD7D187"/>
    <w:rsid w:val="4BE04F99"/>
    <w:rsid w:val="4BE50A14"/>
    <w:rsid w:val="4BE77BC0"/>
    <w:rsid w:val="4BF0F170"/>
    <w:rsid w:val="4BF53119"/>
    <w:rsid w:val="4C04381E"/>
    <w:rsid w:val="4C0ABE44"/>
    <w:rsid w:val="4C0C220A"/>
    <w:rsid w:val="4C3B4703"/>
    <w:rsid w:val="4C43471F"/>
    <w:rsid w:val="4C60BC3F"/>
    <w:rsid w:val="4C68F34A"/>
    <w:rsid w:val="4C7C0B7D"/>
    <w:rsid w:val="4C7C2E60"/>
    <w:rsid w:val="4C8E692C"/>
    <w:rsid w:val="4C96B27A"/>
    <w:rsid w:val="4CA05E7C"/>
    <w:rsid w:val="4CAA0744"/>
    <w:rsid w:val="4CACEBC2"/>
    <w:rsid w:val="4CBA93C0"/>
    <w:rsid w:val="4CCB7DAE"/>
    <w:rsid w:val="4CCD3AB3"/>
    <w:rsid w:val="4CF62E2C"/>
    <w:rsid w:val="4CFAC1BD"/>
    <w:rsid w:val="4CFF5FC6"/>
    <w:rsid w:val="4D07EAC4"/>
    <w:rsid w:val="4D0C4419"/>
    <w:rsid w:val="4D14028E"/>
    <w:rsid w:val="4D1CC393"/>
    <w:rsid w:val="4D25F70D"/>
    <w:rsid w:val="4D2642A9"/>
    <w:rsid w:val="4D3AB4D9"/>
    <w:rsid w:val="4D3F19A0"/>
    <w:rsid w:val="4D42F70F"/>
    <w:rsid w:val="4D5D3944"/>
    <w:rsid w:val="4D61FB92"/>
    <w:rsid w:val="4D69CB1C"/>
    <w:rsid w:val="4D6E38D7"/>
    <w:rsid w:val="4D769A96"/>
    <w:rsid w:val="4D891420"/>
    <w:rsid w:val="4D914E33"/>
    <w:rsid w:val="4D94EE16"/>
    <w:rsid w:val="4D97427D"/>
    <w:rsid w:val="4D999795"/>
    <w:rsid w:val="4DB1A603"/>
    <w:rsid w:val="4DB92972"/>
    <w:rsid w:val="4DB9E1C2"/>
    <w:rsid w:val="4DC54598"/>
    <w:rsid w:val="4DC71901"/>
    <w:rsid w:val="4DD2BC3E"/>
    <w:rsid w:val="4DD544A9"/>
    <w:rsid w:val="4DD8B806"/>
    <w:rsid w:val="4DDF0E8E"/>
    <w:rsid w:val="4DFE6C2F"/>
    <w:rsid w:val="4E02E60B"/>
    <w:rsid w:val="4E06FFFA"/>
    <w:rsid w:val="4E0B0823"/>
    <w:rsid w:val="4E0E438F"/>
    <w:rsid w:val="4E0F3E59"/>
    <w:rsid w:val="4E1DD705"/>
    <w:rsid w:val="4E1FEA3C"/>
    <w:rsid w:val="4E20C149"/>
    <w:rsid w:val="4E268608"/>
    <w:rsid w:val="4E279DF5"/>
    <w:rsid w:val="4E281CC3"/>
    <w:rsid w:val="4E2F2182"/>
    <w:rsid w:val="4E329A5B"/>
    <w:rsid w:val="4E3B0FF1"/>
    <w:rsid w:val="4E49CD2E"/>
    <w:rsid w:val="4E536F73"/>
    <w:rsid w:val="4E715963"/>
    <w:rsid w:val="4E78DCC6"/>
    <w:rsid w:val="4E905519"/>
    <w:rsid w:val="4E9750BE"/>
    <w:rsid w:val="4E981B33"/>
    <w:rsid w:val="4EA996A0"/>
    <w:rsid w:val="4EB84514"/>
    <w:rsid w:val="4EBC3B4F"/>
    <w:rsid w:val="4EC9F075"/>
    <w:rsid w:val="4ED961FC"/>
    <w:rsid w:val="4EE92BD3"/>
    <w:rsid w:val="4EED5D13"/>
    <w:rsid w:val="4EF7F0C9"/>
    <w:rsid w:val="4EFACD71"/>
    <w:rsid w:val="4EFBF023"/>
    <w:rsid w:val="4F0A8144"/>
    <w:rsid w:val="4F0B336C"/>
    <w:rsid w:val="4F203C4C"/>
    <w:rsid w:val="4F250564"/>
    <w:rsid w:val="4F26F18B"/>
    <w:rsid w:val="4F27194C"/>
    <w:rsid w:val="4F2DB021"/>
    <w:rsid w:val="4F46A298"/>
    <w:rsid w:val="4F46DEF8"/>
    <w:rsid w:val="4F552B8E"/>
    <w:rsid w:val="4F61081C"/>
    <w:rsid w:val="4F6B7C3A"/>
    <w:rsid w:val="4F6F2346"/>
    <w:rsid w:val="4F7C6960"/>
    <w:rsid w:val="4F8A6BD4"/>
    <w:rsid w:val="4FA4F753"/>
    <w:rsid w:val="4FAC0B20"/>
    <w:rsid w:val="4FBCC38B"/>
    <w:rsid w:val="4FBF9ABB"/>
    <w:rsid w:val="4FC1247E"/>
    <w:rsid w:val="4FD9D1A5"/>
    <w:rsid w:val="4FDB87E4"/>
    <w:rsid w:val="4FF025E7"/>
    <w:rsid w:val="4FFB72F0"/>
    <w:rsid w:val="4FFB7D65"/>
    <w:rsid w:val="500CF60A"/>
    <w:rsid w:val="502CBAB9"/>
    <w:rsid w:val="502F5507"/>
    <w:rsid w:val="50398ED2"/>
    <w:rsid w:val="50472725"/>
    <w:rsid w:val="504AB473"/>
    <w:rsid w:val="504DD14B"/>
    <w:rsid w:val="505704A9"/>
    <w:rsid w:val="50628F15"/>
    <w:rsid w:val="506D3DB9"/>
    <w:rsid w:val="50730F4A"/>
    <w:rsid w:val="5083AF73"/>
    <w:rsid w:val="5088F46E"/>
    <w:rsid w:val="509874ED"/>
    <w:rsid w:val="509BE6BC"/>
    <w:rsid w:val="50AAB0CC"/>
    <w:rsid w:val="50B5FF55"/>
    <w:rsid w:val="50C6EF2E"/>
    <w:rsid w:val="50CA1349"/>
    <w:rsid w:val="50D2208E"/>
    <w:rsid w:val="50E8D73D"/>
    <w:rsid w:val="50EE5EFB"/>
    <w:rsid w:val="50EED2AD"/>
    <w:rsid w:val="50F3DDB1"/>
    <w:rsid w:val="50F8D324"/>
    <w:rsid w:val="50FDC5D6"/>
    <w:rsid w:val="511374E6"/>
    <w:rsid w:val="51189F25"/>
    <w:rsid w:val="511AC203"/>
    <w:rsid w:val="511AD0A5"/>
    <w:rsid w:val="51211929"/>
    <w:rsid w:val="512420C5"/>
    <w:rsid w:val="51245DE8"/>
    <w:rsid w:val="51271358"/>
    <w:rsid w:val="512DF76C"/>
    <w:rsid w:val="514353AA"/>
    <w:rsid w:val="51510DD5"/>
    <w:rsid w:val="51538760"/>
    <w:rsid w:val="51612192"/>
    <w:rsid w:val="51658563"/>
    <w:rsid w:val="516C4455"/>
    <w:rsid w:val="516C66C1"/>
    <w:rsid w:val="517C59EE"/>
    <w:rsid w:val="51825228"/>
    <w:rsid w:val="51838DC4"/>
    <w:rsid w:val="518D094A"/>
    <w:rsid w:val="5190C3F3"/>
    <w:rsid w:val="51A71885"/>
    <w:rsid w:val="51AD7CCD"/>
    <w:rsid w:val="51B9C790"/>
    <w:rsid w:val="51BBE44D"/>
    <w:rsid w:val="51D632E0"/>
    <w:rsid w:val="51E41413"/>
    <w:rsid w:val="51EEDA07"/>
    <w:rsid w:val="51F86C9F"/>
    <w:rsid w:val="51FD9A5C"/>
    <w:rsid w:val="5208ABC4"/>
    <w:rsid w:val="5215ADF8"/>
    <w:rsid w:val="521BD34B"/>
    <w:rsid w:val="52278F26"/>
    <w:rsid w:val="52383C6F"/>
    <w:rsid w:val="5241F30D"/>
    <w:rsid w:val="52787A03"/>
    <w:rsid w:val="527E3DC9"/>
    <w:rsid w:val="52838C76"/>
    <w:rsid w:val="528628C6"/>
    <w:rsid w:val="52947060"/>
    <w:rsid w:val="52999954"/>
    <w:rsid w:val="52BDDCCE"/>
    <w:rsid w:val="52BFA235"/>
    <w:rsid w:val="52C0E4FE"/>
    <w:rsid w:val="52C7EB7B"/>
    <w:rsid w:val="52CA72E0"/>
    <w:rsid w:val="52CC2AA2"/>
    <w:rsid w:val="52DE5F82"/>
    <w:rsid w:val="52E43853"/>
    <w:rsid w:val="5308D55C"/>
    <w:rsid w:val="5312443E"/>
    <w:rsid w:val="531312AC"/>
    <w:rsid w:val="53149489"/>
    <w:rsid w:val="531689AB"/>
    <w:rsid w:val="533BCB30"/>
    <w:rsid w:val="533E6CBA"/>
    <w:rsid w:val="5358C2E4"/>
    <w:rsid w:val="535AD2D3"/>
    <w:rsid w:val="535B0ACD"/>
    <w:rsid w:val="5368D6C3"/>
    <w:rsid w:val="536E607C"/>
    <w:rsid w:val="536E8E6A"/>
    <w:rsid w:val="537864DC"/>
    <w:rsid w:val="537ADB96"/>
    <w:rsid w:val="5385A182"/>
    <w:rsid w:val="538A73D9"/>
    <w:rsid w:val="538F5E08"/>
    <w:rsid w:val="53B96E45"/>
    <w:rsid w:val="53BC1C08"/>
    <w:rsid w:val="53C505A9"/>
    <w:rsid w:val="53C82E4E"/>
    <w:rsid w:val="53DFBC01"/>
    <w:rsid w:val="53E37A94"/>
    <w:rsid w:val="53E6B999"/>
    <w:rsid w:val="53E8AA9D"/>
    <w:rsid w:val="53F1514C"/>
    <w:rsid w:val="53F616E0"/>
    <w:rsid w:val="53FD3884"/>
    <w:rsid w:val="5412B9CB"/>
    <w:rsid w:val="541361FE"/>
    <w:rsid w:val="5419BF6C"/>
    <w:rsid w:val="542AB3FF"/>
    <w:rsid w:val="54380CDA"/>
    <w:rsid w:val="54401B39"/>
    <w:rsid w:val="54434623"/>
    <w:rsid w:val="5443E734"/>
    <w:rsid w:val="544E70C6"/>
    <w:rsid w:val="545850A9"/>
    <w:rsid w:val="5463DB03"/>
    <w:rsid w:val="546D8C9D"/>
    <w:rsid w:val="5473B7ED"/>
    <w:rsid w:val="5473E515"/>
    <w:rsid w:val="547AF060"/>
    <w:rsid w:val="547F2918"/>
    <w:rsid w:val="5486F4DB"/>
    <w:rsid w:val="54882C31"/>
    <w:rsid w:val="548DB469"/>
    <w:rsid w:val="54960595"/>
    <w:rsid w:val="54BAEF2B"/>
    <w:rsid w:val="54BE389E"/>
    <w:rsid w:val="54BEC293"/>
    <w:rsid w:val="54D91B3D"/>
    <w:rsid w:val="54E71707"/>
    <w:rsid w:val="54E8DE98"/>
    <w:rsid w:val="54E92898"/>
    <w:rsid w:val="54EDF3DE"/>
    <w:rsid w:val="54EE3804"/>
    <w:rsid w:val="54F32A91"/>
    <w:rsid w:val="54FE61CD"/>
    <w:rsid w:val="55045861"/>
    <w:rsid w:val="551F92ED"/>
    <w:rsid w:val="5537BEB1"/>
    <w:rsid w:val="5551EA6A"/>
    <w:rsid w:val="5556CA97"/>
    <w:rsid w:val="55778DCE"/>
    <w:rsid w:val="557B3803"/>
    <w:rsid w:val="557D02B1"/>
    <w:rsid w:val="5586C940"/>
    <w:rsid w:val="5587AB48"/>
    <w:rsid w:val="55933228"/>
    <w:rsid w:val="55B3AB6C"/>
    <w:rsid w:val="55C0C77E"/>
    <w:rsid w:val="55D17260"/>
    <w:rsid w:val="55D4E5D1"/>
    <w:rsid w:val="55D93BB4"/>
    <w:rsid w:val="55E6A03A"/>
    <w:rsid w:val="55E87DF9"/>
    <w:rsid w:val="55F1C880"/>
    <w:rsid w:val="560D15F7"/>
    <w:rsid w:val="561C9793"/>
    <w:rsid w:val="562292CD"/>
    <w:rsid w:val="56229ED2"/>
    <w:rsid w:val="5626653F"/>
    <w:rsid w:val="5629E4A0"/>
    <w:rsid w:val="56322468"/>
    <w:rsid w:val="56340073"/>
    <w:rsid w:val="56449D0B"/>
    <w:rsid w:val="5646CD3F"/>
    <w:rsid w:val="5655943A"/>
    <w:rsid w:val="56596FDF"/>
    <w:rsid w:val="56744264"/>
    <w:rsid w:val="567D81F8"/>
    <w:rsid w:val="568DC73F"/>
    <w:rsid w:val="5694A501"/>
    <w:rsid w:val="569EEEA0"/>
    <w:rsid w:val="56A75061"/>
    <w:rsid w:val="56B5FD41"/>
    <w:rsid w:val="56C3B370"/>
    <w:rsid w:val="56D5EE22"/>
    <w:rsid w:val="56D60607"/>
    <w:rsid w:val="56DB82B9"/>
    <w:rsid w:val="56E3AD3E"/>
    <w:rsid w:val="56EB4BD1"/>
    <w:rsid w:val="56EC530A"/>
    <w:rsid w:val="56F32D85"/>
    <w:rsid w:val="56FAFAC6"/>
    <w:rsid w:val="56FBDEEB"/>
    <w:rsid w:val="56FC2C67"/>
    <w:rsid w:val="5708E4F1"/>
    <w:rsid w:val="570A7462"/>
    <w:rsid w:val="570C132A"/>
    <w:rsid w:val="570EF6CF"/>
    <w:rsid w:val="57145621"/>
    <w:rsid w:val="5717CF56"/>
    <w:rsid w:val="5727152E"/>
    <w:rsid w:val="572CDB8F"/>
    <w:rsid w:val="57360CFC"/>
    <w:rsid w:val="57445B40"/>
    <w:rsid w:val="57460009"/>
    <w:rsid w:val="574754F7"/>
    <w:rsid w:val="574B1E7D"/>
    <w:rsid w:val="5750B315"/>
    <w:rsid w:val="57559D09"/>
    <w:rsid w:val="5758D943"/>
    <w:rsid w:val="575A808B"/>
    <w:rsid w:val="5763A4BF"/>
    <w:rsid w:val="57719E9C"/>
    <w:rsid w:val="5772C54E"/>
    <w:rsid w:val="57924787"/>
    <w:rsid w:val="5794EFAD"/>
    <w:rsid w:val="57C8A1C0"/>
    <w:rsid w:val="57CD0EE4"/>
    <w:rsid w:val="57CF9FD3"/>
    <w:rsid w:val="57DA2365"/>
    <w:rsid w:val="58077FAF"/>
    <w:rsid w:val="58117DDF"/>
    <w:rsid w:val="581BCF4E"/>
    <w:rsid w:val="581D93AB"/>
    <w:rsid w:val="58246A4E"/>
    <w:rsid w:val="5838ED8D"/>
    <w:rsid w:val="5840F165"/>
    <w:rsid w:val="585104B7"/>
    <w:rsid w:val="5858D0E0"/>
    <w:rsid w:val="585AB5AF"/>
    <w:rsid w:val="586004BF"/>
    <w:rsid w:val="586230A8"/>
    <w:rsid w:val="5862C3D6"/>
    <w:rsid w:val="58829B50"/>
    <w:rsid w:val="58949D15"/>
    <w:rsid w:val="58A0B3CD"/>
    <w:rsid w:val="58AA41C3"/>
    <w:rsid w:val="58ADD6F1"/>
    <w:rsid w:val="58C0D9C5"/>
    <w:rsid w:val="58C8F426"/>
    <w:rsid w:val="58D15F11"/>
    <w:rsid w:val="58D8D88D"/>
    <w:rsid w:val="58E0E7B9"/>
    <w:rsid w:val="58E4C2D9"/>
    <w:rsid w:val="58FCD1A0"/>
    <w:rsid w:val="592900FC"/>
    <w:rsid w:val="592CDD5B"/>
    <w:rsid w:val="5938B5F3"/>
    <w:rsid w:val="593BA259"/>
    <w:rsid w:val="5947328C"/>
    <w:rsid w:val="59659AFE"/>
    <w:rsid w:val="597AA645"/>
    <w:rsid w:val="598FC091"/>
    <w:rsid w:val="59A32C18"/>
    <w:rsid w:val="59B0F9A6"/>
    <w:rsid w:val="59C094AC"/>
    <w:rsid w:val="59C40CF7"/>
    <w:rsid w:val="59CA4D1D"/>
    <w:rsid w:val="59D456E7"/>
    <w:rsid w:val="59DA33C1"/>
    <w:rsid w:val="59DDDA64"/>
    <w:rsid w:val="59E46D96"/>
    <w:rsid w:val="59E53836"/>
    <w:rsid w:val="59EC8117"/>
    <w:rsid w:val="59EE284A"/>
    <w:rsid w:val="5A01E92B"/>
    <w:rsid w:val="5A02497F"/>
    <w:rsid w:val="5A029C46"/>
    <w:rsid w:val="5A0B5916"/>
    <w:rsid w:val="5A1F57C1"/>
    <w:rsid w:val="5A259E89"/>
    <w:rsid w:val="5A28F61D"/>
    <w:rsid w:val="5A33E843"/>
    <w:rsid w:val="5A382454"/>
    <w:rsid w:val="5A3B5539"/>
    <w:rsid w:val="5A441BD6"/>
    <w:rsid w:val="5A463339"/>
    <w:rsid w:val="5A47369D"/>
    <w:rsid w:val="5A53DCF2"/>
    <w:rsid w:val="5A6D748A"/>
    <w:rsid w:val="5A74A578"/>
    <w:rsid w:val="5A8DE375"/>
    <w:rsid w:val="5AA372E0"/>
    <w:rsid w:val="5AB7997F"/>
    <w:rsid w:val="5ABAECEA"/>
    <w:rsid w:val="5AC2B8D3"/>
    <w:rsid w:val="5AC8D92D"/>
    <w:rsid w:val="5AD08B71"/>
    <w:rsid w:val="5ADF93E0"/>
    <w:rsid w:val="5AE15418"/>
    <w:rsid w:val="5AE4088E"/>
    <w:rsid w:val="5AE4D18F"/>
    <w:rsid w:val="5AE7B35A"/>
    <w:rsid w:val="5AF57516"/>
    <w:rsid w:val="5AF6BF93"/>
    <w:rsid w:val="5B192020"/>
    <w:rsid w:val="5B24522D"/>
    <w:rsid w:val="5B3A85ED"/>
    <w:rsid w:val="5B4948B0"/>
    <w:rsid w:val="5B5AB204"/>
    <w:rsid w:val="5B663DCE"/>
    <w:rsid w:val="5B707973"/>
    <w:rsid w:val="5B76BE1A"/>
    <w:rsid w:val="5B79BE65"/>
    <w:rsid w:val="5B79C495"/>
    <w:rsid w:val="5B8BEB11"/>
    <w:rsid w:val="5B8FC67C"/>
    <w:rsid w:val="5B9368FB"/>
    <w:rsid w:val="5B999E24"/>
    <w:rsid w:val="5BAD2DE7"/>
    <w:rsid w:val="5BC20029"/>
    <w:rsid w:val="5BC21BBC"/>
    <w:rsid w:val="5BD7ACAE"/>
    <w:rsid w:val="5BEF4699"/>
    <w:rsid w:val="5BFE5D03"/>
    <w:rsid w:val="5C06875A"/>
    <w:rsid w:val="5C21746E"/>
    <w:rsid w:val="5C8161F7"/>
    <w:rsid w:val="5C86E296"/>
    <w:rsid w:val="5C94A877"/>
    <w:rsid w:val="5CADF476"/>
    <w:rsid w:val="5CB73404"/>
    <w:rsid w:val="5CB79A0A"/>
    <w:rsid w:val="5CD7F830"/>
    <w:rsid w:val="5CE69792"/>
    <w:rsid w:val="5CEDA297"/>
    <w:rsid w:val="5CEE61D8"/>
    <w:rsid w:val="5CFD16CE"/>
    <w:rsid w:val="5D01F0B1"/>
    <w:rsid w:val="5D03EA51"/>
    <w:rsid w:val="5D1A129D"/>
    <w:rsid w:val="5D2557AB"/>
    <w:rsid w:val="5D38D527"/>
    <w:rsid w:val="5D4089BD"/>
    <w:rsid w:val="5D6297DF"/>
    <w:rsid w:val="5D70DD49"/>
    <w:rsid w:val="5D895D56"/>
    <w:rsid w:val="5D8AF63D"/>
    <w:rsid w:val="5D954FBB"/>
    <w:rsid w:val="5DB27A00"/>
    <w:rsid w:val="5DB45869"/>
    <w:rsid w:val="5DB4ED5E"/>
    <w:rsid w:val="5DB55C90"/>
    <w:rsid w:val="5DC83516"/>
    <w:rsid w:val="5DD2B3E6"/>
    <w:rsid w:val="5DDE958A"/>
    <w:rsid w:val="5DF75263"/>
    <w:rsid w:val="5DFF7A61"/>
    <w:rsid w:val="5E010B42"/>
    <w:rsid w:val="5E0F1FC0"/>
    <w:rsid w:val="5E170C84"/>
    <w:rsid w:val="5E288C6D"/>
    <w:rsid w:val="5E429AC5"/>
    <w:rsid w:val="5E47C4E3"/>
    <w:rsid w:val="5E690E9C"/>
    <w:rsid w:val="5E69CA04"/>
    <w:rsid w:val="5E9CE59B"/>
    <w:rsid w:val="5EB45AB8"/>
    <w:rsid w:val="5EB4B8C8"/>
    <w:rsid w:val="5EB5DE38"/>
    <w:rsid w:val="5EC3BF56"/>
    <w:rsid w:val="5ECE6029"/>
    <w:rsid w:val="5ED30899"/>
    <w:rsid w:val="5ED54038"/>
    <w:rsid w:val="5ED848DE"/>
    <w:rsid w:val="5EDE1C23"/>
    <w:rsid w:val="5EE5F2BB"/>
    <w:rsid w:val="5EE8B32A"/>
    <w:rsid w:val="5EF66EA2"/>
    <w:rsid w:val="5EFA3597"/>
    <w:rsid w:val="5F0699A4"/>
    <w:rsid w:val="5F20F946"/>
    <w:rsid w:val="5F2C696D"/>
    <w:rsid w:val="5F32217F"/>
    <w:rsid w:val="5F32413B"/>
    <w:rsid w:val="5F34B43C"/>
    <w:rsid w:val="5F366A22"/>
    <w:rsid w:val="5F446FEC"/>
    <w:rsid w:val="5F6343FC"/>
    <w:rsid w:val="5F6B5E43"/>
    <w:rsid w:val="5F6BB405"/>
    <w:rsid w:val="5F716C74"/>
    <w:rsid w:val="5F790557"/>
    <w:rsid w:val="5F943A29"/>
    <w:rsid w:val="5F9DE6C1"/>
    <w:rsid w:val="5FABD7B6"/>
    <w:rsid w:val="5FBDC076"/>
    <w:rsid w:val="5FBFF46B"/>
    <w:rsid w:val="5FC490EC"/>
    <w:rsid w:val="5FCEBEE5"/>
    <w:rsid w:val="5FCED6F5"/>
    <w:rsid w:val="5FD7D16E"/>
    <w:rsid w:val="5FE3D701"/>
    <w:rsid w:val="5FF6C3C6"/>
    <w:rsid w:val="600247D1"/>
    <w:rsid w:val="60038359"/>
    <w:rsid w:val="601418B3"/>
    <w:rsid w:val="60201C45"/>
    <w:rsid w:val="602546FF"/>
    <w:rsid w:val="6025B194"/>
    <w:rsid w:val="602D01D6"/>
    <w:rsid w:val="602D658E"/>
    <w:rsid w:val="602FA450"/>
    <w:rsid w:val="604183CD"/>
    <w:rsid w:val="6047BAD2"/>
    <w:rsid w:val="6047BD73"/>
    <w:rsid w:val="6053AA05"/>
    <w:rsid w:val="607D111D"/>
    <w:rsid w:val="6080170D"/>
    <w:rsid w:val="60834332"/>
    <w:rsid w:val="60881810"/>
    <w:rsid w:val="60AD5863"/>
    <w:rsid w:val="60B05633"/>
    <w:rsid w:val="60BFF5B6"/>
    <w:rsid w:val="60CB8D31"/>
    <w:rsid w:val="60CFEF8A"/>
    <w:rsid w:val="60DC10B5"/>
    <w:rsid w:val="60DC7464"/>
    <w:rsid w:val="60E16C3A"/>
    <w:rsid w:val="60F43EE1"/>
    <w:rsid w:val="60F6A9B4"/>
    <w:rsid w:val="60FED294"/>
    <w:rsid w:val="611EA842"/>
    <w:rsid w:val="61209459"/>
    <w:rsid w:val="612D7FB4"/>
    <w:rsid w:val="614F47E4"/>
    <w:rsid w:val="61523F6E"/>
    <w:rsid w:val="616D54BA"/>
    <w:rsid w:val="616FA054"/>
    <w:rsid w:val="616FDD63"/>
    <w:rsid w:val="617936E8"/>
    <w:rsid w:val="617DF595"/>
    <w:rsid w:val="618A2D9B"/>
    <w:rsid w:val="618B914D"/>
    <w:rsid w:val="6199C9EF"/>
    <w:rsid w:val="61AE89BA"/>
    <w:rsid w:val="61C45A1E"/>
    <w:rsid w:val="61CE96AF"/>
    <w:rsid w:val="61D0FE27"/>
    <w:rsid w:val="61D8F03D"/>
    <w:rsid w:val="61E2A9F5"/>
    <w:rsid w:val="61F18040"/>
    <w:rsid w:val="61F43778"/>
    <w:rsid w:val="61FD2B90"/>
    <w:rsid w:val="620219EA"/>
    <w:rsid w:val="6220533C"/>
    <w:rsid w:val="624442C7"/>
    <w:rsid w:val="624870F9"/>
    <w:rsid w:val="62565B5A"/>
    <w:rsid w:val="626389E7"/>
    <w:rsid w:val="6266FFF3"/>
    <w:rsid w:val="6270C824"/>
    <w:rsid w:val="62957850"/>
    <w:rsid w:val="629F7BDC"/>
    <w:rsid w:val="62A47527"/>
    <w:rsid w:val="62A51BBC"/>
    <w:rsid w:val="62A9045D"/>
    <w:rsid w:val="62AC336E"/>
    <w:rsid w:val="62B9BB34"/>
    <w:rsid w:val="62C50181"/>
    <w:rsid w:val="62C8CD15"/>
    <w:rsid w:val="62D5CEDA"/>
    <w:rsid w:val="62DA7465"/>
    <w:rsid w:val="62F0057B"/>
    <w:rsid w:val="62F55316"/>
    <w:rsid w:val="62FB35BA"/>
    <w:rsid w:val="6300472B"/>
    <w:rsid w:val="63034F23"/>
    <w:rsid w:val="63051432"/>
    <w:rsid w:val="630BB0E8"/>
    <w:rsid w:val="6310AD01"/>
    <w:rsid w:val="631B1F1E"/>
    <w:rsid w:val="631F91A8"/>
    <w:rsid w:val="63257442"/>
    <w:rsid w:val="633E819D"/>
    <w:rsid w:val="63438124"/>
    <w:rsid w:val="63473870"/>
    <w:rsid w:val="63478750"/>
    <w:rsid w:val="634DBE75"/>
    <w:rsid w:val="6358EF34"/>
    <w:rsid w:val="63778703"/>
    <w:rsid w:val="637F995B"/>
    <w:rsid w:val="6384225D"/>
    <w:rsid w:val="638A1BEF"/>
    <w:rsid w:val="6394448E"/>
    <w:rsid w:val="6397743E"/>
    <w:rsid w:val="639C79C0"/>
    <w:rsid w:val="63A2D2FD"/>
    <w:rsid w:val="63B3CE18"/>
    <w:rsid w:val="63BC44DD"/>
    <w:rsid w:val="63C12332"/>
    <w:rsid w:val="63C495BB"/>
    <w:rsid w:val="63CE5E1F"/>
    <w:rsid w:val="63E08DEE"/>
    <w:rsid w:val="63F03AD9"/>
    <w:rsid w:val="63F748F5"/>
    <w:rsid w:val="63FB59B2"/>
    <w:rsid w:val="64043A06"/>
    <w:rsid w:val="640DC0A8"/>
    <w:rsid w:val="640E009F"/>
    <w:rsid w:val="6412A6FC"/>
    <w:rsid w:val="641C3AF2"/>
    <w:rsid w:val="6423837F"/>
    <w:rsid w:val="6428C13D"/>
    <w:rsid w:val="642EF7AD"/>
    <w:rsid w:val="6436E52C"/>
    <w:rsid w:val="6448263A"/>
    <w:rsid w:val="6474CC43"/>
    <w:rsid w:val="64AC20CF"/>
    <w:rsid w:val="64AE141F"/>
    <w:rsid w:val="64BEF3F4"/>
    <w:rsid w:val="64EFBFDC"/>
    <w:rsid w:val="64FA143C"/>
    <w:rsid w:val="64FFCC24"/>
    <w:rsid w:val="650A6BA6"/>
    <w:rsid w:val="65176F02"/>
    <w:rsid w:val="65229120"/>
    <w:rsid w:val="65341E52"/>
    <w:rsid w:val="653B3CDB"/>
    <w:rsid w:val="65588770"/>
    <w:rsid w:val="655E24E9"/>
    <w:rsid w:val="65672325"/>
    <w:rsid w:val="657AF6F7"/>
    <w:rsid w:val="657DD68C"/>
    <w:rsid w:val="65867C65"/>
    <w:rsid w:val="658E78DE"/>
    <w:rsid w:val="65926E7D"/>
    <w:rsid w:val="659F3698"/>
    <w:rsid w:val="65AB7092"/>
    <w:rsid w:val="65AEACBF"/>
    <w:rsid w:val="65D7AC14"/>
    <w:rsid w:val="6601556D"/>
    <w:rsid w:val="6601ECC1"/>
    <w:rsid w:val="66026BE3"/>
    <w:rsid w:val="66107F2A"/>
    <w:rsid w:val="6613F5BF"/>
    <w:rsid w:val="661EBEF4"/>
    <w:rsid w:val="662E1BCC"/>
    <w:rsid w:val="6635D1A6"/>
    <w:rsid w:val="66418DB7"/>
    <w:rsid w:val="66446D36"/>
    <w:rsid w:val="664707A5"/>
    <w:rsid w:val="6650D692"/>
    <w:rsid w:val="66547098"/>
    <w:rsid w:val="666208A5"/>
    <w:rsid w:val="6667F564"/>
    <w:rsid w:val="66757D7F"/>
    <w:rsid w:val="66771193"/>
    <w:rsid w:val="667809D7"/>
    <w:rsid w:val="667B7705"/>
    <w:rsid w:val="667DEC68"/>
    <w:rsid w:val="668010EE"/>
    <w:rsid w:val="66A1574F"/>
    <w:rsid w:val="66A8DAD7"/>
    <w:rsid w:val="66AD0CCA"/>
    <w:rsid w:val="66BA7516"/>
    <w:rsid w:val="66BFCB42"/>
    <w:rsid w:val="66DCE015"/>
    <w:rsid w:val="66E42623"/>
    <w:rsid w:val="66EBBDA4"/>
    <w:rsid w:val="66F3BECB"/>
    <w:rsid w:val="672FB5B9"/>
    <w:rsid w:val="673AD2DD"/>
    <w:rsid w:val="67551EBE"/>
    <w:rsid w:val="67722464"/>
    <w:rsid w:val="67914AD2"/>
    <w:rsid w:val="679EA69E"/>
    <w:rsid w:val="67A04A39"/>
    <w:rsid w:val="67A7A3CC"/>
    <w:rsid w:val="67B342DF"/>
    <w:rsid w:val="67B76B41"/>
    <w:rsid w:val="67C35703"/>
    <w:rsid w:val="67C42036"/>
    <w:rsid w:val="67C519FF"/>
    <w:rsid w:val="67C5DE72"/>
    <w:rsid w:val="67D951FB"/>
    <w:rsid w:val="67D9B924"/>
    <w:rsid w:val="67DF4B95"/>
    <w:rsid w:val="67E9B248"/>
    <w:rsid w:val="67F27937"/>
    <w:rsid w:val="67F7A328"/>
    <w:rsid w:val="68012CA5"/>
    <w:rsid w:val="68094882"/>
    <w:rsid w:val="680BAB27"/>
    <w:rsid w:val="680C8A13"/>
    <w:rsid w:val="680FFDF2"/>
    <w:rsid w:val="681B10D5"/>
    <w:rsid w:val="6820B6AE"/>
    <w:rsid w:val="682EC298"/>
    <w:rsid w:val="683DDEDE"/>
    <w:rsid w:val="684B6EE6"/>
    <w:rsid w:val="684C4AAD"/>
    <w:rsid w:val="68533285"/>
    <w:rsid w:val="68534835"/>
    <w:rsid w:val="686AC4FB"/>
    <w:rsid w:val="686B3AC1"/>
    <w:rsid w:val="686C9BE3"/>
    <w:rsid w:val="686D33AC"/>
    <w:rsid w:val="6885BC8A"/>
    <w:rsid w:val="68A6CFA1"/>
    <w:rsid w:val="68AF81EF"/>
    <w:rsid w:val="68BC07D1"/>
    <w:rsid w:val="68BC7F49"/>
    <w:rsid w:val="68C7C3E5"/>
    <w:rsid w:val="68CCF17B"/>
    <w:rsid w:val="68CF111F"/>
    <w:rsid w:val="68DE2259"/>
    <w:rsid w:val="68F1D548"/>
    <w:rsid w:val="68F25FF7"/>
    <w:rsid w:val="690BECC3"/>
    <w:rsid w:val="692219ED"/>
    <w:rsid w:val="69330FD6"/>
    <w:rsid w:val="6934D710"/>
    <w:rsid w:val="6940E6AD"/>
    <w:rsid w:val="6941C80A"/>
    <w:rsid w:val="6949AA31"/>
    <w:rsid w:val="694F1E31"/>
    <w:rsid w:val="6956E462"/>
    <w:rsid w:val="69617F0E"/>
    <w:rsid w:val="69649615"/>
    <w:rsid w:val="696D954C"/>
    <w:rsid w:val="696E21C9"/>
    <w:rsid w:val="697347B8"/>
    <w:rsid w:val="697EFCDD"/>
    <w:rsid w:val="69979825"/>
    <w:rsid w:val="699962DF"/>
    <w:rsid w:val="699CB392"/>
    <w:rsid w:val="69A1516E"/>
    <w:rsid w:val="69A2FE2A"/>
    <w:rsid w:val="69A6C767"/>
    <w:rsid w:val="69AEB8AB"/>
    <w:rsid w:val="69B5C32F"/>
    <w:rsid w:val="69BA6266"/>
    <w:rsid w:val="69BFB3E9"/>
    <w:rsid w:val="69C679F2"/>
    <w:rsid w:val="69CF7E50"/>
    <w:rsid w:val="69D37A20"/>
    <w:rsid w:val="69D43D63"/>
    <w:rsid w:val="69E7B869"/>
    <w:rsid w:val="69E7C5D2"/>
    <w:rsid w:val="69F29BBB"/>
    <w:rsid w:val="69F308BB"/>
    <w:rsid w:val="69F3752A"/>
    <w:rsid w:val="69F87489"/>
    <w:rsid w:val="69F93B30"/>
    <w:rsid w:val="6A0C9609"/>
    <w:rsid w:val="6A279441"/>
    <w:rsid w:val="6A398E41"/>
    <w:rsid w:val="6A445C7E"/>
    <w:rsid w:val="6A4B3365"/>
    <w:rsid w:val="6A5001EF"/>
    <w:rsid w:val="6A51DD97"/>
    <w:rsid w:val="6A591840"/>
    <w:rsid w:val="6A597372"/>
    <w:rsid w:val="6A5A6709"/>
    <w:rsid w:val="6A5EA9CA"/>
    <w:rsid w:val="6A6D48B5"/>
    <w:rsid w:val="6A6EA4A8"/>
    <w:rsid w:val="6A75C939"/>
    <w:rsid w:val="6A83594D"/>
    <w:rsid w:val="6A836D51"/>
    <w:rsid w:val="6A9DA4FD"/>
    <w:rsid w:val="6AA0A923"/>
    <w:rsid w:val="6AA5C213"/>
    <w:rsid w:val="6AAE5CCB"/>
    <w:rsid w:val="6ABF820B"/>
    <w:rsid w:val="6AC0C59C"/>
    <w:rsid w:val="6AD89934"/>
    <w:rsid w:val="6AE31B0B"/>
    <w:rsid w:val="6AEE58B9"/>
    <w:rsid w:val="6AF0CE7F"/>
    <w:rsid w:val="6AF2E4C5"/>
    <w:rsid w:val="6B0E318B"/>
    <w:rsid w:val="6B117114"/>
    <w:rsid w:val="6B1538D7"/>
    <w:rsid w:val="6B1AC092"/>
    <w:rsid w:val="6B1D03D3"/>
    <w:rsid w:val="6B22E7A5"/>
    <w:rsid w:val="6B33B895"/>
    <w:rsid w:val="6B46F751"/>
    <w:rsid w:val="6B5C33E0"/>
    <w:rsid w:val="6B6A4B60"/>
    <w:rsid w:val="6B7C6394"/>
    <w:rsid w:val="6B85ACE5"/>
    <w:rsid w:val="6B8CA6E0"/>
    <w:rsid w:val="6B9291CD"/>
    <w:rsid w:val="6BA128BD"/>
    <w:rsid w:val="6BB07686"/>
    <w:rsid w:val="6BBACFB4"/>
    <w:rsid w:val="6BC0BD2F"/>
    <w:rsid w:val="6BCB0FF5"/>
    <w:rsid w:val="6BE2228F"/>
    <w:rsid w:val="6BE5B84A"/>
    <w:rsid w:val="6BEBEA9E"/>
    <w:rsid w:val="6BEC86CE"/>
    <w:rsid w:val="6BEE8916"/>
    <w:rsid w:val="6BF978CC"/>
    <w:rsid w:val="6BFB91FC"/>
    <w:rsid w:val="6BFCB3C1"/>
    <w:rsid w:val="6BFD229B"/>
    <w:rsid w:val="6C02835C"/>
    <w:rsid w:val="6C038E7C"/>
    <w:rsid w:val="6C0DE50A"/>
    <w:rsid w:val="6C20C5E6"/>
    <w:rsid w:val="6C2C1615"/>
    <w:rsid w:val="6C345375"/>
    <w:rsid w:val="6C45422A"/>
    <w:rsid w:val="6C501367"/>
    <w:rsid w:val="6C63F391"/>
    <w:rsid w:val="6C719D91"/>
    <w:rsid w:val="6C74F26D"/>
    <w:rsid w:val="6C7BB77F"/>
    <w:rsid w:val="6C82C240"/>
    <w:rsid w:val="6C842DC2"/>
    <w:rsid w:val="6C936CAB"/>
    <w:rsid w:val="6C98EF1A"/>
    <w:rsid w:val="6C9DB804"/>
    <w:rsid w:val="6CAAFD6E"/>
    <w:rsid w:val="6CB33CEE"/>
    <w:rsid w:val="6CB594C5"/>
    <w:rsid w:val="6CB9BD2C"/>
    <w:rsid w:val="6CC335CE"/>
    <w:rsid w:val="6CCAFE22"/>
    <w:rsid w:val="6CCBF1F6"/>
    <w:rsid w:val="6CCD24A1"/>
    <w:rsid w:val="6CD76593"/>
    <w:rsid w:val="6CED8BC4"/>
    <w:rsid w:val="6D0853EA"/>
    <w:rsid w:val="6D1CDCB3"/>
    <w:rsid w:val="6D269D5F"/>
    <w:rsid w:val="6D390BA2"/>
    <w:rsid w:val="6D3BBE40"/>
    <w:rsid w:val="6D483C5E"/>
    <w:rsid w:val="6D5A2551"/>
    <w:rsid w:val="6D5F57C4"/>
    <w:rsid w:val="6D6DA01A"/>
    <w:rsid w:val="6D847503"/>
    <w:rsid w:val="6D8C0ECE"/>
    <w:rsid w:val="6D94B74A"/>
    <w:rsid w:val="6D96D6D5"/>
    <w:rsid w:val="6D973337"/>
    <w:rsid w:val="6D9EDDC1"/>
    <w:rsid w:val="6DB5FC87"/>
    <w:rsid w:val="6DC5C5EC"/>
    <w:rsid w:val="6DC7D838"/>
    <w:rsid w:val="6DCB6033"/>
    <w:rsid w:val="6DCFC5E6"/>
    <w:rsid w:val="6DD90232"/>
    <w:rsid w:val="6DD9A38B"/>
    <w:rsid w:val="6DDF88D5"/>
    <w:rsid w:val="6DEE9252"/>
    <w:rsid w:val="6E296AC4"/>
    <w:rsid w:val="6E2CADEB"/>
    <w:rsid w:val="6E2DF3F4"/>
    <w:rsid w:val="6E303936"/>
    <w:rsid w:val="6E40EB90"/>
    <w:rsid w:val="6E4AA669"/>
    <w:rsid w:val="6E4B74B7"/>
    <w:rsid w:val="6E4BB297"/>
    <w:rsid w:val="6E4F1BE0"/>
    <w:rsid w:val="6E560112"/>
    <w:rsid w:val="6E6218FF"/>
    <w:rsid w:val="6E651443"/>
    <w:rsid w:val="6E6C3B10"/>
    <w:rsid w:val="6E7A6F14"/>
    <w:rsid w:val="6E7D9BF6"/>
    <w:rsid w:val="6E972AC3"/>
    <w:rsid w:val="6E9F0FC6"/>
    <w:rsid w:val="6EA26AB5"/>
    <w:rsid w:val="6EB1300C"/>
    <w:rsid w:val="6EB7BB39"/>
    <w:rsid w:val="6EB825D9"/>
    <w:rsid w:val="6EB9F4E6"/>
    <w:rsid w:val="6ED82D12"/>
    <w:rsid w:val="6EE1CB73"/>
    <w:rsid w:val="6EE208BD"/>
    <w:rsid w:val="6EE91765"/>
    <w:rsid w:val="6F07F218"/>
    <w:rsid w:val="6F176F1F"/>
    <w:rsid w:val="6F18506D"/>
    <w:rsid w:val="6F254D9B"/>
    <w:rsid w:val="6F4D5A1B"/>
    <w:rsid w:val="6F4FCA77"/>
    <w:rsid w:val="6F565ACC"/>
    <w:rsid w:val="6F59A325"/>
    <w:rsid w:val="6F657DE3"/>
    <w:rsid w:val="6F6C6A5D"/>
    <w:rsid w:val="6F6E6EA5"/>
    <w:rsid w:val="6F71A2AB"/>
    <w:rsid w:val="6F7E9F2A"/>
    <w:rsid w:val="6F915930"/>
    <w:rsid w:val="6F940C22"/>
    <w:rsid w:val="6F976EBC"/>
    <w:rsid w:val="6F9A2A0E"/>
    <w:rsid w:val="6F9AFA7F"/>
    <w:rsid w:val="6FA4C1F3"/>
    <w:rsid w:val="6FA8315D"/>
    <w:rsid w:val="6FAED6F1"/>
    <w:rsid w:val="6FB0C3E7"/>
    <w:rsid w:val="6FB91FF8"/>
    <w:rsid w:val="6FBADB1A"/>
    <w:rsid w:val="6FBC896D"/>
    <w:rsid w:val="6FC006C2"/>
    <w:rsid w:val="6FCD5AED"/>
    <w:rsid w:val="6FCE0E8E"/>
    <w:rsid w:val="6FD8B091"/>
    <w:rsid w:val="6FDD70F1"/>
    <w:rsid w:val="6FE67E3C"/>
    <w:rsid w:val="6FE9AA53"/>
    <w:rsid w:val="6FF2F765"/>
    <w:rsid w:val="6FF6BBF3"/>
    <w:rsid w:val="6FF84892"/>
    <w:rsid w:val="6FFA0D15"/>
    <w:rsid w:val="7000EBEC"/>
    <w:rsid w:val="700509FF"/>
    <w:rsid w:val="70083629"/>
    <w:rsid w:val="70106A2D"/>
    <w:rsid w:val="70161D82"/>
    <w:rsid w:val="701E2BC2"/>
    <w:rsid w:val="7044A844"/>
    <w:rsid w:val="704AD35A"/>
    <w:rsid w:val="705A3548"/>
    <w:rsid w:val="705F2E52"/>
    <w:rsid w:val="7066910D"/>
    <w:rsid w:val="7069DEE6"/>
    <w:rsid w:val="70801482"/>
    <w:rsid w:val="70894253"/>
    <w:rsid w:val="70A48D37"/>
    <w:rsid w:val="70B637CC"/>
    <w:rsid w:val="70BA7156"/>
    <w:rsid w:val="70C03061"/>
    <w:rsid w:val="70C4C109"/>
    <w:rsid w:val="70C76A74"/>
    <w:rsid w:val="70C776F2"/>
    <w:rsid w:val="70DC1CF3"/>
    <w:rsid w:val="70E18FD7"/>
    <w:rsid w:val="71098FCD"/>
    <w:rsid w:val="7123EB7F"/>
    <w:rsid w:val="71267CD9"/>
    <w:rsid w:val="712C5CA4"/>
    <w:rsid w:val="71380FB9"/>
    <w:rsid w:val="713D484C"/>
    <w:rsid w:val="713F18BA"/>
    <w:rsid w:val="714F2809"/>
    <w:rsid w:val="71536906"/>
    <w:rsid w:val="71811349"/>
    <w:rsid w:val="71868618"/>
    <w:rsid w:val="7198E143"/>
    <w:rsid w:val="719C9235"/>
    <w:rsid w:val="71A4BB5B"/>
    <w:rsid w:val="71AF708D"/>
    <w:rsid w:val="71B593F5"/>
    <w:rsid w:val="71C594FD"/>
    <w:rsid w:val="71CFFE43"/>
    <w:rsid w:val="71DEA453"/>
    <w:rsid w:val="71E03C2B"/>
    <w:rsid w:val="71E8E350"/>
    <w:rsid w:val="71EAB890"/>
    <w:rsid w:val="71F366BE"/>
    <w:rsid w:val="71FB470E"/>
    <w:rsid w:val="7202AE8A"/>
    <w:rsid w:val="7219CF52"/>
    <w:rsid w:val="7220D9CB"/>
    <w:rsid w:val="7234E529"/>
    <w:rsid w:val="72572093"/>
    <w:rsid w:val="725A8DBE"/>
    <w:rsid w:val="727542F5"/>
    <w:rsid w:val="72804B73"/>
    <w:rsid w:val="7297041A"/>
    <w:rsid w:val="72A54A88"/>
    <w:rsid w:val="72C723AE"/>
    <w:rsid w:val="72DE08B7"/>
    <w:rsid w:val="72DF2298"/>
    <w:rsid w:val="73055DEC"/>
    <w:rsid w:val="7306429A"/>
    <w:rsid w:val="7306B849"/>
    <w:rsid w:val="7313D948"/>
    <w:rsid w:val="731AED32"/>
    <w:rsid w:val="7322F6DD"/>
    <w:rsid w:val="732CF812"/>
    <w:rsid w:val="733533BE"/>
    <w:rsid w:val="733D25AD"/>
    <w:rsid w:val="734ABCD6"/>
    <w:rsid w:val="73658FF1"/>
    <w:rsid w:val="7366B9E7"/>
    <w:rsid w:val="736A5679"/>
    <w:rsid w:val="7372CB38"/>
    <w:rsid w:val="738375AE"/>
    <w:rsid w:val="7394D3FF"/>
    <w:rsid w:val="73A71F4B"/>
    <w:rsid w:val="73C28DCF"/>
    <w:rsid w:val="73C38412"/>
    <w:rsid w:val="73D5F8EE"/>
    <w:rsid w:val="73D650D6"/>
    <w:rsid w:val="73D884CE"/>
    <w:rsid w:val="73DEF9F6"/>
    <w:rsid w:val="73E5855C"/>
    <w:rsid w:val="73E772DA"/>
    <w:rsid w:val="73EF6EAD"/>
    <w:rsid w:val="7403D688"/>
    <w:rsid w:val="74085437"/>
    <w:rsid w:val="7413BA06"/>
    <w:rsid w:val="742533CB"/>
    <w:rsid w:val="7430589F"/>
    <w:rsid w:val="743EE725"/>
    <w:rsid w:val="74434506"/>
    <w:rsid w:val="744370CA"/>
    <w:rsid w:val="7444C1B0"/>
    <w:rsid w:val="745E5FE3"/>
    <w:rsid w:val="746E5173"/>
    <w:rsid w:val="747A7BE0"/>
    <w:rsid w:val="748EDD68"/>
    <w:rsid w:val="74939077"/>
    <w:rsid w:val="749659AA"/>
    <w:rsid w:val="74970D7E"/>
    <w:rsid w:val="74986A7B"/>
    <w:rsid w:val="74A857C8"/>
    <w:rsid w:val="74B17816"/>
    <w:rsid w:val="74BA0959"/>
    <w:rsid w:val="74BDD574"/>
    <w:rsid w:val="74C60E26"/>
    <w:rsid w:val="74CBD6AA"/>
    <w:rsid w:val="74DEBC1D"/>
    <w:rsid w:val="74E26127"/>
    <w:rsid w:val="74EA3762"/>
    <w:rsid w:val="74EF3D80"/>
    <w:rsid w:val="74F010DF"/>
    <w:rsid w:val="74F5AFFD"/>
    <w:rsid w:val="7500001F"/>
    <w:rsid w:val="750737AD"/>
    <w:rsid w:val="750A5AA1"/>
    <w:rsid w:val="7519FD55"/>
    <w:rsid w:val="7520A0A7"/>
    <w:rsid w:val="752CFE59"/>
    <w:rsid w:val="7537E78C"/>
    <w:rsid w:val="7564CF91"/>
    <w:rsid w:val="75794EF8"/>
    <w:rsid w:val="75912C8F"/>
    <w:rsid w:val="75A89E0E"/>
    <w:rsid w:val="75AB0A86"/>
    <w:rsid w:val="75ABD041"/>
    <w:rsid w:val="75B494D2"/>
    <w:rsid w:val="75BE1758"/>
    <w:rsid w:val="75C72906"/>
    <w:rsid w:val="75C756EA"/>
    <w:rsid w:val="75D4B601"/>
    <w:rsid w:val="75D5A673"/>
    <w:rsid w:val="75DCCB22"/>
    <w:rsid w:val="75DE0AB9"/>
    <w:rsid w:val="75E5D9A7"/>
    <w:rsid w:val="75F15ECF"/>
    <w:rsid w:val="760061BD"/>
    <w:rsid w:val="7612B8F0"/>
    <w:rsid w:val="761ACDFF"/>
    <w:rsid w:val="7621CD42"/>
    <w:rsid w:val="7625EC58"/>
    <w:rsid w:val="762AD41E"/>
    <w:rsid w:val="762DDCA7"/>
    <w:rsid w:val="7639B5CD"/>
    <w:rsid w:val="764C6CC1"/>
    <w:rsid w:val="76551009"/>
    <w:rsid w:val="7663BA83"/>
    <w:rsid w:val="7699469F"/>
    <w:rsid w:val="769D4123"/>
    <w:rsid w:val="76A89D29"/>
    <w:rsid w:val="76D48119"/>
    <w:rsid w:val="76D9A7D7"/>
    <w:rsid w:val="76E2F0EE"/>
    <w:rsid w:val="76E6642D"/>
    <w:rsid w:val="76EA834F"/>
    <w:rsid w:val="76EECA30"/>
    <w:rsid w:val="7700F731"/>
    <w:rsid w:val="7704212B"/>
    <w:rsid w:val="77062581"/>
    <w:rsid w:val="77073CBF"/>
    <w:rsid w:val="772A3A64"/>
    <w:rsid w:val="772B8D1C"/>
    <w:rsid w:val="773A120B"/>
    <w:rsid w:val="773CE26E"/>
    <w:rsid w:val="7764F5A0"/>
    <w:rsid w:val="77687EF0"/>
    <w:rsid w:val="776B7F71"/>
    <w:rsid w:val="7771009E"/>
    <w:rsid w:val="7774D9E4"/>
    <w:rsid w:val="7779EFA5"/>
    <w:rsid w:val="777CEAB1"/>
    <w:rsid w:val="777DEA6A"/>
    <w:rsid w:val="77884C78"/>
    <w:rsid w:val="778C488A"/>
    <w:rsid w:val="7795BECF"/>
    <w:rsid w:val="779C0918"/>
    <w:rsid w:val="77A9C2BB"/>
    <w:rsid w:val="77AF9C90"/>
    <w:rsid w:val="77C6A788"/>
    <w:rsid w:val="77D1DC75"/>
    <w:rsid w:val="77DDB7E8"/>
    <w:rsid w:val="77F5851B"/>
    <w:rsid w:val="77F66D03"/>
    <w:rsid w:val="780056A3"/>
    <w:rsid w:val="7803B387"/>
    <w:rsid w:val="780DA5FB"/>
    <w:rsid w:val="78119DE2"/>
    <w:rsid w:val="781A1C20"/>
    <w:rsid w:val="7823F53B"/>
    <w:rsid w:val="7824CA86"/>
    <w:rsid w:val="782E52E8"/>
    <w:rsid w:val="78366D12"/>
    <w:rsid w:val="78386E0C"/>
    <w:rsid w:val="7850349E"/>
    <w:rsid w:val="7862CC1D"/>
    <w:rsid w:val="786F54D9"/>
    <w:rsid w:val="788B3751"/>
    <w:rsid w:val="789076CC"/>
    <w:rsid w:val="78932EC4"/>
    <w:rsid w:val="78939DA7"/>
    <w:rsid w:val="789BD09A"/>
    <w:rsid w:val="78BA5C73"/>
    <w:rsid w:val="78BF6473"/>
    <w:rsid w:val="78C3234A"/>
    <w:rsid w:val="78CE6623"/>
    <w:rsid w:val="78CFC199"/>
    <w:rsid w:val="78DCAE4A"/>
    <w:rsid w:val="78E40E06"/>
    <w:rsid w:val="78F7639C"/>
    <w:rsid w:val="7915485E"/>
    <w:rsid w:val="79178F57"/>
    <w:rsid w:val="79194512"/>
    <w:rsid w:val="791AFFC7"/>
    <w:rsid w:val="792DAC64"/>
    <w:rsid w:val="793705FD"/>
    <w:rsid w:val="79491798"/>
    <w:rsid w:val="794C404E"/>
    <w:rsid w:val="7953CB7C"/>
    <w:rsid w:val="795491C9"/>
    <w:rsid w:val="795C0497"/>
    <w:rsid w:val="7964B166"/>
    <w:rsid w:val="796C1FF5"/>
    <w:rsid w:val="79762A13"/>
    <w:rsid w:val="7982F6D9"/>
    <w:rsid w:val="7985A751"/>
    <w:rsid w:val="798E5101"/>
    <w:rsid w:val="79977478"/>
    <w:rsid w:val="79B89940"/>
    <w:rsid w:val="79B9BBD7"/>
    <w:rsid w:val="79CF2926"/>
    <w:rsid w:val="79EFF118"/>
    <w:rsid w:val="79F23664"/>
    <w:rsid w:val="79F71424"/>
    <w:rsid w:val="79FF34E6"/>
    <w:rsid w:val="7A046441"/>
    <w:rsid w:val="7A0BB104"/>
    <w:rsid w:val="7A0C1D2E"/>
    <w:rsid w:val="7A0C2C4A"/>
    <w:rsid w:val="7A11385C"/>
    <w:rsid w:val="7A176D4F"/>
    <w:rsid w:val="7A1B3923"/>
    <w:rsid w:val="7A2B1F45"/>
    <w:rsid w:val="7A316A8D"/>
    <w:rsid w:val="7A3D1374"/>
    <w:rsid w:val="7A46AFD9"/>
    <w:rsid w:val="7A4C279C"/>
    <w:rsid w:val="7A5D97DD"/>
    <w:rsid w:val="7A5E0B6E"/>
    <w:rsid w:val="7A5EB802"/>
    <w:rsid w:val="7A68D882"/>
    <w:rsid w:val="7A7114D6"/>
    <w:rsid w:val="7A74E2E0"/>
    <w:rsid w:val="7A822C12"/>
    <w:rsid w:val="7A84CA9B"/>
    <w:rsid w:val="7A8B321A"/>
    <w:rsid w:val="7A8E9BC0"/>
    <w:rsid w:val="7A943285"/>
    <w:rsid w:val="7AA058E7"/>
    <w:rsid w:val="7AA228D6"/>
    <w:rsid w:val="7AA5DDF0"/>
    <w:rsid w:val="7AA8B3C6"/>
    <w:rsid w:val="7AAB3FDB"/>
    <w:rsid w:val="7AB1AB40"/>
    <w:rsid w:val="7ABA49F4"/>
    <w:rsid w:val="7ACA41A2"/>
    <w:rsid w:val="7AD4CB0A"/>
    <w:rsid w:val="7AF45503"/>
    <w:rsid w:val="7AF9930A"/>
    <w:rsid w:val="7B026A4C"/>
    <w:rsid w:val="7B04BF53"/>
    <w:rsid w:val="7B06DF12"/>
    <w:rsid w:val="7B08772F"/>
    <w:rsid w:val="7B0BCC7E"/>
    <w:rsid w:val="7B11E19C"/>
    <w:rsid w:val="7B15F092"/>
    <w:rsid w:val="7B1A51ED"/>
    <w:rsid w:val="7B2747C9"/>
    <w:rsid w:val="7B2ADDB4"/>
    <w:rsid w:val="7B364337"/>
    <w:rsid w:val="7B370B67"/>
    <w:rsid w:val="7B3AEA01"/>
    <w:rsid w:val="7B45BC20"/>
    <w:rsid w:val="7B4DD922"/>
    <w:rsid w:val="7B4E89CF"/>
    <w:rsid w:val="7B63235A"/>
    <w:rsid w:val="7B664555"/>
    <w:rsid w:val="7B6E03B3"/>
    <w:rsid w:val="7B7C5D48"/>
    <w:rsid w:val="7B7F5AD3"/>
    <w:rsid w:val="7B8E0E1A"/>
    <w:rsid w:val="7B96AF45"/>
    <w:rsid w:val="7BA2C0F0"/>
    <w:rsid w:val="7BA5F089"/>
    <w:rsid w:val="7BC2C008"/>
    <w:rsid w:val="7BC32AF0"/>
    <w:rsid w:val="7BC330DE"/>
    <w:rsid w:val="7BD2E218"/>
    <w:rsid w:val="7BE28389"/>
    <w:rsid w:val="7BE4A5D7"/>
    <w:rsid w:val="7BF39239"/>
    <w:rsid w:val="7C01D1D1"/>
    <w:rsid w:val="7C04B67E"/>
    <w:rsid w:val="7C0D0F2D"/>
    <w:rsid w:val="7C1A1FF6"/>
    <w:rsid w:val="7C1C7DED"/>
    <w:rsid w:val="7C1D965D"/>
    <w:rsid w:val="7C476086"/>
    <w:rsid w:val="7C50A0A3"/>
    <w:rsid w:val="7C640387"/>
    <w:rsid w:val="7C66DE0A"/>
    <w:rsid w:val="7C785C9D"/>
    <w:rsid w:val="7C879D66"/>
    <w:rsid w:val="7C88E112"/>
    <w:rsid w:val="7C8F4DE3"/>
    <w:rsid w:val="7C963954"/>
    <w:rsid w:val="7CB9248F"/>
    <w:rsid w:val="7CBB4F87"/>
    <w:rsid w:val="7CC46D28"/>
    <w:rsid w:val="7CD1BAB1"/>
    <w:rsid w:val="7CE8423A"/>
    <w:rsid w:val="7CEB8044"/>
    <w:rsid w:val="7CF4DCA3"/>
    <w:rsid w:val="7CF4E9C3"/>
    <w:rsid w:val="7D0D26E6"/>
    <w:rsid w:val="7D110434"/>
    <w:rsid w:val="7D1C6BE2"/>
    <w:rsid w:val="7D2703B1"/>
    <w:rsid w:val="7D3AFDEB"/>
    <w:rsid w:val="7D408B67"/>
    <w:rsid w:val="7D56C4FD"/>
    <w:rsid w:val="7D5C67CC"/>
    <w:rsid w:val="7D5D7ADC"/>
    <w:rsid w:val="7D5F8A00"/>
    <w:rsid w:val="7D628097"/>
    <w:rsid w:val="7D6825F5"/>
    <w:rsid w:val="7D6A04A7"/>
    <w:rsid w:val="7D72A239"/>
    <w:rsid w:val="7D86A8A7"/>
    <w:rsid w:val="7D8E2D87"/>
    <w:rsid w:val="7D92898E"/>
    <w:rsid w:val="7D94F093"/>
    <w:rsid w:val="7D983455"/>
    <w:rsid w:val="7DA043AB"/>
    <w:rsid w:val="7DA2F8FC"/>
    <w:rsid w:val="7DA54990"/>
    <w:rsid w:val="7DAFD566"/>
    <w:rsid w:val="7DB51DA0"/>
    <w:rsid w:val="7DB76693"/>
    <w:rsid w:val="7DB935C7"/>
    <w:rsid w:val="7DBB5F62"/>
    <w:rsid w:val="7DBEA982"/>
    <w:rsid w:val="7DC75272"/>
    <w:rsid w:val="7DD9592E"/>
    <w:rsid w:val="7DDB3665"/>
    <w:rsid w:val="7DE27942"/>
    <w:rsid w:val="7DE6C130"/>
    <w:rsid w:val="7DEBE91E"/>
    <w:rsid w:val="7DF0563C"/>
    <w:rsid w:val="7DF9744D"/>
    <w:rsid w:val="7DFBE3A8"/>
    <w:rsid w:val="7DFC96C8"/>
    <w:rsid w:val="7E03A947"/>
    <w:rsid w:val="7E0E1327"/>
    <w:rsid w:val="7E0FB806"/>
    <w:rsid w:val="7E142718"/>
    <w:rsid w:val="7E163F22"/>
    <w:rsid w:val="7E1B019B"/>
    <w:rsid w:val="7E287FFE"/>
    <w:rsid w:val="7E317E75"/>
    <w:rsid w:val="7E31A3F3"/>
    <w:rsid w:val="7E38D43D"/>
    <w:rsid w:val="7E401875"/>
    <w:rsid w:val="7E435960"/>
    <w:rsid w:val="7E4425DB"/>
    <w:rsid w:val="7E54D000"/>
    <w:rsid w:val="7E594029"/>
    <w:rsid w:val="7E7DF9AE"/>
    <w:rsid w:val="7E803957"/>
    <w:rsid w:val="7E9EF35F"/>
    <w:rsid w:val="7EABC588"/>
    <w:rsid w:val="7EAF7B9C"/>
    <w:rsid w:val="7EEC29AC"/>
    <w:rsid w:val="7EEDCBC5"/>
    <w:rsid w:val="7EF487BA"/>
    <w:rsid w:val="7EF9E3F0"/>
    <w:rsid w:val="7F1D3B6B"/>
    <w:rsid w:val="7F273388"/>
    <w:rsid w:val="7F27D6D9"/>
    <w:rsid w:val="7F3065F4"/>
    <w:rsid w:val="7F4BB0A3"/>
    <w:rsid w:val="7F4FD6CB"/>
    <w:rsid w:val="7F54B73A"/>
    <w:rsid w:val="7F5F9FA9"/>
    <w:rsid w:val="7F6F2CD0"/>
    <w:rsid w:val="7F774826"/>
    <w:rsid w:val="7F8027E4"/>
    <w:rsid w:val="7F80A6D0"/>
    <w:rsid w:val="7F83B51B"/>
    <w:rsid w:val="7F860322"/>
    <w:rsid w:val="7F8B20BC"/>
    <w:rsid w:val="7F8F8198"/>
    <w:rsid w:val="7F9DB36C"/>
    <w:rsid w:val="7FA4FDAF"/>
    <w:rsid w:val="7FC14D36"/>
    <w:rsid w:val="7FE58CD1"/>
    <w:rsid w:val="7FF64B1B"/>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2A24AF16"/>
  <w15:docId w15:val="{2E7D8CE8-8831-4A89-8FD8-D236833479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nl-NL"/>
    </w:rPr>
  </w:style>
  <w:style w:type="paragraph" w:styleId="Heading1">
    <w:name w:val="heading 1"/>
    <w:basedOn w:val="Normal"/>
    <w:next w:val="Text1"/>
    <w:link w:val="Heading1Char"/>
    <w:uiPriority w:val="9"/>
    <w:qFormat/>
    <w:pPr>
      <w:keepNext/>
      <w:numPr>
        <w:numId w:val="46"/>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46"/>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46"/>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46"/>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46"/>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46"/>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46"/>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4">
    <w:name w:val="List Bullet 4"/>
    <w:basedOn w:val="Normal"/>
    <w:rsid w:val="00542FCB"/>
    <w:pPr>
      <w:numPr>
        <w:numId w:val="2"/>
      </w:numPr>
      <w:tabs>
        <w:tab w:val="num" w:pos="360"/>
      </w:tabs>
      <w:ind w:left="0" w:firstLine="0"/>
    </w:pPr>
    <w:rPr>
      <w:rFonts w:eastAsia="Times New Roman"/>
      <w:lang w:eastAsia="de-DE"/>
    </w:rPr>
  </w:style>
  <w:style w:type="paragraph" w:styleId="ListNumber">
    <w:name w:val="List Number"/>
    <w:basedOn w:val="Normal"/>
    <w:rsid w:val="00542FCB"/>
    <w:pPr>
      <w:numPr>
        <w:numId w:val="6"/>
      </w:numPr>
    </w:pPr>
    <w:rPr>
      <w:rFonts w:eastAsia="Times New Roman"/>
      <w:lang w:eastAsia="de-DE"/>
    </w:rPr>
  </w:style>
  <w:style w:type="paragraph" w:customStyle="1" w:styleId="ListBullet1">
    <w:name w:val="List Bullet 1"/>
    <w:basedOn w:val="Normal"/>
    <w:rsid w:val="00542FCB"/>
    <w:pPr>
      <w:numPr>
        <w:numId w:val="1"/>
      </w:numPr>
    </w:pPr>
    <w:rPr>
      <w:rFonts w:eastAsia="Times New Roman"/>
      <w:lang w:eastAsia="de-DE"/>
    </w:rPr>
  </w:style>
  <w:style w:type="paragraph" w:customStyle="1" w:styleId="ListDash">
    <w:name w:val="List Dash"/>
    <w:basedOn w:val="Normal"/>
    <w:rsid w:val="00542FCB"/>
    <w:pPr>
      <w:numPr>
        <w:numId w:val="3"/>
      </w:numPr>
    </w:pPr>
    <w:rPr>
      <w:rFonts w:eastAsia="Times New Roman"/>
      <w:lang w:eastAsia="de-DE"/>
    </w:rPr>
  </w:style>
  <w:style w:type="paragraph" w:customStyle="1" w:styleId="ListDash1">
    <w:name w:val="List Dash 1"/>
    <w:basedOn w:val="Normal"/>
    <w:rsid w:val="00542FCB"/>
    <w:pPr>
      <w:numPr>
        <w:numId w:val="4"/>
      </w:numPr>
    </w:pPr>
    <w:rPr>
      <w:rFonts w:eastAsia="Times New Roman"/>
      <w:lang w:eastAsia="de-DE"/>
    </w:rPr>
  </w:style>
  <w:style w:type="paragraph" w:customStyle="1" w:styleId="ListDash2">
    <w:name w:val="List Dash 2"/>
    <w:basedOn w:val="Normal"/>
    <w:rsid w:val="00542FCB"/>
    <w:pPr>
      <w:numPr>
        <w:numId w:val="5"/>
      </w:numPr>
    </w:pPr>
    <w:rPr>
      <w:rFonts w:eastAsia="Times New Roman"/>
      <w:lang w:eastAsia="de-DE"/>
    </w:rPr>
  </w:style>
  <w:style w:type="paragraph" w:customStyle="1" w:styleId="ListNumberLevel2">
    <w:name w:val="List Number (Level 2)"/>
    <w:basedOn w:val="Normal"/>
    <w:rsid w:val="00542FCB"/>
    <w:pPr>
      <w:numPr>
        <w:ilvl w:val="1"/>
        <w:numId w:val="6"/>
      </w:numPr>
    </w:pPr>
    <w:rPr>
      <w:rFonts w:eastAsia="Times New Roman"/>
      <w:lang w:eastAsia="de-DE"/>
    </w:rPr>
  </w:style>
  <w:style w:type="paragraph" w:customStyle="1" w:styleId="ListNumberLevel3">
    <w:name w:val="List Number (Level 3)"/>
    <w:basedOn w:val="Normal"/>
    <w:rsid w:val="00542FCB"/>
    <w:pPr>
      <w:numPr>
        <w:ilvl w:val="2"/>
        <w:numId w:val="6"/>
      </w:numPr>
    </w:pPr>
    <w:rPr>
      <w:rFonts w:eastAsia="Times New Roman"/>
      <w:lang w:eastAsia="de-DE"/>
    </w:rPr>
  </w:style>
  <w:style w:type="paragraph" w:customStyle="1" w:styleId="ListNumberLevel4">
    <w:name w:val="List Number (Level 4)"/>
    <w:basedOn w:val="Normal"/>
    <w:rsid w:val="00542FCB"/>
    <w:pPr>
      <w:numPr>
        <w:ilvl w:val="3"/>
        <w:numId w:val="6"/>
      </w:numPr>
    </w:pPr>
    <w:rPr>
      <w:rFonts w:eastAsia="Times New Roman"/>
      <w:lang w:eastAsia="de-DE"/>
    </w:rPr>
  </w:style>
  <w:style w:type="table" w:styleId="TableGrid">
    <w:name w:val="Table Grid"/>
    <w:basedOn w:val="TableNormal"/>
    <w:rsid w:val="00542FCB"/>
    <w:pPr>
      <w:spacing w:before="120" w:after="120" w:line="240" w:lineRule="auto"/>
      <w:jc w:val="both"/>
    </w:pPr>
    <w:rPr>
      <w:rFonts w:ascii="Times New Roman" w:eastAsia="Times New Roman" w:hAnsi="Times New Roman" w:cs="Times New Roman"/>
      <w:sz w:val="20"/>
      <w:szCs w:val="20"/>
      <w:lang w:eastAsia="en-IE"/>
    </w:rPr>
    <w:tblPr/>
  </w:style>
  <w:style w:type="character" w:styleId="Hyperlink">
    <w:name w:val="Hyperlink"/>
    <w:uiPriority w:val="99"/>
    <w:rsid w:val="00542FCB"/>
    <w:rPr>
      <w:color w:val="0000FF"/>
      <w:u w:val="single"/>
    </w:rPr>
  </w:style>
  <w:style w:type="paragraph" w:styleId="ListBullet">
    <w:name w:val="List Bullet"/>
    <w:basedOn w:val="Normal"/>
    <w:rsid w:val="00542FCB"/>
    <w:pPr>
      <w:numPr>
        <w:numId w:val="7"/>
      </w:numPr>
    </w:pPr>
    <w:rPr>
      <w:rFonts w:eastAsia="Times New Roman"/>
      <w:lang w:eastAsia="en-GB"/>
    </w:rPr>
  </w:style>
  <w:style w:type="paragraph" w:styleId="ListBullet2">
    <w:name w:val="List Bullet 2"/>
    <w:basedOn w:val="Normal"/>
    <w:rsid w:val="00542FCB"/>
    <w:pPr>
      <w:numPr>
        <w:numId w:val="8"/>
      </w:numPr>
    </w:pPr>
    <w:rPr>
      <w:rFonts w:eastAsia="Times New Roman"/>
      <w:lang w:eastAsia="en-GB"/>
    </w:rPr>
  </w:style>
  <w:style w:type="paragraph" w:styleId="ListBullet3">
    <w:name w:val="List Bullet 3"/>
    <w:basedOn w:val="Normal"/>
    <w:rsid w:val="00542FCB"/>
    <w:pPr>
      <w:numPr>
        <w:numId w:val="9"/>
      </w:numPr>
    </w:pPr>
    <w:rPr>
      <w:rFonts w:eastAsia="Times New Roman"/>
      <w:lang w:eastAsia="en-GB"/>
    </w:rPr>
  </w:style>
  <w:style w:type="paragraph" w:styleId="ListNumber2">
    <w:name w:val="List Number 2"/>
    <w:basedOn w:val="Normal"/>
    <w:rsid w:val="00542FCB"/>
    <w:pPr>
      <w:numPr>
        <w:numId w:val="13"/>
      </w:numPr>
    </w:pPr>
    <w:rPr>
      <w:rFonts w:eastAsia="Times New Roman"/>
      <w:lang w:eastAsia="en-GB"/>
    </w:rPr>
  </w:style>
  <w:style w:type="paragraph" w:styleId="ListNumber3">
    <w:name w:val="List Number 3"/>
    <w:basedOn w:val="Normal"/>
    <w:rsid w:val="00542FCB"/>
    <w:pPr>
      <w:numPr>
        <w:numId w:val="14"/>
      </w:numPr>
    </w:pPr>
    <w:rPr>
      <w:rFonts w:eastAsia="Times New Roman"/>
      <w:lang w:eastAsia="en-GB"/>
    </w:rPr>
  </w:style>
  <w:style w:type="paragraph" w:styleId="ListNumber4">
    <w:name w:val="List Number 4"/>
    <w:basedOn w:val="Normal"/>
    <w:rsid w:val="00542FCB"/>
    <w:pPr>
      <w:numPr>
        <w:numId w:val="15"/>
      </w:numPr>
    </w:pPr>
    <w:rPr>
      <w:rFonts w:eastAsia="Times New Roman"/>
      <w:lang w:eastAsia="en-GB"/>
    </w:rPr>
  </w:style>
  <w:style w:type="paragraph" w:customStyle="1" w:styleId="ListDash3">
    <w:name w:val="List Dash 3"/>
    <w:basedOn w:val="Normal"/>
    <w:rsid w:val="00542FCB"/>
    <w:pPr>
      <w:numPr>
        <w:numId w:val="10"/>
      </w:numPr>
    </w:pPr>
    <w:rPr>
      <w:rFonts w:eastAsia="Times New Roman"/>
      <w:lang w:eastAsia="en-GB"/>
    </w:rPr>
  </w:style>
  <w:style w:type="paragraph" w:customStyle="1" w:styleId="ListDash4">
    <w:name w:val="List Dash 4"/>
    <w:basedOn w:val="Normal"/>
    <w:rsid w:val="00542FCB"/>
    <w:pPr>
      <w:numPr>
        <w:numId w:val="11"/>
      </w:numPr>
    </w:pPr>
    <w:rPr>
      <w:rFonts w:eastAsia="Times New Roman"/>
      <w:lang w:eastAsia="en-GB"/>
    </w:rPr>
  </w:style>
  <w:style w:type="paragraph" w:customStyle="1" w:styleId="ListNumber1">
    <w:name w:val="List Number 1"/>
    <w:basedOn w:val="Text1"/>
    <w:rsid w:val="00542FCB"/>
    <w:pPr>
      <w:numPr>
        <w:numId w:val="12"/>
      </w:numPr>
    </w:pPr>
    <w:rPr>
      <w:rFonts w:eastAsia="Times New Roman"/>
      <w:lang w:eastAsia="en-GB"/>
    </w:rPr>
  </w:style>
  <w:style w:type="paragraph" w:customStyle="1" w:styleId="ListNumber1Level2">
    <w:name w:val="List Number 1 (Level 2)"/>
    <w:basedOn w:val="Text1"/>
    <w:rsid w:val="00542FCB"/>
    <w:pPr>
      <w:numPr>
        <w:ilvl w:val="1"/>
        <w:numId w:val="12"/>
      </w:numPr>
    </w:pPr>
    <w:rPr>
      <w:rFonts w:eastAsia="Times New Roman"/>
      <w:lang w:eastAsia="en-GB"/>
    </w:rPr>
  </w:style>
  <w:style w:type="paragraph" w:customStyle="1" w:styleId="ListNumber2Level2">
    <w:name w:val="List Number 2 (Level 2)"/>
    <w:basedOn w:val="Text2"/>
    <w:rsid w:val="00542FCB"/>
    <w:pPr>
      <w:numPr>
        <w:ilvl w:val="1"/>
        <w:numId w:val="13"/>
      </w:numPr>
    </w:pPr>
    <w:rPr>
      <w:rFonts w:eastAsia="Times New Roman"/>
      <w:lang w:eastAsia="en-GB"/>
    </w:rPr>
  </w:style>
  <w:style w:type="paragraph" w:customStyle="1" w:styleId="ListNumber3Level2">
    <w:name w:val="List Number 3 (Level 2)"/>
    <w:basedOn w:val="Text3"/>
    <w:rsid w:val="00542FCB"/>
    <w:pPr>
      <w:numPr>
        <w:ilvl w:val="1"/>
        <w:numId w:val="14"/>
      </w:numPr>
    </w:pPr>
    <w:rPr>
      <w:rFonts w:eastAsia="Times New Roman"/>
      <w:lang w:eastAsia="en-GB"/>
    </w:rPr>
  </w:style>
  <w:style w:type="paragraph" w:customStyle="1" w:styleId="ListNumber4Level2">
    <w:name w:val="List Number 4 (Level 2)"/>
    <w:basedOn w:val="Text4"/>
    <w:rsid w:val="00542FCB"/>
    <w:pPr>
      <w:numPr>
        <w:ilvl w:val="1"/>
        <w:numId w:val="15"/>
      </w:numPr>
    </w:pPr>
    <w:rPr>
      <w:rFonts w:eastAsia="Times New Roman"/>
      <w:lang w:eastAsia="en-GB"/>
    </w:rPr>
  </w:style>
  <w:style w:type="paragraph" w:customStyle="1" w:styleId="ListNumber1Level3">
    <w:name w:val="List Number 1 (Level 3)"/>
    <w:basedOn w:val="Text1"/>
    <w:rsid w:val="00542FCB"/>
    <w:pPr>
      <w:numPr>
        <w:ilvl w:val="2"/>
        <w:numId w:val="12"/>
      </w:numPr>
    </w:pPr>
    <w:rPr>
      <w:rFonts w:eastAsia="Times New Roman"/>
      <w:lang w:eastAsia="en-GB"/>
    </w:rPr>
  </w:style>
  <w:style w:type="paragraph" w:customStyle="1" w:styleId="ListNumber2Level3">
    <w:name w:val="List Number 2 (Level 3)"/>
    <w:basedOn w:val="Text2"/>
    <w:rsid w:val="00542FCB"/>
    <w:pPr>
      <w:numPr>
        <w:ilvl w:val="2"/>
        <w:numId w:val="13"/>
      </w:numPr>
    </w:pPr>
    <w:rPr>
      <w:rFonts w:eastAsia="Times New Roman"/>
      <w:lang w:eastAsia="en-GB"/>
    </w:rPr>
  </w:style>
  <w:style w:type="paragraph" w:customStyle="1" w:styleId="ListNumber3Level3">
    <w:name w:val="List Number 3 (Level 3)"/>
    <w:basedOn w:val="Text3"/>
    <w:rsid w:val="00542FCB"/>
    <w:pPr>
      <w:numPr>
        <w:ilvl w:val="2"/>
        <w:numId w:val="14"/>
      </w:numPr>
    </w:pPr>
    <w:rPr>
      <w:rFonts w:eastAsia="Times New Roman"/>
      <w:lang w:eastAsia="en-GB"/>
    </w:rPr>
  </w:style>
  <w:style w:type="paragraph" w:customStyle="1" w:styleId="ListNumber4Level3">
    <w:name w:val="List Number 4 (Level 3)"/>
    <w:basedOn w:val="Text4"/>
    <w:rsid w:val="00542FCB"/>
    <w:pPr>
      <w:numPr>
        <w:ilvl w:val="2"/>
        <w:numId w:val="15"/>
      </w:numPr>
    </w:pPr>
    <w:rPr>
      <w:rFonts w:eastAsia="Times New Roman"/>
      <w:lang w:eastAsia="en-GB"/>
    </w:rPr>
  </w:style>
  <w:style w:type="paragraph" w:customStyle="1" w:styleId="ListNumber1Level4">
    <w:name w:val="List Number 1 (Level 4)"/>
    <w:basedOn w:val="Text1"/>
    <w:rsid w:val="00542FCB"/>
    <w:pPr>
      <w:numPr>
        <w:ilvl w:val="3"/>
        <w:numId w:val="12"/>
      </w:numPr>
    </w:pPr>
    <w:rPr>
      <w:rFonts w:eastAsia="Times New Roman"/>
      <w:lang w:eastAsia="en-GB"/>
    </w:rPr>
  </w:style>
  <w:style w:type="paragraph" w:customStyle="1" w:styleId="ListNumber2Level4">
    <w:name w:val="List Number 2 (Level 4)"/>
    <w:basedOn w:val="Text2"/>
    <w:rsid w:val="00542FCB"/>
    <w:pPr>
      <w:numPr>
        <w:ilvl w:val="3"/>
        <w:numId w:val="13"/>
      </w:numPr>
    </w:pPr>
    <w:rPr>
      <w:rFonts w:eastAsia="Times New Roman"/>
      <w:lang w:eastAsia="en-GB"/>
    </w:rPr>
  </w:style>
  <w:style w:type="paragraph" w:customStyle="1" w:styleId="ListNumber3Level4">
    <w:name w:val="List Number 3 (Level 4)"/>
    <w:basedOn w:val="Text3"/>
    <w:rsid w:val="00542FCB"/>
    <w:pPr>
      <w:numPr>
        <w:ilvl w:val="3"/>
        <w:numId w:val="14"/>
      </w:numPr>
    </w:pPr>
    <w:rPr>
      <w:rFonts w:eastAsia="Times New Roman"/>
      <w:lang w:eastAsia="en-GB"/>
    </w:rPr>
  </w:style>
  <w:style w:type="paragraph" w:customStyle="1" w:styleId="ListNumber4Level4">
    <w:name w:val="List Number 4 (Level 4)"/>
    <w:basedOn w:val="Text4"/>
    <w:rsid w:val="00542FCB"/>
    <w:pPr>
      <w:numPr>
        <w:ilvl w:val="3"/>
        <w:numId w:val="15"/>
      </w:numPr>
    </w:pPr>
    <w:rPr>
      <w:rFonts w:eastAsia="Times New Roman"/>
      <w:lang w:eastAsia="en-GB"/>
    </w:rPr>
  </w:style>
  <w:style w:type="paragraph" w:customStyle="1" w:styleId="Annexetitreacte">
    <w:name w:val="Annexe titre (acte)"/>
    <w:basedOn w:val="Normal"/>
    <w:next w:val="Normal"/>
    <w:rsid w:val="00542FCB"/>
    <w:pPr>
      <w:jc w:val="center"/>
    </w:pPr>
    <w:rPr>
      <w:rFonts w:eastAsia="Times New Roman"/>
      <w:b/>
      <w:u w:val="single"/>
      <w:lang w:eastAsia="en-GB"/>
    </w:rPr>
  </w:style>
  <w:style w:type="paragraph" w:customStyle="1" w:styleId="Annexetitreexposglobal">
    <w:name w:val="Annexe titre (exposé global)"/>
    <w:basedOn w:val="Normal"/>
    <w:next w:val="Normal"/>
    <w:rsid w:val="00542FCB"/>
    <w:pPr>
      <w:jc w:val="center"/>
    </w:pPr>
    <w:rPr>
      <w:rFonts w:eastAsia="Times New Roman"/>
      <w:b/>
      <w:u w:val="single"/>
      <w:lang w:eastAsia="en-GB"/>
    </w:rPr>
  </w:style>
  <w:style w:type="paragraph" w:customStyle="1" w:styleId="Annexetitrefichefinacte">
    <w:name w:val="Annexe titre (fiche fin. acte)"/>
    <w:basedOn w:val="Normal"/>
    <w:next w:val="Normal"/>
    <w:rsid w:val="00542FCB"/>
    <w:pPr>
      <w:jc w:val="center"/>
    </w:pPr>
    <w:rPr>
      <w:rFonts w:eastAsia="Times New Roman"/>
      <w:b/>
      <w:u w:val="single"/>
      <w:lang w:eastAsia="en-GB"/>
    </w:rPr>
  </w:style>
  <w:style w:type="paragraph" w:customStyle="1" w:styleId="Annexetitrefichefinglobale">
    <w:name w:val="Annexe titre (fiche fin. globale)"/>
    <w:basedOn w:val="Normal"/>
    <w:next w:val="Normal"/>
    <w:rsid w:val="00542FCB"/>
    <w:pPr>
      <w:jc w:val="center"/>
    </w:pPr>
    <w:rPr>
      <w:rFonts w:eastAsia="Times New Roman"/>
      <w:b/>
      <w:u w:val="single"/>
      <w:lang w:eastAsia="en-GB"/>
    </w:rPr>
  </w:style>
  <w:style w:type="paragraph" w:customStyle="1" w:styleId="Annexetitreglobale">
    <w:name w:val="Annexe titre (globale)"/>
    <w:basedOn w:val="Normal"/>
    <w:next w:val="Normal"/>
    <w:rsid w:val="00542FCB"/>
    <w:pPr>
      <w:jc w:val="center"/>
    </w:pPr>
    <w:rPr>
      <w:rFonts w:eastAsia="Times New Roman"/>
      <w:b/>
      <w:u w:val="single"/>
      <w:lang w:eastAsia="en-GB"/>
    </w:rPr>
  </w:style>
  <w:style w:type="paragraph" w:customStyle="1" w:styleId="Exposdesmotifstitreglobal">
    <w:name w:val="Exposé des motifs titre (global)"/>
    <w:basedOn w:val="Normal"/>
    <w:next w:val="Normal"/>
    <w:rsid w:val="00542FCB"/>
    <w:pPr>
      <w:jc w:val="center"/>
    </w:pPr>
    <w:rPr>
      <w:rFonts w:eastAsia="Times New Roman"/>
      <w:b/>
      <w:u w:val="single"/>
      <w:lang w:eastAsia="en-GB"/>
    </w:rPr>
  </w:style>
  <w:style w:type="paragraph" w:customStyle="1" w:styleId="Langueoriginale">
    <w:name w:val="Langue originale"/>
    <w:basedOn w:val="Normal"/>
    <w:rsid w:val="00542FCB"/>
    <w:pPr>
      <w:spacing w:before="360"/>
      <w:jc w:val="center"/>
    </w:pPr>
    <w:rPr>
      <w:rFonts w:eastAsia="Times New Roman"/>
      <w:caps/>
      <w:lang w:eastAsia="en-GB"/>
    </w:rPr>
  </w:style>
  <w:style w:type="paragraph" w:customStyle="1" w:styleId="Phrasefinale">
    <w:name w:val="Phrase finale"/>
    <w:basedOn w:val="Normal"/>
    <w:next w:val="Normal"/>
    <w:rsid w:val="00542FCB"/>
    <w:pPr>
      <w:spacing w:before="360" w:after="0"/>
      <w:jc w:val="center"/>
    </w:pPr>
    <w:rPr>
      <w:rFonts w:eastAsia="Times New Roman"/>
      <w:lang w:eastAsia="en-GB"/>
    </w:rPr>
  </w:style>
  <w:style w:type="paragraph" w:customStyle="1" w:styleId="Prliminairetitre">
    <w:name w:val="Préliminaire titre"/>
    <w:basedOn w:val="Normal"/>
    <w:next w:val="Normal"/>
    <w:rsid w:val="00542FCB"/>
    <w:pPr>
      <w:spacing w:before="360" w:after="360"/>
      <w:jc w:val="center"/>
    </w:pPr>
    <w:rPr>
      <w:rFonts w:eastAsia="Times New Roman"/>
      <w:b/>
      <w:lang w:eastAsia="en-GB"/>
    </w:rPr>
  </w:style>
  <w:style w:type="paragraph" w:customStyle="1" w:styleId="Prliminairetype">
    <w:name w:val="Préliminaire type"/>
    <w:basedOn w:val="Normal"/>
    <w:next w:val="Normal"/>
    <w:rsid w:val="00542FCB"/>
    <w:pPr>
      <w:spacing w:before="360" w:after="0"/>
      <w:jc w:val="center"/>
    </w:pPr>
    <w:rPr>
      <w:rFonts w:eastAsia="Times New Roman"/>
      <w:b/>
      <w:lang w:eastAsia="en-GB"/>
    </w:rPr>
  </w:style>
  <w:style w:type="paragraph" w:customStyle="1" w:styleId="Rfrenceinstitutionelle">
    <w:name w:val="Référence institutionelle"/>
    <w:basedOn w:val="Normal"/>
    <w:next w:val="Statut"/>
    <w:rsid w:val="00542FCB"/>
    <w:pPr>
      <w:spacing w:before="0" w:after="240"/>
      <w:ind w:left="5103"/>
      <w:jc w:val="left"/>
    </w:pPr>
    <w:rPr>
      <w:rFonts w:eastAsia="Times New Roman"/>
      <w:lang w:eastAsia="en-GB"/>
    </w:rPr>
  </w:style>
  <w:style w:type="paragraph" w:customStyle="1" w:styleId="Rfrenceinterinstitutionelle">
    <w:name w:val="Référence interinstitutionelle"/>
    <w:basedOn w:val="Normal"/>
    <w:next w:val="Statut"/>
    <w:rsid w:val="00542FCB"/>
    <w:pPr>
      <w:spacing w:before="0" w:after="0"/>
      <w:ind w:left="5103"/>
      <w:jc w:val="left"/>
    </w:pPr>
    <w:rPr>
      <w:rFonts w:eastAsia="Times New Roman"/>
      <w:lang w:eastAsia="en-GB"/>
    </w:rPr>
  </w:style>
  <w:style w:type="paragraph" w:customStyle="1" w:styleId="Rfrenceinterinstitutionelleprliminaire">
    <w:name w:val="Référence interinstitutionelle (préliminaire)"/>
    <w:basedOn w:val="Normal"/>
    <w:next w:val="Normal"/>
    <w:rsid w:val="00542FCB"/>
    <w:pPr>
      <w:spacing w:before="0" w:after="0"/>
      <w:ind w:left="5103"/>
      <w:jc w:val="left"/>
    </w:pPr>
    <w:rPr>
      <w:rFonts w:eastAsia="Times New Roman"/>
      <w:lang w:eastAsia="en-GB"/>
    </w:rPr>
  </w:style>
  <w:style w:type="paragraph" w:customStyle="1" w:styleId="Sous-titreobjetprliminaire">
    <w:name w:val="Sous-titre objet (préliminaire)"/>
    <w:basedOn w:val="Normal"/>
    <w:rsid w:val="00542FCB"/>
    <w:pPr>
      <w:spacing w:before="0" w:after="0"/>
      <w:jc w:val="center"/>
    </w:pPr>
    <w:rPr>
      <w:rFonts w:eastAsia="Times New Roman"/>
      <w:b/>
      <w:lang w:eastAsia="en-GB"/>
    </w:rPr>
  </w:style>
  <w:style w:type="paragraph" w:customStyle="1" w:styleId="Statutprliminaire">
    <w:name w:val="Statut (préliminaire)"/>
    <w:basedOn w:val="Normal"/>
    <w:next w:val="Normal"/>
    <w:rsid w:val="00542FCB"/>
    <w:pPr>
      <w:spacing w:before="360" w:after="0"/>
      <w:jc w:val="center"/>
    </w:pPr>
    <w:rPr>
      <w:rFonts w:eastAsia="Times New Roman"/>
      <w:lang w:eastAsia="en-GB"/>
    </w:rPr>
  </w:style>
  <w:style w:type="paragraph" w:customStyle="1" w:styleId="Titreobjetprliminaire">
    <w:name w:val="Titre objet (préliminaire)"/>
    <w:basedOn w:val="Normal"/>
    <w:next w:val="Normal"/>
    <w:rsid w:val="00542FCB"/>
    <w:pPr>
      <w:spacing w:before="360" w:after="360"/>
      <w:jc w:val="center"/>
    </w:pPr>
    <w:rPr>
      <w:rFonts w:eastAsia="Times New Roman"/>
      <w:b/>
      <w:lang w:eastAsia="en-GB"/>
    </w:rPr>
  </w:style>
  <w:style w:type="paragraph" w:customStyle="1" w:styleId="Typedudocumentprliminaire">
    <w:name w:val="Type du document (préliminaire)"/>
    <w:basedOn w:val="Normal"/>
    <w:next w:val="Normal"/>
    <w:rsid w:val="00542FCB"/>
    <w:pPr>
      <w:spacing w:before="360" w:after="0"/>
      <w:jc w:val="center"/>
    </w:pPr>
    <w:rPr>
      <w:rFonts w:eastAsia="Times New Roman"/>
      <w:b/>
      <w:lang w:eastAsia="en-GB"/>
    </w:rPr>
  </w:style>
  <w:style w:type="paragraph" w:customStyle="1" w:styleId="Fichefinancirestandardtitre">
    <w:name w:val="Fiche financière (standard) titre"/>
    <w:basedOn w:val="Normal"/>
    <w:next w:val="Normal"/>
    <w:rsid w:val="00542FCB"/>
    <w:pPr>
      <w:jc w:val="center"/>
    </w:pPr>
    <w:rPr>
      <w:rFonts w:eastAsia="Times New Roman"/>
      <w:b/>
      <w:u w:val="single"/>
      <w:lang w:eastAsia="en-GB"/>
    </w:rPr>
  </w:style>
  <w:style w:type="paragraph" w:customStyle="1" w:styleId="Fichefinancirestandardtitreacte">
    <w:name w:val="Fiche financière (standard) titre (acte)"/>
    <w:basedOn w:val="Normal"/>
    <w:next w:val="Normal"/>
    <w:rsid w:val="00542FCB"/>
    <w:pPr>
      <w:jc w:val="center"/>
    </w:pPr>
    <w:rPr>
      <w:rFonts w:eastAsia="Times New Roman"/>
      <w:b/>
      <w:u w:val="single"/>
      <w:lang w:eastAsia="en-GB"/>
    </w:rPr>
  </w:style>
  <w:style w:type="paragraph" w:customStyle="1" w:styleId="Fichefinanciretravailtitre">
    <w:name w:val="Fiche financière (travail) titre"/>
    <w:basedOn w:val="Normal"/>
    <w:next w:val="Normal"/>
    <w:rsid w:val="00542FCB"/>
    <w:pPr>
      <w:jc w:val="center"/>
    </w:pPr>
    <w:rPr>
      <w:rFonts w:eastAsia="Times New Roman"/>
      <w:b/>
      <w:u w:val="single"/>
      <w:lang w:eastAsia="en-GB"/>
    </w:rPr>
  </w:style>
  <w:style w:type="paragraph" w:customStyle="1" w:styleId="Fichefinanciretravailtitreacte">
    <w:name w:val="Fiche financière (travail) titre (acte)"/>
    <w:basedOn w:val="Normal"/>
    <w:next w:val="Normal"/>
    <w:rsid w:val="00542FCB"/>
    <w:pPr>
      <w:jc w:val="center"/>
    </w:pPr>
    <w:rPr>
      <w:rFonts w:eastAsia="Times New Roman"/>
      <w:b/>
      <w:u w:val="single"/>
      <w:lang w:eastAsia="en-GB"/>
    </w:rPr>
  </w:style>
  <w:style w:type="paragraph" w:customStyle="1" w:styleId="Fichefinancireattributiontitre">
    <w:name w:val="Fiche financière (attribution) titre"/>
    <w:basedOn w:val="Normal"/>
    <w:next w:val="Normal"/>
    <w:rsid w:val="00542FCB"/>
    <w:pPr>
      <w:jc w:val="center"/>
    </w:pPr>
    <w:rPr>
      <w:rFonts w:eastAsia="Times New Roman"/>
      <w:b/>
      <w:u w:val="single"/>
      <w:lang w:eastAsia="en-GB"/>
    </w:rPr>
  </w:style>
  <w:style w:type="paragraph" w:customStyle="1" w:styleId="Fichefinancireattributiontitreacte">
    <w:name w:val="Fiche financière (attribution) titre (acte)"/>
    <w:basedOn w:val="Normal"/>
    <w:next w:val="Normal"/>
    <w:rsid w:val="00542FCB"/>
    <w:pPr>
      <w:jc w:val="center"/>
    </w:pPr>
    <w:rPr>
      <w:rFonts w:eastAsia="Times New Roman"/>
      <w:b/>
      <w:u w:val="single"/>
      <w:lang w:eastAsia="en-GB"/>
    </w:rPr>
  </w:style>
  <w:style w:type="character" w:styleId="CommentReference">
    <w:name w:val="annotation reference"/>
    <w:rsid w:val="00542FCB"/>
    <w:rPr>
      <w:rFonts w:cs="Times New Roman"/>
      <w:sz w:val="16"/>
      <w:szCs w:val="16"/>
    </w:rPr>
  </w:style>
  <w:style w:type="paragraph" w:styleId="CommentText">
    <w:name w:val="annotation text"/>
    <w:basedOn w:val="Normal"/>
    <w:link w:val="CommentTextChar"/>
    <w:rsid w:val="00542FCB"/>
    <w:rPr>
      <w:rFonts w:eastAsia="Times New Roman"/>
      <w:sz w:val="20"/>
      <w:szCs w:val="20"/>
      <w:lang w:eastAsia="en-GB"/>
    </w:rPr>
  </w:style>
  <w:style w:type="character" w:customStyle="1" w:styleId="CommentTextChar">
    <w:name w:val="Comment Text Char"/>
    <w:basedOn w:val="DefaultParagraphFont"/>
    <w:link w:val="CommentText"/>
    <w:rsid w:val="00542FCB"/>
    <w:rPr>
      <w:rFonts w:ascii="Times New Roman" w:eastAsia="Times New Roman" w:hAnsi="Times New Roman" w:cs="Times New Roman"/>
      <w:sz w:val="20"/>
      <w:szCs w:val="20"/>
      <w:lang w:val="nl-NL" w:eastAsia="en-GB"/>
    </w:rPr>
  </w:style>
  <w:style w:type="paragraph" w:styleId="CommentSubject">
    <w:name w:val="annotation subject"/>
    <w:basedOn w:val="CommentText"/>
    <w:next w:val="CommentText"/>
    <w:link w:val="CommentSubjectChar"/>
    <w:rsid w:val="00542FCB"/>
    <w:rPr>
      <w:b/>
      <w:bCs/>
    </w:rPr>
  </w:style>
  <w:style w:type="character" w:customStyle="1" w:styleId="CommentSubjectChar">
    <w:name w:val="Comment Subject Char"/>
    <w:basedOn w:val="CommentTextChar"/>
    <w:link w:val="CommentSubject"/>
    <w:rsid w:val="00542FCB"/>
    <w:rPr>
      <w:rFonts w:ascii="Times New Roman" w:eastAsia="Times New Roman" w:hAnsi="Times New Roman" w:cs="Times New Roman"/>
      <w:b/>
      <w:bCs/>
      <w:sz w:val="20"/>
      <w:szCs w:val="20"/>
      <w:lang w:val="nl-NL" w:eastAsia="en-GB"/>
    </w:rPr>
  </w:style>
  <w:style w:type="paragraph" w:styleId="BalloonText">
    <w:name w:val="Balloon Text"/>
    <w:basedOn w:val="Normal"/>
    <w:link w:val="BalloonTextChar"/>
    <w:rsid w:val="00542FCB"/>
    <w:rPr>
      <w:rFonts w:ascii="Tahoma" w:eastAsia="Times New Roman" w:hAnsi="Tahoma" w:cs="Tahoma"/>
      <w:sz w:val="16"/>
      <w:szCs w:val="16"/>
      <w:lang w:eastAsia="en-GB"/>
    </w:rPr>
  </w:style>
  <w:style w:type="character" w:customStyle="1" w:styleId="BalloonTextChar">
    <w:name w:val="Balloon Text Char"/>
    <w:basedOn w:val="DefaultParagraphFont"/>
    <w:link w:val="BalloonText"/>
    <w:rsid w:val="00542FCB"/>
    <w:rPr>
      <w:rFonts w:ascii="Tahoma" w:eastAsia="Times New Roman" w:hAnsi="Tahoma" w:cs="Tahoma"/>
      <w:sz w:val="16"/>
      <w:szCs w:val="16"/>
      <w:lang w:val="nl-NL" w:eastAsia="en-GB"/>
    </w:rPr>
  </w:style>
  <w:style w:type="paragraph" w:styleId="Caption">
    <w:name w:val="caption"/>
    <w:basedOn w:val="Normal"/>
    <w:next w:val="Normal"/>
    <w:qFormat/>
    <w:rsid w:val="00542FCB"/>
    <w:rPr>
      <w:rFonts w:eastAsia="Times New Roman"/>
      <w:b/>
      <w:bCs/>
      <w:sz w:val="20"/>
      <w:szCs w:val="20"/>
      <w:lang w:eastAsia="en-GB"/>
    </w:rPr>
  </w:style>
  <w:style w:type="paragraph" w:styleId="TableofFigures">
    <w:name w:val="table of figures"/>
    <w:basedOn w:val="Normal"/>
    <w:next w:val="Normal"/>
    <w:rsid w:val="00542FCB"/>
    <w:rPr>
      <w:rFonts w:eastAsia="Times New Roman"/>
      <w:lang w:eastAsia="en-GB"/>
    </w:rPr>
  </w:style>
  <w:style w:type="character" w:styleId="PageNumber">
    <w:name w:val="page number"/>
    <w:rsid w:val="00542FCB"/>
  </w:style>
  <w:style w:type="character" w:customStyle="1" w:styleId="tw4winMark">
    <w:name w:val="tw4winMark"/>
    <w:rsid w:val="00542FCB"/>
    <w:rPr>
      <w:vanish/>
      <w:color w:val="800080"/>
      <w:vertAlign w:val="subscript"/>
    </w:rPr>
  </w:style>
  <w:style w:type="character" w:styleId="FollowedHyperlink">
    <w:name w:val="FollowedHyperlink"/>
    <w:rsid w:val="00542FCB"/>
    <w:rPr>
      <w:color w:val="800080"/>
      <w:u w:val="single"/>
    </w:rPr>
  </w:style>
  <w:style w:type="paragraph" w:customStyle="1" w:styleId="Sous-titreobjet">
    <w:name w:val="Sous-titre objet"/>
    <w:basedOn w:val="Normal"/>
    <w:rsid w:val="00542FCB"/>
    <w:pPr>
      <w:spacing w:before="0" w:after="0"/>
      <w:jc w:val="center"/>
    </w:pPr>
    <w:rPr>
      <w:rFonts w:eastAsia="Times New Roman"/>
      <w:b/>
      <w:lang w:eastAsia="en-GB"/>
    </w:rPr>
  </w:style>
  <w:style w:type="paragraph" w:customStyle="1" w:styleId="Sous-titreobjetPagedecouverture">
    <w:name w:val="Sous-titre objet (Page de couverture)"/>
    <w:basedOn w:val="Sous-titreobjet"/>
    <w:rsid w:val="00542FCB"/>
  </w:style>
  <w:style w:type="paragraph" w:styleId="Revision">
    <w:name w:val="Revision"/>
    <w:hidden/>
    <w:uiPriority w:val="99"/>
    <w:semiHidden/>
    <w:rsid w:val="00542FCB"/>
    <w:rPr>
      <w:rFonts w:ascii="Calibri" w:eastAsia="Calibri" w:hAnsi="Calibri" w:cs="Times New Roman"/>
      <w:sz w:val="24"/>
      <w:lang w:eastAsia="en-GB"/>
    </w:rPr>
  </w:style>
  <w:style w:type="paragraph" w:customStyle="1" w:styleId="FooterCoverPage">
    <w:name w:val="Footer Cover Page"/>
    <w:basedOn w:val="Normal"/>
    <w:link w:val="FooterCoverPageChar"/>
    <w:rsid w:val="00542FCB"/>
    <w:pPr>
      <w:tabs>
        <w:tab w:val="center" w:pos="4535"/>
        <w:tab w:val="right" w:pos="9071"/>
        <w:tab w:val="right" w:pos="9921"/>
      </w:tabs>
      <w:spacing w:before="360" w:after="0"/>
      <w:ind w:left="-850" w:right="-850"/>
      <w:jc w:val="left"/>
    </w:pPr>
    <w:rPr>
      <w:rFonts w:eastAsia="Calibri"/>
      <w:lang w:eastAsia="en-GB"/>
    </w:rPr>
  </w:style>
  <w:style w:type="character" w:customStyle="1" w:styleId="TOCHeadingChar">
    <w:name w:val="TOC Heading Char"/>
    <w:uiPriority w:val="39"/>
    <w:rsid w:val="00542FCB"/>
    <w:rPr>
      <w:rFonts w:ascii="Times New Roman" w:hAnsi="Times New Roman" w:cs="Times New Roman"/>
      <w:b/>
      <w:sz w:val="28"/>
      <w:lang w:val="nl-NL"/>
    </w:rPr>
  </w:style>
  <w:style w:type="character" w:customStyle="1" w:styleId="FooterCoverPageChar">
    <w:name w:val="Footer Cover Page Char"/>
    <w:link w:val="FooterCoverPage"/>
    <w:rsid w:val="00542FCB"/>
    <w:rPr>
      <w:rFonts w:ascii="Times New Roman" w:eastAsia="Calibri" w:hAnsi="Times New Roman" w:cs="Times New Roman"/>
      <w:sz w:val="24"/>
      <w:lang w:val="nl-NL" w:eastAsia="en-GB"/>
    </w:rPr>
  </w:style>
  <w:style w:type="paragraph" w:customStyle="1" w:styleId="HeaderCoverPage">
    <w:name w:val="Header Cover Page"/>
    <w:basedOn w:val="Normal"/>
    <w:link w:val="HeaderCoverPageChar"/>
    <w:rsid w:val="00542FCB"/>
    <w:pPr>
      <w:tabs>
        <w:tab w:val="center" w:pos="4535"/>
        <w:tab w:val="right" w:pos="9071"/>
      </w:tabs>
      <w:spacing w:before="0"/>
    </w:pPr>
    <w:rPr>
      <w:rFonts w:eastAsia="Calibri"/>
      <w:lang w:eastAsia="en-GB"/>
    </w:rPr>
  </w:style>
  <w:style w:type="character" w:customStyle="1" w:styleId="HeaderCoverPageChar">
    <w:name w:val="Header Cover Page Char"/>
    <w:link w:val="HeaderCoverPage"/>
    <w:rsid w:val="00542FCB"/>
    <w:rPr>
      <w:rFonts w:ascii="Times New Roman" w:eastAsia="Calibri" w:hAnsi="Times New Roman" w:cs="Times New Roman"/>
      <w:sz w:val="24"/>
      <w:lang w:val="nl-NL" w:eastAsia="en-GB"/>
    </w:rPr>
  </w:style>
  <w:style w:type="character" w:customStyle="1" w:styleId="FooterSensitivityChar">
    <w:name w:val="Footer Sensitivity Char"/>
    <w:rsid w:val="00542FCB"/>
    <w:rPr>
      <w:rFonts w:ascii="Times New Roman" w:hAnsi="Times New Roman" w:cs="Times New Roman"/>
      <w:b/>
      <w:sz w:val="32"/>
      <w:lang w:val="nl-NL"/>
    </w:rPr>
  </w:style>
  <w:style w:type="character" w:customStyle="1" w:styleId="HeaderSensitivityChar">
    <w:name w:val="Header Sensitivity Char"/>
    <w:rsid w:val="00542FCB"/>
    <w:rPr>
      <w:rFonts w:ascii="Times New Roman" w:hAnsi="Times New Roman" w:cs="Times New Roman"/>
      <w:b/>
      <w:sz w:val="32"/>
      <w:lang w:val="nl-NL"/>
    </w:rPr>
  </w:style>
  <w:style w:type="character" w:customStyle="1" w:styleId="HeaderSensitivityRightChar">
    <w:name w:val="Header Sensitivity Right Char"/>
    <w:rsid w:val="00542FCB"/>
    <w:rPr>
      <w:rFonts w:ascii="Times New Roman" w:hAnsi="Times New Roman" w:cs="Times New Roman"/>
      <w:sz w:val="28"/>
      <w:lang w:val="nl-NL"/>
    </w:rPr>
  </w:style>
  <w:style w:type="paragraph" w:customStyle="1" w:styleId="LegalNumPar">
    <w:name w:val="LegalNumPar"/>
    <w:basedOn w:val="Normal"/>
    <w:rsid w:val="00542FCB"/>
    <w:pPr>
      <w:numPr>
        <w:numId w:val="16"/>
      </w:numPr>
      <w:spacing w:line="360" w:lineRule="auto"/>
    </w:pPr>
    <w:rPr>
      <w:rFonts w:eastAsia="Times New Roman"/>
      <w:lang w:eastAsia="en-GB"/>
    </w:rPr>
  </w:style>
  <w:style w:type="paragraph" w:customStyle="1" w:styleId="LegalNumPar2">
    <w:name w:val="LegalNumPar2"/>
    <w:basedOn w:val="Normal"/>
    <w:rsid w:val="00542FCB"/>
    <w:pPr>
      <w:spacing w:line="360" w:lineRule="auto"/>
      <w:ind w:left="953" w:hanging="477"/>
    </w:pPr>
    <w:rPr>
      <w:rFonts w:eastAsia="Times New Roman"/>
      <w:lang w:eastAsia="en-GB"/>
    </w:rPr>
  </w:style>
  <w:style w:type="paragraph" w:customStyle="1" w:styleId="LegalNumPar3">
    <w:name w:val="LegalNumPar3"/>
    <w:basedOn w:val="Normal"/>
    <w:rsid w:val="00542FCB"/>
    <w:pPr>
      <w:spacing w:line="360" w:lineRule="auto"/>
      <w:ind w:left="1429" w:hanging="476"/>
    </w:pPr>
    <w:rPr>
      <w:rFonts w:eastAsia="Times New Roman"/>
      <w:lang w:eastAsia="en-GB"/>
    </w:rPr>
  </w:style>
  <w:style w:type="paragraph" w:styleId="ListParagraph">
    <w:name w:val="List Paragraph"/>
    <w:basedOn w:val="Normal"/>
    <w:uiPriority w:val="34"/>
    <w:qFormat/>
    <w:rsid w:val="00542FCB"/>
    <w:pPr>
      <w:ind w:left="720"/>
      <w:contextualSpacing/>
    </w:pPr>
    <w:rPr>
      <w:rFonts w:eastAsia="Times New Roman"/>
      <w:lang w:eastAsia="en-GB"/>
    </w:rPr>
  </w:style>
  <w:style w:type="character" w:customStyle="1" w:styleId="UnresolvedMention1">
    <w:name w:val="Unresolved Mention1"/>
    <w:basedOn w:val="DefaultParagraphFont"/>
    <w:uiPriority w:val="99"/>
    <w:semiHidden/>
    <w:unhideWhenUsed/>
    <w:rsid w:val="00542FCB"/>
    <w:rPr>
      <w:color w:val="605E5C"/>
      <w:shd w:val="clear" w:color="auto" w:fill="E1DFDD"/>
    </w:rPr>
  </w:style>
  <w:style w:type="character" w:styleId="Strong">
    <w:name w:val="Strong"/>
    <w:basedOn w:val="DefaultParagraphFont"/>
    <w:qFormat/>
    <w:rsid w:val="00542FCB"/>
    <w:rPr>
      <w:b/>
      <w:bCs/>
    </w:rPr>
  </w:style>
  <w:style w:type="character" w:styleId="Emphasis">
    <w:name w:val="Emphasis"/>
    <w:basedOn w:val="DefaultParagraphFont"/>
    <w:qFormat/>
    <w:rsid w:val="00542FCB"/>
    <w:rPr>
      <w:i/>
      <w:iCs/>
    </w:rPr>
  </w:style>
  <w:style w:type="character" w:customStyle="1" w:styleId="Mention1">
    <w:name w:val="Mention1"/>
    <w:basedOn w:val="DefaultParagraphFont"/>
    <w:uiPriority w:val="99"/>
    <w:unhideWhenUsed/>
    <w:rsid w:val="00542FCB"/>
    <w:rPr>
      <w:color w:val="2B579A"/>
      <w:shd w:val="clear" w:color="auto" w:fill="E1DFDD"/>
    </w:rPr>
  </w:style>
  <w:style w:type="character" w:customStyle="1" w:styleId="normaltextrun">
    <w:name w:val="normaltextrun"/>
    <w:basedOn w:val="DefaultParagraphFont"/>
    <w:rsid w:val="00542FCB"/>
  </w:style>
  <w:style w:type="character" w:customStyle="1" w:styleId="eop">
    <w:name w:val="eop"/>
    <w:basedOn w:val="DefaultParagraphFont"/>
    <w:rsid w:val="00542FCB"/>
  </w:style>
  <w:style w:type="paragraph" w:customStyle="1" w:styleId="CharCharChar1">
    <w:name w:val="Char Char Char1"/>
    <w:basedOn w:val="Normal"/>
    <w:link w:val="FootnoteReference"/>
    <w:uiPriority w:val="21"/>
    <w:rsid w:val="004A389E"/>
    <w:pPr>
      <w:spacing w:before="0" w:after="160" w:line="240" w:lineRule="exact"/>
    </w:pPr>
    <w:rPr>
      <w:rFonts w:asciiTheme="minorHAnsi" w:hAnsiTheme="minorHAnsi" w:cstheme="minorBidi"/>
      <w:sz w:val="22"/>
      <w:vertAlign w:val="superscript"/>
    </w:rPr>
  </w:style>
  <w:style w:type="paragraph" w:customStyle="1" w:styleId="DefaultText">
    <w:name w:val="Default Text"/>
    <w:basedOn w:val="Normal"/>
    <w:link w:val="DefaultTextChar"/>
    <w:qFormat/>
    <w:rsid w:val="00B36073"/>
    <w:pPr>
      <w:spacing w:before="0" w:after="0" w:line="280" w:lineRule="atLeast"/>
      <w:jc w:val="left"/>
    </w:pPr>
    <w:rPr>
      <w:rFonts w:eastAsia="Arial"/>
      <w:szCs w:val="24"/>
      <w:lang w:eastAsia="nl-NL"/>
    </w:rPr>
  </w:style>
  <w:style w:type="character" w:customStyle="1" w:styleId="DefaultTextChar">
    <w:name w:val="Default Text Char"/>
    <w:basedOn w:val="DefaultParagraphFont"/>
    <w:link w:val="DefaultText"/>
    <w:qFormat/>
    <w:rsid w:val="00B36073"/>
    <w:rPr>
      <w:rFonts w:ascii="Times New Roman" w:eastAsia="Arial" w:hAnsi="Times New Roman" w:cs="Times New Roman"/>
      <w:sz w:val="24"/>
      <w:szCs w:val="24"/>
      <w:lang w:val="nl-NL" w:eastAsia="nl-NL"/>
    </w:rPr>
  </w:style>
  <w:style w:type="paragraph" w:customStyle="1" w:styleId="TextRMC">
    <w:name w:val="Text (RMC)"/>
    <w:link w:val="TextRMCChar"/>
    <w:qFormat/>
    <w:rsid w:val="00E66A9A"/>
    <w:pPr>
      <w:spacing w:before="120" w:after="120" w:line="288" w:lineRule="auto"/>
      <w:jc w:val="both"/>
    </w:pPr>
    <w:rPr>
      <w:rFonts w:ascii="Verdana" w:hAnsi="Verdana"/>
      <w:sz w:val="18"/>
      <w:szCs w:val="18"/>
    </w:rPr>
  </w:style>
  <w:style w:type="character" w:customStyle="1" w:styleId="TextRMCChar">
    <w:name w:val="Text (RMC) Char"/>
    <w:basedOn w:val="DefaultParagraphFont"/>
    <w:link w:val="TextRMC"/>
    <w:qFormat/>
    <w:rsid w:val="00E66A9A"/>
    <w:rPr>
      <w:rFonts w:ascii="Verdana" w:hAnsi="Verdana"/>
      <w:sz w:val="18"/>
      <w:szCs w:val="18"/>
      <w:lang w:val="nl-NL"/>
    </w:rPr>
  </w:style>
  <w:style w:type="character" w:customStyle="1" w:styleId="findhit">
    <w:name w:val="findhit"/>
    <w:basedOn w:val="DefaultParagraphFont"/>
    <w:rsid w:val="0047079A"/>
  </w:style>
  <w:style w:type="paragraph" w:customStyle="1" w:styleId="oj-normal">
    <w:name w:val="oj-normal"/>
    <w:basedOn w:val="Normal"/>
    <w:rsid w:val="00A13871"/>
    <w:pPr>
      <w:spacing w:before="100" w:beforeAutospacing="1" w:after="100" w:afterAutospacing="1"/>
      <w:jc w:val="left"/>
    </w:pPr>
    <w:rPr>
      <w:rFonts w:eastAsia="Times New Roman"/>
      <w:szCs w:val="24"/>
      <w:lang w:eastAsia="en-IE"/>
    </w:rPr>
  </w:style>
  <w:style w:type="paragraph" w:customStyle="1" w:styleId="paragraph">
    <w:name w:val="paragraph"/>
    <w:basedOn w:val="Normal"/>
    <w:rsid w:val="0051718E"/>
    <w:pPr>
      <w:spacing w:before="100" w:beforeAutospacing="1" w:after="100" w:afterAutospacing="1"/>
      <w:jc w:val="left"/>
    </w:pPr>
    <w:rPr>
      <w:rFonts w:eastAsia="Times New Roman"/>
      <w:szCs w:val="24"/>
      <w:lang w:eastAsia="en-IE"/>
    </w:rPr>
  </w:style>
  <w:style w:type="paragraph" w:styleId="NormalWeb">
    <w:name w:val="Normal (Web)"/>
    <w:basedOn w:val="Normal"/>
    <w:uiPriority w:val="99"/>
    <w:unhideWhenUsed/>
    <w:rsid w:val="00DC7CF0"/>
    <w:rPr>
      <w:szCs w:val="24"/>
    </w:rPr>
  </w:style>
  <w:style w:type="character" w:customStyle="1" w:styleId="UnresolvedMention">
    <w:name w:val="Unresolved Mention"/>
    <w:basedOn w:val="DefaultParagraphFont"/>
    <w:uiPriority w:val="99"/>
    <w:semiHidden/>
    <w:unhideWhenUsed/>
    <w:rsid w:val="00C8261C"/>
    <w:rPr>
      <w:color w:val="605E5C"/>
      <w:shd w:val="clear" w:color="auto" w:fill="E1DFDD"/>
    </w:rPr>
  </w:style>
  <w:style w:type="character" w:customStyle="1" w:styleId="HeaderChar">
    <w:name w:val="Header Char"/>
    <w:basedOn w:val="DefaultParagraphFont"/>
    <w:link w:val="Header"/>
    <w:uiPriority w:val="99"/>
    <w:rsid w:val="009832A3"/>
    <w:rPr>
      <w:rFonts w:ascii="Times New Roman" w:hAnsi="Times New Roman" w:cs="Times New Roman"/>
      <w:sz w:val="24"/>
      <w:lang w:val="nl-NL"/>
    </w:rPr>
  </w:style>
  <w:style w:type="character" w:customStyle="1" w:styleId="FooterChar">
    <w:name w:val="Footer Char"/>
    <w:basedOn w:val="DefaultParagraphFont"/>
    <w:link w:val="Footer"/>
    <w:uiPriority w:val="99"/>
    <w:rsid w:val="009832A3"/>
    <w:rPr>
      <w:rFonts w:ascii="Times New Roman" w:hAnsi="Times New Roman" w:cs="Times New Roman"/>
      <w:sz w:val="24"/>
      <w:lang w:val="nl-NL"/>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nl-NL"/>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nl-NL"/>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nl-NL"/>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nl-NL"/>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nl-NL"/>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nl-NL"/>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nl-NL"/>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link w:val="CharCharChar1"/>
    <w:uiPriority w:val="99"/>
    <w:semiHidden/>
    <w:unhideWhenUsed/>
    <w:rPr>
      <w:shd w:val="clear" w:color="auto" w:fill="auto"/>
      <w:vertAlign w:val="superscript"/>
    </w:rPr>
  </w:style>
  <w:style w:type="paragraph" w:customStyle="1" w:styleId="HeaderSensitivity">
    <w:name w:val="Header Sensitivity"/>
    <w:basedOn w:val="Normal"/>
    <w:rsid w:val="009832A3"/>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9832A3"/>
    <w:pPr>
      <w:spacing w:before="0"/>
      <w:jc w:val="right"/>
    </w:pPr>
    <w:rPr>
      <w:sz w:val="28"/>
    </w:rPr>
  </w:style>
  <w:style w:type="paragraph" w:customStyle="1" w:styleId="FooterSensitivity">
    <w:name w:val="Footer Sensitivity"/>
    <w:basedOn w:val="Normal"/>
    <w:rsid w:val="009832A3"/>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39"/>
      </w:numPr>
    </w:pPr>
  </w:style>
  <w:style w:type="paragraph" w:customStyle="1" w:styleId="Tiret1">
    <w:name w:val="Tiret 1"/>
    <w:basedOn w:val="Point1"/>
    <w:pPr>
      <w:numPr>
        <w:numId w:val="40"/>
      </w:numPr>
    </w:pPr>
  </w:style>
  <w:style w:type="paragraph" w:customStyle="1" w:styleId="Tiret2">
    <w:name w:val="Tiret 2"/>
    <w:basedOn w:val="Point2"/>
    <w:pPr>
      <w:numPr>
        <w:numId w:val="41"/>
      </w:numPr>
    </w:pPr>
  </w:style>
  <w:style w:type="paragraph" w:customStyle="1" w:styleId="Tiret3">
    <w:name w:val="Tiret 3"/>
    <w:basedOn w:val="Point3"/>
    <w:pPr>
      <w:numPr>
        <w:numId w:val="42"/>
      </w:numPr>
    </w:pPr>
  </w:style>
  <w:style w:type="paragraph" w:customStyle="1" w:styleId="Tiret4">
    <w:name w:val="Tiret 4"/>
    <w:basedOn w:val="Point4"/>
    <w:pPr>
      <w:numPr>
        <w:numId w:val="43"/>
      </w:numPr>
    </w:pPr>
  </w:style>
  <w:style w:type="paragraph" w:customStyle="1" w:styleId="Tiret5">
    <w:name w:val="Tiret 5"/>
    <w:basedOn w:val="Point5"/>
    <w:pPr>
      <w:numPr>
        <w:numId w:val="44"/>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45"/>
      </w:numPr>
    </w:pPr>
  </w:style>
  <w:style w:type="paragraph" w:customStyle="1" w:styleId="NumPar2">
    <w:name w:val="NumPar 2"/>
    <w:basedOn w:val="Normal"/>
    <w:next w:val="Text1"/>
    <w:pPr>
      <w:numPr>
        <w:ilvl w:val="1"/>
        <w:numId w:val="45"/>
      </w:numPr>
    </w:pPr>
  </w:style>
  <w:style w:type="paragraph" w:customStyle="1" w:styleId="NumPar3">
    <w:name w:val="NumPar 3"/>
    <w:basedOn w:val="Normal"/>
    <w:next w:val="Text1"/>
    <w:pPr>
      <w:numPr>
        <w:ilvl w:val="2"/>
        <w:numId w:val="45"/>
      </w:numPr>
    </w:pPr>
  </w:style>
  <w:style w:type="paragraph" w:customStyle="1" w:styleId="NumPar4">
    <w:name w:val="NumPar 4"/>
    <w:basedOn w:val="Normal"/>
    <w:next w:val="Text1"/>
    <w:pPr>
      <w:numPr>
        <w:ilvl w:val="3"/>
        <w:numId w:val="45"/>
      </w:numPr>
    </w:pPr>
  </w:style>
  <w:style w:type="paragraph" w:customStyle="1" w:styleId="NumPar5">
    <w:name w:val="NumPar 5"/>
    <w:basedOn w:val="Normal"/>
    <w:next w:val="Text2"/>
    <w:pPr>
      <w:numPr>
        <w:ilvl w:val="4"/>
        <w:numId w:val="45"/>
      </w:numPr>
    </w:pPr>
  </w:style>
  <w:style w:type="paragraph" w:customStyle="1" w:styleId="NumPar6">
    <w:name w:val="NumPar 6"/>
    <w:basedOn w:val="Normal"/>
    <w:next w:val="Text2"/>
    <w:pPr>
      <w:numPr>
        <w:ilvl w:val="5"/>
        <w:numId w:val="45"/>
      </w:numPr>
    </w:pPr>
  </w:style>
  <w:style w:type="paragraph" w:customStyle="1" w:styleId="NumPar7">
    <w:name w:val="NumPar 7"/>
    <w:basedOn w:val="Normal"/>
    <w:next w:val="Text2"/>
    <w:pPr>
      <w:numPr>
        <w:ilvl w:val="6"/>
        <w:numId w:val="45"/>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47"/>
      </w:numPr>
    </w:pPr>
  </w:style>
  <w:style w:type="paragraph" w:customStyle="1" w:styleId="Point1number">
    <w:name w:val="Point 1 (number)"/>
    <w:basedOn w:val="Normal"/>
    <w:pPr>
      <w:numPr>
        <w:ilvl w:val="2"/>
        <w:numId w:val="47"/>
      </w:numPr>
    </w:pPr>
  </w:style>
  <w:style w:type="paragraph" w:customStyle="1" w:styleId="Point2number">
    <w:name w:val="Point 2 (number)"/>
    <w:basedOn w:val="Normal"/>
    <w:pPr>
      <w:numPr>
        <w:ilvl w:val="4"/>
        <w:numId w:val="47"/>
      </w:numPr>
    </w:pPr>
  </w:style>
  <w:style w:type="paragraph" w:customStyle="1" w:styleId="Point3number">
    <w:name w:val="Point 3 (number)"/>
    <w:basedOn w:val="Normal"/>
    <w:pPr>
      <w:numPr>
        <w:ilvl w:val="6"/>
        <w:numId w:val="47"/>
      </w:numPr>
    </w:pPr>
  </w:style>
  <w:style w:type="paragraph" w:customStyle="1" w:styleId="Point0letter">
    <w:name w:val="Point 0 (letter)"/>
    <w:basedOn w:val="Normal"/>
    <w:pPr>
      <w:numPr>
        <w:ilvl w:val="1"/>
        <w:numId w:val="47"/>
      </w:numPr>
    </w:pPr>
  </w:style>
  <w:style w:type="paragraph" w:customStyle="1" w:styleId="Point1letter">
    <w:name w:val="Point 1 (letter)"/>
    <w:basedOn w:val="Normal"/>
    <w:pPr>
      <w:numPr>
        <w:ilvl w:val="3"/>
        <w:numId w:val="47"/>
      </w:numPr>
    </w:pPr>
  </w:style>
  <w:style w:type="paragraph" w:customStyle="1" w:styleId="Point2letter">
    <w:name w:val="Point 2 (letter)"/>
    <w:basedOn w:val="Normal"/>
    <w:pPr>
      <w:numPr>
        <w:ilvl w:val="5"/>
        <w:numId w:val="47"/>
      </w:numPr>
    </w:pPr>
  </w:style>
  <w:style w:type="paragraph" w:customStyle="1" w:styleId="Point3letter">
    <w:name w:val="Point 3 (letter)"/>
    <w:basedOn w:val="Normal"/>
    <w:pPr>
      <w:numPr>
        <w:ilvl w:val="7"/>
        <w:numId w:val="47"/>
      </w:numPr>
    </w:pPr>
  </w:style>
  <w:style w:type="paragraph" w:customStyle="1" w:styleId="Point4letter">
    <w:name w:val="Point 4 (letter)"/>
    <w:basedOn w:val="Normal"/>
    <w:pPr>
      <w:numPr>
        <w:ilvl w:val="8"/>
        <w:numId w:val="47"/>
      </w:numPr>
    </w:pPr>
  </w:style>
  <w:style w:type="paragraph" w:customStyle="1" w:styleId="Bullet0">
    <w:name w:val="Bullet 0"/>
    <w:basedOn w:val="Normal"/>
    <w:pPr>
      <w:numPr>
        <w:numId w:val="48"/>
      </w:numPr>
    </w:pPr>
  </w:style>
  <w:style w:type="paragraph" w:customStyle="1" w:styleId="Bullet1">
    <w:name w:val="Bullet 1"/>
    <w:basedOn w:val="Normal"/>
    <w:pPr>
      <w:numPr>
        <w:numId w:val="49"/>
      </w:numPr>
    </w:pPr>
  </w:style>
  <w:style w:type="paragraph" w:customStyle="1" w:styleId="Bullet2">
    <w:name w:val="Bullet 2"/>
    <w:basedOn w:val="Normal"/>
    <w:pPr>
      <w:numPr>
        <w:numId w:val="50"/>
      </w:numPr>
    </w:pPr>
  </w:style>
  <w:style w:type="paragraph" w:customStyle="1" w:styleId="Bullet3">
    <w:name w:val="Bullet 3"/>
    <w:basedOn w:val="Normal"/>
    <w:pPr>
      <w:numPr>
        <w:numId w:val="51"/>
      </w:numPr>
    </w:pPr>
  </w:style>
  <w:style w:type="paragraph" w:customStyle="1" w:styleId="Bullet4">
    <w:name w:val="Bullet 4"/>
    <w:basedOn w:val="Normal"/>
    <w:pPr>
      <w:numPr>
        <w:numId w:val="52"/>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53"/>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9832A3"/>
    <w:pPr>
      <w:tabs>
        <w:tab w:val="center" w:pos="4535"/>
        <w:tab w:val="right" w:pos="9071"/>
      </w:tabs>
      <w:spacing w:before="0"/>
    </w:pPr>
  </w:style>
  <w:style w:type="paragraph" w:customStyle="1" w:styleId="HeaderLandscape">
    <w:name w:val="HeaderLandscape"/>
    <w:basedOn w:val="Normal"/>
    <w:rsid w:val="009832A3"/>
    <w:pPr>
      <w:tabs>
        <w:tab w:val="center" w:pos="7285"/>
        <w:tab w:val="right" w:pos="14003"/>
      </w:tabs>
      <w:spacing w:before="0"/>
    </w:pPr>
  </w:style>
  <w:style w:type="paragraph" w:styleId="Footer">
    <w:name w:val="footer"/>
    <w:basedOn w:val="Normal"/>
    <w:link w:val="FooterChar"/>
    <w:uiPriority w:val="99"/>
    <w:unhideWhenUsed/>
    <w:rsid w:val="009832A3"/>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9832A3"/>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5808920">
      <w:bodyDiv w:val="1"/>
      <w:marLeft w:val="0"/>
      <w:marRight w:val="0"/>
      <w:marTop w:val="0"/>
      <w:marBottom w:val="0"/>
      <w:divBdr>
        <w:top w:val="none" w:sz="0" w:space="0" w:color="auto"/>
        <w:left w:val="none" w:sz="0" w:space="0" w:color="auto"/>
        <w:bottom w:val="none" w:sz="0" w:space="0" w:color="auto"/>
        <w:right w:val="none" w:sz="0" w:space="0" w:color="auto"/>
      </w:divBdr>
    </w:div>
    <w:div w:id="173882340">
      <w:bodyDiv w:val="1"/>
      <w:marLeft w:val="0"/>
      <w:marRight w:val="0"/>
      <w:marTop w:val="0"/>
      <w:marBottom w:val="0"/>
      <w:divBdr>
        <w:top w:val="none" w:sz="0" w:space="0" w:color="auto"/>
        <w:left w:val="none" w:sz="0" w:space="0" w:color="auto"/>
        <w:bottom w:val="none" w:sz="0" w:space="0" w:color="auto"/>
        <w:right w:val="none" w:sz="0" w:space="0" w:color="auto"/>
      </w:divBdr>
      <w:divsChild>
        <w:div w:id="459373645">
          <w:marLeft w:val="0"/>
          <w:marRight w:val="0"/>
          <w:marTop w:val="0"/>
          <w:marBottom w:val="0"/>
          <w:divBdr>
            <w:top w:val="none" w:sz="0" w:space="0" w:color="auto"/>
            <w:left w:val="none" w:sz="0" w:space="0" w:color="auto"/>
            <w:bottom w:val="none" w:sz="0" w:space="0" w:color="auto"/>
            <w:right w:val="none" w:sz="0" w:space="0" w:color="auto"/>
          </w:divBdr>
          <w:divsChild>
            <w:div w:id="1961910720">
              <w:marLeft w:val="0"/>
              <w:marRight w:val="0"/>
              <w:marTop w:val="0"/>
              <w:marBottom w:val="0"/>
              <w:divBdr>
                <w:top w:val="none" w:sz="0" w:space="0" w:color="auto"/>
                <w:left w:val="none" w:sz="0" w:space="0" w:color="auto"/>
                <w:bottom w:val="none" w:sz="0" w:space="0" w:color="auto"/>
                <w:right w:val="none" w:sz="0" w:space="0" w:color="auto"/>
              </w:divBdr>
            </w:div>
          </w:divsChild>
        </w:div>
        <w:div w:id="497812338">
          <w:marLeft w:val="0"/>
          <w:marRight w:val="0"/>
          <w:marTop w:val="0"/>
          <w:marBottom w:val="0"/>
          <w:divBdr>
            <w:top w:val="none" w:sz="0" w:space="0" w:color="auto"/>
            <w:left w:val="none" w:sz="0" w:space="0" w:color="auto"/>
            <w:bottom w:val="none" w:sz="0" w:space="0" w:color="auto"/>
            <w:right w:val="none" w:sz="0" w:space="0" w:color="auto"/>
          </w:divBdr>
          <w:divsChild>
            <w:div w:id="70586563">
              <w:marLeft w:val="0"/>
              <w:marRight w:val="0"/>
              <w:marTop w:val="0"/>
              <w:marBottom w:val="0"/>
              <w:divBdr>
                <w:top w:val="none" w:sz="0" w:space="0" w:color="auto"/>
                <w:left w:val="none" w:sz="0" w:space="0" w:color="auto"/>
                <w:bottom w:val="none" w:sz="0" w:space="0" w:color="auto"/>
                <w:right w:val="none" w:sz="0" w:space="0" w:color="auto"/>
              </w:divBdr>
            </w:div>
          </w:divsChild>
        </w:div>
        <w:div w:id="1015111374">
          <w:marLeft w:val="0"/>
          <w:marRight w:val="0"/>
          <w:marTop w:val="0"/>
          <w:marBottom w:val="0"/>
          <w:divBdr>
            <w:top w:val="none" w:sz="0" w:space="0" w:color="auto"/>
            <w:left w:val="none" w:sz="0" w:space="0" w:color="auto"/>
            <w:bottom w:val="none" w:sz="0" w:space="0" w:color="auto"/>
            <w:right w:val="none" w:sz="0" w:space="0" w:color="auto"/>
          </w:divBdr>
          <w:divsChild>
            <w:div w:id="405078201">
              <w:marLeft w:val="0"/>
              <w:marRight w:val="0"/>
              <w:marTop w:val="0"/>
              <w:marBottom w:val="0"/>
              <w:divBdr>
                <w:top w:val="none" w:sz="0" w:space="0" w:color="auto"/>
                <w:left w:val="none" w:sz="0" w:space="0" w:color="auto"/>
                <w:bottom w:val="none" w:sz="0" w:space="0" w:color="auto"/>
                <w:right w:val="none" w:sz="0" w:space="0" w:color="auto"/>
              </w:divBdr>
            </w:div>
          </w:divsChild>
        </w:div>
        <w:div w:id="1469274241">
          <w:marLeft w:val="0"/>
          <w:marRight w:val="0"/>
          <w:marTop w:val="0"/>
          <w:marBottom w:val="0"/>
          <w:divBdr>
            <w:top w:val="none" w:sz="0" w:space="0" w:color="auto"/>
            <w:left w:val="none" w:sz="0" w:space="0" w:color="auto"/>
            <w:bottom w:val="none" w:sz="0" w:space="0" w:color="auto"/>
            <w:right w:val="none" w:sz="0" w:space="0" w:color="auto"/>
          </w:divBdr>
          <w:divsChild>
            <w:div w:id="2147114029">
              <w:marLeft w:val="0"/>
              <w:marRight w:val="0"/>
              <w:marTop w:val="0"/>
              <w:marBottom w:val="0"/>
              <w:divBdr>
                <w:top w:val="none" w:sz="0" w:space="0" w:color="auto"/>
                <w:left w:val="none" w:sz="0" w:space="0" w:color="auto"/>
                <w:bottom w:val="none" w:sz="0" w:space="0" w:color="auto"/>
                <w:right w:val="none" w:sz="0" w:space="0" w:color="auto"/>
              </w:divBdr>
            </w:div>
          </w:divsChild>
        </w:div>
        <w:div w:id="1629555693">
          <w:marLeft w:val="0"/>
          <w:marRight w:val="0"/>
          <w:marTop w:val="0"/>
          <w:marBottom w:val="0"/>
          <w:divBdr>
            <w:top w:val="none" w:sz="0" w:space="0" w:color="auto"/>
            <w:left w:val="none" w:sz="0" w:space="0" w:color="auto"/>
            <w:bottom w:val="none" w:sz="0" w:space="0" w:color="auto"/>
            <w:right w:val="none" w:sz="0" w:space="0" w:color="auto"/>
          </w:divBdr>
          <w:divsChild>
            <w:div w:id="1352997986">
              <w:marLeft w:val="0"/>
              <w:marRight w:val="0"/>
              <w:marTop w:val="0"/>
              <w:marBottom w:val="0"/>
              <w:divBdr>
                <w:top w:val="none" w:sz="0" w:space="0" w:color="auto"/>
                <w:left w:val="none" w:sz="0" w:space="0" w:color="auto"/>
                <w:bottom w:val="none" w:sz="0" w:space="0" w:color="auto"/>
                <w:right w:val="none" w:sz="0" w:space="0" w:color="auto"/>
              </w:divBdr>
            </w:div>
          </w:divsChild>
        </w:div>
        <w:div w:id="1847859282">
          <w:marLeft w:val="0"/>
          <w:marRight w:val="0"/>
          <w:marTop w:val="0"/>
          <w:marBottom w:val="0"/>
          <w:divBdr>
            <w:top w:val="none" w:sz="0" w:space="0" w:color="auto"/>
            <w:left w:val="none" w:sz="0" w:space="0" w:color="auto"/>
            <w:bottom w:val="none" w:sz="0" w:space="0" w:color="auto"/>
            <w:right w:val="none" w:sz="0" w:space="0" w:color="auto"/>
          </w:divBdr>
          <w:divsChild>
            <w:div w:id="580410304">
              <w:marLeft w:val="0"/>
              <w:marRight w:val="0"/>
              <w:marTop w:val="0"/>
              <w:marBottom w:val="0"/>
              <w:divBdr>
                <w:top w:val="none" w:sz="0" w:space="0" w:color="auto"/>
                <w:left w:val="none" w:sz="0" w:space="0" w:color="auto"/>
                <w:bottom w:val="none" w:sz="0" w:space="0" w:color="auto"/>
                <w:right w:val="none" w:sz="0" w:space="0" w:color="auto"/>
              </w:divBdr>
            </w:div>
          </w:divsChild>
        </w:div>
        <w:div w:id="1913612993">
          <w:marLeft w:val="0"/>
          <w:marRight w:val="0"/>
          <w:marTop w:val="0"/>
          <w:marBottom w:val="0"/>
          <w:divBdr>
            <w:top w:val="none" w:sz="0" w:space="0" w:color="auto"/>
            <w:left w:val="none" w:sz="0" w:space="0" w:color="auto"/>
            <w:bottom w:val="none" w:sz="0" w:space="0" w:color="auto"/>
            <w:right w:val="none" w:sz="0" w:space="0" w:color="auto"/>
          </w:divBdr>
          <w:divsChild>
            <w:div w:id="1055205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080146">
      <w:bodyDiv w:val="1"/>
      <w:marLeft w:val="0"/>
      <w:marRight w:val="0"/>
      <w:marTop w:val="0"/>
      <w:marBottom w:val="0"/>
      <w:divBdr>
        <w:top w:val="none" w:sz="0" w:space="0" w:color="auto"/>
        <w:left w:val="none" w:sz="0" w:space="0" w:color="auto"/>
        <w:bottom w:val="none" w:sz="0" w:space="0" w:color="auto"/>
        <w:right w:val="none" w:sz="0" w:space="0" w:color="auto"/>
      </w:divBdr>
    </w:div>
    <w:div w:id="205872769">
      <w:bodyDiv w:val="1"/>
      <w:marLeft w:val="0"/>
      <w:marRight w:val="0"/>
      <w:marTop w:val="0"/>
      <w:marBottom w:val="0"/>
      <w:divBdr>
        <w:top w:val="none" w:sz="0" w:space="0" w:color="auto"/>
        <w:left w:val="none" w:sz="0" w:space="0" w:color="auto"/>
        <w:bottom w:val="none" w:sz="0" w:space="0" w:color="auto"/>
        <w:right w:val="none" w:sz="0" w:space="0" w:color="auto"/>
      </w:divBdr>
      <w:divsChild>
        <w:div w:id="715204902">
          <w:marLeft w:val="0"/>
          <w:marRight w:val="0"/>
          <w:marTop w:val="0"/>
          <w:marBottom w:val="0"/>
          <w:divBdr>
            <w:top w:val="none" w:sz="0" w:space="0" w:color="auto"/>
            <w:left w:val="none" w:sz="0" w:space="0" w:color="auto"/>
            <w:bottom w:val="none" w:sz="0" w:space="0" w:color="auto"/>
            <w:right w:val="none" w:sz="0" w:space="0" w:color="auto"/>
          </w:divBdr>
        </w:div>
      </w:divsChild>
    </w:div>
    <w:div w:id="272248933">
      <w:bodyDiv w:val="1"/>
      <w:marLeft w:val="0"/>
      <w:marRight w:val="0"/>
      <w:marTop w:val="0"/>
      <w:marBottom w:val="0"/>
      <w:divBdr>
        <w:top w:val="none" w:sz="0" w:space="0" w:color="auto"/>
        <w:left w:val="none" w:sz="0" w:space="0" w:color="auto"/>
        <w:bottom w:val="none" w:sz="0" w:space="0" w:color="auto"/>
        <w:right w:val="none" w:sz="0" w:space="0" w:color="auto"/>
      </w:divBdr>
    </w:div>
    <w:div w:id="400637315">
      <w:bodyDiv w:val="1"/>
      <w:marLeft w:val="0"/>
      <w:marRight w:val="0"/>
      <w:marTop w:val="0"/>
      <w:marBottom w:val="0"/>
      <w:divBdr>
        <w:top w:val="none" w:sz="0" w:space="0" w:color="auto"/>
        <w:left w:val="none" w:sz="0" w:space="0" w:color="auto"/>
        <w:bottom w:val="none" w:sz="0" w:space="0" w:color="auto"/>
        <w:right w:val="none" w:sz="0" w:space="0" w:color="auto"/>
      </w:divBdr>
    </w:div>
    <w:div w:id="438455571">
      <w:bodyDiv w:val="1"/>
      <w:marLeft w:val="0"/>
      <w:marRight w:val="0"/>
      <w:marTop w:val="0"/>
      <w:marBottom w:val="0"/>
      <w:divBdr>
        <w:top w:val="none" w:sz="0" w:space="0" w:color="auto"/>
        <w:left w:val="none" w:sz="0" w:space="0" w:color="auto"/>
        <w:bottom w:val="none" w:sz="0" w:space="0" w:color="auto"/>
        <w:right w:val="none" w:sz="0" w:space="0" w:color="auto"/>
      </w:divBdr>
    </w:div>
    <w:div w:id="494341569">
      <w:bodyDiv w:val="1"/>
      <w:marLeft w:val="0"/>
      <w:marRight w:val="0"/>
      <w:marTop w:val="0"/>
      <w:marBottom w:val="0"/>
      <w:divBdr>
        <w:top w:val="none" w:sz="0" w:space="0" w:color="auto"/>
        <w:left w:val="none" w:sz="0" w:space="0" w:color="auto"/>
        <w:bottom w:val="none" w:sz="0" w:space="0" w:color="auto"/>
        <w:right w:val="none" w:sz="0" w:space="0" w:color="auto"/>
      </w:divBdr>
    </w:div>
    <w:div w:id="519397737">
      <w:bodyDiv w:val="1"/>
      <w:marLeft w:val="0"/>
      <w:marRight w:val="0"/>
      <w:marTop w:val="0"/>
      <w:marBottom w:val="0"/>
      <w:divBdr>
        <w:top w:val="none" w:sz="0" w:space="0" w:color="auto"/>
        <w:left w:val="none" w:sz="0" w:space="0" w:color="auto"/>
        <w:bottom w:val="none" w:sz="0" w:space="0" w:color="auto"/>
        <w:right w:val="none" w:sz="0" w:space="0" w:color="auto"/>
      </w:divBdr>
    </w:div>
    <w:div w:id="561671038">
      <w:bodyDiv w:val="1"/>
      <w:marLeft w:val="0"/>
      <w:marRight w:val="0"/>
      <w:marTop w:val="0"/>
      <w:marBottom w:val="0"/>
      <w:divBdr>
        <w:top w:val="none" w:sz="0" w:space="0" w:color="auto"/>
        <w:left w:val="none" w:sz="0" w:space="0" w:color="auto"/>
        <w:bottom w:val="none" w:sz="0" w:space="0" w:color="auto"/>
        <w:right w:val="none" w:sz="0" w:space="0" w:color="auto"/>
      </w:divBdr>
      <w:divsChild>
        <w:div w:id="1562979342">
          <w:marLeft w:val="0"/>
          <w:marRight w:val="0"/>
          <w:marTop w:val="0"/>
          <w:marBottom w:val="0"/>
          <w:divBdr>
            <w:top w:val="none" w:sz="0" w:space="0" w:color="auto"/>
            <w:left w:val="none" w:sz="0" w:space="0" w:color="auto"/>
            <w:bottom w:val="none" w:sz="0" w:space="0" w:color="auto"/>
            <w:right w:val="none" w:sz="0" w:space="0" w:color="auto"/>
          </w:divBdr>
          <w:divsChild>
            <w:div w:id="786780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2855214">
      <w:bodyDiv w:val="1"/>
      <w:marLeft w:val="0"/>
      <w:marRight w:val="0"/>
      <w:marTop w:val="0"/>
      <w:marBottom w:val="0"/>
      <w:divBdr>
        <w:top w:val="none" w:sz="0" w:space="0" w:color="auto"/>
        <w:left w:val="none" w:sz="0" w:space="0" w:color="auto"/>
        <w:bottom w:val="none" w:sz="0" w:space="0" w:color="auto"/>
        <w:right w:val="none" w:sz="0" w:space="0" w:color="auto"/>
      </w:divBdr>
      <w:divsChild>
        <w:div w:id="450711844">
          <w:marLeft w:val="0"/>
          <w:marRight w:val="0"/>
          <w:marTop w:val="0"/>
          <w:marBottom w:val="0"/>
          <w:divBdr>
            <w:top w:val="none" w:sz="0" w:space="0" w:color="auto"/>
            <w:left w:val="none" w:sz="0" w:space="0" w:color="auto"/>
            <w:bottom w:val="none" w:sz="0" w:space="0" w:color="auto"/>
            <w:right w:val="none" w:sz="0" w:space="0" w:color="auto"/>
          </w:divBdr>
        </w:div>
        <w:div w:id="1859003889">
          <w:marLeft w:val="0"/>
          <w:marRight w:val="0"/>
          <w:marTop w:val="0"/>
          <w:marBottom w:val="0"/>
          <w:divBdr>
            <w:top w:val="none" w:sz="0" w:space="0" w:color="auto"/>
            <w:left w:val="none" w:sz="0" w:space="0" w:color="auto"/>
            <w:bottom w:val="none" w:sz="0" w:space="0" w:color="auto"/>
            <w:right w:val="none" w:sz="0" w:space="0" w:color="auto"/>
          </w:divBdr>
        </w:div>
        <w:div w:id="1872716930">
          <w:marLeft w:val="0"/>
          <w:marRight w:val="0"/>
          <w:marTop w:val="0"/>
          <w:marBottom w:val="0"/>
          <w:divBdr>
            <w:top w:val="none" w:sz="0" w:space="0" w:color="auto"/>
            <w:left w:val="none" w:sz="0" w:space="0" w:color="auto"/>
            <w:bottom w:val="none" w:sz="0" w:space="0" w:color="auto"/>
            <w:right w:val="none" w:sz="0" w:space="0" w:color="auto"/>
          </w:divBdr>
        </w:div>
      </w:divsChild>
    </w:div>
    <w:div w:id="575438682">
      <w:bodyDiv w:val="1"/>
      <w:marLeft w:val="0"/>
      <w:marRight w:val="0"/>
      <w:marTop w:val="0"/>
      <w:marBottom w:val="0"/>
      <w:divBdr>
        <w:top w:val="none" w:sz="0" w:space="0" w:color="auto"/>
        <w:left w:val="none" w:sz="0" w:space="0" w:color="auto"/>
        <w:bottom w:val="none" w:sz="0" w:space="0" w:color="auto"/>
        <w:right w:val="none" w:sz="0" w:space="0" w:color="auto"/>
      </w:divBdr>
      <w:divsChild>
        <w:div w:id="800809349">
          <w:marLeft w:val="0"/>
          <w:marRight w:val="0"/>
          <w:marTop w:val="0"/>
          <w:marBottom w:val="0"/>
          <w:divBdr>
            <w:top w:val="none" w:sz="0" w:space="0" w:color="auto"/>
            <w:left w:val="none" w:sz="0" w:space="0" w:color="auto"/>
            <w:bottom w:val="none" w:sz="0" w:space="0" w:color="auto"/>
            <w:right w:val="none" w:sz="0" w:space="0" w:color="auto"/>
          </w:divBdr>
        </w:div>
      </w:divsChild>
    </w:div>
    <w:div w:id="664434108">
      <w:bodyDiv w:val="1"/>
      <w:marLeft w:val="0"/>
      <w:marRight w:val="0"/>
      <w:marTop w:val="0"/>
      <w:marBottom w:val="0"/>
      <w:divBdr>
        <w:top w:val="none" w:sz="0" w:space="0" w:color="auto"/>
        <w:left w:val="none" w:sz="0" w:space="0" w:color="auto"/>
        <w:bottom w:val="none" w:sz="0" w:space="0" w:color="auto"/>
        <w:right w:val="none" w:sz="0" w:space="0" w:color="auto"/>
      </w:divBdr>
      <w:divsChild>
        <w:div w:id="1404333972">
          <w:marLeft w:val="0"/>
          <w:marRight w:val="0"/>
          <w:marTop w:val="0"/>
          <w:marBottom w:val="0"/>
          <w:divBdr>
            <w:top w:val="none" w:sz="0" w:space="0" w:color="auto"/>
            <w:left w:val="none" w:sz="0" w:space="0" w:color="auto"/>
            <w:bottom w:val="none" w:sz="0" w:space="0" w:color="auto"/>
            <w:right w:val="none" w:sz="0" w:space="0" w:color="auto"/>
          </w:divBdr>
        </w:div>
      </w:divsChild>
    </w:div>
    <w:div w:id="708648003">
      <w:bodyDiv w:val="1"/>
      <w:marLeft w:val="0"/>
      <w:marRight w:val="0"/>
      <w:marTop w:val="0"/>
      <w:marBottom w:val="0"/>
      <w:divBdr>
        <w:top w:val="none" w:sz="0" w:space="0" w:color="auto"/>
        <w:left w:val="none" w:sz="0" w:space="0" w:color="auto"/>
        <w:bottom w:val="none" w:sz="0" w:space="0" w:color="auto"/>
        <w:right w:val="none" w:sz="0" w:space="0" w:color="auto"/>
      </w:divBdr>
    </w:div>
    <w:div w:id="732851343">
      <w:bodyDiv w:val="1"/>
      <w:marLeft w:val="0"/>
      <w:marRight w:val="0"/>
      <w:marTop w:val="0"/>
      <w:marBottom w:val="0"/>
      <w:divBdr>
        <w:top w:val="none" w:sz="0" w:space="0" w:color="auto"/>
        <w:left w:val="none" w:sz="0" w:space="0" w:color="auto"/>
        <w:bottom w:val="none" w:sz="0" w:space="0" w:color="auto"/>
        <w:right w:val="none" w:sz="0" w:space="0" w:color="auto"/>
      </w:divBdr>
    </w:div>
    <w:div w:id="740297945">
      <w:bodyDiv w:val="1"/>
      <w:marLeft w:val="0"/>
      <w:marRight w:val="0"/>
      <w:marTop w:val="0"/>
      <w:marBottom w:val="0"/>
      <w:divBdr>
        <w:top w:val="none" w:sz="0" w:space="0" w:color="auto"/>
        <w:left w:val="none" w:sz="0" w:space="0" w:color="auto"/>
        <w:bottom w:val="none" w:sz="0" w:space="0" w:color="auto"/>
        <w:right w:val="none" w:sz="0" w:space="0" w:color="auto"/>
      </w:divBdr>
    </w:div>
    <w:div w:id="751120612">
      <w:bodyDiv w:val="1"/>
      <w:marLeft w:val="0"/>
      <w:marRight w:val="0"/>
      <w:marTop w:val="0"/>
      <w:marBottom w:val="0"/>
      <w:divBdr>
        <w:top w:val="none" w:sz="0" w:space="0" w:color="auto"/>
        <w:left w:val="none" w:sz="0" w:space="0" w:color="auto"/>
        <w:bottom w:val="none" w:sz="0" w:space="0" w:color="auto"/>
        <w:right w:val="none" w:sz="0" w:space="0" w:color="auto"/>
      </w:divBdr>
      <w:divsChild>
        <w:div w:id="713239856">
          <w:marLeft w:val="0"/>
          <w:marRight w:val="0"/>
          <w:marTop w:val="0"/>
          <w:marBottom w:val="0"/>
          <w:divBdr>
            <w:top w:val="none" w:sz="0" w:space="0" w:color="auto"/>
            <w:left w:val="none" w:sz="0" w:space="0" w:color="auto"/>
            <w:bottom w:val="none" w:sz="0" w:space="0" w:color="auto"/>
            <w:right w:val="none" w:sz="0" w:space="0" w:color="auto"/>
          </w:divBdr>
          <w:divsChild>
            <w:div w:id="1029718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6893581">
      <w:bodyDiv w:val="1"/>
      <w:marLeft w:val="0"/>
      <w:marRight w:val="0"/>
      <w:marTop w:val="0"/>
      <w:marBottom w:val="0"/>
      <w:divBdr>
        <w:top w:val="none" w:sz="0" w:space="0" w:color="auto"/>
        <w:left w:val="none" w:sz="0" w:space="0" w:color="auto"/>
        <w:bottom w:val="none" w:sz="0" w:space="0" w:color="auto"/>
        <w:right w:val="none" w:sz="0" w:space="0" w:color="auto"/>
      </w:divBdr>
      <w:divsChild>
        <w:div w:id="338435118">
          <w:marLeft w:val="0"/>
          <w:marRight w:val="0"/>
          <w:marTop w:val="0"/>
          <w:marBottom w:val="0"/>
          <w:divBdr>
            <w:top w:val="none" w:sz="0" w:space="0" w:color="auto"/>
            <w:left w:val="none" w:sz="0" w:space="0" w:color="auto"/>
            <w:bottom w:val="none" w:sz="0" w:space="0" w:color="auto"/>
            <w:right w:val="none" w:sz="0" w:space="0" w:color="auto"/>
          </w:divBdr>
        </w:div>
      </w:divsChild>
    </w:div>
    <w:div w:id="813646311">
      <w:bodyDiv w:val="1"/>
      <w:marLeft w:val="0"/>
      <w:marRight w:val="0"/>
      <w:marTop w:val="0"/>
      <w:marBottom w:val="0"/>
      <w:divBdr>
        <w:top w:val="none" w:sz="0" w:space="0" w:color="auto"/>
        <w:left w:val="none" w:sz="0" w:space="0" w:color="auto"/>
        <w:bottom w:val="none" w:sz="0" w:space="0" w:color="auto"/>
        <w:right w:val="none" w:sz="0" w:space="0" w:color="auto"/>
      </w:divBdr>
    </w:div>
    <w:div w:id="826826666">
      <w:bodyDiv w:val="1"/>
      <w:marLeft w:val="0"/>
      <w:marRight w:val="0"/>
      <w:marTop w:val="0"/>
      <w:marBottom w:val="0"/>
      <w:divBdr>
        <w:top w:val="none" w:sz="0" w:space="0" w:color="auto"/>
        <w:left w:val="none" w:sz="0" w:space="0" w:color="auto"/>
        <w:bottom w:val="none" w:sz="0" w:space="0" w:color="auto"/>
        <w:right w:val="none" w:sz="0" w:space="0" w:color="auto"/>
      </w:divBdr>
    </w:div>
    <w:div w:id="904072215">
      <w:bodyDiv w:val="1"/>
      <w:marLeft w:val="0"/>
      <w:marRight w:val="0"/>
      <w:marTop w:val="0"/>
      <w:marBottom w:val="0"/>
      <w:divBdr>
        <w:top w:val="none" w:sz="0" w:space="0" w:color="auto"/>
        <w:left w:val="none" w:sz="0" w:space="0" w:color="auto"/>
        <w:bottom w:val="none" w:sz="0" w:space="0" w:color="auto"/>
        <w:right w:val="none" w:sz="0" w:space="0" w:color="auto"/>
      </w:divBdr>
    </w:div>
    <w:div w:id="1044989370">
      <w:bodyDiv w:val="1"/>
      <w:marLeft w:val="0"/>
      <w:marRight w:val="0"/>
      <w:marTop w:val="0"/>
      <w:marBottom w:val="0"/>
      <w:divBdr>
        <w:top w:val="none" w:sz="0" w:space="0" w:color="auto"/>
        <w:left w:val="none" w:sz="0" w:space="0" w:color="auto"/>
        <w:bottom w:val="none" w:sz="0" w:space="0" w:color="auto"/>
        <w:right w:val="none" w:sz="0" w:space="0" w:color="auto"/>
      </w:divBdr>
    </w:div>
    <w:div w:id="1055274651">
      <w:bodyDiv w:val="1"/>
      <w:marLeft w:val="0"/>
      <w:marRight w:val="0"/>
      <w:marTop w:val="0"/>
      <w:marBottom w:val="0"/>
      <w:divBdr>
        <w:top w:val="none" w:sz="0" w:space="0" w:color="auto"/>
        <w:left w:val="none" w:sz="0" w:space="0" w:color="auto"/>
        <w:bottom w:val="none" w:sz="0" w:space="0" w:color="auto"/>
        <w:right w:val="none" w:sz="0" w:space="0" w:color="auto"/>
      </w:divBdr>
    </w:div>
    <w:div w:id="1110928214">
      <w:bodyDiv w:val="1"/>
      <w:marLeft w:val="0"/>
      <w:marRight w:val="0"/>
      <w:marTop w:val="0"/>
      <w:marBottom w:val="0"/>
      <w:divBdr>
        <w:top w:val="none" w:sz="0" w:space="0" w:color="auto"/>
        <w:left w:val="none" w:sz="0" w:space="0" w:color="auto"/>
        <w:bottom w:val="none" w:sz="0" w:space="0" w:color="auto"/>
        <w:right w:val="none" w:sz="0" w:space="0" w:color="auto"/>
      </w:divBdr>
    </w:div>
    <w:div w:id="1118983857">
      <w:bodyDiv w:val="1"/>
      <w:marLeft w:val="0"/>
      <w:marRight w:val="0"/>
      <w:marTop w:val="0"/>
      <w:marBottom w:val="0"/>
      <w:divBdr>
        <w:top w:val="none" w:sz="0" w:space="0" w:color="auto"/>
        <w:left w:val="none" w:sz="0" w:space="0" w:color="auto"/>
        <w:bottom w:val="none" w:sz="0" w:space="0" w:color="auto"/>
        <w:right w:val="none" w:sz="0" w:space="0" w:color="auto"/>
      </w:divBdr>
    </w:div>
    <w:div w:id="1147627586">
      <w:bodyDiv w:val="1"/>
      <w:marLeft w:val="0"/>
      <w:marRight w:val="0"/>
      <w:marTop w:val="0"/>
      <w:marBottom w:val="0"/>
      <w:divBdr>
        <w:top w:val="none" w:sz="0" w:space="0" w:color="auto"/>
        <w:left w:val="none" w:sz="0" w:space="0" w:color="auto"/>
        <w:bottom w:val="none" w:sz="0" w:space="0" w:color="auto"/>
        <w:right w:val="none" w:sz="0" w:space="0" w:color="auto"/>
      </w:divBdr>
    </w:div>
    <w:div w:id="1174878637">
      <w:bodyDiv w:val="1"/>
      <w:marLeft w:val="0"/>
      <w:marRight w:val="0"/>
      <w:marTop w:val="0"/>
      <w:marBottom w:val="0"/>
      <w:divBdr>
        <w:top w:val="none" w:sz="0" w:space="0" w:color="auto"/>
        <w:left w:val="none" w:sz="0" w:space="0" w:color="auto"/>
        <w:bottom w:val="none" w:sz="0" w:space="0" w:color="auto"/>
        <w:right w:val="none" w:sz="0" w:space="0" w:color="auto"/>
      </w:divBdr>
    </w:div>
    <w:div w:id="1238713822">
      <w:bodyDiv w:val="1"/>
      <w:marLeft w:val="0"/>
      <w:marRight w:val="0"/>
      <w:marTop w:val="0"/>
      <w:marBottom w:val="0"/>
      <w:divBdr>
        <w:top w:val="none" w:sz="0" w:space="0" w:color="auto"/>
        <w:left w:val="none" w:sz="0" w:space="0" w:color="auto"/>
        <w:bottom w:val="none" w:sz="0" w:space="0" w:color="auto"/>
        <w:right w:val="none" w:sz="0" w:space="0" w:color="auto"/>
      </w:divBdr>
      <w:divsChild>
        <w:div w:id="673722296">
          <w:marLeft w:val="0"/>
          <w:marRight w:val="0"/>
          <w:marTop w:val="0"/>
          <w:marBottom w:val="0"/>
          <w:divBdr>
            <w:top w:val="none" w:sz="0" w:space="0" w:color="auto"/>
            <w:left w:val="none" w:sz="0" w:space="0" w:color="auto"/>
            <w:bottom w:val="none" w:sz="0" w:space="0" w:color="auto"/>
            <w:right w:val="none" w:sz="0" w:space="0" w:color="auto"/>
          </w:divBdr>
          <w:divsChild>
            <w:div w:id="298849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2104547">
      <w:bodyDiv w:val="1"/>
      <w:marLeft w:val="0"/>
      <w:marRight w:val="0"/>
      <w:marTop w:val="0"/>
      <w:marBottom w:val="0"/>
      <w:divBdr>
        <w:top w:val="none" w:sz="0" w:space="0" w:color="auto"/>
        <w:left w:val="none" w:sz="0" w:space="0" w:color="auto"/>
        <w:bottom w:val="none" w:sz="0" w:space="0" w:color="auto"/>
        <w:right w:val="none" w:sz="0" w:space="0" w:color="auto"/>
      </w:divBdr>
      <w:divsChild>
        <w:div w:id="79834090">
          <w:marLeft w:val="0"/>
          <w:marRight w:val="0"/>
          <w:marTop w:val="0"/>
          <w:marBottom w:val="0"/>
          <w:divBdr>
            <w:top w:val="none" w:sz="0" w:space="0" w:color="auto"/>
            <w:left w:val="none" w:sz="0" w:space="0" w:color="auto"/>
            <w:bottom w:val="none" w:sz="0" w:space="0" w:color="auto"/>
            <w:right w:val="none" w:sz="0" w:space="0" w:color="auto"/>
          </w:divBdr>
        </w:div>
        <w:div w:id="1501658250">
          <w:marLeft w:val="0"/>
          <w:marRight w:val="0"/>
          <w:marTop w:val="0"/>
          <w:marBottom w:val="0"/>
          <w:divBdr>
            <w:top w:val="none" w:sz="0" w:space="0" w:color="auto"/>
            <w:left w:val="none" w:sz="0" w:space="0" w:color="auto"/>
            <w:bottom w:val="none" w:sz="0" w:space="0" w:color="auto"/>
            <w:right w:val="none" w:sz="0" w:space="0" w:color="auto"/>
          </w:divBdr>
        </w:div>
        <w:div w:id="1566716192">
          <w:marLeft w:val="0"/>
          <w:marRight w:val="0"/>
          <w:marTop w:val="0"/>
          <w:marBottom w:val="0"/>
          <w:divBdr>
            <w:top w:val="none" w:sz="0" w:space="0" w:color="auto"/>
            <w:left w:val="none" w:sz="0" w:space="0" w:color="auto"/>
            <w:bottom w:val="none" w:sz="0" w:space="0" w:color="auto"/>
            <w:right w:val="none" w:sz="0" w:space="0" w:color="auto"/>
          </w:divBdr>
        </w:div>
        <w:div w:id="1722434711">
          <w:marLeft w:val="0"/>
          <w:marRight w:val="0"/>
          <w:marTop w:val="0"/>
          <w:marBottom w:val="0"/>
          <w:divBdr>
            <w:top w:val="none" w:sz="0" w:space="0" w:color="auto"/>
            <w:left w:val="none" w:sz="0" w:space="0" w:color="auto"/>
            <w:bottom w:val="none" w:sz="0" w:space="0" w:color="auto"/>
            <w:right w:val="none" w:sz="0" w:space="0" w:color="auto"/>
          </w:divBdr>
        </w:div>
      </w:divsChild>
    </w:div>
    <w:div w:id="1292905725">
      <w:bodyDiv w:val="1"/>
      <w:marLeft w:val="0"/>
      <w:marRight w:val="0"/>
      <w:marTop w:val="0"/>
      <w:marBottom w:val="0"/>
      <w:divBdr>
        <w:top w:val="none" w:sz="0" w:space="0" w:color="auto"/>
        <w:left w:val="none" w:sz="0" w:space="0" w:color="auto"/>
        <w:bottom w:val="none" w:sz="0" w:space="0" w:color="auto"/>
        <w:right w:val="none" w:sz="0" w:space="0" w:color="auto"/>
      </w:divBdr>
      <w:divsChild>
        <w:div w:id="288123433">
          <w:marLeft w:val="0"/>
          <w:marRight w:val="0"/>
          <w:marTop w:val="0"/>
          <w:marBottom w:val="0"/>
          <w:divBdr>
            <w:top w:val="none" w:sz="0" w:space="0" w:color="auto"/>
            <w:left w:val="none" w:sz="0" w:space="0" w:color="auto"/>
            <w:bottom w:val="none" w:sz="0" w:space="0" w:color="auto"/>
            <w:right w:val="none" w:sz="0" w:space="0" w:color="auto"/>
          </w:divBdr>
          <w:divsChild>
            <w:div w:id="203300790">
              <w:marLeft w:val="0"/>
              <w:marRight w:val="0"/>
              <w:marTop w:val="0"/>
              <w:marBottom w:val="0"/>
              <w:divBdr>
                <w:top w:val="none" w:sz="0" w:space="0" w:color="auto"/>
                <w:left w:val="none" w:sz="0" w:space="0" w:color="auto"/>
                <w:bottom w:val="none" w:sz="0" w:space="0" w:color="auto"/>
                <w:right w:val="none" w:sz="0" w:space="0" w:color="auto"/>
              </w:divBdr>
            </w:div>
            <w:div w:id="562715891">
              <w:marLeft w:val="0"/>
              <w:marRight w:val="0"/>
              <w:marTop w:val="0"/>
              <w:marBottom w:val="0"/>
              <w:divBdr>
                <w:top w:val="none" w:sz="0" w:space="0" w:color="auto"/>
                <w:left w:val="none" w:sz="0" w:space="0" w:color="auto"/>
                <w:bottom w:val="none" w:sz="0" w:space="0" w:color="auto"/>
                <w:right w:val="none" w:sz="0" w:space="0" w:color="auto"/>
              </w:divBdr>
            </w:div>
            <w:div w:id="686832379">
              <w:marLeft w:val="0"/>
              <w:marRight w:val="0"/>
              <w:marTop w:val="0"/>
              <w:marBottom w:val="0"/>
              <w:divBdr>
                <w:top w:val="none" w:sz="0" w:space="0" w:color="auto"/>
                <w:left w:val="none" w:sz="0" w:space="0" w:color="auto"/>
                <w:bottom w:val="none" w:sz="0" w:space="0" w:color="auto"/>
                <w:right w:val="none" w:sz="0" w:space="0" w:color="auto"/>
              </w:divBdr>
            </w:div>
            <w:div w:id="722605645">
              <w:marLeft w:val="0"/>
              <w:marRight w:val="0"/>
              <w:marTop w:val="0"/>
              <w:marBottom w:val="0"/>
              <w:divBdr>
                <w:top w:val="none" w:sz="0" w:space="0" w:color="auto"/>
                <w:left w:val="none" w:sz="0" w:space="0" w:color="auto"/>
                <w:bottom w:val="none" w:sz="0" w:space="0" w:color="auto"/>
                <w:right w:val="none" w:sz="0" w:space="0" w:color="auto"/>
              </w:divBdr>
            </w:div>
            <w:div w:id="787814578">
              <w:marLeft w:val="0"/>
              <w:marRight w:val="0"/>
              <w:marTop w:val="0"/>
              <w:marBottom w:val="0"/>
              <w:divBdr>
                <w:top w:val="none" w:sz="0" w:space="0" w:color="auto"/>
                <w:left w:val="none" w:sz="0" w:space="0" w:color="auto"/>
                <w:bottom w:val="none" w:sz="0" w:space="0" w:color="auto"/>
                <w:right w:val="none" w:sz="0" w:space="0" w:color="auto"/>
              </w:divBdr>
            </w:div>
            <w:div w:id="1034648768">
              <w:marLeft w:val="0"/>
              <w:marRight w:val="0"/>
              <w:marTop w:val="0"/>
              <w:marBottom w:val="0"/>
              <w:divBdr>
                <w:top w:val="none" w:sz="0" w:space="0" w:color="auto"/>
                <w:left w:val="none" w:sz="0" w:space="0" w:color="auto"/>
                <w:bottom w:val="none" w:sz="0" w:space="0" w:color="auto"/>
                <w:right w:val="none" w:sz="0" w:space="0" w:color="auto"/>
              </w:divBdr>
            </w:div>
            <w:div w:id="1689257523">
              <w:marLeft w:val="0"/>
              <w:marRight w:val="0"/>
              <w:marTop w:val="0"/>
              <w:marBottom w:val="0"/>
              <w:divBdr>
                <w:top w:val="none" w:sz="0" w:space="0" w:color="auto"/>
                <w:left w:val="none" w:sz="0" w:space="0" w:color="auto"/>
                <w:bottom w:val="none" w:sz="0" w:space="0" w:color="auto"/>
                <w:right w:val="none" w:sz="0" w:space="0" w:color="auto"/>
              </w:divBdr>
            </w:div>
            <w:div w:id="1707606797">
              <w:marLeft w:val="0"/>
              <w:marRight w:val="0"/>
              <w:marTop w:val="0"/>
              <w:marBottom w:val="0"/>
              <w:divBdr>
                <w:top w:val="none" w:sz="0" w:space="0" w:color="auto"/>
                <w:left w:val="none" w:sz="0" w:space="0" w:color="auto"/>
                <w:bottom w:val="none" w:sz="0" w:space="0" w:color="auto"/>
                <w:right w:val="none" w:sz="0" w:space="0" w:color="auto"/>
              </w:divBdr>
            </w:div>
          </w:divsChild>
        </w:div>
        <w:div w:id="351301587">
          <w:marLeft w:val="0"/>
          <w:marRight w:val="0"/>
          <w:marTop w:val="0"/>
          <w:marBottom w:val="0"/>
          <w:divBdr>
            <w:top w:val="none" w:sz="0" w:space="0" w:color="auto"/>
            <w:left w:val="none" w:sz="0" w:space="0" w:color="auto"/>
            <w:bottom w:val="none" w:sz="0" w:space="0" w:color="auto"/>
            <w:right w:val="none" w:sz="0" w:space="0" w:color="auto"/>
          </w:divBdr>
          <w:divsChild>
            <w:div w:id="50856955">
              <w:marLeft w:val="0"/>
              <w:marRight w:val="0"/>
              <w:marTop w:val="0"/>
              <w:marBottom w:val="0"/>
              <w:divBdr>
                <w:top w:val="none" w:sz="0" w:space="0" w:color="auto"/>
                <w:left w:val="none" w:sz="0" w:space="0" w:color="auto"/>
                <w:bottom w:val="none" w:sz="0" w:space="0" w:color="auto"/>
                <w:right w:val="none" w:sz="0" w:space="0" w:color="auto"/>
              </w:divBdr>
            </w:div>
            <w:div w:id="182473318">
              <w:marLeft w:val="0"/>
              <w:marRight w:val="0"/>
              <w:marTop w:val="0"/>
              <w:marBottom w:val="0"/>
              <w:divBdr>
                <w:top w:val="none" w:sz="0" w:space="0" w:color="auto"/>
                <w:left w:val="none" w:sz="0" w:space="0" w:color="auto"/>
                <w:bottom w:val="none" w:sz="0" w:space="0" w:color="auto"/>
                <w:right w:val="none" w:sz="0" w:space="0" w:color="auto"/>
              </w:divBdr>
            </w:div>
            <w:div w:id="475680607">
              <w:marLeft w:val="0"/>
              <w:marRight w:val="0"/>
              <w:marTop w:val="0"/>
              <w:marBottom w:val="0"/>
              <w:divBdr>
                <w:top w:val="none" w:sz="0" w:space="0" w:color="auto"/>
                <w:left w:val="none" w:sz="0" w:space="0" w:color="auto"/>
                <w:bottom w:val="none" w:sz="0" w:space="0" w:color="auto"/>
                <w:right w:val="none" w:sz="0" w:space="0" w:color="auto"/>
              </w:divBdr>
            </w:div>
            <w:div w:id="501702285">
              <w:marLeft w:val="0"/>
              <w:marRight w:val="0"/>
              <w:marTop w:val="0"/>
              <w:marBottom w:val="0"/>
              <w:divBdr>
                <w:top w:val="none" w:sz="0" w:space="0" w:color="auto"/>
                <w:left w:val="none" w:sz="0" w:space="0" w:color="auto"/>
                <w:bottom w:val="none" w:sz="0" w:space="0" w:color="auto"/>
                <w:right w:val="none" w:sz="0" w:space="0" w:color="auto"/>
              </w:divBdr>
            </w:div>
            <w:div w:id="555551061">
              <w:marLeft w:val="0"/>
              <w:marRight w:val="0"/>
              <w:marTop w:val="0"/>
              <w:marBottom w:val="0"/>
              <w:divBdr>
                <w:top w:val="none" w:sz="0" w:space="0" w:color="auto"/>
                <w:left w:val="none" w:sz="0" w:space="0" w:color="auto"/>
                <w:bottom w:val="none" w:sz="0" w:space="0" w:color="auto"/>
                <w:right w:val="none" w:sz="0" w:space="0" w:color="auto"/>
              </w:divBdr>
            </w:div>
            <w:div w:id="750276608">
              <w:marLeft w:val="0"/>
              <w:marRight w:val="0"/>
              <w:marTop w:val="0"/>
              <w:marBottom w:val="0"/>
              <w:divBdr>
                <w:top w:val="none" w:sz="0" w:space="0" w:color="auto"/>
                <w:left w:val="none" w:sz="0" w:space="0" w:color="auto"/>
                <w:bottom w:val="none" w:sz="0" w:space="0" w:color="auto"/>
                <w:right w:val="none" w:sz="0" w:space="0" w:color="auto"/>
              </w:divBdr>
            </w:div>
            <w:div w:id="958102429">
              <w:marLeft w:val="0"/>
              <w:marRight w:val="0"/>
              <w:marTop w:val="0"/>
              <w:marBottom w:val="0"/>
              <w:divBdr>
                <w:top w:val="none" w:sz="0" w:space="0" w:color="auto"/>
                <w:left w:val="none" w:sz="0" w:space="0" w:color="auto"/>
                <w:bottom w:val="none" w:sz="0" w:space="0" w:color="auto"/>
                <w:right w:val="none" w:sz="0" w:space="0" w:color="auto"/>
              </w:divBdr>
            </w:div>
            <w:div w:id="1043168215">
              <w:marLeft w:val="0"/>
              <w:marRight w:val="0"/>
              <w:marTop w:val="0"/>
              <w:marBottom w:val="0"/>
              <w:divBdr>
                <w:top w:val="none" w:sz="0" w:space="0" w:color="auto"/>
                <w:left w:val="none" w:sz="0" w:space="0" w:color="auto"/>
                <w:bottom w:val="none" w:sz="0" w:space="0" w:color="auto"/>
                <w:right w:val="none" w:sz="0" w:space="0" w:color="auto"/>
              </w:divBdr>
            </w:div>
            <w:div w:id="1098716972">
              <w:marLeft w:val="0"/>
              <w:marRight w:val="0"/>
              <w:marTop w:val="0"/>
              <w:marBottom w:val="0"/>
              <w:divBdr>
                <w:top w:val="none" w:sz="0" w:space="0" w:color="auto"/>
                <w:left w:val="none" w:sz="0" w:space="0" w:color="auto"/>
                <w:bottom w:val="none" w:sz="0" w:space="0" w:color="auto"/>
                <w:right w:val="none" w:sz="0" w:space="0" w:color="auto"/>
              </w:divBdr>
            </w:div>
            <w:div w:id="1149707897">
              <w:marLeft w:val="0"/>
              <w:marRight w:val="0"/>
              <w:marTop w:val="0"/>
              <w:marBottom w:val="0"/>
              <w:divBdr>
                <w:top w:val="none" w:sz="0" w:space="0" w:color="auto"/>
                <w:left w:val="none" w:sz="0" w:space="0" w:color="auto"/>
                <w:bottom w:val="none" w:sz="0" w:space="0" w:color="auto"/>
                <w:right w:val="none" w:sz="0" w:space="0" w:color="auto"/>
              </w:divBdr>
            </w:div>
            <w:div w:id="1204100418">
              <w:marLeft w:val="0"/>
              <w:marRight w:val="0"/>
              <w:marTop w:val="0"/>
              <w:marBottom w:val="0"/>
              <w:divBdr>
                <w:top w:val="none" w:sz="0" w:space="0" w:color="auto"/>
                <w:left w:val="none" w:sz="0" w:space="0" w:color="auto"/>
                <w:bottom w:val="none" w:sz="0" w:space="0" w:color="auto"/>
                <w:right w:val="none" w:sz="0" w:space="0" w:color="auto"/>
              </w:divBdr>
            </w:div>
            <w:div w:id="1207991884">
              <w:marLeft w:val="0"/>
              <w:marRight w:val="0"/>
              <w:marTop w:val="0"/>
              <w:marBottom w:val="0"/>
              <w:divBdr>
                <w:top w:val="none" w:sz="0" w:space="0" w:color="auto"/>
                <w:left w:val="none" w:sz="0" w:space="0" w:color="auto"/>
                <w:bottom w:val="none" w:sz="0" w:space="0" w:color="auto"/>
                <w:right w:val="none" w:sz="0" w:space="0" w:color="auto"/>
              </w:divBdr>
            </w:div>
            <w:div w:id="1232041387">
              <w:marLeft w:val="0"/>
              <w:marRight w:val="0"/>
              <w:marTop w:val="0"/>
              <w:marBottom w:val="0"/>
              <w:divBdr>
                <w:top w:val="none" w:sz="0" w:space="0" w:color="auto"/>
                <w:left w:val="none" w:sz="0" w:space="0" w:color="auto"/>
                <w:bottom w:val="none" w:sz="0" w:space="0" w:color="auto"/>
                <w:right w:val="none" w:sz="0" w:space="0" w:color="auto"/>
              </w:divBdr>
            </w:div>
            <w:div w:id="1268002295">
              <w:marLeft w:val="0"/>
              <w:marRight w:val="0"/>
              <w:marTop w:val="0"/>
              <w:marBottom w:val="0"/>
              <w:divBdr>
                <w:top w:val="none" w:sz="0" w:space="0" w:color="auto"/>
                <w:left w:val="none" w:sz="0" w:space="0" w:color="auto"/>
                <w:bottom w:val="none" w:sz="0" w:space="0" w:color="auto"/>
                <w:right w:val="none" w:sz="0" w:space="0" w:color="auto"/>
              </w:divBdr>
            </w:div>
            <w:div w:id="1505319366">
              <w:marLeft w:val="0"/>
              <w:marRight w:val="0"/>
              <w:marTop w:val="0"/>
              <w:marBottom w:val="0"/>
              <w:divBdr>
                <w:top w:val="none" w:sz="0" w:space="0" w:color="auto"/>
                <w:left w:val="none" w:sz="0" w:space="0" w:color="auto"/>
                <w:bottom w:val="none" w:sz="0" w:space="0" w:color="auto"/>
                <w:right w:val="none" w:sz="0" w:space="0" w:color="auto"/>
              </w:divBdr>
            </w:div>
            <w:div w:id="1586836272">
              <w:marLeft w:val="0"/>
              <w:marRight w:val="0"/>
              <w:marTop w:val="0"/>
              <w:marBottom w:val="0"/>
              <w:divBdr>
                <w:top w:val="none" w:sz="0" w:space="0" w:color="auto"/>
                <w:left w:val="none" w:sz="0" w:space="0" w:color="auto"/>
                <w:bottom w:val="none" w:sz="0" w:space="0" w:color="auto"/>
                <w:right w:val="none" w:sz="0" w:space="0" w:color="auto"/>
              </w:divBdr>
            </w:div>
            <w:div w:id="1781997119">
              <w:marLeft w:val="0"/>
              <w:marRight w:val="0"/>
              <w:marTop w:val="0"/>
              <w:marBottom w:val="0"/>
              <w:divBdr>
                <w:top w:val="none" w:sz="0" w:space="0" w:color="auto"/>
                <w:left w:val="none" w:sz="0" w:space="0" w:color="auto"/>
                <w:bottom w:val="none" w:sz="0" w:space="0" w:color="auto"/>
                <w:right w:val="none" w:sz="0" w:space="0" w:color="auto"/>
              </w:divBdr>
            </w:div>
            <w:div w:id="1783262228">
              <w:marLeft w:val="0"/>
              <w:marRight w:val="0"/>
              <w:marTop w:val="0"/>
              <w:marBottom w:val="0"/>
              <w:divBdr>
                <w:top w:val="none" w:sz="0" w:space="0" w:color="auto"/>
                <w:left w:val="none" w:sz="0" w:space="0" w:color="auto"/>
                <w:bottom w:val="none" w:sz="0" w:space="0" w:color="auto"/>
                <w:right w:val="none" w:sz="0" w:space="0" w:color="auto"/>
              </w:divBdr>
            </w:div>
            <w:div w:id="1793355081">
              <w:marLeft w:val="0"/>
              <w:marRight w:val="0"/>
              <w:marTop w:val="0"/>
              <w:marBottom w:val="0"/>
              <w:divBdr>
                <w:top w:val="none" w:sz="0" w:space="0" w:color="auto"/>
                <w:left w:val="none" w:sz="0" w:space="0" w:color="auto"/>
                <w:bottom w:val="none" w:sz="0" w:space="0" w:color="auto"/>
                <w:right w:val="none" w:sz="0" w:space="0" w:color="auto"/>
              </w:divBdr>
            </w:div>
            <w:div w:id="2012950963">
              <w:marLeft w:val="0"/>
              <w:marRight w:val="0"/>
              <w:marTop w:val="0"/>
              <w:marBottom w:val="0"/>
              <w:divBdr>
                <w:top w:val="none" w:sz="0" w:space="0" w:color="auto"/>
                <w:left w:val="none" w:sz="0" w:space="0" w:color="auto"/>
                <w:bottom w:val="none" w:sz="0" w:space="0" w:color="auto"/>
                <w:right w:val="none" w:sz="0" w:space="0" w:color="auto"/>
              </w:divBdr>
            </w:div>
          </w:divsChild>
        </w:div>
        <w:div w:id="980496594">
          <w:marLeft w:val="0"/>
          <w:marRight w:val="0"/>
          <w:marTop w:val="0"/>
          <w:marBottom w:val="0"/>
          <w:divBdr>
            <w:top w:val="none" w:sz="0" w:space="0" w:color="auto"/>
            <w:left w:val="none" w:sz="0" w:space="0" w:color="auto"/>
            <w:bottom w:val="none" w:sz="0" w:space="0" w:color="auto"/>
            <w:right w:val="none" w:sz="0" w:space="0" w:color="auto"/>
          </w:divBdr>
        </w:div>
      </w:divsChild>
    </w:div>
    <w:div w:id="1395161455">
      <w:bodyDiv w:val="1"/>
      <w:marLeft w:val="0"/>
      <w:marRight w:val="0"/>
      <w:marTop w:val="0"/>
      <w:marBottom w:val="0"/>
      <w:divBdr>
        <w:top w:val="none" w:sz="0" w:space="0" w:color="auto"/>
        <w:left w:val="none" w:sz="0" w:space="0" w:color="auto"/>
        <w:bottom w:val="none" w:sz="0" w:space="0" w:color="auto"/>
        <w:right w:val="none" w:sz="0" w:space="0" w:color="auto"/>
      </w:divBdr>
      <w:divsChild>
        <w:div w:id="625744621">
          <w:marLeft w:val="0"/>
          <w:marRight w:val="0"/>
          <w:marTop w:val="0"/>
          <w:marBottom w:val="0"/>
          <w:divBdr>
            <w:top w:val="none" w:sz="0" w:space="0" w:color="auto"/>
            <w:left w:val="none" w:sz="0" w:space="0" w:color="auto"/>
            <w:bottom w:val="none" w:sz="0" w:space="0" w:color="auto"/>
            <w:right w:val="none" w:sz="0" w:space="0" w:color="auto"/>
          </w:divBdr>
          <w:divsChild>
            <w:div w:id="1246036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5810948">
      <w:bodyDiv w:val="1"/>
      <w:marLeft w:val="0"/>
      <w:marRight w:val="0"/>
      <w:marTop w:val="0"/>
      <w:marBottom w:val="0"/>
      <w:divBdr>
        <w:top w:val="none" w:sz="0" w:space="0" w:color="auto"/>
        <w:left w:val="none" w:sz="0" w:space="0" w:color="auto"/>
        <w:bottom w:val="none" w:sz="0" w:space="0" w:color="auto"/>
        <w:right w:val="none" w:sz="0" w:space="0" w:color="auto"/>
      </w:divBdr>
      <w:divsChild>
        <w:div w:id="327172381">
          <w:marLeft w:val="0"/>
          <w:marRight w:val="0"/>
          <w:marTop w:val="0"/>
          <w:marBottom w:val="0"/>
          <w:divBdr>
            <w:top w:val="none" w:sz="0" w:space="0" w:color="auto"/>
            <w:left w:val="none" w:sz="0" w:space="0" w:color="auto"/>
            <w:bottom w:val="none" w:sz="0" w:space="0" w:color="auto"/>
            <w:right w:val="none" w:sz="0" w:space="0" w:color="auto"/>
          </w:divBdr>
          <w:divsChild>
            <w:div w:id="29112862">
              <w:marLeft w:val="0"/>
              <w:marRight w:val="0"/>
              <w:marTop w:val="0"/>
              <w:marBottom w:val="0"/>
              <w:divBdr>
                <w:top w:val="none" w:sz="0" w:space="0" w:color="auto"/>
                <w:left w:val="none" w:sz="0" w:space="0" w:color="auto"/>
                <w:bottom w:val="none" w:sz="0" w:space="0" w:color="auto"/>
                <w:right w:val="none" w:sz="0" w:space="0" w:color="auto"/>
              </w:divBdr>
            </w:div>
            <w:div w:id="135874553">
              <w:marLeft w:val="0"/>
              <w:marRight w:val="0"/>
              <w:marTop w:val="0"/>
              <w:marBottom w:val="0"/>
              <w:divBdr>
                <w:top w:val="none" w:sz="0" w:space="0" w:color="auto"/>
                <w:left w:val="none" w:sz="0" w:space="0" w:color="auto"/>
                <w:bottom w:val="none" w:sz="0" w:space="0" w:color="auto"/>
                <w:right w:val="none" w:sz="0" w:space="0" w:color="auto"/>
              </w:divBdr>
            </w:div>
            <w:div w:id="262884529">
              <w:marLeft w:val="0"/>
              <w:marRight w:val="0"/>
              <w:marTop w:val="0"/>
              <w:marBottom w:val="0"/>
              <w:divBdr>
                <w:top w:val="none" w:sz="0" w:space="0" w:color="auto"/>
                <w:left w:val="none" w:sz="0" w:space="0" w:color="auto"/>
                <w:bottom w:val="none" w:sz="0" w:space="0" w:color="auto"/>
                <w:right w:val="none" w:sz="0" w:space="0" w:color="auto"/>
              </w:divBdr>
            </w:div>
            <w:div w:id="491869087">
              <w:marLeft w:val="0"/>
              <w:marRight w:val="0"/>
              <w:marTop w:val="0"/>
              <w:marBottom w:val="0"/>
              <w:divBdr>
                <w:top w:val="none" w:sz="0" w:space="0" w:color="auto"/>
                <w:left w:val="none" w:sz="0" w:space="0" w:color="auto"/>
                <w:bottom w:val="none" w:sz="0" w:space="0" w:color="auto"/>
                <w:right w:val="none" w:sz="0" w:space="0" w:color="auto"/>
              </w:divBdr>
            </w:div>
            <w:div w:id="573244724">
              <w:marLeft w:val="0"/>
              <w:marRight w:val="0"/>
              <w:marTop w:val="0"/>
              <w:marBottom w:val="0"/>
              <w:divBdr>
                <w:top w:val="none" w:sz="0" w:space="0" w:color="auto"/>
                <w:left w:val="none" w:sz="0" w:space="0" w:color="auto"/>
                <w:bottom w:val="none" w:sz="0" w:space="0" w:color="auto"/>
                <w:right w:val="none" w:sz="0" w:space="0" w:color="auto"/>
              </w:divBdr>
            </w:div>
            <w:div w:id="599534844">
              <w:marLeft w:val="0"/>
              <w:marRight w:val="0"/>
              <w:marTop w:val="0"/>
              <w:marBottom w:val="0"/>
              <w:divBdr>
                <w:top w:val="none" w:sz="0" w:space="0" w:color="auto"/>
                <w:left w:val="none" w:sz="0" w:space="0" w:color="auto"/>
                <w:bottom w:val="none" w:sz="0" w:space="0" w:color="auto"/>
                <w:right w:val="none" w:sz="0" w:space="0" w:color="auto"/>
              </w:divBdr>
            </w:div>
            <w:div w:id="649020011">
              <w:marLeft w:val="0"/>
              <w:marRight w:val="0"/>
              <w:marTop w:val="0"/>
              <w:marBottom w:val="0"/>
              <w:divBdr>
                <w:top w:val="none" w:sz="0" w:space="0" w:color="auto"/>
                <w:left w:val="none" w:sz="0" w:space="0" w:color="auto"/>
                <w:bottom w:val="none" w:sz="0" w:space="0" w:color="auto"/>
                <w:right w:val="none" w:sz="0" w:space="0" w:color="auto"/>
              </w:divBdr>
            </w:div>
            <w:div w:id="680158333">
              <w:marLeft w:val="0"/>
              <w:marRight w:val="0"/>
              <w:marTop w:val="0"/>
              <w:marBottom w:val="0"/>
              <w:divBdr>
                <w:top w:val="none" w:sz="0" w:space="0" w:color="auto"/>
                <w:left w:val="none" w:sz="0" w:space="0" w:color="auto"/>
                <w:bottom w:val="none" w:sz="0" w:space="0" w:color="auto"/>
                <w:right w:val="none" w:sz="0" w:space="0" w:color="auto"/>
              </w:divBdr>
            </w:div>
            <w:div w:id="856383496">
              <w:marLeft w:val="0"/>
              <w:marRight w:val="0"/>
              <w:marTop w:val="0"/>
              <w:marBottom w:val="0"/>
              <w:divBdr>
                <w:top w:val="none" w:sz="0" w:space="0" w:color="auto"/>
                <w:left w:val="none" w:sz="0" w:space="0" w:color="auto"/>
                <w:bottom w:val="none" w:sz="0" w:space="0" w:color="auto"/>
                <w:right w:val="none" w:sz="0" w:space="0" w:color="auto"/>
              </w:divBdr>
            </w:div>
            <w:div w:id="890337504">
              <w:marLeft w:val="0"/>
              <w:marRight w:val="0"/>
              <w:marTop w:val="0"/>
              <w:marBottom w:val="0"/>
              <w:divBdr>
                <w:top w:val="none" w:sz="0" w:space="0" w:color="auto"/>
                <w:left w:val="none" w:sz="0" w:space="0" w:color="auto"/>
                <w:bottom w:val="none" w:sz="0" w:space="0" w:color="auto"/>
                <w:right w:val="none" w:sz="0" w:space="0" w:color="auto"/>
              </w:divBdr>
            </w:div>
            <w:div w:id="894244907">
              <w:marLeft w:val="0"/>
              <w:marRight w:val="0"/>
              <w:marTop w:val="0"/>
              <w:marBottom w:val="0"/>
              <w:divBdr>
                <w:top w:val="none" w:sz="0" w:space="0" w:color="auto"/>
                <w:left w:val="none" w:sz="0" w:space="0" w:color="auto"/>
                <w:bottom w:val="none" w:sz="0" w:space="0" w:color="auto"/>
                <w:right w:val="none" w:sz="0" w:space="0" w:color="auto"/>
              </w:divBdr>
            </w:div>
            <w:div w:id="984313807">
              <w:marLeft w:val="0"/>
              <w:marRight w:val="0"/>
              <w:marTop w:val="0"/>
              <w:marBottom w:val="0"/>
              <w:divBdr>
                <w:top w:val="none" w:sz="0" w:space="0" w:color="auto"/>
                <w:left w:val="none" w:sz="0" w:space="0" w:color="auto"/>
                <w:bottom w:val="none" w:sz="0" w:space="0" w:color="auto"/>
                <w:right w:val="none" w:sz="0" w:space="0" w:color="auto"/>
              </w:divBdr>
            </w:div>
            <w:div w:id="1087652836">
              <w:marLeft w:val="0"/>
              <w:marRight w:val="0"/>
              <w:marTop w:val="0"/>
              <w:marBottom w:val="0"/>
              <w:divBdr>
                <w:top w:val="none" w:sz="0" w:space="0" w:color="auto"/>
                <w:left w:val="none" w:sz="0" w:space="0" w:color="auto"/>
                <w:bottom w:val="none" w:sz="0" w:space="0" w:color="auto"/>
                <w:right w:val="none" w:sz="0" w:space="0" w:color="auto"/>
              </w:divBdr>
            </w:div>
            <w:div w:id="1100761966">
              <w:marLeft w:val="0"/>
              <w:marRight w:val="0"/>
              <w:marTop w:val="0"/>
              <w:marBottom w:val="0"/>
              <w:divBdr>
                <w:top w:val="none" w:sz="0" w:space="0" w:color="auto"/>
                <w:left w:val="none" w:sz="0" w:space="0" w:color="auto"/>
                <w:bottom w:val="none" w:sz="0" w:space="0" w:color="auto"/>
                <w:right w:val="none" w:sz="0" w:space="0" w:color="auto"/>
              </w:divBdr>
            </w:div>
            <w:div w:id="1132942110">
              <w:marLeft w:val="0"/>
              <w:marRight w:val="0"/>
              <w:marTop w:val="0"/>
              <w:marBottom w:val="0"/>
              <w:divBdr>
                <w:top w:val="none" w:sz="0" w:space="0" w:color="auto"/>
                <w:left w:val="none" w:sz="0" w:space="0" w:color="auto"/>
                <w:bottom w:val="none" w:sz="0" w:space="0" w:color="auto"/>
                <w:right w:val="none" w:sz="0" w:space="0" w:color="auto"/>
              </w:divBdr>
            </w:div>
            <w:div w:id="1380789563">
              <w:marLeft w:val="0"/>
              <w:marRight w:val="0"/>
              <w:marTop w:val="0"/>
              <w:marBottom w:val="0"/>
              <w:divBdr>
                <w:top w:val="none" w:sz="0" w:space="0" w:color="auto"/>
                <w:left w:val="none" w:sz="0" w:space="0" w:color="auto"/>
                <w:bottom w:val="none" w:sz="0" w:space="0" w:color="auto"/>
                <w:right w:val="none" w:sz="0" w:space="0" w:color="auto"/>
              </w:divBdr>
            </w:div>
            <w:div w:id="1480465084">
              <w:marLeft w:val="0"/>
              <w:marRight w:val="0"/>
              <w:marTop w:val="0"/>
              <w:marBottom w:val="0"/>
              <w:divBdr>
                <w:top w:val="none" w:sz="0" w:space="0" w:color="auto"/>
                <w:left w:val="none" w:sz="0" w:space="0" w:color="auto"/>
                <w:bottom w:val="none" w:sz="0" w:space="0" w:color="auto"/>
                <w:right w:val="none" w:sz="0" w:space="0" w:color="auto"/>
              </w:divBdr>
            </w:div>
            <w:div w:id="1509561896">
              <w:marLeft w:val="0"/>
              <w:marRight w:val="0"/>
              <w:marTop w:val="0"/>
              <w:marBottom w:val="0"/>
              <w:divBdr>
                <w:top w:val="none" w:sz="0" w:space="0" w:color="auto"/>
                <w:left w:val="none" w:sz="0" w:space="0" w:color="auto"/>
                <w:bottom w:val="none" w:sz="0" w:space="0" w:color="auto"/>
                <w:right w:val="none" w:sz="0" w:space="0" w:color="auto"/>
              </w:divBdr>
            </w:div>
            <w:div w:id="1528640383">
              <w:marLeft w:val="0"/>
              <w:marRight w:val="0"/>
              <w:marTop w:val="0"/>
              <w:marBottom w:val="0"/>
              <w:divBdr>
                <w:top w:val="none" w:sz="0" w:space="0" w:color="auto"/>
                <w:left w:val="none" w:sz="0" w:space="0" w:color="auto"/>
                <w:bottom w:val="none" w:sz="0" w:space="0" w:color="auto"/>
                <w:right w:val="none" w:sz="0" w:space="0" w:color="auto"/>
              </w:divBdr>
            </w:div>
            <w:div w:id="1931238437">
              <w:marLeft w:val="0"/>
              <w:marRight w:val="0"/>
              <w:marTop w:val="0"/>
              <w:marBottom w:val="0"/>
              <w:divBdr>
                <w:top w:val="none" w:sz="0" w:space="0" w:color="auto"/>
                <w:left w:val="none" w:sz="0" w:space="0" w:color="auto"/>
                <w:bottom w:val="none" w:sz="0" w:space="0" w:color="auto"/>
                <w:right w:val="none" w:sz="0" w:space="0" w:color="auto"/>
              </w:divBdr>
            </w:div>
          </w:divsChild>
        </w:div>
        <w:div w:id="1640450144">
          <w:marLeft w:val="0"/>
          <w:marRight w:val="0"/>
          <w:marTop w:val="0"/>
          <w:marBottom w:val="0"/>
          <w:divBdr>
            <w:top w:val="none" w:sz="0" w:space="0" w:color="auto"/>
            <w:left w:val="none" w:sz="0" w:space="0" w:color="auto"/>
            <w:bottom w:val="none" w:sz="0" w:space="0" w:color="auto"/>
            <w:right w:val="none" w:sz="0" w:space="0" w:color="auto"/>
          </w:divBdr>
        </w:div>
        <w:div w:id="1770739513">
          <w:marLeft w:val="0"/>
          <w:marRight w:val="0"/>
          <w:marTop w:val="0"/>
          <w:marBottom w:val="0"/>
          <w:divBdr>
            <w:top w:val="none" w:sz="0" w:space="0" w:color="auto"/>
            <w:left w:val="none" w:sz="0" w:space="0" w:color="auto"/>
            <w:bottom w:val="none" w:sz="0" w:space="0" w:color="auto"/>
            <w:right w:val="none" w:sz="0" w:space="0" w:color="auto"/>
          </w:divBdr>
          <w:divsChild>
            <w:div w:id="212037956">
              <w:marLeft w:val="0"/>
              <w:marRight w:val="0"/>
              <w:marTop w:val="0"/>
              <w:marBottom w:val="0"/>
              <w:divBdr>
                <w:top w:val="none" w:sz="0" w:space="0" w:color="auto"/>
                <w:left w:val="none" w:sz="0" w:space="0" w:color="auto"/>
                <w:bottom w:val="none" w:sz="0" w:space="0" w:color="auto"/>
                <w:right w:val="none" w:sz="0" w:space="0" w:color="auto"/>
              </w:divBdr>
            </w:div>
            <w:div w:id="505631737">
              <w:marLeft w:val="0"/>
              <w:marRight w:val="0"/>
              <w:marTop w:val="0"/>
              <w:marBottom w:val="0"/>
              <w:divBdr>
                <w:top w:val="none" w:sz="0" w:space="0" w:color="auto"/>
                <w:left w:val="none" w:sz="0" w:space="0" w:color="auto"/>
                <w:bottom w:val="none" w:sz="0" w:space="0" w:color="auto"/>
                <w:right w:val="none" w:sz="0" w:space="0" w:color="auto"/>
              </w:divBdr>
            </w:div>
            <w:div w:id="800001144">
              <w:marLeft w:val="0"/>
              <w:marRight w:val="0"/>
              <w:marTop w:val="0"/>
              <w:marBottom w:val="0"/>
              <w:divBdr>
                <w:top w:val="none" w:sz="0" w:space="0" w:color="auto"/>
                <w:left w:val="none" w:sz="0" w:space="0" w:color="auto"/>
                <w:bottom w:val="none" w:sz="0" w:space="0" w:color="auto"/>
                <w:right w:val="none" w:sz="0" w:space="0" w:color="auto"/>
              </w:divBdr>
            </w:div>
            <w:div w:id="963655188">
              <w:marLeft w:val="0"/>
              <w:marRight w:val="0"/>
              <w:marTop w:val="0"/>
              <w:marBottom w:val="0"/>
              <w:divBdr>
                <w:top w:val="none" w:sz="0" w:space="0" w:color="auto"/>
                <w:left w:val="none" w:sz="0" w:space="0" w:color="auto"/>
                <w:bottom w:val="none" w:sz="0" w:space="0" w:color="auto"/>
                <w:right w:val="none" w:sz="0" w:space="0" w:color="auto"/>
              </w:divBdr>
            </w:div>
            <w:div w:id="1145968354">
              <w:marLeft w:val="0"/>
              <w:marRight w:val="0"/>
              <w:marTop w:val="0"/>
              <w:marBottom w:val="0"/>
              <w:divBdr>
                <w:top w:val="none" w:sz="0" w:space="0" w:color="auto"/>
                <w:left w:val="none" w:sz="0" w:space="0" w:color="auto"/>
                <w:bottom w:val="none" w:sz="0" w:space="0" w:color="auto"/>
                <w:right w:val="none" w:sz="0" w:space="0" w:color="auto"/>
              </w:divBdr>
            </w:div>
            <w:div w:id="1648699807">
              <w:marLeft w:val="0"/>
              <w:marRight w:val="0"/>
              <w:marTop w:val="0"/>
              <w:marBottom w:val="0"/>
              <w:divBdr>
                <w:top w:val="none" w:sz="0" w:space="0" w:color="auto"/>
                <w:left w:val="none" w:sz="0" w:space="0" w:color="auto"/>
                <w:bottom w:val="none" w:sz="0" w:space="0" w:color="auto"/>
                <w:right w:val="none" w:sz="0" w:space="0" w:color="auto"/>
              </w:divBdr>
            </w:div>
            <w:div w:id="1776900681">
              <w:marLeft w:val="0"/>
              <w:marRight w:val="0"/>
              <w:marTop w:val="0"/>
              <w:marBottom w:val="0"/>
              <w:divBdr>
                <w:top w:val="none" w:sz="0" w:space="0" w:color="auto"/>
                <w:left w:val="none" w:sz="0" w:space="0" w:color="auto"/>
                <w:bottom w:val="none" w:sz="0" w:space="0" w:color="auto"/>
                <w:right w:val="none" w:sz="0" w:space="0" w:color="auto"/>
              </w:divBdr>
            </w:div>
            <w:div w:id="2049330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3069561">
      <w:bodyDiv w:val="1"/>
      <w:marLeft w:val="0"/>
      <w:marRight w:val="0"/>
      <w:marTop w:val="0"/>
      <w:marBottom w:val="0"/>
      <w:divBdr>
        <w:top w:val="none" w:sz="0" w:space="0" w:color="auto"/>
        <w:left w:val="none" w:sz="0" w:space="0" w:color="auto"/>
        <w:bottom w:val="none" w:sz="0" w:space="0" w:color="auto"/>
        <w:right w:val="none" w:sz="0" w:space="0" w:color="auto"/>
      </w:divBdr>
    </w:div>
    <w:div w:id="1469320638">
      <w:bodyDiv w:val="1"/>
      <w:marLeft w:val="0"/>
      <w:marRight w:val="0"/>
      <w:marTop w:val="0"/>
      <w:marBottom w:val="0"/>
      <w:divBdr>
        <w:top w:val="none" w:sz="0" w:space="0" w:color="auto"/>
        <w:left w:val="none" w:sz="0" w:space="0" w:color="auto"/>
        <w:bottom w:val="none" w:sz="0" w:space="0" w:color="auto"/>
        <w:right w:val="none" w:sz="0" w:space="0" w:color="auto"/>
      </w:divBdr>
    </w:div>
    <w:div w:id="1474057604">
      <w:bodyDiv w:val="1"/>
      <w:marLeft w:val="0"/>
      <w:marRight w:val="0"/>
      <w:marTop w:val="0"/>
      <w:marBottom w:val="0"/>
      <w:divBdr>
        <w:top w:val="none" w:sz="0" w:space="0" w:color="auto"/>
        <w:left w:val="none" w:sz="0" w:space="0" w:color="auto"/>
        <w:bottom w:val="none" w:sz="0" w:space="0" w:color="auto"/>
        <w:right w:val="none" w:sz="0" w:space="0" w:color="auto"/>
      </w:divBdr>
    </w:div>
    <w:div w:id="1484855724">
      <w:bodyDiv w:val="1"/>
      <w:marLeft w:val="0"/>
      <w:marRight w:val="0"/>
      <w:marTop w:val="0"/>
      <w:marBottom w:val="0"/>
      <w:divBdr>
        <w:top w:val="none" w:sz="0" w:space="0" w:color="auto"/>
        <w:left w:val="none" w:sz="0" w:space="0" w:color="auto"/>
        <w:bottom w:val="none" w:sz="0" w:space="0" w:color="auto"/>
        <w:right w:val="none" w:sz="0" w:space="0" w:color="auto"/>
      </w:divBdr>
    </w:div>
    <w:div w:id="1554609960">
      <w:bodyDiv w:val="1"/>
      <w:marLeft w:val="0"/>
      <w:marRight w:val="0"/>
      <w:marTop w:val="0"/>
      <w:marBottom w:val="0"/>
      <w:divBdr>
        <w:top w:val="none" w:sz="0" w:space="0" w:color="auto"/>
        <w:left w:val="none" w:sz="0" w:space="0" w:color="auto"/>
        <w:bottom w:val="none" w:sz="0" w:space="0" w:color="auto"/>
        <w:right w:val="none" w:sz="0" w:space="0" w:color="auto"/>
      </w:divBdr>
    </w:div>
    <w:div w:id="1575159231">
      <w:bodyDiv w:val="1"/>
      <w:marLeft w:val="0"/>
      <w:marRight w:val="0"/>
      <w:marTop w:val="0"/>
      <w:marBottom w:val="0"/>
      <w:divBdr>
        <w:top w:val="none" w:sz="0" w:space="0" w:color="auto"/>
        <w:left w:val="none" w:sz="0" w:space="0" w:color="auto"/>
        <w:bottom w:val="none" w:sz="0" w:space="0" w:color="auto"/>
        <w:right w:val="none" w:sz="0" w:space="0" w:color="auto"/>
      </w:divBdr>
    </w:div>
    <w:div w:id="1618100715">
      <w:bodyDiv w:val="1"/>
      <w:marLeft w:val="0"/>
      <w:marRight w:val="0"/>
      <w:marTop w:val="0"/>
      <w:marBottom w:val="0"/>
      <w:divBdr>
        <w:top w:val="none" w:sz="0" w:space="0" w:color="auto"/>
        <w:left w:val="none" w:sz="0" w:space="0" w:color="auto"/>
        <w:bottom w:val="none" w:sz="0" w:space="0" w:color="auto"/>
        <w:right w:val="none" w:sz="0" w:space="0" w:color="auto"/>
      </w:divBdr>
      <w:divsChild>
        <w:div w:id="1522739196">
          <w:marLeft w:val="0"/>
          <w:marRight w:val="0"/>
          <w:marTop w:val="0"/>
          <w:marBottom w:val="0"/>
          <w:divBdr>
            <w:top w:val="none" w:sz="0" w:space="0" w:color="auto"/>
            <w:left w:val="none" w:sz="0" w:space="0" w:color="auto"/>
            <w:bottom w:val="none" w:sz="0" w:space="0" w:color="auto"/>
            <w:right w:val="none" w:sz="0" w:space="0" w:color="auto"/>
          </w:divBdr>
          <w:divsChild>
            <w:div w:id="1736581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7806326">
      <w:bodyDiv w:val="1"/>
      <w:marLeft w:val="0"/>
      <w:marRight w:val="0"/>
      <w:marTop w:val="0"/>
      <w:marBottom w:val="0"/>
      <w:divBdr>
        <w:top w:val="none" w:sz="0" w:space="0" w:color="auto"/>
        <w:left w:val="none" w:sz="0" w:space="0" w:color="auto"/>
        <w:bottom w:val="none" w:sz="0" w:space="0" w:color="auto"/>
        <w:right w:val="none" w:sz="0" w:space="0" w:color="auto"/>
      </w:divBdr>
    </w:div>
    <w:div w:id="1705210353">
      <w:bodyDiv w:val="1"/>
      <w:marLeft w:val="0"/>
      <w:marRight w:val="0"/>
      <w:marTop w:val="0"/>
      <w:marBottom w:val="0"/>
      <w:divBdr>
        <w:top w:val="none" w:sz="0" w:space="0" w:color="auto"/>
        <w:left w:val="none" w:sz="0" w:space="0" w:color="auto"/>
        <w:bottom w:val="none" w:sz="0" w:space="0" w:color="auto"/>
        <w:right w:val="none" w:sz="0" w:space="0" w:color="auto"/>
      </w:divBdr>
    </w:div>
    <w:div w:id="1859344384">
      <w:bodyDiv w:val="1"/>
      <w:marLeft w:val="0"/>
      <w:marRight w:val="0"/>
      <w:marTop w:val="0"/>
      <w:marBottom w:val="0"/>
      <w:divBdr>
        <w:top w:val="none" w:sz="0" w:space="0" w:color="auto"/>
        <w:left w:val="none" w:sz="0" w:space="0" w:color="auto"/>
        <w:bottom w:val="none" w:sz="0" w:space="0" w:color="auto"/>
        <w:right w:val="none" w:sz="0" w:space="0" w:color="auto"/>
      </w:divBdr>
    </w:div>
    <w:div w:id="1957633461">
      <w:bodyDiv w:val="1"/>
      <w:marLeft w:val="0"/>
      <w:marRight w:val="0"/>
      <w:marTop w:val="0"/>
      <w:marBottom w:val="0"/>
      <w:divBdr>
        <w:top w:val="none" w:sz="0" w:space="0" w:color="auto"/>
        <w:left w:val="none" w:sz="0" w:space="0" w:color="auto"/>
        <w:bottom w:val="none" w:sz="0" w:space="0" w:color="auto"/>
        <w:right w:val="none" w:sz="0" w:space="0" w:color="auto"/>
      </w:divBdr>
    </w:div>
    <w:div w:id="1966886517">
      <w:bodyDiv w:val="1"/>
      <w:marLeft w:val="0"/>
      <w:marRight w:val="0"/>
      <w:marTop w:val="0"/>
      <w:marBottom w:val="0"/>
      <w:divBdr>
        <w:top w:val="none" w:sz="0" w:space="0" w:color="auto"/>
        <w:left w:val="none" w:sz="0" w:space="0" w:color="auto"/>
        <w:bottom w:val="none" w:sz="0" w:space="0" w:color="auto"/>
        <w:right w:val="none" w:sz="0" w:space="0" w:color="auto"/>
      </w:divBdr>
    </w:div>
    <w:div w:id="1981111612">
      <w:bodyDiv w:val="1"/>
      <w:marLeft w:val="0"/>
      <w:marRight w:val="0"/>
      <w:marTop w:val="0"/>
      <w:marBottom w:val="0"/>
      <w:divBdr>
        <w:top w:val="none" w:sz="0" w:space="0" w:color="auto"/>
        <w:left w:val="none" w:sz="0" w:space="0" w:color="auto"/>
        <w:bottom w:val="none" w:sz="0" w:space="0" w:color="auto"/>
        <w:right w:val="none" w:sz="0" w:space="0" w:color="auto"/>
      </w:divBdr>
    </w:div>
    <w:div w:id="1983540870">
      <w:bodyDiv w:val="1"/>
      <w:marLeft w:val="0"/>
      <w:marRight w:val="0"/>
      <w:marTop w:val="0"/>
      <w:marBottom w:val="0"/>
      <w:divBdr>
        <w:top w:val="none" w:sz="0" w:space="0" w:color="auto"/>
        <w:left w:val="none" w:sz="0" w:space="0" w:color="auto"/>
        <w:bottom w:val="none" w:sz="0" w:space="0" w:color="auto"/>
        <w:right w:val="none" w:sz="0" w:space="0" w:color="auto"/>
      </w:divBdr>
    </w:div>
    <w:div w:id="2010982073">
      <w:bodyDiv w:val="1"/>
      <w:marLeft w:val="0"/>
      <w:marRight w:val="0"/>
      <w:marTop w:val="0"/>
      <w:marBottom w:val="0"/>
      <w:divBdr>
        <w:top w:val="none" w:sz="0" w:space="0" w:color="auto"/>
        <w:left w:val="none" w:sz="0" w:space="0" w:color="auto"/>
        <w:bottom w:val="none" w:sz="0" w:space="0" w:color="auto"/>
        <w:right w:val="none" w:sz="0" w:space="0" w:color="auto"/>
      </w:divBdr>
      <w:divsChild>
        <w:div w:id="44574249">
          <w:marLeft w:val="0"/>
          <w:marRight w:val="0"/>
          <w:marTop w:val="0"/>
          <w:marBottom w:val="0"/>
          <w:divBdr>
            <w:top w:val="none" w:sz="0" w:space="0" w:color="auto"/>
            <w:left w:val="none" w:sz="0" w:space="0" w:color="auto"/>
            <w:bottom w:val="none" w:sz="0" w:space="0" w:color="auto"/>
            <w:right w:val="none" w:sz="0" w:space="0" w:color="auto"/>
          </w:divBdr>
        </w:div>
        <w:div w:id="892471033">
          <w:marLeft w:val="0"/>
          <w:marRight w:val="0"/>
          <w:marTop w:val="0"/>
          <w:marBottom w:val="0"/>
          <w:divBdr>
            <w:top w:val="none" w:sz="0" w:space="0" w:color="auto"/>
            <w:left w:val="none" w:sz="0" w:space="0" w:color="auto"/>
            <w:bottom w:val="none" w:sz="0" w:space="0" w:color="auto"/>
            <w:right w:val="none" w:sz="0" w:space="0" w:color="auto"/>
          </w:divBdr>
        </w:div>
        <w:div w:id="892816496">
          <w:marLeft w:val="0"/>
          <w:marRight w:val="0"/>
          <w:marTop w:val="0"/>
          <w:marBottom w:val="0"/>
          <w:divBdr>
            <w:top w:val="none" w:sz="0" w:space="0" w:color="auto"/>
            <w:left w:val="none" w:sz="0" w:space="0" w:color="auto"/>
            <w:bottom w:val="none" w:sz="0" w:space="0" w:color="auto"/>
            <w:right w:val="none" w:sz="0" w:space="0" w:color="auto"/>
          </w:divBdr>
        </w:div>
      </w:divsChild>
    </w:div>
    <w:div w:id="2082561245">
      <w:bodyDiv w:val="1"/>
      <w:marLeft w:val="0"/>
      <w:marRight w:val="0"/>
      <w:marTop w:val="0"/>
      <w:marBottom w:val="0"/>
      <w:divBdr>
        <w:top w:val="none" w:sz="0" w:space="0" w:color="auto"/>
        <w:left w:val="none" w:sz="0" w:space="0" w:color="auto"/>
        <w:bottom w:val="none" w:sz="0" w:space="0" w:color="auto"/>
        <w:right w:val="none" w:sz="0" w:space="0" w:color="auto"/>
      </w:divBdr>
    </w:div>
    <w:div w:id="2089301645">
      <w:bodyDiv w:val="1"/>
      <w:marLeft w:val="0"/>
      <w:marRight w:val="0"/>
      <w:marTop w:val="0"/>
      <w:marBottom w:val="0"/>
      <w:divBdr>
        <w:top w:val="none" w:sz="0" w:space="0" w:color="auto"/>
        <w:left w:val="none" w:sz="0" w:space="0" w:color="auto"/>
        <w:bottom w:val="none" w:sz="0" w:space="0" w:color="auto"/>
        <w:right w:val="none" w:sz="0" w:space="0" w:color="auto"/>
      </w:divBdr>
    </w:div>
    <w:div w:id="2115664475">
      <w:bodyDiv w:val="1"/>
      <w:marLeft w:val="0"/>
      <w:marRight w:val="0"/>
      <w:marTop w:val="0"/>
      <w:marBottom w:val="0"/>
      <w:divBdr>
        <w:top w:val="none" w:sz="0" w:space="0" w:color="auto"/>
        <w:left w:val="none" w:sz="0" w:space="0" w:color="auto"/>
        <w:bottom w:val="none" w:sz="0" w:space="0" w:color="auto"/>
        <w:right w:val="none" w:sz="0" w:space="0" w:color="auto"/>
      </w:divBdr>
    </w:div>
    <w:div w:id="2122725550">
      <w:bodyDiv w:val="1"/>
      <w:marLeft w:val="0"/>
      <w:marRight w:val="0"/>
      <w:marTop w:val="0"/>
      <w:marBottom w:val="0"/>
      <w:divBdr>
        <w:top w:val="none" w:sz="0" w:space="0" w:color="auto"/>
        <w:left w:val="none" w:sz="0" w:space="0" w:color="auto"/>
        <w:bottom w:val="none" w:sz="0" w:space="0" w:color="auto"/>
        <w:right w:val="none" w:sz="0" w:space="0" w:color="auto"/>
      </w:divBdr>
    </w:div>
    <w:div w:id="21231841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3.xml"/><Relationship Id="rId18" Type="http://schemas.openxmlformats.org/officeDocument/2006/relationships/footer" Target="footer6.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5.xml"/><Relationship Id="rId20"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ur-lex.europa.eu/legal-content/NL/TXT/?uri=celex:52025DC0079"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footer" Target="footer2.xml"/><Relationship Id="rId19" Type="http://schemas.openxmlformats.org/officeDocument/2006/relationships/header" Target="header4.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22/2577/oj" TargetMode="External"/><Relationship Id="rId13" Type="http://schemas.openxmlformats.org/officeDocument/2006/relationships/hyperlink" Target="http://data.europa.eu/eli/reg/2022/869/oj" TargetMode="External"/><Relationship Id="rId18" Type="http://schemas.openxmlformats.org/officeDocument/2006/relationships/hyperlink" Target="http://data.europa.eu/eli/dir/2009/147/oj" TargetMode="External"/><Relationship Id="rId26" Type="http://schemas.openxmlformats.org/officeDocument/2006/relationships/hyperlink" Target="http://data.europa.eu/eli/dir/2024/1788/oj" TargetMode="External"/><Relationship Id="rId3" Type="http://schemas.openxmlformats.org/officeDocument/2006/relationships/hyperlink" Target="https://cor.europa.eu/nl/node/23299" TargetMode="External"/><Relationship Id="rId21" Type="http://schemas.openxmlformats.org/officeDocument/2006/relationships/hyperlink" Target="http://data.europa.eu/eli/dir/2000/60/oj" TargetMode="External"/><Relationship Id="rId7" Type="http://schemas.openxmlformats.org/officeDocument/2006/relationships/hyperlink" Target="https://data.europa.eu/doi/10.2833/2566900" TargetMode="External"/><Relationship Id="rId12" Type="http://schemas.openxmlformats.org/officeDocument/2006/relationships/hyperlink" Target="http://data.europa.eu/eli/dir/2024/1788/oj" TargetMode="External"/><Relationship Id="rId17" Type="http://schemas.openxmlformats.org/officeDocument/2006/relationships/hyperlink" Target="http://data.europa.eu/eli/dir/2009/147/oj" TargetMode="External"/><Relationship Id="rId25" Type="http://schemas.openxmlformats.org/officeDocument/2006/relationships/hyperlink" Target="http://data.europa.eu/eli/dir/2011/92/oj" TargetMode="External"/><Relationship Id="rId2" Type="http://schemas.openxmlformats.org/officeDocument/2006/relationships/hyperlink" Target="https://cor.europa.eu/nl/node/23299" TargetMode="External"/><Relationship Id="rId16" Type="http://schemas.openxmlformats.org/officeDocument/2006/relationships/hyperlink" Target="http://data.europa.eu/eli/dir/1992/43/oj" TargetMode="External"/><Relationship Id="rId20" Type="http://schemas.openxmlformats.org/officeDocument/2006/relationships/hyperlink" Target="http://data.europa.eu/eli/dir/1992/43/oj" TargetMode="External"/><Relationship Id="rId29" Type="http://schemas.openxmlformats.org/officeDocument/2006/relationships/hyperlink" Target="http://data.europa.eu/eli/reg/2021/1119/oj" TargetMode="External"/><Relationship Id="rId1" Type="http://schemas.openxmlformats.org/officeDocument/2006/relationships/hyperlink" Target="https://energy.ec.europa.eu/events/implementation-dialogue-permitting-renewable-energy-projects-and-related-infrastructure-commissioner-2025-06-11_en" TargetMode="External"/><Relationship Id="rId6" Type="http://schemas.openxmlformats.org/officeDocument/2006/relationships/hyperlink" Target="http://www.ca-res.eu" TargetMode="External"/><Relationship Id="rId11" Type="http://schemas.openxmlformats.org/officeDocument/2006/relationships/hyperlink" Target="ELI:%20http://data.europa.eu/eli/dir/2024/1788/oj" TargetMode="External"/><Relationship Id="rId24" Type="http://schemas.openxmlformats.org/officeDocument/2006/relationships/hyperlink" Target="http://data.europa.eu/eli/dir/2009/147/oj" TargetMode="External"/><Relationship Id="rId5" Type="http://schemas.openxmlformats.org/officeDocument/2006/relationships/hyperlink" Target="https://data.europa.eu/doi/10.2833/2257747" TargetMode="External"/><Relationship Id="rId15" Type="http://schemas.openxmlformats.org/officeDocument/2006/relationships/hyperlink" Target="http://data.europa.eu/eli/dir/1992/43/oj" TargetMode="External"/><Relationship Id="rId23" Type="http://schemas.openxmlformats.org/officeDocument/2006/relationships/hyperlink" Target="http://data.europa.eu/eli/dir/2009/147/oj" TargetMode="External"/><Relationship Id="rId28" Type="http://schemas.openxmlformats.org/officeDocument/2006/relationships/hyperlink" Target="http://data.europa.eu/eli/reg/2021/1119/oj" TargetMode="External"/><Relationship Id="rId10" Type="http://schemas.openxmlformats.org/officeDocument/2006/relationships/hyperlink" Target="http://data.europa.eu/eli/reco/2024/1343/oj" TargetMode="External"/><Relationship Id="rId19" Type="http://schemas.openxmlformats.org/officeDocument/2006/relationships/hyperlink" Target="http://data.europa.eu/eli/dir/1992/43/oj" TargetMode="External"/><Relationship Id="rId4" Type="http://schemas.openxmlformats.org/officeDocument/2006/relationships/hyperlink" Target="https://op.europa.eu/en/publication-detail/-/publication/949ddae8-0674-11ee-b12e-01aa75ed71a1" TargetMode="External"/><Relationship Id="rId9" Type="http://schemas.openxmlformats.org/officeDocument/2006/relationships/hyperlink" Target="http://data.europa.eu/eli/dir/2018/2001/oj" TargetMode="External"/><Relationship Id="rId14" Type="http://schemas.openxmlformats.org/officeDocument/2006/relationships/hyperlink" Target="http://data.europa.eu/eli/reg/2022/869/oj" TargetMode="External"/><Relationship Id="rId22" Type="http://schemas.openxmlformats.org/officeDocument/2006/relationships/hyperlink" Target="http://data.europa.eu/eli/dir/2001/42/oj" TargetMode="External"/><Relationship Id="rId27" Type="http://schemas.openxmlformats.org/officeDocument/2006/relationships/hyperlink" Target="http://data.europa.eu/eli/dir/2024/1788/oj" TargetMode="External"/><Relationship Id="rId30" Type="http://schemas.openxmlformats.org/officeDocument/2006/relationships/hyperlink" Target="https://myintracomm.ec.europa.eu/corp/budget/financial-rules/budget-implementation/Pages/implementation-methods.aspx"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FF5DE7-9687-4B60-85AB-C93B28C0A4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30</TotalTime>
  <Pages>28</Pages>
  <Words>27942</Words>
  <Characters>159273</Characters>
  <Application>Microsoft Office Word</Application>
  <DocSecurity>0</DocSecurity>
  <Lines>1327</Lines>
  <Paragraphs>373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186842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19</cp:revision>
  <dcterms:created xsi:type="dcterms:W3CDTF">2025-12-09T16:10:00Z</dcterms:created>
  <dcterms:modified xsi:type="dcterms:W3CDTF">2026-02-11T08:01:00Z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 edited using">
    <vt:lpwstr>LW 9.2, Build 20250828</vt:lpwstr>
  </property>
  <property fmtid="{D5CDD505-2E9C-101B-9397-08002B2CF9AE}" pid="3" name="Category">
    <vt:lpwstr>COM/PL/ORG</vt:lpwstr>
  </property>
  <property fmtid="{D5CDD505-2E9C-101B-9397-08002B2CF9AE}" pid="4" name="MSIP_Label_6bd9ddd1-4d20-43f6-abfa-fc3c07406f94_Enabled">
    <vt:lpwstr>true</vt:lpwstr>
  </property>
  <property fmtid="{D5CDD505-2E9C-101B-9397-08002B2CF9AE}" pid="5" name="MSIP_Label_6bd9ddd1-4d20-43f6-abfa-fc3c07406f94_SetDate">
    <vt:lpwstr>2025-12-09T19:15:32Z</vt:lpwstr>
  </property>
  <property fmtid="{D5CDD505-2E9C-101B-9397-08002B2CF9AE}" pid="6" name="MSIP_Label_6bd9ddd1-4d20-43f6-abfa-fc3c07406f94_Method">
    <vt:lpwstr>Standard</vt:lpwstr>
  </property>
  <property fmtid="{D5CDD505-2E9C-101B-9397-08002B2CF9AE}" pid="7" name="MSIP_Label_6bd9ddd1-4d20-43f6-abfa-fc3c07406f94_Name">
    <vt:lpwstr>Commission Use</vt:lpwstr>
  </property>
  <property fmtid="{D5CDD505-2E9C-101B-9397-08002B2CF9AE}" pid="8" name="MSIP_Label_6bd9ddd1-4d20-43f6-abfa-fc3c07406f94_SiteId">
    <vt:lpwstr>b24c8b06-522c-46fe-9080-70926f8dddb1</vt:lpwstr>
  </property>
  <property fmtid="{D5CDD505-2E9C-101B-9397-08002B2CF9AE}" pid="9" name="MSIP_Label_6bd9ddd1-4d20-43f6-abfa-fc3c07406f94_ActionId">
    <vt:lpwstr>f723144c-90a5-4679-accc-512d1aa25089</vt:lpwstr>
  </property>
  <property fmtid="{D5CDD505-2E9C-101B-9397-08002B2CF9AE}" pid="10" name="MSIP_Label_6bd9ddd1-4d20-43f6-abfa-fc3c07406f94_ContentBits">
    <vt:lpwstr>0</vt:lpwstr>
  </property>
  <property fmtid="{D5CDD505-2E9C-101B-9397-08002B2CF9AE}" pid="11" name="MSIP_Label_6bd9ddd1-4d20-43f6-abfa-fc3c07406f94_Tag">
    <vt:lpwstr>10, 3, 0, 1</vt:lpwstr>
  </property>
  <property fmtid="{D5CDD505-2E9C-101B-9397-08002B2CF9AE}" pid="12" name="Level of sensitivity">
    <vt:lpwstr>Standard treatment</vt:lpwstr>
  </property>
  <property fmtid="{D5CDD505-2E9C-101B-9397-08002B2CF9AE}" pid="13" name="Part">
    <vt:lpwstr>1</vt:lpwstr>
  </property>
  <property fmtid="{D5CDD505-2E9C-101B-9397-08002B2CF9AE}" pid="14" name="Total parts">
    <vt:lpwstr>1</vt:lpwstr>
  </property>
  <property fmtid="{D5CDD505-2E9C-101B-9397-08002B2CF9AE}" pid="15" name="LWTemplateID">
    <vt:lpwstr>SJ-024</vt:lpwstr>
  </property>
  <property fmtid="{D5CDD505-2E9C-101B-9397-08002B2CF9AE}" pid="16" name="DQCStatus">
    <vt:lpwstr>Green (DQC version 03)</vt:lpwstr>
  </property>
</Properties>
</file>