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39B" w:rsidRPr="006343A0" w:rsidRDefault="0052265F" w:rsidP="0052265F">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B22951E5-5F5B-460D-A1DF-4B4BCC9A605F" style="width:455.25pt;height:396.75pt">
            <v:imagedata r:id="rId11" o:title=""/>
          </v:shape>
        </w:pict>
      </w:r>
    </w:p>
    <w:p w:rsidR="00C752C6" w:rsidRPr="006343A0" w:rsidRDefault="00C752C6" w:rsidP="00C752C6">
      <w:pPr>
        <w:pStyle w:val="Pagedecouverture"/>
        <w:rPr>
          <w:noProof/>
        </w:rPr>
        <w:sectPr w:rsidR="00C752C6" w:rsidRPr="006343A0" w:rsidSect="0052265F">
          <w:footerReference w:type="even" r:id="rId12"/>
          <w:footerReference w:type="default" r:id="rId13"/>
          <w:pgSz w:w="11907" w:h="16839"/>
          <w:pgMar w:top="1134" w:right="1417" w:bottom="1134" w:left="1417" w:header="709" w:footer="709" w:gutter="0"/>
          <w:pgNumType w:start="0"/>
          <w:cols w:space="720"/>
          <w:docGrid w:linePitch="360"/>
        </w:sectPr>
      </w:pPr>
    </w:p>
    <w:p w:rsidR="0070239B" w:rsidRPr="006343A0" w:rsidRDefault="00EA14B3">
      <w:pPr>
        <w:pStyle w:val="Exposdesmotifstitre"/>
        <w:rPr>
          <w:noProof/>
        </w:rPr>
      </w:pPr>
      <w:bookmarkStart w:id="0" w:name="_GoBack"/>
      <w:bookmarkEnd w:id="0"/>
      <w:r w:rsidRPr="006343A0">
        <w:rPr>
          <w:noProof/>
        </w:rPr>
        <w:lastRenderedPageBreak/>
        <w:t>TOELICHTING</w:t>
      </w:r>
    </w:p>
    <w:p w:rsidR="0070239B" w:rsidRPr="006343A0" w:rsidRDefault="00EA14B3">
      <w:pPr>
        <w:pStyle w:val="ManualHeading1"/>
        <w:rPr>
          <w:noProof/>
        </w:rPr>
      </w:pPr>
      <w:bookmarkStart w:id="1" w:name="_Toc484762486"/>
      <w:r w:rsidRPr="006343A0">
        <w:rPr>
          <w:noProof/>
        </w:rPr>
        <w:t>1.</w:t>
      </w:r>
      <w:r w:rsidRPr="006343A0">
        <w:rPr>
          <w:noProof/>
        </w:rPr>
        <w:tab/>
        <w:t>Achtergrond van het voorstel</w:t>
      </w:r>
      <w:bookmarkEnd w:id="1"/>
    </w:p>
    <w:p w:rsidR="0099685F" w:rsidRPr="006343A0" w:rsidRDefault="0099685F" w:rsidP="0099685F">
      <w:pPr>
        <w:rPr>
          <w:noProof/>
        </w:rPr>
      </w:pPr>
      <w:r w:rsidRPr="006343A0">
        <w:rPr>
          <w:noProof/>
        </w:rPr>
        <w:t>Dit besluit heeft betrekking op het beschikbaar stellen van middelen uit het Solidariteitsfonds van de Europese Unie (hierna “het SFEU” genoemd) overeenkomstig Verordening (EG) nr. 2012/2002 van de Raad</w:t>
      </w:r>
      <w:r w:rsidRPr="006343A0">
        <w:rPr>
          <w:rStyle w:val="FootnoteReference"/>
          <w:noProof/>
        </w:rPr>
        <w:footnoteReference w:id="2"/>
      </w:r>
      <w:r w:rsidRPr="006343A0">
        <w:rPr>
          <w:noProof/>
        </w:rPr>
        <w:t xml:space="preserve"> (hierna “de SFEU-verordening” genoemd), voor een bedrag van 1 057 018 077 EUR aan bijstand voor Spanje naar aanleiding van de overstromingen in de regio Valencia in oktober 2024, en voor Frankrijk naar aanleiding van de schade die is veroorzaakt door cycloon Chido op Mayotte in december 2024 en cycloon Garance op Réunion in februari 2025.</w:t>
      </w:r>
    </w:p>
    <w:p w:rsidR="0099685F" w:rsidRPr="006343A0" w:rsidRDefault="0099685F" w:rsidP="0099685F">
      <w:pPr>
        <w:rPr>
          <w:noProof/>
          <w:snapToGrid w:val="0"/>
        </w:rPr>
      </w:pPr>
      <w:r w:rsidRPr="006343A0">
        <w:rPr>
          <w:noProof/>
        </w:rPr>
        <w:t xml:space="preserve">Deze beschikbaarstelling gaat vergezeld van </w:t>
      </w:r>
      <w:r w:rsidRPr="006343A0">
        <w:rPr>
          <w:noProof/>
          <w:color w:val="000000" w:themeColor="text1"/>
        </w:rPr>
        <w:t>DEC16/2025</w:t>
      </w:r>
      <w:r w:rsidRPr="006343A0">
        <w:rPr>
          <w:noProof/>
        </w:rPr>
        <w:t>, waarin wordt voorgesteld een bedrag van 927 926 981 EUR van de reserve voor Europese solidariteit (hierna “de ESR” genoemd) over te boeken naar het begrotingsonderdeel voor beleidsuitgaven van het SFEU in de vorm van vastleggings- en betalingskredieten.</w:t>
      </w:r>
    </w:p>
    <w:p w:rsidR="0099685F" w:rsidRPr="006343A0" w:rsidRDefault="0099685F" w:rsidP="0027390F">
      <w:pPr>
        <w:pStyle w:val="ManualHeading1"/>
        <w:rPr>
          <w:noProof/>
        </w:rPr>
      </w:pPr>
      <w:bookmarkStart w:id="2" w:name="_Toc484762487"/>
      <w:r w:rsidRPr="006343A0">
        <w:rPr>
          <w:noProof/>
        </w:rPr>
        <w:t>2.</w:t>
      </w:r>
      <w:r w:rsidRPr="006343A0">
        <w:rPr>
          <w:noProof/>
        </w:rPr>
        <w:tab/>
        <w:t>Informatie en voorwaarden</w:t>
      </w:r>
      <w:bookmarkEnd w:id="2"/>
    </w:p>
    <w:p w:rsidR="00770D01" w:rsidRPr="006343A0" w:rsidRDefault="0099685F" w:rsidP="00526770">
      <w:pPr>
        <w:pStyle w:val="ManualHeading2"/>
        <w:tabs>
          <w:tab w:val="clear" w:pos="850"/>
        </w:tabs>
        <w:spacing w:before="240"/>
        <w:ind w:left="0" w:firstLine="0"/>
        <w:rPr>
          <w:noProof/>
        </w:rPr>
      </w:pPr>
      <w:r w:rsidRPr="006343A0">
        <w:rPr>
          <w:noProof/>
        </w:rPr>
        <w:t>2.1</w:t>
      </w:r>
      <w:r w:rsidRPr="006343A0">
        <w:rPr>
          <w:noProof/>
        </w:rPr>
        <w:tab/>
      </w:r>
      <w:bookmarkStart w:id="3" w:name="_Hlk196898248"/>
      <w:r w:rsidRPr="006343A0">
        <w:rPr>
          <w:noProof/>
        </w:rPr>
        <w:t>Spanje – grote natuurramp: overstromingen in oktober 2024</w:t>
      </w:r>
    </w:p>
    <w:p w:rsidR="00960C59" w:rsidRPr="006343A0" w:rsidRDefault="00120DB0" w:rsidP="00120DB0">
      <w:pPr>
        <w:pStyle w:val="Point0"/>
        <w:rPr>
          <w:noProof/>
        </w:rPr>
      </w:pPr>
      <w:r w:rsidRPr="00120DB0">
        <w:rPr>
          <w:noProof/>
        </w:rPr>
        <w:t>(1)</w:t>
      </w:r>
      <w:r w:rsidRPr="00120DB0">
        <w:rPr>
          <w:noProof/>
        </w:rPr>
        <w:tab/>
      </w:r>
      <w:r w:rsidR="008A5A44" w:rsidRPr="006343A0">
        <w:rPr>
          <w:noProof/>
        </w:rPr>
        <w:t>Op 20 januari 2025 heeft Spanje een aanvraag ingediend voor een financiële bijdrage uit het SFEU ter financiering van nood- en herstelacties naar aanleiding van de overstromingen in de regio Valencia in oktober 2024. Op 14 augustus 2025 heeft Spanje aanvullende toelichtingen op de gegevens en informatie in de SFEU-aanvraag ingediend.</w:t>
      </w:r>
    </w:p>
    <w:p w:rsidR="00960C59" w:rsidRPr="006343A0" w:rsidRDefault="00120DB0" w:rsidP="00120DB0">
      <w:pPr>
        <w:pStyle w:val="Point0"/>
        <w:rPr>
          <w:noProof/>
        </w:rPr>
      </w:pPr>
      <w:r w:rsidRPr="00120DB0">
        <w:rPr>
          <w:noProof/>
        </w:rPr>
        <w:t>(2)</w:t>
      </w:r>
      <w:r w:rsidRPr="00120DB0">
        <w:rPr>
          <w:noProof/>
        </w:rPr>
        <w:tab/>
      </w:r>
      <w:r w:rsidR="51D2B5DA" w:rsidRPr="006343A0">
        <w:rPr>
          <w:noProof/>
        </w:rPr>
        <w:t>Spanje heeft de aanvraag voor een bijdrage uit het SFEU ingediend binnen de termijn van twaalf weken na de eerste schade die door de ramp werd veroorzaakt op 28 oktober 2024. De aanvraag bevat alle overeenkomstig artikel 4 van de SFEU-verordening gevraagde informatie.</w:t>
      </w:r>
    </w:p>
    <w:p w:rsidR="00960C59" w:rsidRPr="006343A0" w:rsidRDefault="00120DB0" w:rsidP="00120DB0">
      <w:pPr>
        <w:pStyle w:val="Point0"/>
        <w:rPr>
          <w:noProof/>
        </w:rPr>
      </w:pPr>
      <w:r w:rsidRPr="00120DB0">
        <w:rPr>
          <w:noProof/>
        </w:rPr>
        <w:t>(3)</w:t>
      </w:r>
      <w:r w:rsidRPr="00120DB0">
        <w:rPr>
          <w:noProof/>
        </w:rPr>
        <w:tab/>
      </w:r>
      <w:r w:rsidR="00960C59" w:rsidRPr="006343A0">
        <w:rPr>
          <w:noProof/>
        </w:rPr>
        <w:t>De ramp had een natuurlijke oorzaak en valt dus onder het toepassingsgebied van het SFEU.</w:t>
      </w:r>
    </w:p>
    <w:p w:rsidR="00EE68E4" w:rsidRPr="006343A0" w:rsidRDefault="00120DB0" w:rsidP="00120DB0">
      <w:pPr>
        <w:pStyle w:val="Point0"/>
        <w:rPr>
          <w:noProof/>
        </w:rPr>
      </w:pPr>
      <w:r w:rsidRPr="00120DB0">
        <w:rPr>
          <w:noProof/>
        </w:rPr>
        <w:t>(4)</w:t>
      </w:r>
      <w:r w:rsidRPr="00120DB0">
        <w:rPr>
          <w:noProof/>
        </w:rPr>
        <w:tab/>
      </w:r>
      <w:r w:rsidR="00F97E0F" w:rsidRPr="006343A0">
        <w:rPr>
          <w:noProof/>
        </w:rPr>
        <w:t>De Spaanse autoriteiten ramen de totale directe schade van de ramp op 20,28 miljard EUR. De Commissie heeft 18,08 miljard EUR als plausibele totale directe schade aanvaard. Dat bedrag overschrijdt de drempel van 0,6 % van het bruto nationaal inkomen van Spanje voor een “grote natuurramp”, namelijk 3,96 miljard EUR in 2025</w:t>
      </w:r>
      <w:r w:rsidR="00F97E0F" w:rsidRPr="006343A0">
        <w:rPr>
          <w:rStyle w:val="FootnoteReference"/>
          <w:noProof/>
        </w:rPr>
        <w:footnoteReference w:id="3"/>
      </w:r>
      <w:r w:rsidR="00F97E0F" w:rsidRPr="006343A0">
        <w:rPr>
          <w:noProof/>
        </w:rPr>
        <w:t>. De ramp kan daarom worden aangemerkt als een “grote natuurramp” in de zin van artikel 2, lid 2, van de SFEU-verordening.</w:t>
      </w:r>
    </w:p>
    <w:p w:rsidR="00960C59" w:rsidRPr="006343A0" w:rsidRDefault="00120DB0" w:rsidP="00120DB0">
      <w:pPr>
        <w:pStyle w:val="Point0"/>
        <w:rPr>
          <w:noProof/>
        </w:rPr>
      </w:pPr>
      <w:r w:rsidRPr="00120DB0">
        <w:rPr>
          <w:noProof/>
        </w:rPr>
        <w:t>(5)</w:t>
      </w:r>
      <w:r w:rsidRPr="00120DB0">
        <w:rPr>
          <w:noProof/>
        </w:rPr>
        <w:tab/>
      </w:r>
      <w:r w:rsidR="00960C59" w:rsidRPr="006343A0">
        <w:rPr>
          <w:noProof/>
        </w:rPr>
        <w:t>De totale directe schade vormt de basis voor de berekening van de financiële bijdrage uit het SFEU. De financiële bijdrage mag uitsluitend worden gebruikt voor noodacties inzake eerste levensbehoeften en herstel, zoals gedefinieerd in artikel 3 van de SFEU-verordening.</w:t>
      </w:r>
    </w:p>
    <w:p w:rsidR="00960C59" w:rsidRPr="006343A0" w:rsidRDefault="00120DB0" w:rsidP="00120DB0">
      <w:pPr>
        <w:pStyle w:val="Point0"/>
        <w:rPr>
          <w:noProof/>
        </w:rPr>
      </w:pPr>
      <w:r w:rsidRPr="00120DB0">
        <w:rPr>
          <w:noProof/>
        </w:rPr>
        <w:t>(6)</w:t>
      </w:r>
      <w:r w:rsidRPr="00120DB0">
        <w:rPr>
          <w:noProof/>
        </w:rPr>
        <w:tab/>
      </w:r>
      <w:r w:rsidR="001C7FDB" w:rsidRPr="006343A0">
        <w:rPr>
          <w:noProof/>
        </w:rPr>
        <w:t>Spanje heeft verzocht om betaling van een voorschot overeenkomstig artikel 4 bis van de SFEU-verordening. Op basis van de voorlopige beoordeling heeft de Commissie geconcludeerd dat aan de voorwaarden voor uitkering van een voorschot uit het SFEU was voldaan. Daarom is bij Uitvoeringsbesluit C(2025) 1798 van de Commissie van 20 maart 2025 een voorschot van 100 000 000 EUR toegekend. Het voorschot werd op 8 april 2025 aan Spanje betaald.</w:t>
      </w:r>
    </w:p>
    <w:p w:rsidR="00960C59" w:rsidRPr="006343A0" w:rsidRDefault="00120DB0" w:rsidP="00120DB0">
      <w:pPr>
        <w:pStyle w:val="Point0"/>
        <w:rPr>
          <w:noProof/>
        </w:rPr>
      </w:pPr>
      <w:r w:rsidRPr="00120DB0">
        <w:rPr>
          <w:noProof/>
        </w:rPr>
        <w:t>(7)</w:t>
      </w:r>
      <w:r w:rsidRPr="00120DB0">
        <w:rPr>
          <w:noProof/>
        </w:rPr>
        <w:tab/>
      </w:r>
      <w:r w:rsidR="002A4D39" w:rsidRPr="006343A0">
        <w:rPr>
          <w:noProof/>
        </w:rPr>
        <w:t>Tussen 28 oktober en 4 november 2024 werd de hele regio Valencia in Spanje getroffen door een storm met hevige regenval, wat tot ernstige overstromingen leidde. De ramp trof 2 600 huizen en een oppervlakte van meer dan 500 vierkante kilometer. Duizenden gezinnen hadden geen elektriciteit, drinkwater en telefoon, en er werd aanzienlijke schade toegebracht aan openbare infrastructuur en goederen. Er werden meer dan 170 onderwijsinstellingen en meer dan 50 zorginstellingen getroffen. De overstromingen eisten 232 dodelijke slachtoffers.</w:t>
      </w:r>
    </w:p>
    <w:p w:rsidR="00960C59" w:rsidRPr="006343A0" w:rsidRDefault="00120DB0" w:rsidP="00120DB0">
      <w:pPr>
        <w:pStyle w:val="Point0"/>
        <w:rPr>
          <w:noProof/>
        </w:rPr>
      </w:pPr>
      <w:r w:rsidRPr="00120DB0">
        <w:rPr>
          <w:noProof/>
        </w:rPr>
        <w:t>(8)</w:t>
      </w:r>
      <w:r w:rsidRPr="00120DB0">
        <w:rPr>
          <w:noProof/>
        </w:rPr>
        <w:tab/>
      </w:r>
      <w:r w:rsidR="006A483F" w:rsidRPr="006343A0">
        <w:rPr>
          <w:noProof/>
        </w:rPr>
        <w:t>De Spaanse autoriteiten verzochten om bijstand via het Uniemechanisme voor civiele bescherming. Verscheidene EU-lidstaten verklaarden zich bereid om steun te verlenen. Spanje aanvaardde het aanbod van Frankrijk en Portugal, die snel gespecialiseerde machines en voertuigen voor afvalbeheer leverden. Er werden twee verbindingsfunctionarissen van de EU ingezet om de steun ter plaatse te coördineren.</w:t>
      </w:r>
    </w:p>
    <w:p w:rsidR="00960C59" w:rsidRPr="006343A0" w:rsidRDefault="00120DB0" w:rsidP="00120DB0">
      <w:pPr>
        <w:pStyle w:val="Point0"/>
        <w:rPr>
          <w:noProof/>
        </w:rPr>
      </w:pPr>
      <w:r w:rsidRPr="00120DB0">
        <w:rPr>
          <w:noProof/>
        </w:rPr>
        <w:t>(9)</w:t>
      </w:r>
      <w:r w:rsidRPr="00120DB0">
        <w:rPr>
          <w:noProof/>
        </w:rPr>
        <w:tab/>
      </w:r>
      <w:r w:rsidR="000D52CB" w:rsidRPr="006343A0">
        <w:rPr>
          <w:noProof/>
        </w:rPr>
        <w:t>Spanje raamde de subsidiabele kosten van acties overeenkomstig artikel 3, lid 2, van de SFEU-verordening op 4,39 miljard EUR en verstrekte een uitsplitsing naar soort van acties. Het grootste deel van de kosten heeft betrekking op het herstel van de werking van infrastructuur en installaties op het gebied van energie- en watervoorziening, afvalwater, telecommunicatie, vervoer, gezondheidszorg en onderwijs, en bedraagt 3,51 miljard EUR. Het op één na grootste deel van de kosten heeft betrekking op opruimwerkzaamheden in het geteisterde gebied en bedraagt 561 miljoen EUR. Het op twee na grootste deel van de kosten heeft betrekking op voorlopige huisvestingsmaatregelen en de inzet van hulpdiensten en bedraagt 326 miljoen EUR.</w:t>
      </w:r>
    </w:p>
    <w:p w:rsidR="00960C59" w:rsidRPr="006343A0" w:rsidRDefault="00120DB0" w:rsidP="00120DB0">
      <w:pPr>
        <w:pStyle w:val="Point0"/>
        <w:rPr>
          <w:noProof/>
        </w:rPr>
      </w:pPr>
      <w:r w:rsidRPr="00120DB0">
        <w:rPr>
          <w:noProof/>
        </w:rPr>
        <w:t>(10)</w:t>
      </w:r>
      <w:r w:rsidRPr="00120DB0">
        <w:rPr>
          <w:noProof/>
        </w:rPr>
        <w:tab/>
      </w:r>
      <w:r w:rsidR="00305172" w:rsidRPr="006343A0">
        <w:rPr>
          <w:noProof/>
        </w:rPr>
        <w:t>In Spanje gebeurde de omzetting van Richtlijn 2007/60/EG</w:t>
      </w:r>
      <w:r w:rsidR="00305172" w:rsidRPr="006343A0">
        <w:rPr>
          <w:rStyle w:val="FootnoteReference"/>
          <w:noProof/>
        </w:rPr>
        <w:footnoteReference w:id="4"/>
      </w:r>
      <w:r w:rsidR="00305172" w:rsidRPr="006343A0">
        <w:rPr>
          <w:noProof/>
        </w:rPr>
        <w:t xml:space="preserve"> bij Koninklijk Besluit 903/2010 van 9 juli 2007 betreffende de beoordeling en het beheer van overstromingsrisico’s.</w:t>
      </w:r>
    </w:p>
    <w:p w:rsidR="00960C59" w:rsidRPr="006343A0" w:rsidRDefault="00120DB0" w:rsidP="00120DB0">
      <w:pPr>
        <w:pStyle w:val="Point0"/>
        <w:rPr>
          <w:noProof/>
        </w:rPr>
      </w:pPr>
      <w:r w:rsidRPr="00120DB0">
        <w:rPr>
          <w:noProof/>
        </w:rPr>
        <w:t>(11)</w:t>
      </w:r>
      <w:r w:rsidRPr="00120DB0">
        <w:rPr>
          <w:noProof/>
        </w:rPr>
        <w:tab/>
      </w:r>
      <w:r w:rsidR="00960C59" w:rsidRPr="006343A0">
        <w:rPr>
          <w:noProof/>
        </w:rPr>
        <w:t>Op de datum waarop de aanvraag werd ingediend, liepen tegen Spanje geen inbreukprocedures op het vlak van de Uniewetgeving in verband met de aard van de ramp.</w:t>
      </w:r>
      <w:bookmarkStart w:id="4" w:name="_Hlk198553391"/>
      <w:bookmarkEnd w:id="3"/>
    </w:p>
    <w:bookmarkEnd w:id="4"/>
    <w:p w:rsidR="00401FF0" w:rsidRPr="006343A0" w:rsidRDefault="00401FF0" w:rsidP="00526770">
      <w:pPr>
        <w:pStyle w:val="ManualHeading2"/>
        <w:tabs>
          <w:tab w:val="clear" w:pos="850"/>
        </w:tabs>
        <w:spacing w:before="240"/>
        <w:ind w:left="0" w:firstLine="0"/>
        <w:rPr>
          <w:noProof/>
        </w:rPr>
      </w:pPr>
      <w:r w:rsidRPr="006343A0">
        <w:rPr>
          <w:noProof/>
        </w:rPr>
        <w:t>2.2</w:t>
      </w:r>
      <w:r w:rsidRPr="006343A0">
        <w:rPr>
          <w:noProof/>
        </w:rPr>
        <w:tab/>
        <w:t>Frankrijk – regionale natuurramp: cycloon op Mayotte in december 2024</w:t>
      </w:r>
    </w:p>
    <w:p w:rsidR="00F82BDB" w:rsidRPr="006343A0" w:rsidRDefault="00120DB0" w:rsidP="00120DB0">
      <w:pPr>
        <w:pStyle w:val="Point0"/>
        <w:rPr>
          <w:noProof/>
        </w:rPr>
      </w:pPr>
      <w:r w:rsidRPr="00120DB0">
        <w:rPr>
          <w:noProof/>
        </w:rPr>
        <w:t>(1)</w:t>
      </w:r>
      <w:r w:rsidRPr="00120DB0">
        <w:rPr>
          <w:noProof/>
        </w:rPr>
        <w:tab/>
      </w:r>
      <w:r w:rsidR="006701B8" w:rsidRPr="006343A0">
        <w:rPr>
          <w:noProof/>
        </w:rPr>
        <w:t>Op 7 maart 2025 heeft Frankrijk een aanvraag ingediend voor een financiële bijdrage uit het SFEU ter financiering van nood- en herstelacties naar aanleiding van de schade die is veroorzaakt door de cycloon Chido op Mayotte (Frankrijk) in december 2024.</w:t>
      </w:r>
    </w:p>
    <w:p w:rsidR="006701B8" w:rsidRPr="006343A0" w:rsidRDefault="00120DB0" w:rsidP="00120DB0">
      <w:pPr>
        <w:pStyle w:val="Point0"/>
        <w:rPr>
          <w:noProof/>
        </w:rPr>
      </w:pPr>
      <w:r w:rsidRPr="00120DB0">
        <w:rPr>
          <w:noProof/>
        </w:rPr>
        <w:t>(2)</w:t>
      </w:r>
      <w:r w:rsidRPr="00120DB0">
        <w:rPr>
          <w:noProof/>
        </w:rPr>
        <w:tab/>
      </w:r>
      <w:r w:rsidR="006701B8" w:rsidRPr="006343A0">
        <w:rPr>
          <w:noProof/>
        </w:rPr>
        <w:t>Frankrijk heeft een bijdrage uit het SFEU aangevraagd binnen de termijn van twaalf weken na de eerste schade die door de ramp werd veroorzaakt op 14 december 2024. De aanvraag bevat alle overeenkomstig artikel 4 van de SFEU-verordening gevraagde informatie.</w:t>
      </w:r>
    </w:p>
    <w:p w:rsidR="006701B8" w:rsidRPr="006343A0" w:rsidRDefault="00120DB0" w:rsidP="00120DB0">
      <w:pPr>
        <w:pStyle w:val="Point0"/>
        <w:rPr>
          <w:noProof/>
        </w:rPr>
      </w:pPr>
      <w:r w:rsidRPr="00120DB0">
        <w:rPr>
          <w:noProof/>
        </w:rPr>
        <w:t>(3)</w:t>
      </w:r>
      <w:r w:rsidRPr="00120DB0">
        <w:rPr>
          <w:noProof/>
        </w:rPr>
        <w:tab/>
      </w:r>
      <w:r w:rsidR="006701B8" w:rsidRPr="006343A0">
        <w:rPr>
          <w:noProof/>
        </w:rPr>
        <w:t>De ramp had een natuurlijke oorzaak en valt dus onder het toepassingsgebied van het SFEU.</w:t>
      </w:r>
    </w:p>
    <w:p w:rsidR="006701B8" w:rsidRPr="006343A0" w:rsidRDefault="00120DB0" w:rsidP="00120DB0">
      <w:pPr>
        <w:pStyle w:val="Point0"/>
        <w:rPr>
          <w:noProof/>
        </w:rPr>
      </w:pPr>
      <w:r w:rsidRPr="00120DB0">
        <w:rPr>
          <w:noProof/>
        </w:rPr>
        <w:t>(4)</w:t>
      </w:r>
      <w:r w:rsidRPr="00120DB0">
        <w:rPr>
          <w:noProof/>
        </w:rPr>
        <w:tab/>
      </w:r>
      <w:r w:rsidR="006701B8" w:rsidRPr="006343A0">
        <w:rPr>
          <w:noProof/>
        </w:rPr>
        <w:t>De Franse autoriteiten dienden de aanvraag in op grond van het criterium “regionale natuurramp” overeenkomstig artikel 2, lid 3, van de SFEU-verordening. Dat is elke natuurramp in een regio op NUTS-niveau 2 van een subsidiabele staat die leidt tot directe schade van meer dan 1,5 % van het bruto binnenlands product (bbp) van die regio of 1 % van het regionaal bbp als het om een ultraperifeer gebied gaat. De Franse autoriteiten ramen de totale directe schade die door de ramp is veroorzaakt op 3,8 miljard EUR. De Commissie heeft 3,6 miljard EUR als plausibele totale directe schade aanvaard. Dit bedrag overschrijdt de aangegeven toepasselijke drempel voor “regionale ramp”, namelijk 33,47 miljoen EUR voor Mayotte in 2025</w:t>
      </w:r>
      <w:r w:rsidR="006701B8" w:rsidRPr="006343A0">
        <w:rPr>
          <w:rStyle w:val="FootnoteReference"/>
          <w:noProof/>
        </w:rPr>
        <w:footnoteReference w:id="5"/>
      </w:r>
      <w:r w:rsidR="006701B8" w:rsidRPr="006343A0">
        <w:rPr>
          <w:noProof/>
        </w:rPr>
        <w:t>.</w:t>
      </w:r>
    </w:p>
    <w:p w:rsidR="006701B8" w:rsidRPr="006343A0" w:rsidRDefault="00120DB0" w:rsidP="00120DB0">
      <w:pPr>
        <w:pStyle w:val="Point0"/>
        <w:rPr>
          <w:noProof/>
        </w:rPr>
      </w:pPr>
      <w:r w:rsidRPr="00120DB0">
        <w:rPr>
          <w:noProof/>
        </w:rPr>
        <w:t>(5)</w:t>
      </w:r>
      <w:r w:rsidRPr="00120DB0">
        <w:rPr>
          <w:noProof/>
        </w:rPr>
        <w:tab/>
      </w:r>
      <w:r w:rsidR="006701B8" w:rsidRPr="006343A0">
        <w:rPr>
          <w:noProof/>
        </w:rPr>
        <w:t>De totale directe schade vormt de basis voor de berekening van de financiële bijdrage uit het SFEU. De financiële bijdrage mag uitsluitend worden gebruikt voor noodacties inzake eerste levensbehoeften en herstel, zoals gedefinieerd in artikel 3 van de SFEU-verordening.</w:t>
      </w:r>
    </w:p>
    <w:p w:rsidR="006701B8" w:rsidRPr="006343A0" w:rsidRDefault="00120DB0" w:rsidP="00120DB0">
      <w:pPr>
        <w:pStyle w:val="Point0"/>
        <w:rPr>
          <w:noProof/>
        </w:rPr>
      </w:pPr>
      <w:r w:rsidRPr="00120DB0">
        <w:rPr>
          <w:noProof/>
        </w:rPr>
        <w:t>(6)</w:t>
      </w:r>
      <w:r w:rsidRPr="00120DB0">
        <w:rPr>
          <w:noProof/>
        </w:rPr>
        <w:tab/>
      </w:r>
      <w:r w:rsidR="006701B8" w:rsidRPr="006343A0">
        <w:rPr>
          <w:noProof/>
        </w:rPr>
        <w:t>Frankrijk heeft verzocht om betaling van een voorschot overeenkomstig artikel 4 bis van de SFEU-verordening. Op basis van de voorlopige beoordeling heeft de Commissie geconcludeerd dat aan de voorwaarden voor uitkering van een voorschot uit het SFEU was voldaan. Daarom is bij Uitvoeringsbesluit C(2025) 3192 van de Commissie van 20 mei 2025 een voorschot van 23 782 012 EUR toegekend. Het voorschot is op 4 juni 2025 aan Frankrijk betaald.</w:t>
      </w:r>
    </w:p>
    <w:p w:rsidR="006701B8" w:rsidRPr="006343A0" w:rsidRDefault="00120DB0" w:rsidP="00120DB0">
      <w:pPr>
        <w:pStyle w:val="Point0"/>
        <w:rPr>
          <w:noProof/>
        </w:rPr>
      </w:pPr>
      <w:r w:rsidRPr="00120DB0">
        <w:rPr>
          <w:noProof/>
        </w:rPr>
        <w:t>(7)</w:t>
      </w:r>
      <w:r w:rsidRPr="00120DB0">
        <w:rPr>
          <w:noProof/>
        </w:rPr>
        <w:tab/>
      </w:r>
      <w:r w:rsidR="006701B8" w:rsidRPr="006343A0">
        <w:rPr>
          <w:noProof/>
        </w:rPr>
        <w:t>Op 14 december 2024 werd Mayotte (Frankrijk) getroffen door het oog van de cycloon Chido. Het volledige grondgebied werd getroffen door windstoten van meer dan 180 kilometer per uur. De cycloon veroorzaakte ook zware neerslag, met een geraamd totaal van 100 tot 150 mm regen in 12 uur. De zware regenval en de harde wind gingen samen met gevaarlijk hoge golven van 5 tot 9 meter. Alle woningen werden vernield. Het elektriciteits- en waterleidingnet vielen volledig uit en verschillende oversteekmogelijkheden tussen de twee grootste eilanden van Mayotte werden zwaar getroffen. Het openbaar vervoer en het schoolvervoer moesten hun activiteiten tijdelijk staken of aanzienlijk beperken. De cycloon maakte ten minste 39 dodelijke slachtoffers.</w:t>
      </w:r>
    </w:p>
    <w:p w:rsidR="006701B8" w:rsidRPr="006343A0" w:rsidRDefault="00120DB0" w:rsidP="00120DB0">
      <w:pPr>
        <w:pStyle w:val="Point0"/>
        <w:rPr>
          <w:noProof/>
        </w:rPr>
      </w:pPr>
      <w:r w:rsidRPr="00120DB0">
        <w:rPr>
          <w:noProof/>
        </w:rPr>
        <w:t>(8)</w:t>
      </w:r>
      <w:r w:rsidRPr="00120DB0">
        <w:rPr>
          <w:noProof/>
        </w:rPr>
        <w:tab/>
      </w:r>
      <w:r w:rsidR="006701B8" w:rsidRPr="006343A0">
        <w:rPr>
          <w:noProof/>
        </w:rPr>
        <w:t>De Franse autoriteiten verzochten om bijstand via het Uniemechanisme voor civiele bescherming. Het ging onder meer om tenten, veldbedden, slaapzakken, hygiënepakketten en communicatie- en transmissieapparatuur. België, Duitsland, Italië en Zweden verleenden bijstand.</w:t>
      </w:r>
    </w:p>
    <w:p w:rsidR="006701B8" w:rsidRPr="006343A0" w:rsidRDefault="00120DB0" w:rsidP="00120DB0">
      <w:pPr>
        <w:pStyle w:val="Point0"/>
        <w:rPr>
          <w:noProof/>
        </w:rPr>
      </w:pPr>
      <w:r w:rsidRPr="00120DB0">
        <w:rPr>
          <w:noProof/>
        </w:rPr>
        <w:t>(9)</w:t>
      </w:r>
      <w:r w:rsidRPr="00120DB0">
        <w:rPr>
          <w:noProof/>
        </w:rPr>
        <w:tab/>
      </w:r>
      <w:r w:rsidR="006701B8" w:rsidRPr="006343A0">
        <w:rPr>
          <w:noProof/>
        </w:rPr>
        <w:t>Frankrijk raamde de subsidiabele kosten van acties overeenkomstig artikel 3, lid 2, van de SFEU-verordening op 1 256,8 miljoen EUR en verstrekte een uitsplitsing naar soort van acties. Het grootste deel van de kosten voor de noodacties heeft betrekking op het herstel van de werking van infrastructuur en installaties op het gebied van energie- en watervoorziening, afvalwater, telecommunicatie, gezondheidszorg en onderwijs, en bedraagt 883,1 miljoen EUR. Het op één na grootste onderdeel van de kosten heeft betrekking op de inzet van hulpdiensten en bedraagt 323,5 miljoen EUR. Het op twee na grootste deel van de kosten heeft betrekking op opruimwerkzaamheden in het geteisterde gebied en bedraagt 50,2 miljoen EUR.</w:t>
      </w:r>
    </w:p>
    <w:p w:rsidR="006701B8" w:rsidRPr="006343A0" w:rsidRDefault="00120DB0" w:rsidP="00120DB0">
      <w:pPr>
        <w:pStyle w:val="Point0"/>
        <w:rPr>
          <w:noProof/>
        </w:rPr>
      </w:pPr>
      <w:r w:rsidRPr="00120DB0">
        <w:rPr>
          <w:noProof/>
        </w:rPr>
        <w:t>(10)</w:t>
      </w:r>
      <w:r w:rsidRPr="00120DB0">
        <w:rPr>
          <w:noProof/>
        </w:rPr>
        <w:tab/>
      </w:r>
      <w:r w:rsidR="006701B8" w:rsidRPr="006343A0">
        <w:rPr>
          <w:noProof/>
        </w:rPr>
        <w:t>Op de datum waarop de aanvraag werd ingediend, liepen tegen Frankrijk geen inbreukprocedures op het vlak van de Uniewetgeving in verband met de aard van de ramp.</w:t>
      </w:r>
    </w:p>
    <w:p w:rsidR="00052654" w:rsidRPr="006343A0" w:rsidRDefault="00115421" w:rsidP="00115421">
      <w:pPr>
        <w:pStyle w:val="ManualHeading2"/>
        <w:tabs>
          <w:tab w:val="clear" w:pos="850"/>
        </w:tabs>
        <w:spacing w:before="240"/>
        <w:ind w:left="0" w:firstLine="0"/>
        <w:rPr>
          <w:noProof/>
        </w:rPr>
      </w:pPr>
      <w:r w:rsidRPr="006343A0">
        <w:rPr>
          <w:noProof/>
        </w:rPr>
        <w:t>2.3</w:t>
      </w:r>
      <w:r w:rsidRPr="006343A0">
        <w:rPr>
          <w:noProof/>
        </w:rPr>
        <w:tab/>
        <w:t>Frankrijk – regionale natuurramp: cycloon op Réunion in februari 2025</w:t>
      </w:r>
    </w:p>
    <w:p w:rsidR="00105440" w:rsidRPr="006343A0" w:rsidRDefault="00120DB0" w:rsidP="00120DB0">
      <w:pPr>
        <w:pStyle w:val="Point0"/>
        <w:rPr>
          <w:noProof/>
        </w:rPr>
      </w:pPr>
      <w:r w:rsidRPr="00120DB0">
        <w:rPr>
          <w:noProof/>
        </w:rPr>
        <w:t>(1)</w:t>
      </w:r>
      <w:r w:rsidRPr="00120DB0">
        <w:rPr>
          <w:noProof/>
        </w:rPr>
        <w:tab/>
      </w:r>
      <w:r w:rsidR="009F68D3" w:rsidRPr="006343A0">
        <w:rPr>
          <w:noProof/>
        </w:rPr>
        <w:t>Op 23 mei 2025 heeft Frankrijk een aanvraag ingediend voor een financiële bijdrage uit het SFEU ter financiering van nood- en herstelacties naar aanleiding van de schade die is veroorzaakt door de cycloon Garance op het eiland Réunion (Frankrijk) in februari 2025.</w:t>
      </w:r>
    </w:p>
    <w:p w:rsidR="00105440" w:rsidRPr="006343A0" w:rsidRDefault="00120DB0" w:rsidP="00120DB0">
      <w:pPr>
        <w:pStyle w:val="Point0"/>
        <w:rPr>
          <w:noProof/>
        </w:rPr>
      </w:pPr>
      <w:r w:rsidRPr="00120DB0">
        <w:rPr>
          <w:noProof/>
        </w:rPr>
        <w:t>(2)</w:t>
      </w:r>
      <w:r w:rsidRPr="00120DB0">
        <w:rPr>
          <w:noProof/>
        </w:rPr>
        <w:tab/>
      </w:r>
      <w:r w:rsidR="009F68D3" w:rsidRPr="006343A0">
        <w:rPr>
          <w:noProof/>
        </w:rPr>
        <w:t>Frankrijk heeft een bijdrage uit het SFEU aangevraagd binnen de termijn van twaalf weken na de eerste schade die door de ramp werd veroorzaakt op 28 februari 2025. De aanvraag bevat alle overeenkomstig artikel 4 van de SFEU-verordening gevraagde informatie.</w:t>
      </w:r>
    </w:p>
    <w:p w:rsidR="00105440" w:rsidRPr="006343A0" w:rsidRDefault="00120DB0" w:rsidP="00120DB0">
      <w:pPr>
        <w:pStyle w:val="Point0"/>
        <w:rPr>
          <w:noProof/>
        </w:rPr>
      </w:pPr>
      <w:r w:rsidRPr="00120DB0">
        <w:rPr>
          <w:noProof/>
        </w:rPr>
        <w:t>(3)</w:t>
      </w:r>
      <w:r w:rsidRPr="00120DB0">
        <w:rPr>
          <w:noProof/>
        </w:rPr>
        <w:tab/>
      </w:r>
      <w:r w:rsidR="009F68D3" w:rsidRPr="006343A0">
        <w:rPr>
          <w:noProof/>
        </w:rPr>
        <w:t>De ramp had een natuurlijke oorzaak en valt dus onder het toepassingsgebied van het SFEU.</w:t>
      </w:r>
    </w:p>
    <w:p w:rsidR="00105440" w:rsidRPr="006343A0" w:rsidRDefault="00120DB0" w:rsidP="00120DB0">
      <w:pPr>
        <w:pStyle w:val="Point0"/>
        <w:rPr>
          <w:noProof/>
        </w:rPr>
      </w:pPr>
      <w:r w:rsidRPr="00120DB0">
        <w:rPr>
          <w:noProof/>
        </w:rPr>
        <w:t>(4)</w:t>
      </w:r>
      <w:r w:rsidRPr="00120DB0">
        <w:rPr>
          <w:noProof/>
        </w:rPr>
        <w:tab/>
      </w:r>
      <w:r w:rsidR="009F68D3" w:rsidRPr="006343A0">
        <w:rPr>
          <w:noProof/>
        </w:rPr>
        <w:t>De Franse autoriteiten dienden de aanvraag in op grond van het criterium “regionale natuurramp” overeenkomstig artikel 2, lid 3, van de SFEU-verordening. Dat is elke natuurramp in een regio op NUTS-niveau 2 van een subsidiabele staat die leidt tot directe schade van meer dan 1,5 % van het bruto binnenlands product (bbp) van die regio of 1 % van het regionaal bbp als het om een ultraperifeer gebied gaat. De Franse autoriteiten ramen de totale directe schade die door de ramp is veroorzaakt op 849,45 miljoen EUR. Dit bedrag overschrijdt de aangegeven toepasselijke drempel voor “regionale ramp”, namelijk 216,68 miljoen EUR voor Réunion in 2025.</w:t>
      </w:r>
    </w:p>
    <w:p w:rsidR="00105440" w:rsidRPr="006343A0" w:rsidRDefault="00120DB0" w:rsidP="00120DB0">
      <w:pPr>
        <w:pStyle w:val="Point0"/>
        <w:rPr>
          <w:noProof/>
        </w:rPr>
      </w:pPr>
      <w:r w:rsidRPr="00120DB0">
        <w:rPr>
          <w:noProof/>
        </w:rPr>
        <w:t>(5)</w:t>
      </w:r>
      <w:r w:rsidRPr="00120DB0">
        <w:rPr>
          <w:noProof/>
        </w:rPr>
        <w:tab/>
      </w:r>
      <w:r w:rsidR="009F68D3" w:rsidRPr="006343A0">
        <w:rPr>
          <w:noProof/>
        </w:rPr>
        <w:t>De totale directe schade vormt de basis voor de berekening van de financiële bijdrage uit het SFEU. De financiële bijdrage mag uitsluitend worden gebruikt voor noodacties inzake eerste levensbehoeften en herstel, zoals gedefinieerd in artikel 3 van de SFEU-verordening.</w:t>
      </w:r>
    </w:p>
    <w:p w:rsidR="00105440" w:rsidRPr="006343A0" w:rsidRDefault="00120DB0" w:rsidP="00120DB0">
      <w:pPr>
        <w:pStyle w:val="Point0"/>
        <w:rPr>
          <w:noProof/>
        </w:rPr>
      </w:pPr>
      <w:r w:rsidRPr="00120DB0">
        <w:rPr>
          <w:noProof/>
        </w:rPr>
        <w:t>(6)</w:t>
      </w:r>
      <w:r w:rsidRPr="00120DB0">
        <w:rPr>
          <w:noProof/>
        </w:rPr>
        <w:tab/>
      </w:r>
      <w:r w:rsidR="009F68D3" w:rsidRPr="006343A0">
        <w:rPr>
          <w:noProof/>
        </w:rPr>
        <w:t>Frankrijk heeft verzocht om betaling van een voorschot overeenkomstig artikel 4 bis van de SFEU-verordening. Op basis van de voorlopige beoordeling heeft de Commissie geconcludeerd dat aan de voorwaarden voor uitkering van een voorschot uit het SFEU was voldaan. Daarom is bij Uitvoeringsbesluit C(2025) 5615 van de Commissie van 5 augustus 2025 een voorschot van 5 309 084 EUR toegekend. Het voorschot is op 26 augustus 2025 aan Frankrijk betaald.</w:t>
      </w:r>
    </w:p>
    <w:p w:rsidR="00105440" w:rsidRPr="006343A0" w:rsidRDefault="00120DB0" w:rsidP="00120DB0">
      <w:pPr>
        <w:pStyle w:val="Point0"/>
        <w:rPr>
          <w:noProof/>
        </w:rPr>
      </w:pPr>
      <w:r w:rsidRPr="00120DB0">
        <w:rPr>
          <w:noProof/>
        </w:rPr>
        <w:t>(7)</w:t>
      </w:r>
      <w:r w:rsidRPr="00120DB0">
        <w:rPr>
          <w:noProof/>
        </w:rPr>
        <w:tab/>
      </w:r>
      <w:r w:rsidR="009F68D3" w:rsidRPr="006343A0">
        <w:rPr>
          <w:noProof/>
        </w:rPr>
        <w:t>Op 28 februari 2025 werd het eiland Réunion (Frankrijk) getroffen door de cycloon Garance. De cyclonale winden bereikten in sommige gebieden een snelheid van 215 kilometer per uur en zorgden voor zware regenval en gevaarlijke omstandigheden op zee. Het wegennet werd zwaar getroffen en de economie ernstig verstoord. De landbouw, met name de suikerrietsector, en bedrijven die afhankelijk zijn van het toerisme leden grote schade als gevolg van de cycloon. Er werden 123 opvangcentra geopend waar de getroffen bevolking onderdak kon zoeken. De cycloon maakte ten minste 5 dodelijke slachtoffers.</w:t>
      </w:r>
    </w:p>
    <w:p w:rsidR="00105440" w:rsidRPr="006343A0" w:rsidRDefault="00120DB0" w:rsidP="00120DB0">
      <w:pPr>
        <w:pStyle w:val="Point0"/>
        <w:rPr>
          <w:noProof/>
        </w:rPr>
      </w:pPr>
      <w:r w:rsidRPr="00120DB0">
        <w:rPr>
          <w:noProof/>
        </w:rPr>
        <w:t>(8)</w:t>
      </w:r>
      <w:r w:rsidRPr="00120DB0">
        <w:rPr>
          <w:noProof/>
        </w:rPr>
        <w:tab/>
      </w:r>
      <w:r w:rsidR="009F68D3" w:rsidRPr="006343A0">
        <w:rPr>
          <w:noProof/>
        </w:rPr>
        <w:t>De Franse autoriteiten verzochten niet om bijstand via het Uniemechanisme voor civiele bescherming.</w:t>
      </w:r>
    </w:p>
    <w:p w:rsidR="00105440" w:rsidRPr="006343A0" w:rsidRDefault="00120DB0" w:rsidP="00120DB0">
      <w:pPr>
        <w:pStyle w:val="Point0"/>
        <w:rPr>
          <w:noProof/>
        </w:rPr>
      </w:pPr>
      <w:r w:rsidRPr="00120DB0">
        <w:rPr>
          <w:noProof/>
        </w:rPr>
        <w:t>(9)</w:t>
      </w:r>
      <w:r w:rsidRPr="00120DB0">
        <w:rPr>
          <w:noProof/>
        </w:rPr>
        <w:tab/>
      </w:r>
      <w:r w:rsidR="009F68D3" w:rsidRPr="006343A0">
        <w:rPr>
          <w:noProof/>
        </w:rPr>
        <w:t>Frankrijk raamde de subsidiabele kosten van acties overeenkomstig artikel 3, lid 2, van de SFEU-verordening op 125,38 miljoen EUR en verstrekte een uitsplitsing naar soort van acties. Het grootste deel van de kosten voor de noodacties heeft betrekking op het herstel van de werking van infrastructuur en installaties op het gebied van energie- en watervoorziening, afvalwater, telecommunicatie, gezondheidszorg en onderwijs, en bedraagt 84,97 miljoen EUR. Het op één na grootste deel van de kosten heeft betrekking op opruimwerkzaamheden in het geteisterde gebied en bedraagt 21,98 miljoen EUR. Het op twee na grootste onderdeel van de kosten heeft betrekking op de veiligstelling van de infrastructurele preventievoorzieningen en bedraagt 11,55 miljoen EUR. Het op drie na grootste deel van de kosten heeft betrekking op voorlopige huisvestingsmaatregelen en de inzet van hulpdiensten en bedraagt 6,88 miljoen EUR.</w:t>
      </w:r>
    </w:p>
    <w:p w:rsidR="009F68D3" w:rsidRPr="006343A0" w:rsidRDefault="00120DB0" w:rsidP="00120DB0">
      <w:pPr>
        <w:pStyle w:val="Point0"/>
        <w:rPr>
          <w:noProof/>
        </w:rPr>
      </w:pPr>
      <w:r w:rsidRPr="00120DB0">
        <w:rPr>
          <w:noProof/>
        </w:rPr>
        <w:t>(10)</w:t>
      </w:r>
      <w:r w:rsidRPr="00120DB0">
        <w:rPr>
          <w:noProof/>
        </w:rPr>
        <w:tab/>
      </w:r>
      <w:r w:rsidR="009F68D3" w:rsidRPr="006343A0">
        <w:rPr>
          <w:noProof/>
        </w:rPr>
        <w:t>Op de datum waarop de aanvraag werd ingediend, liepen tegen Frankrijk geen inbreukprocedures op het vlak van de Uniewetgeving in verband met de aard van de ramp.</w:t>
      </w:r>
    </w:p>
    <w:p w:rsidR="0099685F" w:rsidRPr="006343A0" w:rsidRDefault="0099685F" w:rsidP="00526770">
      <w:pPr>
        <w:pStyle w:val="ManualHeading2"/>
        <w:tabs>
          <w:tab w:val="clear" w:pos="850"/>
        </w:tabs>
        <w:spacing w:before="240"/>
        <w:ind w:left="0" w:firstLine="0"/>
        <w:rPr>
          <w:noProof/>
        </w:rPr>
      </w:pPr>
      <w:bookmarkStart w:id="5" w:name="_Toc484762488"/>
      <w:r w:rsidRPr="006343A0">
        <w:rPr>
          <w:noProof/>
        </w:rPr>
        <w:t>2.4</w:t>
      </w:r>
      <w:r w:rsidRPr="006343A0">
        <w:rPr>
          <w:noProof/>
        </w:rPr>
        <w:tab/>
        <w:t>Conclusie</w:t>
      </w:r>
    </w:p>
    <w:p w:rsidR="0099685F" w:rsidRPr="006343A0" w:rsidRDefault="00F350CF" w:rsidP="0099685F">
      <w:pPr>
        <w:rPr>
          <w:noProof/>
        </w:rPr>
      </w:pPr>
      <w:r w:rsidRPr="006343A0">
        <w:rPr>
          <w:noProof/>
        </w:rPr>
        <w:t>In het licht van de bovenstaande overwegingen en na beoordeling van de ingediende informatie concludeert de Commissie dat de rampen in de door Spanje en Frankrijk ingediende aanvragen voldoen aan de voorwaarden in de SFEU-verordening voor de beschikbaarstelling van middelen uit het SFEU.</w:t>
      </w:r>
    </w:p>
    <w:p w:rsidR="0099685F" w:rsidRPr="006343A0" w:rsidRDefault="0099685F" w:rsidP="0027390F">
      <w:pPr>
        <w:pStyle w:val="ManualHeading1"/>
        <w:rPr>
          <w:noProof/>
        </w:rPr>
      </w:pPr>
      <w:r w:rsidRPr="006343A0">
        <w:rPr>
          <w:noProof/>
        </w:rPr>
        <w:t>3.</w:t>
      </w:r>
      <w:r w:rsidRPr="006343A0">
        <w:rPr>
          <w:noProof/>
        </w:rPr>
        <w:tab/>
        <w:t xml:space="preserve">Financiering </w:t>
      </w:r>
      <w:bookmarkEnd w:id="5"/>
    </w:p>
    <w:p w:rsidR="0099685F" w:rsidRPr="006343A0" w:rsidRDefault="00383663" w:rsidP="0099685F">
      <w:pPr>
        <w:rPr>
          <w:noProof/>
        </w:rPr>
      </w:pPr>
      <w:r w:rsidRPr="006343A0">
        <w:rPr>
          <w:noProof/>
        </w:rPr>
        <w:t>Krachtens Verordening (EU, Euratom) 2020/2093 van de Raad van 17 december 2020 tot bepaling van het meerjarig financieel kader voor de jaren 2021-2027</w:t>
      </w:r>
      <w:r w:rsidRPr="006343A0">
        <w:rPr>
          <w:rStyle w:val="FootnoteReference"/>
          <w:noProof/>
        </w:rPr>
        <w:footnoteReference w:id="6"/>
      </w:r>
      <w:r w:rsidRPr="006343A0">
        <w:rPr>
          <w:noProof/>
        </w:rPr>
        <w:t xml:space="preserve"> (hierna “de MFK-verordening”) kan het SFEU worden ingezet in het kader van de reserve voor solidariteit en noodhulp (SEAR). In punt 10 van het Interinstitutioneel Akkoord van 16 december 2020 tussen het Europees Parlement, de Raad van de Europese Unie en de Europese Commissie betreffende begrotingsdiscipline, samenwerking in begrotingszaken en goed financieel beheer</w:t>
      </w:r>
      <w:r w:rsidRPr="006343A0">
        <w:rPr>
          <w:rStyle w:val="FootnoteReference"/>
          <w:noProof/>
        </w:rPr>
        <w:footnoteReference w:id="7"/>
      </w:r>
      <w:r w:rsidRPr="006343A0">
        <w:rPr>
          <w:noProof/>
        </w:rPr>
        <w:t>, alsmede betreffende de nieuwe eigen middelen, met inbegrip van een routekaart voor de invoering van nieuwe eigen middelen, zijn nadere regels vastgesteld voor de beschikbaarstelling van middelen uit het SFEU in het kader van de SEAR.</w:t>
      </w:r>
    </w:p>
    <w:p w:rsidR="00724561" w:rsidRPr="006343A0" w:rsidRDefault="0099685F" w:rsidP="00724561">
      <w:pPr>
        <w:rPr>
          <w:noProof/>
          <w:snapToGrid w:val="0"/>
        </w:rPr>
      </w:pPr>
      <w:r w:rsidRPr="006343A0">
        <w:rPr>
          <w:noProof/>
          <w:snapToGrid w:val="0"/>
        </w:rPr>
        <w:t>Aangezien solidariteit de belangrijkste reden voor de oprichting van het SFEU was, is de Commissie van mening dat de steun progressief moet zijn. Het deel van de schade dat de drempel voor SFEU-steun bij een “</w:t>
      </w:r>
      <w:r w:rsidRPr="006343A0">
        <w:rPr>
          <w:b/>
          <w:noProof/>
          <w:snapToGrid w:val="0"/>
        </w:rPr>
        <w:t>grote natuurramp</w:t>
      </w:r>
      <w:r w:rsidRPr="006343A0">
        <w:rPr>
          <w:noProof/>
          <w:snapToGrid w:val="0"/>
        </w:rPr>
        <w:t>” overstijgt (0,6 % van het bni of, indien dit bedrag lager is, 3 miljard EUR in prijzen van 2011, zie artikel 2, lid 2, van de SFEU-verordening) geeft bijgevolg recht op een hogere steunintensiteit dan het deel van de schade onder d</w:t>
      </w:r>
      <w:r w:rsidR="006343A0">
        <w:rPr>
          <w:noProof/>
          <w:snapToGrid w:val="0"/>
        </w:rPr>
        <w:t>i</w:t>
      </w:r>
      <w:r w:rsidRPr="006343A0">
        <w:rPr>
          <w:noProof/>
          <w:snapToGrid w:val="0"/>
        </w:rPr>
        <w:t>e drempel. Dat betekent dat het steunbedrag voor een land dat is getroffen door een ramp die voldoet aan de voorwaarden voor een “grote natuurramp” wordt berekend door twee bedragen bij elkaar op te tellen: 2,5 % van de totale directe schade onder de drempel en 6 % voor het deel van de totale directe schade boven de drempel.</w:t>
      </w:r>
    </w:p>
    <w:p w:rsidR="00000AB5" w:rsidRPr="006343A0" w:rsidRDefault="00401FF0" w:rsidP="00000AB5">
      <w:pPr>
        <w:rPr>
          <w:noProof/>
          <w:color w:val="000000"/>
          <w:szCs w:val="24"/>
        </w:rPr>
      </w:pPr>
      <w:r w:rsidRPr="006343A0">
        <w:rPr>
          <w:noProof/>
        </w:rPr>
        <w:t>Het percentage dat wordt toegepast voor het bepalen van de steunbedragen voor “</w:t>
      </w:r>
      <w:r w:rsidRPr="006343A0">
        <w:rPr>
          <w:b/>
          <w:noProof/>
        </w:rPr>
        <w:t>regionale natuurrampen</w:t>
      </w:r>
      <w:r w:rsidRPr="006343A0">
        <w:rPr>
          <w:noProof/>
        </w:rPr>
        <w:t>”, die onder de nationale drempel blijven, bedraagt 2,5 % van de totale directe schade.</w:t>
      </w:r>
      <w:r w:rsidRPr="006343A0">
        <w:rPr>
          <w:noProof/>
          <w:color w:val="000000"/>
        </w:rPr>
        <w:t xml:space="preserve"> De SFEU-bijdrage mag de geraamde totale kosten van de subsidiabele acties niet overschrijden.</w:t>
      </w:r>
    </w:p>
    <w:p w:rsidR="00855FEA" w:rsidRPr="006343A0" w:rsidRDefault="00724561" w:rsidP="00724561">
      <w:pPr>
        <w:rPr>
          <w:noProof/>
          <w:snapToGrid w:val="0"/>
        </w:rPr>
      </w:pPr>
      <w:r w:rsidRPr="006343A0">
        <w:rPr>
          <w:noProof/>
          <w:snapToGrid w:val="0"/>
        </w:rPr>
        <w:t>De methode voor het berekenen van de steun is in het SFEU-jaarverslag 2002-2003 beschreven en door de Raad en het Europees Parlement goedgekeurd.</w:t>
      </w:r>
    </w:p>
    <w:p w:rsidR="004201F6" w:rsidRPr="006343A0" w:rsidRDefault="00724561" w:rsidP="00724561">
      <w:pPr>
        <w:rPr>
          <w:noProof/>
        </w:rPr>
      </w:pPr>
      <w:r w:rsidRPr="006343A0">
        <w:rPr>
          <w:noProof/>
        </w:rPr>
        <w:t>De Commissie stelt de begrotingsautoriteit daarom voor de volgende bedragen beschikbaar te stellen:</w:t>
      </w:r>
    </w:p>
    <w:p w:rsidR="00855FEA" w:rsidRPr="006343A0" w:rsidRDefault="00855FEA" w:rsidP="00724561">
      <w:pPr>
        <w:rPr>
          <w:noProof/>
        </w:rPr>
      </w:pPr>
    </w:p>
    <w:tbl>
      <w:tblPr>
        <w:tblW w:w="10714" w:type="dxa"/>
        <w:tblInd w:w="-654" w:type="dxa"/>
        <w:tblLook w:val="04A0" w:firstRow="1" w:lastRow="0" w:firstColumn="1" w:lastColumn="0" w:noHBand="0" w:noVBand="1"/>
      </w:tblPr>
      <w:tblGrid>
        <w:gridCol w:w="1471"/>
        <w:gridCol w:w="1294"/>
        <w:gridCol w:w="1411"/>
        <w:gridCol w:w="1271"/>
        <w:gridCol w:w="1298"/>
        <w:gridCol w:w="1428"/>
        <w:gridCol w:w="1271"/>
        <w:gridCol w:w="1270"/>
      </w:tblGrid>
      <w:tr w:rsidR="00B23101" w:rsidRPr="006343A0" w:rsidTr="00D44F9E">
        <w:trPr>
          <w:trHeight w:val="780"/>
        </w:trPr>
        <w:tc>
          <w:tcPr>
            <w:tcW w:w="1471" w:type="dxa"/>
            <w:vMerge w:val="restart"/>
            <w:tcBorders>
              <w:top w:val="single" w:sz="4" w:space="0" w:color="auto"/>
              <w:left w:val="single" w:sz="4" w:space="0" w:color="auto"/>
              <w:bottom w:val="single" w:sz="4" w:space="0" w:color="auto"/>
              <w:right w:val="single" w:sz="4" w:space="0" w:color="auto"/>
            </w:tcBorders>
            <w:shd w:val="clear" w:color="auto" w:fill="EEECE1"/>
            <w:hideMark/>
          </w:tcPr>
          <w:p w:rsidR="00AD3B28" w:rsidRPr="006343A0" w:rsidRDefault="00DF4438" w:rsidP="00F30517">
            <w:pPr>
              <w:spacing w:after="0"/>
              <w:jc w:val="center"/>
              <w:rPr>
                <w:rFonts w:eastAsia="Times New Roman"/>
                <w:b/>
                <w:bCs/>
                <w:noProof/>
                <w:color w:val="000000"/>
                <w:sz w:val="16"/>
                <w:szCs w:val="16"/>
              </w:rPr>
            </w:pPr>
            <w:r w:rsidRPr="006343A0">
              <w:rPr>
                <w:b/>
                <w:noProof/>
                <w:color w:val="000000"/>
                <w:sz w:val="16"/>
              </w:rPr>
              <w:t xml:space="preserve">Land/ </w:t>
            </w:r>
            <w:r w:rsidRPr="006343A0">
              <w:rPr>
                <w:noProof/>
              </w:rPr>
              <w:t xml:space="preserve"> </w:t>
            </w:r>
            <w:r w:rsidRPr="006343A0">
              <w:rPr>
                <w:noProof/>
              </w:rPr>
              <w:br/>
            </w:r>
            <w:r w:rsidRPr="006343A0">
              <w:rPr>
                <w:b/>
                <w:noProof/>
                <w:color w:val="000000"/>
                <w:sz w:val="16"/>
              </w:rPr>
              <w:t>Ramp</w:t>
            </w:r>
          </w:p>
        </w:tc>
        <w:tc>
          <w:tcPr>
            <w:tcW w:w="1294" w:type="dxa"/>
            <w:tcBorders>
              <w:top w:val="single" w:sz="4" w:space="0" w:color="auto"/>
              <w:left w:val="nil"/>
              <w:right w:val="single" w:sz="4" w:space="0" w:color="auto"/>
            </w:tcBorders>
            <w:shd w:val="clear" w:color="auto" w:fill="EEECE1"/>
            <w:hideMark/>
          </w:tcPr>
          <w:p w:rsidR="00AD3B28" w:rsidRPr="006343A0" w:rsidRDefault="00AD3B28" w:rsidP="00F30517">
            <w:pPr>
              <w:spacing w:after="0"/>
              <w:jc w:val="center"/>
              <w:rPr>
                <w:rFonts w:eastAsia="Times New Roman"/>
                <w:b/>
                <w:bCs/>
                <w:noProof/>
                <w:color w:val="000000"/>
                <w:sz w:val="16"/>
                <w:szCs w:val="16"/>
              </w:rPr>
            </w:pPr>
            <w:r w:rsidRPr="006343A0">
              <w:rPr>
                <w:b/>
                <w:noProof/>
                <w:color w:val="000000"/>
                <w:sz w:val="16"/>
              </w:rPr>
              <w:t>Totale directe schade</w:t>
            </w:r>
          </w:p>
        </w:tc>
        <w:tc>
          <w:tcPr>
            <w:tcW w:w="1411" w:type="dxa"/>
            <w:tcBorders>
              <w:top w:val="single" w:sz="4" w:space="0" w:color="auto"/>
              <w:left w:val="nil"/>
              <w:right w:val="single" w:sz="4" w:space="0" w:color="auto"/>
            </w:tcBorders>
            <w:shd w:val="clear" w:color="auto" w:fill="EEECE1"/>
            <w:hideMark/>
          </w:tcPr>
          <w:p w:rsidR="00AD3B28" w:rsidRPr="006343A0" w:rsidRDefault="00AD3B28" w:rsidP="00F30517">
            <w:pPr>
              <w:spacing w:after="0"/>
              <w:jc w:val="center"/>
              <w:rPr>
                <w:rFonts w:eastAsia="Times New Roman"/>
                <w:b/>
                <w:bCs/>
                <w:noProof/>
                <w:color w:val="000000"/>
                <w:sz w:val="16"/>
                <w:szCs w:val="16"/>
              </w:rPr>
            </w:pPr>
            <w:r w:rsidRPr="006343A0">
              <w:rPr>
                <w:b/>
                <w:noProof/>
                <w:color w:val="000000"/>
                <w:sz w:val="16"/>
              </w:rPr>
              <w:t>Toegepaste drempel rampen</w:t>
            </w:r>
          </w:p>
        </w:tc>
        <w:tc>
          <w:tcPr>
            <w:tcW w:w="1271" w:type="dxa"/>
            <w:tcBorders>
              <w:top w:val="single" w:sz="4" w:space="0" w:color="auto"/>
              <w:left w:val="nil"/>
              <w:right w:val="single" w:sz="4" w:space="0" w:color="auto"/>
            </w:tcBorders>
            <w:shd w:val="clear" w:color="auto" w:fill="EEECE1"/>
            <w:hideMark/>
          </w:tcPr>
          <w:p w:rsidR="00AD3B28" w:rsidRPr="006343A0" w:rsidRDefault="00AD3B28" w:rsidP="00F30517">
            <w:pPr>
              <w:spacing w:after="0"/>
              <w:jc w:val="center"/>
              <w:rPr>
                <w:rFonts w:eastAsia="Times New Roman"/>
                <w:noProof/>
                <w:sz w:val="16"/>
                <w:szCs w:val="16"/>
              </w:rPr>
            </w:pPr>
            <w:r w:rsidRPr="006343A0">
              <w:rPr>
                <w:b/>
                <w:noProof/>
                <w:color w:val="000000"/>
                <w:sz w:val="16"/>
              </w:rPr>
              <w:t>2,5 % van de totale directe schade</w:t>
            </w:r>
            <w:r w:rsidRPr="006343A0">
              <w:rPr>
                <w:noProof/>
                <w:color w:val="000000"/>
                <w:sz w:val="16"/>
              </w:rPr>
              <w:t xml:space="preserve"> </w:t>
            </w:r>
            <w:r w:rsidRPr="006343A0">
              <w:rPr>
                <w:i/>
                <w:noProof/>
                <w:color w:val="000000"/>
                <w:sz w:val="16"/>
              </w:rPr>
              <w:t>(tot de drempel voor grote rampen)</w:t>
            </w:r>
          </w:p>
        </w:tc>
        <w:tc>
          <w:tcPr>
            <w:tcW w:w="1298" w:type="dxa"/>
            <w:tcBorders>
              <w:top w:val="single" w:sz="4" w:space="0" w:color="auto"/>
              <w:left w:val="nil"/>
              <w:right w:val="single" w:sz="4" w:space="0" w:color="auto"/>
            </w:tcBorders>
            <w:shd w:val="clear" w:color="auto" w:fill="EEECE1"/>
          </w:tcPr>
          <w:p w:rsidR="00AD3B28" w:rsidRPr="006343A0" w:rsidRDefault="00AD3B28" w:rsidP="00F30517">
            <w:pPr>
              <w:spacing w:after="0"/>
              <w:jc w:val="center"/>
              <w:rPr>
                <w:rFonts w:eastAsia="Times New Roman"/>
                <w:noProof/>
                <w:sz w:val="16"/>
                <w:szCs w:val="16"/>
              </w:rPr>
            </w:pPr>
            <w:r w:rsidRPr="006343A0">
              <w:rPr>
                <w:b/>
                <w:noProof/>
                <w:color w:val="000000"/>
                <w:sz w:val="16"/>
              </w:rPr>
              <w:t>6 % van de totale directe schade</w:t>
            </w:r>
            <w:r w:rsidRPr="006343A0">
              <w:rPr>
                <w:noProof/>
                <w:color w:val="000000"/>
                <w:sz w:val="16"/>
              </w:rPr>
              <w:t xml:space="preserve"> </w:t>
            </w:r>
            <w:r w:rsidRPr="006343A0">
              <w:rPr>
                <w:i/>
                <w:noProof/>
                <w:color w:val="000000"/>
                <w:sz w:val="16"/>
              </w:rPr>
              <w:t>(boven de drempel voor grote rampen)</w:t>
            </w:r>
          </w:p>
        </w:tc>
        <w:tc>
          <w:tcPr>
            <w:tcW w:w="1428" w:type="dxa"/>
            <w:tcBorders>
              <w:top w:val="single" w:sz="4" w:space="0" w:color="auto"/>
              <w:left w:val="nil"/>
              <w:right w:val="single" w:sz="4" w:space="0" w:color="auto"/>
            </w:tcBorders>
            <w:shd w:val="clear" w:color="auto" w:fill="EEECE1"/>
            <w:hideMark/>
          </w:tcPr>
          <w:p w:rsidR="00AD3B28" w:rsidRPr="006343A0" w:rsidRDefault="00AD3B28" w:rsidP="00F30517">
            <w:pPr>
              <w:spacing w:after="0"/>
              <w:jc w:val="center"/>
              <w:rPr>
                <w:rFonts w:eastAsia="Times New Roman"/>
                <w:b/>
                <w:bCs/>
                <w:noProof/>
                <w:color w:val="000000"/>
                <w:sz w:val="16"/>
                <w:szCs w:val="16"/>
              </w:rPr>
            </w:pPr>
            <w:r w:rsidRPr="006343A0">
              <w:rPr>
                <w:b/>
                <w:noProof/>
                <w:color w:val="000000"/>
                <w:sz w:val="16"/>
              </w:rPr>
              <w:t>Voorgesteld totaal steunbedrag</w:t>
            </w:r>
          </w:p>
        </w:tc>
        <w:tc>
          <w:tcPr>
            <w:tcW w:w="1271" w:type="dxa"/>
            <w:tcBorders>
              <w:top w:val="single" w:sz="4" w:space="0" w:color="auto"/>
              <w:left w:val="nil"/>
              <w:right w:val="single" w:sz="4" w:space="0" w:color="auto"/>
            </w:tcBorders>
            <w:shd w:val="clear" w:color="auto" w:fill="EEECE1"/>
            <w:hideMark/>
          </w:tcPr>
          <w:p w:rsidR="00AD3B28" w:rsidRPr="006343A0" w:rsidRDefault="00AD3B28" w:rsidP="00F30517">
            <w:pPr>
              <w:spacing w:after="0"/>
              <w:jc w:val="center"/>
              <w:rPr>
                <w:rFonts w:eastAsia="Times New Roman"/>
                <w:b/>
                <w:bCs/>
                <w:noProof/>
                <w:color w:val="000000"/>
                <w:sz w:val="16"/>
                <w:szCs w:val="16"/>
              </w:rPr>
            </w:pPr>
            <w:r w:rsidRPr="006343A0">
              <w:rPr>
                <w:b/>
                <w:noProof/>
                <w:color w:val="000000"/>
                <w:sz w:val="16"/>
              </w:rPr>
              <w:t>Betaald voorschot</w:t>
            </w:r>
          </w:p>
        </w:tc>
        <w:tc>
          <w:tcPr>
            <w:tcW w:w="1270" w:type="dxa"/>
            <w:tcBorders>
              <w:top w:val="single" w:sz="4" w:space="0" w:color="auto"/>
              <w:left w:val="nil"/>
              <w:right w:val="single" w:sz="4" w:space="0" w:color="auto"/>
            </w:tcBorders>
            <w:shd w:val="clear" w:color="auto" w:fill="EEECE1"/>
            <w:hideMark/>
          </w:tcPr>
          <w:p w:rsidR="00AD3B28" w:rsidRPr="006343A0" w:rsidRDefault="00AD3B28" w:rsidP="00F30517">
            <w:pPr>
              <w:spacing w:after="0"/>
              <w:jc w:val="center"/>
              <w:rPr>
                <w:rFonts w:eastAsia="Times New Roman"/>
                <w:b/>
                <w:bCs/>
                <w:noProof/>
                <w:color w:val="000000"/>
                <w:sz w:val="16"/>
                <w:szCs w:val="16"/>
              </w:rPr>
            </w:pPr>
            <w:r w:rsidRPr="006343A0">
              <w:rPr>
                <w:b/>
                <w:noProof/>
                <w:color w:val="000000"/>
                <w:sz w:val="16"/>
              </w:rPr>
              <w:t>Te betalen saldo</w:t>
            </w:r>
          </w:p>
        </w:tc>
      </w:tr>
      <w:tr w:rsidR="00B23101" w:rsidRPr="006343A0" w:rsidTr="00D44F9E">
        <w:trPr>
          <w:trHeight w:val="290"/>
        </w:trPr>
        <w:tc>
          <w:tcPr>
            <w:tcW w:w="1471" w:type="dxa"/>
            <w:vMerge/>
            <w:tcBorders>
              <w:left w:val="single" w:sz="4" w:space="0" w:color="auto"/>
              <w:bottom w:val="single" w:sz="4" w:space="0" w:color="auto"/>
              <w:right w:val="single" w:sz="4" w:space="0" w:color="auto"/>
            </w:tcBorders>
            <w:hideMark/>
          </w:tcPr>
          <w:p w:rsidR="00AD3B28" w:rsidRPr="006343A0" w:rsidRDefault="00AD3B28" w:rsidP="00AD3B28">
            <w:pPr>
              <w:spacing w:before="0" w:after="0"/>
              <w:jc w:val="left"/>
              <w:rPr>
                <w:rFonts w:eastAsia="Times New Roman"/>
                <w:b/>
                <w:bCs/>
                <w:noProof/>
                <w:color w:val="000000"/>
                <w:sz w:val="16"/>
                <w:szCs w:val="16"/>
              </w:rPr>
            </w:pPr>
          </w:p>
        </w:tc>
        <w:tc>
          <w:tcPr>
            <w:tcW w:w="1294" w:type="dxa"/>
            <w:tcBorders>
              <w:top w:val="nil"/>
              <w:left w:val="single" w:sz="4" w:space="0" w:color="auto"/>
              <w:bottom w:val="single" w:sz="4" w:space="0" w:color="auto"/>
              <w:right w:val="nil"/>
            </w:tcBorders>
            <w:shd w:val="clear" w:color="auto" w:fill="EEECE1"/>
            <w:hideMark/>
          </w:tcPr>
          <w:p w:rsidR="00AD3B28" w:rsidRPr="006343A0" w:rsidRDefault="00AD3B28" w:rsidP="00AD3B28">
            <w:pPr>
              <w:spacing w:before="0" w:after="0"/>
              <w:jc w:val="center"/>
              <w:rPr>
                <w:rFonts w:eastAsia="Times New Roman"/>
                <w:b/>
                <w:bCs/>
                <w:noProof/>
                <w:color w:val="000000"/>
                <w:sz w:val="16"/>
                <w:szCs w:val="16"/>
              </w:rPr>
            </w:pPr>
            <w:r w:rsidRPr="006343A0">
              <w:rPr>
                <w:b/>
                <w:noProof/>
                <w:color w:val="000000"/>
                <w:sz w:val="16"/>
              </w:rPr>
              <w:t>(in EUR)</w:t>
            </w:r>
          </w:p>
        </w:tc>
        <w:tc>
          <w:tcPr>
            <w:tcW w:w="1411" w:type="dxa"/>
            <w:tcBorders>
              <w:top w:val="nil"/>
              <w:left w:val="single" w:sz="4" w:space="0" w:color="auto"/>
              <w:bottom w:val="single" w:sz="4" w:space="0" w:color="auto"/>
              <w:right w:val="single" w:sz="4" w:space="0" w:color="auto"/>
            </w:tcBorders>
            <w:shd w:val="clear" w:color="auto" w:fill="EEECE1"/>
            <w:hideMark/>
          </w:tcPr>
          <w:p w:rsidR="00AD3B28" w:rsidRPr="006343A0" w:rsidRDefault="00AD3B28" w:rsidP="00AD3B28">
            <w:pPr>
              <w:spacing w:before="0" w:after="0"/>
              <w:jc w:val="center"/>
              <w:rPr>
                <w:rFonts w:eastAsia="Times New Roman"/>
                <w:b/>
                <w:bCs/>
                <w:noProof/>
                <w:color w:val="000000"/>
                <w:sz w:val="16"/>
                <w:szCs w:val="16"/>
              </w:rPr>
            </w:pPr>
            <w:r w:rsidRPr="006343A0">
              <w:rPr>
                <w:b/>
                <w:noProof/>
                <w:color w:val="000000"/>
                <w:sz w:val="16"/>
              </w:rPr>
              <w:t>(in EUR)</w:t>
            </w:r>
          </w:p>
        </w:tc>
        <w:tc>
          <w:tcPr>
            <w:tcW w:w="1271" w:type="dxa"/>
            <w:tcBorders>
              <w:top w:val="nil"/>
              <w:left w:val="single" w:sz="4" w:space="0" w:color="auto"/>
              <w:bottom w:val="single" w:sz="4" w:space="0" w:color="auto"/>
              <w:right w:val="single" w:sz="4" w:space="0" w:color="auto"/>
            </w:tcBorders>
            <w:shd w:val="clear" w:color="auto" w:fill="EEECE1"/>
            <w:hideMark/>
          </w:tcPr>
          <w:p w:rsidR="00AD3B28" w:rsidRPr="006343A0" w:rsidRDefault="00AD3B28" w:rsidP="00AD3B28">
            <w:pPr>
              <w:spacing w:before="0" w:after="0"/>
              <w:jc w:val="center"/>
              <w:rPr>
                <w:rFonts w:eastAsia="Times New Roman"/>
                <w:b/>
                <w:bCs/>
                <w:noProof/>
                <w:color w:val="000000"/>
                <w:sz w:val="16"/>
                <w:szCs w:val="16"/>
              </w:rPr>
            </w:pPr>
            <w:r w:rsidRPr="006343A0">
              <w:rPr>
                <w:b/>
                <w:noProof/>
                <w:color w:val="000000"/>
                <w:sz w:val="16"/>
              </w:rPr>
              <w:t>(in EUR)</w:t>
            </w:r>
          </w:p>
        </w:tc>
        <w:tc>
          <w:tcPr>
            <w:tcW w:w="1298" w:type="dxa"/>
            <w:tcBorders>
              <w:top w:val="nil"/>
              <w:left w:val="single" w:sz="4" w:space="0" w:color="auto"/>
              <w:bottom w:val="single" w:sz="4" w:space="0" w:color="auto"/>
              <w:right w:val="nil"/>
            </w:tcBorders>
            <w:shd w:val="clear" w:color="auto" w:fill="EEECE1"/>
          </w:tcPr>
          <w:p w:rsidR="00AD3B28" w:rsidRPr="006343A0" w:rsidRDefault="00AD3B28" w:rsidP="00AD3B28">
            <w:pPr>
              <w:spacing w:before="0" w:after="0"/>
              <w:jc w:val="center"/>
              <w:rPr>
                <w:rFonts w:eastAsia="Times New Roman"/>
                <w:b/>
                <w:bCs/>
                <w:noProof/>
                <w:color w:val="000000"/>
                <w:sz w:val="16"/>
                <w:szCs w:val="16"/>
              </w:rPr>
            </w:pPr>
            <w:r w:rsidRPr="006343A0">
              <w:rPr>
                <w:b/>
                <w:noProof/>
                <w:color w:val="000000"/>
                <w:sz w:val="16"/>
              </w:rPr>
              <w:t>(in EUR)</w:t>
            </w:r>
          </w:p>
        </w:tc>
        <w:tc>
          <w:tcPr>
            <w:tcW w:w="1428" w:type="dxa"/>
            <w:tcBorders>
              <w:top w:val="nil"/>
              <w:left w:val="single" w:sz="4" w:space="0" w:color="auto"/>
              <w:bottom w:val="single" w:sz="4" w:space="0" w:color="auto"/>
              <w:right w:val="nil"/>
            </w:tcBorders>
            <w:shd w:val="clear" w:color="auto" w:fill="EEECE1"/>
            <w:hideMark/>
          </w:tcPr>
          <w:p w:rsidR="00AD3B28" w:rsidRPr="006343A0" w:rsidRDefault="00AD3B28" w:rsidP="00AD3B28">
            <w:pPr>
              <w:spacing w:before="0" w:after="0"/>
              <w:jc w:val="center"/>
              <w:rPr>
                <w:rFonts w:eastAsia="Times New Roman"/>
                <w:b/>
                <w:bCs/>
                <w:noProof/>
                <w:color w:val="000000"/>
                <w:sz w:val="16"/>
                <w:szCs w:val="16"/>
              </w:rPr>
            </w:pPr>
            <w:r w:rsidRPr="006343A0">
              <w:rPr>
                <w:b/>
                <w:noProof/>
                <w:color w:val="000000"/>
                <w:sz w:val="16"/>
              </w:rPr>
              <w:t>(in EUR)</w:t>
            </w:r>
          </w:p>
        </w:tc>
        <w:tc>
          <w:tcPr>
            <w:tcW w:w="1271" w:type="dxa"/>
            <w:tcBorders>
              <w:top w:val="nil"/>
              <w:left w:val="single" w:sz="4" w:space="0" w:color="auto"/>
              <w:bottom w:val="single" w:sz="4" w:space="0" w:color="auto"/>
              <w:right w:val="nil"/>
            </w:tcBorders>
            <w:shd w:val="clear" w:color="auto" w:fill="EEECE1"/>
            <w:hideMark/>
          </w:tcPr>
          <w:p w:rsidR="00AD3B28" w:rsidRPr="006343A0" w:rsidRDefault="00AD3B28" w:rsidP="00AD3B28">
            <w:pPr>
              <w:spacing w:before="0" w:after="0"/>
              <w:jc w:val="center"/>
              <w:rPr>
                <w:rFonts w:eastAsia="Times New Roman"/>
                <w:b/>
                <w:bCs/>
                <w:noProof/>
                <w:color w:val="000000"/>
                <w:sz w:val="16"/>
                <w:szCs w:val="16"/>
              </w:rPr>
            </w:pPr>
            <w:r w:rsidRPr="006343A0">
              <w:rPr>
                <w:b/>
                <w:noProof/>
                <w:color w:val="000000"/>
                <w:sz w:val="16"/>
              </w:rPr>
              <w:t>(in EUR)</w:t>
            </w:r>
          </w:p>
        </w:tc>
        <w:tc>
          <w:tcPr>
            <w:tcW w:w="1270" w:type="dxa"/>
            <w:tcBorders>
              <w:top w:val="nil"/>
              <w:left w:val="single" w:sz="4" w:space="0" w:color="auto"/>
              <w:bottom w:val="single" w:sz="4" w:space="0" w:color="auto"/>
              <w:right w:val="single" w:sz="4" w:space="0" w:color="auto"/>
            </w:tcBorders>
            <w:shd w:val="clear" w:color="auto" w:fill="EEECE1"/>
            <w:hideMark/>
          </w:tcPr>
          <w:p w:rsidR="00AD3B28" w:rsidRPr="006343A0" w:rsidRDefault="00AD3B28" w:rsidP="00AD3B28">
            <w:pPr>
              <w:spacing w:before="0" w:after="0"/>
              <w:jc w:val="center"/>
              <w:rPr>
                <w:rFonts w:eastAsia="Times New Roman"/>
                <w:b/>
                <w:bCs/>
                <w:noProof/>
                <w:color w:val="000000"/>
                <w:sz w:val="16"/>
                <w:szCs w:val="16"/>
              </w:rPr>
            </w:pPr>
            <w:r w:rsidRPr="006343A0">
              <w:rPr>
                <w:b/>
                <w:noProof/>
                <w:color w:val="000000"/>
                <w:sz w:val="16"/>
              </w:rPr>
              <w:t>(in EUR)</w:t>
            </w:r>
          </w:p>
        </w:tc>
      </w:tr>
      <w:tr w:rsidR="006F2388" w:rsidRPr="006343A0" w:rsidTr="00261B21">
        <w:trPr>
          <w:trHeight w:val="104"/>
        </w:trPr>
        <w:tc>
          <w:tcPr>
            <w:tcW w:w="1471" w:type="dxa"/>
            <w:tcBorders>
              <w:top w:val="single" w:sz="4" w:space="0" w:color="auto"/>
              <w:left w:val="single" w:sz="4" w:space="0" w:color="auto"/>
              <w:bottom w:val="nil"/>
              <w:right w:val="single" w:sz="4" w:space="0" w:color="auto"/>
            </w:tcBorders>
            <w:shd w:val="clear" w:color="auto" w:fill="EEECE1"/>
            <w:vAlign w:val="center"/>
            <w:hideMark/>
          </w:tcPr>
          <w:p w:rsidR="00AD3B28" w:rsidRPr="006343A0" w:rsidRDefault="00AD3B28" w:rsidP="00AD3B28">
            <w:pPr>
              <w:spacing w:before="0" w:after="0"/>
              <w:jc w:val="left"/>
              <w:rPr>
                <w:rFonts w:eastAsia="Times New Roman"/>
                <w:b/>
                <w:bCs/>
                <w:noProof/>
                <w:color w:val="000000"/>
                <w:sz w:val="16"/>
                <w:szCs w:val="16"/>
              </w:rPr>
            </w:pPr>
            <w:r w:rsidRPr="006343A0">
              <w:rPr>
                <w:b/>
                <w:noProof/>
                <w:color w:val="000000"/>
                <w:sz w:val="16"/>
              </w:rPr>
              <w:t>Spanje – overstromingen</w:t>
            </w:r>
          </w:p>
        </w:tc>
        <w:tc>
          <w:tcPr>
            <w:tcW w:w="1294"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18 078 315 857</w:t>
            </w:r>
          </w:p>
        </w:tc>
        <w:tc>
          <w:tcPr>
            <w:tcW w:w="141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3 958 436 000</w:t>
            </w:r>
          </w:p>
        </w:tc>
        <w:tc>
          <w:tcPr>
            <w:tcW w:w="127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98 960 900</w:t>
            </w:r>
          </w:p>
        </w:tc>
        <w:tc>
          <w:tcPr>
            <w:tcW w:w="1298" w:type="dxa"/>
            <w:vMerge w:val="restart"/>
            <w:tcBorders>
              <w:top w:val="single" w:sz="4" w:space="0" w:color="auto"/>
              <w:left w:val="single" w:sz="4" w:space="0" w:color="auto"/>
              <w:bottom w:val="single" w:sz="4" w:space="0" w:color="auto"/>
              <w:right w:val="single" w:sz="4" w:space="0" w:color="auto"/>
            </w:tcBorders>
            <w:vAlign w:val="center"/>
          </w:tcPr>
          <w:p w:rsidR="00AD3B28" w:rsidRPr="006343A0" w:rsidRDefault="00AD3B28" w:rsidP="00AD3B28">
            <w:pPr>
              <w:jc w:val="right"/>
              <w:rPr>
                <w:rFonts w:eastAsia="Times New Roman"/>
                <w:noProof/>
                <w:color w:val="000000"/>
                <w:sz w:val="16"/>
                <w:szCs w:val="16"/>
              </w:rPr>
            </w:pPr>
            <w:r w:rsidRPr="006343A0">
              <w:rPr>
                <w:noProof/>
                <w:color w:val="000000"/>
                <w:sz w:val="16"/>
              </w:rPr>
              <w:t>847 192 791</w:t>
            </w:r>
          </w:p>
        </w:tc>
        <w:tc>
          <w:tcPr>
            <w:tcW w:w="1428"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946 153 691</w:t>
            </w:r>
          </w:p>
        </w:tc>
        <w:tc>
          <w:tcPr>
            <w:tcW w:w="127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100 000 000</w:t>
            </w:r>
          </w:p>
        </w:tc>
        <w:tc>
          <w:tcPr>
            <w:tcW w:w="1270"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846 153 691</w:t>
            </w:r>
          </w:p>
        </w:tc>
      </w:tr>
      <w:tr w:rsidR="005F2606" w:rsidRPr="006343A0" w:rsidTr="00261B21">
        <w:trPr>
          <w:trHeight w:val="363"/>
        </w:trPr>
        <w:tc>
          <w:tcPr>
            <w:tcW w:w="1471" w:type="dxa"/>
            <w:tcBorders>
              <w:top w:val="nil"/>
              <w:left w:val="single" w:sz="4" w:space="0" w:color="auto"/>
              <w:bottom w:val="single" w:sz="4" w:space="0" w:color="auto"/>
              <w:right w:val="single" w:sz="4" w:space="0" w:color="auto"/>
            </w:tcBorders>
            <w:shd w:val="clear" w:color="auto" w:fill="EEECE1"/>
            <w:vAlign w:val="center"/>
            <w:hideMark/>
          </w:tcPr>
          <w:p w:rsidR="00AD3B28" w:rsidRPr="006343A0" w:rsidRDefault="00AD3B28" w:rsidP="00AD3B28">
            <w:pPr>
              <w:spacing w:before="0" w:after="0"/>
              <w:jc w:val="left"/>
              <w:rPr>
                <w:rFonts w:eastAsia="Times New Roman"/>
                <w:i/>
                <w:iCs/>
                <w:noProof/>
                <w:color w:val="000000"/>
                <w:sz w:val="16"/>
                <w:szCs w:val="16"/>
              </w:rPr>
            </w:pPr>
            <w:r w:rsidRPr="006343A0">
              <w:rPr>
                <w:i/>
                <w:noProof/>
                <w:color w:val="000000"/>
                <w:sz w:val="16"/>
              </w:rPr>
              <w:t>(grote ramp)</w:t>
            </w:r>
          </w:p>
        </w:tc>
        <w:tc>
          <w:tcPr>
            <w:tcW w:w="1294" w:type="dxa"/>
            <w:vMerge/>
            <w:tcBorders>
              <w:top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p>
        </w:tc>
        <w:tc>
          <w:tcPr>
            <w:tcW w:w="1298" w:type="dxa"/>
            <w:vMerge/>
            <w:tcBorders>
              <w:top w:val="single" w:sz="4" w:space="0" w:color="auto"/>
              <w:left w:val="single" w:sz="4" w:space="0" w:color="auto"/>
              <w:bottom w:val="single" w:sz="4" w:space="0" w:color="auto"/>
              <w:right w:val="single" w:sz="4" w:space="0" w:color="auto"/>
            </w:tcBorders>
          </w:tcPr>
          <w:p w:rsidR="00AD3B28" w:rsidRPr="006343A0" w:rsidRDefault="00AD3B28" w:rsidP="00AD3B28">
            <w:pPr>
              <w:rPr>
                <w:rFonts w:eastAsia="Times New Roman"/>
                <w:noProof/>
                <w:sz w:val="16"/>
                <w:szCs w:val="16"/>
                <w:lang w:eastAsia="en-GB"/>
              </w:rPr>
            </w:pPr>
          </w:p>
        </w:tc>
        <w:tc>
          <w:tcPr>
            <w:tcW w:w="1428"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p>
        </w:tc>
        <w:tc>
          <w:tcPr>
            <w:tcW w:w="1270"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p>
        </w:tc>
      </w:tr>
      <w:tr w:rsidR="006F2388" w:rsidRPr="006343A0" w:rsidTr="00261B21">
        <w:trPr>
          <w:trHeight w:val="254"/>
        </w:trPr>
        <w:tc>
          <w:tcPr>
            <w:tcW w:w="1471" w:type="dxa"/>
            <w:tcBorders>
              <w:top w:val="nil"/>
              <w:left w:val="single" w:sz="4" w:space="0" w:color="auto"/>
              <w:bottom w:val="nil"/>
              <w:right w:val="single" w:sz="4" w:space="0" w:color="auto"/>
            </w:tcBorders>
            <w:shd w:val="clear" w:color="auto" w:fill="EEECE1"/>
            <w:vAlign w:val="center"/>
            <w:hideMark/>
          </w:tcPr>
          <w:p w:rsidR="00AD3B28" w:rsidRPr="006343A0" w:rsidRDefault="00AD3B28" w:rsidP="00AD3B28">
            <w:pPr>
              <w:spacing w:before="0" w:after="0"/>
              <w:jc w:val="left"/>
              <w:rPr>
                <w:rFonts w:eastAsia="Times New Roman"/>
                <w:b/>
                <w:bCs/>
                <w:noProof/>
                <w:color w:val="000000"/>
                <w:sz w:val="16"/>
                <w:szCs w:val="16"/>
              </w:rPr>
            </w:pPr>
            <w:r w:rsidRPr="006343A0">
              <w:rPr>
                <w:b/>
                <w:noProof/>
                <w:color w:val="000000"/>
                <w:sz w:val="16"/>
              </w:rPr>
              <w:t xml:space="preserve">Frankrijk (Mayotte) – cycloon </w:t>
            </w:r>
          </w:p>
        </w:tc>
        <w:tc>
          <w:tcPr>
            <w:tcW w:w="1294"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3 585 122 000</w:t>
            </w:r>
          </w:p>
        </w:tc>
        <w:tc>
          <w:tcPr>
            <w:tcW w:w="141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33 470 000</w:t>
            </w:r>
          </w:p>
        </w:tc>
        <w:tc>
          <w:tcPr>
            <w:tcW w:w="127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89 628 050</w:t>
            </w:r>
          </w:p>
        </w:tc>
        <w:tc>
          <w:tcPr>
            <w:tcW w:w="1298" w:type="dxa"/>
            <w:vMerge w:val="restart"/>
            <w:tcBorders>
              <w:top w:val="single" w:sz="4" w:space="0" w:color="auto"/>
              <w:left w:val="single" w:sz="4" w:space="0" w:color="auto"/>
              <w:bottom w:val="single" w:sz="4" w:space="0" w:color="auto"/>
              <w:right w:val="single" w:sz="4" w:space="0" w:color="auto"/>
            </w:tcBorders>
            <w:vAlign w:val="center"/>
          </w:tcPr>
          <w:p w:rsidR="00AD3B28" w:rsidRPr="006343A0" w:rsidRDefault="00AD3B28" w:rsidP="00AD3B28">
            <w:pPr>
              <w:jc w:val="right"/>
              <w:rPr>
                <w:rFonts w:eastAsia="Times New Roman"/>
                <w:noProof/>
                <w:color w:val="000000"/>
                <w:sz w:val="16"/>
                <w:szCs w:val="16"/>
              </w:rPr>
            </w:pPr>
            <w:r w:rsidRPr="006343A0">
              <w:rPr>
                <w:noProof/>
                <w:color w:val="000000"/>
                <w:sz w:val="16"/>
              </w:rPr>
              <w:t>N.v.t.</w:t>
            </w:r>
          </w:p>
        </w:tc>
        <w:tc>
          <w:tcPr>
            <w:tcW w:w="1428"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89 628 050</w:t>
            </w:r>
          </w:p>
        </w:tc>
        <w:tc>
          <w:tcPr>
            <w:tcW w:w="127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23 782 012</w:t>
            </w:r>
          </w:p>
        </w:tc>
        <w:tc>
          <w:tcPr>
            <w:tcW w:w="1270"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65 846 038</w:t>
            </w:r>
          </w:p>
        </w:tc>
      </w:tr>
      <w:tr w:rsidR="006F2388" w:rsidRPr="006343A0" w:rsidTr="00261B21">
        <w:trPr>
          <w:trHeight w:val="50"/>
        </w:trPr>
        <w:tc>
          <w:tcPr>
            <w:tcW w:w="1471" w:type="dxa"/>
            <w:tcBorders>
              <w:top w:val="nil"/>
              <w:left w:val="single" w:sz="4" w:space="0" w:color="auto"/>
              <w:bottom w:val="single" w:sz="4" w:space="0" w:color="auto"/>
              <w:right w:val="single" w:sz="4" w:space="0" w:color="auto"/>
            </w:tcBorders>
            <w:shd w:val="clear" w:color="auto" w:fill="EEECE1"/>
            <w:vAlign w:val="center"/>
            <w:hideMark/>
          </w:tcPr>
          <w:p w:rsidR="00AD3B28" w:rsidRPr="006343A0" w:rsidRDefault="00AD3B28" w:rsidP="00AD3B28">
            <w:pPr>
              <w:spacing w:before="0" w:after="0"/>
              <w:jc w:val="left"/>
              <w:rPr>
                <w:rFonts w:eastAsia="Times New Roman"/>
                <w:i/>
                <w:iCs/>
                <w:noProof/>
                <w:color w:val="000000"/>
                <w:sz w:val="16"/>
                <w:szCs w:val="16"/>
              </w:rPr>
            </w:pPr>
            <w:r w:rsidRPr="006343A0">
              <w:rPr>
                <w:i/>
                <w:noProof/>
                <w:color w:val="000000"/>
                <w:sz w:val="16"/>
              </w:rPr>
              <w:t>(regionale ramp)</w:t>
            </w:r>
          </w:p>
        </w:tc>
        <w:tc>
          <w:tcPr>
            <w:tcW w:w="1294" w:type="dxa"/>
            <w:vMerge/>
            <w:tcBorders>
              <w:top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p>
        </w:tc>
        <w:tc>
          <w:tcPr>
            <w:tcW w:w="1298" w:type="dxa"/>
            <w:vMerge/>
            <w:tcBorders>
              <w:top w:val="single" w:sz="4" w:space="0" w:color="auto"/>
              <w:left w:val="single" w:sz="4" w:space="0" w:color="auto"/>
              <w:bottom w:val="single" w:sz="4" w:space="0" w:color="auto"/>
              <w:right w:val="single" w:sz="4" w:space="0" w:color="auto"/>
            </w:tcBorders>
          </w:tcPr>
          <w:p w:rsidR="00AD3B28" w:rsidRPr="006343A0" w:rsidRDefault="00AD3B28" w:rsidP="00AD3B28">
            <w:pPr>
              <w:rPr>
                <w:rFonts w:eastAsia="Times New Roman"/>
                <w:noProof/>
                <w:sz w:val="16"/>
                <w:szCs w:val="16"/>
                <w:lang w:eastAsia="en-GB"/>
              </w:rPr>
            </w:pPr>
          </w:p>
        </w:tc>
        <w:tc>
          <w:tcPr>
            <w:tcW w:w="1428"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p>
        </w:tc>
        <w:tc>
          <w:tcPr>
            <w:tcW w:w="1270"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p>
        </w:tc>
      </w:tr>
      <w:tr w:rsidR="006F2388" w:rsidRPr="006343A0" w:rsidTr="00261B21">
        <w:trPr>
          <w:trHeight w:val="376"/>
        </w:trPr>
        <w:tc>
          <w:tcPr>
            <w:tcW w:w="1471" w:type="dxa"/>
            <w:tcBorders>
              <w:top w:val="nil"/>
              <w:left w:val="single" w:sz="4" w:space="0" w:color="auto"/>
              <w:bottom w:val="nil"/>
              <w:right w:val="single" w:sz="4" w:space="0" w:color="auto"/>
            </w:tcBorders>
            <w:shd w:val="clear" w:color="auto" w:fill="EEECE1"/>
            <w:vAlign w:val="center"/>
            <w:hideMark/>
          </w:tcPr>
          <w:p w:rsidR="00AD3B28" w:rsidRPr="006343A0" w:rsidRDefault="00AD3B28" w:rsidP="00AD3B28">
            <w:pPr>
              <w:spacing w:before="0" w:after="0"/>
              <w:jc w:val="left"/>
              <w:rPr>
                <w:rFonts w:eastAsia="Times New Roman"/>
                <w:b/>
                <w:bCs/>
                <w:noProof/>
                <w:color w:val="000000"/>
                <w:sz w:val="16"/>
                <w:szCs w:val="16"/>
              </w:rPr>
            </w:pPr>
            <w:r w:rsidRPr="006343A0">
              <w:rPr>
                <w:b/>
                <w:noProof/>
                <w:color w:val="000000"/>
                <w:sz w:val="16"/>
              </w:rPr>
              <w:t xml:space="preserve">Frankrijk (Réunion) – cycloon </w:t>
            </w:r>
          </w:p>
        </w:tc>
        <w:tc>
          <w:tcPr>
            <w:tcW w:w="1294"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849 453 473</w:t>
            </w:r>
          </w:p>
        </w:tc>
        <w:tc>
          <w:tcPr>
            <w:tcW w:w="141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216 680 000</w:t>
            </w:r>
          </w:p>
        </w:tc>
        <w:tc>
          <w:tcPr>
            <w:tcW w:w="127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noProof/>
                <w:color w:val="000000"/>
                <w:sz w:val="16"/>
                <w:szCs w:val="16"/>
              </w:rPr>
            </w:pPr>
            <w:r w:rsidRPr="006343A0">
              <w:rPr>
                <w:noProof/>
                <w:color w:val="000000"/>
                <w:sz w:val="16"/>
              </w:rPr>
              <w:t>21 236 336</w:t>
            </w:r>
          </w:p>
        </w:tc>
        <w:tc>
          <w:tcPr>
            <w:tcW w:w="1298" w:type="dxa"/>
            <w:vMerge w:val="restart"/>
            <w:tcBorders>
              <w:top w:val="single" w:sz="4" w:space="0" w:color="auto"/>
              <w:left w:val="single" w:sz="4" w:space="0" w:color="auto"/>
              <w:bottom w:val="single" w:sz="4" w:space="0" w:color="auto"/>
              <w:right w:val="single" w:sz="4" w:space="0" w:color="auto"/>
            </w:tcBorders>
            <w:vAlign w:val="center"/>
          </w:tcPr>
          <w:p w:rsidR="00AD3B28" w:rsidRPr="006343A0" w:rsidRDefault="00AD3B28" w:rsidP="00AD3B28">
            <w:pPr>
              <w:jc w:val="right"/>
              <w:rPr>
                <w:rFonts w:eastAsia="Times New Roman"/>
                <w:noProof/>
                <w:color w:val="000000"/>
                <w:sz w:val="16"/>
                <w:szCs w:val="16"/>
              </w:rPr>
            </w:pPr>
            <w:r w:rsidRPr="006343A0">
              <w:rPr>
                <w:noProof/>
                <w:color w:val="000000"/>
                <w:sz w:val="16"/>
              </w:rPr>
              <w:t>N.v.t.</w:t>
            </w:r>
          </w:p>
        </w:tc>
        <w:tc>
          <w:tcPr>
            <w:tcW w:w="1428"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21 236 336</w:t>
            </w:r>
          </w:p>
        </w:tc>
        <w:tc>
          <w:tcPr>
            <w:tcW w:w="1271"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5 309 084</w:t>
            </w:r>
          </w:p>
        </w:tc>
        <w:tc>
          <w:tcPr>
            <w:tcW w:w="1270" w:type="dxa"/>
            <w:vMerge w:val="restart"/>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right"/>
              <w:rPr>
                <w:rFonts w:eastAsia="Times New Roman"/>
                <w:b/>
                <w:bCs/>
                <w:noProof/>
                <w:color w:val="000000"/>
                <w:sz w:val="16"/>
                <w:szCs w:val="16"/>
              </w:rPr>
            </w:pPr>
            <w:r w:rsidRPr="006343A0">
              <w:rPr>
                <w:b/>
                <w:noProof/>
                <w:color w:val="000000"/>
                <w:sz w:val="16"/>
              </w:rPr>
              <w:t>15 927 252</w:t>
            </w:r>
          </w:p>
        </w:tc>
      </w:tr>
      <w:tr w:rsidR="006F2388" w:rsidRPr="006343A0" w:rsidTr="00261B21">
        <w:trPr>
          <w:trHeight w:val="50"/>
        </w:trPr>
        <w:tc>
          <w:tcPr>
            <w:tcW w:w="1471" w:type="dxa"/>
            <w:tcBorders>
              <w:top w:val="nil"/>
              <w:left w:val="single" w:sz="4" w:space="0" w:color="auto"/>
              <w:bottom w:val="single" w:sz="4" w:space="0" w:color="auto"/>
              <w:right w:val="single" w:sz="4" w:space="0" w:color="auto"/>
            </w:tcBorders>
            <w:shd w:val="clear" w:color="auto" w:fill="EEECE1"/>
            <w:vAlign w:val="center"/>
            <w:hideMark/>
          </w:tcPr>
          <w:p w:rsidR="00AD3B28" w:rsidRPr="006343A0" w:rsidRDefault="00AD3B28" w:rsidP="00AD3B28">
            <w:pPr>
              <w:spacing w:before="0" w:after="0"/>
              <w:jc w:val="left"/>
              <w:rPr>
                <w:rFonts w:eastAsia="Times New Roman"/>
                <w:i/>
                <w:iCs/>
                <w:noProof/>
                <w:color w:val="000000"/>
                <w:sz w:val="16"/>
                <w:szCs w:val="16"/>
              </w:rPr>
            </w:pPr>
            <w:r w:rsidRPr="006343A0">
              <w:rPr>
                <w:i/>
                <w:noProof/>
                <w:color w:val="000000"/>
                <w:sz w:val="16"/>
              </w:rPr>
              <w:t>(regionale ramp)</w:t>
            </w:r>
          </w:p>
        </w:tc>
        <w:tc>
          <w:tcPr>
            <w:tcW w:w="1294" w:type="dxa"/>
            <w:vMerge/>
            <w:tcBorders>
              <w:top w:val="single" w:sz="4" w:space="0" w:color="auto"/>
              <w:bottom w:val="single" w:sz="4" w:space="0" w:color="auto"/>
              <w:right w:val="single" w:sz="4" w:space="0" w:color="auto"/>
            </w:tcBorders>
            <w:vAlign w:val="center"/>
            <w:hideMark/>
          </w:tcPr>
          <w:p w:rsidR="00AD3B28" w:rsidRPr="006343A0" w:rsidRDefault="00AD3B28" w:rsidP="00AD3B28">
            <w:pPr>
              <w:spacing w:before="0" w:after="0"/>
              <w:jc w:val="left"/>
              <w:rPr>
                <w:rFonts w:eastAsia="Times New Roman"/>
                <w:noProof/>
                <w:color w:val="000000"/>
                <w:sz w:val="16"/>
                <w:szCs w:val="16"/>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left"/>
              <w:rPr>
                <w:rFonts w:eastAsia="Times New Roman"/>
                <w:noProof/>
                <w:color w:val="000000"/>
                <w:sz w:val="16"/>
                <w:szCs w:val="16"/>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left"/>
              <w:rPr>
                <w:rFonts w:eastAsia="Times New Roman"/>
                <w:noProof/>
                <w:color w:val="000000"/>
                <w:sz w:val="16"/>
                <w:szCs w:val="16"/>
              </w:rPr>
            </w:pPr>
          </w:p>
        </w:tc>
        <w:tc>
          <w:tcPr>
            <w:tcW w:w="1298" w:type="dxa"/>
            <w:vMerge/>
            <w:tcBorders>
              <w:top w:val="single" w:sz="4" w:space="0" w:color="auto"/>
              <w:left w:val="single" w:sz="4" w:space="0" w:color="auto"/>
              <w:bottom w:val="single" w:sz="4" w:space="0" w:color="auto"/>
              <w:right w:val="single" w:sz="4" w:space="0" w:color="auto"/>
            </w:tcBorders>
          </w:tcPr>
          <w:p w:rsidR="00AD3B28" w:rsidRPr="006343A0" w:rsidRDefault="00AD3B28" w:rsidP="00AD3B28">
            <w:pPr>
              <w:rPr>
                <w:rFonts w:eastAsia="Times New Roman"/>
                <w:noProof/>
                <w:sz w:val="16"/>
                <w:szCs w:val="16"/>
                <w:lang w:eastAsia="en-GB"/>
              </w:rPr>
            </w:pPr>
          </w:p>
        </w:tc>
        <w:tc>
          <w:tcPr>
            <w:tcW w:w="1428"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left"/>
              <w:rPr>
                <w:rFonts w:eastAsia="Times New Roman"/>
                <w:b/>
                <w:bCs/>
                <w:noProof/>
                <w:color w:val="000000"/>
                <w:sz w:val="16"/>
                <w:szCs w:val="16"/>
              </w:rPr>
            </w:pPr>
          </w:p>
        </w:tc>
        <w:tc>
          <w:tcPr>
            <w:tcW w:w="1271"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left"/>
              <w:rPr>
                <w:rFonts w:eastAsia="Times New Roman"/>
                <w:b/>
                <w:bCs/>
                <w:noProof/>
                <w:color w:val="000000"/>
                <w:sz w:val="16"/>
                <w:szCs w:val="16"/>
              </w:rPr>
            </w:pPr>
          </w:p>
        </w:tc>
        <w:tc>
          <w:tcPr>
            <w:tcW w:w="1270" w:type="dxa"/>
            <w:vMerge/>
            <w:tcBorders>
              <w:top w:val="single" w:sz="4" w:space="0" w:color="auto"/>
              <w:left w:val="single" w:sz="4" w:space="0" w:color="auto"/>
              <w:bottom w:val="single" w:sz="4" w:space="0" w:color="auto"/>
              <w:right w:val="single" w:sz="4" w:space="0" w:color="auto"/>
            </w:tcBorders>
            <w:vAlign w:val="center"/>
            <w:hideMark/>
          </w:tcPr>
          <w:p w:rsidR="00AD3B28" w:rsidRPr="006343A0" w:rsidRDefault="00AD3B28" w:rsidP="00AD3B28">
            <w:pPr>
              <w:spacing w:before="0" w:after="0"/>
              <w:jc w:val="left"/>
              <w:rPr>
                <w:rFonts w:eastAsia="Times New Roman"/>
                <w:b/>
                <w:bCs/>
                <w:noProof/>
                <w:color w:val="000000"/>
                <w:sz w:val="16"/>
                <w:szCs w:val="16"/>
              </w:rPr>
            </w:pPr>
          </w:p>
        </w:tc>
      </w:tr>
      <w:tr w:rsidR="00234BEF" w:rsidRPr="006343A0" w:rsidTr="00261B21">
        <w:trPr>
          <w:trHeight w:val="247"/>
        </w:trPr>
        <w:tc>
          <w:tcPr>
            <w:tcW w:w="6745" w:type="dxa"/>
            <w:gridSpan w:val="5"/>
            <w:tcBorders>
              <w:top w:val="single" w:sz="4" w:space="0" w:color="auto"/>
              <w:left w:val="single" w:sz="4" w:space="0" w:color="auto"/>
              <w:bottom w:val="single" w:sz="4" w:space="0" w:color="auto"/>
              <w:right w:val="single" w:sz="4" w:space="0" w:color="auto"/>
            </w:tcBorders>
            <w:shd w:val="clear" w:color="auto" w:fill="EEECE1"/>
            <w:vAlign w:val="center"/>
            <w:hideMark/>
          </w:tcPr>
          <w:p w:rsidR="00234BEF" w:rsidRPr="006343A0" w:rsidRDefault="00234BEF" w:rsidP="00AD3B28">
            <w:pPr>
              <w:jc w:val="right"/>
              <w:rPr>
                <w:rFonts w:eastAsia="Times New Roman"/>
                <w:b/>
                <w:bCs/>
                <w:noProof/>
                <w:color w:val="000000"/>
                <w:sz w:val="16"/>
                <w:szCs w:val="16"/>
              </w:rPr>
            </w:pPr>
            <w:r w:rsidRPr="006343A0">
              <w:rPr>
                <w:b/>
                <w:noProof/>
                <w:color w:val="000000"/>
                <w:sz w:val="16"/>
              </w:rPr>
              <w:t>TOTAAL</w:t>
            </w:r>
          </w:p>
        </w:tc>
        <w:tc>
          <w:tcPr>
            <w:tcW w:w="1428" w:type="dxa"/>
            <w:tcBorders>
              <w:top w:val="nil"/>
              <w:left w:val="nil"/>
              <w:bottom w:val="single" w:sz="4" w:space="0" w:color="auto"/>
              <w:right w:val="single" w:sz="4" w:space="0" w:color="auto"/>
            </w:tcBorders>
            <w:shd w:val="clear" w:color="auto" w:fill="EEECE1"/>
            <w:vAlign w:val="center"/>
            <w:hideMark/>
          </w:tcPr>
          <w:p w:rsidR="00234BEF" w:rsidRPr="006343A0" w:rsidRDefault="00234BEF" w:rsidP="00AD3B28">
            <w:pPr>
              <w:spacing w:before="0" w:after="0"/>
              <w:jc w:val="right"/>
              <w:rPr>
                <w:rFonts w:eastAsia="Times New Roman"/>
                <w:b/>
                <w:bCs/>
                <w:noProof/>
                <w:color w:val="000000"/>
                <w:sz w:val="16"/>
                <w:szCs w:val="16"/>
              </w:rPr>
            </w:pPr>
            <w:r w:rsidRPr="006343A0">
              <w:rPr>
                <w:b/>
                <w:noProof/>
                <w:color w:val="000000"/>
                <w:sz w:val="16"/>
              </w:rPr>
              <w:t>1 057 018 077</w:t>
            </w:r>
          </w:p>
        </w:tc>
        <w:tc>
          <w:tcPr>
            <w:tcW w:w="1271" w:type="dxa"/>
            <w:tcBorders>
              <w:top w:val="nil"/>
              <w:left w:val="nil"/>
              <w:bottom w:val="single" w:sz="4" w:space="0" w:color="auto"/>
              <w:right w:val="single" w:sz="4" w:space="0" w:color="auto"/>
            </w:tcBorders>
            <w:shd w:val="clear" w:color="auto" w:fill="EEECE1"/>
            <w:vAlign w:val="center"/>
            <w:hideMark/>
          </w:tcPr>
          <w:p w:rsidR="00234BEF" w:rsidRPr="006343A0" w:rsidRDefault="00234BEF" w:rsidP="00AD3B28">
            <w:pPr>
              <w:spacing w:before="0" w:after="0"/>
              <w:jc w:val="right"/>
              <w:rPr>
                <w:rFonts w:eastAsia="Times New Roman"/>
                <w:b/>
                <w:bCs/>
                <w:noProof/>
                <w:color w:val="000000"/>
                <w:sz w:val="16"/>
                <w:szCs w:val="16"/>
              </w:rPr>
            </w:pPr>
            <w:r w:rsidRPr="006343A0">
              <w:rPr>
                <w:b/>
                <w:noProof/>
                <w:color w:val="000000"/>
                <w:sz w:val="16"/>
              </w:rPr>
              <w:t>129 091 096</w:t>
            </w:r>
          </w:p>
        </w:tc>
        <w:tc>
          <w:tcPr>
            <w:tcW w:w="1270" w:type="dxa"/>
            <w:tcBorders>
              <w:top w:val="nil"/>
              <w:left w:val="nil"/>
              <w:bottom w:val="single" w:sz="4" w:space="0" w:color="auto"/>
              <w:right w:val="single" w:sz="4" w:space="0" w:color="auto"/>
            </w:tcBorders>
            <w:shd w:val="clear" w:color="auto" w:fill="EEECE1"/>
            <w:vAlign w:val="center"/>
            <w:hideMark/>
          </w:tcPr>
          <w:p w:rsidR="00234BEF" w:rsidRPr="006343A0" w:rsidRDefault="00234BEF" w:rsidP="00AD3B28">
            <w:pPr>
              <w:spacing w:before="0" w:after="0"/>
              <w:jc w:val="right"/>
              <w:rPr>
                <w:rFonts w:eastAsia="Times New Roman"/>
                <w:b/>
                <w:bCs/>
                <w:noProof/>
                <w:color w:val="000000"/>
                <w:sz w:val="16"/>
                <w:szCs w:val="16"/>
              </w:rPr>
            </w:pPr>
            <w:r w:rsidRPr="006343A0">
              <w:rPr>
                <w:b/>
                <w:noProof/>
                <w:color w:val="000000"/>
                <w:sz w:val="16"/>
              </w:rPr>
              <w:t>927 926 981</w:t>
            </w:r>
          </w:p>
        </w:tc>
      </w:tr>
    </w:tbl>
    <w:p w:rsidR="00692E0F" w:rsidRDefault="00692E0F" w:rsidP="007C7128">
      <w:pPr>
        <w:rPr>
          <w:noProof/>
        </w:rPr>
      </w:pPr>
      <w:bookmarkStart w:id="6" w:name="_Hlk115778785"/>
    </w:p>
    <w:p w:rsidR="007C7128" w:rsidRPr="006343A0" w:rsidRDefault="007C7128" w:rsidP="007C7128">
      <w:pPr>
        <w:rPr>
          <w:noProof/>
        </w:rPr>
      </w:pPr>
      <w:r w:rsidRPr="006343A0">
        <w:rPr>
          <w:noProof/>
        </w:rPr>
        <w:t>In Verordening 2024/765 van de Raad van 29 februari 2024 tot wijziging van Verordening (EU, Euratom) 2020/2093 tot bepaling van het meerjarig financieel kader voor de jaren 2021-2027</w:t>
      </w:r>
      <w:r w:rsidRPr="006343A0">
        <w:rPr>
          <w:rStyle w:val="FootnoteReference"/>
          <w:noProof/>
        </w:rPr>
        <w:footnoteReference w:id="8"/>
      </w:r>
      <w:r w:rsidRPr="006343A0">
        <w:rPr>
          <w:noProof/>
        </w:rPr>
        <w:t xml:space="preserve"> is de reserve voor solidariteit en noodhulp (SEAR) opgesplitst in twee afzonderlijke instrumenten: de reserve voor Europese solidariteit en de reserve voor noodhulp. De reserve voor Europese solidariteit, met een jaarlijks bedrag van 1 016 miljoen EUR (in prijzen van 2018, wat overeenkomt met 1 167 064 638 EUR in prijzen van 2025), zal worden gebruikt voor bijstand om te reageren op noodsituaties die onder het SFEU vallen</w:t>
      </w:r>
      <w:bookmarkEnd w:id="6"/>
      <w:r w:rsidRPr="006343A0">
        <w:rPr>
          <w:noProof/>
        </w:rPr>
        <w:t>.</w:t>
      </w:r>
    </w:p>
    <w:p w:rsidR="00452147" w:rsidRPr="006343A0" w:rsidRDefault="00724561" w:rsidP="00452147">
      <w:pPr>
        <w:rPr>
          <w:noProof/>
        </w:rPr>
      </w:pPr>
      <w:r w:rsidRPr="006343A0">
        <w:rPr>
          <w:noProof/>
        </w:rPr>
        <w:t>Overeenkomstig artikel 3, lid 7, van de SFEU-verordening en artikel 9, lid 2, tweede alinea, van de gewijzigde MFK-verordening is bepaald dat 25 % van de jaarlijkse SFEU-toewijzing op 1 oktober van elk jaar ter beschikking moet worden gesteld (d.w.z. 291 766 160 EUR in 2025).</w:t>
      </w:r>
    </w:p>
    <w:p w:rsidR="007C7128" w:rsidRPr="006343A0" w:rsidRDefault="00452147" w:rsidP="007C7128">
      <w:pPr>
        <w:rPr>
          <w:noProof/>
          <w:snapToGrid w:val="0"/>
        </w:rPr>
      </w:pPr>
      <w:r w:rsidRPr="006343A0">
        <w:rPr>
          <w:noProof/>
        </w:rPr>
        <w:t>Overeenkomstig artikel 9, lid 2, van de MFK-verordening kan elk deel van het jaarlijkse bedrag dat in een bepaald jaar n niet is gebruikt, in het jaar n+1 worden gebruikt. Uit 2024 is 194 316 162 EUR overgedragen.</w:t>
      </w:r>
    </w:p>
    <w:p w:rsidR="007C7128" w:rsidRPr="006343A0" w:rsidRDefault="005608B0" w:rsidP="007C7128">
      <w:pPr>
        <w:rPr>
          <w:noProof/>
        </w:rPr>
      </w:pPr>
      <w:r w:rsidRPr="006343A0">
        <w:rPr>
          <w:noProof/>
        </w:rPr>
        <w:t>Bovendien is overeenkomstig artikel 4 bis, lid 4, van de SFEU-verordening al een bedrag van 50 000 000 EUR opgenomen in de algemene begroting van de EU voor 2025 (in de vorm van vastleggings- en betalingskredieten) voor de betaling van eventuele voorschotten. In 2025 heeft de Commissie al vier voorschotten betaald: 10 663 587 EUR aan Oostenrijk in verband met de overstromingen in september 2024</w:t>
      </w:r>
      <w:r w:rsidR="00692E0F">
        <w:rPr>
          <w:noProof/>
        </w:rPr>
        <w:t>,</w:t>
      </w:r>
      <w:r w:rsidRPr="006343A0">
        <w:rPr>
          <w:noProof/>
        </w:rPr>
        <w:t xml:space="preserve"> 100 000 000 EUR aan Spanje naar aanleiding van de overstromingen in de regio Valencia in oktober 2024</w:t>
      </w:r>
      <w:r w:rsidRPr="006343A0">
        <w:rPr>
          <w:rStyle w:val="FootnoteReference"/>
          <w:noProof/>
        </w:rPr>
        <w:footnoteReference w:id="9"/>
      </w:r>
      <w:r w:rsidR="00692E0F">
        <w:rPr>
          <w:noProof/>
        </w:rPr>
        <w:t>,</w:t>
      </w:r>
      <w:r w:rsidRPr="006343A0">
        <w:rPr>
          <w:noProof/>
        </w:rPr>
        <w:t xml:space="preserve"> 23 782 012 EUR aan Frankrijk in verband met de cycloon op Mayotte in december 2024 en 5 309 084 EUR aan Frankrijk in verband met de cycloon op Réunion in februari 2025.</w:t>
      </w:r>
    </w:p>
    <w:p w:rsidR="00025984" w:rsidRPr="006343A0" w:rsidRDefault="00025984" w:rsidP="007C7128">
      <w:pPr>
        <w:rPr>
          <w:noProof/>
        </w:rPr>
      </w:pPr>
      <w:r w:rsidRPr="006343A0">
        <w:rPr>
          <w:noProof/>
        </w:rPr>
        <w:t>Tot slot zal het fonds overeenkomstig Besluit (EU) 2025/1525 van het Europees Parlement en de Raad van 9 juli 2025</w:t>
      </w:r>
      <w:r w:rsidRPr="006343A0">
        <w:rPr>
          <w:rStyle w:val="FootnoteReference"/>
          <w:noProof/>
        </w:rPr>
        <w:footnoteReference w:id="10"/>
      </w:r>
      <w:r w:rsidRPr="006343A0">
        <w:rPr>
          <w:noProof/>
        </w:rPr>
        <w:t xml:space="preserve"> bijstand verlenen aan Oostenrijk, Polen, Tsjechië, Slowakije, Moldavië en Bosnië en Herzegovina in verband met de overstromingen in september en oktober 2024, voor een totaalbedrag van 280 740 903 EUR. Voor die beschikbaarstelling is al een bedrag van 270 077 316 EUR uit de reserve voor Europese solidariteit gebruikt.</w:t>
      </w:r>
    </w:p>
    <w:p w:rsidR="006E04CE" w:rsidRPr="006343A0" w:rsidRDefault="006E04CE" w:rsidP="0099685F">
      <w:pPr>
        <w:rPr>
          <w:noProof/>
          <w:snapToGrid w:val="0"/>
        </w:rPr>
      </w:pPr>
      <w:r w:rsidRPr="006343A0">
        <w:rPr>
          <w:noProof/>
          <w:snapToGrid w:val="0"/>
        </w:rPr>
        <w:t>De totale beschikbare toewijzing (inclusief 25 % van de jaarlijkse toewijzing die op 1 oktober beschikbaar komt, maar exclusief het bedrag dat tot het einde van het jaar nog moet worden gebruikt voor eventuele voorschotten) bedraagt dus 928 376 487 EUR, wat voldoende is om de betalingsbehoeften van deze mededeling te dekken.</w:t>
      </w:r>
      <w:r w:rsidRPr="006343A0">
        <w:rPr>
          <w:noProof/>
        </w:rPr>
        <w:t xml:space="preserve"> </w:t>
      </w:r>
      <w:r w:rsidRPr="006343A0">
        <w:rPr>
          <w:noProof/>
          <w:snapToGrid w:val="0"/>
        </w:rPr>
        <w:t>Het resterende saldo om eventuele nieuwe aanvragen voor voorschotten te dekken bedraagt daardoor 23 172 314 EUR; de reserve bedraagt nog eens 449 506 EUR.</w:t>
      </w:r>
    </w:p>
    <w:tbl>
      <w:tblPr>
        <w:tblW w:w="8997" w:type="dxa"/>
        <w:jc w:val="center"/>
        <w:tblLook w:val="04A0" w:firstRow="1" w:lastRow="0" w:firstColumn="1" w:lastColumn="0" w:noHBand="0" w:noVBand="1"/>
      </w:tblPr>
      <w:tblGrid>
        <w:gridCol w:w="7449"/>
        <w:gridCol w:w="1548"/>
      </w:tblGrid>
      <w:tr w:rsidR="006E04CE" w:rsidRPr="006343A0" w:rsidTr="00261B21">
        <w:trPr>
          <w:trHeight w:val="41"/>
          <w:jc w:val="center"/>
        </w:trPr>
        <w:tc>
          <w:tcPr>
            <w:tcW w:w="7449" w:type="dxa"/>
            <w:tcBorders>
              <w:top w:val="single" w:sz="4" w:space="0" w:color="auto"/>
              <w:left w:val="single" w:sz="4" w:space="0" w:color="auto"/>
              <w:bottom w:val="single" w:sz="4" w:space="0" w:color="auto"/>
              <w:right w:val="nil"/>
            </w:tcBorders>
            <w:shd w:val="clear" w:color="auto" w:fill="E7E6E6"/>
            <w:vAlign w:val="center"/>
            <w:hideMark/>
          </w:tcPr>
          <w:p w:rsidR="006E04CE" w:rsidRPr="006343A0" w:rsidRDefault="006E04CE" w:rsidP="00592884">
            <w:pPr>
              <w:jc w:val="left"/>
              <w:rPr>
                <w:b/>
                <w:bCs/>
                <w:noProof/>
                <w:sz w:val="20"/>
                <w:szCs w:val="18"/>
              </w:rPr>
            </w:pPr>
            <w:bookmarkStart w:id="7" w:name="_Hlk196907168"/>
            <w:r w:rsidRPr="006343A0">
              <w:rPr>
                <w:b/>
                <w:noProof/>
                <w:sz w:val="20"/>
              </w:rPr>
              <w:t>Beschikbaar bedrag in het kader van het SFEU in 2025 (in EUR):</w:t>
            </w:r>
          </w:p>
        </w:tc>
        <w:tc>
          <w:tcPr>
            <w:tcW w:w="1548" w:type="dxa"/>
            <w:tcBorders>
              <w:top w:val="single" w:sz="4" w:space="0" w:color="auto"/>
              <w:left w:val="nil"/>
              <w:bottom w:val="single" w:sz="4" w:space="0" w:color="auto"/>
              <w:right w:val="single" w:sz="4" w:space="0" w:color="auto"/>
            </w:tcBorders>
            <w:shd w:val="clear" w:color="auto" w:fill="E7E6E6"/>
            <w:vAlign w:val="center"/>
            <w:hideMark/>
          </w:tcPr>
          <w:p w:rsidR="006E04CE" w:rsidRPr="006343A0" w:rsidRDefault="006E04CE" w:rsidP="00592884">
            <w:pPr>
              <w:jc w:val="left"/>
              <w:rPr>
                <w:noProof/>
                <w:sz w:val="20"/>
                <w:szCs w:val="18"/>
              </w:rPr>
            </w:pPr>
            <w:r w:rsidRPr="006343A0">
              <w:rPr>
                <w:noProof/>
                <w:sz w:val="20"/>
              </w:rPr>
              <w:t xml:space="preserve"> </w:t>
            </w:r>
          </w:p>
        </w:tc>
      </w:tr>
      <w:tr w:rsidR="006E04CE"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auto"/>
            </w:tcBorders>
            <w:noWrap/>
            <w:vAlign w:val="center"/>
          </w:tcPr>
          <w:p w:rsidR="006E04CE" w:rsidRPr="006343A0" w:rsidRDefault="006E04CE" w:rsidP="00592884">
            <w:pPr>
              <w:spacing w:before="40" w:after="40"/>
              <w:jc w:val="left"/>
              <w:rPr>
                <w:noProof/>
                <w:color w:val="000000"/>
                <w:sz w:val="20"/>
                <w:szCs w:val="18"/>
              </w:rPr>
            </w:pPr>
            <w:r w:rsidRPr="006343A0">
              <w:rPr>
                <w:noProof/>
                <w:color w:val="000000"/>
                <w:sz w:val="20"/>
              </w:rPr>
              <w:t>Totale jaarlijkse SFEU-toewijzing voor 2025 (incl. 1 oktober-tranche van 291 766 160 EUR)</w:t>
            </w:r>
          </w:p>
        </w:tc>
        <w:tc>
          <w:tcPr>
            <w:tcW w:w="1548" w:type="dxa"/>
            <w:tcBorders>
              <w:top w:val="single" w:sz="4" w:space="0" w:color="auto"/>
              <w:left w:val="nil"/>
              <w:bottom w:val="single" w:sz="4" w:space="0" w:color="auto"/>
              <w:right w:val="single" w:sz="4" w:space="0" w:color="auto"/>
            </w:tcBorders>
            <w:vAlign w:val="center"/>
          </w:tcPr>
          <w:p w:rsidR="006E04CE" w:rsidRPr="006343A0" w:rsidRDefault="007C7128" w:rsidP="00F30517">
            <w:pPr>
              <w:spacing w:before="40" w:after="40"/>
              <w:jc w:val="right"/>
              <w:rPr>
                <w:bCs/>
                <w:noProof/>
                <w:sz w:val="20"/>
                <w:szCs w:val="18"/>
              </w:rPr>
            </w:pPr>
            <w:r w:rsidRPr="006343A0">
              <w:rPr>
                <w:noProof/>
                <w:sz w:val="20"/>
              </w:rPr>
              <w:t>1 167 064 638</w:t>
            </w:r>
          </w:p>
        </w:tc>
      </w:tr>
      <w:tr w:rsidR="00E3275E"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auto"/>
            </w:tcBorders>
            <w:vAlign w:val="center"/>
          </w:tcPr>
          <w:p w:rsidR="00E3275E" w:rsidRPr="006343A0" w:rsidRDefault="00E3275E" w:rsidP="007C7128">
            <w:pPr>
              <w:spacing w:before="40" w:after="40"/>
              <w:contextualSpacing/>
              <w:jc w:val="left"/>
              <w:rPr>
                <w:noProof/>
                <w:color w:val="000000"/>
                <w:sz w:val="20"/>
                <w:szCs w:val="18"/>
              </w:rPr>
            </w:pPr>
            <w:r w:rsidRPr="006343A0">
              <w:rPr>
                <w:noProof/>
                <w:color w:val="000000"/>
                <w:sz w:val="20"/>
              </w:rPr>
              <w:t>Uit 2024 overgedragen bedrag, incl. ongebruikte voorschotten (+)</w:t>
            </w:r>
          </w:p>
        </w:tc>
        <w:tc>
          <w:tcPr>
            <w:tcW w:w="1548" w:type="dxa"/>
            <w:tcBorders>
              <w:top w:val="single" w:sz="4" w:space="0" w:color="auto"/>
              <w:left w:val="nil"/>
              <w:bottom w:val="single" w:sz="4" w:space="0" w:color="auto"/>
              <w:right w:val="single" w:sz="4" w:space="0" w:color="auto"/>
            </w:tcBorders>
            <w:vAlign w:val="center"/>
          </w:tcPr>
          <w:p w:rsidR="00E3275E" w:rsidRPr="006343A0" w:rsidRDefault="00E3275E" w:rsidP="00F30517">
            <w:pPr>
              <w:spacing w:before="40" w:after="40"/>
              <w:jc w:val="right"/>
              <w:rPr>
                <w:bCs/>
                <w:noProof/>
                <w:sz w:val="20"/>
                <w:szCs w:val="18"/>
              </w:rPr>
            </w:pPr>
            <w:r w:rsidRPr="006343A0">
              <w:rPr>
                <w:noProof/>
                <w:sz w:val="20"/>
              </w:rPr>
              <w:t>194 316 162</w:t>
            </w:r>
          </w:p>
        </w:tc>
      </w:tr>
      <w:tr w:rsidR="009659D3"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000000" w:themeColor="text1"/>
            </w:tcBorders>
            <w:shd w:val="clear" w:color="auto" w:fill="FFFFFF" w:themeFill="background1"/>
            <w:noWrap/>
            <w:vAlign w:val="center"/>
          </w:tcPr>
          <w:p w:rsidR="009659D3" w:rsidRPr="006343A0" w:rsidRDefault="009659D3" w:rsidP="001F059C">
            <w:pPr>
              <w:spacing w:before="40" w:after="40"/>
              <w:jc w:val="left"/>
              <w:rPr>
                <w:noProof/>
                <w:color w:val="000000"/>
                <w:sz w:val="20"/>
                <w:szCs w:val="18"/>
              </w:rPr>
            </w:pPr>
            <w:r w:rsidRPr="006343A0">
              <w:rPr>
                <w:noProof/>
                <w:color w:val="000000"/>
                <w:sz w:val="20"/>
              </w:rPr>
              <w:t>Al voor voorschotten gebruikt bedrag (–)</w:t>
            </w:r>
          </w:p>
        </w:tc>
        <w:tc>
          <w:tcPr>
            <w:tcW w:w="1548" w:type="dxa"/>
            <w:tcBorders>
              <w:top w:val="single" w:sz="4" w:space="0" w:color="auto"/>
              <w:left w:val="nil"/>
              <w:bottom w:val="single" w:sz="4" w:space="0" w:color="auto"/>
              <w:right w:val="single" w:sz="4" w:space="0" w:color="auto"/>
            </w:tcBorders>
            <w:shd w:val="clear" w:color="auto" w:fill="FFFFFF" w:themeFill="background1"/>
            <w:vAlign w:val="center"/>
          </w:tcPr>
          <w:p w:rsidR="009659D3" w:rsidRPr="006343A0" w:rsidRDefault="2AF7357D" w:rsidP="3272C95A">
            <w:pPr>
              <w:spacing w:before="40" w:after="40"/>
              <w:jc w:val="right"/>
              <w:rPr>
                <w:noProof/>
                <w:sz w:val="20"/>
                <w:szCs w:val="20"/>
              </w:rPr>
            </w:pPr>
            <w:r w:rsidRPr="006343A0">
              <w:rPr>
                <w:noProof/>
                <w:sz w:val="20"/>
              </w:rPr>
              <w:t>139 754 683</w:t>
            </w:r>
          </w:p>
        </w:tc>
      </w:tr>
      <w:tr w:rsidR="009659D3"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000000" w:themeColor="text1"/>
            </w:tcBorders>
            <w:shd w:val="clear" w:color="auto" w:fill="FFFFFF" w:themeFill="background1"/>
            <w:noWrap/>
            <w:vAlign w:val="center"/>
          </w:tcPr>
          <w:p w:rsidR="009659D3" w:rsidRPr="006343A0" w:rsidRDefault="009659D3" w:rsidP="001F059C">
            <w:pPr>
              <w:spacing w:before="40" w:after="40"/>
              <w:jc w:val="left"/>
              <w:rPr>
                <w:noProof/>
                <w:color w:val="000000"/>
                <w:sz w:val="20"/>
                <w:szCs w:val="18"/>
              </w:rPr>
            </w:pPr>
            <w:r w:rsidRPr="006343A0">
              <w:rPr>
                <w:noProof/>
                <w:color w:val="000000"/>
                <w:sz w:val="20"/>
              </w:rPr>
              <w:t>Al in 2025 beschikbaar gesteld bedrag (–)</w:t>
            </w:r>
          </w:p>
        </w:tc>
        <w:tc>
          <w:tcPr>
            <w:tcW w:w="1548" w:type="dxa"/>
            <w:tcBorders>
              <w:top w:val="single" w:sz="4" w:space="0" w:color="auto"/>
              <w:left w:val="nil"/>
              <w:bottom w:val="single" w:sz="4" w:space="0" w:color="auto"/>
              <w:right w:val="single" w:sz="4" w:space="0" w:color="auto"/>
            </w:tcBorders>
            <w:shd w:val="clear" w:color="auto" w:fill="FFFFFF" w:themeFill="background1"/>
            <w:vAlign w:val="center"/>
          </w:tcPr>
          <w:p w:rsidR="009659D3" w:rsidRPr="006343A0" w:rsidRDefault="00B56928" w:rsidP="00F30517">
            <w:pPr>
              <w:spacing w:before="40" w:after="40"/>
              <w:jc w:val="right"/>
              <w:rPr>
                <w:bCs/>
                <w:noProof/>
                <w:sz w:val="20"/>
                <w:szCs w:val="18"/>
              </w:rPr>
            </w:pPr>
            <w:r w:rsidRPr="006343A0">
              <w:rPr>
                <w:noProof/>
                <w:sz w:val="20"/>
              </w:rPr>
              <w:t>270 077 316</w:t>
            </w:r>
          </w:p>
        </w:tc>
      </w:tr>
      <w:tr w:rsidR="001F059C"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000000" w:themeColor="text1"/>
            </w:tcBorders>
            <w:noWrap/>
            <w:vAlign w:val="center"/>
          </w:tcPr>
          <w:p w:rsidR="001F059C" w:rsidRPr="006343A0" w:rsidRDefault="00BF18B3" w:rsidP="001F059C">
            <w:pPr>
              <w:spacing w:before="40" w:after="40"/>
              <w:jc w:val="left"/>
              <w:rPr>
                <w:noProof/>
                <w:color w:val="000000"/>
                <w:sz w:val="20"/>
                <w:szCs w:val="18"/>
              </w:rPr>
            </w:pPr>
            <w:r w:rsidRPr="006343A0">
              <w:rPr>
                <w:noProof/>
                <w:color w:val="000000"/>
                <w:sz w:val="20"/>
              </w:rPr>
              <w:t>Totaal beschikbaar bedrag, waarvan:</w:t>
            </w:r>
          </w:p>
        </w:tc>
        <w:tc>
          <w:tcPr>
            <w:tcW w:w="1548" w:type="dxa"/>
            <w:tcBorders>
              <w:top w:val="single" w:sz="4" w:space="0" w:color="auto"/>
              <w:left w:val="nil"/>
              <w:bottom w:val="single" w:sz="4" w:space="0" w:color="auto"/>
              <w:right w:val="single" w:sz="4" w:space="0" w:color="auto"/>
            </w:tcBorders>
            <w:vAlign w:val="center"/>
          </w:tcPr>
          <w:p w:rsidR="001F059C" w:rsidRPr="006343A0" w:rsidRDefault="000967B0" w:rsidP="00F30517">
            <w:pPr>
              <w:spacing w:before="40" w:after="40"/>
              <w:jc w:val="right"/>
              <w:rPr>
                <w:bCs/>
                <w:noProof/>
                <w:sz w:val="20"/>
                <w:szCs w:val="18"/>
              </w:rPr>
            </w:pPr>
            <w:r w:rsidRPr="006343A0">
              <w:rPr>
                <w:noProof/>
                <w:sz w:val="20"/>
              </w:rPr>
              <w:t>951 548 801</w:t>
            </w:r>
          </w:p>
        </w:tc>
      </w:tr>
      <w:tr w:rsidR="006C4112"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000000" w:themeColor="text1"/>
            </w:tcBorders>
            <w:noWrap/>
            <w:vAlign w:val="center"/>
          </w:tcPr>
          <w:p w:rsidR="006C4112" w:rsidRPr="006343A0" w:rsidRDefault="006C1D6D" w:rsidP="00EE4624">
            <w:pPr>
              <w:spacing w:before="40" w:after="40"/>
              <w:jc w:val="left"/>
              <w:rPr>
                <w:noProof/>
                <w:color w:val="000000"/>
                <w:sz w:val="20"/>
                <w:szCs w:val="18"/>
              </w:rPr>
            </w:pPr>
            <w:r w:rsidRPr="006343A0">
              <w:rPr>
                <w:noProof/>
                <w:color w:val="000000"/>
                <w:sz w:val="20"/>
              </w:rPr>
              <w:t>Beschikbaar bedrag voor het huidige besluit tot beschikbaarstelling</w:t>
            </w:r>
          </w:p>
        </w:tc>
        <w:tc>
          <w:tcPr>
            <w:tcW w:w="1548" w:type="dxa"/>
            <w:tcBorders>
              <w:top w:val="single" w:sz="4" w:space="0" w:color="auto"/>
              <w:left w:val="nil"/>
              <w:bottom w:val="single" w:sz="4" w:space="0" w:color="auto"/>
              <w:right w:val="single" w:sz="4" w:space="0" w:color="auto"/>
            </w:tcBorders>
            <w:vAlign w:val="center"/>
          </w:tcPr>
          <w:p w:rsidR="006C4112" w:rsidRPr="006343A0" w:rsidRDefault="00F0609B" w:rsidP="005969BE">
            <w:pPr>
              <w:spacing w:before="40" w:after="40"/>
              <w:jc w:val="right"/>
              <w:rPr>
                <w:bCs/>
                <w:noProof/>
                <w:sz w:val="20"/>
                <w:szCs w:val="18"/>
              </w:rPr>
            </w:pPr>
            <w:r w:rsidRPr="006343A0">
              <w:rPr>
                <w:noProof/>
                <w:sz w:val="20"/>
              </w:rPr>
              <w:t>928 376 487</w:t>
            </w:r>
          </w:p>
        </w:tc>
      </w:tr>
      <w:tr w:rsidR="00516F5E"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000000" w:themeColor="text1"/>
            </w:tcBorders>
            <w:noWrap/>
            <w:vAlign w:val="center"/>
          </w:tcPr>
          <w:p w:rsidR="00516F5E" w:rsidRPr="006343A0" w:rsidRDefault="006C1D6D" w:rsidP="00EE4624">
            <w:pPr>
              <w:spacing w:before="40" w:after="40"/>
              <w:jc w:val="left"/>
              <w:rPr>
                <w:noProof/>
                <w:color w:val="000000"/>
                <w:sz w:val="20"/>
                <w:szCs w:val="18"/>
              </w:rPr>
            </w:pPr>
            <w:r w:rsidRPr="006343A0">
              <w:rPr>
                <w:noProof/>
                <w:color w:val="000000"/>
                <w:sz w:val="20"/>
              </w:rPr>
              <w:t>Bedrag dat kan worden gebruikt voor eventuele voorschotten tot het einde van het jaar</w:t>
            </w:r>
          </w:p>
        </w:tc>
        <w:tc>
          <w:tcPr>
            <w:tcW w:w="1548" w:type="dxa"/>
            <w:tcBorders>
              <w:top w:val="single" w:sz="4" w:space="0" w:color="auto"/>
              <w:left w:val="nil"/>
              <w:bottom w:val="single" w:sz="4" w:space="0" w:color="auto"/>
              <w:right w:val="single" w:sz="4" w:space="0" w:color="auto"/>
            </w:tcBorders>
            <w:vAlign w:val="center"/>
          </w:tcPr>
          <w:p w:rsidR="00516F5E" w:rsidRPr="006343A0" w:rsidRDefault="00AA7213" w:rsidP="005969BE">
            <w:pPr>
              <w:spacing w:before="40" w:after="40"/>
              <w:jc w:val="right"/>
              <w:rPr>
                <w:bCs/>
                <w:noProof/>
                <w:sz w:val="20"/>
                <w:szCs w:val="18"/>
              </w:rPr>
            </w:pPr>
            <w:r w:rsidRPr="006343A0">
              <w:rPr>
                <w:noProof/>
                <w:sz w:val="20"/>
              </w:rPr>
              <w:t>23 172 314</w:t>
            </w:r>
          </w:p>
        </w:tc>
      </w:tr>
      <w:tr w:rsidR="001F059C" w:rsidRPr="006343A0" w:rsidTr="00261B21">
        <w:trPr>
          <w:trHeight w:val="59"/>
          <w:jc w:val="center"/>
        </w:trPr>
        <w:tc>
          <w:tcPr>
            <w:tcW w:w="7449" w:type="dxa"/>
            <w:tcBorders>
              <w:top w:val="single" w:sz="4" w:space="0" w:color="auto"/>
              <w:left w:val="single" w:sz="4" w:space="0" w:color="auto"/>
              <w:bottom w:val="single" w:sz="4" w:space="0" w:color="auto"/>
              <w:right w:val="single" w:sz="4" w:space="0" w:color="000000" w:themeColor="text1"/>
            </w:tcBorders>
            <w:shd w:val="clear" w:color="auto" w:fill="FFFFFF" w:themeFill="background1"/>
            <w:noWrap/>
            <w:vAlign w:val="center"/>
          </w:tcPr>
          <w:p w:rsidR="001F059C" w:rsidRPr="006343A0" w:rsidRDefault="001F059C" w:rsidP="005F0D18">
            <w:pPr>
              <w:spacing w:before="40" w:after="40"/>
              <w:rPr>
                <w:noProof/>
                <w:color w:val="000000"/>
                <w:sz w:val="20"/>
                <w:szCs w:val="18"/>
              </w:rPr>
            </w:pPr>
            <w:r w:rsidRPr="006343A0">
              <w:rPr>
                <w:noProof/>
                <w:color w:val="000000"/>
                <w:sz w:val="20"/>
              </w:rPr>
              <w:t>Voorgesteld bedrag in het kader van het huidige besluit tot beschikbaarstelling (alleen te betalen saldo)</w:t>
            </w:r>
          </w:p>
        </w:tc>
        <w:tc>
          <w:tcPr>
            <w:tcW w:w="1548" w:type="dxa"/>
            <w:tcBorders>
              <w:top w:val="single" w:sz="4" w:space="0" w:color="auto"/>
              <w:left w:val="nil"/>
              <w:bottom w:val="single" w:sz="4" w:space="0" w:color="auto"/>
              <w:right w:val="single" w:sz="4" w:space="0" w:color="auto"/>
            </w:tcBorders>
            <w:shd w:val="clear" w:color="auto" w:fill="FFFFFF" w:themeFill="background1"/>
            <w:vAlign w:val="center"/>
          </w:tcPr>
          <w:p w:rsidR="001F059C" w:rsidRPr="006343A0" w:rsidRDefault="007D780B" w:rsidP="00F30517">
            <w:pPr>
              <w:spacing w:before="40" w:after="40"/>
              <w:jc w:val="right"/>
              <w:rPr>
                <w:bCs/>
                <w:noProof/>
                <w:sz w:val="20"/>
                <w:szCs w:val="18"/>
              </w:rPr>
            </w:pPr>
            <w:r w:rsidRPr="006343A0">
              <w:rPr>
                <w:noProof/>
                <w:sz w:val="20"/>
              </w:rPr>
              <w:t>927 926 981</w:t>
            </w:r>
          </w:p>
        </w:tc>
      </w:tr>
      <w:bookmarkEnd w:id="7"/>
    </w:tbl>
    <w:p w:rsidR="006E04CE" w:rsidRPr="006343A0" w:rsidRDefault="006E04CE" w:rsidP="0099685F">
      <w:pPr>
        <w:rPr>
          <w:noProof/>
        </w:rPr>
      </w:pPr>
    </w:p>
    <w:p w:rsidR="006E04CE" w:rsidRPr="006343A0" w:rsidRDefault="006E04CE" w:rsidP="0099685F">
      <w:pPr>
        <w:rPr>
          <w:noProof/>
          <w:snapToGrid w:val="0"/>
        </w:rPr>
        <w:sectPr w:rsidR="006E04CE" w:rsidRPr="006343A0" w:rsidSect="0052265F">
          <w:headerReference w:type="even" r:id="rId14"/>
          <w:footerReference w:type="even" r:id="rId15"/>
          <w:footerReference w:type="default" r:id="rId16"/>
          <w:headerReference w:type="first" r:id="rId17"/>
          <w:footerReference w:type="first" r:id="rId18"/>
          <w:pgSz w:w="11907" w:h="16839"/>
          <w:pgMar w:top="1276" w:right="1417" w:bottom="1134" w:left="1417" w:header="709" w:footer="709" w:gutter="0"/>
          <w:pgNumType w:start="1"/>
          <w:cols w:space="720"/>
          <w:docGrid w:linePitch="360"/>
        </w:sectPr>
      </w:pPr>
    </w:p>
    <w:p w:rsidR="00905E33" w:rsidRDefault="00C1059B">
      <w:pPr>
        <w:pStyle w:val="Rfrenceinterinstitutionnelle"/>
        <w:rPr>
          <w:noProof/>
        </w:rPr>
      </w:pPr>
      <w:r>
        <w:rPr>
          <w:noProof/>
        </w:rPr>
        <w:t>2025/0318 (BUD)</w:t>
      </w:r>
    </w:p>
    <w:p w:rsidR="0099685F" w:rsidRPr="006343A0" w:rsidRDefault="00692E0F" w:rsidP="00692E0F">
      <w:pPr>
        <w:pStyle w:val="Statut"/>
        <w:rPr>
          <w:noProof/>
        </w:rPr>
      </w:pPr>
      <w:r w:rsidRPr="00692E0F">
        <w:rPr>
          <w:noProof/>
        </w:rPr>
        <w:t>Voorstel voor een</w:t>
      </w:r>
    </w:p>
    <w:p w:rsidR="0099685F" w:rsidRPr="006343A0" w:rsidRDefault="00692E0F" w:rsidP="00692E0F">
      <w:pPr>
        <w:pStyle w:val="Typedudocument"/>
        <w:rPr>
          <w:noProof/>
        </w:rPr>
      </w:pPr>
      <w:r w:rsidRPr="00692E0F">
        <w:rPr>
          <w:noProof/>
        </w:rPr>
        <w:t>BESLUIT VAN HET EUROPEES PARLEMENT EN DE RAAD</w:t>
      </w:r>
    </w:p>
    <w:p w:rsidR="0099685F" w:rsidRPr="006343A0" w:rsidRDefault="00692E0F" w:rsidP="00692E0F">
      <w:pPr>
        <w:pStyle w:val="Titreobjet"/>
        <w:rPr>
          <w:noProof/>
        </w:rPr>
      </w:pPr>
      <w:r w:rsidRPr="00692E0F">
        <w:rPr>
          <w:noProof/>
        </w:rPr>
        <w:t>betreffende de beschikbaarstelling van middelen uit het Solidariteitsfonds van de Europese Unie voor bijstand aan Spanje met betrekking tot de overstromingen in de Spaanse regio Valencia in oktober 2024 en aan Frankrijk met betrekking tot de schade die is veroorzaakt door de cycloon Chido op Mayotte in december 2024 en door de cycloon Garance op Réunion in februari 2025</w:t>
      </w:r>
    </w:p>
    <w:p w:rsidR="0099685F" w:rsidRPr="006343A0" w:rsidRDefault="0099685F" w:rsidP="00AE3367">
      <w:pPr>
        <w:pStyle w:val="Institutionquiagit"/>
        <w:rPr>
          <w:noProof/>
        </w:rPr>
      </w:pPr>
      <w:r w:rsidRPr="006343A0">
        <w:rPr>
          <w:noProof/>
        </w:rPr>
        <w:t>HET EUROPEES PARLEMENT EN DE RAAD VAN DE EUROPESE UNIE,</w:t>
      </w:r>
    </w:p>
    <w:p w:rsidR="0099685F" w:rsidRPr="006343A0" w:rsidRDefault="0099685F" w:rsidP="0099685F">
      <w:pPr>
        <w:rPr>
          <w:noProof/>
        </w:rPr>
      </w:pPr>
      <w:r w:rsidRPr="006343A0">
        <w:rPr>
          <w:noProof/>
        </w:rPr>
        <w:t>Gezien het verdrag betreffende de werking van de Europese Unie,</w:t>
      </w:r>
    </w:p>
    <w:p w:rsidR="0099685F" w:rsidRPr="006343A0" w:rsidRDefault="0099685F" w:rsidP="0099685F">
      <w:pPr>
        <w:rPr>
          <w:noProof/>
        </w:rPr>
      </w:pPr>
      <w:r w:rsidRPr="006343A0">
        <w:rPr>
          <w:noProof/>
        </w:rPr>
        <w:t>Gezien Verordening (EG) nr. 2012/2002 van de Raad van 11 november 2002 tot oprichting van het Solidariteitsfonds van de Europese Unie</w:t>
      </w:r>
      <w:r w:rsidRPr="006343A0">
        <w:rPr>
          <w:rStyle w:val="FootnoteReference"/>
          <w:noProof/>
        </w:rPr>
        <w:footnoteReference w:id="11"/>
      </w:r>
      <w:r w:rsidRPr="006343A0">
        <w:rPr>
          <w:noProof/>
        </w:rPr>
        <w:t>, en met name artikel 4, lid 3,</w:t>
      </w:r>
    </w:p>
    <w:p w:rsidR="0099685F" w:rsidRPr="006343A0" w:rsidRDefault="0099685F" w:rsidP="0099685F">
      <w:pPr>
        <w:rPr>
          <w:noProof/>
        </w:rPr>
      </w:pPr>
      <w:r w:rsidRPr="006343A0">
        <w:rPr>
          <w:noProof/>
        </w:rPr>
        <w:t>Gezien het Interinstitutioneel Akkoord van 16 december 2020 tussen het Europees Parlement, de Raad van de Europese Unie en de Europese Commissie betreffende begrotingsdiscipline, samenwerking in begrotingszaken en goed financieel beheer, alsmede betreffende nieuwe eigen middelen, met inbegrip van een routekaart voor de invoering van nieuwe eigen middelen</w:t>
      </w:r>
      <w:r w:rsidRPr="006343A0">
        <w:rPr>
          <w:rStyle w:val="FootnoteReference"/>
          <w:noProof/>
        </w:rPr>
        <w:footnoteReference w:id="12"/>
      </w:r>
      <w:r w:rsidRPr="006343A0">
        <w:rPr>
          <w:noProof/>
        </w:rPr>
        <w:t>, en met name punt 10,</w:t>
      </w:r>
    </w:p>
    <w:p w:rsidR="0099685F" w:rsidRPr="006343A0" w:rsidRDefault="0099685F" w:rsidP="0099685F">
      <w:pPr>
        <w:rPr>
          <w:noProof/>
        </w:rPr>
      </w:pPr>
      <w:r w:rsidRPr="006343A0">
        <w:rPr>
          <w:noProof/>
        </w:rPr>
        <w:t>Gezien het voorstel van de Europese Commissie,</w:t>
      </w:r>
    </w:p>
    <w:p w:rsidR="0099685F" w:rsidRPr="006343A0" w:rsidRDefault="0099685F" w:rsidP="0099685F">
      <w:pPr>
        <w:spacing w:after="360"/>
        <w:rPr>
          <w:noProof/>
        </w:rPr>
      </w:pPr>
      <w:r w:rsidRPr="006343A0">
        <w:rPr>
          <w:noProof/>
        </w:rPr>
        <w:t>Overwegende hetgeen volgt:</w:t>
      </w:r>
    </w:p>
    <w:p w:rsidR="0099685F" w:rsidRPr="006343A0" w:rsidRDefault="00120DB0" w:rsidP="00120DB0">
      <w:pPr>
        <w:pStyle w:val="ManualConsidrant"/>
        <w:rPr>
          <w:noProof/>
        </w:rPr>
      </w:pPr>
      <w:r w:rsidRPr="00120DB0">
        <w:rPr>
          <w:noProof/>
        </w:rPr>
        <w:t>(1)</w:t>
      </w:r>
      <w:r w:rsidRPr="00120DB0">
        <w:rPr>
          <w:noProof/>
        </w:rPr>
        <w:tab/>
      </w:r>
      <w:r w:rsidR="0099685F" w:rsidRPr="006343A0">
        <w:rPr>
          <w:noProof/>
        </w:rPr>
        <w:t>Het Solidariteitsfonds van de Europese Unie (“het fonds”) heeft tot doel de Unie in staat te stellen snel, efficiënt en soepel op noodsituaties te reageren in solidariteit met de bevolking van regio’s die zijn getroffen door grote of regionale natuurrampen of een grote volksgezondheidscrisis.</w:t>
      </w:r>
    </w:p>
    <w:p w:rsidR="0099685F" w:rsidRPr="006343A0" w:rsidRDefault="00120DB0" w:rsidP="00120DB0">
      <w:pPr>
        <w:pStyle w:val="ManualConsidrant"/>
        <w:rPr>
          <w:noProof/>
        </w:rPr>
      </w:pPr>
      <w:r w:rsidRPr="00120DB0">
        <w:rPr>
          <w:noProof/>
        </w:rPr>
        <w:t>(2)</w:t>
      </w:r>
      <w:r w:rsidRPr="00120DB0">
        <w:rPr>
          <w:noProof/>
        </w:rPr>
        <w:tab/>
      </w:r>
      <w:r w:rsidR="0099685F" w:rsidRPr="006343A0">
        <w:rPr>
          <w:noProof/>
        </w:rPr>
        <w:t>Het fonds mag de plafonds die zijn vastgesteld in artikel 9 van Verordening (EU, Euratom) 2020/2093 van de Raad</w:t>
      </w:r>
      <w:r w:rsidR="0099685F" w:rsidRPr="006343A0">
        <w:rPr>
          <w:rStyle w:val="FootnoteReference"/>
          <w:noProof/>
        </w:rPr>
        <w:footnoteReference w:id="13"/>
      </w:r>
      <w:r w:rsidR="0099685F" w:rsidRPr="006343A0">
        <w:rPr>
          <w:noProof/>
        </w:rPr>
        <w:t>, niet overschrijden.</w:t>
      </w:r>
    </w:p>
    <w:p w:rsidR="0099685F" w:rsidRPr="006343A0" w:rsidRDefault="00120DB0" w:rsidP="00120DB0">
      <w:pPr>
        <w:pStyle w:val="ManualConsidrant"/>
        <w:rPr>
          <w:noProof/>
        </w:rPr>
      </w:pPr>
      <w:r w:rsidRPr="00120DB0">
        <w:rPr>
          <w:noProof/>
        </w:rPr>
        <w:t>(3)</w:t>
      </w:r>
      <w:r w:rsidRPr="00120DB0">
        <w:rPr>
          <w:noProof/>
        </w:rPr>
        <w:tab/>
      </w:r>
      <w:r w:rsidR="00F51679" w:rsidRPr="006343A0">
        <w:rPr>
          <w:noProof/>
        </w:rPr>
        <w:t>Op 20 januari 2025 heeft Spanje een aanvraag tot beschikbaarstelling van middelen uit het fonds ingediend naar aanleiding van de overstromingen in oktober 2024.</w:t>
      </w:r>
    </w:p>
    <w:p w:rsidR="00401FF0" w:rsidRPr="006343A0" w:rsidRDefault="00120DB0" w:rsidP="00120DB0">
      <w:pPr>
        <w:pStyle w:val="ManualConsidrant"/>
        <w:rPr>
          <w:noProof/>
        </w:rPr>
      </w:pPr>
      <w:r w:rsidRPr="00120DB0">
        <w:rPr>
          <w:noProof/>
        </w:rPr>
        <w:t>(4)</w:t>
      </w:r>
      <w:r w:rsidRPr="00120DB0">
        <w:rPr>
          <w:noProof/>
        </w:rPr>
        <w:tab/>
      </w:r>
      <w:r w:rsidR="00401FF0" w:rsidRPr="006343A0">
        <w:rPr>
          <w:noProof/>
        </w:rPr>
        <w:t>Op 7 maart 2025 heeft Frankrijk een aanvraag tot beschikbaarstelling van middelen uit het fonds ingediend naar aanleiding van de schade die is veroorzaakt door de cycloon Chido op Mayotte in december 2024.</w:t>
      </w:r>
    </w:p>
    <w:p w:rsidR="007B4158" w:rsidRPr="006343A0" w:rsidRDefault="00120DB0" w:rsidP="00120DB0">
      <w:pPr>
        <w:pStyle w:val="ManualConsidrant"/>
        <w:rPr>
          <w:noProof/>
        </w:rPr>
      </w:pPr>
      <w:r w:rsidRPr="00120DB0">
        <w:rPr>
          <w:noProof/>
        </w:rPr>
        <w:t>(5)</w:t>
      </w:r>
      <w:r w:rsidRPr="00120DB0">
        <w:rPr>
          <w:noProof/>
        </w:rPr>
        <w:tab/>
      </w:r>
      <w:r w:rsidR="007B4158" w:rsidRPr="006343A0">
        <w:rPr>
          <w:noProof/>
        </w:rPr>
        <w:t>Op 23 mei 2025 heeft Frankrijk een aanvraag tot beschikbaarstelling van middelen uit het fonds ingediend naar aanleiding van de schade die is veroorzaakt door de cycloon Garance op Réunion in februari 2025.</w:t>
      </w:r>
    </w:p>
    <w:p w:rsidR="0099685F" w:rsidRPr="006343A0" w:rsidRDefault="00120DB0" w:rsidP="00120DB0">
      <w:pPr>
        <w:pStyle w:val="ManualConsidrant"/>
        <w:rPr>
          <w:noProof/>
        </w:rPr>
      </w:pPr>
      <w:r w:rsidRPr="00120DB0">
        <w:rPr>
          <w:noProof/>
        </w:rPr>
        <w:t>(6)</w:t>
      </w:r>
      <w:r w:rsidRPr="00120DB0">
        <w:rPr>
          <w:noProof/>
        </w:rPr>
        <w:tab/>
      </w:r>
      <w:r w:rsidR="0099685F" w:rsidRPr="006343A0">
        <w:rPr>
          <w:noProof/>
        </w:rPr>
        <w:t>Deze aanvragen voldoen aan de voorwaarden voor het verlenen van een financiële bijdrage uit het fonds, zoals bepaald in artikel 4 van Verordening (EG) nr. 2012/2002.</w:t>
      </w:r>
    </w:p>
    <w:p w:rsidR="0099685F" w:rsidRPr="006343A0" w:rsidRDefault="00120DB0" w:rsidP="00120DB0">
      <w:pPr>
        <w:pStyle w:val="ManualConsidrant"/>
        <w:rPr>
          <w:noProof/>
        </w:rPr>
      </w:pPr>
      <w:r w:rsidRPr="00120DB0">
        <w:rPr>
          <w:noProof/>
        </w:rPr>
        <w:t>(7)</w:t>
      </w:r>
      <w:r w:rsidRPr="00120DB0">
        <w:rPr>
          <w:noProof/>
        </w:rPr>
        <w:tab/>
      </w:r>
      <w:r w:rsidR="0099685F" w:rsidRPr="006343A0">
        <w:rPr>
          <w:noProof/>
        </w:rPr>
        <w:t>Er moeten derhalve middelen uit het fonds beschikbaar worden gesteld voor een financiële bijdrage aan Spanje en Frankrijk.</w:t>
      </w:r>
    </w:p>
    <w:p w:rsidR="003A7561" w:rsidRPr="006343A0" w:rsidRDefault="00120DB0" w:rsidP="00120DB0">
      <w:pPr>
        <w:pStyle w:val="ManualConsidrant"/>
        <w:rPr>
          <w:noProof/>
        </w:rPr>
      </w:pPr>
      <w:r w:rsidRPr="00120DB0">
        <w:rPr>
          <w:noProof/>
        </w:rPr>
        <w:t>(8)</w:t>
      </w:r>
      <w:r w:rsidRPr="00120DB0">
        <w:rPr>
          <w:noProof/>
        </w:rPr>
        <w:tab/>
      </w:r>
      <w:r w:rsidR="00542BDD" w:rsidRPr="006343A0">
        <w:rPr>
          <w:noProof/>
        </w:rPr>
        <w:t xml:space="preserve">Om </w:t>
      </w:r>
      <w:bookmarkStart w:id="8" w:name="_Hlk198282270"/>
      <w:r w:rsidR="00542BDD" w:rsidRPr="006343A0">
        <w:rPr>
          <w:noProof/>
        </w:rPr>
        <w:t>zo snel mogelijk middelen uit het fonds beschikbaar te stellen</w:t>
      </w:r>
      <w:bookmarkEnd w:id="8"/>
      <w:r w:rsidR="00542BDD" w:rsidRPr="006343A0">
        <w:rPr>
          <w:noProof/>
        </w:rPr>
        <w:t>, moet dit besluit van toepassing zijn vanaf de datum waarop het wordt vastgesteld,</w:t>
      </w:r>
    </w:p>
    <w:p w:rsidR="0099685F" w:rsidRPr="006343A0" w:rsidRDefault="0099685F" w:rsidP="00AE3367">
      <w:pPr>
        <w:pStyle w:val="Formuledadoption"/>
        <w:rPr>
          <w:noProof/>
        </w:rPr>
      </w:pPr>
      <w:r w:rsidRPr="006343A0">
        <w:rPr>
          <w:noProof/>
        </w:rPr>
        <w:t>HEBBEN HET VOLGENDE BESLUIT VASTGESTELD:</w:t>
      </w:r>
    </w:p>
    <w:p w:rsidR="0099685F" w:rsidRPr="006343A0" w:rsidRDefault="0099685F" w:rsidP="00AE3367">
      <w:pPr>
        <w:pStyle w:val="Titrearticle"/>
        <w:rPr>
          <w:noProof/>
        </w:rPr>
      </w:pPr>
      <w:r w:rsidRPr="006343A0">
        <w:rPr>
          <w:noProof/>
        </w:rPr>
        <w:t>Artikel 1</w:t>
      </w:r>
    </w:p>
    <w:p w:rsidR="0099685F" w:rsidRPr="006343A0" w:rsidRDefault="0099685F" w:rsidP="0099685F">
      <w:pPr>
        <w:rPr>
          <w:noProof/>
          <w:szCs w:val="24"/>
        </w:rPr>
      </w:pPr>
      <w:r w:rsidRPr="006343A0">
        <w:rPr>
          <w:noProof/>
        </w:rPr>
        <w:t>Binnen de algemene begroting van de Unie worden uit het Solidariteitsfonds van de Europese Unie de volgende vastleggings- en betalingskredieten in verband met natuurrampen ter beschikking gesteld:</w:t>
      </w:r>
    </w:p>
    <w:p w:rsidR="003A726D" w:rsidRPr="006343A0" w:rsidRDefault="00120DB0" w:rsidP="00120DB0">
      <w:pPr>
        <w:pStyle w:val="Point0"/>
        <w:rPr>
          <w:noProof/>
        </w:rPr>
      </w:pPr>
      <w:bookmarkStart w:id="9" w:name="_Hlk115458246"/>
      <w:r w:rsidRPr="00120DB0">
        <w:rPr>
          <w:noProof/>
        </w:rPr>
        <w:t>(a)</w:t>
      </w:r>
      <w:r w:rsidRPr="00120DB0">
        <w:rPr>
          <w:noProof/>
        </w:rPr>
        <w:tab/>
      </w:r>
      <w:r w:rsidR="00B447C3" w:rsidRPr="006343A0">
        <w:rPr>
          <w:noProof/>
        </w:rPr>
        <w:t>een bedrag van 946 153 691 EUR aan</w:t>
      </w:r>
      <w:bookmarkEnd w:id="9"/>
      <w:r w:rsidR="00B447C3" w:rsidRPr="006343A0">
        <w:rPr>
          <w:noProof/>
        </w:rPr>
        <w:t xml:space="preserve"> Spanje met betrekking tot de overstromingen van oktober 2024;</w:t>
      </w:r>
    </w:p>
    <w:p w:rsidR="00401FF0" w:rsidRPr="006343A0" w:rsidRDefault="00120DB0" w:rsidP="00120DB0">
      <w:pPr>
        <w:pStyle w:val="Point0"/>
        <w:rPr>
          <w:noProof/>
        </w:rPr>
      </w:pPr>
      <w:r w:rsidRPr="00120DB0">
        <w:rPr>
          <w:noProof/>
        </w:rPr>
        <w:t>(b)</w:t>
      </w:r>
      <w:r w:rsidRPr="00120DB0">
        <w:rPr>
          <w:noProof/>
        </w:rPr>
        <w:tab/>
      </w:r>
      <w:r w:rsidR="00B447C3" w:rsidRPr="006343A0">
        <w:rPr>
          <w:noProof/>
        </w:rPr>
        <w:t>een bedrag van 89 628 050 EUR aan Frankrijk naar aanleiding van de schade die is veroorzaakt door de cycloon Chido op Mayotte in december 2024;</w:t>
      </w:r>
    </w:p>
    <w:p w:rsidR="00C7380F" w:rsidRPr="006343A0" w:rsidRDefault="00120DB0" w:rsidP="00120DB0">
      <w:pPr>
        <w:pStyle w:val="Point0"/>
        <w:rPr>
          <w:noProof/>
        </w:rPr>
      </w:pPr>
      <w:r w:rsidRPr="00120DB0">
        <w:rPr>
          <w:noProof/>
        </w:rPr>
        <w:t>(c)</w:t>
      </w:r>
      <w:r w:rsidRPr="00120DB0">
        <w:rPr>
          <w:noProof/>
        </w:rPr>
        <w:tab/>
      </w:r>
      <w:r w:rsidR="00B447C3" w:rsidRPr="006343A0">
        <w:rPr>
          <w:noProof/>
        </w:rPr>
        <w:t>een bedrag van 21 236 336 EUR aan Frankrijk naar aanleiding van de schade die is veroorzaakt door de cycloon Garance op Réunion in februari 2025.</w:t>
      </w:r>
    </w:p>
    <w:p w:rsidR="0099685F" w:rsidRPr="006343A0" w:rsidRDefault="0099685F" w:rsidP="00AE3367">
      <w:pPr>
        <w:pStyle w:val="Titrearticle"/>
        <w:rPr>
          <w:noProof/>
        </w:rPr>
      </w:pPr>
      <w:r w:rsidRPr="006343A0">
        <w:rPr>
          <w:noProof/>
        </w:rPr>
        <w:t>Artikel 2</w:t>
      </w:r>
    </w:p>
    <w:p w:rsidR="0099685F" w:rsidRPr="006343A0" w:rsidRDefault="0099685F" w:rsidP="0099685F">
      <w:pPr>
        <w:rPr>
          <w:noProof/>
        </w:rPr>
      </w:pPr>
      <w:r w:rsidRPr="006343A0">
        <w:rPr>
          <w:noProof/>
        </w:rPr>
        <w:t xml:space="preserve">Dit besluit treedt in werking op de dag na die van de bekendmaking ervan in het </w:t>
      </w:r>
      <w:r w:rsidRPr="006343A0">
        <w:rPr>
          <w:i/>
          <w:iCs/>
          <w:noProof/>
        </w:rPr>
        <w:t>Publicatieblad van de Europese Unie</w:t>
      </w:r>
      <w:r w:rsidRPr="006343A0">
        <w:rPr>
          <w:noProof/>
        </w:rPr>
        <w:t>.</w:t>
      </w:r>
    </w:p>
    <w:p w:rsidR="0099685F" w:rsidRPr="006343A0" w:rsidRDefault="0099685F" w:rsidP="00095A09">
      <w:pPr>
        <w:keepNext/>
        <w:keepLines/>
        <w:rPr>
          <w:i/>
          <w:noProof/>
        </w:rPr>
      </w:pPr>
      <w:r w:rsidRPr="006343A0">
        <w:rPr>
          <w:noProof/>
        </w:rPr>
        <w:t>Het is van toepassing vanaf [</w:t>
      </w:r>
      <w:r w:rsidRPr="006343A0">
        <w:rPr>
          <w:i/>
          <w:noProof/>
        </w:rPr>
        <w:t>de datum waarop het wordt vastgesteld</w:t>
      </w:r>
      <w:r w:rsidRPr="006343A0">
        <w:rPr>
          <w:noProof/>
        </w:rPr>
        <w:t>]</w:t>
      </w:r>
      <w:r w:rsidRPr="006343A0">
        <w:rPr>
          <w:rStyle w:val="FootnoteReference"/>
          <w:noProof/>
        </w:rPr>
        <w:footnoteReference w:customMarkFollows="1" w:id="14"/>
        <w:t>*</w:t>
      </w:r>
      <w:r w:rsidRPr="006343A0">
        <w:rPr>
          <w:noProof/>
        </w:rPr>
        <w:t>.</w:t>
      </w:r>
    </w:p>
    <w:p w:rsidR="00EE5EB2" w:rsidRPr="006343A0" w:rsidRDefault="00EE5EB2" w:rsidP="00095A09">
      <w:pPr>
        <w:keepNext/>
        <w:keepLines/>
        <w:rPr>
          <w:i/>
          <w:noProof/>
        </w:rPr>
      </w:pPr>
    </w:p>
    <w:p w:rsidR="0099685F" w:rsidRPr="006343A0" w:rsidRDefault="00692E0F" w:rsidP="00FD17E1">
      <w:pPr>
        <w:pStyle w:val="Fait"/>
        <w:rPr>
          <w:noProof/>
        </w:rPr>
      </w:pPr>
      <w:r>
        <w:rPr>
          <w:noProof/>
        </w:rPr>
        <w:t>Gedaan te Brussel,</w:t>
      </w:r>
    </w:p>
    <w:p w:rsidR="0099685F" w:rsidRPr="006343A0" w:rsidRDefault="0099685F" w:rsidP="00FD17E1">
      <w:pPr>
        <w:pStyle w:val="Institutionquisigne"/>
        <w:jc w:val="left"/>
        <w:rPr>
          <w:noProof/>
        </w:rPr>
      </w:pPr>
      <w:r w:rsidRPr="006343A0">
        <w:rPr>
          <w:noProof/>
        </w:rPr>
        <w:t>Voor het Europees Parlement</w:t>
      </w:r>
      <w:r w:rsidRPr="006343A0">
        <w:rPr>
          <w:noProof/>
        </w:rPr>
        <w:tab/>
        <w:t>Voor de Raad</w:t>
      </w:r>
    </w:p>
    <w:p w:rsidR="0099685F" w:rsidRPr="006343A0" w:rsidRDefault="008A664A" w:rsidP="00A466E4">
      <w:pPr>
        <w:pStyle w:val="Personnequisigne"/>
        <w:rPr>
          <w:noProof/>
        </w:rPr>
      </w:pPr>
      <w:r w:rsidRPr="006343A0">
        <w:rPr>
          <w:noProof/>
        </w:rPr>
        <w:t>De voorzitter</w:t>
      </w:r>
      <w:r w:rsidRPr="006343A0">
        <w:rPr>
          <w:noProof/>
        </w:rPr>
        <w:tab/>
      </w:r>
      <w:r w:rsidRPr="006343A0">
        <w:rPr>
          <w:noProof/>
        </w:rPr>
        <w:tab/>
        <w:t>De voorzitter</w:t>
      </w:r>
    </w:p>
    <w:sectPr w:rsidR="0099685F" w:rsidRPr="006343A0" w:rsidSect="0052265F">
      <w:footnotePr>
        <w:numRestart w:val="eachSect"/>
      </w:footnotePr>
      <w:pgSz w:w="11907" w:h="16839"/>
      <w:pgMar w:top="1134" w:right="1418"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0E1" w:rsidRDefault="00C250E1">
      <w:pPr>
        <w:spacing w:before="0" w:after="0"/>
      </w:pPr>
      <w:r>
        <w:separator/>
      </w:r>
    </w:p>
  </w:endnote>
  <w:endnote w:type="continuationSeparator" w:id="0">
    <w:p w:rsidR="00C250E1" w:rsidRDefault="00C250E1">
      <w:pPr>
        <w:spacing w:before="0" w:after="0"/>
      </w:pPr>
      <w:r>
        <w:continuationSeparator/>
      </w:r>
    </w:p>
  </w:endnote>
  <w:endnote w:type="continuationNotice" w:id="1">
    <w:p w:rsidR="00C250E1" w:rsidRDefault="00C250E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5F" w:rsidRPr="0052265F" w:rsidRDefault="0052265F" w:rsidP="0052265F">
    <w:pPr>
      <w:pStyle w:val="Footer"/>
      <w:rPr>
        <w:rFonts w:ascii="Arial" w:hAnsi="Arial" w:cs="Arial"/>
        <w:b/>
        <w:sz w:val="48"/>
      </w:rPr>
    </w:pPr>
    <w:r w:rsidRPr="0052265F">
      <w:rPr>
        <w:rFonts w:ascii="Arial" w:hAnsi="Arial" w:cs="Arial"/>
        <w:b/>
        <w:sz w:val="48"/>
      </w:rPr>
      <w:t>NL</w:t>
    </w:r>
    <w:r w:rsidRPr="0052265F">
      <w:rPr>
        <w:rFonts w:ascii="Arial" w:hAnsi="Arial" w:cs="Arial"/>
        <w:b/>
        <w:sz w:val="48"/>
      </w:rPr>
      <w:tab/>
    </w:r>
    <w:r w:rsidRPr="0052265F">
      <w:rPr>
        <w:rFonts w:ascii="Arial" w:hAnsi="Arial" w:cs="Arial"/>
        <w:b/>
        <w:sz w:val="48"/>
      </w:rPr>
      <w:tab/>
    </w:r>
    <w:r w:rsidRPr="0052265F">
      <w:tab/>
    </w:r>
    <w:r w:rsidRPr="0052265F">
      <w:rPr>
        <w:rFonts w:ascii="Arial" w:hAnsi="Arial" w:cs="Arial"/>
        <w:b/>
        <w:sz w:val="48"/>
      </w:rPr>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5F" w:rsidRPr="0052265F" w:rsidRDefault="0052265F" w:rsidP="0052265F">
    <w:pPr>
      <w:pStyle w:val="Footer"/>
      <w:rPr>
        <w:rFonts w:ascii="Arial" w:hAnsi="Arial" w:cs="Arial"/>
        <w:b/>
        <w:sz w:val="48"/>
      </w:rPr>
    </w:pPr>
    <w:r w:rsidRPr="0052265F">
      <w:rPr>
        <w:rFonts w:ascii="Arial" w:hAnsi="Arial" w:cs="Arial"/>
        <w:b/>
        <w:sz w:val="48"/>
      </w:rPr>
      <w:t>NL</w:t>
    </w:r>
    <w:r w:rsidRPr="0052265F">
      <w:rPr>
        <w:rFonts w:ascii="Arial" w:hAnsi="Arial" w:cs="Arial"/>
        <w:b/>
        <w:sz w:val="48"/>
      </w:rPr>
      <w:tab/>
    </w:r>
    <w:r w:rsidRPr="0052265F">
      <w:rPr>
        <w:rFonts w:ascii="Arial" w:hAnsi="Arial" w:cs="Arial"/>
        <w:b/>
        <w:sz w:val="48"/>
      </w:rPr>
      <w:tab/>
    </w:r>
    <w:r w:rsidRPr="0052265F">
      <w:tab/>
    </w:r>
    <w:r w:rsidRPr="0052265F">
      <w:rPr>
        <w:rFonts w:ascii="Arial" w:hAnsi="Arial" w:cs="Arial"/>
        <w:b/>
        <w:sz w:val="48"/>
      </w:rPr>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5F" w:rsidRDefault="0052265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5F" w:rsidRPr="0052265F" w:rsidRDefault="0052265F" w:rsidP="0052265F">
    <w:pPr>
      <w:pStyle w:val="Footer"/>
      <w:rPr>
        <w:rFonts w:ascii="Arial" w:hAnsi="Arial" w:cs="Arial"/>
        <w:b/>
        <w:sz w:val="48"/>
      </w:rPr>
    </w:pPr>
    <w:r w:rsidRPr="0052265F">
      <w:rPr>
        <w:rFonts w:ascii="Arial" w:hAnsi="Arial" w:cs="Arial"/>
        <w:b/>
        <w:sz w:val="48"/>
      </w:rPr>
      <w:t>NL</w:t>
    </w:r>
    <w:r w:rsidRPr="0052265F">
      <w:rPr>
        <w:rFonts w:ascii="Arial" w:hAnsi="Arial" w:cs="Arial"/>
        <w:b/>
        <w:sz w:val="48"/>
      </w:rPr>
      <w:tab/>
    </w:r>
    <w:r>
      <w:fldChar w:fldCharType="begin"/>
    </w:r>
    <w:r>
      <w:instrText xml:space="preserve"> PAGE  \* MERGEFORMAT </w:instrText>
    </w:r>
    <w:r>
      <w:fldChar w:fldCharType="separate"/>
    </w:r>
    <w:r w:rsidR="00FD17E1">
      <w:rPr>
        <w:noProof/>
      </w:rPr>
      <w:t>9</w:t>
    </w:r>
    <w:r>
      <w:fldChar w:fldCharType="end"/>
    </w:r>
    <w:r>
      <w:tab/>
    </w:r>
    <w:r w:rsidRPr="0052265F">
      <w:tab/>
    </w:r>
    <w:r w:rsidRPr="0052265F">
      <w:rPr>
        <w:rFonts w:ascii="Arial" w:hAnsi="Arial" w:cs="Arial"/>
        <w:b/>
        <w:sz w:val="48"/>
      </w:rPr>
      <w:t>NL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5F" w:rsidRDefault="0052265F" w:rsidP="00522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0E1" w:rsidRDefault="00C250E1">
      <w:pPr>
        <w:spacing w:before="0" w:after="0"/>
      </w:pPr>
      <w:r>
        <w:separator/>
      </w:r>
    </w:p>
  </w:footnote>
  <w:footnote w:type="continuationSeparator" w:id="0">
    <w:p w:rsidR="00C250E1" w:rsidRDefault="00C250E1">
      <w:pPr>
        <w:spacing w:before="0" w:after="0"/>
      </w:pPr>
      <w:r>
        <w:continuationSeparator/>
      </w:r>
    </w:p>
  </w:footnote>
  <w:footnote w:type="continuationNotice" w:id="1">
    <w:p w:rsidR="00C250E1" w:rsidRDefault="00C250E1">
      <w:pPr>
        <w:spacing w:before="0" w:after="0"/>
      </w:pPr>
    </w:p>
  </w:footnote>
  <w:footnote w:id="2">
    <w:p w:rsidR="0095195B" w:rsidRPr="006343A0" w:rsidRDefault="0095195B">
      <w:pPr>
        <w:pStyle w:val="FootnoteText"/>
        <w:rPr>
          <w:lang w:val="nl-BE"/>
        </w:rPr>
      </w:pPr>
      <w:r>
        <w:rPr>
          <w:rStyle w:val="FootnoteReference"/>
        </w:rPr>
        <w:footnoteRef/>
      </w:r>
      <w:r w:rsidRPr="006343A0">
        <w:rPr>
          <w:lang w:val="nl-BE"/>
        </w:rPr>
        <w:tab/>
        <w:t>Verordening (EG) nr. 2012/2002 van de Raad van 11 november 2002 tot oprichting van het Solidariteitsfonds van de Europese Unie (PB L 311 van 14.11.2002, blz. 3, ELI: http://data.europa.eu/eli/reg/2002/2012/oj).</w:t>
      </w:r>
    </w:p>
  </w:footnote>
  <w:footnote w:id="3">
    <w:p w:rsidR="007C2838" w:rsidRPr="006343A0" w:rsidRDefault="007C2838">
      <w:pPr>
        <w:pStyle w:val="FootnoteText"/>
        <w:rPr>
          <w:lang w:val="nl-BE"/>
        </w:rPr>
      </w:pPr>
      <w:r>
        <w:rPr>
          <w:rStyle w:val="FootnoteReference"/>
        </w:rPr>
        <w:footnoteRef/>
      </w:r>
      <w:r w:rsidRPr="006343A0">
        <w:rPr>
          <w:lang w:val="nl-BE"/>
        </w:rPr>
        <w:tab/>
        <w:t>De aanvraag is ingediend in 2025 en daarom is de toepasselijke drempel die van 2025.</w:t>
      </w:r>
    </w:p>
  </w:footnote>
  <w:footnote w:id="4">
    <w:p w:rsidR="0095195B" w:rsidRPr="006343A0" w:rsidRDefault="0095195B">
      <w:pPr>
        <w:pStyle w:val="FootnoteText"/>
        <w:rPr>
          <w:lang w:val="nl-BE"/>
        </w:rPr>
      </w:pPr>
      <w:r>
        <w:rPr>
          <w:rStyle w:val="FootnoteReference"/>
        </w:rPr>
        <w:footnoteRef/>
      </w:r>
      <w:r w:rsidRPr="006343A0">
        <w:rPr>
          <w:lang w:val="nl-BE"/>
        </w:rPr>
        <w:tab/>
        <w:t>Richtlijn 2007/60/EG van het Europees Parlement en de Raad van 23 oktober 2007 over beoordeling en beheer van overstromingsrisico’s (PB L 288 van 6.11.2007, blz. 27, ELI:</w:t>
      </w:r>
      <w:r w:rsidR="006343A0">
        <w:rPr>
          <w:lang w:val="nl-BE"/>
        </w:rPr>
        <w:t xml:space="preserve"> </w:t>
      </w:r>
      <w:r w:rsidRPr="006343A0">
        <w:rPr>
          <w:lang w:val="nl-BE"/>
        </w:rPr>
        <w:t>http://data.europa.eu/eli/dir/2007/60/oj).</w:t>
      </w:r>
    </w:p>
  </w:footnote>
  <w:footnote w:id="5">
    <w:p w:rsidR="00210712" w:rsidRPr="006343A0" w:rsidRDefault="00210712">
      <w:pPr>
        <w:pStyle w:val="FootnoteText"/>
        <w:rPr>
          <w:lang w:val="nl-BE"/>
        </w:rPr>
      </w:pPr>
      <w:r>
        <w:rPr>
          <w:rStyle w:val="FootnoteReference"/>
        </w:rPr>
        <w:footnoteRef/>
      </w:r>
      <w:r w:rsidRPr="006343A0">
        <w:rPr>
          <w:lang w:val="nl-BE"/>
        </w:rPr>
        <w:tab/>
        <w:t>De aanvraag is ingediend in 2025 en daarom is de toepasselijke drempel die van 2025.</w:t>
      </w:r>
    </w:p>
  </w:footnote>
  <w:footnote w:id="6">
    <w:p w:rsidR="0077602D" w:rsidRPr="006343A0" w:rsidRDefault="0077602D">
      <w:pPr>
        <w:pStyle w:val="FootnoteText"/>
        <w:rPr>
          <w:lang w:val="nl-BE"/>
        </w:rPr>
      </w:pPr>
      <w:r>
        <w:rPr>
          <w:rStyle w:val="FootnoteReference"/>
        </w:rPr>
        <w:footnoteRef/>
      </w:r>
      <w:r w:rsidRPr="006343A0">
        <w:rPr>
          <w:lang w:val="nl-BE"/>
        </w:rPr>
        <w:tab/>
        <w:t>PB L 433I van 22.12.2020, blz. 11, ELI: http://data.europa.eu/eli/reg/2020/2093/oj.</w:t>
      </w:r>
    </w:p>
  </w:footnote>
  <w:footnote w:id="7">
    <w:p w:rsidR="00AA4B43" w:rsidRPr="006343A0" w:rsidRDefault="00AA4B43">
      <w:pPr>
        <w:pStyle w:val="FootnoteText"/>
        <w:rPr>
          <w:lang w:val="nl-BE"/>
        </w:rPr>
      </w:pPr>
      <w:r>
        <w:rPr>
          <w:rStyle w:val="FootnoteReference"/>
        </w:rPr>
        <w:footnoteRef/>
      </w:r>
      <w:r w:rsidRPr="006343A0">
        <w:rPr>
          <w:lang w:val="nl-BE"/>
        </w:rPr>
        <w:tab/>
        <w:t>PB L 433I van 22.12.2020, blz. 28, ELI: http://data.europa.eu/eli/agree_interinstit/2020/1222/oj.</w:t>
      </w:r>
    </w:p>
  </w:footnote>
  <w:footnote w:id="8">
    <w:p w:rsidR="00AA4B43" w:rsidRPr="006343A0" w:rsidRDefault="00AA4B43">
      <w:pPr>
        <w:pStyle w:val="FootnoteText"/>
        <w:rPr>
          <w:lang w:val="nl-BE"/>
        </w:rPr>
      </w:pPr>
      <w:r>
        <w:rPr>
          <w:rStyle w:val="FootnoteReference"/>
        </w:rPr>
        <w:footnoteRef/>
      </w:r>
      <w:r w:rsidRPr="006343A0">
        <w:rPr>
          <w:lang w:val="nl-BE"/>
        </w:rPr>
        <w:tab/>
        <w:t>Verordening (EU, Euratom) 2024/765 van de Raad van 29 februari 2024 tot wijziging van Verordening (EU, Euratom) 2020/2093 tot bepaling van het meerjarig financieel kader voor de jaren 2021-2027 (PB L, 2024/765, 29.2.2024, ELI: http://data.europa.eu/eli/reg/2024/765/oj).</w:t>
      </w:r>
    </w:p>
  </w:footnote>
  <w:footnote w:id="9">
    <w:p w:rsidR="00DB7948" w:rsidRPr="006343A0" w:rsidRDefault="00DB7948">
      <w:pPr>
        <w:pStyle w:val="FootnoteText"/>
        <w:rPr>
          <w:lang w:val="nl-BE"/>
        </w:rPr>
      </w:pPr>
      <w:r>
        <w:rPr>
          <w:rStyle w:val="FootnoteReference"/>
        </w:rPr>
        <w:footnoteRef/>
      </w:r>
      <w:r w:rsidRPr="006343A0">
        <w:rPr>
          <w:lang w:val="nl-BE"/>
        </w:rPr>
        <w:tab/>
        <w:t>Verzoek om overdracht van vastleggings- en betalingskredieten op grond van artikel 31 van het Financieel Reglement (DEC 2/2025).</w:t>
      </w:r>
    </w:p>
  </w:footnote>
  <w:footnote w:id="10">
    <w:p w:rsidR="00CF4C8C" w:rsidRPr="00692E0F" w:rsidRDefault="00CF4C8C">
      <w:pPr>
        <w:pStyle w:val="FootnoteText"/>
        <w:rPr>
          <w:lang w:val="en-IE"/>
        </w:rPr>
      </w:pPr>
      <w:r>
        <w:rPr>
          <w:rStyle w:val="FootnoteReference"/>
        </w:rPr>
        <w:footnoteRef/>
      </w:r>
      <w:r w:rsidRPr="00692E0F">
        <w:rPr>
          <w:lang w:val="en-IE"/>
        </w:rPr>
        <w:tab/>
        <w:t>PB L, 2025/1525, 23.7.2025, ELI:</w:t>
      </w:r>
      <w:r w:rsidR="00692E0F" w:rsidRPr="00692E0F">
        <w:rPr>
          <w:lang w:val="en-IE"/>
        </w:rPr>
        <w:t xml:space="preserve"> </w:t>
      </w:r>
      <w:r w:rsidRPr="00692E0F">
        <w:rPr>
          <w:lang w:val="en-IE"/>
        </w:rPr>
        <w:t>http://data.europa.eu/eli/dec/2025/1525/oj.</w:t>
      </w:r>
    </w:p>
  </w:footnote>
  <w:footnote w:id="11">
    <w:p w:rsidR="00206FCF" w:rsidRPr="006343A0" w:rsidRDefault="00206FCF">
      <w:pPr>
        <w:pStyle w:val="FootnoteText"/>
        <w:rPr>
          <w:lang w:val="nl-BE"/>
        </w:rPr>
      </w:pPr>
      <w:r>
        <w:rPr>
          <w:rStyle w:val="FootnoteReference"/>
        </w:rPr>
        <w:footnoteRef/>
      </w:r>
      <w:r w:rsidRPr="006343A0">
        <w:rPr>
          <w:lang w:val="nl-BE"/>
        </w:rPr>
        <w:tab/>
      </w:r>
      <w:r w:rsidRPr="006343A0">
        <w:rPr>
          <w:shd w:val="clear" w:color="auto" w:fill="FFFFFF"/>
          <w:lang w:val="nl-BE"/>
        </w:rPr>
        <w:t>PB L 311 van 14.11.2002, blz. 3, ELI: http://data.europa.eu/eli/reg/2002/2012/oj.</w:t>
      </w:r>
    </w:p>
  </w:footnote>
  <w:footnote w:id="12">
    <w:p w:rsidR="0029316D" w:rsidRPr="006343A0" w:rsidRDefault="0029316D">
      <w:pPr>
        <w:pStyle w:val="FootnoteText"/>
        <w:rPr>
          <w:lang w:val="nl-BE"/>
        </w:rPr>
      </w:pPr>
      <w:r>
        <w:rPr>
          <w:rStyle w:val="FootnoteReference"/>
        </w:rPr>
        <w:footnoteRef/>
      </w:r>
      <w:r w:rsidRPr="006343A0">
        <w:rPr>
          <w:lang w:val="nl-BE"/>
        </w:rPr>
        <w:tab/>
        <w:t>PB L 433I van 22.12.2020, blz. 28, ELI: http://data.europa.eu/eli/agree_interinstit/2020/1222/oj.</w:t>
      </w:r>
    </w:p>
  </w:footnote>
  <w:footnote w:id="13">
    <w:p w:rsidR="00955B29" w:rsidRPr="006343A0" w:rsidRDefault="00955B29">
      <w:pPr>
        <w:pStyle w:val="FootnoteText"/>
        <w:rPr>
          <w:lang w:val="nl-BE"/>
        </w:rPr>
      </w:pPr>
      <w:r>
        <w:rPr>
          <w:rStyle w:val="FootnoteReference"/>
        </w:rPr>
        <w:footnoteRef/>
      </w:r>
      <w:r w:rsidRPr="006343A0">
        <w:rPr>
          <w:lang w:val="nl-BE"/>
        </w:rPr>
        <w:tab/>
        <w:t>Verordening (EU, Euratom) 2020/2093 van de Raad van 17 december 2020 tot bepaling van het meerjarig financieel kader voor de jaren 2021-2027 (PB L 433I van 22.12.2020, blz. 11, ELI:</w:t>
      </w:r>
      <w:r w:rsidR="00692E0F">
        <w:rPr>
          <w:lang w:val="nl-BE"/>
        </w:rPr>
        <w:t xml:space="preserve"> </w:t>
      </w:r>
      <w:r w:rsidRPr="006343A0">
        <w:rPr>
          <w:lang w:val="nl-BE"/>
        </w:rPr>
        <w:t>http://data.europa.eu/eli/reg/2020/2093/oj).</w:t>
      </w:r>
    </w:p>
  </w:footnote>
  <w:footnote w:id="14">
    <w:p w:rsidR="00526770" w:rsidRPr="006343A0" w:rsidRDefault="00526770">
      <w:pPr>
        <w:pStyle w:val="FootnoteText"/>
        <w:rPr>
          <w:lang w:val="nl-BE"/>
        </w:rPr>
      </w:pPr>
      <w:r w:rsidRPr="006343A0">
        <w:rPr>
          <w:rStyle w:val="FootnoteReference"/>
          <w:lang w:val="nl-BE"/>
        </w:rPr>
        <w:t>*</w:t>
      </w:r>
      <w:r w:rsidRPr="006343A0">
        <w:rPr>
          <w:lang w:val="nl-BE"/>
        </w:rPr>
        <w:tab/>
        <w:t>Datum door het Parlement in te vullen vóór de bekendmaking in het PB.</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5F" w:rsidRDefault="005226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65F" w:rsidRDefault="00522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0C06B78C"/>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4A6A31A0"/>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D86A1C2C"/>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086FADE"/>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D7C862A"/>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DE0C06F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F6A607E0"/>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AE7C5320"/>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2"/>
  </w:num>
  <w:num w:numId="16">
    <w:abstractNumId w:val="21"/>
  </w:num>
  <w:num w:numId="17">
    <w:abstractNumId w:val="11"/>
  </w:num>
  <w:num w:numId="18">
    <w:abstractNumId w:val="13"/>
  </w:num>
  <w:num w:numId="19">
    <w:abstractNumId w:val="14"/>
  </w:num>
  <w:num w:numId="20">
    <w:abstractNumId w:val="9"/>
  </w:num>
  <w:num w:numId="21">
    <w:abstractNumId w:val="20"/>
  </w:num>
  <w:num w:numId="22">
    <w:abstractNumId w:val="8"/>
  </w:num>
  <w:num w:numId="23">
    <w:abstractNumId w:val="15"/>
  </w:num>
  <w:num w:numId="24">
    <w:abstractNumId w:val="17"/>
  </w:num>
  <w:num w:numId="25">
    <w:abstractNumId w:val="18"/>
  </w:num>
  <w:num w:numId="26">
    <w:abstractNumId w:val="10"/>
  </w:num>
  <w:num w:numId="27">
    <w:abstractNumId w:val="16"/>
  </w:num>
  <w:num w:numId="28">
    <w:abstractNumId w:val="22"/>
  </w:num>
  <w:num w:numId="29">
    <w:abstractNumId w:val="19"/>
  </w:num>
  <w:num w:numId="30">
    <w:abstractNumId w:val="12"/>
  </w:num>
  <w:num w:numId="31">
    <w:abstractNumId w:val="21"/>
  </w:num>
  <w:num w:numId="32">
    <w:abstractNumId w:val="11"/>
  </w:num>
  <w:num w:numId="33">
    <w:abstractNumId w:val="13"/>
  </w:num>
  <w:num w:numId="34">
    <w:abstractNumId w:val="14"/>
  </w:num>
  <w:num w:numId="35">
    <w:abstractNumId w:val="9"/>
  </w:num>
  <w:num w:numId="36">
    <w:abstractNumId w:val="20"/>
  </w:num>
  <w:num w:numId="37">
    <w:abstractNumId w:val="8"/>
  </w:num>
  <w:num w:numId="38">
    <w:abstractNumId w:val="15"/>
  </w:num>
  <w:num w:numId="39">
    <w:abstractNumId w:val="17"/>
  </w:num>
  <w:num w:numId="40">
    <w:abstractNumId w:val="18"/>
  </w:num>
  <w:num w:numId="41">
    <w:abstractNumId w:val="10"/>
  </w:num>
  <w:num w:numId="42">
    <w:abstractNumId w:val="16"/>
  </w:num>
  <w:num w:numId="43">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_RefLast" w:val="0"/>
    <w:docVar w:name="DQCDateTime" w:val="2025-10-15 16:36:0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B22951E5-5F5B-460D-A1DF-4B4BCC9A605F"/>
    <w:docVar w:name="LW_COVERPAGE_TYPE" w:val="1"/>
    <w:docVar w:name="LW_CROSSREFERENCE" w:val="&lt;UNUSED&gt;"/>
    <w:docVar w:name="LW_DocType" w:val="COM"/>
    <w:docVar w:name="LW_EMISSION" w:val="3.10.2025"/>
    <w:docVar w:name="LW_EMISSION_ISODATE" w:val="2025-10-03"/>
    <w:docVar w:name="LW_EMISSION_LOCATION" w:val="BRX"/>
    <w:docVar w:name="LW_EMISSION_PREFIX" w:val="Brussel, "/>
    <w:docVar w:name="LW_EMISSION_SUFFIX" w:val=" "/>
    <w:docVar w:name="LW_ID_DOCMODEL" w:val="SJ-026"/>
    <w:docVar w:name="LW_ID_DOCSIGNATURE" w:val="SJ-026"/>
    <w:docVar w:name="LW_ID_DOCSTRUCTURE" w:val="COM/PL/ORG"/>
    <w:docVar w:name="LW_ID_DOCTYPE" w:val="SJ-026"/>
    <w:docVar w:name="LW_ID_EXP.MOTIFS.NEW" w:val="EM_PL_"/>
    <w:docVar w:name="LW_ID_STATUT" w:val="SJ-026"/>
    <w:docVar w:name="LW_INTERETEEE.CP" w:val="&lt;UNUSED&gt;"/>
    <w:docVar w:name="LW_LANGUE" w:val="NL"/>
    <w:docVar w:name="LW_LEVEL_OF_SENSITIVITY" w:val="Standard treatment"/>
    <w:docVar w:name="LW_NOM.INST" w:val="EUROPESE COMMISSIE"/>
    <w:docVar w:name="LW_NOM.INST_JOINTDOC" w:val="&lt;EMPTY&gt;"/>
    <w:docVar w:name="LW_PART_NBR" w:val="1"/>
    <w:docVar w:name="LW_PART_NBR_TOTAL" w:val="1"/>
    <w:docVar w:name="LW_REF.II.NEW.CP" w:val="BUD"/>
    <w:docVar w:name="LW_REF.II.NEW.CP_NUMBER" w:val="0318"/>
    <w:docVar w:name="LW_REF.II.NEW.CP_YEAR" w:val="2025"/>
    <w:docVar w:name="LW_REF.INST.NEW" w:val="COM"/>
    <w:docVar w:name="LW_REF.INST.NEW_ADOPTED" w:val="final"/>
    <w:docVar w:name="LW_REF.INST.NEW_TEXT" w:val="(2025) 855"/>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Voorstel voor een"/>
    <w:docVar w:name="LW_SUPERTITRE" w:val="&lt;UNUSED&gt;"/>
    <w:docVar w:name="LW_TITRE.OBJ.CP" w:val="betreffende de beschikbaarstelling van middelen uit het Solidariteitsfonds van de Europese Unie voor bijstand aan Spanje met betrekking tot de overstromingen in de Spaanse regio Valencia in oktober 2024 en aan Frankrijk met betrekking tot de schade die is veroorzaakt door de cycloon Chido op Mayotte in december 2024 en door de cycloon Garance op Réunion in februari 2025"/>
    <w:docVar w:name="LW_TYPE.DOC.CP" w:val="BESLUIT VAN HET EUROPEES PARLEMENT EN DE RAAD"/>
    <w:docVar w:name="LwApiVersions" w:val="LW4CoDe 1.24.5.0; LW 9.0, Build 20240221"/>
  </w:docVars>
  <w:rsids>
    <w:rsidRoot w:val="0070239B"/>
    <w:rsid w:val="000005E5"/>
    <w:rsid w:val="00000AB5"/>
    <w:rsid w:val="000012F6"/>
    <w:rsid w:val="0000359A"/>
    <w:rsid w:val="000069B5"/>
    <w:rsid w:val="00006DAA"/>
    <w:rsid w:val="00007AE0"/>
    <w:rsid w:val="000107D3"/>
    <w:rsid w:val="000110F9"/>
    <w:rsid w:val="0001156F"/>
    <w:rsid w:val="00012873"/>
    <w:rsid w:val="00012AFF"/>
    <w:rsid w:val="000160A0"/>
    <w:rsid w:val="00017860"/>
    <w:rsid w:val="00017B6A"/>
    <w:rsid w:val="000223B6"/>
    <w:rsid w:val="00023461"/>
    <w:rsid w:val="0002493C"/>
    <w:rsid w:val="00024B57"/>
    <w:rsid w:val="00025984"/>
    <w:rsid w:val="0002627A"/>
    <w:rsid w:val="00026AFC"/>
    <w:rsid w:val="000276BF"/>
    <w:rsid w:val="00027E45"/>
    <w:rsid w:val="00030607"/>
    <w:rsid w:val="0003158F"/>
    <w:rsid w:val="00032511"/>
    <w:rsid w:val="000344BA"/>
    <w:rsid w:val="00034EEA"/>
    <w:rsid w:val="00036471"/>
    <w:rsid w:val="00042D15"/>
    <w:rsid w:val="000435E4"/>
    <w:rsid w:val="000440BF"/>
    <w:rsid w:val="00046CE6"/>
    <w:rsid w:val="00046F45"/>
    <w:rsid w:val="0005016D"/>
    <w:rsid w:val="00050A0D"/>
    <w:rsid w:val="00052654"/>
    <w:rsid w:val="00053163"/>
    <w:rsid w:val="0005493C"/>
    <w:rsid w:val="00055E0E"/>
    <w:rsid w:val="00057362"/>
    <w:rsid w:val="000573AD"/>
    <w:rsid w:val="0006085F"/>
    <w:rsid w:val="00061D9F"/>
    <w:rsid w:val="00061F6C"/>
    <w:rsid w:val="00065614"/>
    <w:rsid w:val="00065695"/>
    <w:rsid w:val="00065CA6"/>
    <w:rsid w:val="00067EC6"/>
    <w:rsid w:val="00071163"/>
    <w:rsid w:val="00076D59"/>
    <w:rsid w:val="00081BF2"/>
    <w:rsid w:val="0008262F"/>
    <w:rsid w:val="00082A70"/>
    <w:rsid w:val="00082E53"/>
    <w:rsid w:val="000831AB"/>
    <w:rsid w:val="0008595A"/>
    <w:rsid w:val="00086392"/>
    <w:rsid w:val="00086DBF"/>
    <w:rsid w:val="00087680"/>
    <w:rsid w:val="0009086D"/>
    <w:rsid w:val="00094B8E"/>
    <w:rsid w:val="000950B4"/>
    <w:rsid w:val="00095A09"/>
    <w:rsid w:val="00096192"/>
    <w:rsid w:val="000967B0"/>
    <w:rsid w:val="000A0429"/>
    <w:rsid w:val="000A29DA"/>
    <w:rsid w:val="000A404E"/>
    <w:rsid w:val="000A59E1"/>
    <w:rsid w:val="000A5C06"/>
    <w:rsid w:val="000A7052"/>
    <w:rsid w:val="000A7FDC"/>
    <w:rsid w:val="000B004A"/>
    <w:rsid w:val="000B19A3"/>
    <w:rsid w:val="000B20A9"/>
    <w:rsid w:val="000B310F"/>
    <w:rsid w:val="000B57EF"/>
    <w:rsid w:val="000B7E40"/>
    <w:rsid w:val="000B7F63"/>
    <w:rsid w:val="000C2C77"/>
    <w:rsid w:val="000C3803"/>
    <w:rsid w:val="000C482C"/>
    <w:rsid w:val="000C4DC6"/>
    <w:rsid w:val="000C4F4E"/>
    <w:rsid w:val="000C711A"/>
    <w:rsid w:val="000D13A8"/>
    <w:rsid w:val="000D3E5F"/>
    <w:rsid w:val="000D4C06"/>
    <w:rsid w:val="000D52CB"/>
    <w:rsid w:val="000D5864"/>
    <w:rsid w:val="000E09F2"/>
    <w:rsid w:val="000E0B42"/>
    <w:rsid w:val="000E13DE"/>
    <w:rsid w:val="000E3F76"/>
    <w:rsid w:val="000E4207"/>
    <w:rsid w:val="000E430B"/>
    <w:rsid w:val="000E59D3"/>
    <w:rsid w:val="000E683C"/>
    <w:rsid w:val="000F08C5"/>
    <w:rsid w:val="000F0D7A"/>
    <w:rsid w:val="000F0E98"/>
    <w:rsid w:val="000F1E25"/>
    <w:rsid w:val="000F24C1"/>
    <w:rsid w:val="000F2E02"/>
    <w:rsid w:val="000F3165"/>
    <w:rsid w:val="000F3794"/>
    <w:rsid w:val="000F7ACB"/>
    <w:rsid w:val="00101021"/>
    <w:rsid w:val="00105440"/>
    <w:rsid w:val="00107A20"/>
    <w:rsid w:val="00110136"/>
    <w:rsid w:val="00110B2C"/>
    <w:rsid w:val="0011168F"/>
    <w:rsid w:val="00111E15"/>
    <w:rsid w:val="00112CDB"/>
    <w:rsid w:val="00113077"/>
    <w:rsid w:val="00115421"/>
    <w:rsid w:val="00116A7E"/>
    <w:rsid w:val="00120DB0"/>
    <w:rsid w:val="00122D60"/>
    <w:rsid w:val="00124071"/>
    <w:rsid w:val="00124A2E"/>
    <w:rsid w:val="00125CA0"/>
    <w:rsid w:val="00126320"/>
    <w:rsid w:val="00127399"/>
    <w:rsid w:val="00127D1E"/>
    <w:rsid w:val="001309FB"/>
    <w:rsid w:val="0013381C"/>
    <w:rsid w:val="00133963"/>
    <w:rsid w:val="00133A29"/>
    <w:rsid w:val="00134307"/>
    <w:rsid w:val="001354D9"/>
    <w:rsid w:val="00136329"/>
    <w:rsid w:val="00141607"/>
    <w:rsid w:val="001435BF"/>
    <w:rsid w:val="001435E5"/>
    <w:rsid w:val="00143C6E"/>
    <w:rsid w:val="0014460E"/>
    <w:rsid w:val="00145E5E"/>
    <w:rsid w:val="00146B3A"/>
    <w:rsid w:val="00146DC6"/>
    <w:rsid w:val="00147603"/>
    <w:rsid w:val="00147998"/>
    <w:rsid w:val="00147A4D"/>
    <w:rsid w:val="001506B1"/>
    <w:rsid w:val="001540E3"/>
    <w:rsid w:val="00154EDC"/>
    <w:rsid w:val="00154F3A"/>
    <w:rsid w:val="0015541F"/>
    <w:rsid w:val="00160795"/>
    <w:rsid w:val="00163022"/>
    <w:rsid w:val="00163153"/>
    <w:rsid w:val="001706FD"/>
    <w:rsid w:val="00176137"/>
    <w:rsid w:val="00176376"/>
    <w:rsid w:val="00180FA1"/>
    <w:rsid w:val="00183FFB"/>
    <w:rsid w:val="001851CD"/>
    <w:rsid w:val="001856CA"/>
    <w:rsid w:val="00186EA3"/>
    <w:rsid w:val="00187BD1"/>
    <w:rsid w:val="00190BCB"/>
    <w:rsid w:val="00190BE3"/>
    <w:rsid w:val="00190C7A"/>
    <w:rsid w:val="00192A02"/>
    <w:rsid w:val="00195575"/>
    <w:rsid w:val="0019629D"/>
    <w:rsid w:val="0019701F"/>
    <w:rsid w:val="001A0CA8"/>
    <w:rsid w:val="001A1D0E"/>
    <w:rsid w:val="001A2B89"/>
    <w:rsid w:val="001A5BA0"/>
    <w:rsid w:val="001A70CB"/>
    <w:rsid w:val="001B0E64"/>
    <w:rsid w:val="001B10C8"/>
    <w:rsid w:val="001B1D8E"/>
    <w:rsid w:val="001B3909"/>
    <w:rsid w:val="001B5330"/>
    <w:rsid w:val="001C1CED"/>
    <w:rsid w:val="001C3088"/>
    <w:rsid w:val="001C58DF"/>
    <w:rsid w:val="001C7FDB"/>
    <w:rsid w:val="001D0E31"/>
    <w:rsid w:val="001D1903"/>
    <w:rsid w:val="001D26EC"/>
    <w:rsid w:val="001D3274"/>
    <w:rsid w:val="001D6C72"/>
    <w:rsid w:val="001E1BB4"/>
    <w:rsid w:val="001E65AD"/>
    <w:rsid w:val="001E7E6C"/>
    <w:rsid w:val="001F059C"/>
    <w:rsid w:val="001F4441"/>
    <w:rsid w:val="001F6E1A"/>
    <w:rsid w:val="00200CB3"/>
    <w:rsid w:val="0020343F"/>
    <w:rsid w:val="00203FB5"/>
    <w:rsid w:val="0020419A"/>
    <w:rsid w:val="002050CE"/>
    <w:rsid w:val="00205C14"/>
    <w:rsid w:val="00206B77"/>
    <w:rsid w:val="00206FCF"/>
    <w:rsid w:val="00207DE7"/>
    <w:rsid w:val="00210712"/>
    <w:rsid w:val="0021092A"/>
    <w:rsid w:val="00213596"/>
    <w:rsid w:val="00214E04"/>
    <w:rsid w:val="00222E1D"/>
    <w:rsid w:val="00225113"/>
    <w:rsid w:val="00227374"/>
    <w:rsid w:val="0022785E"/>
    <w:rsid w:val="00227937"/>
    <w:rsid w:val="00230142"/>
    <w:rsid w:val="0023228B"/>
    <w:rsid w:val="00234BEF"/>
    <w:rsid w:val="00236ADC"/>
    <w:rsid w:val="002375DE"/>
    <w:rsid w:val="002410A6"/>
    <w:rsid w:val="00242AA6"/>
    <w:rsid w:val="002438C1"/>
    <w:rsid w:val="00243AAA"/>
    <w:rsid w:val="00243CC6"/>
    <w:rsid w:val="00245787"/>
    <w:rsid w:val="0024770C"/>
    <w:rsid w:val="00247851"/>
    <w:rsid w:val="00250D6A"/>
    <w:rsid w:val="00254065"/>
    <w:rsid w:val="00254CDC"/>
    <w:rsid w:val="00256CB1"/>
    <w:rsid w:val="00256D95"/>
    <w:rsid w:val="0026006D"/>
    <w:rsid w:val="00261B21"/>
    <w:rsid w:val="00262FBC"/>
    <w:rsid w:val="00266F11"/>
    <w:rsid w:val="002673F6"/>
    <w:rsid w:val="00267BAB"/>
    <w:rsid w:val="00270359"/>
    <w:rsid w:val="00270445"/>
    <w:rsid w:val="00270C50"/>
    <w:rsid w:val="00271416"/>
    <w:rsid w:val="0027182B"/>
    <w:rsid w:val="00272558"/>
    <w:rsid w:val="002725EA"/>
    <w:rsid w:val="0027390F"/>
    <w:rsid w:val="002745F5"/>
    <w:rsid w:val="00274814"/>
    <w:rsid w:val="00275F4B"/>
    <w:rsid w:val="00281F1E"/>
    <w:rsid w:val="00282546"/>
    <w:rsid w:val="0028334F"/>
    <w:rsid w:val="00283892"/>
    <w:rsid w:val="00283FD5"/>
    <w:rsid w:val="00285B87"/>
    <w:rsid w:val="00286C82"/>
    <w:rsid w:val="00287A20"/>
    <w:rsid w:val="00287E06"/>
    <w:rsid w:val="00290428"/>
    <w:rsid w:val="00290F6C"/>
    <w:rsid w:val="0029160D"/>
    <w:rsid w:val="00292F3E"/>
    <w:rsid w:val="0029316D"/>
    <w:rsid w:val="00294707"/>
    <w:rsid w:val="00294A03"/>
    <w:rsid w:val="00295308"/>
    <w:rsid w:val="00295A74"/>
    <w:rsid w:val="00296D44"/>
    <w:rsid w:val="0029764D"/>
    <w:rsid w:val="002A4D39"/>
    <w:rsid w:val="002A53A2"/>
    <w:rsid w:val="002A5DD7"/>
    <w:rsid w:val="002A71BD"/>
    <w:rsid w:val="002B14C4"/>
    <w:rsid w:val="002B2195"/>
    <w:rsid w:val="002B276E"/>
    <w:rsid w:val="002B285D"/>
    <w:rsid w:val="002B3FB1"/>
    <w:rsid w:val="002B422C"/>
    <w:rsid w:val="002B43C8"/>
    <w:rsid w:val="002B4ADD"/>
    <w:rsid w:val="002B50C1"/>
    <w:rsid w:val="002B70C3"/>
    <w:rsid w:val="002B7AEA"/>
    <w:rsid w:val="002B7B18"/>
    <w:rsid w:val="002C06FC"/>
    <w:rsid w:val="002C096B"/>
    <w:rsid w:val="002C16BB"/>
    <w:rsid w:val="002C2C3A"/>
    <w:rsid w:val="002C555B"/>
    <w:rsid w:val="002C5941"/>
    <w:rsid w:val="002C5E1B"/>
    <w:rsid w:val="002D49A8"/>
    <w:rsid w:val="002D4A16"/>
    <w:rsid w:val="002D53FB"/>
    <w:rsid w:val="002D5C75"/>
    <w:rsid w:val="002D6F08"/>
    <w:rsid w:val="002D741F"/>
    <w:rsid w:val="002E0534"/>
    <w:rsid w:val="002E1111"/>
    <w:rsid w:val="002E2C7D"/>
    <w:rsid w:val="002E306A"/>
    <w:rsid w:val="002E3CE8"/>
    <w:rsid w:val="002E53A2"/>
    <w:rsid w:val="002E582B"/>
    <w:rsid w:val="002E6F66"/>
    <w:rsid w:val="002E6FAD"/>
    <w:rsid w:val="002F000A"/>
    <w:rsid w:val="002F12F2"/>
    <w:rsid w:val="002F260F"/>
    <w:rsid w:val="002F47D2"/>
    <w:rsid w:val="002F5252"/>
    <w:rsid w:val="002F5747"/>
    <w:rsid w:val="00301187"/>
    <w:rsid w:val="00302F78"/>
    <w:rsid w:val="003039D8"/>
    <w:rsid w:val="003048D0"/>
    <w:rsid w:val="00305172"/>
    <w:rsid w:val="00307487"/>
    <w:rsid w:val="00310490"/>
    <w:rsid w:val="00310901"/>
    <w:rsid w:val="003110C6"/>
    <w:rsid w:val="0031169A"/>
    <w:rsid w:val="00312F31"/>
    <w:rsid w:val="0031389C"/>
    <w:rsid w:val="003138C6"/>
    <w:rsid w:val="00313FCB"/>
    <w:rsid w:val="0031598D"/>
    <w:rsid w:val="00315F99"/>
    <w:rsid w:val="00315FDC"/>
    <w:rsid w:val="00323538"/>
    <w:rsid w:val="00324816"/>
    <w:rsid w:val="003268AE"/>
    <w:rsid w:val="00331D88"/>
    <w:rsid w:val="00334150"/>
    <w:rsid w:val="00334D1F"/>
    <w:rsid w:val="00335218"/>
    <w:rsid w:val="003361DF"/>
    <w:rsid w:val="00336F71"/>
    <w:rsid w:val="00340C0A"/>
    <w:rsid w:val="003410EA"/>
    <w:rsid w:val="00344C1D"/>
    <w:rsid w:val="0034553F"/>
    <w:rsid w:val="00346078"/>
    <w:rsid w:val="00346169"/>
    <w:rsid w:val="0034760C"/>
    <w:rsid w:val="00350902"/>
    <w:rsid w:val="00350927"/>
    <w:rsid w:val="00350CD1"/>
    <w:rsid w:val="00353555"/>
    <w:rsid w:val="00356947"/>
    <w:rsid w:val="00361AA7"/>
    <w:rsid w:val="003625CE"/>
    <w:rsid w:val="003626F6"/>
    <w:rsid w:val="003629A6"/>
    <w:rsid w:val="00364001"/>
    <w:rsid w:val="003665A0"/>
    <w:rsid w:val="00374B90"/>
    <w:rsid w:val="0038044C"/>
    <w:rsid w:val="003812A5"/>
    <w:rsid w:val="0038192D"/>
    <w:rsid w:val="00382403"/>
    <w:rsid w:val="00383663"/>
    <w:rsid w:val="00383DAB"/>
    <w:rsid w:val="00384153"/>
    <w:rsid w:val="00384204"/>
    <w:rsid w:val="003864FE"/>
    <w:rsid w:val="00387BB5"/>
    <w:rsid w:val="003924E6"/>
    <w:rsid w:val="00392DF6"/>
    <w:rsid w:val="00395648"/>
    <w:rsid w:val="003A1ECE"/>
    <w:rsid w:val="003A3CCA"/>
    <w:rsid w:val="003A6ED9"/>
    <w:rsid w:val="003A726D"/>
    <w:rsid w:val="003A7561"/>
    <w:rsid w:val="003A773D"/>
    <w:rsid w:val="003B23BE"/>
    <w:rsid w:val="003B65D4"/>
    <w:rsid w:val="003B77A3"/>
    <w:rsid w:val="003C09E7"/>
    <w:rsid w:val="003C1ADF"/>
    <w:rsid w:val="003C2411"/>
    <w:rsid w:val="003C252E"/>
    <w:rsid w:val="003C2E4C"/>
    <w:rsid w:val="003C4A6F"/>
    <w:rsid w:val="003C6144"/>
    <w:rsid w:val="003D0D67"/>
    <w:rsid w:val="003D1517"/>
    <w:rsid w:val="003D3DF9"/>
    <w:rsid w:val="003D5D61"/>
    <w:rsid w:val="003E0195"/>
    <w:rsid w:val="003E0A13"/>
    <w:rsid w:val="003E1CD4"/>
    <w:rsid w:val="003E2E02"/>
    <w:rsid w:val="003E3147"/>
    <w:rsid w:val="003E330A"/>
    <w:rsid w:val="003E351F"/>
    <w:rsid w:val="003E3F67"/>
    <w:rsid w:val="003F0945"/>
    <w:rsid w:val="003F3C1F"/>
    <w:rsid w:val="003F5028"/>
    <w:rsid w:val="003F5ED5"/>
    <w:rsid w:val="003F6304"/>
    <w:rsid w:val="003F7E82"/>
    <w:rsid w:val="00401FF0"/>
    <w:rsid w:val="004026C7"/>
    <w:rsid w:val="00402756"/>
    <w:rsid w:val="00403876"/>
    <w:rsid w:val="00403A06"/>
    <w:rsid w:val="00403B82"/>
    <w:rsid w:val="00403FDA"/>
    <w:rsid w:val="00404428"/>
    <w:rsid w:val="00405A91"/>
    <w:rsid w:val="00407233"/>
    <w:rsid w:val="00410F8A"/>
    <w:rsid w:val="00413A76"/>
    <w:rsid w:val="00415A12"/>
    <w:rsid w:val="00415C3B"/>
    <w:rsid w:val="00415C57"/>
    <w:rsid w:val="00417604"/>
    <w:rsid w:val="00417C97"/>
    <w:rsid w:val="004201F6"/>
    <w:rsid w:val="004207DD"/>
    <w:rsid w:val="004215EE"/>
    <w:rsid w:val="00423AFB"/>
    <w:rsid w:val="00423CED"/>
    <w:rsid w:val="00425FB2"/>
    <w:rsid w:val="00426897"/>
    <w:rsid w:val="00426ADE"/>
    <w:rsid w:val="00434149"/>
    <w:rsid w:val="0043604F"/>
    <w:rsid w:val="00437D81"/>
    <w:rsid w:val="004423BA"/>
    <w:rsid w:val="00443281"/>
    <w:rsid w:val="00444295"/>
    <w:rsid w:val="00445711"/>
    <w:rsid w:val="00452147"/>
    <w:rsid w:val="00452F79"/>
    <w:rsid w:val="004533B8"/>
    <w:rsid w:val="004541F2"/>
    <w:rsid w:val="00454FB7"/>
    <w:rsid w:val="00456614"/>
    <w:rsid w:val="00457554"/>
    <w:rsid w:val="004578B8"/>
    <w:rsid w:val="004578C0"/>
    <w:rsid w:val="0046003B"/>
    <w:rsid w:val="00460105"/>
    <w:rsid w:val="00461A83"/>
    <w:rsid w:val="00463FAE"/>
    <w:rsid w:val="004646FE"/>
    <w:rsid w:val="004657F5"/>
    <w:rsid w:val="00466178"/>
    <w:rsid w:val="00466CD8"/>
    <w:rsid w:val="004703D7"/>
    <w:rsid w:val="00472504"/>
    <w:rsid w:val="0047261E"/>
    <w:rsid w:val="00476A6C"/>
    <w:rsid w:val="004843EA"/>
    <w:rsid w:val="0048473A"/>
    <w:rsid w:val="00484CAC"/>
    <w:rsid w:val="004850DF"/>
    <w:rsid w:val="0048562B"/>
    <w:rsid w:val="00486E50"/>
    <w:rsid w:val="00487EC8"/>
    <w:rsid w:val="00490523"/>
    <w:rsid w:val="00492305"/>
    <w:rsid w:val="004931DE"/>
    <w:rsid w:val="00493DAC"/>
    <w:rsid w:val="00493F9C"/>
    <w:rsid w:val="00495260"/>
    <w:rsid w:val="00495B60"/>
    <w:rsid w:val="0049638A"/>
    <w:rsid w:val="004A1CB8"/>
    <w:rsid w:val="004A1E9C"/>
    <w:rsid w:val="004A3B12"/>
    <w:rsid w:val="004A48A6"/>
    <w:rsid w:val="004A6C03"/>
    <w:rsid w:val="004A715D"/>
    <w:rsid w:val="004B0370"/>
    <w:rsid w:val="004B0E45"/>
    <w:rsid w:val="004B0EF2"/>
    <w:rsid w:val="004B3070"/>
    <w:rsid w:val="004B3411"/>
    <w:rsid w:val="004B4818"/>
    <w:rsid w:val="004B488B"/>
    <w:rsid w:val="004B4E44"/>
    <w:rsid w:val="004B69A7"/>
    <w:rsid w:val="004B7D81"/>
    <w:rsid w:val="004C00C0"/>
    <w:rsid w:val="004C2441"/>
    <w:rsid w:val="004C4ED9"/>
    <w:rsid w:val="004C652A"/>
    <w:rsid w:val="004D526C"/>
    <w:rsid w:val="004E14CA"/>
    <w:rsid w:val="004E14CB"/>
    <w:rsid w:val="004E1801"/>
    <w:rsid w:val="004E2F89"/>
    <w:rsid w:val="004E3115"/>
    <w:rsid w:val="004E4189"/>
    <w:rsid w:val="004E4C63"/>
    <w:rsid w:val="004E5430"/>
    <w:rsid w:val="004E6530"/>
    <w:rsid w:val="004E716A"/>
    <w:rsid w:val="004F0436"/>
    <w:rsid w:val="004F21C5"/>
    <w:rsid w:val="004F21DF"/>
    <w:rsid w:val="004F2DC7"/>
    <w:rsid w:val="004F3038"/>
    <w:rsid w:val="005020E9"/>
    <w:rsid w:val="00502CF3"/>
    <w:rsid w:val="00503B86"/>
    <w:rsid w:val="005069DD"/>
    <w:rsid w:val="00506BF2"/>
    <w:rsid w:val="0050715F"/>
    <w:rsid w:val="00507717"/>
    <w:rsid w:val="005077B8"/>
    <w:rsid w:val="00510B0C"/>
    <w:rsid w:val="00511B62"/>
    <w:rsid w:val="00512102"/>
    <w:rsid w:val="00516A6B"/>
    <w:rsid w:val="00516F5E"/>
    <w:rsid w:val="0051716F"/>
    <w:rsid w:val="00517759"/>
    <w:rsid w:val="00520009"/>
    <w:rsid w:val="00521D90"/>
    <w:rsid w:val="0052265F"/>
    <w:rsid w:val="00523DA2"/>
    <w:rsid w:val="005258B8"/>
    <w:rsid w:val="00526770"/>
    <w:rsid w:val="00527D5A"/>
    <w:rsid w:val="0053278A"/>
    <w:rsid w:val="00532893"/>
    <w:rsid w:val="00534602"/>
    <w:rsid w:val="00535ADB"/>
    <w:rsid w:val="00535AF2"/>
    <w:rsid w:val="005362D9"/>
    <w:rsid w:val="005368A4"/>
    <w:rsid w:val="00536B61"/>
    <w:rsid w:val="00540CE3"/>
    <w:rsid w:val="0054115F"/>
    <w:rsid w:val="005414DF"/>
    <w:rsid w:val="0054194E"/>
    <w:rsid w:val="00541A68"/>
    <w:rsid w:val="0054278D"/>
    <w:rsid w:val="00542B80"/>
    <w:rsid w:val="00542BDD"/>
    <w:rsid w:val="00543278"/>
    <w:rsid w:val="0054556E"/>
    <w:rsid w:val="00546B94"/>
    <w:rsid w:val="0054760A"/>
    <w:rsid w:val="0055271A"/>
    <w:rsid w:val="0055273C"/>
    <w:rsid w:val="005546A7"/>
    <w:rsid w:val="00554D75"/>
    <w:rsid w:val="00554EE7"/>
    <w:rsid w:val="00555AA6"/>
    <w:rsid w:val="00556E97"/>
    <w:rsid w:val="00560696"/>
    <w:rsid w:val="005608B0"/>
    <w:rsid w:val="005617AB"/>
    <w:rsid w:val="00562DB7"/>
    <w:rsid w:val="005637A8"/>
    <w:rsid w:val="00564402"/>
    <w:rsid w:val="005650F0"/>
    <w:rsid w:val="00565E1E"/>
    <w:rsid w:val="00567A26"/>
    <w:rsid w:val="00573734"/>
    <w:rsid w:val="005773A2"/>
    <w:rsid w:val="005813CF"/>
    <w:rsid w:val="0058185F"/>
    <w:rsid w:val="005819B4"/>
    <w:rsid w:val="005821A8"/>
    <w:rsid w:val="0058246B"/>
    <w:rsid w:val="00582916"/>
    <w:rsid w:val="00584D1F"/>
    <w:rsid w:val="00585A74"/>
    <w:rsid w:val="005860E0"/>
    <w:rsid w:val="00586A9C"/>
    <w:rsid w:val="0059251F"/>
    <w:rsid w:val="00592884"/>
    <w:rsid w:val="00592F2D"/>
    <w:rsid w:val="00594CE3"/>
    <w:rsid w:val="005969BE"/>
    <w:rsid w:val="005A32CE"/>
    <w:rsid w:val="005A39D6"/>
    <w:rsid w:val="005A3EFA"/>
    <w:rsid w:val="005A436D"/>
    <w:rsid w:val="005A6C4F"/>
    <w:rsid w:val="005A75B7"/>
    <w:rsid w:val="005B0D1B"/>
    <w:rsid w:val="005B1E69"/>
    <w:rsid w:val="005B4B1F"/>
    <w:rsid w:val="005B6E74"/>
    <w:rsid w:val="005C1A53"/>
    <w:rsid w:val="005C61AF"/>
    <w:rsid w:val="005C70E4"/>
    <w:rsid w:val="005C7CFC"/>
    <w:rsid w:val="005D5ABE"/>
    <w:rsid w:val="005D5E51"/>
    <w:rsid w:val="005D6FFB"/>
    <w:rsid w:val="005E1762"/>
    <w:rsid w:val="005E22CC"/>
    <w:rsid w:val="005E3B03"/>
    <w:rsid w:val="005E42B1"/>
    <w:rsid w:val="005E5D0F"/>
    <w:rsid w:val="005E5F8B"/>
    <w:rsid w:val="005F05AF"/>
    <w:rsid w:val="005F0D18"/>
    <w:rsid w:val="005F1156"/>
    <w:rsid w:val="005F1854"/>
    <w:rsid w:val="005F1998"/>
    <w:rsid w:val="005F2606"/>
    <w:rsid w:val="005F3C71"/>
    <w:rsid w:val="005F5200"/>
    <w:rsid w:val="005F73F2"/>
    <w:rsid w:val="005F764F"/>
    <w:rsid w:val="006004D3"/>
    <w:rsid w:val="00601771"/>
    <w:rsid w:val="00605266"/>
    <w:rsid w:val="0060669D"/>
    <w:rsid w:val="00607997"/>
    <w:rsid w:val="00610816"/>
    <w:rsid w:val="0061281A"/>
    <w:rsid w:val="00612AE6"/>
    <w:rsid w:val="00613D60"/>
    <w:rsid w:val="00614691"/>
    <w:rsid w:val="00617878"/>
    <w:rsid w:val="00620E8D"/>
    <w:rsid w:val="00621BDF"/>
    <w:rsid w:val="00622DDF"/>
    <w:rsid w:val="0062392E"/>
    <w:rsid w:val="00623CA9"/>
    <w:rsid w:val="00623F16"/>
    <w:rsid w:val="00624C74"/>
    <w:rsid w:val="00624EAA"/>
    <w:rsid w:val="00625652"/>
    <w:rsid w:val="0062792F"/>
    <w:rsid w:val="00630B05"/>
    <w:rsid w:val="00631594"/>
    <w:rsid w:val="00631831"/>
    <w:rsid w:val="00631B47"/>
    <w:rsid w:val="006343A0"/>
    <w:rsid w:val="00635107"/>
    <w:rsid w:val="0063511D"/>
    <w:rsid w:val="0063549B"/>
    <w:rsid w:val="00636494"/>
    <w:rsid w:val="00641F95"/>
    <w:rsid w:val="006443C7"/>
    <w:rsid w:val="00644691"/>
    <w:rsid w:val="00645936"/>
    <w:rsid w:val="00646119"/>
    <w:rsid w:val="00647000"/>
    <w:rsid w:val="00647191"/>
    <w:rsid w:val="0065005D"/>
    <w:rsid w:val="0065177D"/>
    <w:rsid w:val="00651DD7"/>
    <w:rsid w:val="00651ED1"/>
    <w:rsid w:val="00653225"/>
    <w:rsid w:val="00653331"/>
    <w:rsid w:val="00654698"/>
    <w:rsid w:val="006557B4"/>
    <w:rsid w:val="006565E8"/>
    <w:rsid w:val="00660777"/>
    <w:rsid w:val="00661774"/>
    <w:rsid w:val="0066181A"/>
    <w:rsid w:val="00662B73"/>
    <w:rsid w:val="0066656E"/>
    <w:rsid w:val="0066793F"/>
    <w:rsid w:val="006701B8"/>
    <w:rsid w:val="00670EAC"/>
    <w:rsid w:val="00670EC3"/>
    <w:rsid w:val="0067291A"/>
    <w:rsid w:val="0067363F"/>
    <w:rsid w:val="00674DCC"/>
    <w:rsid w:val="00680FA0"/>
    <w:rsid w:val="00681D75"/>
    <w:rsid w:val="006835AD"/>
    <w:rsid w:val="00684AEB"/>
    <w:rsid w:val="00687DB1"/>
    <w:rsid w:val="00687E2A"/>
    <w:rsid w:val="0069004F"/>
    <w:rsid w:val="00691747"/>
    <w:rsid w:val="00692E0F"/>
    <w:rsid w:val="00693654"/>
    <w:rsid w:val="00696445"/>
    <w:rsid w:val="00697861"/>
    <w:rsid w:val="006A0C4C"/>
    <w:rsid w:val="006A29A5"/>
    <w:rsid w:val="006A3050"/>
    <w:rsid w:val="006A483F"/>
    <w:rsid w:val="006A5D6D"/>
    <w:rsid w:val="006B173A"/>
    <w:rsid w:val="006B1EAA"/>
    <w:rsid w:val="006B5FB6"/>
    <w:rsid w:val="006B6D05"/>
    <w:rsid w:val="006C1D6D"/>
    <w:rsid w:val="006C38CC"/>
    <w:rsid w:val="006C4112"/>
    <w:rsid w:val="006C7CA7"/>
    <w:rsid w:val="006C7DA3"/>
    <w:rsid w:val="006D0A0A"/>
    <w:rsid w:val="006D101D"/>
    <w:rsid w:val="006D502F"/>
    <w:rsid w:val="006E04CE"/>
    <w:rsid w:val="006E12B4"/>
    <w:rsid w:val="006E23FA"/>
    <w:rsid w:val="006E28C3"/>
    <w:rsid w:val="006E382A"/>
    <w:rsid w:val="006E39CE"/>
    <w:rsid w:val="006E4418"/>
    <w:rsid w:val="006E568D"/>
    <w:rsid w:val="006E6178"/>
    <w:rsid w:val="006E79F1"/>
    <w:rsid w:val="006F2388"/>
    <w:rsid w:val="006F2403"/>
    <w:rsid w:val="006F3485"/>
    <w:rsid w:val="006F5996"/>
    <w:rsid w:val="006F6799"/>
    <w:rsid w:val="006F6FAC"/>
    <w:rsid w:val="007006BB"/>
    <w:rsid w:val="0070162F"/>
    <w:rsid w:val="00701B6C"/>
    <w:rsid w:val="0070239B"/>
    <w:rsid w:val="00703C3B"/>
    <w:rsid w:val="00703F72"/>
    <w:rsid w:val="007043F4"/>
    <w:rsid w:val="00707E66"/>
    <w:rsid w:val="007110A8"/>
    <w:rsid w:val="00712D6D"/>
    <w:rsid w:val="00714610"/>
    <w:rsid w:val="00714DB9"/>
    <w:rsid w:val="00717931"/>
    <w:rsid w:val="00720BCC"/>
    <w:rsid w:val="00721253"/>
    <w:rsid w:val="007221BD"/>
    <w:rsid w:val="0072267F"/>
    <w:rsid w:val="007234AA"/>
    <w:rsid w:val="0072355E"/>
    <w:rsid w:val="00723B6D"/>
    <w:rsid w:val="00723CDB"/>
    <w:rsid w:val="00724561"/>
    <w:rsid w:val="007252FD"/>
    <w:rsid w:val="00726D4D"/>
    <w:rsid w:val="00726D6C"/>
    <w:rsid w:val="0072719E"/>
    <w:rsid w:val="00730C22"/>
    <w:rsid w:val="00731076"/>
    <w:rsid w:val="007313DB"/>
    <w:rsid w:val="0073281F"/>
    <w:rsid w:val="00735AF1"/>
    <w:rsid w:val="00736BF7"/>
    <w:rsid w:val="00737B80"/>
    <w:rsid w:val="00737FA0"/>
    <w:rsid w:val="007401D6"/>
    <w:rsid w:val="007414A3"/>
    <w:rsid w:val="0074214B"/>
    <w:rsid w:val="00742F4A"/>
    <w:rsid w:val="00744862"/>
    <w:rsid w:val="007469C2"/>
    <w:rsid w:val="00746C67"/>
    <w:rsid w:val="0074746C"/>
    <w:rsid w:val="007476F6"/>
    <w:rsid w:val="00747FD5"/>
    <w:rsid w:val="0075515E"/>
    <w:rsid w:val="00756347"/>
    <w:rsid w:val="007565C1"/>
    <w:rsid w:val="007569EC"/>
    <w:rsid w:val="00757DE6"/>
    <w:rsid w:val="00760761"/>
    <w:rsid w:val="007610ED"/>
    <w:rsid w:val="00761CAF"/>
    <w:rsid w:val="00761CD0"/>
    <w:rsid w:val="00762E35"/>
    <w:rsid w:val="00762E36"/>
    <w:rsid w:val="0076446E"/>
    <w:rsid w:val="00764A97"/>
    <w:rsid w:val="00765760"/>
    <w:rsid w:val="00766843"/>
    <w:rsid w:val="0076780D"/>
    <w:rsid w:val="00767EF5"/>
    <w:rsid w:val="00770D01"/>
    <w:rsid w:val="00771DA6"/>
    <w:rsid w:val="007723BD"/>
    <w:rsid w:val="007737CB"/>
    <w:rsid w:val="0077416F"/>
    <w:rsid w:val="0077602D"/>
    <w:rsid w:val="00776821"/>
    <w:rsid w:val="00781055"/>
    <w:rsid w:val="007827C4"/>
    <w:rsid w:val="0078324C"/>
    <w:rsid w:val="00784BBA"/>
    <w:rsid w:val="00785E08"/>
    <w:rsid w:val="00785EC9"/>
    <w:rsid w:val="00790C12"/>
    <w:rsid w:val="007917D7"/>
    <w:rsid w:val="00793A9E"/>
    <w:rsid w:val="00793BC6"/>
    <w:rsid w:val="007945A4"/>
    <w:rsid w:val="007961AA"/>
    <w:rsid w:val="00796502"/>
    <w:rsid w:val="00796EF2"/>
    <w:rsid w:val="007A20CD"/>
    <w:rsid w:val="007A230F"/>
    <w:rsid w:val="007A4BBB"/>
    <w:rsid w:val="007A581E"/>
    <w:rsid w:val="007B1246"/>
    <w:rsid w:val="007B257A"/>
    <w:rsid w:val="007B4158"/>
    <w:rsid w:val="007B7A1E"/>
    <w:rsid w:val="007C0180"/>
    <w:rsid w:val="007C0958"/>
    <w:rsid w:val="007C1B2A"/>
    <w:rsid w:val="007C2838"/>
    <w:rsid w:val="007C2849"/>
    <w:rsid w:val="007C2EBA"/>
    <w:rsid w:val="007C5152"/>
    <w:rsid w:val="007C54A2"/>
    <w:rsid w:val="007C69BA"/>
    <w:rsid w:val="007C7128"/>
    <w:rsid w:val="007C7207"/>
    <w:rsid w:val="007D0AE0"/>
    <w:rsid w:val="007D0D1A"/>
    <w:rsid w:val="007D264E"/>
    <w:rsid w:val="007D3246"/>
    <w:rsid w:val="007D7142"/>
    <w:rsid w:val="007D780B"/>
    <w:rsid w:val="007E0189"/>
    <w:rsid w:val="007E0B31"/>
    <w:rsid w:val="007E172C"/>
    <w:rsid w:val="007E17F6"/>
    <w:rsid w:val="007E3C0B"/>
    <w:rsid w:val="007E55B0"/>
    <w:rsid w:val="007E6CAA"/>
    <w:rsid w:val="007E71A9"/>
    <w:rsid w:val="007E7923"/>
    <w:rsid w:val="007E7D6C"/>
    <w:rsid w:val="007E7EFA"/>
    <w:rsid w:val="007F249D"/>
    <w:rsid w:val="007F347E"/>
    <w:rsid w:val="007F3A40"/>
    <w:rsid w:val="007F6DFC"/>
    <w:rsid w:val="00800AF3"/>
    <w:rsid w:val="00800DA9"/>
    <w:rsid w:val="00803148"/>
    <w:rsid w:val="00803CC5"/>
    <w:rsid w:val="00805BE7"/>
    <w:rsid w:val="00806016"/>
    <w:rsid w:val="00806521"/>
    <w:rsid w:val="00807248"/>
    <w:rsid w:val="008075F2"/>
    <w:rsid w:val="00807F6C"/>
    <w:rsid w:val="00811937"/>
    <w:rsid w:val="00812DA5"/>
    <w:rsid w:val="00813194"/>
    <w:rsid w:val="00816F8B"/>
    <w:rsid w:val="00820BA0"/>
    <w:rsid w:val="008225F5"/>
    <w:rsid w:val="008233C9"/>
    <w:rsid w:val="0082560E"/>
    <w:rsid w:val="00830443"/>
    <w:rsid w:val="00830480"/>
    <w:rsid w:val="008309CC"/>
    <w:rsid w:val="008333EE"/>
    <w:rsid w:val="00833C71"/>
    <w:rsid w:val="00833F16"/>
    <w:rsid w:val="00834049"/>
    <w:rsid w:val="00835D8C"/>
    <w:rsid w:val="00840F63"/>
    <w:rsid w:val="00841053"/>
    <w:rsid w:val="00842E2E"/>
    <w:rsid w:val="0084380E"/>
    <w:rsid w:val="0084456D"/>
    <w:rsid w:val="008455E3"/>
    <w:rsid w:val="008476A4"/>
    <w:rsid w:val="00851D2E"/>
    <w:rsid w:val="00853BA5"/>
    <w:rsid w:val="0085455B"/>
    <w:rsid w:val="00854B35"/>
    <w:rsid w:val="00855FEA"/>
    <w:rsid w:val="0085633A"/>
    <w:rsid w:val="00860F0F"/>
    <w:rsid w:val="00861625"/>
    <w:rsid w:val="00861C1F"/>
    <w:rsid w:val="00862925"/>
    <w:rsid w:val="008636D6"/>
    <w:rsid w:val="008636FD"/>
    <w:rsid w:val="00863B89"/>
    <w:rsid w:val="008655C7"/>
    <w:rsid w:val="008657E7"/>
    <w:rsid w:val="00865E73"/>
    <w:rsid w:val="00870627"/>
    <w:rsid w:val="008722E6"/>
    <w:rsid w:val="00872F41"/>
    <w:rsid w:val="0087524E"/>
    <w:rsid w:val="00875CD4"/>
    <w:rsid w:val="00876C8A"/>
    <w:rsid w:val="00881CEC"/>
    <w:rsid w:val="00881E23"/>
    <w:rsid w:val="00882BB9"/>
    <w:rsid w:val="0088376D"/>
    <w:rsid w:val="00883DDD"/>
    <w:rsid w:val="00884BCF"/>
    <w:rsid w:val="0088587C"/>
    <w:rsid w:val="00885A3C"/>
    <w:rsid w:val="00886532"/>
    <w:rsid w:val="0088692D"/>
    <w:rsid w:val="00887B62"/>
    <w:rsid w:val="008922D5"/>
    <w:rsid w:val="0089303D"/>
    <w:rsid w:val="00896AC5"/>
    <w:rsid w:val="008A12B5"/>
    <w:rsid w:val="008A27AA"/>
    <w:rsid w:val="008A2C5F"/>
    <w:rsid w:val="008A2EBE"/>
    <w:rsid w:val="008A2F7E"/>
    <w:rsid w:val="008A3DB5"/>
    <w:rsid w:val="008A5A44"/>
    <w:rsid w:val="008A664A"/>
    <w:rsid w:val="008B2544"/>
    <w:rsid w:val="008B2752"/>
    <w:rsid w:val="008B5601"/>
    <w:rsid w:val="008B6746"/>
    <w:rsid w:val="008B7C9B"/>
    <w:rsid w:val="008C0A54"/>
    <w:rsid w:val="008C21C8"/>
    <w:rsid w:val="008C45A1"/>
    <w:rsid w:val="008C471E"/>
    <w:rsid w:val="008C4FCA"/>
    <w:rsid w:val="008C60D5"/>
    <w:rsid w:val="008C65F6"/>
    <w:rsid w:val="008C7235"/>
    <w:rsid w:val="008D123E"/>
    <w:rsid w:val="008D125C"/>
    <w:rsid w:val="008D257C"/>
    <w:rsid w:val="008D5A65"/>
    <w:rsid w:val="008D66AF"/>
    <w:rsid w:val="008D7D23"/>
    <w:rsid w:val="008E1443"/>
    <w:rsid w:val="008E2437"/>
    <w:rsid w:val="008E25BA"/>
    <w:rsid w:val="008E2A47"/>
    <w:rsid w:val="008E5F47"/>
    <w:rsid w:val="008E62E0"/>
    <w:rsid w:val="008E6F9E"/>
    <w:rsid w:val="008F013D"/>
    <w:rsid w:val="008F0C4A"/>
    <w:rsid w:val="008F0EB5"/>
    <w:rsid w:val="008F1BB1"/>
    <w:rsid w:val="008F36D2"/>
    <w:rsid w:val="008F375A"/>
    <w:rsid w:val="009034D0"/>
    <w:rsid w:val="00903DD3"/>
    <w:rsid w:val="00904FBC"/>
    <w:rsid w:val="00905E33"/>
    <w:rsid w:val="00907F47"/>
    <w:rsid w:val="00910702"/>
    <w:rsid w:val="0091110E"/>
    <w:rsid w:val="0091115F"/>
    <w:rsid w:val="00911E95"/>
    <w:rsid w:val="00913438"/>
    <w:rsid w:val="00914797"/>
    <w:rsid w:val="0091587D"/>
    <w:rsid w:val="009208D0"/>
    <w:rsid w:val="009212D5"/>
    <w:rsid w:val="00922E2E"/>
    <w:rsid w:val="0092529F"/>
    <w:rsid w:val="00925333"/>
    <w:rsid w:val="0092573C"/>
    <w:rsid w:val="0093044F"/>
    <w:rsid w:val="00931829"/>
    <w:rsid w:val="0093461C"/>
    <w:rsid w:val="00934EE5"/>
    <w:rsid w:val="00935111"/>
    <w:rsid w:val="0093743B"/>
    <w:rsid w:val="00937B29"/>
    <w:rsid w:val="0094074E"/>
    <w:rsid w:val="0094188E"/>
    <w:rsid w:val="00941D1D"/>
    <w:rsid w:val="00942CAF"/>
    <w:rsid w:val="009431C3"/>
    <w:rsid w:val="00946C8B"/>
    <w:rsid w:val="00946CC5"/>
    <w:rsid w:val="00950157"/>
    <w:rsid w:val="009513FA"/>
    <w:rsid w:val="0095195B"/>
    <w:rsid w:val="00953484"/>
    <w:rsid w:val="00953741"/>
    <w:rsid w:val="00955B29"/>
    <w:rsid w:val="00960C59"/>
    <w:rsid w:val="009616E8"/>
    <w:rsid w:val="00962563"/>
    <w:rsid w:val="009627BE"/>
    <w:rsid w:val="00962E20"/>
    <w:rsid w:val="00962FB8"/>
    <w:rsid w:val="00963AE6"/>
    <w:rsid w:val="0096453B"/>
    <w:rsid w:val="009659D3"/>
    <w:rsid w:val="009756FF"/>
    <w:rsid w:val="00977428"/>
    <w:rsid w:val="00983EEA"/>
    <w:rsid w:val="00985005"/>
    <w:rsid w:val="00990003"/>
    <w:rsid w:val="009917DC"/>
    <w:rsid w:val="009929C0"/>
    <w:rsid w:val="00994ED2"/>
    <w:rsid w:val="00996531"/>
    <w:rsid w:val="0099685F"/>
    <w:rsid w:val="00997928"/>
    <w:rsid w:val="009A0582"/>
    <w:rsid w:val="009A0AB2"/>
    <w:rsid w:val="009A5CEB"/>
    <w:rsid w:val="009A7731"/>
    <w:rsid w:val="009A7F69"/>
    <w:rsid w:val="009B01E9"/>
    <w:rsid w:val="009B1A1E"/>
    <w:rsid w:val="009B2155"/>
    <w:rsid w:val="009B4AE0"/>
    <w:rsid w:val="009B5BB1"/>
    <w:rsid w:val="009B61E1"/>
    <w:rsid w:val="009B62F6"/>
    <w:rsid w:val="009C19AC"/>
    <w:rsid w:val="009C21AE"/>
    <w:rsid w:val="009C3257"/>
    <w:rsid w:val="009C3978"/>
    <w:rsid w:val="009C582F"/>
    <w:rsid w:val="009C6841"/>
    <w:rsid w:val="009D16F6"/>
    <w:rsid w:val="009D29E6"/>
    <w:rsid w:val="009D3C7C"/>
    <w:rsid w:val="009D5E6E"/>
    <w:rsid w:val="009D685C"/>
    <w:rsid w:val="009D7895"/>
    <w:rsid w:val="009E0836"/>
    <w:rsid w:val="009E278E"/>
    <w:rsid w:val="009F014A"/>
    <w:rsid w:val="009F016D"/>
    <w:rsid w:val="009F0393"/>
    <w:rsid w:val="009F1D4F"/>
    <w:rsid w:val="009F5008"/>
    <w:rsid w:val="009F68D3"/>
    <w:rsid w:val="009F7038"/>
    <w:rsid w:val="009F733E"/>
    <w:rsid w:val="009F7DAF"/>
    <w:rsid w:val="00A00579"/>
    <w:rsid w:val="00A02EB1"/>
    <w:rsid w:val="00A03C05"/>
    <w:rsid w:val="00A04AB1"/>
    <w:rsid w:val="00A04D61"/>
    <w:rsid w:val="00A050F6"/>
    <w:rsid w:val="00A05679"/>
    <w:rsid w:val="00A056EF"/>
    <w:rsid w:val="00A05846"/>
    <w:rsid w:val="00A06B12"/>
    <w:rsid w:val="00A07517"/>
    <w:rsid w:val="00A11B9F"/>
    <w:rsid w:val="00A11BAF"/>
    <w:rsid w:val="00A12BB3"/>
    <w:rsid w:val="00A13CE6"/>
    <w:rsid w:val="00A22517"/>
    <w:rsid w:val="00A22920"/>
    <w:rsid w:val="00A23D73"/>
    <w:rsid w:val="00A23F9E"/>
    <w:rsid w:val="00A2468B"/>
    <w:rsid w:val="00A3118D"/>
    <w:rsid w:val="00A31BCB"/>
    <w:rsid w:val="00A32EA0"/>
    <w:rsid w:val="00A339BD"/>
    <w:rsid w:val="00A34005"/>
    <w:rsid w:val="00A3480F"/>
    <w:rsid w:val="00A34D13"/>
    <w:rsid w:val="00A365ED"/>
    <w:rsid w:val="00A36714"/>
    <w:rsid w:val="00A37CBB"/>
    <w:rsid w:val="00A4266C"/>
    <w:rsid w:val="00A43488"/>
    <w:rsid w:val="00A458EA"/>
    <w:rsid w:val="00A466E4"/>
    <w:rsid w:val="00A467F7"/>
    <w:rsid w:val="00A5083C"/>
    <w:rsid w:val="00A50C7A"/>
    <w:rsid w:val="00A51432"/>
    <w:rsid w:val="00A517F2"/>
    <w:rsid w:val="00A523AD"/>
    <w:rsid w:val="00A52D04"/>
    <w:rsid w:val="00A53B56"/>
    <w:rsid w:val="00A54252"/>
    <w:rsid w:val="00A54631"/>
    <w:rsid w:val="00A570E7"/>
    <w:rsid w:val="00A577A2"/>
    <w:rsid w:val="00A65EE9"/>
    <w:rsid w:val="00A66D1F"/>
    <w:rsid w:val="00A676C3"/>
    <w:rsid w:val="00A70191"/>
    <w:rsid w:val="00A70284"/>
    <w:rsid w:val="00A725F8"/>
    <w:rsid w:val="00A72A71"/>
    <w:rsid w:val="00A72C41"/>
    <w:rsid w:val="00A75471"/>
    <w:rsid w:val="00A75499"/>
    <w:rsid w:val="00A75FFE"/>
    <w:rsid w:val="00A77256"/>
    <w:rsid w:val="00A80876"/>
    <w:rsid w:val="00A81133"/>
    <w:rsid w:val="00A828A5"/>
    <w:rsid w:val="00A86EDE"/>
    <w:rsid w:val="00A878BB"/>
    <w:rsid w:val="00A926E8"/>
    <w:rsid w:val="00A935F5"/>
    <w:rsid w:val="00A93F08"/>
    <w:rsid w:val="00A943F5"/>
    <w:rsid w:val="00A95431"/>
    <w:rsid w:val="00A954C3"/>
    <w:rsid w:val="00A97789"/>
    <w:rsid w:val="00AA1092"/>
    <w:rsid w:val="00AA3BAA"/>
    <w:rsid w:val="00AA432B"/>
    <w:rsid w:val="00AA4B43"/>
    <w:rsid w:val="00AA7213"/>
    <w:rsid w:val="00AB1C4A"/>
    <w:rsid w:val="00AB1E44"/>
    <w:rsid w:val="00AB1FC6"/>
    <w:rsid w:val="00AB3050"/>
    <w:rsid w:val="00AB3F81"/>
    <w:rsid w:val="00AB424D"/>
    <w:rsid w:val="00AB5AFD"/>
    <w:rsid w:val="00AB5B9F"/>
    <w:rsid w:val="00AB5CA3"/>
    <w:rsid w:val="00AB7E50"/>
    <w:rsid w:val="00AC1009"/>
    <w:rsid w:val="00AC4A7D"/>
    <w:rsid w:val="00AC50D8"/>
    <w:rsid w:val="00AC638B"/>
    <w:rsid w:val="00AC6B78"/>
    <w:rsid w:val="00AC6D52"/>
    <w:rsid w:val="00AC72C7"/>
    <w:rsid w:val="00AD05B6"/>
    <w:rsid w:val="00AD2A3E"/>
    <w:rsid w:val="00AD3B28"/>
    <w:rsid w:val="00AD5784"/>
    <w:rsid w:val="00AE12E6"/>
    <w:rsid w:val="00AE1C0B"/>
    <w:rsid w:val="00AE2705"/>
    <w:rsid w:val="00AE2EDB"/>
    <w:rsid w:val="00AE3367"/>
    <w:rsid w:val="00AE4403"/>
    <w:rsid w:val="00AE5BC9"/>
    <w:rsid w:val="00AE5F52"/>
    <w:rsid w:val="00AF09EE"/>
    <w:rsid w:val="00AF0E1B"/>
    <w:rsid w:val="00AF327F"/>
    <w:rsid w:val="00AF58F0"/>
    <w:rsid w:val="00AF697E"/>
    <w:rsid w:val="00AF6CAE"/>
    <w:rsid w:val="00B00B2D"/>
    <w:rsid w:val="00B0194D"/>
    <w:rsid w:val="00B01D17"/>
    <w:rsid w:val="00B05056"/>
    <w:rsid w:val="00B052AD"/>
    <w:rsid w:val="00B05CE3"/>
    <w:rsid w:val="00B067D1"/>
    <w:rsid w:val="00B06BEB"/>
    <w:rsid w:val="00B06DA9"/>
    <w:rsid w:val="00B12154"/>
    <w:rsid w:val="00B140AF"/>
    <w:rsid w:val="00B162E0"/>
    <w:rsid w:val="00B177AE"/>
    <w:rsid w:val="00B17992"/>
    <w:rsid w:val="00B211A6"/>
    <w:rsid w:val="00B23101"/>
    <w:rsid w:val="00B23572"/>
    <w:rsid w:val="00B2604D"/>
    <w:rsid w:val="00B265E6"/>
    <w:rsid w:val="00B3092E"/>
    <w:rsid w:val="00B31BBA"/>
    <w:rsid w:val="00B34977"/>
    <w:rsid w:val="00B34ECF"/>
    <w:rsid w:val="00B35FEF"/>
    <w:rsid w:val="00B4468E"/>
    <w:rsid w:val="00B446AD"/>
    <w:rsid w:val="00B447C3"/>
    <w:rsid w:val="00B448CE"/>
    <w:rsid w:val="00B4747A"/>
    <w:rsid w:val="00B47672"/>
    <w:rsid w:val="00B55043"/>
    <w:rsid w:val="00B555B8"/>
    <w:rsid w:val="00B55DD1"/>
    <w:rsid w:val="00B56928"/>
    <w:rsid w:val="00B60958"/>
    <w:rsid w:val="00B63066"/>
    <w:rsid w:val="00B66E09"/>
    <w:rsid w:val="00B70D7B"/>
    <w:rsid w:val="00B71DBE"/>
    <w:rsid w:val="00B71E74"/>
    <w:rsid w:val="00B73C02"/>
    <w:rsid w:val="00B74D85"/>
    <w:rsid w:val="00B81B9A"/>
    <w:rsid w:val="00B82972"/>
    <w:rsid w:val="00B83E4A"/>
    <w:rsid w:val="00B8457A"/>
    <w:rsid w:val="00B84734"/>
    <w:rsid w:val="00B90DB3"/>
    <w:rsid w:val="00B90FD1"/>
    <w:rsid w:val="00B91619"/>
    <w:rsid w:val="00B91DD4"/>
    <w:rsid w:val="00B926D6"/>
    <w:rsid w:val="00B9332F"/>
    <w:rsid w:val="00B93B39"/>
    <w:rsid w:val="00B9472D"/>
    <w:rsid w:val="00B95A9A"/>
    <w:rsid w:val="00B97240"/>
    <w:rsid w:val="00BA08BF"/>
    <w:rsid w:val="00BA23DE"/>
    <w:rsid w:val="00BA3AF0"/>
    <w:rsid w:val="00BA3EDC"/>
    <w:rsid w:val="00BA430A"/>
    <w:rsid w:val="00BA4B27"/>
    <w:rsid w:val="00BA6C39"/>
    <w:rsid w:val="00BA7423"/>
    <w:rsid w:val="00BA7CD1"/>
    <w:rsid w:val="00BB0C43"/>
    <w:rsid w:val="00BB3118"/>
    <w:rsid w:val="00BB6999"/>
    <w:rsid w:val="00BB75DD"/>
    <w:rsid w:val="00BC0057"/>
    <w:rsid w:val="00BC1B6D"/>
    <w:rsid w:val="00BC3361"/>
    <w:rsid w:val="00BC61FA"/>
    <w:rsid w:val="00BD174F"/>
    <w:rsid w:val="00BD3260"/>
    <w:rsid w:val="00BD3DA8"/>
    <w:rsid w:val="00BD465D"/>
    <w:rsid w:val="00BD5784"/>
    <w:rsid w:val="00BD61CF"/>
    <w:rsid w:val="00BD64B8"/>
    <w:rsid w:val="00BD72C0"/>
    <w:rsid w:val="00BE075B"/>
    <w:rsid w:val="00BE2F7A"/>
    <w:rsid w:val="00BE4B91"/>
    <w:rsid w:val="00BE533D"/>
    <w:rsid w:val="00BE5368"/>
    <w:rsid w:val="00BF1539"/>
    <w:rsid w:val="00BF18B3"/>
    <w:rsid w:val="00BF290A"/>
    <w:rsid w:val="00BF3AB3"/>
    <w:rsid w:val="00BF5ED1"/>
    <w:rsid w:val="00C0068B"/>
    <w:rsid w:val="00C01E96"/>
    <w:rsid w:val="00C031A1"/>
    <w:rsid w:val="00C05530"/>
    <w:rsid w:val="00C05D8F"/>
    <w:rsid w:val="00C06781"/>
    <w:rsid w:val="00C06CAA"/>
    <w:rsid w:val="00C07741"/>
    <w:rsid w:val="00C10143"/>
    <w:rsid w:val="00C10793"/>
    <w:rsid w:val="00C1083F"/>
    <w:rsid w:val="00C11220"/>
    <w:rsid w:val="00C115B6"/>
    <w:rsid w:val="00C11F9E"/>
    <w:rsid w:val="00C12043"/>
    <w:rsid w:val="00C14668"/>
    <w:rsid w:val="00C20169"/>
    <w:rsid w:val="00C203C4"/>
    <w:rsid w:val="00C203C9"/>
    <w:rsid w:val="00C21425"/>
    <w:rsid w:val="00C250E1"/>
    <w:rsid w:val="00C275DA"/>
    <w:rsid w:val="00C311F2"/>
    <w:rsid w:val="00C3141B"/>
    <w:rsid w:val="00C324AA"/>
    <w:rsid w:val="00C32607"/>
    <w:rsid w:val="00C32AD3"/>
    <w:rsid w:val="00C332F7"/>
    <w:rsid w:val="00C346FC"/>
    <w:rsid w:val="00C35259"/>
    <w:rsid w:val="00C3659E"/>
    <w:rsid w:val="00C406B7"/>
    <w:rsid w:val="00C4111C"/>
    <w:rsid w:val="00C42632"/>
    <w:rsid w:val="00C43BF0"/>
    <w:rsid w:val="00C441BD"/>
    <w:rsid w:val="00C44668"/>
    <w:rsid w:val="00C44914"/>
    <w:rsid w:val="00C45F3B"/>
    <w:rsid w:val="00C462C4"/>
    <w:rsid w:val="00C4746D"/>
    <w:rsid w:val="00C50D14"/>
    <w:rsid w:val="00C528FA"/>
    <w:rsid w:val="00C53325"/>
    <w:rsid w:val="00C54399"/>
    <w:rsid w:val="00C60325"/>
    <w:rsid w:val="00C61FBD"/>
    <w:rsid w:val="00C6236A"/>
    <w:rsid w:val="00C643C7"/>
    <w:rsid w:val="00C650CE"/>
    <w:rsid w:val="00C70F85"/>
    <w:rsid w:val="00C7114D"/>
    <w:rsid w:val="00C7380F"/>
    <w:rsid w:val="00C73EC7"/>
    <w:rsid w:val="00C73F57"/>
    <w:rsid w:val="00C744B9"/>
    <w:rsid w:val="00C752C6"/>
    <w:rsid w:val="00C7770B"/>
    <w:rsid w:val="00C81643"/>
    <w:rsid w:val="00C8328A"/>
    <w:rsid w:val="00C83EF6"/>
    <w:rsid w:val="00C84658"/>
    <w:rsid w:val="00C84E11"/>
    <w:rsid w:val="00C84F17"/>
    <w:rsid w:val="00C86C4C"/>
    <w:rsid w:val="00C902C5"/>
    <w:rsid w:val="00C91121"/>
    <w:rsid w:val="00C91972"/>
    <w:rsid w:val="00C91BFE"/>
    <w:rsid w:val="00C943DA"/>
    <w:rsid w:val="00C9580F"/>
    <w:rsid w:val="00C9721F"/>
    <w:rsid w:val="00CA0506"/>
    <w:rsid w:val="00CB0CFF"/>
    <w:rsid w:val="00CB2A82"/>
    <w:rsid w:val="00CB3C6C"/>
    <w:rsid w:val="00CB4FD9"/>
    <w:rsid w:val="00CB51D1"/>
    <w:rsid w:val="00CB5A66"/>
    <w:rsid w:val="00CB5D18"/>
    <w:rsid w:val="00CB661F"/>
    <w:rsid w:val="00CB663F"/>
    <w:rsid w:val="00CC1FBE"/>
    <w:rsid w:val="00CC2EAB"/>
    <w:rsid w:val="00CC3928"/>
    <w:rsid w:val="00CC43C5"/>
    <w:rsid w:val="00CC4A46"/>
    <w:rsid w:val="00CC5E58"/>
    <w:rsid w:val="00CD0689"/>
    <w:rsid w:val="00CD13EB"/>
    <w:rsid w:val="00CD1FB5"/>
    <w:rsid w:val="00CD5378"/>
    <w:rsid w:val="00CD5762"/>
    <w:rsid w:val="00CD5B0C"/>
    <w:rsid w:val="00CD6401"/>
    <w:rsid w:val="00CE2455"/>
    <w:rsid w:val="00CE4F1B"/>
    <w:rsid w:val="00CE66B3"/>
    <w:rsid w:val="00CE7C08"/>
    <w:rsid w:val="00CF0CBA"/>
    <w:rsid w:val="00CF1E51"/>
    <w:rsid w:val="00CF2227"/>
    <w:rsid w:val="00CF48CD"/>
    <w:rsid w:val="00CF48CE"/>
    <w:rsid w:val="00CF4C8C"/>
    <w:rsid w:val="00CF6F1A"/>
    <w:rsid w:val="00CF7F06"/>
    <w:rsid w:val="00D01350"/>
    <w:rsid w:val="00D014DB"/>
    <w:rsid w:val="00D054A1"/>
    <w:rsid w:val="00D10A54"/>
    <w:rsid w:val="00D11250"/>
    <w:rsid w:val="00D1153B"/>
    <w:rsid w:val="00D1464B"/>
    <w:rsid w:val="00D16DAA"/>
    <w:rsid w:val="00D16E82"/>
    <w:rsid w:val="00D17898"/>
    <w:rsid w:val="00D17E14"/>
    <w:rsid w:val="00D2136E"/>
    <w:rsid w:val="00D21386"/>
    <w:rsid w:val="00D24523"/>
    <w:rsid w:val="00D247A5"/>
    <w:rsid w:val="00D257C4"/>
    <w:rsid w:val="00D25A3D"/>
    <w:rsid w:val="00D31DEE"/>
    <w:rsid w:val="00D3693F"/>
    <w:rsid w:val="00D40616"/>
    <w:rsid w:val="00D412F5"/>
    <w:rsid w:val="00D4490B"/>
    <w:rsid w:val="00D44F9E"/>
    <w:rsid w:val="00D46309"/>
    <w:rsid w:val="00D47302"/>
    <w:rsid w:val="00D50895"/>
    <w:rsid w:val="00D568F5"/>
    <w:rsid w:val="00D5704C"/>
    <w:rsid w:val="00D620A5"/>
    <w:rsid w:val="00D6548D"/>
    <w:rsid w:val="00D67A4A"/>
    <w:rsid w:val="00D71B35"/>
    <w:rsid w:val="00D7293B"/>
    <w:rsid w:val="00D7542E"/>
    <w:rsid w:val="00D76626"/>
    <w:rsid w:val="00D76EA6"/>
    <w:rsid w:val="00D779BE"/>
    <w:rsid w:val="00D809B6"/>
    <w:rsid w:val="00D8441F"/>
    <w:rsid w:val="00D92FC1"/>
    <w:rsid w:val="00D958DC"/>
    <w:rsid w:val="00D96EB9"/>
    <w:rsid w:val="00D97427"/>
    <w:rsid w:val="00D97C22"/>
    <w:rsid w:val="00D97D2A"/>
    <w:rsid w:val="00DA0038"/>
    <w:rsid w:val="00DA007D"/>
    <w:rsid w:val="00DA0727"/>
    <w:rsid w:val="00DA2128"/>
    <w:rsid w:val="00DA49CA"/>
    <w:rsid w:val="00DA4F64"/>
    <w:rsid w:val="00DA54D3"/>
    <w:rsid w:val="00DA750D"/>
    <w:rsid w:val="00DA7821"/>
    <w:rsid w:val="00DB0235"/>
    <w:rsid w:val="00DB6029"/>
    <w:rsid w:val="00DB7948"/>
    <w:rsid w:val="00DC2299"/>
    <w:rsid w:val="00DC2C96"/>
    <w:rsid w:val="00DC3472"/>
    <w:rsid w:val="00DC414F"/>
    <w:rsid w:val="00DC5974"/>
    <w:rsid w:val="00DC5B59"/>
    <w:rsid w:val="00DC632C"/>
    <w:rsid w:val="00DC6F2E"/>
    <w:rsid w:val="00DC7112"/>
    <w:rsid w:val="00DC7523"/>
    <w:rsid w:val="00DD3837"/>
    <w:rsid w:val="00DD52AD"/>
    <w:rsid w:val="00DD6641"/>
    <w:rsid w:val="00DD6DF4"/>
    <w:rsid w:val="00DE0F65"/>
    <w:rsid w:val="00DE18C8"/>
    <w:rsid w:val="00DE18CF"/>
    <w:rsid w:val="00DE4F58"/>
    <w:rsid w:val="00DE7156"/>
    <w:rsid w:val="00DE75D2"/>
    <w:rsid w:val="00DF01ED"/>
    <w:rsid w:val="00DF1761"/>
    <w:rsid w:val="00DF2264"/>
    <w:rsid w:val="00DF3191"/>
    <w:rsid w:val="00DF4438"/>
    <w:rsid w:val="00DF4942"/>
    <w:rsid w:val="00E02388"/>
    <w:rsid w:val="00E1233D"/>
    <w:rsid w:val="00E13A2D"/>
    <w:rsid w:val="00E14B78"/>
    <w:rsid w:val="00E17600"/>
    <w:rsid w:val="00E17EC1"/>
    <w:rsid w:val="00E20C25"/>
    <w:rsid w:val="00E22A58"/>
    <w:rsid w:val="00E2334E"/>
    <w:rsid w:val="00E2777F"/>
    <w:rsid w:val="00E3270C"/>
    <w:rsid w:val="00E3275E"/>
    <w:rsid w:val="00E34133"/>
    <w:rsid w:val="00E3490A"/>
    <w:rsid w:val="00E34C3F"/>
    <w:rsid w:val="00E35BBA"/>
    <w:rsid w:val="00E35EAF"/>
    <w:rsid w:val="00E362AA"/>
    <w:rsid w:val="00E408A3"/>
    <w:rsid w:val="00E41852"/>
    <w:rsid w:val="00E43EB7"/>
    <w:rsid w:val="00E462C7"/>
    <w:rsid w:val="00E47227"/>
    <w:rsid w:val="00E4727D"/>
    <w:rsid w:val="00E4744C"/>
    <w:rsid w:val="00E47771"/>
    <w:rsid w:val="00E50449"/>
    <w:rsid w:val="00E51D4E"/>
    <w:rsid w:val="00E52CBC"/>
    <w:rsid w:val="00E54A8D"/>
    <w:rsid w:val="00E57233"/>
    <w:rsid w:val="00E60395"/>
    <w:rsid w:val="00E61B68"/>
    <w:rsid w:val="00E62D62"/>
    <w:rsid w:val="00E64508"/>
    <w:rsid w:val="00E64F0D"/>
    <w:rsid w:val="00E66455"/>
    <w:rsid w:val="00E67EF6"/>
    <w:rsid w:val="00E701C0"/>
    <w:rsid w:val="00E707B8"/>
    <w:rsid w:val="00E7105D"/>
    <w:rsid w:val="00E73BFC"/>
    <w:rsid w:val="00E74588"/>
    <w:rsid w:val="00E77A46"/>
    <w:rsid w:val="00E80C61"/>
    <w:rsid w:val="00E819A9"/>
    <w:rsid w:val="00E81CCA"/>
    <w:rsid w:val="00E82071"/>
    <w:rsid w:val="00E86EBF"/>
    <w:rsid w:val="00E925B9"/>
    <w:rsid w:val="00E97439"/>
    <w:rsid w:val="00EA0AC4"/>
    <w:rsid w:val="00EA14B3"/>
    <w:rsid w:val="00EA1FDA"/>
    <w:rsid w:val="00EA2D3B"/>
    <w:rsid w:val="00EA4386"/>
    <w:rsid w:val="00EA4D6D"/>
    <w:rsid w:val="00EA5FC6"/>
    <w:rsid w:val="00EA621A"/>
    <w:rsid w:val="00EA6CA2"/>
    <w:rsid w:val="00EB16D7"/>
    <w:rsid w:val="00EB189F"/>
    <w:rsid w:val="00EB2567"/>
    <w:rsid w:val="00EB26C4"/>
    <w:rsid w:val="00EB4210"/>
    <w:rsid w:val="00EB43F5"/>
    <w:rsid w:val="00EB5F53"/>
    <w:rsid w:val="00EB6FF4"/>
    <w:rsid w:val="00EC1DA9"/>
    <w:rsid w:val="00EC43D7"/>
    <w:rsid w:val="00EC5F7D"/>
    <w:rsid w:val="00EC701D"/>
    <w:rsid w:val="00EC709E"/>
    <w:rsid w:val="00EC770A"/>
    <w:rsid w:val="00EC7AE5"/>
    <w:rsid w:val="00ED2531"/>
    <w:rsid w:val="00ED5F88"/>
    <w:rsid w:val="00ED7DD9"/>
    <w:rsid w:val="00EE3221"/>
    <w:rsid w:val="00EE4624"/>
    <w:rsid w:val="00EE5EB2"/>
    <w:rsid w:val="00EE68E4"/>
    <w:rsid w:val="00EF36DD"/>
    <w:rsid w:val="00EF5127"/>
    <w:rsid w:val="00EF519B"/>
    <w:rsid w:val="00EF79CB"/>
    <w:rsid w:val="00F00A47"/>
    <w:rsid w:val="00F02097"/>
    <w:rsid w:val="00F0565C"/>
    <w:rsid w:val="00F05926"/>
    <w:rsid w:val="00F05CE4"/>
    <w:rsid w:val="00F0609B"/>
    <w:rsid w:val="00F06708"/>
    <w:rsid w:val="00F07D4B"/>
    <w:rsid w:val="00F11D63"/>
    <w:rsid w:val="00F142CA"/>
    <w:rsid w:val="00F14B94"/>
    <w:rsid w:val="00F14C60"/>
    <w:rsid w:val="00F14E97"/>
    <w:rsid w:val="00F15935"/>
    <w:rsid w:val="00F15FC0"/>
    <w:rsid w:val="00F163DA"/>
    <w:rsid w:val="00F17C5F"/>
    <w:rsid w:val="00F21598"/>
    <w:rsid w:val="00F21690"/>
    <w:rsid w:val="00F21A1D"/>
    <w:rsid w:val="00F26045"/>
    <w:rsid w:val="00F26298"/>
    <w:rsid w:val="00F26910"/>
    <w:rsid w:val="00F2775D"/>
    <w:rsid w:val="00F30517"/>
    <w:rsid w:val="00F30E6C"/>
    <w:rsid w:val="00F32176"/>
    <w:rsid w:val="00F328AD"/>
    <w:rsid w:val="00F350CF"/>
    <w:rsid w:val="00F35F5B"/>
    <w:rsid w:val="00F35F64"/>
    <w:rsid w:val="00F3678C"/>
    <w:rsid w:val="00F403F4"/>
    <w:rsid w:val="00F40412"/>
    <w:rsid w:val="00F4086C"/>
    <w:rsid w:val="00F4145A"/>
    <w:rsid w:val="00F41BCB"/>
    <w:rsid w:val="00F42B3E"/>
    <w:rsid w:val="00F4419D"/>
    <w:rsid w:val="00F46C24"/>
    <w:rsid w:val="00F471D6"/>
    <w:rsid w:val="00F47B70"/>
    <w:rsid w:val="00F506C5"/>
    <w:rsid w:val="00F51679"/>
    <w:rsid w:val="00F52608"/>
    <w:rsid w:val="00F5520B"/>
    <w:rsid w:val="00F56F76"/>
    <w:rsid w:val="00F574DB"/>
    <w:rsid w:val="00F6095B"/>
    <w:rsid w:val="00F627BB"/>
    <w:rsid w:val="00F62854"/>
    <w:rsid w:val="00F6419E"/>
    <w:rsid w:val="00F66317"/>
    <w:rsid w:val="00F66EDA"/>
    <w:rsid w:val="00F70873"/>
    <w:rsid w:val="00F71C4E"/>
    <w:rsid w:val="00F72191"/>
    <w:rsid w:val="00F7269E"/>
    <w:rsid w:val="00F76A3C"/>
    <w:rsid w:val="00F76D09"/>
    <w:rsid w:val="00F77426"/>
    <w:rsid w:val="00F801D2"/>
    <w:rsid w:val="00F80869"/>
    <w:rsid w:val="00F81BB7"/>
    <w:rsid w:val="00F82BDB"/>
    <w:rsid w:val="00F84C87"/>
    <w:rsid w:val="00F84CB8"/>
    <w:rsid w:val="00F900A7"/>
    <w:rsid w:val="00F9014D"/>
    <w:rsid w:val="00F92170"/>
    <w:rsid w:val="00F9222A"/>
    <w:rsid w:val="00F92831"/>
    <w:rsid w:val="00F93382"/>
    <w:rsid w:val="00F94ED6"/>
    <w:rsid w:val="00F9676E"/>
    <w:rsid w:val="00F96E53"/>
    <w:rsid w:val="00F9718F"/>
    <w:rsid w:val="00F97E0F"/>
    <w:rsid w:val="00FA0388"/>
    <w:rsid w:val="00FA2C56"/>
    <w:rsid w:val="00FA40C2"/>
    <w:rsid w:val="00FA41AC"/>
    <w:rsid w:val="00FA6F51"/>
    <w:rsid w:val="00FA70F9"/>
    <w:rsid w:val="00FB12AB"/>
    <w:rsid w:val="00FB1B8D"/>
    <w:rsid w:val="00FB3FA1"/>
    <w:rsid w:val="00FB40EF"/>
    <w:rsid w:val="00FB48A3"/>
    <w:rsid w:val="00FB75D3"/>
    <w:rsid w:val="00FC2A15"/>
    <w:rsid w:val="00FC47FB"/>
    <w:rsid w:val="00FC4B94"/>
    <w:rsid w:val="00FC5801"/>
    <w:rsid w:val="00FC5DD3"/>
    <w:rsid w:val="00FC6DDC"/>
    <w:rsid w:val="00FC78BB"/>
    <w:rsid w:val="00FC7EA5"/>
    <w:rsid w:val="00FD1622"/>
    <w:rsid w:val="00FD17E1"/>
    <w:rsid w:val="00FD36A4"/>
    <w:rsid w:val="00FD43DB"/>
    <w:rsid w:val="00FD5A26"/>
    <w:rsid w:val="00FD5E91"/>
    <w:rsid w:val="00FD7D00"/>
    <w:rsid w:val="00FE0135"/>
    <w:rsid w:val="00FE1703"/>
    <w:rsid w:val="00FE23F7"/>
    <w:rsid w:val="00FE5811"/>
    <w:rsid w:val="00FE6A19"/>
    <w:rsid w:val="00FE6E41"/>
    <w:rsid w:val="00FF22A2"/>
    <w:rsid w:val="00FF3F0F"/>
    <w:rsid w:val="00FF4FFF"/>
    <w:rsid w:val="00FF50CC"/>
    <w:rsid w:val="00FF5445"/>
    <w:rsid w:val="00FF7516"/>
    <w:rsid w:val="00FF7DE4"/>
    <w:rsid w:val="0398DBA1"/>
    <w:rsid w:val="049D20C8"/>
    <w:rsid w:val="05B3E05C"/>
    <w:rsid w:val="05C49CAC"/>
    <w:rsid w:val="06316D66"/>
    <w:rsid w:val="06D55610"/>
    <w:rsid w:val="0AF6CEFA"/>
    <w:rsid w:val="0DC114B3"/>
    <w:rsid w:val="0F136CD9"/>
    <w:rsid w:val="1023CF7E"/>
    <w:rsid w:val="10BECE0D"/>
    <w:rsid w:val="10FFACA6"/>
    <w:rsid w:val="1155A1C6"/>
    <w:rsid w:val="1205DC53"/>
    <w:rsid w:val="15303982"/>
    <w:rsid w:val="16B0D4C9"/>
    <w:rsid w:val="183AEF66"/>
    <w:rsid w:val="18EDC97A"/>
    <w:rsid w:val="1B36E5EB"/>
    <w:rsid w:val="1C5A4022"/>
    <w:rsid w:val="1C9DA2BB"/>
    <w:rsid w:val="20580D5C"/>
    <w:rsid w:val="22234075"/>
    <w:rsid w:val="227CE5F1"/>
    <w:rsid w:val="23477F1A"/>
    <w:rsid w:val="2400AD8C"/>
    <w:rsid w:val="29855AC2"/>
    <w:rsid w:val="29E67416"/>
    <w:rsid w:val="2A5D4D92"/>
    <w:rsid w:val="2AF2EC84"/>
    <w:rsid w:val="2AF7357D"/>
    <w:rsid w:val="2CF56396"/>
    <w:rsid w:val="2D32EC6C"/>
    <w:rsid w:val="2DC37362"/>
    <w:rsid w:val="2DEDDB55"/>
    <w:rsid w:val="2EB06505"/>
    <w:rsid w:val="2F176A74"/>
    <w:rsid w:val="2F8E6814"/>
    <w:rsid w:val="2FAB811D"/>
    <w:rsid w:val="30BC3F2A"/>
    <w:rsid w:val="310B3457"/>
    <w:rsid w:val="319BBA63"/>
    <w:rsid w:val="3272C95A"/>
    <w:rsid w:val="36DCF357"/>
    <w:rsid w:val="37031C92"/>
    <w:rsid w:val="3732F712"/>
    <w:rsid w:val="386CE516"/>
    <w:rsid w:val="3A991BC0"/>
    <w:rsid w:val="3BDA5D0D"/>
    <w:rsid w:val="3F83F486"/>
    <w:rsid w:val="3FAAF769"/>
    <w:rsid w:val="40DAD293"/>
    <w:rsid w:val="416F4C74"/>
    <w:rsid w:val="421F1714"/>
    <w:rsid w:val="42D6BCA7"/>
    <w:rsid w:val="43786351"/>
    <w:rsid w:val="44514457"/>
    <w:rsid w:val="47E83F90"/>
    <w:rsid w:val="48B6D77A"/>
    <w:rsid w:val="4BB10672"/>
    <w:rsid w:val="4C5CE663"/>
    <w:rsid w:val="4F24AEA5"/>
    <w:rsid w:val="51086345"/>
    <w:rsid w:val="51D2B5DA"/>
    <w:rsid w:val="53B17044"/>
    <w:rsid w:val="540D2B0F"/>
    <w:rsid w:val="54CBC573"/>
    <w:rsid w:val="5676177F"/>
    <w:rsid w:val="5679A872"/>
    <w:rsid w:val="576E3B12"/>
    <w:rsid w:val="59AF8B7C"/>
    <w:rsid w:val="5B2BE2D8"/>
    <w:rsid w:val="5BB73DE1"/>
    <w:rsid w:val="5BF6186F"/>
    <w:rsid w:val="5CE5DDB8"/>
    <w:rsid w:val="5D49268B"/>
    <w:rsid w:val="5EA8843C"/>
    <w:rsid w:val="5F501D87"/>
    <w:rsid w:val="5FBE57F5"/>
    <w:rsid w:val="633B188B"/>
    <w:rsid w:val="63AEB491"/>
    <w:rsid w:val="63C173CB"/>
    <w:rsid w:val="63F8CFB1"/>
    <w:rsid w:val="66564BBD"/>
    <w:rsid w:val="67419561"/>
    <w:rsid w:val="674DE690"/>
    <w:rsid w:val="676BB785"/>
    <w:rsid w:val="6A4A8912"/>
    <w:rsid w:val="6B298903"/>
    <w:rsid w:val="6B534ACA"/>
    <w:rsid w:val="6B626942"/>
    <w:rsid w:val="6BCA982F"/>
    <w:rsid w:val="6D97923A"/>
    <w:rsid w:val="71942EDC"/>
    <w:rsid w:val="73B5D3F8"/>
    <w:rsid w:val="75CE84AB"/>
    <w:rsid w:val="768A475B"/>
    <w:rsid w:val="76F1AFBC"/>
    <w:rsid w:val="779C2FB1"/>
    <w:rsid w:val="7900805D"/>
    <w:rsid w:val="79CD47B8"/>
    <w:rsid w:val="7A34AF9C"/>
    <w:rsid w:val="7A3A22DA"/>
    <w:rsid w:val="7C7F4197"/>
    <w:rsid w:val="7EC591A8"/>
    <w:rsid w:val="7F268B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CFC91ECB-4614-4563-918B-5D6151F8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3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6"/>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6"/>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6"/>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6"/>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nl-N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nl-NL"/>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nl-NL"/>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rt-commentedtext">
    <w:name w:val="rt-commentedtext"/>
    <w:basedOn w:val="DefaultParagraphFont"/>
    <w:rsid w:val="0009086D"/>
  </w:style>
  <w:style w:type="paragraph" w:customStyle="1" w:styleId="BVIfnrCarCarCarCarCharCharCharChar">
    <w:name w:val="BVI fnr Car Car Car Car Char Char Char Char"/>
    <w:basedOn w:val="Normal"/>
    <w:link w:val="FootnoteReference"/>
    <w:rsid w:val="00F32176"/>
    <w:pPr>
      <w:spacing w:before="0" w:after="160" w:line="240" w:lineRule="exact"/>
      <w:jc w:val="left"/>
    </w:pPr>
    <w:rPr>
      <w:rFonts w:asciiTheme="minorHAnsi" w:hAnsiTheme="minorHAnsi" w:cstheme="minorBidi"/>
      <w:sz w:val="22"/>
      <w:vertAlign w:val="superscript"/>
    </w:rPr>
  </w:style>
  <w:style w:type="paragraph" w:customStyle="1" w:styleId="ListNumber3Level2">
    <w:name w:val="List Number 3 (Level 2)"/>
    <w:basedOn w:val="Text3"/>
    <w:rsid w:val="00B05CE3"/>
    <w:pPr>
      <w:tabs>
        <w:tab w:val="num" w:pos="2268"/>
      </w:tabs>
      <w:ind w:left="2268" w:hanging="708"/>
    </w:pPr>
    <w:rPr>
      <w:rFonts w:eastAsia="Times New Roman"/>
      <w:lang w:eastAsia="de-DE"/>
    </w:rPr>
  </w:style>
  <w:style w:type="paragraph" w:customStyle="1" w:styleId="ListNumber3Level3">
    <w:name w:val="List Number 3 (Level 3)"/>
    <w:basedOn w:val="Text3"/>
    <w:rsid w:val="00B05CE3"/>
    <w:pPr>
      <w:tabs>
        <w:tab w:val="num" w:pos="2977"/>
      </w:tabs>
      <w:ind w:left="2977" w:hanging="709"/>
    </w:pPr>
    <w:rPr>
      <w:rFonts w:eastAsia="Times New Roman"/>
      <w:lang w:eastAsia="de-DE"/>
    </w:rPr>
  </w:style>
  <w:style w:type="paragraph" w:customStyle="1" w:styleId="ListNumber3Level4">
    <w:name w:val="List Number 3 (Level 4)"/>
    <w:basedOn w:val="Text3"/>
    <w:rsid w:val="00B05CE3"/>
    <w:pPr>
      <w:tabs>
        <w:tab w:val="num" w:pos="3686"/>
      </w:tabs>
      <w:ind w:left="3686" w:hanging="709"/>
    </w:pPr>
    <w:rPr>
      <w:rFonts w:eastAsia="Times New Roman"/>
      <w:lang w:eastAsia="de-DE"/>
    </w:rPr>
  </w:style>
  <w:style w:type="character" w:customStyle="1" w:styleId="UnresolvedMention">
    <w:name w:val="Unresolved Mention"/>
    <w:basedOn w:val="DefaultParagraphFont"/>
    <w:uiPriority w:val="99"/>
    <w:semiHidden/>
    <w:unhideWhenUsed/>
    <w:rsid w:val="006A3050"/>
    <w:rPr>
      <w:color w:val="605E5C"/>
      <w:shd w:val="clear" w:color="auto" w:fill="E1DFDD"/>
    </w:rPr>
  </w:style>
  <w:style w:type="character" w:styleId="FollowedHyperlink">
    <w:name w:val="FollowedHyperlink"/>
    <w:basedOn w:val="DefaultParagraphFont"/>
    <w:uiPriority w:val="99"/>
    <w:semiHidden/>
    <w:unhideWhenUsed/>
    <w:rsid w:val="00C752C6"/>
    <w:rPr>
      <w:color w:val="800080" w:themeColor="followedHyperlink"/>
      <w:u w:val="single"/>
    </w:rPr>
  </w:style>
  <w:style w:type="character" w:customStyle="1" w:styleId="HeaderChar">
    <w:name w:val="Header Char"/>
    <w:basedOn w:val="DefaultParagraphFont"/>
    <w:link w:val="Header"/>
    <w:uiPriority w:val="99"/>
    <w:rsid w:val="0052265F"/>
    <w:rPr>
      <w:rFonts w:ascii="Times New Roman" w:hAnsi="Times New Roman" w:cs="Times New Roman"/>
      <w:sz w:val="24"/>
      <w:lang w:val="nl-NL"/>
    </w:rPr>
  </w:style>
  <w:style w:type="character" w:customStyle="1" w:styleId="FooterChar">
    <w:name w:val="Footer Char"/>
    <w:basedOn w:val="DefaultParagraphFont"/>
    <w:link w:val="Footer"/>
    <w:uiPriority w:val="99"/>
    <w:rsid w:val="0052265F"/>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link w:val="BVIfnrCarCarCarCarCharCharCharChar"/>
    <w:uiPriority w:val="99"/>
    <w:semiHidden/>
    <w:unhideWhenUsed/>
    <w:rPr>
      <w:shd w:val="clear" w:color="auto" w:fill="auto"/>
      <w:vertAlign w:val="superscript"/>
    </w:rPr>
  </w:style>
  <w:style w:type="paragraph" w:customStyle="1" w:styleId="HeaderSensitivity">
    <w:name w:val="Header Sensitivity"/>
    <w:basedOn w:val="Normal"/>
    <w:rsid w:val="0052265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52265F"/>
    <w:pPr>
      <w:spacing w:before="0"/>
      <w:jc w:val="right"/>
    </w:pPr>
    <w:rPr>
      <w:sz w:val="28"/>
    </w:rPr>
  </w:style>
  <w:style w:type="paragraph" w:customStyle="1" w:styleId="FooterSensitivity">
    <w:name w:val="Footer Sensitivity"/>
    <w:basedOn w:val="Normal"/>
    <w:rsid w:val="0052265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9"/>
      </w:numPr>
    </w:pPr>
  </w:style>
  <w:style w:type="paragraph" w:customStyle="1" w:styleId="Tiret1">
    <w:name w:val="Tiret 1"/>
    <w:basedOn w:val="Point1"/>
    <w:pPr>
      <w:numPr>
        <w:numId w:val="30"/>
      </w:numPr>
    </w:pPr>
  </w:style>
  <w:style w:type="paragraph" w:customStyle="1" w:styleId="Tiret2">
    <w:name w:val="Tiret 2"/>
    <w:basedOn w:val="Point2"/>
    <w:pPr>
      <w:numPr>
        <w:numId w:val="31"/>
      </w:numPr>
    </w:pPr>
  </w:style>
  <w:style w:type="paragraph" w:customStyle="1" w:styleId="Tiret3">
    <w:name w:val="Tiret 3"/>
    <w:basedOn w:val="Point3"/>
    <w:pPr>
      <w:numPr>
        <w:numId w:val="32"/>
      </w:numPr>
    </w:pPr>
  </w:style>
  <w:style w:type="paragraph" w:customStyle="1" w:styleId="Tiret4">
    <w:name w:val="Tiret 4"/>
    <w:basedOn w:val="Point4"/>
    <w:pPr>
      <w:numPr>
        <w:numId w:val="33"/>
      </w:numPr>
    </w:pPr>
  </w:style>
  <w:style w:type="paragraph" w:customStyle="1" w:styleId="Tiret5">
    <w:name w:val="Tiret 5"/>
    <w:basedOn w:val="Point5"/>
    <w:pPr>
      <w:numPr>
        <w:numId w:val="3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5"/>
      </w:numPr>
    </w:pPr>
  </w:style>
  <w:style w:type="paragraph" w:customStyle="1" w:styleId="NumPar2">
    <w:name w:val="NumPar 2"/>
    <w:basedOn w:val="Normal"/>
    <w:next w:val="Text1"/>
    <w:pPr>
      <w:numPr>
        <w:ilvl w:val="1"/>
        <w:numId w:val="35"/>
      </w:numPr>
    </w:pPr>
  </w:style>
  <w:style w:type="paragraph" w:customStyle="1" w:styleId="NumPar3">
    <w:name w:val="NumPar 3"/>
    <w:basedOn w:val="Normal"/>
    <w:next w:val="Text1"/>
    <w:pPr>
      <w:numPr>
        <w:ilvl w:val="2"/>
        <w:numId w:val="35"/>
      </w:numPr>
    </w:pPr>
  </w:style>
  <w:style w:type="paragraph" w:customStyle="1" w:styleId="NumPar4">
    <w:name w:val="NumPar 4"/>
    <w:basedOn w:val="Normal"/>
    <w:next w:val="Text1"/>
    <w:pPr>
      <w:numPr>
        <w:ilvl w:val="3"/>
        <w:numId w:val="35"/>
      </w:numPr>
    </w:pPr>
  </w:style>
  <w:style w:type="paragraph" w:customStyle="1" w:styleId="NumPar5">
    <w:name w:val="NumPar 5"/>
    <w:basedOn w:val="Normal"/>
    <w:next w:val="Text2"/>
    <w:pPr>
      <w:numPr>
        <w:ilvl w:val="4"/>
        <w:numId w:val="35"/>
      </w:numPr>
    </w:pPr>
  </w:style>
  <w:style w:type="paragraph" w:customStyle="1" w:styleId="NumPar6">
    <w:name w:val="NumPar 6"/>
    <w:basedOn w:val="Normal"/>
    <w:next w:val="Text2"/>
    <w:pPr>
      <w:numPr>
        <w:ilvl w:val="5"/>
        <w:numId w:val="35"/>
      </w:numPr>
    </w:pPr>
  </w:style>
  <w:style w:type="paragraph" w:customStyle="1" w:styleId="NumPar7">
    <w:name w:val="NumPar 7"/>
    <w:basedOn w:val="Normal"/>
    <w:next w:val="Text2"/>
    <w:pPr>
      <w:numPr>
        <w:ilvl w:val="6"/>
        <w:numId w:val="3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7"/>
      </w:numPr>
    </w:pPr>
  </w:style>
  <w:style w:type="paragraph" w:customStyle="1" w:styleId="Point1number">
    <w:name w:val="Point 1 (number)"/>
    <w:basedOn w:val="Normal"/>
    <w:pPr>
      <w:numPr>
        <w:ilvl w:val="2"/>
        <w:numId w:val="37"/>
      </w:numPr>
    </w:pPr>
  </w:style>
  <w:style w:type="paragraph" w:customStyle="1" w:styleId="Point2number">
    <w:name w:val="Point 2 (number)"/>
    <w:basedOn w:val="Normal"/>
    <w:pPr>
      <w:numPr>
        <w:ilvl w:val="4"/>
        <w:numId w:val="37"/>
      </w:numPr>
    </w:pPr>
  </w:style>
  <w:style w:type="paragraph" w:customStyle="1" w:styleId="Point3number">
    <w:name w:val="Point 3 (number)"/>
    <w:basedOn w:val="Normal"/>
    <w:pPr>
      <w:numPr>
        <w:ilvl w:val="6"/>
        <w:numId w:val="37"/>
      </w:numPr>
    </w:pPr>
  </w:style>
  <w:style w:type="paragraph" w:customStyle="1" w:styleId="Point0letter">
    <w:name w:val="Point 0 (letter)"/>
    <w:basedOn w:val="Normal"/>
    <w:pPr>
      <w:numPr>
        <w:ilvl w:val="1"/>
        <w:numId w:val="37"/>
      </w:numPr>
    </w:pPr>
  </w:style>
  <w:style w:type="paragraph" w:customStyle="1" w:styleId="Point1letter">
    <w:name w:val="Point 1 (letter)"/>
    <w:basedOn w:val="Normal"/>
    <w:pPr>
      <w:numPr>
        <w:ilvl w:val="3"/>
        <w:numId w:val="37"/>
      </w:numPr>
    </w:pPr>
  </w:style>
  <w:style w:type="paragraph" w:customStyle="1" w:styleId="Point2letter">
    <w:name w:val="Point 2 (letter)"/>
    <w:basedOn w:val="Normal"/>
    <w:pPr>
      <w:numPr>
        <w:ilvl w:val="5"/>
        <w:numId w:val="37"/>
      </w:numPr>
    </w:pPr>
  </w:style>
  <w:style w:type="paragraph" w:customStyle="1" w:styleId="Point3letter">
    <w:name w:val="Point 3 (letter)"/>
    <w:basedOn w:val="Normal"/>
    <w:pPr>
      <w:numPr>
        <w:ilvl w:val="7"/>
        <w:numId w:val="37"/>
      </w:numPr>
    </w:pPr>
  </w:style>
  <w:style w:type="paragraph" w:customStyle="1" w:styleId="Point4letter">
    <w:name w:val="Point 4 (letter)"/>
    <w:basedOn w:val="Normal"/>
    <w:pPr>
      <w:numPr>
        <w:ilvl w:val="8"/>
        <w:numId w:val="37"/>
      </w:numPr>
    </w:pPr>
  </w:style>
  <w:style w:type="paragraph" w:customStyle="1" w:styleId="Bullet0">
    <w:name w:val="Bullet 0"/>
    <w:basedOn w:val="Normal"/>
    <w:pPr>
      <w:numPr>
        <w:numId w:val="38"/>
      </w:numPr>
    </w:pPr>
  </w:style>
  <w:style w:type="paragraph" w:customStyle="1" w:styleId="Bullet1">
    <w:name w:val="Bullet 1"/>
    <w:basedOn w:val="Normal"/>
    <w:pPr>
      <w:numPr>
        <w:numId w:val="39"/>
      </w:numPr>
    </w:pPr>
  </w:style>
  <w:style w:type="paragraph" w:customStyle="1" w:styleId="Bullet2">
    <w:name w:val="Bullet 2"/>
    <w:basedOn w:val="Normal"/>
    <w:pPr>
      <w:numPr>
        <w:numId w:val="40"/>
      </w:numPr>
    </w:pPr>
  </w:style>
  <w:style w:type="paragraph" w:customStyle="1" w:styleId="Bullet3">
    <w:name w:val="Bullet 3"/>
    <w:basedOn w:val="Normal"/>
    <w:pPr>
      <w:numPr>
        <w:numId w:val="41"/>
      </w:numPr>
    </w:pPr>
  </w:style>
  <w:style w:type="paragraph" w:customStyle="1" w:styleId="Bullet4">
    <w:name w:val="Bullet 4"/>
    <w:basedOn w:val="Normal"/>
    <w:pPr>
      <w:numPr>
        <w:numId w:val="4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52265F"/>
    <w:pPr>
      <w:tabs>
        <w:tab w:val="center" w:pos="4535"/>
        <w:tab w:val="right" w:pos="9071"/>
      </w:tabs>
      <w:spacing w:before="0"/>
    </w:pPr>
  </w:style>
  <w:style w:type="paragraph" w:customStyle="1" w:styleId="HeaderLandscape">
    <w:name w:val="HeaderLandscape"/>
    <w:basedOn w:val="Normal"/>
    <w:rsid w:val="0052265F"/>
    <w:pPr>
      <w:tabs>
        <w:tab w:val="center" w:pos="7285"/>
        <w:tab w:val="right" w:pos="14003"/>
      </w:tabs>
      <w:spacing w:before="0"/>
    </w:pPr>
  </w:style>
  <w:style w:type="paragraph" w:styleId="Footer">
    <w:name w:val="footer"/>
    <w:basedOn w:val="Normal"/>
    <w:link w:val="FooterChar"/>
    <w:uiPriority w:val="99"/>
    <w:unhideWhenUsed/>
    <w:rsid w:val="0052265F"/>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52265F"/>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8416">
      <w:bodyDiv w:val="1"/>
      <w:marLeft w:val="0"/>
      <w:marRight w:val="0"/>
      <w:marTop w:val="0"/>
      <w:marBottom w:val="0"/>
      <w:divBdr>
        <w:top w:val="none" w:sz="0" w:space="0" w:color="auto"/>
        <w:left w:val="none" w:sz="0" w:space="0" w:color="auto"/>
        <w:bottom w:val="none" w:sz="0" w:space="0" w:color="auto"/>
        <w:right w:val="none" w:sz="0" w:space="0" w:color="auto"/>
      </w:divBdr>
    </w:div>
    <w:div w:id="711611223">
      <w:bodyDiv w:val="1"/>
      <w:marLeft w:val="0"/>
      <w:marRight w:val="0"/>
      <w:marTop w:val="0"/>
      <w:marBottom w:val="0"/>
      <w:divBdr>
        <w:top w:val="none" w:sz="0" w:space="0" w:color="auto"/>
        <w:left w:val="none" w:sz="0" w:space="0" w:color="auto"/>
        <w:bottom w:val="none" w:sz="0" w:space="0" w:color="auto"/>
        <w:right w:val="none" w:sz="0" w:space="0" w:color="auto"/>
      </w:divBdr>
    </w:div>
    <w:div w:id="729697649">
      <w:bodyDiv w:val="1"/>
      <w:marLeft w:val="0"/>
      <w:marRight w:val="0"/>
      <w:marTop w:val="0"/>
      <w:marBottom w:val="0"/>
      <w:divBdr>
        <w:top w:val="none" w:sz="0" w:space="0" w:color="auto"/>
        <w:left w:val="none" w:sz="0" w:space="0" w:color="auto"/>
        <w:bottom w:val="none" w:sz="0" w:space="0" w:color="auto"/>
        <w:right w:val="none" w:sz="0" w:space="0" w:color="auto"/>
      </w:divBdr>
    </w:div>
    <w:div w:id="740518435">
      <w:bodyDiv w:val="1"/>
      <w:marLeft w:val="0"/>
      <w:marRight w:val="0"/>
      <w:marTop w:val="0"/>
      <w:marBottom w:val="0"/>
      <w:divBdr>
        <w:top w:val="none" w:sz="0" w:space="0" w:color="auto"/>
        <w:left w:val="none" w:sz="0" w:space="0" w:color="auto"/>
        <w:bottom w:val="none" w:sz="0" w:space="0" w:color="auto"/>
        <w:right w:val="none" w:sz="0" w:space="0" w:color="auto"/>
      </w:divBdr>
    </w:div>
    <w:div w:id="1151827816">
      <w:bodyDiv w:val="1"/>
      <w:marLeft w:val="0"/>
      <w:marRight w:val="0"/>
      <w:marTop w:val="0"/>
      <w:marBottom w:val="0"/>
      <w:divBdr>
        <w:top w:val="none" w:sz="0" w:space="0" w:color="auto"/>
        <w:left w:val="none" w:sz="0" w:space="0" w:color="auto"/>
        <w:bottom w:val="none" w:sz="0" w:space="0" w:color="auto"/>
        <w:right w:val="none" w:sz="0" w:space="0" w:color="auto"/>
      </w:divBdr>
    </w:div>
    <w:div w:id="1552031841">
      <w:bodyDiv w:val="1"/>
      <w:marLeft w:val="0"/>
      <w:marRight w:val="0"/>
      <w:marTop w:val="0"/>
      <w:marBottom w:val="0"/>
      <w:divBdr>
        <w:top w:val="none" w:sz="0" w:space="0" w:color="auto"/>
        <w:left w:val="none" w:sz="0" w:space="0" w:color="auto"/>
        <w:bottom w:val="none" w:sz="0" w:space="0" w:color="auto"/>
        <w:right w:val="none" w:sz="0" w:space="0" w:color="auto"/>
      </w:divBdr>
    </w:div>
    <w:div w:id="1845706332">
      <w:bodyDiv w:val="1"/>
      <w:marLeft w:val="0"/>
      <w:marRight w:val="0"/>
      <w:marTop w:val="0"/>
      <w:marBottom w:val="0"/>
      <w:divBdr>
        <w:top w:val="none" w:sz="0" w:space="0" w:color="auto"/>
        <w:left w:val="none" w:sz="0" w:space="0" w:color="auto"/>
        <w:bottom w:val="none" w:sz="0" w:space="0" w:color="auto"/>
        <w:right w:val="none" w:sz="0" w:space="0" w:color="auto"/>
      </w:divBdr>
    </w:div>
    <w:div w:id="20421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c99a0f-820b-402f-ba05-7944b8a6bab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013aa35d-30e5-41d1-9a7b-1c862c539650" xsi:nil="true"/>
    <Step xmlns="abc99a0f-820b-402f-ba05-7944b8a6bab9" xsi:nil="true"/>
    <Accesslevel xmlns="abc99a0f-820b-402f-ba05-7944b8a6bab9">A.1 only</Accesslevel>
    <Year xmlns="abc99a0f-820b-402f-ba05-7944b8a6bab9" xsi:nil="true"/>
    <Author0 xmlns="abc99a0f-820b-402f-ba05-7944b8a6bab9">
      <UserInfo>
        <DisplayName/>
        <AccountId xsi:nil="true"/>
        <AccountType/>
      </UserInfo>
    </Author0>
    <DG_x002f_Program xmlns="abc99a0f-820b-402f-ba05-7944b8a6bab9" xsi:nil="true"/>
    <FreeText xmlns="abc99a0f-820b-402f-ba05-7944b8a6ba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06F29D60921745BDA0DB9E90F71AB4" ma:contentTypeVersion="18" ma:contentTypeDescription="Crée un document." ma:contentTypeScope="" ma:versionID="1d90e9348d5f7700c4cdd49aaf137364">
  <xsd:schema xmlns:xsd="http://www.w3.org/2001/XMLSchema" xmlns:xs="http://www.w3.org/2001/XMLSchema" xmlns:p="http://schemas.microsoft.com/office/2006/metadata/properties" xmlns:ns2="abc99a0f-820b-402f-ba05-7944b8a6bab9" xmlns:ns3="013aa35d-30e5-41d1-9a7b-1c862c539650" targetNamespace="http://schemas.microsoft.com/office/2006/metadata/properties" ma:root="true" ma:fieldsID="1d8bda82c584f757992dc7399658de9a" ns2:_="" ns3:_="">
    <xsd:import namespace="abc99a0f-820b-402f-ba05-7944b8a6bab9"/>
    <xsd:import namespace="013aa35d-30e5-41d1-9a7b-1c862c539650"/>
    <xsd:element name="properties">
      <xsd:complexType>
        <xsd:sequence>
          <xsd:element name="documentManagement">
            <xsd:complexType>
              <xsd:all>
                <xsd:element ref="ns2:Author0" minOccurs="0"/>
                <xsd:element ref="ns2:Year" minOccurs="0"/>
                <xsd:element ref="ns2:FreeText" minOccurs="0"/>
                <xsd:element ref="ns2:Accesslevel" minOccurs="0"/>
                <xsd:element ref="ns2:MediaServiceMetadata" minOccurs="0"/>
                <xsd:element ref="ns2:MediaServiceFastMetadata" minOccurs="0"/>
                <xsd:element ref="ns2:MediaServiceSearchProperties" minOccurs="0"/>
                <xsd:element ref="ns2:MediaServiceObjectDetectorVersions" minOccurs="0"/>
                <xsd:element ref="ns2:Step"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DG_x002f_Progra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99a0f-820b-402f-ba05-7944b8a6bab9" elementFormDefault="qualified">
    <xsd:import namespace="http://schemas.microsoft.com/office/2006/documentManagement/types"/>
    <xsd:import namespace="http://schemas.microsoft.com/office/infopath/2007/PartnerControls"/>
    <xsd:element name="Author0" ma:index="8" nillable="true" ma:displayName="Author" ma:description="Select the lead author of this file"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Year" ma:index="9" nillable="true" ma:displayName="Year" ma:description="Add the year in which the file was created" ma:format="Dropdown" ma:internalName="Year">
      <xsd:simpleType>
        <xsd:restriction base="dms:Choice">
          <xsd:enumeration value="2023"/>
          <xsd:enumeration value="2024"/>
          <xsd:enumeration value="2025"/>
        </xsd:restriction>
      </xsd:simpleType>
    </xsd:element>
    <xsd:element name="FreeText" ma:index="10" nillable="true" ma:displayName="Free Text" ma:description="Use this for a comment on the file" ma:format="Dropdown" ma:internalName="FreeText">
      <xsd:simpleType>
        <xsd:restriction base="dms:Text">
          <xsd:maxLength value="255"/>
        </xsd:restriction>
      </xsd:simpleType>
    </xsd:element>
    <xsd:element name="Accesslevel" ma:index="11" nillable="true" ma:displayName="Access level Information" ma:default="A.1 only" ma:description="indicate which level of access has been granted to this file/folder" ma:format="Dropdown" ma:internalName="Accesslevel">
      <xsd:simpleType>
        <xsd:restriction base="dms:Choice">
          <xsd:enumeration value="A.1 only"/>
          <xsd:enumeration value="Ax"/>
          <xsd:enumeration value="BUDG"/>
          <xsd:enumeration value="COM"/>
          <xsd:enumeration value="External"/>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Step" ma:index="16" nillable="true" ma:displayName="Step" ma:description="Step in the annual budgetary procedure" ma:format="Dropdown" ma:internalName="Step">
      <xsd:simpleType>
        <xsd:restriction base="dms:Choice">
          <xsd:enumeration value="dab_01"/>
          <xsd:enumeration value="dab_02"/>
          <xsd:enumeration value="dab_03"/>
          <xsd:enumeration value="dab_04"/>
          <xsd:enumeration value="dab_05"/>
          <xsd:enumeration value="dab_06"/>
          <xsd:enumeration value="dab_07"/>
          <xsd:enumeration value="dab_08"/>
          <xsd:enumeration value="dab_09"/>
          <xsd:enumeration value="dab_10"/>
          <xsd:enumeration value="hearings"/>
          <xsd:enumeration value="draft_budget_1"/>
          <xsd:enumeration value="parliament_1"/>
          <xsd:enumeration value="council_1"/>
          <xsd:enumeration value="amending_letter_1"/>
          <xsd:enumeration value="amending_letter_2"/>
          <xsd:enumeration value="draft_budget_2"/>
          <xsd:enumeration value="parliament_2"/>
          <xsd:enumeration value="council_2"/>
          <xsd:enumeration value="budget"/>
          <xsd:enumeration value="tufp"/>
          <xsd:enumeration value="other"/>
        </xsd:restriction>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DG_x002f_Program" ma:index="25" nillable="true" ma:displayName="DG/Program " ma:format="Dropdown" ma:internalName="DG_x002f_Program">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3aa35d-30e5-41d1-9a7b-1c862c53965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89c4d62-6c3e-41b7-a1c5-852ed6395684}" ma:internalName="TaxCatchAll" ma:showField="CatchAllData" ma:web="013aa35d-30e5-41d1-9a7b-1c862c5396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F5D4A-1E8D-48D1-A1A1-D0E8B3B37683}">
  <ds:schemaRefs>
    <ds:schemaRef ds:uri="http://schemas.microsoft.com/office/2006/metadata/properties"/>
    <ds:schemaRef ds:uri="http://schemas.microsoft.com/office/infopath/2007/PartnerControls"/>
    <ds:schemaRef ds:uri="abc99a0f-820b-402f-ba05-7944b8a6bab9"/>
    <ds:schemaRef ds:uri="013aa35d-30e5-41d1-9a7b-1c862c539650"/>
  </ds:schemaRefs>
</ds:datastoreItem>
</file>

<file path=customXml/itemProps2.xml><?xml version="1.0" encoding="utf-8"?>
<ds:datastoreItem xmlns:ds="http://schemas.openxmlformats.org/officeDocument/2006/customXml" ds:itemID="{568EF81A-F4DE-4350-AA82-1759CE049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99a0f-820b-402f-ba05-7944b8a6bab9"/>
    <ds:schemaRef ds:uri="013aa35d-30e5-41d1-9a7b-1c862c5396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668AA-A246-4721-86EF-18772F8A59B1}">
  <ds:schemaRefs>
    <ds:schemaRef ds:uri="http://schemas.microsoft.com/sharepoint/v3/contenttype/forms"/>
  </ds:schemaRefs>
</ds:datastoreItem>
</file>

<file path=customXml/itemProps4.xml><?xml version="1.0" encoding="utf-8"?>
<ds:datastoreItem xmlns:ds="http://schemas.openxmlformats.org/officeDocument/2006/customXml" ds:itemID="{A41D5097-0872-4B70-8AEF-525D44215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25</TotalTime>
  <Pages>10</Pages>
  <Words>3430</Words>
  <Characters>19555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27</cp:revision>
  <dcterms:created xsi:type="dcterms:W3CDTF">2025-10-01T11:43:00Z</dcterms:created>
  <dcterms:modified xsi:type="dcterms:W3CDTF">2025-10-15T14:36:00Z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7.0.9.0</vt:lpwstr>
  </property>
  <property fmtid="{D5CDD505-2E9C-101B-9397-08002B2CF9AE}" pid="4" name="Last edited using">
    <vt:lpwstr>LW 9.1, Build 20240808</vt:lpwstr>
  </property>
  <property fmtid="{D5CDD505-2E9C-101B-9397-08002B2CF9AE}" pid="5" name="Created using">
    <vt:lpwstr>LW 7.0.1, Build 20190916</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SJ-026</vt:lpwstr>
  </property>
  <property fmtid="{D5CDD505-2E9C-101B-9397-08002B2CF9AE}" pid="10" name="MSIP_Label_6bd9ddd1-4d20-43f6-abfa-fc3c07406f94_Enabled">
    <vt:lpwstr>true</vt:lpwstr>
  </property>
  <property fmtid="{D5CDD505-2E9C-101B-9397-08002B2CF9AE}" pid="11" name="MSIP_Label_6bd9ddd1-4d20-43f6-abfa-fc3c07406f94_SetDate">
    <vt:lpwstr>2022-09-30T17:04:04Z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5c823862-67af-45e0-bec6-febb547b10cd</vt:lpwstr>
  </property>
  <property fmtid="{D5CDD505-2E9C-101B-9397-08002B2CF9AE}" pid="16" name="MSIP_Label_6bd9ddd1-4d20-43f6-abfa-fc3c07406f94_ContentBits">
    <vt:lpwstr>0</vt:lpwstr>
  </property>
  <property fmtid="{D5CDD505-2E9C-101B-9397-08002B2CF9AE}" pid="17" name="MediaServiceImageTags">
    <vt:lpwstr/>
  </property>
  <property fmtid="{D5CDD505-2E9C-101B-9397-08002B2CF9AE}" pid="18" name="ContentTypeId">
    <vt:lpwstr>0x0101000906F29D60921745BDA0DB9E90F71AB4</vt:lpwstr>
  </property>
  <property fmtid="{D5CDD505-2E9C-101B-9397-08002B2CF9AE}" pid="19" name="DQCStatus">
    <vt:lpwstr>Green (DQC version 03)</vt:lpwstr>
  </property>
</Properties>
</file>