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11C84" w14:textId="4534036E" w:rsidR="00095249" w:rsidRPr="00DB1118" w:rsidRDefault="002E522C" w:rsidP="002E522C">
      <w:pPr>
        <w:pStyle w:val="Pagedecouverture"/>
        <w:rPr>
          <w:noProof/>
        </w:rPr>
      </w:pPr>
      <w:r>
        <w:rPr>
          <w:noProof/>
        </w:rPr>
        <w:pict w14:anchorId="710EE0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159875-041D-442E-9A60-F5E9049247DA" style="width:455.25pt;height:355.5pt">
            <v:imagedata r:id="rId8" o:title=""/>
          </v:shape>
        </w:pict>
      </w:r>
    </w:p>
    <w:p w14:paraId="5CCFB91C" w14:textId="77777777" w:rsidR="00095249" w:rsidRPr="00DB1118" w:rsidRDefault="00095249" w:rsidP="00095249">
      <w:pPr>
        <w:rPr>
          <w:noProof/>
        </w:rPr>
        <w:sectPr w:rsidR="00095249" w:rsidRPr="00DB1118" w:rsidSect="002E522C">
          <w:footerReference w:type="even" r:id="rId9"/>
          <w:footerReference w:type="default" r:id="rId10"/>
          <w:pgSz w:w="11907" w:h="16839"/>
          <w:pgMar w:top="1134" w:right="1417" w:bottom="1134" w:left="1417" w:header="709" w:footer="709" w:gutter="0"/>
          <w:pgNumType w:start="0"/>
          <w:cols w:space="720"/>
          <w:docGrid w:linePitch="360"/>
        </w:sectPr>
      </w:pPr>
    </w:p>
    <w:p w14:paraId="130D609B" w14:textId="36EB9BD8" w:rsidR="00466EAE" w:rsidRPr="00DB1118" w:rsidRDefault="00DB1118" w:rsidP="00DB1118">
      <w:pPr>
        <w:pStyle w:val="Statut"/>
        <w:rPr>
          <w:noProof/>
        </w:rPr>
      </w:pPr>
      <w:bookmarkStart w:id="0" w:name="_GoBack"/>
      <w:bookmarkEnd w:id="0"/>
      <w:r w:rsidRPr="00DB1118">
        <w:rPr>
          <w:noProof/>
        </w:rPr>
        <w:lastRenderedPageBreak/>
        <w:t>Aanbeveling voor een</w:t>
      </w:r>
    </w:p>
    <w:p w14:paraId="033FCC97" w14:textId="66899023" w:rsidR="00466EAE" w:rsidRPr="00DB1118" w:rsidRDefault="00DB1118" w:rsidP="00DB1118">
      <w:pPr>
        <w:pStyle w:val="Typedudocument"/>
        <w:rPr>
          <w:noProof/>
        </w:rPr>
      </w:pPr>
      <w:r w:rsidRPr="00DB1118">
        <w:rPr>
          <w:noProof/>
        </w:rPr>
        <w:t>AANBEVELING VAN DE RAAD</w:t>
      </w:r>
    </w:p>
    <w:p w14:paraId="559835AE" w14:textId="23546D37" w:rsidR="00610106" w:rsidRPr="00DB1118" w:rsidRDefault="00DB1118" w:rsidP="00DB1118">
      <w:pPr>
        <w:pStyle w:val="Titreobjet"/>
        <w:rPr>
          <w:noProof/>
        </w:rPr>
      </w:pPr>
      <w:r w:rsidRPr="00DB1118">
        <w:rPr>
          <w:noProof/>
        </w:rPr>
        <w:t>inzake het economisch, sociaal, werkgelegenheids-, structuur- en begrotingsbeleid van Roemenië</w:t>
      </w:r>
    </w:p>
    <w:p w14:paraId="13175C4A" w14:textId="0F7AFDCB" w:rsidR="00466EAE" w:rsidRPr="00DB1118" w:rsidRDefault="00466EAE" w:rsidP="00D33426">
      <w:pPr>
        <w:pStyle w:val="Institutionquiagit"/>
        <w:rPr>
          <w:noProof/>
        </w:rPr>
      </w:pPr>
      <w:r w:rsidRPr="00DB1118">
        <w:rPr>
          <w:noProof/>
        </w:rPr>
        <w:t>DE RAAD VAN DE EUROPESE UNIE,</w:t>
      </w:r>
    </w:p>
    <w:p w14:paraId="023C3131" w14:textId="77777777" w:rsidR="00466EAE" w:rsidRPr="00DB1118" w:rsidRDefault="00466EAE" w:rsidP="00FF7FDC">
      <w:pPr>
        <w:rPr>
          <w:noProof/>
        </w:rPr>
      </w:pPr>
      <w:r w:rsidRPr="00DB1118">
        <w:rPr>
          <w:noProof/>
        </w:rPr>
        <w:t>Gezien het Verdrag betreffende de werking van de Europese Unie, en met name artikel 121, lid 2, en artikel 148, lid 4,</w:t>
      </w:r>
    </w:p>
    <w:p w14:paraId="5A37E204" w14:textId="77777777" w:rsidR="00466EAE" w:rsidRPr="00DB1118" w:rsidRDefault="00466EAE" w:rsidP="00FF7FDC">
      <w:pPr>
        <w:rPr>
          <w:noProof/>
        </w:rPr>
      </w:pPr>
      <w:r w:rsidRPr="00DB1118">
        <w:rPr>
          <w:noProof/>
        </w:rPr>
        <w:t>Gezien Verordening (EU) 2024/1263 van het Europees Parlement en de Raad van 29 april 2024 betreffende de doeltreffende coördinatie van het economisch beleid en betreffende het multilaterale begrotingstoezicht en tot intrekking van Verordening (EG) nr. 1466/97 van de Raad</w:t>
      </w:r>
      <w:r w:rsidRPr="00DB1118">
        <w:rPr>
          <w:rStyle w:val="FootnoteReference"/>
          <w:noProof/>
        </w:rPr>
        <w:footnoteReference w:id="2"/>
      </w:r>
      <w:r w:rsidRPr="00DB1118">
        <w:rPr>
          <w:noProof/>
        </w:rPr>
        <w:t>, en met name artikel 3, lid 3,</w:t>
      </w:r>
    </w:p>
    <w:p w14:paraId="2CE69CA8" w14:textId="77777777" w:rsidR="00466EAE" w:rsidRPr="00DB1118" w:rsidRDefault="00466EAE" w:rsidP="00466EAE">
      <w:pPr>
        <w:rPr>
          <w:noProof/>
        </w:rPr>
      </w:pPr>
      <w:r w:rsidRPr="00DB1118">
        <w:rPr>
          <w:noProof/>
        </w:rPr>
        <w:t>Gezien Verordening (EU) nr. 1176/2011 van het Europees Parlement en de Raad van 16 november 2011 betreffende de preventie en correctie van macro-economische onevenwichtigheden</w:t>
      </w:r>
      <w:r w:rsidRPr="00DB1118">
        <w:rPr>
          <w:rStyle w:val="FootnoteReference"/>
          <w:noProof/>
        </w:rPr>
        <w:footnoteReference w:id="3"/>
      </w:r>
      <w:r w:rsidRPr="00DB1118">
        <w:rPr>
          <w:noProof/>
        </w:rPr>
        <w:t>, en met name artikel 6, lid 1,</w:t>
      </w:r>
    </w:p>
    <w:p w14:paraId="2614A469" w14:textId="77777777" w:rsidR="00466EAE" w:rsidRPr="00DB1118" w:rsidRDefault="00466EAE" w:rsidP="00466EAE">
      <w:pPr>
        <w:rPr>
          <w:noProof/>
        </w:rPr>
      </w:pPr>
      <w:r w:rsidRPr="00DB1118">
        <w:rPr>
          <w:noProof/>
        </w:rPr>
        <w:t>Gezien de aanbeveling van de Europese Commissie,</w:t>
      </w:r>
    </w:p>
    <w:p w14:paraId="00F41FA6" w14:textId="77777777" w:rsidR="00466EAE" w:rsidRPr="00DB1118" w:rsidRDefault="00466EAE" w:rsidP="00466EAE">
      <w:pPr>
        <w:rPr>
          <w:noProof/>
        </w:rPr>
      </w:pPr>
      <w:r w:rsidRPr="00DB1118">
        <w:rPr>
          <w:noProof/>
        </w:rPr>
        <w:t>Gezien de resoluties van het Europees Parlement,</w:t>
      </w:r>
    </w:p>
    <w:p w14:paraId="306ECC11" w14:textId="77777777" w:rsidR="00466EAE" w:rsidRPr="00DB1118" w:rsidRDefault="00466EAE" w:rsidP="00466EAE">
      <w:pPr>
        <w:outlineLvl w:val="0"/>
        <w:rPr>
          <w:noProof/>
        </w:rPr>
      </w:pPr>
      <w:r w:rsidRPr="00DB1118">
        <w:rPr>
          <w:noProof/>
        </w:rPr>
        <w:t>Gezien de conclusies van de Europese Raad,</w:t>
      </w:r>
    </w:p>
    <w:p w14:paraId="25977AD3" w14:textId="77777777" w:rsidR="00466EAE" w:rsidRPr="00DB1118" w:rsidRDefault="00466EAE" w:rsidP="00466EAE">
      <w:pPr>
        <w:rPr>
          <w:noProof/>
        </w:rPr>
      </w:pPr>
      <w:r w:rsidRPr="00DB1118">
        <w:rPr>
          <w:noProof/>
        </w:rPr>
        <w:t>Gezien het advies van het Comité voor de werkgelegenheid,</w:t>
      </w:r>
    </w:p>
    <w:p w14:paraId="3F4FBD0B" w14:textId="77777777" w:rsidR="00466EAE" w:rsidRPr="00DB1118" w:rsidRDefault="00466EAE" w:rsidP="00466EAE">
      <w:pPr>
        <w:rPr>
          <w:noProof/>
        </w:rPr>
      </w:pPr>
      <w:r w:rsidRPr="00DB1118">
        <w:rPr>
          <w:noProof/>
        </w:rPr>
        <w:t>Gezien het advies van het Economisch en Financieel Comité,</w:t>
      </w:r>
    </w:p>
    <w:p w14:paraId="71141CA8" w14:textId="77777777" w:rsidR="00466EAE" w:rsidRPr="00DB1118" w:rsidRDefault="00466EAE" w:rsidP="00466EAE">
      <w:pPr>
        <w:rPr>
          <w:noProof/>
        </w:rPr>
      </w:pPr>
      <w:r w:rsidRPr="00DB1118">
        <w:rPr>
          <w:noProof/>
        </w:rPr>
        <w:t>Gezien het advies van het Comité voor sociale bescherming,</w:t>
      </w:r>
    </w:p>
    <w:p w14:paraId="2B9C5078" w14:textId="77777777" w:rsidR="00466EAE" w:rsidRPr="00DB1118" w:rsidRDefault="00466EAE" w:rsidP="00466EAE">
      <w:pPr>
        <w:rPr>
          <w:noProof/>
        </w:rPr>
      </w:pPr>
      <w:r w:rsidRPr="00DB1118">
        <w:rPr>
          <w:noProof/>
        </w:rPr>
        <w:t>Gezien het advies van het Comité voor de economische politiek,</w:t>
      </w:r>
    </w:p>
    <w:p w14:paraId="26C7D3C0" w14:textId="2C768BAD" w:rsidR="00466EAE" w:rsidRPr="00DB1118" w:rsidRDefault="00466EAE" w:rsidP="00466EAE">
      <w:pPr>
        <w:rPr>
          <w:noProof/>
        </w:rPr>
      </w:pPr>
      <w:r w:rsidRPr="00DB1118">
        <w:rPr>
          <w:noProof/>
        </w:rPr>
        <w:t>Overwegende hetgeen volgt:</w:t>
      </w:r>
    </w:p>
    <w:p w14:paraId="1A90A7DC" w14:textId="3CE8F126" w:rsidR="00F530C4" w:rsidRPr="00DB1118" w:rsidRDefault="00F530C4" w:rsidP="00F530C4">
      <w:pPr>
        <w:ind w:firstLine="709"/>
        <w:rPr>
          <w:b/>
          <w:bCs/>
          <w:noProof/>
        </w:rPr>
      </w:pPr>
      <w:r w:rsidRPr="00DB1118">
        <w:rPr>
          <w:b/>
          <w:noProof/>
        </w:rPr>
        <w:t>Algemene overwegingen</w:t>
      </w:r>
    </w:p>
    <w:p w14:paraId="74733241" w14:textId="746C97AD" w:rsidR="00294B1C" w:rsidRPr="00DB1118" w:rsidRDefault="00B24D5B" w:rsidP="00B24D5B">
      <w:pPr>
        <w:pStyle w:val="ManualConsidrant"/>
        <w:rPr>
          <w:rFonts w:eastAsia="Times New Roman"/>
          <w:noProof/>
        </w:rPr>
      </w:pPr>
      <w:r w:rsidRPr="00B24D5B">
        <w:rPr>
          <w:noProof/>
        </w:rPr>
        <w:t>(1)</w:t>
      </w:r>
      <w:r w:rsidRPr="00B24D5B">
        <w:rPr>
          <w:noProof/>
        </w:rPr>
        <w:tab/>
      </w:r>
      <w:r w:rsidR="7A493C96" w:rsidRPr="00DB1118">
        <w:rPr>
          <w:noProof/>
        </w:rPr>
        <w:t>In Verordening (EU) 2024/1263, die op 30 april 2024 in werking is getreden, worden de doelstellingen vermeld van het kader voor economische governance, waarmee wordt beoogd gezonde en houdbare overheidsfinanciën, duurzame en inclusieve groei en veerkracht te bevorderen door middel van hervormingen en investeringen, en buitensporige overheidstekorten te voorkomen. In de verordening is bepaald dat de Raad en de Commissie multilateraal toezicht uitoefenen in de context van het Europees Semester overeenkomstig de doelstellingen en vereisten van het VWEU. Het Europees Semester betreft met name de opstelling van en het toezicht op de uitvoering van landspecifieke aanbevelingen. De verordening bevordert ook de nationale verantwoordelijkheid voor het begrotingsbeleid en benadrukt de focus op de middellange termijn, in combinatie met een doeltreffendere en coherentere handhaving. Elke lidstaat moet bij de Raad en de Commissie een nationaal budgettair-structureel plan voor de middellange termijn indienen met zijn budgettaire, hervormings- en investeringsverbintenissen, over een periode van vier of vijf jaar, afhankelijk van de duur van de nationale legislatuurperiode. Het netto-uitgavenpad</w:t>
      </w:r>
      <w:r w:rsidR="7A493C96" w:rsidRPr="00DB1118">
        <w:rPr>
          <w:rStyle w:val="FootnoteReference"/>
          <w:rFonts w:eastAsia="Times"/>
          <w:noProof/>
        </w:rPr>
        <w:footnoteReference w:id="4"/>
      </w:r>
      <w:r w:rsidR="7A493C96" w:rsidRPr="00DB1118">
        <w:rPr>
          <w:noProof/>
        </w:rPr>
        <w:t xml:space="preserve"> in die plannen voor de middellange termijn moet voldoen aan de voorwaarden van de verordening, met inbegrip van de vereisten om de overheidsschuld aan het einde van de aanpassingsperiode op een plausibel neerwaarts pad te brengen of te houden of op een prudent niveau onder 60 % van het bruto binnenlands product (bbp) te houden en om het overheidstekort op middellange termijn onder de in het Verdrag vastgelegde referentiewaarde van 3 % van het bbp te brengen en/of te houden. Indien een lidstaat zich overeenkomstig de criteria van de verordening verbindt tot relevante hervormingen en investeringen, kan de aanpassingsperiode met maximaal drie jaar worden verlengd.</w:t>
      </w:r>
    </w:p>
    <w:p w14:paraId="5B134384" w14:textId="0BDB3AD4" w:rsidR="00466EAE" w:rsidRPr="00DB1118" w:rsidRDefault="00B24D5B" w:rsidP="00B24D5B">
      <w:pPr>
        <w:pStyle w:val="ManualConsidrant"/>
        <w:rPr>
          <w:noProof/>
        </w:rPr>
      </w:pPr>
      <w:r w:rsidRPr="00B24D5B">
        <w:rPr>
          <w:noProof/>
        </w:rPr>
        <w:t>(2)</w:t>
      </w:r>
      <w:r w:rsidRPr="00B24D5B">
        <w:rPr>
          <w:noProof/>
        </w:rPr>
        <w:tab/>
      </w:r>
      <w:r w:rsidR="14094508" w:rsidRPr="00DB1118">
        <w:rPr>
          <w:noProof/>
        </w:rPr>
        <w:t>Verordening (EU) 2021/241 van het Europees Parlement en de Raad</w:t>
      </w:r>
      <w:r w:rsidR="14094508" w:rsidRPr="00DB1118">
        <w:rPr>
          <w:rStyle w:val="FootnoteReference"/>
          <w:noProof/>
        </w:rPr>
        <w:footnoteReference w:id="5"/>
      </w:r>
      <w:r w:rsidR="14094508" w:rsidRPr="00DB1118">
        <w:rPr>
          <w:noProof/>
        </w:rPr>
        <w:t>, waarbij de herstel- en veerkrachtfaciliteit (“de RRF”) is ingesteld, is op 19 februari 2021 in werking getreden. De RRF biedt de lidstaten financiële ondersteuning voor de uitvoering van hervormingen en investeringen, en biedt door de Unie gefinancierde budgettaire stimulansen. Conform de prioriteiten van het Europees Semester voor de coördinatie van het economisch beleid, stimuleert de RRF het economisch en sociaal herstel alsmede duurzame hervormingen en investeringen, met name om de groene en de digitale transitie te bevorderen en de economieën van de lidstaten veerkrachtiger te maken. Zij helpt ook de overheidsfinanciën te versterken en de groei en werkgelegenheid op middellange en lange termijn te stimuleren, de territoriale cohesie binnen de Unie te verbeteren en de verdere uitvoering van de Europese pijler van sociale rechten te ondersteunen.</w:t>
      </w:r>
    </w:p>
    <w:p w14:paraId="0D1205D5" w14:textId="7015B55A" w:rsidR="00466EAE" w:rsidRPr="00DB1118" w:rsidRDefault="00B24D5B" w:rsidP="00B24D5B">
      <w:pPr>
        <w:pStyle w:val="ManualConsidrant"/>
        <w:rPr>
          <w:noProof/>
        </w:rPr>
      </w:pPr>
      <w:r w:rsidRPr="00B24D5B">
        <w:rPr>
          <w:noProof/>
        </w:rPr>
        <w:t>(3)</w:t>
      </w:r>
      <w:r w:rsidRPr="00B24D5B">
        <w:rPr>
          <w:noProof/>
        </w:rPr>
        <w:tab/>
      </w:r>
      <w:r w:rsidR="36FB125C" w:rsidRPr="00DB1118">
        <w:rPr>
          <w:noProof/>
        </w:rPr>
        <w:t>Verordening (EU) 2023/435 van het Europees Parlement en de Raad</w:t>
      </w:r>
      <w:r w:rsidR="36FB125C" w:rsidRPr="00DB1118">
        <w:rPr>
          <w:rStyle w:val="FootnoteReference"/>
          <w:noProof/>
        </w:rPr>
        <w:footnoteReference w:id="6"/>
      </w:r>
      <w:r w:rsidR="36FB125C" w:rsidRPr="00DB1118">
        <w:rPr>
          <w:noProof/>
        </w:rPr>
        <w:t xml:space="preserve"> (“de REPowerEU-verordening”), die op 27 februari 2023 is vastgesteld, heeft tot doel de Unie geleidelijk onafhankelijker te maken van de invoer van Russische fossiele brandstoffen. Dat draagt bij tot de energiezekerheid en de diversificatie van de energievoorziening van de Unie en vergroot het gebruik van hernieuwbare energiebronnen, de opslagcapaciteit voor energie en de energie-efficiëntie. Roemenië heeft een nieuw REPowerEU-hoofdstuk toegevoegd aan zijn nationale herstel- en veerkrachtplan om belangrijke hervormingen en investeringen te financieren die de REPowerEU-doelstellingen helpen verwezenlijken.</w:t>
      </w:r>
    </w:p>
    <w:p w14:paraId="07767EEB" w14:textId="192308CF" w:rsidR="00466EAE" w:rsidRPr="00DB1118" w:rsidRDefault="00B24D5B" w:rsidP="00B24D5B">
      <w:pPr>
        <w:pStyle w:val="ManualConsidrant"/>
        <w:rPr>
          <w:noProof/>
        </w:rPr>
      </w:pPr>
      <w:r w:rsidRPr="00B24D5B">
        <w:rPr>
          <w:noProof/>
        </w:rPr>
        <w:t>(4)</w:t>
      </w:r>
      <w:r w:rsidRPr="00B24D5B">
        <w:rPr>
          <w:noProof/>
        </w:rPr>
        <w:tab/>
      </w:r>
      <w:r w:rsidR="36FB125C" w:rsidRPr="00DB1118">
        <w:rPr>
          <w:noProof/>
        </w:rPr>
        <w:t>Op 31 mei 2021 heeft Roemenië overeenkomstig artikel 18, lid 1, van Verordening (EU) 2021/241 zijn herstel- en veerkrachtplan ingediend bij de Commissie. Op grond van artikel 19 van die verordening heeft de Commissie de relevantie, doeltreffendheid, efficiëntie en samenhang van het herstel- en veerkrachtplan beoordeeld overeenkomstig de in bijlage V opgenomen beoordelingsrichtsnoeren. Op 29 oktober 2021 heeft de Raad zijn uitvoeringsbesluit tot goedkeuring van de beoordeling van het herstel- en veerkrachtplan voor Roemenië</w:t>
      </w:r>
      <w:r w:rsidR="36FB125C" w:rsidRPr="00DB1118">
        <w:rPr>
          <w:rStyle w:val="FootnoteReference"/>
          <w:noProof/>
        </w:rPr>
        <w:footnoteReference w:id="7"/>
      </w:r>
      <w:r w:rsidR="36FB125C" w:rsidRPr="00DB1118">
        <w:rPr>
          <w:noProof/>
        </w:rPr>
        <w:t xml:space="preserve"> vastgesteld, dat op 8 december 2023 werd gewijzigd op grond van artikel 18, lid 2, om de maximale financiële bijdrage voor niet terug te betalen financiële steun bij te werken en het REPowerEU-hoofdstuk erin op te nemen</w:t>
      </w:r>
      <w:r w:rsidR="36FB125C" w:rsidRPr="00DB1118">
        <w:rPr>
          <w:rStyle w:val="FootnoteReference"/>
          <w:noProof/>
        </w:rPr>
        <w:footnoteReference w:id="8"/>
      </w:r>
      <w:r w:rsidR="36FB125C" w:rsidRPr="00DB1118">
        <w:rPr>
          <w:noProof/>
        </w:rPr>
        <w:t>. De tranches worden vrijgegeven als de Commissie overeenkomstig artikel 24, lid 5, verklaart dat Roemenië de desbetreffende in het uitvoeringsbesluit van de Raad vastgelegde mijlpalen en streefdoelen op bevredigende wijze heeft verwezenlijkt. Voor een bevredigende verwezenlijking is vereist dat de verwezenlijking van eerdere mijlpalen en streefdoelen voor dezelfde hervorming of investering niet is teruggedraaid.</w:t>
      </w:r>
    </w:p>
    <w:p w14:paraId="3C7C8F0B" w14:textId="6CC693DA" w:rsidR="00CA2810" w:rsidRPr="00DB1118" w:rsidRDefault="00B24D5B" w:rsidP="00B24D5B">
      <w:pPr>
        <w:pStyle w:val="ManualConsidrant"/>
        <w:rPr>
          <w:noProof/>
        </w:rPr>
      </w:pPr>
      <w:r w:rsidRPr="00B24D5B">
        <w:rPr>
          <w:noProof/>
        </w:rPr>
        <w:t>(5)</w:t>
      </w:r>
      <w:r w:rsidRPr="00B24D5B">
        <w:rPr>
          <w:noProof/>
        </w:rPr>
        <w:tab/>
      </w:r>
      <w:r w:rsidR="66670F25" w:rsidRPr="00DB1118">
        <w:rPr>
          <w:noProof/>
        </w:rPr>
        <w:t>Op 21 januari 2025 heeft de Raad, op aanbeveling van de Commissie, een aanbeveling vastgesteld tot goedkeuring van het nationale budgettair-structurele plan voor de middellange termijn van Roemenië</w:t>
      </w:r>
      <w:r w:rsidR="66670F25" w:rsidRPr="00DB1118">
        <w:rPr>
          <w:rStyle w:val="FootnoteReference"/>
          <w:rFonts w:eastAsia="Times"/>
          <w:noProof/>
        </w:rPr>
        <w:footnoteReference w:id="9"/>
      </w:r>
      <w:r w:rsidR="66670F25" w:rsidRPr="00DB1118">
        <w:rPr>
          <w:noProof/>
        </w:rPr>
        <w:t>. Het plan is ingediend in overeenstemming met artikel 11 en artikel 36, lid 1, punt a), van Verordening (EU) 2024/1263, heeft betrekking op de periode van 2025 tot 2028 en omvat een over zeven jaar gespreide begrotingsaanpassing.</w:t>
      </w:r>
    </w:p>
    <w:p w14:paraId="0F4C7BA3" w14:textId="7367B639" w:rsidR="00466EAE" w:rsidRPr="00DB1118" w:rsidRDefault="00B24D5B" w:rsidP="00B24D5B">
      <w:pPr>
        <w:pStyle w:val="ManualConsidrant"/>
        <w:rPr>
          <w:noProof/>
        </w:rPr>
      </w:pPr>
      <w:r w:rsidRPr="00B24D5B">
        <w:rPr>
          <w:noProof/>
        </w:rPr>
        <w:t>(6)</w:t>
      </w:r>
      <w:r w:rsidRPr="00B24D5B">
        <w:rPr>
          <w:noProof/>
        </w:rPr>
        <w:tab/>
      </w:r>
      <w:r w:rsidR="49518281" w:rsidRPr="00DB1118">
        <w:rPr>
          <w:noProof/>
        </w:rPr>
        <w:t>Op 26 november 2024 heeft de Commissie op basis van Verordening (EU) nr. 1176/2011 ook het waarschuwingsmechanismeverslag 2025 aangenomen, waarin zij Roemenië heeft genoemd als een van de lidstaten waarvoor een diepgaande evaluatie nodig zou zijn. De Commissie heeft ook een aanbeveling vastgesteld voor een aanbeveling van de Raad over het economisch beleid van de eurozone, en een voorstel gedaan voor het gezamenlijk verslag over de werkgelegenheid voor 2025, waarin de uitvoering van de werkgelegenheidsrichtsnoeren en de beginselen van de Europese pijler van sociale rechten wordt geanalyseerd. De Raad heeft de aanbeveling over het economisch beleid van de eurozone</w:t>
      </w:r>
      <w:r w:rsidR="49518281" w:rsidRPr="00DB1118">
        <w:rPr>
          <w:rStyle w:val="FootnoteReference"/>
          <w:noProof/>
        </w:rPr>
        <w:footnoteReference w:id="10"/>
      </w:r>
      <w:r w:rsidR="49518281" w:rsidRPr="00DB1118">
        <w:rPr>
          <w:noProof/>
        </w:rPr>
        <w:t xml:space="preserve"> vastgesteld op 13 mei 2025 en het gezamenlijk verslag over de werkgelegenheid goedgekeurd op 10 maart 2025. </w:t>
      </w:r>
    </w:p>
    <w:p w14:paraId="042FD6BD" w14:textId="2B0B812F" w:rsidR="00466EAE" w:rsidRPr="00DB1118" w:rsidRDefault="00B24D5B" w:rsidP="00B24D5B">
      <w:pPr>
        <w:pStyle w:val="ManualConsidrant"/>
        <w:rPr>
          <w:noProof/>
        </w:rPr>
      </w:pPr>
      <w:r w:rsidRPr="00B24D5B">
        <w:rPr>
          <w:noProof/>
        </w:rPr>
        <w:t>(7)</w:t>
      </w:r>
      <w:r w:rsidRPr="00B24D5B">
        <w:rPr>
          <w:noProof/>
        </w:rPr>
        <w:tab/>
      </w:r>
      <w:r w:rsidR="36FB125C" w:rsidRPr="00DB1118">
        <w:rPr>
          <w:noProof/>
        </w:rPr>
        <w:t>Op 29 januari 2025 heeft de Commissie het kompas voor concurrentievermogen gepubliceerd, een strategisch kader dat de komende vijf jaar het mondiale concurrentievermogen van de EU moet stimuleren. Daarin worden de drie transformatieve voorwaarden voor duurzame economische groei vastgesteld: i) innovatie; ii) decarbonisatie en concurrentievermogen; en iii) veiligheid. Om de innovatiekloof te dichten, streeft de EU ernaar industriële innovatie te stimuleren, de groei van start-ups te ondersteunen door middel van initiatieven zoals de EU-strategie voor start-ups en scale-ups, en de invoering van geavanceerde technologieën zoals artificiële intelligentie en kwantumcomputing te bevorderen. Met het oog op een groenere economie heeft de Commissie een alomvattend actieplan voor betaalbare energie en een Clean Industrial Deal uiteengezet, opdat de overgang naar schone energie kosteneffectief en concurrentievriendelijk blijft, met name voor energie-intensieve sectoren, en een motor is voor groei. Om buitensporige afhankelijkheden te verminderen en de veiligheid te vergroten, zet de Unie zich in voor sterkere mondiale handelspartnerschappen, gediversifieerde toeleveringsketens en een veilige toegang tot kritieke grondstoffen en schone energiebronnen. Die prioriteiten worden geschraagd door horizontale enablers, namelijk een vereenvoudiging van de regelgeving, een verdieping van de eengemaakte markt, de financiering van het concurrentievermogen en een spaar- en investeringsunie, het bevorderen van vaardigheden en hoogwaardige banen, en een betere coördinatie van het EU-beleid. Het kompas voor concurrentievermogen is afgestemd op het Europees Semester en zorgt ervoor dat het economisch beleid van de lidstaten in overeenstemming is met de strategische doelstellingen van de Commissie, waarbij een uniforme aanpak van economische governance wordt opgezet ter bevordering van duurzame groei, innovatie en veerkracht in de Unie.</w:t>
      </w:r>
    </w:p>
    <w:p w14:paraId="6ED6458E" w14:textId="11C69AA5" w:rsidR="00610106" w:rsidRPr="00DB1118" w:rsidRDefault="00B24D5B" w:rsidP="00B24D5B">
      <w:pPr>
        <w:pStyle w:val="ManualConsidrant"/>
        <w:rPr>
          <w:rFonts w:eastAsia="Times New Roman"/>
          <w:noProof/>
        </w:rPr>
      </w:pPr>
      <w:r w:rsidRPr="00B24D5B">
        <w:rPr>
          <w:noProof/>
        </w:rPr>
        <w:t>(8)</w:t>
      </w:r>
      <w:r w:rsidRPr="00B24D5B">
        <w:rPr>
          <w:noProof/>
        </w:rPr>
        <w:tab/>
      </w:r>
      <w:r w:rsidR="248335FF" w:rsidRPr="00DB1118">
        <w:rPr>
          <w:noProof/>
        </w:rPr>
        <w:t xml:space="preserve">In 2025 blijft het Europees Semester voor coördinatie van het economisch beleid zich ontwikkelen naast de uitvoering van de RRF. De volledige uitvoering van de herstel- en veerkrachtplannen blijft essentieel voor de verwezenlijking van de beleidsprioriteiten in het kader van het Europees Semester, aangezien de plannen helpen bij het doeltreffend aanpakken van alle of een aanzienlijk deel van de problemen die zijn aangehaald in de relevante landspecifieke aanbevelingen die in de afgelopen jaren zijn gedaan. </w:t>
      </w:r>
      <w:r w:rsidR="248335FF" w:rsidRPr="00DB1118">
        <w:rPr>
          <w:noProof/>
          <w:color w:val="000000" w:themeColor="text1"/>
        </w:rPr>
        <w:t>Deze landspecifieke aanbevelingen blijven</w:t>
      </w:r>
      <w:r w:rsidR="248335FF" w:rsidRPr="00DB1118">
        <w:rPr>
          <w:noProof/>
        </w:rPr>
        <w:t xml:space="preserve"> evenzeer van belang voor de beoordeling van de gewijzigde herstel- en veerkrachtplannen overeenkomstig artikel 21 van Verordening (EU) 2021/241.</w:t>
      </w:r>
      <w:bookmarkStart w:id="1" w:name="_Hlk191293652"/>
    </w:p>
    <w:p w14:paraId="27A5A8A8" w14:textId="1CE4D4DB" w:rsidR="00610106" w:rsidRPr="00DB1118" w:rsidRDefault="00B24D5B" w:rsidP="00B24D5B">
      <w:pPr>
        <w:pStyle w:val="ManualConsidrant"/>
        <w:rPr>
          <w:noProof/>
        </w:rPr>
      </w:pPr>
      <w:r w:rsidRPr="00B24D5B">
        <w:rPr>
          <w:noProof/>
        </w:rPr>
        <w:t>(9)</w:t>
      </w:r>
      <w:r w:rsidRPr="00B24D5B">
        <w:rPr>
          <w:noProof/>
        </w:rPr>
        <w:tab/>
      </w:r>
      <w:r w:rsidR="56BB7CC5" w:rsidRPr="00DB1118">
        <w:rPr>
          <w:noProof/>
        </w:rPr>
        <w:t>De landspecifieke aanbevelingen 2025 hebben betrekking op alle belangrijke uitdagingen op het gebied van economisch beleid die niet voldoende worden aangepakt met maatregelen in de herstel- en veerkrachtplannen, met inachtneming van de relevante uitdagingen in de landspecifieke aanbevelingen van 2019-2024.</w:t>
      </w:r>
    </w:p>
    <w:bookmarkEnd w:id="1"/>
    <w:p w14:paraId="1D9C29E4" w14:textId="0E639200" w:rsidR="008A674E" w:rsidRPr="00DB1118" w:rsidRDefault="00B24D5B" w:rsidP="00B24D5B">
      <w:pPr>
        <w:pStyle w:val="ManualConsidrant"/>
        <w:rPr>
          <w:noProof/>
        </w:rPr>
      </w:pPr>
      <w:r w:rsidRPr="00B24D5B">
        <w:rPr>
          <w:noProof/>
        </w:rPr>
        <w:t>(10)</w:t>
      </w:r>
      <w:r w:rsidRPr="00B24D5B">
        <w:rPr>
          <w:noProof/>
        </w:rPr>
        <w:tab/>
      </w:r>
      <w:r w:rsidR="128CE52D" w:rsidRPr="00DB1118">
        <w:rPr>
          <w:noProof/>
        </w:rPr>
        <w:t xml:space="preserve">Op 4 juni 2025 heeft de Commissie het landverslag 2025 voor Roemenië gepubliceerd. Daarin werd de vooruitgang beoordeeld die Roemenië heeft geboekt bij de uitvoering van de desbetreffende landspecifieke aanbevelingen en werd de balans opgemaakt van de uitvoering door Roemenië van het herstel- en veerkrachtplan. Op basis van die analyse zijn in het landverslag de dringendste uitdagingen voor Roemenië in kaart gebracht. Ook werd de vooruitgang beoordeeld die Roemenië heeft geboekt bij de uitvoering van de Europese pijler van sociale rechten en bij de verwezenlijking van de kerndoelen van de Unie inzake werkgelegenheid, vaardigheden en armoedebestrijding, alsook bij de verwezenlijking van de duurzameontwikkelingsdoelstellingen van de Verenigde Naties. </w:t>
      </w:r>
    </w:p>
    <w:p w14:paraId="0AFFC927" w14:textId="6619FF49" w:rsidR="008A674E" w:rsidRPr="00DB1118" w:rsidRDefault="00B24D5B" w:rsidP="00B24D5B">
      <w:pPr>
        <w:pStyle w:val="ManualConsidrant"/>
        <w:rPr>
          <w:noProof/>
          <w:color w:val="000000" w:themeColor="text1"/>
        </w:rPr>
      </w:pPr>
      <w:r w:rsidRPr="00B24D5B">
        <w:rPr>
          <w:noProof/>
        </w:rPr>
        <w:t>(11)</w:t>
      </w:r>
      <w:r w:rsidRPr="00B24D5B">
        <w:rPr>
          <w:noProof/>
        </w:rPr>
        <w:tab/>
      </w:r>
      <w:r w:rsidR="485EB194" w:rsidRPr="00DB1118">
        <w:rPr>
          <w:noProof/>
        </w:rPr>
        <w:t xml:space="preserve">De Commissie heeft uit hoofde van artikel 5 van Verordening (EU) nr. 1176/2011 een diepgaande evaluatie uitgevoerd voor Roemenië. De belangrijkste bevindingen van de beoordeling door de Commissie van macro-economische kwetsbaarheden voor Roemenië voor de toepassing van die verordening zijn gepubliceerd </w:t>
      </w:r>
      <w:r w:rsidR="485EB194" w:rsidRPr="00DB1118">
        <w:rPr>
          <w:noProof/>
          <w:color w:val="000000" w:themeColor="text1"/>
        </w:rPr>
        <w:t>op 13 mei 2025</w:t>
      </w:r>
      <w:r w:rsidR="485EB194" w:rsidRPr="00DB1118">
        <w:rPr>
          <w:rStyle w:val="FootnoteReference"/>
          <w:noProof/>
          <w:color w:val="000000" w:themeColor="text1"/>
        </w:rPr>
        <w:footnoteReference w:id="11"/>
      </w:r>
      <w:r w:rsidR="485EB194" w:rsidRPr="00DB1118">
        <w:rPr>
          <w:noProof/>
          <w:color w:val="000000" w:themeColor="text1"/>
        </w:rPr>
        <w:t>. De Commissie heeft op 4 juni 2025 geconcludeerd dat Roemenië wordt geconfronteerd met buitensporige macro-economische onevenwichtigheden. De kwetsbare positie van het land is in 2024 met name verergerd doordat de tekorten in de begroting en op de lopende rekening groter werden en het kostenconcurrentievermogen verslechterde. Het hoge overheidstekort is in 2024 gestegen. De aanhoudende stijging van het overheidstekort, met name de stijging van de lonen en pensioenen van ambtenaren, heeft geleid tot een toename van de particuliere consumptie en van het toch al grote tekort op de lopende rekening. Na de al zeer hoge groeicijfers in voorgaande jaren, zette de stijging van de arbeidskosten per eenheid product zich in 2024 voort, met een uitholling van het kostenconcurrentievermogen tot gevolg. De soliditeit van de externe financieringsmix, gebaseerd op aanzienlijke netto buitenlandse directe investeringen en EU-middelen die de stijging van de externe schuld inperken, is in 2024 verminderd. Naar verwachting zullen de overheidsschuld en het tekort op de lopende rekening in 2025 en 2026 slechts marginaal dalen. De loonkosten per eenheid product en de inflatie zullen naar verwachting minder hard stijgen, maar hoog blijven. Op het gebied van beleid werd in 2024 minimale vooruitgang geboekt en de risico’s voor de macro-economische stabiliteit namen toe. Eind vorig jaar nam de politieke onzekerheid toe, waardoor het land kwetsbaar werd voor veranderingen in het beleggerssentiment en hogere financieringskosten. De verwevenheid tussen banken en de staat behoort tot de sterkste in de EU en is in 2024 verder toegenomen. Het omvangrijke begrotingsconsolidatiepakket dat eind 2024 werd aangenomen en in het kader waarvan onder meer de pensioenen en lonen van ambtenaren worden bevroren, moet nog worden aangevuld met verdere maatregelen om te waarborgen dat de doelstellingen uit het budgettair-structurele plan voor de middellange termijn volledig worden gerealiseerd. Begin 2025 is een hervorming van het mechanisme voor de vaststelling van minimumlonen goedgekeurd. Als in 2025 het budgettair-structurele plan voor de middellange termijn en een belastinghervorming worden uitgevoerd, zou de begroting aanzienlijk minder kwetsbaar worden. Daarnaast moeten structurele hervormingen, met name degene die zijn opgenomen in het herstel- en veerkrachtplan, worden doorgevoerd om het concurrentievermogen en de uitvoerprestaties te versterken en verdere EU-financiering aan te trekken. Waarschijnlijk moeten echter nog aanvullende maatregelen worden getroffen. Al met al zullen het begrotingstekort en het externe tekort waarschijnlijk te hoog blijven als niet doortastend werk wordt gemaakt van zowel budgettaire als structurele hervormingen, met als gevolg dat Roemenië zeer gevoelig is voor veranderingen in het beleggerssentiment en exogene schokken.</w:t>
      </w:r>
    </w:p>
    <w:p w14:paraId="3B8E9801" w14:textId="58223CAE" w:rsidR="00AA38AC" w:rsidRPr="00DB1118" w:rsidRDefault="00AA38AC" w:rsidP="00DA0B2F">
      <w:pPr>
        <w:ind w:firstLine="709"/>
        <w:rPr>
          <w:b/>
          <w:bCs/>
          <w:noProof/>
        </w:rPr>
      </w:pPr>
      <w:r w:rsidRPr="00DB1118">
        <w:rPr>
          <w:b/>
          <w:noProof/>
        </w:rPr>
        <w:t>Beoordeling van het jaarlijks voortgangsverslag</w:t>
      </w:r>
    </w:p>
    <w:p w14:paraId="38850CAD" w14:textId="30130E57" w:rsidR="00D4665F" w:rsidRPr="00DB1118" w:rsidRDefault="00B24D5B" w:rsidP="00B24D5B">
      <w:pPr>
        <w:pStyle w:val="ManualConsidrant"/>
        <w:rPr>
          <w:noProof/>
          <w:vertAlign w:val="superscript"/>
        </w:rPr>
      </w:pPr>
      <w:r w:rsidRPr="00B24D5B">
        <w:rPr>
          <w:noProof/>
        </w:rPr>
        <w:t>(12)</w:t>
      </w:r>
      <w:r w:rsidRPr="00B24D5B">
        <w:rPr>
          <w:noProof/>
        </w:rPr>
        <w:tab/>
      </w:r>
      <w:r w:rsidR="2635DA7F" w:rsidRPr="00DB1118">
        <w:rPr>
          <w:noProof/>
        </w:rPr>
        <w:t>Op 21 januari 2025 heeft de Raad de volgende maximale groeipercentages van de netto-uitgaven voor Roemenië aanbevolen: 5,1 % in 2025, 4,9 % in 2026, 4,7 % in 2027 en 4,3 % in 2028. Deze komen overeen met de maximale cumulatieve groeipercentages die zijn berekend ten opzichte van 2023: 20,2 % in 2025, 26,0 % in 2026, 31,9 % in 2027 en 37,6 % in 2028. In de periode 2025-2030 komen deze maximale groeipercentages van de netto-uitgaven overeen met het correctief pad als bedoeld in artikel 3, lid 4, van Verordening (EG) nr. 1467/97, zoals op 21 januari 2025 door de Raad aanbevolen om het buitensporige tekort te verhelpen</w:t>
      </w:r>
      <w:r w:rsidR="2635DA7F" w:rsidRPr="00DB1118">
        <w:rPr>
          <w:rStyle w:val="FootnoteReference"/>
          <w:rFonts w:eastAsia="Times New Roman"/>
          <w:noProof/>
        </w:rPr>
        <w:footnoteReference w:id="12"/>
      </w:r>
      <w:r w:rsidR="2635DA7F" w:rsidRPr="00DB1118">
        <w:rPr>
          <w:noProof/>
        </w:rPr>
        <w:t>. Roemenië heeft nog geen jaarlijks voortgangsverslag ingediend over de maatregelen die zijn getroffen naar aanleiding van de aanbeveling van de Raad van 21 januari 2025 om het buitensporige overheidstekort in Roemenië te verhelpen, over de uitvoering van de reeks hervormingen en investeringen die ten grondslag liggen aan de verlenging van de aanpassingsperiode en over de uitvoering van hervormingen en investeringen in antwoord op de belangrijkste uitdagingen die in de landspecifieke aanbevelingen van het Europees Semester zijn vastgesteld.</w:t>
      </w:r>
    </w:p>
    <w:p w14:paraId="63441AD1" w14:textId="4E65BD11" w:rsidR="00D4665F" w:rsidRPr="00DB1118" w:rsidRDefault="00B24D5B" w:rsidP="00B24D5B">
      <w:pPr>
        <w:pStyle w:val="ManualConsidrant"/>
        <w:rPr>
          <w:noProof/>
        </w:rPr>
      </w:pPr>
      <w:r w:rsidRPr="00B24D5B">
        <w:rPr>
          <w:noProof/>
        </w:rPr>
        <w:t>(13)</w:t>
      </w:r>
      <w:r w:rsidRPr="00B24D5B">
        <w:rPr>
          <w:noProof/>
        </w:rPr>
        <w:tab/>
      </w:r>
      <w:r w:rsidR="2635DA7F" w:rsidRPr="00DB1118">
        <w:rPr>
          <w:noProof/>
        </w:rPr>
        <w:t>De Russische aanvalsoorlog tegen Oekraïne en de gevolgen daarvan vormen een existentiële uitdaging voor de Europese Unie. De Commissie heeft aanbevolen de nationale ontsnappingsclausule van het stabiliteits- en groeipact op gecoördineerde wijze te activeren ter ondersteuning van de inspanningen van de EU om tot een snelle en aanzienlijke verhoging van de defensie-uitgaven te komen. Dit voorstel werd door de Europese Raad van 6 maart 2025 toegejuicht.</w:t>
      </w:r>
    </w:p>
    <w:p w14:paraId="2A5E4A8B" w14:textId="53154F2B" w:rsidR="00D4665F" w:rsidRPr="00DB1118" w:rsidRDefault="00B24D5B" w:rsidP="00B24D5B">
      <w:pPr>
        <w:pStyle w:val="ManualConsidrant"/>
        <w:rPr>
          <w:noProof/>
          <w:color w:val="000000" w:themeColor="text1"/>
        </w:rPr>
      </w:pPr>
      <w:r w:rsidRPr="00B24D5B">
        <w:rPr>
          <w:noProof/>
        </w:rPr>
        <w:t>(14)</w:t>
      </w:r>
      <w:r w:rsidRPr="00B24D5B">
        <w:rPr>
          <w:noProof/>
        </w:rPr>
        <w:tab/>
      </w:r>
      <w:r w:rsidR="2635DA7F" w:rsidRPr="00DB1118">
        <w:rPr>
          <w:noProof/>
        </w:rPr>
        <w:t>Volgens door Eurostat gevalideerde gegevens</w:t>
      </w:r>
      <w:r w:rsidR="2635DA7F" w:rsidRPr="00DB1118">
        <w:rPr>
          <w:rStyle w:val="FootnoteReference"/>
          <w:rFonts w:eastAsia="Times New Roman"/>
          <w:noProof/>
        </w:rPr>
        <w:footnoteReference w:id="13"/>
      </w:r>
      <w:r w:rsidR="2635DA7F" w:rsidRPr="00DB1118">
        <w:rPr>
          <w:noProof/>
        </w:rPr>
        <w:t xml:space="preserve"> is het overheidstekort van Roemenië gestegen van 6,6 % van het bbp in 2023 tot 9,3 % in 2024, terwijl de overheidsschuld is gestegen van 48,9 % van het bbp eind 2023 tot 54,8 % eind 2024. Volgens de berekeningen van de Commissie komen deze ontwikkelingen overeen met een groei van de netto-uitgaven van 19,9 % in 2024</w:t>
      </w:r>
      <w:r w:rsidR="2635DA7F" w:rsidRPr="00DB1118">
        <w:rPr>
          <w:noProof/>
          <w:vertAlign w:val="superscript"/>
        </w:rPr>
        <w:t xml:space="preserve">. </w:t>
      </w:r>
      <w:r w:rsidR="2635DA7F" w:rsidRPr="00DB1118">
        <w:rPr>
          <w:noProof/>
        </w:rPr>
        <w:t xml:space="preserve"> </w:t>
      </w:r>
      <w:r w:rsidR="2635DA7F" w:rsidRPr="00DB1118">
        <w:rPr>
          <w:noProof/>
          <w:color w:val="000000" w:themeColor="text1"/>
        </w:rPr>
        <w:t>Volgens de ramingen van de Commissie was de begrotingskoers</w:t>
      </w:r>
      <w:r w:rsidR="2635DA7F" w:rsidRPr="00DB1118">
        <w:rPr>
          <w:rStyle w:val="FootnoteReference"/>
          <w:rFonts w:eastAsia="Times New Roman"/>
          <w:noProof/>
          <w:color w:val="000000" w:themeColor="text1"/>
        </w:rPr>
        <w:footnoteReference w:id="14"/>
      </w:r>
      <w:r w:rsidR="2635DA7F" w:rsidRPr="00DB1118">
        <w:rPr>
          <w:noProof/>
          <w:color w:val="000000" w:themeColor="text1"/>
        </w:rPr>
        <w:t>, die nationaal gefinancierde en door de EU gefinancierde uitgaven omvat, in 2024 expansief, met 0,8 % van het bbp.</w:t>
      </w:r>
    </w:p>
    <w:p w14:paraId="0AF11AA5" w14:textId="2E88D9B9" w:rsidR="00D4665F" w:rsidRPr="00DB1118" w:rsidRDefault="00B24D5B" w:rsidP="00B24D5B">
      <w:pPr>
        <w:pStyle w:val="ManualConsidrant"/>
        <w:rPr>
          <w:noProof/>
        </w:rPr>
      </w:pPr>
      <w:r w:rsidRPr="00B24D5B">
        <w:rPr>
          <w:noProof/>
        </w:rPr>
        <w:t>(15)</w:t>
      </w:r>
      <w:r w:rsidRPr="00B24D5B">
        <w:rPr>
          <w:noProof/>
        </w:rPr>
        <w:tab/>
      </w:r>
      <w:r w:rsidR="2635DA7F" w:rsidRPr="00DB1118">
        <w:rPr>
          <w:noProof/>
        </w:rPr>
        <w:t>Volgens de voorjaarsprognoses 2025 van de Commissie zal het reële bbp in 2025 groeien met 1,4 % en in 2026 met 2,2 %, met een GICP-inflatie van 5,1 % in 2025 en 3,9 % in 2026.</w:t>
      </w:r>
    </w:p>
    <w:p w14:paraId="205A3CB3" w14:textId="3BAB1D1E" w:rsidR="00D4665F" w:rsidRPr="00DB1118" w:rsidRDefault="00B24D5B" w:rsidP="00B24D5B">
      <w:pPr>
        <w:pStyle w:val="ManualConsidrant"/>
        <w:rPr>
          <w:noProof/>
          <w:color w:val="000000" w:themeColor="text1"/>
        </w:rPr>
      </w:pPr>
      <w:r w:rsidRPr="00B24D5B">
        <w:rPr>
          <w:noProof/>
        </w:rPr>
        <w:t>(16)</w:t>
      </w:r>
      <w:r w:rsidRPr="00B24D5B">
        <w:rPr>
          <w:noProof/>
        </w:rPr>
        <w:tab/>
      </w:r>
      <w:r w:rsidR="2635DA7F" w:rsidRPr="00DB1118">
        <w:rPr>
          <w:noProof/>
          <w:color w:val="000000" w:themeColor="text1"/>
        </w:rPr>
        <w:t xml:space="preserve">In de voorjaarsprognoses 2025 van de Commissie wordt uitgegaan van een overheidstekort van 8,6 % van het bbp voor 2025. </w:t>
      </w:r>
      <w:r w:rsidR="2635DA7F" w:rsidRPr="00DB1118">
        <w:rPr>
          <w:noProof/>
        </w:rPr>
        <w:t>De verwachte daling van het tekort in 2025 is voornamelijk het gevolg van de uitvoering eind 2024 van een pakket voor begrotingsconsolidatie. Dit pakket omvatte een nominale bevriezing van lonen en pensioenen en een aantal aanvullende inkomstenverhogende maatregelen. Volgens de berekeningen van de Commissie komen deze ontwikkelingen overeen met een groei van de netto-uitgaven van 5,4 % in 2025.</w:t>
      </w:r>
      <w:r w:rsidR="2635DA7F" w:rsidRPr="00DB1118">
        <w:rPr>
          <w:noProof/>
          <w:color w:val="000000" w:themeColor="text1"/>
        </w:rPr>
        <w:t xml:space="preserve"> Volgens de prognoses van de Commissie zal de begrotingskoers, die nationaal gefinancierde en door de EU gefinancierde uitgaven omvat, in 2025 contractief zijn, met 1,4 % van het bbp, en zal de overheidsschuldquote eind 2025 zijn gestegen tot 59,4 %. </w:t>
      </w:r>
      <w:r w:rsidR="2635DA7F" w:rsidRPr="00DB1118">
        <w:rPr>
          <w:noProof/>
        </w:rPr>
        <w:t xml:space="preserve">De stijging van de schuldquote in 2025 is voornamelijk het gevolg van het zeer hoge primaire tekort en, in mindere mate, van een stijging van de rentebetalingen. </w:t>
      </w:r>
    </w:p>
    <w:p w14:paraId="24A6956F" w14:textId="44458FD1" w:rsidR="00D4665F" w:rsidRPr="00DB1118" w:rsidRDefault="00B24D5B" w:rsidP="00B24D5B">
      <w:pPr>
        <w:pStyle w:val="ManualConsidrant"/>
        <w:rPr>
          <w:noProof/>
        </w:rPr>
      </w:pPr>
      <w:r w:rsidRPr="00B24D5B">
        <w:rPr>
          <w:noProof/>
        </w:rPr>
        <w:t>(17)</w:t>
      </w:r>
      <w:r w:rsidRPr="00B24D5B">
        <w:rPr>
          <w:noProof/>
        </w:rPr>
        <w:tab/>
      </w:r>
      <w:r w:rsidR="2635DA7F" w:rsidRPr="00DB1118">
        <w:rPr>
          <w:noProof/>
        </w:rPr>
        <w:t>Volgens de voorjaarsprognoses 2025 van de Commissie zullen in 2025 overheidsuitgaven ten belope van 0,9 % van het bbp worden gefinancierd met niet-terugbetaalbare steun (subsidies) uit de herstel- en veerkrachtfaciliteit, tegenover 0,6 % van het bbp in 2024. Met subsidies van de herstel- en veerkrachtfaciliteit gefinancierde uitgaven worden hoogwaardige investeringen en productiviteitsverhogende hervormingen mogelijk gemaakt zonder rechtstreekse gevolgen voor het overheidssaldo en de overheidsschuld van Roemenië.</w:t>
      </w:r>
    </w:p>
    <w:p w14:paraId="4264CCC9" w14:textId="5A59DB79" w:rsidR="00D4665F" w:rsidRPr="00DB1118" w:rsidRDefault="00B24D5B" w:rsidP="00B24D5B">
      <w:pPr>
        <w:pStyle w:val="ManualConsidrant"/>
        <w:rPr>
          <w:noProof/>
        </w:rPr>
      </w:pPr>
      <w:r w:rsidRPr="00B24D5B">
        <w:rPr>
          <w:noProof/>
        </w:rPr>
        <w:t>(18)</w:t>
      </w:r>
      <w:r w:rsidRPr="00B24D5B">
        <w:rPr>
          <w:noProof/>
        </w:rPr>
        <w:tab/>
      </w:r>
      <w:r w:rsidR="2635DA7F" w:rsidRPr="00DB1118">
        <w:rPr>
          <w:noProof/>
        </w:rPr>
        <w:t>De defensie-uitgaven van de overheid bedroegen 1,9  % van het bbp in 2021, 1,8 % van het bbp in 2022 en 1,7 % van het bbp in 2023</w:t>
      </w:r>
      <w:r w:rsidR="2635DA7F" w:rsidRPr="00DB1118">
        <w:rPr>
          <w:rStyle w:val="FootnoteReference"/>
          <w:rFonts w:eastAsia="Times New Roman"/>
          <w:noProof/>
        </w:rPr>
        <w:footnoteReference w:id="15"/>
      </w:r>
      <w:r w:rsidR="2635DA7F" w:rsidRPr="00DB1118">
        <w:rPr>
          <w:noProof/>
        </w:rPr>
        <w:t>. Volgens de voorjaarsprognoses 2025 van de Commissie zullen de defensie-uitgaven in zowel 2024 als</w:t>
      </w:r>
      <w:r w:rsidR="2635DA7F" w:rsidRPr="00DB1118">
        <w:rPr>
          <w:rFonts w:ascii="Calibri" w:hAnsi="Calibri"/>
          <w:noProof/>
        </w:rPr>
        <w:t xml:space="preserve"> </w:t>
      </w:r>
      <w:r w:rsidR="2635DA7F" w:rsidRPr="00DB1118">
        <w:rPr>
          <w:noProof/>
        </w:rPr>
        <w:t>2025 1,7 % van het bbp bedragen. Dit komt overeen met een daling van 0,2 procentpunten van het bbp ten opzichte van 2021.</w:t>
      </w:r>
    </w:p>
    <w:p w14:paraId="068B72DA" w14:textId="31530E57" w:rsidR="00D4665F" w:rsidRPr="00DB1118" w:rsidRDefault="00B24D5B" w:rsidP="00B24D5B">
      <w:pPr>
        <w:pStyle w:val="ManualConsidrant"/>
        <w:rPr>
          <w:noProof/>
        </w:rPr>
      </w:pPr>
      <w:r w:rsidRPr="00B24D5B">
        <w:rPr>
          <w:noProof/>
        </w:rPr>
        <w:t>(19)</w:t>
      </w:r>
      <w:r w:rsidRPr="00B24D5B">
        <w:rPr>
          <w:noProof/>
        </w:rPr>
        <w:tab/>
      </w:r>
      <w:r w:rsidR="2635DA7F" w:rsidRPr="00DB1118">
        <w:rPr>
          <w:noProof/>
        </w:rPr>
        <w:t>Op 21 oktober 2024 heeft de Raad Roemenië aanbevolen</w:t>
      </w:r>
      <w:r w:rsidR="2635DA7F" w:rsidRPr="00DB1118">
        <w:rPr>
          <w:rStyle w:val="FootnoteReference"/>
          <w:rFonts w:eastAsia="Times New Roman"/>
          <w:noProof/>
        </w:rPr>
        <w:footnoteReference w:id="16"/>
      </w:r>
      <w:r w:rsidR="2635DA7F" w:rsidRPr="00DB1118">
        <w:rPr>
          <w:noProof/>
        </w:rPr>
        <w:t xml:space="preserve"> een strakker begrotingsbeleid te voeren met het oog op een begrotingsaanpassing voor 2024 als geheel. In 2024 steeg het structurele tekort in Roemenië met 2,4 procentpunten tot 8,8 % van het bbp. Volgens de voorjaarsprognoses 2025 van de Commissie zullen de netto-uitgaven in Roemenië in 2025 met 5,4 % en in 2024 en 2025 cumulatief met 26,4 % toenemen. Volgens de voorjaarsprognoses 2025 van de Commissie zal de groei van de netto-uitgaven van Roemenië in 2025, zowel op jaarbasis als in cumulatieve termen, hoger zijn dan het aanbevolen maximale groeipercentage dat is vastgesteld in het kader van het correctief pad, met een afwijking</w:t>
      </w:r>
      <w:r w:rsidR="2635DA7F" w:rsidRPr="00DB1118">
        <w:rPr>
          <w:rStyle w:val="FootnoteReference"/>
          <w:rFonts w:eastAsia="Times New Roman"/>
          <w:noProof/>
        </w:rPr>
        <w:footnoteReference w:id="17"/>
      </w:r>
      <w:r w:rsidR="2635DA7F" w:rsidRPr="00DB1118">
        <w:rPr>
          <w:noProof/>
        </w:rPr>
        <w:t xml:space="preserve"> van 0,1 % van het bbp ten opzichte van de maximale aanbevolen jaarlijkse groei van de netto-uitgaven in 2025 en een afwijking van 1,7 % van het bbp ten opzichte van de aanbevolen maximale cumulatieve groei van de netto-uitgaven in 2024 en 2025. Deze sterke toename van de netto-uitgaven is toe te schrijven aan een sterke stijging van de lopende uitgaven in 2024 (+ 18,7 % ten opzichte van 2023), in het bijzonder degene die verband houden met loonkosten van ambtenaren (+ 21,5 % ten opzichte van 2023) en sociale overdrachten, met inbegrip van pensioenen (+ 19,5 % ten opzichte van 2023). De verwachte afwijkingen komen niet boven de drempel van 0,3 % van het bbp voor jaarlijkse afwijkingen, maar overschrijden de drempel van 0,6 % van het bbp voor cumulatieve afwijkingen wel ruim. Dit wil zeggen dat de kans groot is dat sprake zal zijn van een aanzienlijke afwijking van de aanbevolen maximale groei van de netto-uitgaven en dat een sterk vermoeden bestaat dat geen doeltreffende maatregelen worden getroffen. </w:t>
      </w:r>
    </w:p>
    <w:p w14:paraId="58E93AED" w14:textId="4A7C74E1" w:rsidR="00D4665F" w:rsidRPr="00DB1118" w:rsidRDefault="00B24D5B" w:rsidP="00B24D5B">
      <w:pPr>
        <w:pStyle w:val="ManualConsidrant"/>
        <w:rPr>
          <w:noProof/>
        </w:rPr>
      </w:pPr>
      <w:r w:rsidRPr="00B24D5B">
        <w:rPr>
          <w:noProof/>
        </w:rPr>
        <w:t>(20)</w:t>
      </w:r>
      <w:r w:rsidRPr="00B24D5B">
        <w:rPr>
          <w:noProof/>
        </w:rPr>
        <w:tab/>
      </w:r>
      <w:r w:rsidR="2635DA7F" w:rsidRPr="00DB1118">
        <w:rPr>
          <w:noProof/>
        </w:rPr>
        <w:t>Op basis van de op de afsluitdatum van de prognoses bekende beleidsmaatregelen wordt in de voorjaarsprognoses 2025 van de Commissie uitgegaan van een overheidstekort van 8,4 % van het bbp in 2026. Deze ontwikkelingen komen overeen met een groei van de netto-uitgaven met 8,1 % in 2026. De daling van het tekort in 2026 is voornamelijk het gevolg van een sterkere groei van de overheidsontvangsten als gevolg van het verwachte herstel van de economische activiteit. Volgens de ramingen van de Commissie zal de begrotingskoers, die nationaal gefinancierde en door de EU gefinancierde uitgaven omvat, in 2026 grotendeels neutraal zijn. Begrotingsconsolidatie kan ook bijdragen tot een verbetering van de externe positie. De Commissie verwacht dat de overheidsschuldquote eind 2026 zal zijn gestegen tot 63,3 %. De toename van de schuldquote in 2026 is voornamelijk het gevolg van een nog steeds zeer hoog primair tekort.</w:t>
      </w:r>
    </w:p>
    <w:p w14:paraId="5B310A4A" w14:textId="59631DD6" w:rsidR="00D4665F" w:rsidRPr="00DB1118" w:rsidRDefault="00B24D5B" w:rsidP="00B24D5B">
      <w:pPr>
        <w:pStyle w:val="ManualConsidrant"/>
        <w:rPr>
          <w:noProof/>
        </w:rPr>
      </w:pPr>
      <w:r w:rsidRPr="00B24D5B">
        <w:rPr>
          <w:noProof/>
        </w:rPr>
        <w:t>(21)</w:t>
      </w:r>
      <w:r w:rsidRPr="00B24D5B">
        <w:rPr>
          <w:noProof/>
        </w:rPr>
        <w:tab/>
      </w:r>
      <w:r w:rsidR="2635DA7F" w:rsidRPr="00DB1118">
        <w:rPr>
          <w:noProof/>
        </w:rPr>
        <w:t>In de aanbeveling tot goedkeuring van het plan voor de middellange termijn van Roemenië, wordt de reeks hervormingen en investeringen die ten grondslag liggen aan de verlenging van de aanpassingsperiode gespecificeerd, samen met een tijdschema voor de uitvoering ervan. Het gaat hierbij onder meer om bestaande en opgeschroefde maatregelen uit het herstel- en veerkrachtplan, zoals een alomvattende herziening van het belastingkader op alle gebieden van belastingheffing, de modernisering van het belastingstelsel, jaarlijkse uitgaventoetsingen, een hervorming van zowel algemene als speciale pensioenen en een nieuw mechanisme voor de vaststelling van minimumlonen, alsook aanvullende hervormingen en investeringen als maatregelen om de toegang van bedrijven tot financiering te verbeteren en een hervorming van het uitgavenstelsel van staatsbedrijven.  Sommige van de hervormingen en investeringen die ten grondslag liggen aan een verlenging en die uiterlijk op 30 april 2025 voltooid hadden moeten zijn, zijn niet uitgevoerd, zoals de belangrijke hervorming voor de herziening van het belastingstelsel.</w:t>
      </w:r>
    </w:p>
    <w:p w14:paraId="50F1DE31" w14:textId="633A3642" w:rsidR="00AA38AC" w:rsidRPr="00DB1118" w:rsidRDefault="00AA38AC" w:rsidP="00DA0B2F">
      <w:pPr>
        <w:ind w:firstLine="709"/>
        <w:rPr>
          <w:b/>
          <w:bCs/>
          <w:noProof/>
        </w:rPr>
      </w:pPr>
      <w:r w:rsidRPr="00DB1118">
        <w:rPr>
          <w:b/>
          <w:noProof/>
        </w:rPr>
        <w:t>Belangrijkste beleidsuitdagingen</w:t>
      </w:r>
    </w:p>
    <w:p w14:paraId="69A84C4C" w14:textId="16E48F88" w:rsidR="008A674E" w:rsidRPr="00DB1118" w:rsidRDefault="00B24D5B" w:rsidP="00B24D5B">
      <w:pPr>
        <w:pStyle w:val="ManualConsidrant"/>
        <w:rPr>
          <w:noProof/>
        </w:rPr>
      </w:pPr>
      <w:r w:rsidRPr="00B24D5B">
        <w:rPr>
          <w:noProof/>
        </w:rPr>
        <w:t>(22)</w:t>
      </w:r>
      <w:r w:rsidRPr="00B24D5B">
        <w:rPr>
          <w:noProof/>
        </w:rPr>
        <w:tab/>
      </w:r>
      <w:r w:rsidR="45C0B263" w:rsidRPr="00DB1118">
        <w:rPr>
          <w:noProof/>
        </w:rPr>
        <w:t xml:space="preserve">Overeenkomstig artikel 19, lid 3, punt b), van Verordening (EU) 2021/241 en criterium 2.2 van bijlage V bij die verordening bevat het herstel- en veerkrachtplan een uitgebreide reeks elkaar versterkende hervormingen en investeringen die uiterlijk in 2026 moeten zijn uitgevoerd. Daarvan wordt verwacht dat zij helpen bij het doeltreffend aanpakken van alle of een aanzienlijk deel van de uitdagingen die in de desbetreffende landspecifieke aanbevelingen zijn vastgesteld. Om het concurrentievermogen van Roemenië op lange termijn te stimuleren door middel van de groene en de digitale transitie, en tegelijk sociale rechtvaardigheid te waarborgen, is het van essentieel belang om binnen deze krappe termijn te komen tot de afronding van de doeltreffende uitvoering van het herstel- en veerkrachtplan, met inbegrip van het REPowerEU-hoofdstuk. Om de toezeggingen van het herstel- en veerkrachtplan uiterlijk in augustus 2026 na te komen, is het voor Roemenië van essentieel belang de hervormingen en de investeringen dringend te versnellen door vertragingen bij aanbestedingen aan te pakken, </w:t>
      </w:r>
      <w:r w:rsidR="45C0B263" w:rsidRPr="00DB1118">
        <w:rPr>
          <w:noProof/>
          <w:color w:val="000000" w:themeColor="text1"/>
        </w:rPr>
        <w:t>doeltreffende governance te waarborgen en de bestuurlijke capaciteit te versterken</w:t>
      </w:r>
      <w:r w:rsidR="45C0B263" w:rsidRPr="00DB1118">
        <w:rPr>
          <w:noProof/>
        </w:rPr>
        <w:t>. Om dit proces te vergemakkelijken, moet Roemenië het plan wijzigen en investeringen schrappen die vanwege objectieve omstandigheden niet langer haalbaar zijn. De subsidiecomponent moet hierbij in stand worden gehouden. De systematische betrokkenheid van lokale en regionale autoriteiten, sociale partners, het maatschappelijk middenveld en andere relevante belanghebbenden blijft belangrijk om te zorgen voor een breed gevoelde verantwoordelijkheid voor de succesvolle uitvoering van het herstel- en veerkrachtplan.</w:t>
      </w:r>
    </w:p>
    <w:p w14:paraId="7883F937" w14:textId="34D628B6" w:rsidR="008A674E" w:rsidRPr="00DB1118" w:rsidRDefault="00B24D5B" w:rsidP="00B24D5B">
      <w:pPr>
        <w:pStyle w:val="ManualConsidrant"/>
        <w:rPr>
          <w:noProof/>
        </w:rPr>
      </w:pPr>
      <w:r w:rsidRPr="00B24D5B">
        <w:rPr>
          <w:noProof/>
        </w:rPr>
        <w:t>(23)</w:t>
      </w:r>
      <w:r w:rsidRPr="00B24D5B">
        <w:rPr>
          <w:noProof/>
        </w:rPr>
        <w:tab/>
      </w:r>
      <w:r w:rsidR="386BA2D2" w:rsidRPr="00DB1118">
        <w:rPr>
          <w:noProof/>
        </w:rPr>
        <w:t>De uitvoering van cohesiebeleidsprogramma’s, die steun uit het Europees Fonds voor regionale ontwikkeling (EFRO), het Fonds voor een rechtvaardige transitie (JTF), het Europees Sociaal Fonds Plus (ESF +) en het Cohesiefonds (CF) omvatten, is in Roemenië versneld. Het is van belang aanhoudend inspanningen te leveren voor de snelle uitvoering van deze programma’s, waarbij de effecten in de praktijk worden gemaximaliseerd. Roemenië neemt in het kader van zijn cohesiebeleidsprogramma’s reeds maatregelen ter versterking van het concurrentievermogen en de groei. Tegelijkertijd staat Roemenië nog steeds voor uitdagingen, onder meer op terreinen als onderwijs, werkgelegenheid en sociale inclusie, alsmede de bevordering van het regionale concurrentievermogen door middel van onderzoek en innovatie, onder andere door de ontwikkeling of vervaardiging van kritieke technologieën, het vergroten van de waterweerbaarheid, vooral in het oosten en zuiden van het land, en de betaalbaarheid van huisvesting</w:t>
      </w:r>
      <w:bookmarkStart w:id="2" w:name="_Hlk198205207"/>
      <w:r w:rsidR="386BA2D2" w:rsidRPr="00DB1118">
        <w:rPr>
          <w:noProof/>
        </w:rPr>
        <w:t xml:space="preserve">. In het kader van de tussentijdse evaluatie van de cohesiebeleidsfondsen moet Roemenië overeenkomstig artikel 18 van Verordening (EU) 2021/1060 elk programma toetsen met inachtneming van, onder meer, de uitdagingen zoals benoemd in de landspecifieke aanbevelingen 2024. </w:t>
      </w:r>
      <w:bookmarkEnd w:id="2"/>
      <w:r w:rsidR="386BA2D2" w:rsidRPr="00DB1118">
        <w:rPr>
          <w:noProof/>
        </w:rPr>
        <w:t>In de op 1 april 2025 vastgestelde voorstellen van de Commissie</w:t>
      </w:r>
      <w:r w:rsidR="386BA2D2" w:rsidRPr="00DB1118">
        <w:rPr>
          <w:rStyle w:val="FootnoteReference"/>
          <w:noProof/>
        </w:rPr>
        <w:footnoteReference w:id="18"/>
      </w:r>
      <w:r w:rsidR="386BA2D2" w:rsidRPr="00DB1118">
        <w:rPr>
          <w:noProof/>
        </w:rPr>
        <w:t xml:space="preserve"> is de termijn voor het indienen van een beoordeling van de resultaten van de tussentijdse evaluatie voor elk programma verlengd tot na 31 maart 2025. Daarnaast voorzien de voorstellen in de nodige flexibiliteit voor het versnellen van de uitvoering van het programma en van stimulansen waarmee lidstaten middelen vanuit het cohesiebeleid kunnen toewijzen aan vijf strategische prioritaire gebieden van de Unie, te weten concurrentievermogen op het gebied van strategische technologieën, defensie, huisvesting, waterweerbaarheid en de energietransitie.</w:t>
      </w:r>
    </w:p>
    <w:p w14:paraId="3118CADF" w14:textId="4730C3D9" w:rsidR="00423F71" w:rsidRPr="00DB1118" w:rsidRDefault="00B24D5B" w:rsidP="00B24D5B">
      <w:pPr>
        <w:pStyle w:val="ManualConsidrant"/>
        <w:rPr>
          <w:noProof/>
        </w:rPr>
      </w:pPr>
      <w:r w:rsidRPr="00B24D5B">
        <w:rPr>
          <w:noProof/>
        </w:rPr>
        <w:t>(24)</w:t>
      </w:r>
      <w:r w:rsidRPr="00B24D5B">
        <w:rPr>
          <w:noProof/>
        </w:rPr>
        <w:tab/>
      </w:r>
      <w:r w:rsidR="14FAABFE" w:rsidRPr="00DB1118">
        <w:rPr>
          <w:noProof/>
        </w:rPr>
        <w:t>Het platform voor strategische technologieën voor Europa (STEP) biedt ruimte voor het investeren in een belangrijke strategische prioriteit van de EU door het concurrentievermogen van de EU te versterken. STEP wordt gefinancierd vanuit elf bestaande EU-fondsen. Daarnaast kunnen de lidstaten ook aan het InvestEU-programma bijdragen door investeringen in prioritaire gebieden te ondersteunen. Roemenië kan deze initiatieven inzetten ter ondersteuning van de ontwikkeling of vervaardiging van kritieke technologieën, onder meer van schone en hulpbronnenefficiënte technologieën.</w:t>
      </w:r>
    </w:p>
    <w:p w14:paraId="79FCAB9D" w14:textId="46A8722B" w:rsidR="008A674E" w:rsidRPr="00DB1118" w:rsidRDefault="00B24D5B" w:rsidP="00B24D5B">
      <w:pPr>
        <w:pStyle w:val="ManualConsidrant"/>
        <w:rPr>
          <w:noProof/>
        </w:rPr>
      </w:pPr>
      <w:r w:rsidRPr="00B24D5B">
        <w:rPr>
          <w:noProof/>
        </w:rPr>
        <w:t>(25)</w:t>
      </w:r>
      <w:r w:rsidRPr="00B24D5B">
        <w:rPr>
          <w:noProof/>
        </w:rPr>
        <w:tab/>
      </w:r>
      <w:r w:rsidR="128CE52D" w:rsidRPr="00DB1118">
        <w:rPr>
          <w:noProof/>
        </w:rPr>
        <w:t xml:space="preserve">Naast de economische en sociale uitdagingen die via het herstel- en veerkrachtplan en andere EU-fondsen worden aangepakt, wordt Roemenië geconfronteerd met diverse andere uitdagingen die verband houden met het koolstofvrij maken van de economie en de energieproductie, de voorbereiding en prioritering van grote projecten, de kwaliteit en effectiviteit van openbaar bestuur, sociale bescherming en toegang tot essentiële diensten, arbeidsmarktparticipatie en vaardighedentekorten, armoede en sociale uitsluiting. </w:t>
      </w:r>
    </w:p>
    <w:p w14:paraId="5EFE9FE5" w14:textId="048D9562" w:rsidR="7B21629A" w:rsidRPr="00DB1118" w:rsidRDefault="00B24D5B" w:rsidP="00B24D5B">
      <w:pPr>
        <w:pStyle w:val="ManualConsidrant"/>
        <w:rPr>
          <w:noProof/>
        </w:rPr>
      </w:pPr>
      <w:r w:rsidRPr="00B24D5B">
        <w:rPr>
          <w:noProof/>
        </w:rPr>
        <w:t>(26)</w:t>
      </w:r>
      <w:r w:rsidRPr="00B24D5B">
        <w:rPr>
          <w:noProof/>
        </w:rPr>
        <w:tab/>
      </w:r>
      <w:r w:rsidR="7870C328" w:rsidRPr="00DB1118">
        <w:rPr>
          <w:noProof/>
        </w:rPr>
        <w:t>In overeenstemming met het kompas voor concurrentievermogen moeten alle EU-, nationale en lokale instellingen zich meer inspannen om hun regels te vereenvoudigen en hun administratieve procedures te versnellen. De Commissie heeft ambitieuze doelstellingen geformuleerd voor de vermindering van de administratieve lasten: met ten minste 25 %, en met ten minste 35 % voor kmo’s. Ook heeft zij nieuwe tools in het leven geroepen om deze doelstellingen te verwezenlijken, met inbegrip van stelselmatige stresstests van het corpus van EU-wetgeving en een betere dialoog met belanghebbenden. Om aan deze ambitie tegemoet te komen, moet ook Roemenië actie ondernemen. 82 % van de bedrijven ziet complexiteit van administratieve procedures als een probleem bij het zakendoen in Roemenië</w:t>
      </w:r>
      <w:r w:rsidR="7870C328" w:rsidRPr="00DB1118">
        <w:rPr>
          <w:rStyle w:val="FootnoteReference"/>
          <w:rFonts w:eastAsia="Times New Roman"/>
          <w:noProof/>
          <w:color w:val="000000" w:themeColor="text1"/>
        </w:rPr>
        <w:footnoteReference w:id="19"/>
      </w:r>
      <w:r w:rsidR="7870C328" w:rsidRPr="00DB1118">
        <w:rPr>
          <w:noProof/>
        </w:rPr>
        <w:t>. De voorspelbaarheid van besluitvorming blijft een uitdaging, en dit heeft negatieve gevolgen voor het ondernemingsklimaat. Het aantal uitgevaardigde noodverordeningen</w:t>
      </w:r>
      <w:r w:rsidR="7870C328" w:rsidRPr="00DB1118">
        <w:rPr>
          <w:rStyle w:val="FootnoteReference"/>
          <w:noProof/>
        </w:rPr>
        <w:footnoteReference w:id="20"/>
      </w:r>
      <w:r w:rsidR="7870C328" w:rsidRPr="00DB1118">
        <w:rPr>
          <w:noProof/>
        </w:rPr>
        <w:t xml:space="preserve"> blijft hoog, waardoor onzekerheid ontstaat en investeringen naar alle waarschijnlijkheid worden belemmerd. Ondanks het</w:t>
      </w:r>
      <w:r w:rsidR="7870C328" w:rsidRPr="00DB1118">
        <w:rPr>
          <w:noProof/>
          <w:color w:val="333333"/>
        </w:rPr>
        <w:t xml:space="preserve"> </w:t>
      </w:r>
      <w:r w:rsidR="7870C328" w:rsidRPr="00DB1118">
        <w:rPr>
          <w:noProof/>
        </w:rPr>
        <w:t>gevestigde institutionele kader voor overleg is de betrokkenheid van relevante belanghebbenden bij de vormgeving en uitvoering van hervormingen zeer beperkt en vindt er zelden een oprechte dialoog plaats. Er zijn onlangs echter wel enkele stappen genomen om raadplegingen doeltreffender te maken. Effectbeoordelingen op regelgevingsgebied blijven een formaliteit. De kwaliteit van deze beoordelingen is twijfelachtig is het is onduidelijk in welke mate er ook daadwerkelijk gebruik van wordt gemaakt. Een snelle uitvoering van de hervormingen uit het herstel- en veerkrachtplan om</w:t>
      </w:r>
      <w:r w:rsidR="7870C328" w:rsidRPr="00DB1118">
        <w:rPr>
          <w:noProof/>
          <w:color w:val="333333"/>
        </w:rPr>
        <w:t xml:space="preserve"> </w:t>
      </w:r>
      <w:r w:rsidR="7870C328" w:rsidRPr="00DB1118">
        <w:rPr>
          <w:noProof/>
        </w:rPr>
        <w:t>de capaciteit voor beleidscoördinatie en effectbeoordeling op alle overheidsniveaus te versterken en de kwaliteit van de openbare raadplegingen te verhogen, zou bijdragen tot betere economische en sociale resultaten.</w:t>
      </w:r>
    </w:p>
    <w:p w14:paraId="7FFD816C" w14:textId="511743B7" w:rsidR="008638BF" w:rsidRPr="00DB1118" w:rsidRDefault="00B24D5B" w:rsidP="00B24D5B">
      <w:pPr>
        <w:pStyle w:val="ManualConsidrant"/>
        <w:rPr>
          <w:noProof/>
        </w:rPr>
      </w:pPr>
      <w:r w:rsidRPr="00B24D5B">
        <w:rPr>
          <w:noProof/>
        </w:rPr>
        <w:t>(27)</w:t>
      </w:r>
      <w:r w:rsidRPr="00B24D5B">
        <w:rPr>
          <w:noProof/>
        </w:rPr>
        <w:tab/>
      </w:r>
      <w:r w:rsidR="06B37DE1" w:rsidRPr="00DB1118">
        <w:rPr>
          <w:noProof/>
        </w:rPr>
        <w:t>Hoewel Roemenië met steun uit de herstel- en veerkrachtfaciliteit enige vooruitgang heeft boekt met het vergroten van het aandeel hernieuwbare energie in zijn energiemix, is het energiestelsel van het land nog steeds sterk afhankelijk van fossiele brandstoffen, die ongeveer 70 % van de energiemix uitmaken. Roemenië kan zijn luchtkwaliteit verbeteren, zijn CO</w:t>
      </w:r>
      <w:r w:rsidR="06B37DE1" w:rsidRPr="00DB1118">
        <w:rPr>
          <w:noProof/>
          <w:vertAlign w:val="subscript"/>
        </w:rPr>
        <w:t>2</w:t>
      </w:r>
      <w:r w:rsidR="06B37DE1" w:rsidRPr="00DB1118">
        <w:rPr>
          <w:noProof/>
        </w:rPr>
        <w:t>-uitstoot verminderen en zijn economie beschermen tegen grote schommelingen in de prijzen van fossiele brandstoffen, en daarnaast zijn afhankelijkheid verminderen en de energiezekerheid vergroten door steenkool geleidelijk af te schaffen en het gebruik van aardgas te beperken en vervangen door schonere, in het bijzonder hernieuwbare alternatieven. Roemenië heeft een aanzienlijk maar onderbenut potentieel voor hernieuwbare energie (wind- en zonne-energie). Een versnelde uitrol van hernieuwbare energie zou de ambitie van het land ondersteunen om het aandeel hernieuwbare energie in het totale energieverbruik tegen 2030 te verhogen tot 38 %, iets dat niet mogelijk is met het huidige beleid. Roemenië wordt nog steeds geconfronteerd met meerdere belemmeringen voor de uitrol van hernieuwbare energie: van prijsonzekerheid tot omslachtige vergunningsprocedures en onduidelijke regels inzake landgebruik. Als de wet inzake offshore-windenergie van 2024 wordt uitgevoerd, kan tegen 2030 3 tot 7 gigawatt extra elektriciteit worden opgewekt, en met aanvullende hervormingen van de regelgeving om de vergunningsprocedures te vereenvoudigen en te versnellen, onder meer in het kader van het herstel- en veerkrachtplan, kunnen belemmeringen voor de uitrol van hernieuwbare energie worden weggenomen. Deze inspanningen zouden Roemenië in staat stellen zijn klimaatverbintenissen voor 2030 na te komen, banen te scheppen en energie betaalbaarder te maken voor huishoudens en bedrijven.</w:t>
      </w:r>
    </w:p>
    <w:p w14:paraId="1DF2AE10" w14:textId="4CBB862D" w:rsidR="008638BF" w:rsidRPr="00DB1118" w:rsidRDefault="00B24D5B" w:rsidP="00B24D5B">
      <w:pPr>
        <w:pStyle w:val="ManualConsidrant"/>
        <w:rPr>
          <w:rFonts w:eastAsia="Aptos" w:cs="Aptos"/>
          <w:noProof/>
        </w:rPr>
      </w:pPr>
      <w:r w:rsidRPr="00B24D5B">
        <w:rPr>
          <w:noProof/>
        </w:rPr>
        <w:t>(28)</w:t>
      </w:r>
      <w:r w:rsidRPr="00B24D5B">
        <w:rPr>
          <w:noProof/>
        </w:rPr>
        <w:tab/>
      </w:r>
      <w:r w:rsidR="72C6C57F" w:rsidRPr="00DB1118">
        <w:rPr>
          <w:noProof/>
        </w:rPr>
        <w:t>Om het aandeel hernieuwbare energie te kunnen vergroten, zijn aanzienlijke verbeteringen nodig in de Roemeense elektriciteitsnetten, die een grote uitbreiding van de hoeveelheid opgewekte wind- en zonne-energie momenteel niet aankunnen</w:t>
      </w:r>
      <w:r w:rsidR="72C6C57F" w:rsidRPr="00DB1118">
        <w:rPr>
          <w:rStyle w:val="FootnoteReference"/>
          <w:rFonts w:eastAsia="Aptos" w:cs="Aptos"/>
          <w:noProof/>
        </w:rPr>
        <w:footnoteReference w:id="21"/>
      </w:r>
      <w:r w:rsidR="72C6C57F" w:rsidRPr="00DB1118">
        <w:rPr>
          <w:noProof/>
        </w:rPr>
        <w:t>. De ontoereikende transmissiecapaciteit en verouderde infrastructuur leiden tot congestie, inperking van de output van hernieuwbare energie tijdens piekproductie en complicaties bij het aansluiten van nieuwe projecten. Met de Roemeense energiestrategie, die is gebaseerd op de modernisering en digitalisering van het elektriciteitsnet (zowel transmissie als distributie) met behulp van slimme technologieën en energieopslag, wordt beoogd deze problemen aan te pakken. Dit zou ook de energiezekerheid ten goede komen, aangezien vraagpieken en schokken aan de aanbodzijde met een robuust netwerk beter kunnen worden opgevangen. De versterking van het nationale elektriciteitsnet kan worden gecombineerd met een nauwere samenwerking met buurlanden (bijvoorbeeld Hongarije, Bulgarije, Moldavië en Oekraïne). Projecten als de nieuwe HVDC-interconnector voor de Zwarte Zee (die de Roemeense Zwarte-Zeekust verbindt met Centraal-Europa) kunnen grensoverschrijdende stromen vergroten en in de toekomst uitvoer van offshore-windenergie mogelijk maken. Met verbeterde grensoverschrijdende elektriciteitsinterconnecties kan Roemenië beter integreren in de Europese energiemarkt en de stabiliteit van zijn elektriciteitssysteem vergroten. Dit zou ook positief bijdragen aan de energiezekerheid.</w:t>
      </w:r>
    </w:p>
    <w:p w14:paraId="2D911D4E" w14:textId="178DC6A4" w:rsidR="008638BF" w:rsidRPr="00DB1118" w:rsidRDefault="00B24D5B" w:rsidP="00B24D5B">
      <w:pPr>
        <w:pStyle w:val="ManualConsidrant"/>
        <w:rPr>
          <w:rFonts w:eastAsia="Aptos" w:cs="Aptos"/>
          <w:noProof/>
        </w:rPr>
      </w:pPr>
      <w:r w:rsidRPr="00B24D5B">
        <w:rPr>
          <w:noProof/>
        </w:rPr>
        <w:t>(29)</w:t>
      </w:r>
      <w:r w:rsidRPr="00B24D5B">
        <w:rPr>
          <w:noProof/>
        </w:rPr>
        <w:tab/>
      </w:r>
      <w:r w:rsidR="49A5DD4E" w:rsidRPr="00DB1118">
        <w:rPr>
          <w:noProof/>
        </w:rPr>
        <w:t xml:space="preserve">Tijdens de recente energiecrisis heeft Roemenië noodmaatregelen afgekondigd, waaronder prijsplafonds en uitgebreide subsidies voor elektriciteit en gas om particulieren en bedrijven te beschermen tegen de sterke stijging van energieprijzen. Deze interventies zorgden op korte termijn voor verlichting en beschermden kwetsbare consumenten, maar leidden ook tot hoge kosten voor de begroting en marktverstoringen. Algemene prijsplafonds geven verkeerde signalen af aan de markt en ontmoedigen energiebesparing en investeringen in efficiëntie of nieuwe capaciteit. Aangezien de energieprijzen inmiddels zijn gestabiliseerd, is het van cruciaal belang dat deze noodsteunregelingen geleidelijk worden afgeschaft. Roemenië verstrekt aanzienlijke subsidies voor fossiele brandstoffen en er is geen plan voor een geleidelijke afschaffing vóór 2030. Subsidies voor fossiele brandstoffen die geen doelgerichte oplossing bieden voor energiearmoede of reële problemen op het gebied van energiezekerheid en die elektrificatie in de weg staan en niet cruciaal zijn voor het concurrentievermogen van het bedrijfsleven, moeten als eerste geleidelijk worden afgeschaft.  De Roemeense subsidies voor fossiele brandstoffen, die onder meer de vorm aannemen van steun voor verwarmingskosten voor particulieren en compensatie voor de verliezen van bedrijven die fossiele brandstoffen gebruiken, zijn vanuit economisch oogpunt inefficiënt en hebben tot gevolg dat particulieren en bedrijven langer afhankelijk blijven van fossiele brandstoffen. Roemenië zou deze middelen beter kunnen gebruiken om iets aan het onhoudbaar hoge overheidstekort te doen. Als de energieprijzen weer aan de markt worden overgelaten, zou dat investeringen in hernieuwbare energie en energie-efficiëntie aanmoedigen en zou de transitie naar schone energie in Roemenië kunnen worden versneld. </w:t>
      </w:r>
    </w:p>
    <w:p w14:paraId="62052F02" w14:textId="16A6C986" w:rsidR="003E4691" w:rsidRPr="00DB1118" w:rsidRDefault="00B24D5B" w:rsidP="00B24D5B">
      <w:pPr>
        <w:pStyle w:val="ManualConsidrant"/>
        <w:rPr>
          <w:rFonts w:eastAsia="Aptos" w:cs="Aptos"/>
          <w:noProof/>
        </w:rPr>
      </w:pPr>
      <w:r w:rsidRPr="00B24D5B">
        <w:rPr>
          <w:noProof/>
        </w:rPr>
        <w:t>(30)</w:t>
      </w:r>
      <w:r w:rsidRPr="00B24D5B">
        <w:rPr>
          <w:noProof/>
        </w:rPr>
        <w:tab/>
      </w:r>
      <w:r w:rsidR="7E14E158" w:rsidRPr="00DB1118">
        <w:rPr>
          <w:noProof/>
        </w:rPr>
        <w:t xml:space="preserve">Investeringen in energie-efficiëntie (renovatie van gebouwen voor betere isolatie en modernisering van verwarmingssystemen), milieu-infrastructuur (modernisering van stadsverwarmingsnetwerken, verbetering van afval- en watersystemen en sanering van verontreinigde industriegebieden) en nettonultechnologieën (ontwikkeling van nieuwe industrieën, bijvoorbeeld voor zonnepanelen, assemblage van accu’s en zelfs projecten op het gebied van waterstof) vormen een aanvulling op de Roemeense hervormingen aan de aanbodzijde. Deze investeringen moeten ervoor zorgen dat de energietransitie kosteneffectief en inclusief is in alle regio’s, met name degene die afhankelijk zijn van steenkool, zodat een eerlijke transitie mogelijk wordt. </w:t>
      </w:r>
    </w:p>
    <w:p w14:paraId="3D4A9626" w14:textId="45C44C10" w:rsidR="0517734F" w:rsidRPr="00DB1118" w:rsidRDefault="00B24D5B" w:rsidP="00B24D5B">
      <w:pPr>
        <w:pStyle w:val="ManualConsidrant"/>
        <w:rPr>
          <w:noProof/>
        </w:rPr>
      </w:pPr>
      <w:r w:rsidRPr="00B24D5B">
        <w:rPr>
          <w:noProof/>
        </w:rPr>
        <w:t>(31)</w:t>
      </w:r>
      <w:r w:rsidRPr="00B24D5B">
        <w:rPr>
          <w:noProof/>
        </w:rPr>
        <w:tab/>
      </w:r>
      <w:r w:rsidR="3ECB334B" w:rsidRPr="00DB1118">
        <w:rPr>
          <w:noProof/>
        </w:rPr>
        <w:t>Ondanks de omvangrijke steun die wordt verleend via het cohesiebeleid, de herstel- en veerkrachtfaciliteit en andere EU-fondsen, zijn er nog steeds aanzienlijke investeringen nodig in infrastructuur in Roemenië, met name op gebieden als duurzaam vervoer, schone energie en milieu- en digitale diensten. Vaak lopen zelfs volgroeide projecten vertraging op, en aan grote projecten wordt niet altijd de vereiste prioriteit toegekend om de geplande vooruitgang te boeken. Door deze tekortkomingen aan te pakken kan de planningszekerheid worden verbeterd en kunnen projecten tijdig worden uitgevoerd, wat in veel gevallen ook particuliere investeringen aanmoedigt. De kwaliteit en doeltreffendheid van openbaar bestuur moeten verder worden verbeterd. De toepassing en eventuele verfijning van het kader voor strategische en begrotingsplanning dat in het kader van het plan voor herstel en veerkracht is ingevoerd, kan op lange termijn een positieve bijdrage leveren aan de ontwikkeling van het land en aan de prioritering van acties en beleidscoördinatie op centraal en lokaal niveau. Met name het sectorale strategische kader lijkt nog steeds sterk gefragmenteerd. Er is sprake van overlappingen tussen sectoren en een duidelijke formulering van prioriteiten ontbreekt.</w:t>
      </w:r>
    </w:p>
    <w:p w14:paraId="5B5CDE91" w14:textId="597A5965" w:rsidR="00CD2E0B" w:rsidRPr="00DB1118" w:rsidRDefault="00B24D5B" w:rsidP="00B24D5B">
      <w:pPr>
        <w:pStyle w:val="ManualConsidrant"/>
        <w:rPr>
          <w:noProof/>
        </w:rPr>
      </w:pPr>
      <w:r w:rsidRPr="00B24D5B">
        <w:rPr>
          <w:noProof/>
        </w:rPr>
        <w:t>(32)</w:t>
      </w:r>
      <w:r w:rsidRPr="00B24D5B">
        <w:rPr>
          <w:noProof/>
        </w:rPr>
        <w:tab/>
      </w:r>
      <w:r w:rsidR="7F718D25" w:rsidRPr="00DB1118">
        <w:rPr>
          <w:noProof/>
        </w:rPr>
        <w:t>De participatie van vrouwen op de Roemeense arbeidsmarkt is nog steeds lager dan het EU-gemiddelde (60,3 % ten opzichte van 70,8 % in de EU). Daarnaast is de werkloosheid onder jongeren hoog: Roemenië heeft het op twee na hoogste percentage werkloze jongeren in de EU (23,9 % tegenover 14,9 % in de EU) en het hoogste percentage jongeren dat geen onderwijs of opleiding volgt en geen baan heeft (19,4 % tegenover 11 % in de EU). Door de positie van vrouwen en jongeren te verbeteren en hun arbeidsmarktparticipatie te verhogen, kunnen negatieve demografische ontwikkelingen gedeeltelijk worden gecompenseerd en meer kansen voor hen worden gecreëerd. Met dat doel voor ogen is het belangrijk om uitdagingen in verband met activeringsmaatregelen en toegang tot voor- en vroegschoolse educatie en opvang aan te pakken, met name in plattelandsgebieden. In 2024 ging slechts 11,4 % van de kinderen tussen 0 en 3 jaar naar een formele kinderopvang, ruim onder het EU-gemiddelde van 39,2 %, en in 2022 stond slechts 75,7 % (in de EU was dit 94,6 %) van de kinderen in de leeftijd van 3 jaar tot de verplichte basisschoolleeftijd ingeschreven voor voor- en vroegschoolse educatie en opvang. Roemenië kan zijn arbeidsmarktactiveringsmaatregelen doelgerichter te maken en het accent verleggen van minder doeltreffende werkgelegenheidssubsidies naar opleiding en voorlichting.</w:t>
      </w:r>
    </w:p>
    <w:p w14:paraId="0480C911" w14:textId="5D9C8A81" w:rsidR="00B231D9" w:rsidRPr="00DB1118" w:rsidRDefault="00B24D5B" w:rsidP="00B24D5B">
      <w:pPr>
        <w:pStyle w:val="ManualConsidrant"/>
        <w:rPr>
          <w:noProof/>
        </w:rPr>
      </w:pPr>
      <w:r w:rsidRPr="00B24D5B">
        <w:rPr>
          <w:noProof/>
        </w:rPr>
        <w:t>(33)</w:t>
      </w:r>
      <w:r w:rsidRPr="00B24D5B">
        <w:rPr>
          <w:noProof/>
        </w:rPr>
        <w:tab/>
      </w:r>
      <w:r w:rsidR="6DFA02B8" w:rsidRPr="00DB1118">
        <w:rPr>
          <w:noProof/>
        </w:rPr>
        <w:t>Hoewel het aantal vacatures laag blijft, behoort Roemenië tot de lidstaten met het grootste aantal beroepen met personeelstekorten. Werkgevers beschouwen het gebrek aan passende vaardigheden onder de beroepsbevolking als een van de belangrijkste beperkingen bij het zakendoen. Het aantal personen met een tertiaire opleiding en het percentage volwassenen met ten minste elementaire digitale basisvaardigheden blijven laag, met negatieve gevolgen voor het concurrentievermogen. Aangezien de Roemeense bevolking in de werkende leeftijd naar verwachting in omvang zal afnemen, zullen de vaardighedentekorten waarschijnlijk groter worden als het beleid om mensen te helpen om werk te vinden en voor bijscholing en talentbehoud niet wordt aangescherpt. De doeltreffendheid van bij- en omscholingsinitiatieven wordt belemmerd door een gebrek aan basisvaardigheden, zoals ook bleek uit de slechte resultaten die in 2022 werden behaald in het Programme for International Student Assessment (PISA). Roemenië heeft een van de hoogste percentages in de EU van 15-jarigen die niet beschikken over de minimale basisvaardigheden op het gebied van wiskunde (48,6 % ten opzichte van 29,5 % in de EU), leesvaardigheid (41,7 % ten opzichte van 26,2 % in de EU) en wetenschap (44 % ten opzichte van 24,2 % in de EU). Roemenië is bezig het stelsel van beroepsonderwijs en -opleiding te moderniseren om beter tegemoet te komen aan de behoeften van de arbeidsmarkt. Slechts een minderheid van de leerlingen profiteert echter van het stelsel van werkplekleren en de arbeidsparticipatie onder pas afgestudeerden is laag. Om te waarborgen dat onderwijs, beroepsopleiding en bij- en omscholing beter worden afgestemd op de arbeidsmarkt, is het belangrijk om lokale bedrijven nauwer te betrekken bij de vormgeving van het opleidingsaanbod en informatie over vaardigheden efficiënter aan te wenden als input voor empirisch onderbouwde beleidsvorming en de aanpassing van leerplannen en het opleidingsaanbod.</w:t>
      </w:r>
    </w:p>
    <w:p w14:paraId="00C2A715" w14:textId="0A4D96BD" w:rsidR="00B231D9" w:rsidRPr="00DB1118" w:rsidRDefault="00B24D5B" w:rsidP="00B24D5B">
      <w:pPr>
        <w:pStyle w:val="ManualConsidrant"/>
        <w:rPr>
          <w:noProof/>
        </w:rPr>
      </w:pPr>
      <w:r w:rsidRPr="00B24D5B">
        <w:rPr>
          <w:noProof/>
        </w:rPr>
        <w:t>(34)</w:t>
      </w:r>
      <w:r w:rsidRPr="00B24D5B">
        <w:rPr>
          <w:noProof/>
        </w:rPr>
        <w:tab/>
      </w:r>
      <w:r w:rsidR="3ECFCE57" w:rsidRPr="00DB1118">
        <w:rPr>
          <w:noProof/>
        </w:rPr>
        <w:t>Ondanks de recente vorderingen behoren de percentages volwassenen en kinderen die met armoede of sociale uitsluiting worden bedreigd in Roemenië nog steeds tot de hoogste in de EU (27,9 % ten opzichte van een EU-gemiddelde van 21,0 %) en is het niveau van toereikendheid en dekking van het Roemeense stelsel van sociale bescherming nog altijd laag. Roemenië moet gerichte inspanningen leveren om het aantal mensen dat met armoede of sociale uitsluiting wordt bedreigd tegen 2030 te verminderen. Deze doelstelling kan worden gerealiseerd door de efficiëntie van het socialebeschermingsstelsel te vergroten en te zorgen voor stabiele financiering, een doeltreffende monitoring en effectbeoordeling en een betere toegang tot essentiële en ondersteunende diensten, ook voor Roma-gemeenschappen. Betere toegang tot hoogwaardige gezondheidszorg blijft een uitdaging, met name in plattelandsgebieden en voor kwetsbare groepen. Wegens tekorten aan gekwalificeerd personeel is de beschikbaarheid van gezondheidszorg en langdurige zorg beperkt. Door de EU gefinancierde programma’s bieden aanzienlijk ondersteuning, onder meer via de 2 000 geïntegreerde gemeenschapsdiensten die zullen worden opgezet in plattelandsgebieden en door middel van de versterking van sociale, gezondheids-, onderwijs- en arbeidsvoorzieningsdiensten. Het aanpakken van deze uitdagingen zou ook de opwaartse sociale convergentie ten goede komen, zoals ook wordt gesteld in de tweede landenanalyse van de Commissie in overeenstemming met het kader voor sociale convergentie</w:t>
      </w:r>
      <w:r w:rsidR="3ECFCE57" w:rsidRPr="00DB1118">
        <w:rPr>
          <w:rStyle w:val="FootnoteReference"/>
          <w:noProof/>
        </w:rPr>
        <w:footnoteReference w:id="22"/>
      </w:r>
      <w:r w:rsidR="3ECFCE57" w:rsidRPr="00DB1118">
        <w:rPr>
          <w:noProof/>
        </w:rPr>
        <w:t>.</w:t>
      </w:r>
    </w:p>
    <w:p w14:paraId="208772F8" w14:textId="46140D43" w:rsidR="00466EAE" w:rsidRPr="00DB1118" w:rsidRDefault="00B24D5B" w:rsidP="00B24D5B">
      <w:pPr>
        <w:pStyle w:val="ManualConsidrant"/>
        <w:rPr>
          <w:noProof/>
        </w:rPr>
      </w:pPr>
      <w:r w:rsidRPr="00B24D5B">
        <w:rPr>
          <w:noProof/>
        </w:rPr>
        <w:t>(35)</w:t>
      </w:r>
      <w:r w:rsidRPr="00B24D5B">
        <w:rPr>
          <w:noProof/>
        </w:rPr>
        <w:tab/>
      </w:r>
      <w:r w:rsidR="485EB194" w:rsidRPr="00DB1118">
        <w:rPr>
          <w:noProof/>
        </w:rPr>
        <w:t>In het licht van de diepgaande evaluatie van de Commissie en haar conclusies betreffende het bestaan van buitensporige onevenwichtigheden zijn de aanbevelingen op grond van artikel 6 van Verordening (EU) nr. 1176/2011 in de aanbevelingen 1 en 2 weergegeven. Het in de aanbevelingen 1 en 2 bedoelde beleid draagt bij tot het aanpakken van kwetsbaarheden die verband houden met grote externe en begrotingstekorten.</w:t>
      </w:r>
    </w:p>
    <w:p w14:paraId="01B5F43B" w14:textId="1BFB3C0A" w:rsidR="00DF29AC" w:rsidRPr="00DB1118" w:rsidRDefault="008A674E" w:rsidP="00C427B8">
      <w:pPr>
        <w:pStyle w:val="Formuledadoption"/>
        <w:rPr>
          <w:noProof/>
        </w:rPr>
      </w:pPr>
      <w:r w:rsidRPr="00DB1118">
        <w:rPr>
          <w:noProof/>
        </w:rPr>
        <w:t xml:space="preserve">BEVEELT AAN dat Roemenië in 2025 en 2026 actie onderneemt om: </w:t>
      </w:r>
    </w:p>
    <w:p w14:paraId="1D5B3EC0" w14:textId="43F917D5" w:rsidR="1FEF21E7" w:rsidRPr="00DB1118" w:rsidRDefault="00B24D5B" w:rsidP="00B24D5B">
      <w:pPr>
        <w:pStyle w:val="ManualNumPar1"/>
        <w:rPr>
          <w:rFonts w:eastAsia="Times New Roman"/>
          <w:noProof/>
        </w:rPr>
      </w:pPr>
      <w:r w:rsidRPr="00B24D5B">
        <w:rPr>
          <w:noProof/>
        </w:rPr>
        <w:t>1.</w:t>
      </w:r>
      <w:r w:rsidRPr="00B24D5B">
        <w:rPr>
          <w:noProof/>
        </w:rPr>
        <w:tab/>
      </w:r>
      <w:r w:rsidR="00402912" w:rsidRPr="00DB1118">
        <w:rPr>
          <w:noProof/>
        </w:rPr>
        <w:t xml:space="preserve">de algehele defensie-uitgaven te verhogen en de defensieparaatheid te verbeteren in overeenstemming met de conclusies van de Europese Raad van 6 maart 2025; een aanzienlijk strakker begrotingsbeleid te voeren om ervoor te zorgen dat de netto-uitgaven binnen het correctief pad uit hoofde van de procedure bij buitensporige tekorten blijven en om de externe positie te versterken; de reeks hervormingen en investeringen uit te voeren die ten grondslag liggen aan de verlengde aanpassingsperiode, zoals aanbevolen door de Raad op 21 januari 2025; </w:t>
      </w:r>
    </w:p>
    <w:p w14:paraId="7A659415" w14:textId="2A4213AA" w:rsidR="004C1E86" w:rsidRPr="00DB1118" w:rsidRDefault="00B24D5B" w:rsidP="00B24D5B">
      <w:pPr>
        <w:pStyle w:val="ManualNumPar1"/>
        <w:rPr>
          <w:rFonts w:eastAsia="Times New Roman"/>
          <w:noProof/>
        </w:rPr>
      </w:pPr>
      <w:r w:rsidRPr="00B24D5B">
        <w:rPr>
          <w:noProof/>
        </w:rPr>
        <w:t>2.</w:t>
      </w:r>
      <w:r w:rsidRPr="00B24D5B">
        <w:rPr>
          <w:noProof/>
        </w:rPr>
        <w:tab/>
      </w:r>
      <w:r w:rsidR="4DC70B28" w:rsidRPr="00DB1118">
        <w:rPr>
          <w:noProof/>
        </w:rPr>
        <w:t>met het oog op de toepasselijke termijnen voor de tijdige voltooiing van de hervormingen en investeringen overeenkomstig Verordening (EU) 2021/241, de uitvoering van het herstel- en veerkrachtplan, met inbegrip van het REPowerEU-hoofdstuk, dringend te versnellen; de uitvoering van de cohesiebeleidsprogramma’s (EFRO, JTF, ESF +, CF) te versnellen, en hierbij in voorkomend geval de kansen benutten die de tussentijdse evaluatie biedt; EU-instrumenten, waaronder de kansen die InvestEU en het platform voor strategische technologieën voor Europa bieden, optimaal te benutten om het concurrentievermogen te verbeteren;</w:t>
      </w:r>
    </w:p>
    <w:p w14:paraId="6BA9D260" w14:textId="79256289" w:rsidR="7192A4BE" w:rsidRPr="00DB1118" w:rsidRDefault="00B24D5B" w:rsidP="00B24D5B">
      <w:pPr>
        <w:pStyle w:val="ManualNumPar1"/>
        <w:rPr>
          <w:rFonts w:eastAsia="Times New Roman"/>
          <w:noProof/>
        </w:rPr>
      </w:pPr>
      <w:r w:rsidRPr="00B24D5B">
        <w:rPr>
          <w:noProof/>
        </w:rPr>
        <w:t>3.</w:t>
      </w:r>
      <w:r w:rsidRPr="00B24D5B">
        <w:rPr>
          <w:noProof/>
        </w:rPr>
        <w:tab/>
      </w:r>
      <w:r w:rsidR="23E681BE" w:rsidRPr="00DB1118">
        <w:rPr>
          <w:noProof/>
        </w:rPr>
        <w:t>de kwaliteit en doeltreffendheid van het openbaar bestuur en de voorspelbaarheid van besluitvorming te verbeteren en tegelijkertijd met behulp van passende raadplegingen van belanghebbenden, doeltreffende effectbeoordelingen en gestroomlijnde administratieve procedures te waarborgen dat wetgevingsinitiatieven geen afbreuk doen aan de rechtszekerheid; grote infrastructuurprojecten beter voor te bereiden en te prioriteren, en de uitvoering ervan te versnellen, ervoor te zorgen dat volgroeide investeringsprojecten van de overheid tijdig worden uitgevoerd en particuliere investeringen aan te moedigen die duurzame economische ontwikkeling bevorderen;</w:t>
      </w:r>
    </w:p>
    <w:p w14:paraId="561C2CF9" w14:textId="26612DC3" w:rsidR="00F9324C" w:rsidRPr="00DB1118" w:rsidRDefault="00B24D5B" w:rsidP="00B24D5B">
      <w:pPr>
        <w:pStyle w:val="ManualNumPar1"/>
        <w:rPr>
          <w:rFonts w:eastAsia="Times New Roman"/>
          <w:noProof/>
        </w:rPr>
      </w:pPr>
      <w:r w:rsidRPr="00B24D5B">
        <w:rPr>
          <w:noProof/>
        </w:rPr>
        <w:t>4.</w:t>
      </w:r>
      <w:r w:rsidRPr="00B24D5B">
        <w:rPr>
          <w:noProof/>
        </w:rPr>
        <w:tab/>
      </w:r>
      <w:r w:rsidR="00DA0B2F" w:rsidRPr="00DB1118">
        <w:rPr>
          <w:noProof/>
        </w:rPr>
        <w:t xml:space="preserve">de afhankelijkheid van fossiele brandstoffen te verminderen door de uitrol van hernieuwbare energie te versnellen, de netcapaciteit te vergroten, grensoverschrijdende elektriciteitsverbindingen te versterken, vorderingen te maken met hervormingen van de regelgeving die projecten op het gebied van schone energie minder risicovol maken en de transparantie en efficiëntie van vergunningsprocedures te verbeteren; de afhankelijkheid van fossiele brandstoffen te verminderen, met name door de subsidies voor fossiele brandstoffen in de verwarmingssector geleidelijk af te schaffen, en te investeren in energie-efficiëntie, milieu-infrastructuur en innovatie, met inachtneming van regionale verschillen, zoals de gevolgen voor steenkoolregio’s; de geldende noodsteunmaatregelen voor energie af te bouwen en de daaruit voortvloeiende besparingen te gebruiken om het overheidstekort te verminderen; </w:t>
      </w:r>
    </w:p>
    <w:p w14:paraId="33F3F299" w14:textId="7E47DFC9" w:rsidR="005730E1" w:rsidRPr="00DB1118" w:rsidRDefault="00B24D5B" w:rsidP="00B24D5B">
      <w:pPr>
        <w:pStyle w:val="ManualNumPar1"/>
        <w:rPr>
          <w:rFonts w:eastAsia="Times New Roman"/>
          <w:noProof/>
        </w:rPr>
      </w:pPr>
      <w:bookmarkStart w:id="3" w:name="_Hlk196907553"/>
      <w:r w:rsidRPr="00B24D5B">
        <w:rPr>
          <w:noProof/>
        </w:rPr>
        <w:t>5.</w:t>
      </w:r>
      <w:r w:rsidRPr="00B24D5B">
        <w:rPr>
          <w:noProof/>
        </w:rPr>
        <w:tab/>
      </w:r>
      <w:r w:rsidR="76A2C5E8" w:rsidRPr="00DB1118">
        <w:rPr>
          <w:noProof/>
        </w:rPr>
        <w:t>de arbeidsmarktparticipatie van vrouwen en jongeren te verhogen door het actieve arbeidsmarktbeleid doeltreffender te maken en de deelname aan vroegschoolse educatie en opvang te verbeteren; vaardighedentekorten aan te pakken door de verwerving van basisvaardigheden en voor de arbeidsmarkt relevante vaardigheden door de beroepsbevolking te stimuleren, de betrokkenheid van belanghebbenden te verbeteren en informatie over vaardigheden optimaal te benutten als input bij de vormgeving van beleid op het gebied van onderwijs en vaardigheden;</w:t>
      </w:r>
    </w:p>
    <w:bookmarkEnd w:id="3"/>
    <w:p w14:paraId="152A43AE" w14:textId="6C1F0D23" w:rsidR="004219A5" w:rsidRPr="00DB1118" w:rsidRDefault="00B24D5B" w:rsidP="00B24D5B">
      <w:pPr>
        <w:pStyle w:val="ManualNumPar1"/>
        <w:rPr>
          <w:rFonts w:eastAsia="Times New Roman"/>
          <w:noProof/>
        </w:rPr>
      </w:pPr>
      <w:r w:rsidRPr="00B24D5B">
        <w:rPr>
          <w:noProof/>
        </w:rPr>
        <w:t>6.</w:t>
      </w:r>
      <w:r w:rsidRPr="00B24D5B">
        <w:rPr>
          <w:noProof/>
        </w:rPr>
        <w:tab/>
      </w:r>
      <w:r w:rsidR="68AECB11" w:rsidRPr="00DB1118">
        <w:rPr>
          <w:noProof/>
        </w:rPr>
        <w:t>het risico op armoede en sociale uitsluiting te verminderen door de sociale bescherming uit te breiden en de doeltreffendheid ervan te verbeteren, onder meer door betere toegang tot hoogwaardige essentiële en ondersteunende diensten, met bijzondere aandacht voor geïntegreerde sociale, gezondheids-, onderwijs- en arbeidsvoorzieningsdiensten, met name voor Roma en andere kansarme groepen, zonder de houdbaarheid van de begroting in gevaar te brengen.</w:t>
      </w:r>
    </w:p>
    <w:p w14:paraId="4DD37F7A" w14:textId="5FEB25E7" w:rsidR="00466EAE" w:rsidRPr="00DB1118" w:rsidRDefault="00DB1118" w:rsidP="00583CFC">
      <w:pPr>
        <w:pStyle w:val="Fait"/>
        <w:rPr>
          <w:noProof/>
        </w:rPr>
      </w:pPr>
      <w:r>
        <w:rPr>
          <w:noProof/>
        </w:rPr>
        <w:t>Gedaan te Brussel,</w:t>
      </w:r>
    </w:p>
    <w:p w14:paraId="45CE52A5" w14:textId="77777777" w:rsidR="00466EAE" w:rsidRPr="00DB1118" w:rsidRDefault="00466EAE" w:rsidP="00583CFC">
      <w:pPr>
        <w:pStyle w:val="Institutionquisigne"/>
        <w:rPr>
          <w:noProof/>
        </w:rPr>
      </w:pPr>
      <w:r w:rsidRPr="00DB1118">
        <w:rPr>
          <w:noProof/>
        </w:rPr>
        <w:tab/>
        <w:t>Voor de Raad</w:t>
      </w:r>
    </w:p>
    <w:p w14:paraId="1745704A" w14:textId="77777777" w:rsidR="00466EAE" w:rsidRPr="00DB1118" w:rsidRDefault="00466EAE" w:rsidP="00466EAE">
      <w:pPr>
        <w:pStyle w:val="Personnequisigne"/>
        <w:rPr>
          <w:noProof/>
        </w:rPr>
      </w:pPr>
      <w:r w:rsidRPr="00DB1118">
        <w:rPr>
          <w:noProof/>
        </w:rPr>
        <w:tab/>
        <w:t>De voorzitter</w:t>
      </w:r>
    </w:p>
    <w:sectPr w:rsidR="00466EAE" w:rsidRPr="00DB1118" w:rsidSect="002E522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BDEE8" w14:textId="77777777" w:rsidR="009A57DE" w:rsidRDefault="009A57DE" w:rsidP="00466EAE">
      <w:pPr>
        <w:spacing w:before="0" w:after="0"/>
      </w:pPr>
      <w:r>
        <w:separator/>
      </w:r>
    </w:p>
  </w:endnote>
  <w:endnote w:type="continuationSeparator" w:id="0">
    <w:p w14:paraId="7381E580" w14:textId="77777777" w:rsidR="009A57DE" w:rsidRDefault="009A57DE" w:rsidP="00466EAE">
      <w:pPr>
        <w:spacing w:before="0" w:after="0"/>
      </w:pPr>
      <w:r>
        <w:continuationSeparator/>
      </w:r>
    </w:p>
  </w:endnote>
  <w:endnote w:type="continuationNotice" w:id="1">
    <w:p w14:paraId="2BB7F0CC" w14:textId="77777777" w:rsidR="009A57DE" w:rsidRDefault="009A57D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18994" w14:textId="54F35B60" w:rsidR="002E522C" w:rsidRPr="002E522C" w:rsidRDefault="002E522C" w:rsidP="002E522C">
    <w:pPr>
      <w:pStyle w:val="Footer"/>
      <w:rPr>
        <w:rFonts w:ascii="Arial" w:hAnsi="Arial" w:cs="Arial"/>
        <w:b/>
        <w:sz w:val="48"/>
      </w:rPr>
    </w:pPr>
    <w:r w:rsidRPr="002E522C">
      <w:rPr>
        <w:rFonts w:ascii="Arial" w:hAnsi="Arial" w:cs="Arial"/>
        <w:b/>
        <w:sz w:val="48"/>
      </w:rPr>
      <w:t>NL</w:t>
    </w:r>
    <w:r w:rsidRPr="002E522C">
      <w:rPr>
        <w:rFonts w:ascii="Arial" w:hAnsi="Arial" w:cs="Arial"/>
        <w:b/>
        <w:sz w:val="48"/>
      </w:rPr>
      <w:tab/>
    </w:r>
    <w:r w:rsidRPr="002E522C">
      <w:rPr>
        <w:rFonts w:ascii="Arial" w:hAnsi="Arial" w:cs="Arial"/>
        <w:b/>
        <w:sz w:val="48"/>
      </w:rPr>
      <w:tab/>
    </w:r>
    <w:r w:rsidRPr="002E522C">
      <w:tab/>
    </w:r>
    <w:r w:rsidRPr="002E522C">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6A7E" w14:textId="0107C978" w:rsidR="002E522C" w:rsidRPr="002E522C" w:rsidRDefault="002E522C" w:rsidP="002E522C">
    <w:pPr>
      <w:pStyle w:val="Footer"/>
      <w:rPr>
        <w:rFonts w:ascii="Arial" w:hAnsi="Arial" w:cs="Arial"/>
        <w:b/>
        <w:sz w:val="48"/>
      </w:rPr>
    </w:pPr>
    <w:r w:rsidRPr="002E522C">
      <w:rPr>
        <w:rFonts w:ascii="Arial" w:hAnsi="Arial" w:cs="Arial"/>
        <w:b/>
        <w:sz w:val="48"/>
      </w:rPr>
      <w:t>NL</w:t>
    </w:r>
    <w:r w:rsidRPr="002E522C">
      <w:rPr>
        <w:rFonts w:ascii="Arial" w:hAnsi="Arial" w:cs="Arial"/>
        <w:b/>
        <w:sz w:val="48"/>
      </w:rPr>
      <w:tab/>
    </w:r>
    <w:r w:rsidRPr="002E522C">
      <w:rPr>
        <w:rFonts w:ascii="Arial" w:hAnsi="Arial" w:cs="Arial"/>
        <w:b/>
        <w:sz w:val="48"/>
      </w:rPr>
      <w:tab/>
    </w:r>
    <w:r w:rsidRPr="002E522C">
      <w:tab/>
    </w:r>
    <w:r w:rsidRPr="002E522C">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F1A59" w14:textId="77777777" w:rsidR="002E522C" w:rsidRDefault="002E52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E6BF9" w14:textId="05E5BF5F" w:rsidR="002E522C" w:rsidRPr="002E522C" w:rsidRDefault="002E522C" w:rsidP="002E522C">
    <w:pPr>
      <w:pStyle w:val="Footer"/>
      <w:rPr>
        <w:rFonts w:ascii="Arial" w:hAnsi="Arial" w:cs="Arial"/>
        <w:b/>
        <w:sz w:val="48"/>
      </w:rPr>
    </w:pPr>
    <w:r w:rsidRPr="002E522C">
      <w:rPr>
        <w:rFonts w:ascii="Arial" w:hAnsi="Arial" w:cs="Arial"/>
        <w:b/>
        <w:sz w:val="48"/>
      </w:rPr>
      <w:t>NL</w:t>
    </w:r>
    <w:r w:rsidRPr="002E522C">
      <w:rPr>
        <w:rFonts w:ascii="Arial" w:hAnsi="Arial" w:cs="Arial"/>
        <w:b/>
        <w:sz w:val="48"/>
      </w:rPr>
      <w:tab/>
    </w:r>
    <w:r>
      <w:fldChar w:fldCharType="begin"/>
    </w:r>
    <w:r>
      <w:instrText xml:space="preserve"> PAGE  \* MERGEFORMAT </w:instrText>
    </w:r>
    <w:r>
      <w:fldChar w:fldCharType="separate"/>
    </w:r>
    <w:r w:rsidR="00C12BAC">
      <w:rPr>
        <w:noProof/>
      </w:rPr>
      <w:t>1</w:t>
    </w:r>
    <w:r>
      <w:fldChar w:fldCharType="end"/>
    </w:r>
    <w:r>
      <w:tab/>
    </w:r>
    <w:r w:rsidRPr="002E522C">
      <w:tab/>
    </w:r>
    <w:r w:rsidRPr="002E522C">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53023" w14:textId="77777777" w:rsidR="002E522C" w:rsidRDefault="002E522C" w:rsidP="002E5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07E01" w14:textId="77777777" w:rsidR="009A57DE" w:rsidRDefault="009A57DE" w:rsidP="00466EAE">
      <w:pPr>
        <w:spacing w:before="0" w:after="0"/>
      </w:pPr>
      <w:r>
        <w:separator/>
      </w:r>
    </w:p>
  </w:footnote>
  <w:footnote w:type="continuationSeparator" w:id="0">
    <w:p w14:paraId="3A5557A4" w14:textId="77777777" w:rsidR="009A57DE" w:rsidRDefault="009A57DE" w:rsidP="00466EAE">
      <w:pPr>
        <w:spacing w:before="0" w:after="0"/>
      </w:pPr>
      <w:r>
        <w:continuationSeparator/>
      </w:r>
    </w:p>
  </w:footnote>
  <w:footnote w:type="continuationNotice" w:id="1">
    <w:p w14:paraId="3D3101C4" w14:textId="77777777" w:rsidR="009A57DE" w:rsidRDefault="009A57DE">
      <w:pPr>
        <w:spacing w:before="0" w:after="0"/>
      </w:pPr>
    </w:p>
  </w:footnote>
  <w:footnote w:id="2">
    <w:p w14:paraId="0CF90B2D" w14:textId="77777777" w:rsidR="00466EAE" w:rsidRPr="00A9471D" w:rsidRDefault="00466EAE">
      <w:pPr>
        <w:pStyle w:val="FootnoteText"/>
        <w:rPr>
          <w:lang w:val="en-IE"/>
        </w:rPr>
      </w:pPr>
      <w:r>
        <w:rPr>
          <w:rStyle w:val="FootnoteReference"/>
        </w:rPr>
        <w:footnoteRef/>
      </w:r>
      <w:r w:rsidRPr="00A9471D">
        <w:rPr>
          <w:lang w:val="en-IE"/>
        </w:rPr>
        <w:tab/>
        <w:t>PB L, 2024/1263, 30.4.2024, ELI: http://data.europa.eu/eli/reg/2024/1263/oj.</w:t>
      </w:r>
    </w:p>
  </w:footnote>
  <w:footnote w:id="3">
    <w:p w14:paraId="492E74A5" w14:textId="77777777" w:rsidR="00466EAE" w:rsidRPr="00DB1118" w:rsidRDefault="00466EAE" w:rsidP="00466EAE">
      <w:pPr>
        <w:pStyle w:val="FootnoteText"/>
      </w:pPr>
      <w:r>
        <w:rPr>
          <w:rStyle w:val="FootnoteReference"/>
        </w:rPr>
        <w:footnoteRef/>
      </w:r>
      <w:r w:rsidRPr="00DB1118">
        <w:tab/>
        <w:t>PB L 306 van 23.11.2011, blz. 25, ELI: http://data.europa.eu/eli/reg/2011/1176/oj.</w:t>
      </w:r>
    </w:p>
  </w:footnote>
  <w:footnote w:id="4">
    <w:p w14:paraId="025BD264" w14:textId="3B1ABDA4" w:rsidR="00294B1C" w:rsidRPr="00DB1118" w:rsidRDefault="00294B1C" w:rsidP="00294B1C">
      <w:pPr>
        <w:pStyle w:val="FootnoteText"/>
        <w:rPr>
          <w:rFonts w:eastAsia="Times New Roman"/>
        </w:rPr>
      </w:pPr>
      <w:r>
        <w:rPr>
          <w:rStyle w:val="FootnoteReference"/>
        </w:rPr>
        <w:footnoteRef/>
      </w:r>
      <w:r w:rsidRPr="00DB1118">
        <w:tab/>
        <w:t>Netto-uitgaven in de zin van artikel 2, punt 2, van Verordening (EU) 2024/1263: “netto-uitgaven”: de overheidsuitgaven ongerekend: i) rente-uitgaven; ii) discretionaire maatregelen aan de ontvangstenzijde; iii) uitgaven voor programma’s van de Unie die volledig met inkomsten uit Uniefondsen worden gefinancierd; iv) nationale uitgaven voor medefinanciering van door de Unie gefinancierde programma’s; v) cyclische elementen van de uitgaven voor werkloosheidsuitkeringen; en vi) eenmalige en andere tijdelijke maatregelen.</w:t>
      </w:r>
    </w:p>
  </w:footnote>
  <w:footnote w:id="5">
    <w:p w14:paraId="163DB9BB" w14:textId="77777777" w:rsidR="00F5502A" w:rsidRPr="00DB1118" w:rsidRDefault="00F5502A">
      <w:pPr>
        <w:pStyle w:val="FootnoteText"/>
      </w:pPr>
      <w:r>
        <w:rPr>
          <w:rStyle w:val="FootnoteReference"/>
        </w:rPr>
        <w:footnoteRef/>
      </w:r>
      <w:r w:rsidRPr="00DB1118">
        <w:tab/>
        <w:t>Verordening (EU) 2021/241 van het Europees Parlement en de Raad van 12 februari 2021 tot instelling van de herstel- en veerkrachtfaciliteit (PB L 57 van 18.2.2021, blz. 17, ELI: http://data.europa.eu/eli/reg/2021/241/oj).</w:t>
      </w:r>
    </w:p>
  </w:footnote>
  <w:footnote w:id="6">
    <w:p w14:paraId="590B01F7" w14:textId="77777777" w:rsidR="00466EAE" w:rsidRPr="00DB1118" w:rsidRDefault="00466EAE" w:rsidP="00466EAE">
      <w:pPr>
        <w:pStyle w:val="FootnoteText"/>
      </w:pPr>
      <w:r>
        <w:rPr>
          <w:rStyle w:val="FootnoteReference"/>
        </w:rPr>
        <w:footnoteRef/>
      </w:r>
      <w:r w:rsidRPr="00DB1118">
        <w:tab/>
        <w:t>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 ELI: http://data.europa. eu/eli/reg/2023/435/oj).</w:t>
      </w:r>
    </w:p>
  </w:footnote>
  <w:footnote w:id="7">
    <w:p w14:paraId="16574211" w14:textId="67E2C6E4" w:rsidR="00466EAE" w:rsidRPr="00DB1118" w:rsidRDefault="00466EAE">
      <w:pPr>
        <w:pStyle w:val="FootnoteText"/>
      </w:pPr>
      <w:r>
        <w:rPr>
          <w:rStyle w:val="FootnoteReference"/>
        </w:rPr>
        <w:footnoteRef/>
      </w:r>
      <w:r w:rsidRPr="00DB1118">
        <w:tab/>
        <w:t>Uitvoeringsbesluit van de Raad van 29 oktober 2021 betreffende de goedkeuring van de beoordeling van het herstel- en veerkrachtplan voor Roemenië (12319/21 + ADD1).</w:t>
      </w:r>
    </w:p>
  </w:footnote>
  <w:footnote w:id="8">
    <w:p w14:paraId="2C8E37C8" w14:textId="2986055B" w:rsidR="00466EAE" w:rsidRPr="00DB1118" w:rsidRDefault="00466EAE" w:rsidP="00466EAE">
      <w:pPr>
        <w:pStyle w:val="FootnoteText"/>
      </w:pPr>
      <w:r>
        <w:rPr>
          <w:rStyle w:val="FootnoteReference"/>
        </w:rPr>
        <w:footnoteRef/>
      </w:r>
      <w:r w:rsidRPr="00DB1118">
        <w:tab/>
        <w:t>Uitvoeringsbesluit van de Raad van 8 december 2023 tot wijziging van het uitvoeringsbesluit van 29 oktober 2021 betreffende de goedkeuring van de beoordeling van het herstel- en veerkrachtplan voor Roemenië (ST 15833/23 + ADD1).</w:t>
      </w:r>
    </w:p>
  </w:footnote>
  <w:footnote w:id="9">
    <w:p w14:paraId="11887636" w14:textId="6286DFC2" w:rsidR="00CA2810" w:rsidRPr="00DB1118" w:rsidRDefault="00CA2810" w:rsidP="00DA0B2F">
      <w:pPr>
        <w:pStyle w:val="FootnoteText"/>
        <w:ind w:left="709" w:hanging="709"/>
        <w:rPr>
          <w:rFonts w:eastAsia="Times New Roman"/>
        </w:rPr>
      </w:pPr>
      <w:r>
        <w:rPr>
          <w:rStyle w:val="FootnoteReference"/>
        </w:rPr>
        <w:footnoteRef/>
      </w:r>
      <w:r w:rsidRPr="00DB1118">
        <w:tab/>
        <w:t xml:space="preserve">Aanbeveling van de Raad van 21 januari 2025 tot goedkeuring van het budgettair-structurele plan voor de middellange termijn van Roemenië, PB </w:t>
      </w:r>
      <w:r w:rsidRPr="00DB1118">
        <w:tab/>
        <w:t>C/2025/647 van 10.2.2025.</w:t>
      </w:r>
    </w:p>
  </w:footnote>
  <w:footnote w:id="10">
    <w:p w14:paraId="53C8C4BA" w14:textId="5274ED0A" w:rsidR="008A674E" w:rsidRPr="00DB1118" w:rsidRDefault="008A674E" w:rsidP="008A674E">
      <w:pPr>
        <w:pStyle w:val="FootnoteText"/>
        <w:ind w:left="709" w:hanging="709"/>
      </w:pPr>
      <w:r>
        <w:rPr>
          <w:rStyle w:val="FootnoteReference"/>
        </w:rPr>
        <w:footnoteRef/>
      </w:r>
      <w:r w:rsidRPr="00DB1118">
        <w:tab/>
      </w:r>
      <w:r w:rsidRPr="00DB1118">
        <w:rPr>
          <w:color w:val="000000" w:themeColor="text1"/>
        </w:rPr>
        <w:t xml:space="preserve">Aanbeveling van de Raad van 13 mei 2025 over het economisch beleid van de eurozone (PB C, C/2025/2782 van 22.5.2025, ELI: </w:t>
      </w:r>
      <w:hyperlink r:id="rId1" w:history="1">
        <w:r w:rsidRPr="00DB1118">
          <w:rPr>
            <w:rStyle w:val="Hyperlink"/>
          </w:rPr>
          <w:t>http:// data.europa.eu/eli/C/2025/2782/oj</w:t>
        </w:r>
      </w:hyperlink>
      <w:r w:rsidRPr="00DB1118">
        <w:rPr>
          <w:color w:val="000000" w:themeColor="text1"/>
        </w:rPr>
        <w:t>).)</w:t>
      </w:r>
      <w:r w:rsidRPr="00DB1118">
        <w:t xml:space="preserve"> </w:t>
      </w:r>
      <w:r w:rsidRPr="00DB1118">
        <w:tab/>
      </w:r>
    </w:p>
  </w:footnote>
  <w:footnote w:id="11">
    <w:p w14:paraId="582FFECB" w14:textId="6C6D2BF5" w:rsidR="008A674E" w:rsidRPr="00DB1118" w:rsidRDefault="008A674E">
      <w:pPr>
        <w:pStyle w:val="FootnoteText"/>
      </w:pPr>
      <w:r>
        <w:rPr>
          <w:rStyle w:val="FootnoteReference"/>
        </w:rPr>
        <w:footnoteRef/>
      </w:r>
      <w:r w:rsidRPr="00DB1118">
        <w:tab/>
        <w:t>SWD(2025) 126 final.</w:t>
      </w:r>
    </w:p>
  </w:footnote>
  <w:footnote w:id="12">
    <w:p w14:paraId="6FCBACFC" w14:textId="67E0ECFA" w:rsidR="00D4665F" w:rsidRPr="00DB1118" w:rsidRDefault="00D4665F" w:rsidP="00DA0B2F">
      <w:pPr>
        <w:pStyle w:val="FootnoteText"/>
        <w:ind w:left="709" w:hanging="709"/>
      </w:pPr>
      <w:r>
        <w:rPr>
          <w:rStyle w:val="FootnoteReference"/>
        </w:rPr>
        <w:footnoteRef/>
      </w:r>
      <w:r w:rsidRPr="00DB1118">
        <w:tab/>
        <w:t>Aanbeveling van de Raad om het buitensporige overheidstekort in Roemenië te verhelpen, C/2025/5038.</w:t>
      </w:r>
    </w:p>
  </w:footnote>
  <w:footnote w:id="13">
    <w:p w14:paraId="73B831BC" w14:textId="1CFF24E4" w:rsidR="00D4665F" w:rsidRPr="00DB1118" w:rsidRDefault="00D4665F" w:rsidP="00DA0B2F">
      <w:pPr>
        <w:spacing w:before="0" w:after="0"/>
        <w:ind w:left="709" w:hanging="709"/>
      </w:pPr>
      <w:r>
        <w:rPr>
          <w:rStyle w:val="FootnoteReference"/>
        </w:rPr>
        <w:footnoteRef/>
      </w:r>
      <w:r w:rsidRPr="00DB1118">
        <w:tab/>
      </w:r>
      <w:r w:rsidRPr="00DB1118">
        <w:rPr>
          <w:sz w:val="20"/>
        </w:rPr>
        <w:t>Eurostat Euro-indicatoren van 22 april 2025.</w:t>
      </w:r>
    </w:p>
  </w:footnote>
  <w:footnote w:id="14">
    <w:p w14:paraId="7C58F29A" w14:textId="775FD5F3" w:rsidR="00D4665F" w:rsidRPr="00DB1118" w:rsidRDefault="00D4665F" w:rsidP="000D471D">
      <w:pPr>
        <w:pStyle w:val="FootnoteText"/>
        <w:spacing w:after="120"/>
        <w:ind w:left="709" w:hanging="709"/>
      </w:pPr>
      <w:r>
        <w:rPr>
          <w:rStyle w:val="FootnoteReference"/>
        </w:rPr>
        <w:footnoteRef/>
      </w:r>
      <w:r w:rsidRPr="00DB1118">
        <w:tab/>
        <w:t>De begrotingskoers wordt afgemeten aan de jaarlijkse verandering in de onderliggende begrotingssituatie van de overheid. Die koers heeft tot doel de economische impuls te beoordelen die voortvloeit uit het begrotingsbeleid, zowel dat wat nationaal wordt gefinancierd als dat wat uit de EU-begroting wordt gefinancierd. De begrotingskoers wordt gemeten als het verschil tussen i) het groeipotentieel op middellange termijn en ii) de verandering in de primaire uitgaven ongerekend discretionaire maatregelen aan de ontvangstenzijde, maar inclusief de uitgaven gefinancierd door niet-terugbetaalbare steun (subsidies) van de herstel- en veerkrachtfaciliteit en andere EU-fondsen.</w:t>
      </w:r>
    </w:p>
  </w:footnote>
  <w:footnote w:id="15">
    <w:p w14:paraId="7B600124" w14:textId="00D798A3" w:rsidR="00D4665F" w:rsidRPr="00DB1118" w:rsidRDefault="00D4665F" w:rsidP="000D471D">
      <w:pPr>
        <w:ind w:left="709" w:hanging="709"/>
      </w:pPr>
      <w:r>
        <w:rPr>
          <w:rStyle w:val="FootnoteReference"/>
        </w:rPr>
        <w:footnoteRef/>
      </w:r>
      <w:r w:rsidRPr="00DB1118">
        <w:tab/>
      </w:r>
      <w:r w:rsidRPr="00DB1118">
        <w:rPr>
          <w:sz w:val="20"/>
        </w:rPr>
        <w:t xml:space="preserve">Eurostat, overheidsuitgaven uitgesplitst naar classificatie van overheidsfuncties (COFOG). </w:t>
      </w:r>
    </w:p>
  </w:footnote>
  <w:footnote w:id="16">
    <w:p w14:paraId="2D18C461" w14:textId="0BC09B48" w:rsidR="00D4665F" w:rsidRPr="00DB1118" w:rsidRDefault="00D4665F" w:rsidP="000D471D">
      <w:pPr>
        <w:pStyle w:val="FootnoteText"/>
        <w:spacing w:after="120"/>
        <w:ind w:left="709" w:hanging="709"/>
      </w:pPr>
      <w:r>
        <w:rPr>
          <w:rStyle w:val="FootnoteReference"/>
        </w:rPr>
        <w:footnoteRef/>
      </w:r>
      <w:r w:rsidRPr="00DB1118">
        <w:tab/>
        <w:t>Aanbeveling van de Raad van 21 oktober 2024 inzake het economisch, sociaal, werkgelegenheids-, structuur- en begrotingsbeleid van Roemenië, PB C/2024/6830x van 29.11.2024.</w:t>
      </w:r>
    </w:p>
  </w:footnote>
  <w:footnote w:id="17">
    <w:p w14:paraId="2A329249" w14:textId="210910ED" w:rsidR="00D4665F" w:rsidRPr="00DB1118" w:rsidRDefault="00D4665F" w:rsidP="000D471D">
      <w:pPr>
        <w:pStyle w:val="FootnoteText"/>
        <w:spacing w:after="120"/>
        <w:ind w:left="709" w:hanging="709"/>
      </w:pPr>
      <w:r>
        <w:rPr>
          <w:rStyle w:val="FootnoteReference"/>
        </w:rPr>
        <w:footnoteRef/>
      </w:r>
      <w:r w:rsidRPr="00DB1118">
        <w:tab/>
        <w:t>Vanaf 2026 zullen deze cijfers worden opgenomen in de controlerekening die is opgezet op grond van artikel 22 van Verordening (EU) 2024/1263.</w:t>
      </w:r>
    </w:p>
  </w:footnote>
  <w:footnote w:id="18">
    <w:p w14:paraId="612E9EFA" w14:textId="1E2DA256" w:rsidR="00B51B64" w:rsidRPr="00DB1118" w:rsidRDefault="00B51B64">
      <w:pPr>
        <w:pStyle w:val="FootnoteText"/>
      </w:pPr>
      <w:r>
        <w:rPr>
          <w:rStyle w:val="FootnoteReference"/>
        </w:rPr>
        <w:footnoteRef/>
      </w:r>
      <w:r w:rsidRPr="00DB1118">
        <w:tab/>
        <w:t>Voorstel voor een VERORDENING VAN HET EUROPEES PARLEMENT EN DE RAAD tot wijziging van Verordening (EU) 2021/1058 en Verordening (EU) 2021/1056 wat betreft specifieke maatregelen voor het aanpakken van strategische uitdagingen in het kader van de tussentijdse evaluatie, COM(2025) 123 final.</w:t>
      </w:r>
    </w:p>
  </w:footnote>
  <w:footnote w:id="19">
    <w:p w14:paraId="1F9585A2" w14:textId="49705D1B" w:rsidR="7AEEFFCC" w:rsidRPr="00A9471D" w:rsidRDefault="7AEEFFCC" w:rsidP="40732A48">
      <w:pPr>
        <w:pStyle w:val="FootnoteText"/>
        <w:rPr>
          <w:rFonts w:eastAsia="Times New Roman"/>
          <w:color w:val="000000" w:themeColor="text1"/>
          <w:sz w:val="19"/>
          <w:szCs w:val="19"/>
          <w:lang w:val="en-IE"/>
        </w:rPr>
      </w:pPr>
      <w:r>
        <w:rPr>
          <w:rStyle w:val="FootnoteReference"/>
        </w:rPr>
        <w:footnoteRef/>
      </w:r>
      <w:r w:rsidRPr="00A9471D">
        <w:rPr>
          <w:lang w:val="en-IE"/>
        </w:rPr>
        <w:tab/>
      </w:r>
      <w:r w:rsidRPr="00A9471D">
        <w:rPr>
          <w:color w:val="000000" w:themeColor="text1"/>
          <w:sz w:val="19"/>
          <w:lang w:val="en-IE"/>
        </w:rPr>
        <w:t>Flash-rapport “Businesses’ attitudes towards corruption in the EU”, Eurobarometer-rapport (april 2024).</w:t>
      </w:r>
    </w:p>
  </w:footnote>
  <w:footnote w:id="20">
    <w:p w14:paraId="5A71D995" w14:textId="5404F745" w:rsidR="7244574F" w:rsidRPr="00DB1118" w:rsidRDefault="7244574F" w:rsidP="40732A48">
      <w:pPr>
        <w:pStyle w:val="FootnoteText"/>
      </w:pPr>
      <w:r>
        <w:rPr>
          <w:rStyle w:val="FootnoteReference"/>
        </w:rPr>
        <w:footnoteRef/>
      </w:r>
      <w:r w:rsidRPr="00DB1118">
        <w:tab/>
        <w:t>Noodverordeningen van de regering zijn wetgevingshandelingen die de rechtskracht van een wet hebben. Volgens artikel 115 van de Roemeense grondwet kan de regering alleen noodverordeningen vaststellen in uitzonderlijke situaties waarin deze onverwijld moeten worden vastgesteld. Deze urgentie moet worden onderbouwd. De noodverordeningen treden in werking nadat zij ter discussie zijn voorgelegd aan de bevoegde kamer van het Parlement en zijn bekendgemaakt in het Publicatieblad. Vervolgens moeten zij bij wet worden goedgekeurd in het parlement. Noodverordeningen sorteren echter al vanaf de datum van inwerkingtreding rechtsgevolgen.</w:t>
      </w:r>
    </w:p>
  </w:footnote>
  <w:footnote w:id="21">
    <w:p w14:paraId="2C61A4A3" w14:textId="411A7F0F" w:rsidR="003371E9" w:rsidRPr="00DB1118" w:rsidRDefault="003371E9">
      <w:pPr>
        <w:pStyle w:val="FootnoteText"/>
      </w:pPr>
      <w:r>
        <w:rPr>
          <w:rStyle w:val="FootnoteReference"/>
        </w:rPr>
        <w:footnoteRef/>
      </w:r>
      <w:r w:rsidRPr="00DB1118">
        <w:tab/>
        <w:t>Zie bijvoorbeeld “OECD Economic Surveys: Romania, 2024.</w:t>
      </w:r>
    </w:p>
  </w:footnote>
  <w:footnote w:id="22">
    <w:p w14:paraId="0AC1B100" w14:textId="06E54537" w:rsidR="3A52E4AA" w:rsidRPr="00DB1118" w:rsidRDefault="3A52E4AA" w:rsidP="40732A48">
      <w:pPr>
        <w:pStyle w:val="FootnoteText"/>
        <w:rPr>
          <w:rFonts w:eastAsia="Times New Roman"/>
        </w:rPr>
      </w:pPr>
      <w:r>
        <w:rPr>
          <w:rStyle w:val="FootnoteReference"/>
        </w:rPr>
        <w:footnoteRef/>
      </w:r>
      <w:r w:rsidRPr="00DB1118">
        <w:tab/>
      </w:r>
      <w:hyperlink r:id="rId2" w:history="1">
        <w:r w:rsidRPr="00DB1118">
          <w:rPr>
            <w:rStyle w:val="Hyperlink"/>
            <w:color w:val="auto"/>
            <w:u w:val="none"/>
          </w:rPr>
          <w:t>SWD (2025) 95 — Tweede landenanalyse inzake sociale convergentie in overeenstemming met het kader voor sociale convergentie</w:t>
        </w:r>
      </w:hyperlink>
      <w:r w:rsidRPr="00DB1118">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15AFD" w14:textId="77777777" w:rsidR="002E522C" w:rsidRDefault="002E5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EDCF0" w14:textId="77777777" w:rsidR="002E522C" w:rsidRDefault="002E5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81E0F4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392167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922964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D3C95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6-12 11:08: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D159875-041D-442E-9A60-F5E9049247DA"/>
    <w:docVar w:name="LW_COVERPAGE_TYPE" w:val="1"/>
    <w:docVar w:name="LW_CreatedUtc" w:val="2025-04-09T14:06:11.3484826Z"/>
    <w:docVar w:name="LW_CROSSREFERENCE" w:val="{SWD(2025) 223 final}"/>
    <w:docVar w:name="LW_DocType" w:val="COM"/>
    <w:docVar w:name="LW_EMISSION" w:val="4.6.2025"/>
    <w:docVar w:name="LW_EMISSION_ISODATE" w:val="2025-06-04"/>
    <w:docVar w:name="LW_EMISSION_LOCATION" w:val="BRX"/>
    <w:docVar w:name="LW_EMISSION_PREFIX" w:val="Brussel,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lt;UNUSED&gt;"/>
    <w:docVar w:name="LW_REF.II.NEW.CP_NUMBER" w:val="&lt;UNUSED&gt;"/>
    <w:docVar w:name="LW_REF.II.NEW.CP_YEAR" w:val="2025"/>
    <w:docVar w:name="LW_REF.INST.NEW" w:val="COM"/>
    <w:docVar w:name="LW_REF.INST.NEW_ADOPTED" w:val="final"/>
    <w:docVar w:name="LW_REF.INST.NEW_TEXT" w:val="(2025) 2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Aanbeveling voor een"/>
    <w:docVar w:name="LW_SUPERTITRE" w:val="&lt;UNUSED&gt;"/>
    <w:docVar w:name="LW_TITRE.OBJ.CP" w:val="inzake het economisch, sociaal, werkgelegenheids-, structuur- en begrotingsbeleid van Roemenië"/>
    <w:docVar w:name="LW_TYPE.DOC.CP" w:val="AANBEVELING VAN DE RAAD"/>
    <w:docVar w:name="LwApiVersions" w:val="LW4CoDe 1.24.5.0; LW 9.0, Build 20240221"/>
  </w:docVars>
  <w:rsids>
    <w:rsidRoot w:val="00466EAE"/>
    <w:rsid w:val="000000E5"/>
    <w:rsid w:val="0000023B"/>
    <w:rsid w:val="00000324"/>
    <w:rsid w:val="00000792"/>
    <w:rsid w:val="00000C58"/>
    <w:rsid w:val="00000F5E"/>
    <w:rsid w:val="00001729"/>
    <w:rsid w:val="00001DF9"/>
    <w:rsid w:val="00002138"/>
    <w:rsid w:val="000025E9"/>
    <w:rsid w:val="00002A68"/>
    <w:rsid w:val="00002FC3"/>
    <w:rsid w:val="000033EE"/>
    <w:rsid w:val="00003588"/>
    <w:rsid w:val="000036A3"/>
    <w:rsid w:val="0000372B"/>
    <w:rsid w:val="00003ACF"/>
    <w:rsid w:val="00003FA1"/>
    <w:rsid w:val="00004204"/>
    <w:rsid w:val="00004700"/>
    <w:rsid w:val="00004D0A"/>
    <w:rsid w:val="00004EBB"/>
    <w:rsid w:val="00005269"/>
    <w:rsid w:val="00005474"/>
    <w:rsid w:val="00005E0C"/>
    <w:rsid w:val="00005E34"/>
    <w:rsid w:val="00005FEA"/>
    <w:rsid w:val="0000669B"/>
    <w:rsid w:val="0000719D"/>
    <w:rsid w:val="00007326"/>
    <w:rsid w:val="0000742F"/>
    <w:rsid w:val="000079D5"/>
    <w:rsid w:val="00007A6E"/>
    <w:rsid w:val="00007C51"/>
    <w:rsid w:val="00007D85"/>
    <w:rsid w:val="00007DAB"/>
    <w:rsid w:val="00010222"/>
    <w:rsid w:val="0001062D"/>
    <w:rsid w:val="00010980"/>
    <w:rsid w:val="00010BB3"/>
    <w:rsid w:val="0001100D"/>
    <w:rsid w:val="000114F5"/>
    <w:rsid w:val="0001163B"/>
    <w:rsid w:val="00011882"/>
    <w:rsid w:val="000119D0"/>
    <w:rsid w:val="00011B26"/>
    <w:rsid w:val="00011C68"/>
    <w:rsid w:val="000121CE"/>
    <w:rsid w:val="0001249C"/>
    <w:rsid w:val="00012B48"/>
    <w:rsid w:val="00012F96"/>
    <w:rsid w:val="000135DD"/>
    <w:rsid w:val="0001373F"/>
    <w:rsid w:val="000138E5"/>
    <w:rsid w:val="00013A9C"/>
    <w:rsid w:val="00013C9F"/>
    <w:rsid w:val="00013EF4"/>
    <w:rsid w:val="00014A9D"/>
    <w:rsid w:val="00015757"/>
    <w:rsid w:val="00015FDA"/>
    <w:rsid w:val="00015FE6"/>
    <w:rsid w:val="00016016"/>
    <w:rsid w:val="00016144"/>
    <w:rsid w:val="0001624A"/>
    <w:rsid w:val="0001630B"/>
    <w:rsid w:val="00016B4B"/>
    <w:rsid w:val="00017523"/>
    <w:rsid w:val="00017D65"/>
    <w:rsid w:val="00017E16"/>
    <w:rsid w:val="00017F66"/>
    <w:rsid w:val="00017F7B"/>
    <w:rsid w:val="0001BCC1"/>
    <w:rsid w:val="00020956"/>
    <w:rsid w:val="00020B6F"/>
    <w:rsid w:val="00020BE0"/>
    <w:rsid w:val="00020D38"/>
    <w:rsid w:val="00020DD3"/>
    <w:rsid w:val="0002185E"/>
    <w:rsid w:val="00021A3B"/>
    <w:rsid w:val="00021CDE"/>
    <w:rsid w:val="0002264E"/>
    <w:rsid w:val="0002270B"/>
    <w:rsid w:val="00022CD9"/>
    <w:rsid w:val="00022D5E"/>
    <w:rsid w:val="0002364F"/>
    <w:rsid w:val="0002368D"/>
    <w:rsid w:val="0002388D"/>
    <w:rsid w:val="00023C6A"/>
    <w:rsid w:val="00023F26"/>
    <w:rsid w:val="00024032"/>
    <w:rsid w:val="0002477F"/>
    <w:rsid w:val="0002491A"/>
    <w:rsid w:val="00024DD4"/>
    <w:rsid w:val="00024E1C"/>
    <w:rsid w:val="0002539E"/>
    <w:rsid w:val="0002589A"/>
    <w:rsid w:val="0002590C"/>
    <w:rsid w:val="00025B9E"/>
    <w:rsid w:val="0002620B"/>
    <w:rsid w:val="00026655"/>
    <w:rsid w:val="000269CA"/>
    <w:rsid w:val="00026B6A"/>
    <w:rsid w:val="00027610"/>
    <w:rsid w:val="00027982"/>
    <w:rsid w:val="000303AB"/>
    <w:rsid w:val="00030859"/>
    <w:rsid w:val="0003090C"/>
    <w:rsid w:val="00030B1A"/>
    <w:rsid w:val="00030C46"/>
    <w:rsid w:val="00030E0C"/>
    <w:rsid w:val="000310CF"/>
    <w:rsid w:val="00031369"/>
    <w:rsid w:val="00031370"/>
    <w:rsid w:val="0003143B"/>
    <w:rsid w:val="000318D6"/>
    <w:rsid w:val="000320DA"/>
    <w:rsid w:val="000323CB"/>
    <w:rsid w:val="00032527"/>
    <w:rsid w:val="00032971"/>
    <w:rsid w:val="00032B5C"/>
    <w:rsid w:val="00032DDE"/>
    <w:rsid w:val="000330CD"/>
    <w:rsid w:val="00033200"/>
    <w:rsid w:val="00033254"/>
    <w:rsid w:val="00033329"/>
    <w:rsid w:val="00033347"/>
    <w:rsid w:val="00033462"/>
    <w:rsid w:val="00033E68"/>
    <w:rsid w:val="0003433D"/>
    <w:rsid w:val="000343F9"/>
    <w:rsid w:val="000345B4"/>
    <w:rsid w:val="0003480D"/>
    <w:rsid w:val="00034881"/>
    <w:rsid w:val="00034B24"/>
    <w:rsid w:val="0003500F"/>
    <w:rsid w:val="00035E7F"/>
    <w:rsid w:val="000362BA"/>
    <w:rsid w:val="0003649C"/>
    <w:rsid w:val="0003659C"/>
    <w:rsid w:val="00036DEB"/>
    <w:rsid w:val="0003703C"/>
    <w:rsid w:val="000375B8"/>
    <w:rsid w:val="000378D9"/>
    <w:rsid w:val="00037C54"/>
    <w:rsid w:val="0004023A"/>
    <w:rsid w:val="00040787"/>
    <w:rsid w:val="00040AAB"/>
    <w:rsid w:val="00040D10"/>
    <w:rsid w:val="0004105E"/>
    <w:rsid w:val="0004111F"/>
    <w:rsid w:val="00041613"/>
    <w:rsid w:val="00041686"/>
    <w:rsid w:val="000416CF"/>
    <w:rsid w:val="00041E2C"/>
    <w:rsid w:val="00041FBB"/>
    <w:rsid w:val="00042BA2"/>
    <w:rsid w:val="00043145"/>
    <w:rsid w:val="000432A4"/>
    <w:rsid w:val="00043520"/>
    <w:rsid w:val="00043839"/>
    <w:rsid w:val="00043B9A"/>
    <w:rsid w:val="00044209"/>
    <w:rsid w:val="000443A8"/>
    <w:rsid w:val="00044721"/>
    <w:rsid w:val="000447BC"/>
    <w:rsid w:val="00044AE6"/>
    <w:rsid w:val="00044E00"/>
    <w:rsid w:val="0004521D"/>
    <w:rsid w:val="000457E2"/>
    <w:rsid w:val="00045A15"/>
    <w:rsid w:val="00045FE5"/>
    <w:rsid w:val="0004604A"/>
    <w:rsid w:val="00046073"/>
    <w:rsid w:val="00046081"/>
    <w:rsid w:val="0004652F"/>
    <w:rsid w:val="00046A5C"/>
    <w:rsid w:val="00046DFE"/>
    <w:rsid w:val="00046EF8"/>
    <w:rsid w:val="00047434"/>
    <w:rsid w:val="000476CA"/>
    <w:rsid w:val="00047F3F"/>
    <w:rsid w:val="0005008F"/>
    <w:rsid w:val="000500BE"/>
    <w:rsid w:val="000508E4"/>
    <w:rsid w:val="000513CB"/>
    <w:rsid w:val="0005164B"/>
    <w:rsid w:val="00051650"/>
    <w:rsid w:val="00051D36"/>
    <w:rsid w:val="0005230D"/>
    <w:rsid w:val="00052447"/>
    <w:rsid w:val="000524EC"/>
    <w:rsid w:val="00052C43"/>
    <w:rsid w:val="00052DDC"/>
    <w:rsid w:val="00052F2F"/>
    <w:rsid w:val="00053D02"/>
    <w:rsid w:val="00053DBD"/>
    <w:rsid w:val="00054397"/>
    <w:rsid w:val="00054401"/>
    <w:rsid w:val="00054985"/>
    <w:rsid w:val="00054C15"/>
    <w:rsid w:val="00055369"/>
    <w:rsid w:val="000553D3"/>
    <w:rsid w:val="00055416"/>
    <w:rsid w:val="00055418"/>
    <w:rsid w:val="00055484"/>
    <w:rsid w:val="0005549E"/>
    <w:rsid w:val="000557E8"/>
    <w:rsid w:val="00055B33"/>
    <w:rsid w:val="00055B65"/>
    <w:rsid w:val="00055CAC"/>
    <w:rsid w:val="00055E16"/>
    <w:rsid w:val="000562E1"/>
    <w:rsid w:val="0005634E"/>
    <w:rsid w:val="000566E6"/>
    <w:rsid w:val="000567CA"/>
    <w:rsid w:val="00056876"/>
    <w:rsid w:val="00056D8A"/>
    <w:rsid w:val="00056ED1"/>
    <w:rsid w:val="0005763E"/>
    <w:rsid w:val="00057AC6"/>
    <w:rsid w:val="00057BAA"/>
    <w:rsid w:val="00057CD8"/>
    <w:rsid w:val="00060177"/>
    <w:rsid w:val="000602D7"/>
    <w:rsid w:val="00060547"/>
    <w:rsid w:val="000607BC"/>
    <w:rsid w:val="00060926"/>
    <w:rsid w:val="000609AC"/>
    <w:rsid w:val="00060E06"/>
    <w:rsid w:val="000615F4"/>
    <w:rsid w:val="00061CD6"/>
    <w:rsid w:val="00061D83"/>
    <w:rsid w:val="00062215"/>
    <w:rsid w:val="00062670"/>
    <w:rsid w:val="000626C7"/>
    <w:rsid w:val="00062779"/>
    <w:rsid w:val="00062D68"/>
    <w:rsid w:val="0006343E"/>
    <w:rsid w:val="00063833"/>
    <w:rsid w:val="0006414E"/>
    <w:rsid w:val="00064521"/>
    <w:rsid w:val="000645BA"/>
    <w:rsid w:val="000647C1"/>
    <w:rsid w:val="00064826"/>
    <w:rsid w:val="00064924"/>
    <w:rsid w:val="00064D07"/>
    <w:rsid w:val="00064D83"/>
    <w:rsid w:val="00065555"/>
    <w:rsid w:val="000656AC"/>
    <w:rsid w:val="00065C53"/>
    <w:rsid w:val="0006678D"/>
    <w:rsid w:val="00066886"/>
    <w:rsid w:val="0006738B"/>
    <w:rsid w:val="0006766A"/>
    <w:rsid w:val="000679A6"/>
    <w:rsid w:val="00067AA2"/>
    <w:rsid w:val="00067B5D"/>
    <w:rsid w:val="00067C67"/>
    <w:rsid w:val="00067F8E"/>
    <w:rsid w:val="0006A076"/>
    <w:rsid w:val="0007002D"/>
    <w:rsid w:val="000703B3"/>
    <w:rsid w:val="000706B8"/>
    <w:rsid w:val="000706D1"/>
    <w:rsid w:val="00070985"/>
    <w:rsid w:val="00070E55"/>
    <w:rsid w:val="000711F4"/>
    <w:rsid w:val="00071791"/>
    <w:rsid w:val="0007183E"/>
    <w:rsid w:val="000719C5"/>
    <w:rsid w:val="00072003"/>
    <w:rsid w:val="00072176"/>
    <w:rsid w:val="00072294"/>
    <w:rsid w:val="000725D1"/>
    <w:rsid w:val="000727E5"/>
    <w:rsid w:val="00072D42"/>
    <w:rsid w:val="00072F15"/>
    <w:rsid w:val="000734CF"/>
    <w:rsid w:val="000739B8"/>
    <w:rsid w:val="00073BB4"/>
    <w:rsid w:val="00073CD5"/>
    <w:rsid w:val="00074044"/>
    <w:rsid w:val="00074332"/>
    <w:rsid w:val="0007466F"/>
    <w:rsid w:val="00074722"/>
    <w:rsid w:val="00074E79"/>
    <w:rsid w:val="000753F3"/>
    <w:rsid w:val="00075772"/>
    <w:rsid w:val="0007585E"/>
    <w:rsid w:val="000761C3"/>
    <w:rsid w:val="00076554"/>
    <w:rsid w:val="00076B3A"/>
    <w:rsid w:val="00076C1D"/>
    <w:rsid w:val="00077104"/>
    <w:rsid w:val="00077986"/>
    <w:rsid w:val="00077C7D"/>
    <w:rsid w:val="0008038E"/>
    <w:rsid w:val="00080623"/>
    <w:rsid w:val="00080880"/>
    <w:rsid w:val="000809B8"/>
    <w:rsid w:val="00080F95"/>
    <w:rsid w:val="000812A6"/>
    <w:rsid w:val="00081681"/>
    <w:rsid w:val="00081BBF"/>
    <w:rsid w:val="00081BC7"/>
    <w:rsid w:val="00081DD2"/>
    <w:rsid w:val="00081E15"/>
    <w:rsid w:val="0008269C"/>
    <w:rsid w:val="00082C11"/>
    <w:rsid w:val="000830D0"/>
    <w:rsid w:val="00083732"/>
    <w:rsid w:val="000837C7"/>
    <w:rsid w:val="000838B2"/>
    <w:rsid w:val="000838E5"/>
    <w:rsid w:val="00083A4D"/>
    <w:rsid w:val="00083A98"/>
    <w:rsid w:val="00083C97"/>
    <w:rsid w:val="00083D3D"/>
    <w:rsid w:val="00083DD8"/>
    <w:rsid w:val="00083F98"/>
    <w:rsid w:val="00084281"/>
    <w:rsid w:val="00084867"/>
    <w:rsid w:val="000851A0"/>
    <w:rsid w:val="00085564"/>
    <w:rsid w:val="00085616"/>
    <w:rsid w:val="00085657"/>
    <w:rsid w:val="000858BE"/>
    <w:rsid w:val="000858EE"/>
    <w:rsid w:val="00085934"/>
    <w:rsid w:val="00085F7A"/>
    <w:rsid w:val="00086778"/>
    <w:rsid w:val="000868EA"/>
    <w:rsid w:val="00086AE4"/>
    <w:rsid w:val="00086D96"/>
    <w:rsid w:val="00086E05"/>
    <w:rsid w:val="0008733B"/>
    <w:rsid w:val="00087382"/>
    <w:rsid w:val="0008738C"/>
    <w:rsid w:val="0008741B"/>
    <w:rsid w:val="000900E9"/>
    <w:rsid w:val="00090995"/>
    <w:rsid w:val="0009124D"/>
    <w:rsid w:val="00091331"/>
    <w:rsid w:val="000914DF"/>
    <w:rsid w:val="000917EA"/>
    <w:rsid w:val="00091858"/>
    <w:rsid w:val="00092483"/>
    <w:rsid w:val="00092F25"/>
    <w:rsid w:val="00093164"/>
    <w:rsid w:val="0009346C"/>
    <w:rsid w:val="0009390B"/>
    <w:rsid w:val="0009412E"/>
    <w:rsid w:val="000942C3"/>
    <w:rsid w:val="000949C7"/>
    <w:rsid w:val="00094B83"/>
    <w:rsid w:val="00095249"/>
    <w:rsid w:val="00095BAD"/>
    <w:rsid w:val="0009650B"/>
    <w:rsid w:val="00096611"/>
    <w:rsid w:val="000966E3"/>
    <w:rsid w:val="000966E7"/>
    <w:rsid w:val="00096A1D"/>
    <w:rsid w:val="00096C50"/>
    <w:rsid w:val="00096EAC"/>
    <w:rsid w:val="000976E2"/>
    <w:rsid w:val="000979AC"/>
    <w:rsid w:val="000A0079"/>
    <w:rsid w:val="000A053E"/>
    <w:rsid w:val="000A07EF"/>
    <w:rsid w:val="000A0B58"/>
    <w:rsid w:val="000A0B6E"/>
    <w:rsid w:val="000A0CFE"/>
    <w:rsid w:val="000A0D84"/>
    <w:rsid w:val="000A0FA9"/>
    <w:rsid w:val="000A13F5"/>
    <w:rsid w:val="000A1465"/>
    <w:rsid w:val="000A1635"/>
    <w:rsid w:val="000A1698"/>
    <w:rsid w:val="000A177C"/>
    <w:rsid w:val="000A2466"/>
    <w:rsid w:val="000A2725"/>
    <w:rsid w:val="000A2E8A"/>
    <w:rsid w:val="000A2E9A"/>
    <w:rsid w:val="000A2F07"/>
    <w:rsid w:val="000A2F55"/>
    <w:rsid w:val="000A2F88"/>
    <w:rsid w:val="000A3105"/>
    <w:rsid w:val="000A34CC"/>
    <w:rsid w:val="000A375C"/>
    <w:rsid w:val="000A37F5"/>
    <w:rsid w:val="000A3D2A"/>
    <w:rsid w:val="000A3E6C"/>
    <w:rsid w:val="000A4485"/>
    <w:rsid w:val="000A49A0"/>
    <w:rsid w:val="000A4BF5"/>
    <w:rsid w:val="000A51D5"/>
    <w:rsid w:val="000A5204"/>
    <w:rsid w:val="000A52FC"/>
    <w:rsid w:val="000A5392"/>
    <w:rsid w:val="000A5426"/>
    <w:rsid w:val="000A6136"/>
    <w:rsid w:val="000A63AD"/>
    <w:rsid w:val="000A65EB"/>
    <w:rsid w:val="000A672E"/>
    <w:rsid w:val="000A67F8"/>
    <w:rsid w:val="000A694F"/>
    <w:rsid w:val="000A6B16"/>
    <w:rsid w:val="000A6BEC"/>
    <w:rsid w:val="000A7100"/>
    <w:rsid w:val="000A7115"/>
    <w:rsid w:val="000A7416"/>
    <w:rsid w:val="000A7433"/>
    <w:rsid w:val="000A7739"/>
    <w:rsid w:val="000A7741"/>
    <w:rsid w:val="000B08BB"/>
    <w:rsid w:val="000B0B1F"/>
    <w:rsid w:val="000B0B92"/>
    <w:rsid w:val="000B10D9"/>
    <w:rsid w:val="000B14B6"/>
    <w:rsid w:val="000B1979"/>
    <w:rsid w:val="000B215D"/>
    <w:rsid w:val="000B2933"/>
    <w:rsid w:val="000B29A3"/>
    <w:rsid w:val="000B2B8E"/>
    <w:rsid w:val="000B3199"/>
    <w:rsid w:val="000B3DF8"/>
    <w:rsid w:val="000B435D"/>
    <w:rsid w:val="000B444F"/>
    <w:rsid w:val="000B46BC"/>
    <w:rsid w:val="000B46EC"/>
    <w:rsid w:val="000B4781"/>
    <w:rsid w:val="000B49F1"/>
    <w:rsid w:val="000B4A54"/>
    <w:rsid w:val="000B4F69"/>
    <w:rsid w:val="000B4FE5"/>
    <w:rsid w:val="000B5263"/>
    <w:rsid w:val="000B566D"/>
    <w:rsid w:val="000B5894"/>
    <w:rsid w:val="000B5B1C"/>
    <w:rsid w:val="000B5E76"/>
    <w:rsid w:val="000B6137"/>
    <w:rsid w:val="000B649B"/>
    <w:rsid w:val="000B6B1F"/>
    <w:rsid w:val="000B6C5D"/>
    <w:rsid w:val="000B76D9"/>
    <w:rsid w:val="000B799F"/>
    <w:rsid w:val="000C00FE"/>
    <w:rsid w:val="000C01EB"/>
    <w:rsid w:val="000C04AB"/>
    <w:rsid w:val="000C04E8"/>
    <w:rsid w:val="000C05AB"/>
    <w:rsid w:val="000C080A"/>
    <w:rsid w:val="000C0855"/>
    <w:rsid w:val="000C109B"/>
    <w:rsid w:val="000C133E"/>
    <w:rsid w:val="000C135A"/>
    <w:rsid w:val="000C1437"/>
    <w:rsid w:val="000C1700"/>
    <w:rsid w:val="000C181A"/>
    <w:rsid w:val="000C1823"/>
    <w:rsid w:val="000C2545"/>
    <w:rsid w:val="000C2737"/>
    <w:rsid w:val="000C2A68"/>
    <w:rsid w:val="000C2BFB"/>
    <w:rsid w:val="000C2C32"/>
    <w:rsid w:val="000C330B"/>
    <w:rsid w:val="000C4147"/>
    <w:rsid w:val="000C49AB"/>
    <w:rsid w:val="000C4E17"/>
    <w:rsid w:val="000C4EEE"/>
    <w:rsid w:val="000C515B"/>
    <w:rsid w:val="000C58D6"/>
    <w:rsid w:val="000C59D5"/>
    <w:rsid w:val="000C5AC9"/>
    <w:rsid w:val="000C5B6D"/>
    <w:rsid w:val="000C5B85"/>
    <w:rsid w:val="000C5F91"/>
    <w:rsid w:val="000C6959"/>
    <w:rsid w:val="000C6A55"/>
    <w:rsid w:val="000C70BD"/>
    <w:rsid w:val="000C7F48"/>
    <w:rsid w:val="000D09D5"/>
    <w:rsid w:val="000D09FE"/>
    <w:rsid w:val="000D0BDB"/>
    <w:rsid w:val="000D0E98"/>
    <w:rsid w:val="000D0EC7"/>
    <w:rsid w:val="000D15B0"/>
    <w:rsid w:val="000D166D"/>
    <w:rsid w:val="000D186F"/>
    <w:rsid w:val="000D1D01"/>
    <w:rsid w:val="000D22D5"/>
    <w:rsid w:val="000D241F"/>
    <w:rsid w:val="000D3767"/>
    <w:rsid w:val="000D38FD"/>
    <w:rsid w:val="000D39D0"/>
    <w:rsid w:val="000D4000"/>
    <w:rsid w:val="000D4006"/>
    <w:rsid w:val="000D471D"/>
    <w:rsid w:val="000D49CA"/>
    <w:rsid w:val="000D589B"/>
    <w:rsid w:val="000D5D2D"/>
    <w:rsid w:val="000D5EAE"/>
    <w:rsid w:val="000D63B2"/>
    <w:rsid w:val="000D6401"/>
    <w:rsid w:val="000D6412"/>
    <w:rsid w:val="000D64E4"/>
    <w:rsid w:val="000D66BB"/>
    <w:rsid w:val="000D697B"/>
    <w:rsid w:val="000D6B78"/>
    <w:rsid w:val="000D6EFE"/>
    <w:rsid w:val="000D71AB"/>
    <w:rsid w:val="000E083B"/>
    <w:rsid w:val="000E0850"/>
    <w:rsid w:val="000E0969"/>
    <w:rsid w:val="000E0FF6"/>
    <w:rsid w:val="000E122D"/>
    <w:rsid w:val="000E135C"/>
    <w:rsid w:val="000E1365"/>
    <w:rsid w:val="000E13FB"/>
    <w:rsid w:val="000E197D"/>
    <w:rsid w:val="000E1CA4"/>
    <w:rsid w:val="000E1E81"/>
    <w:rsid w:val="000E2068"/>
    <w:rsid w:val="000E22CD"/>
    <w:rsid w:val="000E292F"/>
    <w:rsid w:val="000E2C1B"/>
    <w:rsid w:val="000E2D90"/>
    <w:rsid w:val="000E2F9F"/>
    <w:rsid w:val="000E3023"/>
    <w:rsid w:val="000E30DA"/>
    <w:rsid w:val="000E33DA"/>
    <w:rsid w:val="000E3678"/>
    <w:rsid w:val="000E3BB9"/>
    <w:rsid w:val="000E3D92"/>
    <w:rsid w:val="000E3EFF"/>
    <w:rsid w:val="000E44E7"/>
    <w:rsid w:val="000E46B9"/>
    <w:rsid w:val="000E47BC"/>
    <w:rsid w:val="000E4CD3"/>
    <w:rsid w:val="000E4D79"/>
    <w:rsid w:val="000E4E90"/>
    <w:rsid w:val="000E556C"/>
    <w:rsid w:val="000E598C"/>
    <w:rsid w:val="000E59D3"/>
    <w:rsid w:val="000E5A0F"/>
    <w:rsid w:val="000E5B81"/>
    <w:rsid w:val="000E64D7"/>
    <w:rsid w:val="000E64F7"/>
    <w:rsid w:val="000E6D3F"/>
    <w:rsid w:val="000E6FC1"/>
    <w:rsid w:val="000E6FF8"/>
    <w:rsid w:val="000E7042"/>
    <w:rsid w:val="000E7302"/>
    <w:rsid w:val="000E758B"/>
    <w:rsid w:val="000F094C"/>
    <w:rsid w:val="000F0DDC"/>
    <w:rsid w:val="000F0F18"/>
    <w:rsid w:val="000F1D66"/>
    <w:rsid w:val="000F20E9"/>
    <w:rsid w:val="000F21EE"/>
    <w:rsid w:val="000F25D9"/>
    <w:rsid w:val="000F2B99"/>
    <w:rsid w:val="000F31D3"/>
    <w:rsid w:val="000F33A1"/>
    <w:rsid w:val="000F37B4"/>
    <w:rsid w:val="000F3DA1"/>
    <w:rsid w:val="000F4940"/>
    <w:rsid w:val="000F502B"/>
    <w:rsid w:val="000F52F3"/>
    <w:rsid w:val="000F55D9"/>
    <w:rsid w:val="000F57AE"/>
    <w:rsid w:val="000F5E07"/>
    <w:rsid w:val="000F66C3"/>
    <w:rsid w:val="000F682F"/>
    <w:rsid w:val="000F6AE6"/>
    <w:rsid w:val="000F6DBC"/>
    <w:rsid w:val="000F72E2"/>
    <w:rsid w:val="000F76D6"/>
    <w:rsid w:val="000F78FF"/>
    <w:rsid w:val="00100562"/>
    <w:rsid w:val="00100F64"/>
    <w:rsid w:val="001024B6"/>
    <w:rsid w:val="00102834"/>
    <w:rsid w:val="001029F8"/>
    <w:rsid w:val="00102C53"/>
    <w:rsid w:val="00103035"/>
    <w:rsid w:val="00103060"/>
    <w:rsid w:val="001038AD"/>
    <w:rsid w:val="001039D4"/>
    <w:rsid w:val="00103D8A"/>
    <w:rsid w:val="00103DC0"/>
    <w:rsid w:val="00103DFF"/>
    <w:rsid w:val="001042A8"/>
    <w:rsid w:val="00104482"/>
    <w:rsid w:val="00104535"/>
    <w:rsid w:val="001046C7"/>
    <w:rsid w:val="0010482B"/>
    <w:rsid w:val="00104944"/>
    <w:rsid w:val="00104CAE"/>
    <w:rsid w:val="001053FE"/>
    <w:rsid w:val="00105780"/>
    <w:rsid w:val="001059A1"/>
    <w:rsid w:val="00105C9E"/>
    <w:rsid w:val="0010627B"/>
    <w:rsid w:val="00106428"/>
    <w:rsid w:val="001064E5"/>
    <w:rsid w:val="001065F5"/>
    <w:rsid w:val="0010677B"/>
    <w:rsid w:val="0010683B"/>
    <w:rsid w:val="001068FE"/>
    <w:rsid w:val="00106C84"/>
    <w:rsid w:val="00107648"/>
    <w:rsid w:val="001078BB"/>
    <w:rsid w:val="0010797E"/>
    <w:rsid w:val="00107AFA"/>
    <w:rsid w:val="00107DAA"/>
    <w:rsid w:val="00107E0F"/>
    <w:rsid w:val="00107FAC"/>
    <w:rsid w:val="0011094B"/>
    <w:rsid w:val="00111028"/>
    <w:rsid w:val="0011143F"/>
    <w:rsid w:val="00111578"/>
    <w:rsid w:val="00111986"/>
    <w:rsid w:val="00111D08"/>
    <w:rsid w:val="00111EB5"/>
    <w:rsid w:val="001122BA"/>
    <w:rsid w:val="0011235F"/>
    <w:rsid w:val="00112548"/>
    <w:rsid w:val="00112700"/>
    <w:rsid w:val="001127AB"/>
    <w:rsid w:val="00112A6B"/>
    <w:rsid w:val="00112E00"/>
    <w:rsid w:val="00113097"/>
    <w:rsid w:val="001135B6"/>
    <w:rsid w:val="00113682"/>
    <w:rsid w:val="001138E9"/>
    <w:rsid w:val="00113AA9"/>
    <w:rsid w:val="00113AEF"/>
    <w:rsid w:val="00113C54"/>
    <w:rsid w:val="00113F38"/>
    <w:rsid w:val="00114385"/>
    <w:rsid w:val="001143F1"/>
    <w:rsid w:val="001145FD"/>
    <w:rsid w:val="001146A0"/>
    <w:rsid w:val="0011475A"/>
    <w:rsid w:val="00114BF9"/>
    <w:rsid w:val="00114CAC"/>
    <w:rsid w:val="00115014"/>
    <w:rsid w:val="00115821"/>
    <w:rsid w:val="00116605"/>
    <w:rsid w:val="00116617"/>
    <w:rsid w:val="00116E17"/>
    <w:rsid w:val="00117AD7"/>
    <w:rsid w:val="00117B38"/>
    <w:rsid w:val="00120991"/>
    <w:rsid w:val="00120BC6"/>
    <w:rsid w:val="00121061"/>
    <w:rsid w:val="0012116C"/>
    <w:rsid w:val="00121463"/>
    <w:rsid w:val="0012167D"/>
    <w:rsid w:val="00121D12"/>
    <w:rsid w:val="00121D1B"/>
    <w:rsid w:val="00121D6C"/>
    <w:rsid w:val="00121EB9"/>
    <w:rsid w:val="0012200A"/>
    <w:rsid w:val="00122044"/>
    <w:rsid w:val="001223EB"/>
    <w:rsid w:val="00122498"/>
    <w:rsid w:val="00122EAF"/>
    <w:rsid w:val="001238EF"/>
    <w:rsid w:val="00123CCA"/>
    <w:rsid w:val="00123EE8"/>
    <w:rsid w:val="00124028"/>
    <w:rsid w:val="0012457C"/>
    <w:rsid w:val="00124680"/>
    <w:rsid w:val="00124818"/>
    <w:rsid w:val="001257F3"/>
    <w:rsid w:val="0012581A"/>
    <w:rsid w:val="001260AB"/>
    <w:rsid w:val="001261FE"/>
    <w:rsid w:val="00126203"/>
    <w:rsid w:val="0012634E"/>
    <w:rsid w:val="0012653A"/>
    <w:rsid w:val="00126546"/>
    <w:rsid w:val="00126693"/>
    <w:rsid w:val="0012672B"/>
    <w:rsid w:val="00126DD7"/>
    <w:rsid w:val="00126F48"/>
    <w:rsid w:val="0012726C"/>
    <w:rsid w:val="00127BCC"/>
    <w:rsid w:val="00127DBC"/>
    <w:rsid w:val="00130316"/>
    <w:rsid w:val="0013039E"/>
    <w:rsid w:val="0013056D"/>
    <w:rsid w:val="0013084D"/>
    <w:rsid w:val="00130B96"/>
    <w:rsid w:val="00131150"/>
    <w:rsid w:val="0013196B"/>
    <w:rsid w:val="00131D21"/>
    <w:rsid w:val="00132881"/>
    <w:rsid w:val="0013293F"/>
    <w:rsid w:val="00132BA1"/>
    <w:rsid w:val="001330D1"/>
    <w:rsid w:val="0013316C"/>
    <w:rsid w:val="00133170"/>
    <w:rsid w:val="00133237"/>
    <w:rsid w:val="001335E9"/>
    <w:rsid w:val="00133798"/>
    <w:rsid w:val="00133BFF"/>
    <w:rsid w:val="00133E3C"/>
    <w:rsid w:val="00134798"/>
    <w:rsid w:val="00134802"/>
    <w:rsid w:val="00134949"/>
    <w:rsid w:val="00135495"/>
    <w:rsid w:val="0013553F"/>
    <w:rsid w:val="00135C77"/>
    <w:rsid w:val="00135FA0"/>
    <w:rsid w:val="00136125"/>
    <w:rsid w:val="001364E3"/>
    <w:rsid w:val="001365F6"/>
    <w:rsid w:val="00136F49"/>
    <w:rsid w:val="00137249"/>
    <w:rsid w:val="001372FA"/>
    <w:rsid w:val="00137477"/>
    <w:rsid w:val="00137977"/>
    <w:rsid w:val="00137AB1"/>
    <w:rsid w:val="00137B6F"/>
    <w:rsid w:val="00137CBB"/>
    <w:rsid w:val="0014002D"/>
    <w:rsid w:val="001405BB"/>
    <w:rsid w:val="00140616"/>
    <w:rsid w:val="00140635"/>
    <w:rsid w:val="00140F09"/>
    <w:rsid w:val="00140F65"/>
    <w:rsid w:val="00141770"/>
    <w:rsid w:val="00141AB7"/>
    <w:rsid w:val="00141F40"/>
    <w:rsid w:val="00142135"/>
    <w:rsid w:val="0014296E"/>
    <w:rsid w:val="001429EF"/>
    <w:rsid w:val="00142EBA"/>
    <w:rsid w:val="001430C1"/>
    <w:rsid w:val="0014369F"/>
    <w:rsid w:val="00143720"/>
    <w:rsid w:val="001439FD"/>
    <w:rsid w:val="00143C28"/>
    <w:rsid w:val="00143CD9"/>
    <w:rsid w:val="00143E94"/>
    <w:rsid w:val="0014409F"/>
    <w:rsid w:val="00144292"/>
    <w:rsid w:val="001443E1"/>
    <w:rsid w:val="00144CBD"/>
    <w:rsid w:val="0014504F"/>
    <w:rsid w:val="00145519"/>
    <w:rsid w:val="00145A58"/>
    <w:rsid w:val="00145B77"/>
    <w:rsid w:val="00145CA0"/>
    <w:rsid w:val="00145E10"/>
    <w:rsid w:val="001460F7"/>
    <w:rsid w:val="00146134"/>
    <w:rsid w:val="001464AC"/>
    <w:rsid w:val="00146830"/>
    <w:rsid w:val="00146A47"/>
    <w:rsid w:val="00146F7C"/>
    <w:rsid w:val="0014703C"/>
    <w:rsid w:val="00147526"/>
    <w:rsid w:val="0014791A"/>
    <w:rsid w:val="00147CE6"/>
    <w:rsid w:val="00147D8A"/>
    <w:rsid w:val="00150433"/>
    <w:rsid w:val="00150522"/>
    <w:rsid w:val="001505DF"/>
    <w:rsid w:val="001508F3"/>
    <w:rsid w:val="001509DE"/>
    <w:rsid w:val="00150B0E"/>
    <w:rsid w:val="00150CA3"/>
    <w:rsid w:val="00150ED2"/>
    <w:rsid w:val="001510FF"/>
    <w:rsid w:val="00151614"/>
    <w:rsid w:val="00151A62"/>
    <w:rsid w:val="00151B74"/>
    <w:rsid w:val="00151FC0"/>
    <w:rsid w:val="0015207C"/>
    <w:rsid w:val="00152355"/>
    <w:rsid w:val="0015260F"/>
    <w:rsid w:val="001528C5"/>
    <w:rsid w:val="001528FD"/>
    <w:rsid w:val="0015292D"/>
    <w:rsid w:val="001532B4"/>
    <w:rsid w:val="00153F61"/>
    <w:rsid w:val="0015479F"/>
    <w:rsid w:val="00154A0C"/>
    <w:rsid w:val="00154F2A"/>
    <w:rsid w:val="0015540D"/>
    <w:rsid w:val="00155A26"/>
    <w:rsid w:val="00155B3B"/>
    <w:rsid w:val="00155E2B"/>
    <w:rsid w:val="001560B7"/>
    <w:rsid w:val="0015650D"/>
    <w:rsid w:val="00156514"/>
    <w:rsid w:val="001569D6"/>
    <w:rsid w:val="00156CB1"/>
    <w:rsid w:val="00156E81"/>
    <w:rsid w:val="001571C4"/>
    <w:rsid w:val="00157433"/>
    <w:rsid w:val="00157AF4"/>
    <w:rsid w:val="00157C10"/>
    <w:rsid w:val="00160807"/>
    <w:rsid w:val="001608A5"/>
    <w:rsid w:val="00160D58"/>
    <w:rsid w:val="001611AD"/>
    <w:rsid w:val="001617A4"/>
    <w:rsid w:val="0016195B"/>
    <w:rsid w:val="00161D82"/>
    <w:rsid w:val="00162089"/>
    <w:rsid w:val="001627AC"/>
    <w:rsid w:val="00162941"/>
    <w:rsid w:val="00162FFF"/>
    <w:rsid w:val="00163393"/>
    <w:rsid w:val="00163837"/>
    <w:rsid w:val="00163ACE"/>
    <w:rsid w:val="00163F27"/>
    <w:rsid w:val="00164595"/>
    <w:rsid w:val="00164A10"/>
    <w:rsid w:val="0016503B"/>
    <w:rsid w:val="001652FF"/>
    <w:rsid w:val="00165808"/>
    <w:rsid w:val="00166178"/>
    <w:rsid w:val="00166279"/>
    <w:rsid w:val="0016628F"/>
    <w:rsid w:val="001664F2"/>
    <w:rsid w:val="0016660D"/>
    <w:rsid w:val="0016690A"/>
    <w:rsid w:val="00166A29"/>
    <w:rsid w:val="00166B60"/>
    <w:rsid w:val="00166CF0"/>
    <w:rsid w:val="00166FAA"/>
    <w:rsid w:val="001671A4"/>
    <w:rsid w:val="00167D8E"/>
    <w:rsid w:val="00167F06"/>
    <w:rsid w:val="00167F6C"/>
    <w:rsid w:val="00170353"/>
    <w:rsid w:val="0017036C"/>
    <w:rsid w:val="001710F2"/>
    <w:rsid w:val="00171315"/>
    <w:rsid w:val="0017165F"/>
    <w:rsid w:val="00172386"/>
    <w:rsid w:val="0017252B"/>
    <w:rsid w:val="00172656"/>
    <w:rsid w:val="00172D72"/>
    <w:rsid w:val="0017330A"/>
    <w:rsid w:val="001733EF"/>
    <w:rsid w:val="00173A96"/>
    <w:rsid w:val="00174271"/>
    <w:rsid w:val="0017444C"/>
    <w:rsid w:val="00174A79"/>
    <w:rsid w:val="00174B87"/>
    <w:rsid w:val="00174D9D"/>
    <w:rsid w:val="00175888"/>
    <w:rsid w:val="00175A8C"/>
    <w:rsid w:val="00175B85"/>
    <w:rsid w:val="00175D70"/>
    <w:rsid w:val="00176099"/>
    <w:rsid w:val="00176495"/>
    <w:rsid w:val="00176BEB"/>
    <w:rsid w:val="00176EDA"/>
    <w:rsid w:val="00177104"/>
    <w:rsid w:val="001774E7"/>
    <w:rsid w:val="001779A7"/>
    <w:rsid w:val="00177CB3"/>
    <w:rsid w:val="00177CDE"/>
    <w:rsid w:val="00177E2F"/>
    <w:rsid w:val="00177E64"/>
    <w:rsid w:val="00177EAB"/>
    <w:rsid w:val="00180104"/>
    <w:rsid w:val="00180110"/>
    <w:rsid w:val="00180429"/>
    <w:rsid w:val="00180854"/>
    <w:rsid w:val="00180B21"/>
    <w:rsid w:val="00181020"/>
    <w:rsid w:val="0018120C"/>
    <w:rsid w:val="001818DE"/>
    <w:rsid w:val="00181DF1"/>
    <w:rsid w:val="001820CE"/>
    <w:rsid w:val="001820E7"/>
    <w:rsid w:val="0018259A"/>
    <w:rsid w:val="001829F9"/>
    <w:rsid w:val="00182C07"/>
    <w:rsid w:val="00182D0F"/>
    <w:rsid w:val="00182D59"/>
    <w:rsid w:val="001832D3"/>
    <w:rsid w:val="001832E6"/>
    <w:rsid w:val="00183402"/>
    <w:rsid w:val="00183911"/>
    <w:rsid w:val="00183B56"/>
    <w:rsid w:val="00183D6B"/>
    <w:rsid w:val="00183D9E"/>
    <w:rsid w:val="00184657"/>
    <w:rsid w:val="00184758"/>
    <w:rsid w:val="00184829"/>
    <w:rsid w:val="00184A2C"/>
    <w:rsid w:val="00184B85"/>
    <w:rsid w:val="00184E6E"/>
    <w:rsid w:val="00184F5B"/>
    <w:rsid w:val="00185719"/>
    <w:rsid w:val="001857DC"/>
    <w:rsid w:val="001858FB"/>
    <w:rsid w:val="00185F04"/>
    <w:rsid w:val="00186073"/>
    <w:rsid w:val="001862EC"/>
    <w:rsid w:val="001864CE"/>
    <w:rsid w:val="001866EA"/>
    <w:rsid w:val="001868FE"/>
    <w:rsid w:val="00186FE0"/>
    <w:rsid w:val="0018703B"/>
    <w:rsid w:val="001872D8"/>
    <w:rsid w:val="00187476"/>
    <w:rsid w:val="00187691"/>
    <w:rsid w:val="00187A70"/>
    <w:rsid w:val="00187DA4"/>
    <w:rsid w:val="00190156"/>
    <w:rsid w:val="0019021C"/>
    <w:rsid w:val="00190677"/>
    <w:rsid w:val="001907A2"/>
    <w:rsid w:val="00190843"/>
    <w:rsid w:val="00190A34"/>
    <w:rsid w:val="00190CFC"/>
    <w:rsid w:val="0019147F"/>
    <w:rsid w:val="00191767"/>
    <w:rsid w:val="00191BB1"/>
    <w:rsid w:val="00192102"/>
    <w:rsid w:val="001923C7"/>
    <w:rsid w:val="001928C4"/>
    <w:rsid w:val="00192A7B"/>
    <w:rsid w:val="00192CC7"/>
    <w:rsid w:val="00192E77"/>
    <w:rsid w:val="001939A9"/>
    <w:rsid w:val="00193DEC"/>
    <w:rsid w:val="00194263"/>
    <w:rsid w:val="001943DF"/>
    <w:rsid w:val="001947B5"/>
    <w:rsid w:val="0019494C"/>
    <w:rsid w:val="00194EF6"/>
    <w:rsid w:val="001954A8"/>
    <w:rsid w:val="00195D25"/>
    <w:rsid w:val="0019660D"/>
    <w:rsid w:val="00196920"/>
    <w:rsid w:val="00196B26"/>
    <w:rsid w:val="00196D0D"/>
    <w:rsid w:val="00196D6D"/>
    <w:rsid w:val="001970A3"/>
    <w:rsid w:val="001971F2"/>
    <w:rsid w:val="0019760B"/>
    <w:rsid w:val="00197613"/>
    <w:rsid w:val="0019777C"/>
    <w:rsid w:val="001A0873"/>
    <w:rsid w:val="001A134A"/>
    <w:rsid w:val="001A17B2"/>
    <w:rsid w:val="001A1E1B"/>
    <w:rsid w:val="001A1E64"/>
    <w:rsid w:val="001A1FF6"/>
    <w:rsid w:val="001A2639"/>
    <w:rsid w:val="001A2E75"/>
    <w:rsid w:val="001A31C1"/>
    <w:rsid w:val="001A3581"/>
    <w:rsid w:val="001A37CD"/>
    <w:rsid w:val="001A37FA"/>
    <w:rsid w:val="001A38F7"/>
    <w:rsid w:val="001A393A"/>
    <w:rsid w:val="001A3C36"/>
    <w:rsid w:val="001A3D0B"/>
    <w:rsid w:val="001A4087"/>
    <w:rsid w:val="001A431D"/>
    <w:rsid w:val="001A4571"/>
    <w:rsid w:val="001A4BA0"/>
    <w:rsid w:val="001A4BF0"/>
    <w:rsid w:val="001A527E"/>
    <w:rsid w:val="001A64E0"/>
    <w:rsid w:val="001A657F"/>
    <w:rsid w:val="001A6E7E"/>
    <w:rsid w:val="001A6F10"/>
    <w:rsid w:val="001A7128"/>
    <w:rsid w:val="001A72AD"/>
    <w:rsid w:val="001A7513"/>
    <w:rsid w:val="001A77F8"/>
    <w:rsid w:val="001A7950"/>
    <w:rsid w:val="001A798F"/>
    <w:rsid w:val="001A7B00"/>
    <w:rsid w:val="001A7BA0"/>
    <w:rsid w:val="001A7F15"/>
    <w:rsid w:val="001A7F58"/>
    <w:rsid w:val="001A7F59"/>
    <w:rsid w:val="001B18F3"/>
    <w:rsid w:val="001B1FA4"/>
    <w:rsid w:val="001B27FB"/>
    <w:rsid w:val="001B2FF6"/>
    <w:rsid w:val="001B365C"/>
    <w:rsid w:val="001B381F"/>
    <w:rsid w:val="001B4452"/>
    <w:rsid w:val="001B453C"/>
    <w:rsid w:val="001B48DC"/>
    <w:rsid w:val="001B494F"/>
    <w:rsid w:val="001B4DCE"/>
    <w:rsid w:val="001B537F"/>
    <w:rsid w:val="001B5CD2"/>
    <w:rsid w:val="001B6134"/>
    <w:rsid w:val="001B64C1"/>
    <w:rsid w:val="001B691E"/>
    <w:rsid w:val="001B6C1B"/>
    <w:rsid w:val="001B6F55"/>
    <w:rsid w:val="001B7215"/>
    <w:rsid w:val="001B73DD"/>
    <w:rsid w:val="001B7DFB"/>
    <w:rsid w:val="001B7E27"/>
    <w:rsid w:val="001C00CD"/>
    <w:rsid w:val="001C01A3"/>
    <w:rsid w:val="001C020C"/>
    <w:rsid w:val="001C06C8"/>
    <w:rsid w:val="001C0FD1"/>
    <w:rsid w:val="001C1193"/>
    <w:rsid w:val="001C12D9"/>
    <w:rsid w:val="001C15D7"/>
    <w:rsid w:val="001C181E"/>
    <w:rsid w:val="001C1940"/>
    <w:rsid w:val="001C1BD5"/>
    <w:rsid w:val="001C1C0B"/>
    <w:rsid w:val="001C1E3C"/>
    <w:rsid w:val="001C1EDB"/>
    <w:rsid w:val="001C2009"/>
    <w:rsid w:val="001C2218"/>
    <w:rsid w:val="001C2525"/>
    <w:rsid w:val="001C255A"/>
    <w:rsid w:val="001C2751"/>
    <w:rsid w:val="001C2B3F"/>
    <w:rsid w:val="001C2CA0"/>
    <w:rsid w:val="001C2E66"/>
    <w:rsid w:val="001C378B"/>
    <w:rsid w:val="001C3A0E"/>
    <w:rsid w:val="001C3AA4"/>
    <w:rsid w:val="001C3AC1"/>
    <w:rsid w:val="001C47DA"/>
    <w:rsid w:val="001C49A5"/>
    <w:rsid w:val="001C4AA9"/>
    <w:rsid w:val="001C4C8A"/>
    <w:rsid w:val="001C51C9"/>
    <w:rsid w:val="001C555D"/>
    <w:rsid w:val="001C56BC"/>
    <w:rsid w:val="001C5A7D"/>
    <w:rsid w:val="001C5B39"/>
    <w:rsid w:val="001C641F"/>
    <w:rsid w:val="001C6CFE"/>
    <w:rsid w:val="001C6F54"/>
    <w:rsid w:val="001C7216"/>
    <w:rsid w:val="001C7683"/>
    <w:rsid w:val="001C7DAB"/>
    <w:rsid w:val="001D06F8"/>
    <w:rsid w:val="001D0C9D"/>
    <w:rsid w:val="001D0D44"/>
    <w:rsid w:val="001D114A"/>
    <w:rsid w:val="001D1452"/>
    <w:rsid w:val="001D16D2"/>
    <w:rsid w:val="001D1A18"/>
    <w:rsid w:val="001D1B19"/>
    <w:rsid w:val="001D1CB1"/>
    <w:rsid w:val="001D1F8E"/>
    <w:rsid w:val="001D2018"/>
    <w:rsid w:val="001D21A7"/>
    <w:rsid w:val="001D2771"/>
    <w:rsid w:val="001D2AC6"/>
    <w:rsid w:val="001D2DCF"/>
    <w:rsid w:val="001D2ECC"/>
    <w:rsid w:val="001D3566"/>
    <w:rsid w:val="001D3731"/>
    <w:rsid w:val="001D37BB"/>
    <w:rsid w:val="001D3C14"/>
    <w:rsid w:val="001D42D4"/>
    <w:rsid w:val="001D45C4"/>
    <w:rsid w:val="001D48E2"/>
    <w:rsid w:val="001D4C5E"/>
    <w:rsid w:val="001D50DF"/>
    <w:rsid w:val="001D58FD"/>
    <w:rsid w:val="001D5932"/>
    <w:rsid w:val="001D6AA9"/>
    <w:rsid w:val="001D6BA8"/>
    <w:rsid w:val="001D6EC9"/>
    <w:rsid w:val="001D70C0"/>
    <w:rsid w:val="001D75D6"/>
    <w:rsid w:val="001D7819"/>
    <w:rsid w:val="001D79D5"/>
    <w:rsid w:val="001D7A99"/>
    <w:rsid w:val="001E03E3"/>
    <w:rsid w:val="001E0686"/>
    <w:rsid w:val="001E0860"/>
    <w:rsid w:val="001E0A7B"/>
    <w:rsid w:val="001E0B12"/>
    <w:rsid w:val="001E0E18"/>
    <w:rsid w:val="001E0FA3"/>
    <w:rsid w:val="001E1296"/>
    <w:rsid w:val="001E170B"/>
    <w:rsid w:val="001E1DD1"/>
    <w:rsid w:val="001E1E99"/>
    <w:rsid w:val="001E1F17"/>
    <w:rsid w:val="001E20B0"/>
    <w:rsid w:val="001E20F0"/>
    <w:rsid w:val="001E21CE"/>
    <w:rsid w:val="001E2206"/>
    <w:rsid w:val="001E2595"/>
    <w:rsid w:val="001E26B9"/>
    <w:rsid w:val="001E3082"/>
    <w:rsid w:val="001E3B79"/>
    <w:rsid w:val="001E41CD"/>
    <w:rsid w:val="001E4C5C"/>
    <w:rsid w:val="001E4C6A"/>
    <w:rsid w:val="001E4F35"/>
    <w:rsid w:val="001E5265"/>
    <w:rsid w:val="001E55CD"/>
    <w:rsid w:val="001E55D6"/>
    <w:rsid w:val="001E5CD9"/>
    <w:rsid w:val="001E6035"/>
    <w:rsid w:val="001E6221"/>
    <w:rsid w:val="001E651E"/>
    <w:rsid w:val="001E7112"/>
    <w:rsid w:val="001E7177"/>
    <w:rsid w:val="001E7738"/>
    <w:rsid w:val="001F0000"/>
    <w:rsid w:val="001F052D"/>
    <w:rsid w:val="001F0B10"/>
    <w:rsid w:val="001F0BC8"/>
    <w:rsid w:val="001F11AA"/>
    <w:rsid w:val="001F149B"/>
    <w:rsid w:val="001F2211"/>
    <w:rsid w:val="001F2B88"/>
    <w:rsid w:val="001F2C93"/>
    <w:rsid w:val="001F2F85"/>
    <w:rsid w:val="001F30B6"/>
    <w:rsid w:val="001F357F"/>
    <w:rsid w:val="001F3E67"/>
    <w:rsid w:val="001F406A"/>
    <w:rsid w:val="001F447D"/>
    <w:rsid w:val="001F468D"/>
    <w:rsid w:val="001F46CA"/>
    <w:rsid w:val="001F483E"/>
    <w:rsid w:val="001F4973"/>
    <w:rsid w:val="001F4A08"/>
    <w:rsid w:val="001F5250"/>
    <w:rsid w:val="001F5629"/>
    <w:rsid w:val="001F57D5"/>
    <w:rsid w:val="001F59F2"/>
    <w:rsid w:val="001F5BE2"/>
    <w:rsid w:val="001F5C20"/>
    <w:rsid w:val="001F60A1"/>
    <w:rsid w:val="001F6345"/>
    <w:rsid w:val="001F6B1B"/>
    <w:rsid w:val="001F6E7A"/>
    <w:rsid w:val="0020016D"/>
    <w:rsid w:val="0020027B"/>
    <w:rsid w:val="00200287"/>
    <w:rsid w:val="002004CC"/>
    <w:rsid w:val="0020050A"/>
    <w:rsid w:val="00200731"/>
    <w:rsid w:val="00201280"/>
    <w:rsid w:val="002014C2"/>
    <w:rsid w:val="00201AF2"/>
    <w:rsid w:val="00201C6C"/>
    <w:rsid w:val="00201F2A"/>
    <w:rsid w:val="00202152"/>
    <w:rsid w:val="00202349"/>
    <w:rsid w:val="00202514"/>
    <w:rsid w:val="00202536"/>
    <w:rsid w:val="00202AE9"/>
    <w:rsid w:val="00202B32"/>
    <w:rsid w:val="00202CE3"/>
    <w:rsid w:val="00202E34"/>
    <w:rsid w:val="0020360F"/>
    <w:rsid w:val="0020376F"/>
    <w:rsid w:val="0020386C"/>
    <w:rsid w:val="002039DB"/>
    <w:rsid w:val="00203E08"/>
    <w:rsid w:val="0020426A"/>
    <w:rsid w:val="0020467C"/>
    <w:rsid w:val="00204780"/>
    <w:rsid w:val="002052DE"/>
    <w:rsid w:val="00205454"/>
    <w:rsid w:val="00205AD9"/>
    <w:rsid w:val="002060AB"/>
    <w:rsid w:val="002060EB"/>
    <w:rsid w:val="00206106"/>
    <w:rsid w:val="002062DD"/>
    <w:rsid w:val="00206358"/>
    <w:rsid w:val="00206BBD"/>
    <w:rsid w:val="00206C1E"/>
    <w:rsid w:val="00206C32"/>
    <w:rsid w:val="00206F70"/>
    <w:rsid w:val="00207141"/>
    <w:rsid w:val="0020720C"/>
    <w:rsid w:val="0020736F"/>
    <w:rsid w:val="002076D3"/>
    <w:rsid w:val="00207887"/>
    <w:rsid w:val="002079EF"/>
    <w:rsid w:val="00207DD8"/>
    <w:rsid w:val="00210127"/>
    <w:rsid w:val="002101E4"/>
    <w:rsid w:val="0021030F"/>
    <w:rsid w:val="00210329"/>
    <w:rsid w:val="00210A08"/>
    <w:rsid w:val="00210C7E"/>
    <w:rsid w:val="00210D22"/>
    <w:rsid w:val="00211360"/>
    <w:rsid w:val="00211910"/>
    <w:rsid w:val="00211B78"/>
    <w:rsid w:val="00211BBF"/>
    <w:rsid w:val="00211C72"/>
    <w:rsid w:val="0021219F"/>
    <w:rsid w:val="002123D7"/>
    <w:rsid w:val="002124AE"/>
    <w:rsid w:val="002128D2"/>
    <w:rsid w:val="002129D5"/>
    <w:rsid w:val="00212BD5"/>
    <w:rsid w:val="00213A33"/>
    <w:rsid w:val="00215172"/>
    <w:rsid w:val="0021555D"/>
    <w:rsid w:val="002156A5"/>
    <w:rsid w:val="002163A1"/>
    <w:rsid w:val="00216549"/>
    <w:rsid w:val="00216A7E"/>
    <w:rsid w:val="00216C1D"/>
    <w:rsid w:val="00217539"/>
    <w:rsid w:val="00217B6F"/>
    <w:rsid w:val="00220130"/>
    <w:rsid w:val="002206DA"/>
    <w:rsid w:val="002206FD"/>
    <w:rsid w:val="00220819"/>
    <w:rsid w:val="00220C41"/>
    <w:rsid w:val="002212C9"/>
    <w:rsid w:val="0022167E"/>
    <w:rsid w:val="0022266D"/>
    <w:rsid w:val="002228BD"/>
    <w:rsid w:val="002229D8"/>
    <w:rsid w:val="002231F2"/>
    <w:rsid w:val="0022328E"/>
    <w:rsid w:val="00223412"/>
    <w:rsid w:val="00223762"/>
    <w:rsid w:val="002239A0"/>
    <w:rsid w:val="00223F19"/>
    <w:rsid w:val="0022453E"/>
    <w:rsid w:val="0022503B"/>
    <w:rsid w:val="0022542D"/>
    <w:rsid w:val="00225550"/>
    <w:rsid w:val="00225F73"/>
    <w:rsid w:val="0022603E"/>
    <w:rsid w:val="002260CC"/>
    <w:rsid w:val="002260E5"/>
    <w:rsid w:val="00226AEC"/>
    <w:rsid w:val="002270AE"/>
    <w:rsid w:val="00227504"/>
    <w:rsid w:val="00227DE6"/>
    <w:rsid w:val="00227F40"/>
    <w:rsid w:val="002301DF"/>
    <w:rsid w:val="002303A5"/>
    <w:rsid w:val="002306F7"/>
    <w:rsid w:val="002308E8"/>
    <w:rsid w:val="00230BAB"/>
    <w:rsid w:val="00231331"/>
    <w:rsid w:val="00231564"/>
    <w:rsid w:val="002317A4"/>
    <w:rsid w:val="00231A03"/>
    <w:rsid w:val="00231D14"/>
    <w:rsid w:val="00231FA9"/>
    <w:rsid w:val="00232755"/>
    <w:rsid w:val="002327EC"/>
    <w:rsid w:val="002329D9"/>
    <w:rsid w:val="00232A81"/>
    <w:rsid w:val="00232E37"/>
    <w:rsid w:val="00232F5E"/>
    <w:rsid w:val="002333D1"/>
    <w:rsid w:val="00233DC7"/>
    <w:rsid w:val="00234397"/>
    <w:rsid w:val="002344D1"/>
    <w:rsid w:val="002350E2"/>
    <w:rsid w:val="0023548A"/>
    <w:rsid w:val="002354B4"/>
    <w:rsid w:val="0023555E"/>
    <w:rsid w:val="0023562B"/>
    <w:rsid w:val="00235645"/>
    <w:rsid w:val="00235A47"/>
    <w:rsid w:val="00235F3E"/>
    <w:rsid w:val="00236182"/>
    <w:rsid w:val="00236CC4"/>
    <w:rsid w:val="00236E4E"/>
    <w:rsid w:val="00237330"/>
    <w:rsid w:val="00237713"/>
    <w:rsid w:val="002379FC"/>
    <w:rsid w:val="00237A78"/>
    <w:rsid w:val="00237E03"/>
    <w:rsid w:val="002406A8"/>
    <w:rsid w:val="00240876"/>
    <w:rsid w:val="00240CA1"/>
    <w:rsid w:val="00240CB4"/>
    <w:rsid w:val="00240E1D"/>
    <w:rsid w:val="00240F97"/>
    <w:rsid w:val="002410E4"/>
    <w:rsid w:val="002419F1"/>
    <w:rsid w:val="00241EC6"/>
    <w:rsid w:val="00242238"/>
    <w:rsid w:val="00242A14"/>
    <w:rsid w:val="00242CFE"/>
    <w:rsid w:val="00242E8D"/>
    <w:rsid w:val="0024357D"/>
    <w:rsid w:val="0024372B"/>
    <w:rsid w:val="00243E09"/>
    <w:rsid w:val="00243FBF"/>
    <w:rsid w:val="002457A3"/>
    <w:rsid w:val="00245A69"/>
    <w:rsid w:val="00245E27"/>
    <w:rsid w:val="0024604B"/>
    <w:rsid w:val="00246F65"/>
    <w:rsid w:val="0024770C"/>
    <w:rsid w:val="00247779"/>
    <w:rsid w:val="0024792D"/>
    <w:rsid w:val="00247C58"/>
    <w:rsid w:val="00247CEB"/>
    <w:rsid w:val="0025002B"/>
    <w:rsid w:val="002500CC"/>
    <w:rsid w:val="00250195"/>
    <w:rsid w:val="002506C8"/>
    <w:rsid w:val="00250D6B"/>
    <w:rsid w:val="00251001"/>
    <w:rsid w:val="00251597"/>
    <w:rsid w:val="00251658"/>
    <w:rsid w:val="00251832"/>
    <w:rsid w:val="0025191E"/>
    <w:rsid w:val="00251934"/>
    <w:rsid w:val="0025231C"/>
    <w:rsid w:val="00252878"/>
    <w:rsid w:val="002528F7"/>
    <w:rsid w:val="00252F86"/>
    <w:rsid w:val="0025329F"/>
    <w:rsid w:val="0025376E"/>
    <w:rsid w:val="002542BB"/>
    <w:rsid w:val="00254417"/>
    <w:rsid w:val="002544A3"/>
    <w:rsid w:val="00254810"/>
    <w:rsid w:val="00254D33"/>
    <w:rsid w:val="0025505A"/>
    <w:rsid w:val="002552B9"/>
    <w:rsid w:val="002553C8"/>
    <w:rsid w:val="002557C3"/>
    <w:rsid w:val="00255B4F"/>
    <w:rsid w:val="00256103"/>
    <w:rsid w:val="002565E4"/>
    <w:rsid w:val="002570FC"/>
    <w:rsid w:val="002572D5"/>
    <w:rsid w:val="00257805"/>
    <w:rsid w:val="0025787D"/>
    <w:rsid w:val="00257B54"/>
    <w:rsid w:val="00257BE9"/>
    <w:rsid w:val="002600FF"/>
    <w:rsid w:val="00260557"/>
    <w:rsid w:val="00260647"/>
    <w:rsid w:val="002606E2"/>
    <w:rsid w:val="0026071F"/>
    <w:rsid w:val="002607CF"/>
    <w:rsid w:val="00260EBE"/>
    <w:rsid w:val="00260FE9"/>
    <w:rsid w:val="002612CD"/>
    <w:rsid w:val="002613A7"/>
    <w:rsid w:val="00261435"/>
    <w:rsid w:val="00261678"/>
    <w:rsid w:val="00261997"/>
    <w:rsid w:val="00261EB8"/>
    <w:rsid w:val="002620ED"/>
    <w:rsid w:val="002623F7"/>
    <w:rsid w:val="00262B35"/>
    <w:rsid w:val="00263630"/>
    <w:rsid w:val="00263911"/>
    <w:rsid w:val="00263A1A"/>
    <w:rsid w:val="00263B41"/>
    <w:rsid w:val="00263E46"/>
    <w:rsid w:val="002641D4"/>
    <w:rsid w:val="0026434F"/>
    <w:rsid w:val="00265054"/>
    <w:rsid w:val="00265AD2"/>
    <w:rsid w:val="00266DC4"/>
    <w:rsid w:val="002679B3"/>
    <w:rsid w:val="00267B54"/>
    <w:rsid w:val="00267CA0"/>
    <w:rsid w:val="00267E41"/>
    <w:rsid w:val="00270169"/>
    <w:rsid w:val="0027074F"/>
    <w:rsid w:val="002709B2"/>
    <w:rsid w:val="00271357"/>
    <w:rsid w:val="00271C0A"/>
    <w:rsid w:val="00271C48"/>
    <w:rsid w:val="00271D8A"/>
    <w:rsid w:val="00271EBE"/>
    <w:rsid w:val="00271F19"/>
    <w:rsid w:val="0027225D"/>
    <w:rsid w:val="002723A5"/>
    <w:rsid w:val="002727C9"/>
    <w:rsid w:val="00272883"/>
    <w:rsid w:val="00272900"/>
    <w:rsid w:val="00273425"/>
    <w:rsid w:val="00273774"/>
    <w:rsid w:val="00273943"/>
    <w:rsid w:val="00273B86"/>
    <w:rsid w:val="00273EAC"/>
    <w:rsid w:val="00273F78"/>
    <w:rsid w:val="002746E0"/>
    <w:rsid w:val="00274708"/>
    <w:rsid w:val="002747D2"/>
    <w:rsid w:val="002747D3"/>
    <w:rsid w:val="00275118"/>
    <w:rsid w:val="002760B0"/>
    <w:rsid w:val="00276228"/>
    <w:rsid w:val="002768A3"/>
    <w:rsid w:val="002770CC"/>
    <w:rsid w:val="0027732F"/>
    <w:rsid w:val="00277BD1"/>
    <w:rsid w:val="00277CB3"/>
    <w:rsid w:val="00277EEB"/>
    <w:rsid w:val="00280232"/>
    <w:rsid w:val="00280511"/>
    <w:rsid w:val="00280573"/>
    <w:rsid w:val="0028072D"/>
    <w:rsid w:val="002809DD"/>
    <w:rsid w:val="00280BB2"/>
    <w:rsid w:val="00280E00"/>
    <w:rsid w:val="00280F41"/>
    <w:rsid w:val="0028138B"/>
    <w:rsid w:val="002814F5"/>
    <w:rsid w:val="0028162B"/>
    <w:rsid w:val="00281741"/>
    <w:rsid w:val="00281B7B"/>
    <w:rsid w:val="00281FA7"/>
    <w:rsid w:val="002823DA"/>
    <w:rsid w:val="002828BA"/>
    <w:rsid w:val="002829EB"/>
    <w:rsid w:val="00282AB2"/>
    <w:rsid w:val="002832A7"/>
    <w:rsid w:val="00284332"/>
    <w:rsid w:val="00284A46"/>
    <w:rsid w:val="00284AEA"/>
    <w:rsid w:val="00284B6C"/>
    <w:rsid w:val="00284C05"/>
    <w:rsid w:val="002853D7"/>
    <w:rsid w:val="00285BEE"/>
    <w:rsid w:val="002864F2"/>
    <w:rsid w:val="0028686C"/>
    <w:rsid w:val="00286D0A"/>
    <w:rsid w:val="002877BD"/>
    <w:rsid w:val="002877FD"/>
    <w:rsid w:val="00287BD5"/>
    <w:rsid w:val="00287D9A"/>
    <w:rsid w:val="00290055"/>
    <w:rsid w:val="0029030F"/>
    <w:rsid w:val="00290835"/>
    <w:rsid w:val="00290C9B"/>
    <w:rsid w:val="0029105E"/>
    <w:rsid w:val="002919A8"/>
    <w:rsid w:val="00292579"/>
    <w:rsid w:val="0029282E"/>
    <w:rsid w:val="0029339E"/>
    <w:rsid w:val="00294607"/>
    <w:rsid w:val="002946AC"/>
    <w:rsid w:val="002946CC"/>
    <w:rsid w:val="002947E4"/>
    <w:rsid w:val="00294ABF"/>
    <w:rsid w:val="00294B1C"/>
    <w:rsid w:val="00294C7A"/>
    <w:rsid w:val="0029513D"/>
    <w:rsid w:val="0029533F"/>
    <w:rsid w:val="002954A1"/>
    <w:rsid w:val="002968C5"/>
    <w:rsid w:val="00296F64"/>
    <w:rsid w:val="00297364"/>
    <w:rsid w:val="0029745B"/>
    <w:rsid w:val="00297F09"/>
    <w:rsid w:val="00297F59"/>
    <w:rsid w:val="002A0A8E"/>
    <w:rsid w:val="002A0ABB"/>
    <w:rsid w:val="002A0DDD"/>
    <w:rsid w:val="002A0FCF"/>
    <w:rsid w:val="002A1101"/>
    <w:rsid w:val="002A1134"/>
    <w:rsid w:val="002A15DD"/>
    <w:rsid w:val="002A19E4"/>
    <w:rsid w:val="002A1E20"/>
    <w:rsid w:val="002A21EB"/>
    <w:rsid w:val="002A2423"/>
    <w:rsid w:val="002A2725"/>
    <w:rsid w:val="002A2A70"/>
    <w:rsid w:val="002A2F02"/>
    <w:rsid w:val="002A2F38"/>
    <w:rsid w:val="002A331D"/>
    <w:rsid w:val="002A3669"/>
    <w:rsid w:val="002A3BA7"/>
    <w:rsid w:val="002A40FB"/>
    <w:rsid w:val="002A4645"/>
    <w:rsid w:val="002A47FF"/>
    <w:rsid w:val="002A48E6"/>
    <w:rsid w:val="002A4974"/>
    <w:rsid w:val="002A49EF"/>
    <w:rsid w:val="002A4C44"/>
    <w:rsid w:val="002A4E56"/>
    <w:rsid w:val="002A51AF"/>
    <w:rsid w:val="002A5335"/>
    <w:rsid w:val="002A5427"/>
    <w:rsid w:val="002A5A31"/>
    <w:rsid w:val="002A5BE2"/>
    <w:rsid w:val="002A5BF3"/>
    <w:rsid w:val="002A5FB3"/>
    <w:rsid w:val="002A6300"/>
    <w:rsid w:val="002A66C8"/>
    <w:rsid w:val="002A6C3B"/>
    <w:rsid w:val="002A6E01"/>
    <w:rsid w:val="002A7185"/>
    <w:rsid w:val="002A7541"/>
    <w:rsid w:val="002A7C5C"/>
    <w:rsid w:val="002A7FFB"/>
    <w:rsid w:val="002B0FEF"/>
    <w:rsid w:val="002B105E"/>
    <w:rsid w:val="002B11AE"/>
    <w:rsid w:val="002B144B"/>
    <w:rsid w:val="002B1495"/>
    <w:rsid w:val="002B1734"/>
    <w:rsid w:val="002B1845"/>
    <w:rsid w:val="002B1912"/>
    <w:rsid w:val="002B19F8"/>
    <w:rsid w:val="002B1C6C"/>
    <w:rsid w:val="002B1F5B"/>
    <w:rsid w:val="002B1FD8"/>
    <w:rsid w:val="002B2107"/>
    <w:rsid w:val="002B246F"/>
    <w:rsid w:val="002B2716"/>
    <w:rsid w:val="002B286C"/>
    <w:rsid w:val="002B2E52"/>
    <w:rsid w:val="002B30AF"/>
    <w:rsid w:val="002B31CA"/>
    <w:rsid w:val="002B41A3"/>
    <w:rsid w:val="002B4261"/>
    <w:rsid w:val="002B446E"/>
    <w:rsid w:val="002B4DC7"/>
    <w:rsid w:val="002B5079"/>
    <w:rsid w:val="002B5541"/>
    <w:rsid w:val="002B5B36"/>
    <w:rsid w:val="002B5C3C"/>
    <w:rsid w:val="002B6268"/>
    <w:rsid w:val="002B62D9"/>
    <w:rsid w:val="002B6E8B"/>
    <w:rsid w:val="002B7A59"/>
    <w:rsid w:val="002B7ABC"/>
    <w:rsid w:val="002C016E"/>
    <w:rsid w:val="002C0486"/>
    <w:rsid w:val="002C094E"/>
    <w:rsid w:val="002C0AAA"/>
    <w:rsid w:val="002C0BEF"/>
    <w:rsid w:val="002C11A5"/>
    <w:rsid w:val="002C14CE"/>
    <w:rsid w:val="002C1BFC"/>
    <w:rsid w:val="002C2234"/>
    <w:rsid w:val="002C2428"/>
    <w:rsid w:val="002C2475"/>
    <w:rsid w:val="002C2791"/>
    <w:rsid w:val="002C3292"/>
    <w:rsid w:val="002C333E"/>
    <w:rsid w:val="002C343B"/>
    <w:rsid w:val="002C3867"/>
    <w:rsid w:val="002C44F7"/>
    <w:rsid w:val="002C4629"/>
    <w:rsid w:val="002C4736"/>
    <w:rsid w:val="002C47D2"/>
    <w:rsid w:val="002C4D79"/>
    <w:rsid w:val="002C5059"/>
    <w:rsid w:val="002C519F"/>
    <w:rsid w:val="002C527E"/>
    <w:rsid w:val="002C5453"/>
    <w:rsid w:val="002C550C"/>
    <w:rsid w:val="002C5B89"/>
    <w:rsid w:val="002C5E09"/>
    <w:rsid w:val="002C5F51"/>
    <w:rsid w:val="002C6DFF"/>
    <w:rsid w:val="002C6FB1"/>
    <w:rsid w:val="002C7194"/>
    <w:rsid w:val="002C7320"/>
    <w:rsid w:val="002C73D5"/>
    <w:rsid w:val="002C7552"/>
    <w:rsid w:val="002C7D91"/>
    <w:rsid w:val="002D02F4"/>
    <w:rsid w:val="002D0477"/>
    <w:rsid w:val="002D04E6"/>
    <w:rsid w:val="002D069D"/>
    <w:rsid w:val="002D0CD3"/>
    <w:rsid w:val="002D0CE9"/>
    <w:rsid w:val="002D0E94"/>
    <w:rsid w:val="002D11DB"/>
    <w:rsid w:val="002D21AF"/>
    <w:rsid w:val="002D2502"/>
    <w:rsid w:val="002D26DD"/>
    <w:rsid w:val="002D36A5"/>
    <w:rsid w:val="002D3A33"/>
    <w:rsid w:val="002D409F"/>
    <w:rsid w:val="002D4110"/>
    <w:rsid w:val="002D4188"/>
    <w:rsid w:val="002D4293"/>
    <w:rsid w:val="002D4350"/>
    <w:rsid w:val="002D4482"/>
    <w:rsid w:val="002D4818"/>
    <w:rsid w:val="002D574B"/>
    <w:rsid w:val="002D6642"/>
    <w:rsid w:val="002D6793"/>
    <w:rsid w:val="002D7425"/>
    <w:rsid w:val="002D7C88"/>
    <w:rsid w:val="002D7F1E"/>
    <w:rsid w:val="002E042F"/>
    <w:rsid w:val="002E0B71"/>
    <w:rsid w:val="002E0B94"/>
    <w:rsid w:val="002E1311"/>
    <w:rsid w:val="002E19AE"/>
    <w:rsid w:val="002E1EB5"/>
    <w:rsid w:val="002E29FB"/>
    <w:rsid w:val="002E321B"/>
    <w:rsid w:val="002E326D"/>
    <w:rsid w:val="002E3A7B"/>
    <w:rsid w:val="002E4962"/>
    <w:rsid w:val="002E4A8C"/>
    <w:rsid w:val="002E522C"/>
    <w:rsid w:val="002E52AF"/>
    <w:rsid w:val="002E55A2"/>
    <w:rsid w:val="002E56DB"/>
    <w:rsid w:val="002E5A8D"/>
    <w:rsid w:val="002E6176"/>
    <w:rsid w:val="002E61CA"/>
    <w:rsid w:val="002E65F3"/>
    <w:rsid w:val="002E683B"/>
    <w:rsid w:val="002E6EE1"/>
    <w:rsid w:val="002E70E6"/>
    <w:rsid w:val="002E7C4A"/>
    <w:rsid w:val="002F024B"/>
    <w:rsid w:val="002F0390"/>
    <w:rsid w:val="002F0BD6"/>
    <w:rsid w:val="002F0CBF"/>
    <w:rsid w:val="002F1054"/>
    <w:rsid w:val="002F17EE"/>
    <w:rsid w:val="002F18BD"/>
    <w:rsid w:val="002F18C6"/>
    <w:rsid w:val="002F1AB9"/>
    <w:rsid w:val="002F1CEF"/>
    <w:rsid w:val="002F1F87"/>
    <w:rsid w:val="002F1FAE"/>
    <w:rsid w:val="002F263F"/>
    <w:rsid w:val="002F2ACB"/>
    <w:rsid w:val="002F2C54"/>
    <w:rsid w:val="002F3360"/>
    <w:rsid w:val="002F34F7"/>
    <w:rsid w:val="002F3BA1"/>
    <w:rsid w:val="002F405A"/>
    <w:rsid w:val="002F4703"/>
    <w:rsid w:val="002F47BC"/>
    <w:rsid w:val="002F4EAF"/>
    <w:rsid w:val="002F57D8"/>
    <w:rsid w:val="002F580F"/>
    <w:rsid w:val="002F59C8"/>
    <w:rsid w:val="002F5B03"/>
    <w:rsid w:val="002F6320"/>
    <w:rsid w:val="002F656B"/>
    <w:rsid w:val="002F6F08"/>
    <w:rsid w:val="002F714B"/>
    <w:rsid w:val="002F73A6"/>
    <w:rsid w:val="002F755B"/>
    <w:rsid w:val="002F7F03"/>
    <w:rsid w:val="003002DD"/>
    <w:rsid w:val="00300B57"/>
    <w:rsid w:val="00301063"/>
    <w:rsid w:val="00301843"/>
    <w:rsid w:val="00301F53"/>
    <w:rsid w:val="00302B52"/>
    <w:rsid w:val="003030E9"/>
    <w:rsid w:val="0030345F"/>
    <w:rsid w:val="00304840"/>
    <w:rsid w:val="00304904"/>
    <w:rsid w:val="00304D3B"/>
    <w:rsid w:val="003059FF"/>
    <w:rsid w:val="0030609E"/>
    <w:rsid w:val="0030631D"/>
    <w:rsid w:val="00306369"/>
    <w:rsid w:val="00306AD3"/>
    <w:rsid w:val="00306B51"/>
    <w:rsid w:val="00306B6F"/>
    <w:rsid w:val="00307072"/>
    <w:rsid w:val="003073EC"/>
    <w:rsid w:val="00307A09"/>
    <w:rsid w:val="00307A7B"/>
    <w:rsid w:val="00309B82"/>
    <w:rsid w:val="00310015"/>
    <w:rsid w:val="0031045C"/>
    <w:rsid w:val="00310589"/>
    <w:rsid w:val="003109CD"/>
    <w:rsid w:val="00311017"/>
    <w:rsid w:val="0031163C"/>
    <w:rsid w:val="0031167D"/>
    <w:rsid w:val="003117DB"/>
    <w:rsid w:val="003118A3"/>
    <w:rsid w:val="00312181"/>
    <w:rsid w:val="003122BE"/>
    <w:rsid w:val="0031235F"/>
    <w:rsid w:val="0031264D"/>
    <w:rsid w:val="00313007"/>
    <w:rsid w:val="00313EC9"/>
    <w:rsid w:val="00314C9D"/>
    <w:rsid w:val="00314F16"/>
    <w:rsid w:val="003159DB"/>
    <w:rsid w:val="00315FB2"/>
    <w:rsid w:val="0031758A"/>
    <w:rsid w:val="00317AD7"/>
    <w:rsid w:val="003180B4"/>
    <w:rsid w:val="00320528"/>
    <w:rsid w:val="00320614"/>
    <w:rsid w:val="00320BBF"/>
    <w:rsid w:val="00320DDF"/>
    <w:rsid w:val="00321C7A"/>
    <w:rsid w:val="00321CB2"/>
    <w:rsid w:val="00321D63"/>
    <w:rsid w:val="003221AE"/>
    <w:rsid w:val="00322564"/>
    <w:rsid w:val="003226D9"/>
    <w:rsid w:val="003226DC"/>
    <w:rsid w:val="00322C65"/>
    <w:rsid w:val="00322E13"/>
    <w:rsid w:val="00323019"/>
    <w:rsid w:val="003230BC"/>
    <w:rsid w:val="003231BF"/>
    <w:rsid w:val="00323290"/>
    <w:rsid w:val="00323A12"/>
    <w:rsid w:val="003248E3"/>
    <w:rsid w:val="003253CD"/>
    <w:rsid w:val="003254A2"/>
    <w:rsid w:val="00325A37"/>
    <w:rsid w:val="00325F7A"/>
    <w:rsid w:val="003265B7"/>
    <w:rsid w:val="00326623"/>
    <w:rsid w:val="0032674D"/>
    <w:rsid w:val="003274B0"/>
    <w:rsid w:val="003275F5"/>
    <w:rsid w:val="00327735"/>
    <w:rsid w:val="00327C86"/>
    <w:rsid w:val="00330158"/>
    <w:rsid w:val="003301D2"/>
    <w:rsid w:val="003303E7"/>
    <w:rsid w:val="00330426"/>
    <w:rsid w:val="00330EF5"/>
    <w:rsid w:val="003311B9"/>
    <w:rsid w:val="003314DB"/>
    <w:rsid w:val="00331FE8"/>
    <w:rsid w:val="00332135"/>
    <w:rsid w:val="00332222"/>
    <w:rsid w:val="00332488"/>
    <w:rsid w:val="00332A4C"/>
    <w:rsid w:val="00332C9E"/>
    <w:rsid w:val="00332ECC"/>
    <w:rsid w:val="0033344A"/>
    <w:rsid w:val="0033350B"/>
    <w:rsid w:val="00333757"/>
    <w:rsid w:val="003337A7"/>
    <w:rsid w:val="0033389A"/>
    <w:rsid w:val="0033495E"/>
    <w:rsid w:val="003356DE"/>
    <w:rsid w:val="00335B24"/>
    <w:rsid w:val="00335B3E"/>
    <w:rsid w:val="00335E52"/>
    <w:rsid w:val="00335E62"/>
    <w:rsid w:val="0033611C"/>
    <w:rsid w:val="0033628B"/>
    <w:rsid w:val="0033630F"/>
    <w:rsid w:val="003365ED"/>
    <w:rsid w:val="003367B5"/>
    <w:rsid w:val="00336867"/>
    <w:rsid w:val="00336B56"/>
    <w:rsid w:val="00336BA1"/>
    <w:rsid w:val="003371E9"/>
    <w:rsid w:val="00337444"/>
    <w:rsid w:val="00337451"/>
    <w:rsid w:val="003374F5"/>
    <w:rsid w:val="00337579"/>
    <w:rsid w:val="003377B2"/>
    <w:rsid w:val="003379BA"/>
    <w:rsid w:val="00337FC0"/>
    <w:rsid w:val="00340191"/>
    <w:rsid w:val="00340232"/>
    <w:rsid w:val="00340333"/>
    <w:rsid w:val="0034079B"/>
    <w:rsid w:val="00340886"/>
    <w:rsid w:val="00340BFD"/>
    <w:rsid w:val="00340DBD"/>
    <w:rsid w:val="00341090"/>
    <w:rsid w:val="00341240"/>
    <w:rsid w:val="0034131E"/>
    <w:rsid w:val="0034154C"/>
    <w:rsid w:val="00341B57"/>
    <w:rsid w:val="00342469"/>
    <w:rsid w:val="0034269B"/>
    <w:rsid w:val="0034277A"/>
    <w:rsid w:val="003427F1"/>
    <w:rsid w:val="00342C5F"/>
    <w:rsid w:val="00342D40"/>
    <w:rsid w:val="003430A8"/>
    <w:rsid w:val="003430D6"/>
    <w:rsid w:val="003431B1"/>
    <w:rsid w:val="003433B1"/>
    <w:rsid w:val="0034371B"/>
    <w:rsid w:val="00343F4C"/>
    <w:rsid w:val="003441DF"/>
    <w:rsid w:val="0034423F"/>
    <w:rsid w:val="0034447D"/>
    <w:rsid w:val="003445A9"/>
    <w:rsid w:val="00344B5C"/>
    <w:rsid w:val="003451D0"/>
    <w:rsid w:val="003453B8"/>
    <w:rsid w:val="0034552C"/>
    <w:rsid w:val="00345616"/>
    <w:rsid w:val="003456F9"/>
    <w:rsid w:val="003457DF"/>
    <w:rsid w:val="00345A35"/>
    <w:rsid w:val="00345E2E"/>
    <w:rsid w:val="003460A8"/>
    <w:rsid w:val="0034614A"/>
    <w:rsid w:val="00346A0B"/>
    <w:rsid w:val="00346A1D"/>
    <w:rsid w:val="00346B6A"/>
    <w:rsid w:val="00346DAC"/>
    <w:rsid w:val="003470CB"/>
    <w:rsid w:val="003474A7"/>
    <w:rsid w:val="00347B19"/>
    <w:rsid w:val="00347BC0"/>
    <w:rsid w:val="00347C49"/>
    <w:rsid w:val="00350023"/>
    <w:rsid w:val="00350089"/>
    <w:rsid w:val="003507AF"/>
    <w:rsid w:val="00350831"/>
    <w:rsid w:val="003508A1"/>
    <w:rsid w:val="00350B1D"/>
    <w:rsid w:val="003512E4"/>
    <w:rsid w:val="0035134E"/>
    <w:rsid w:val="00351670"/>
    <w:rsid w:val="00351C2B"/>
    <w:rsid w:val="00351FF1"/>
    <w:rsid w:val="003522AF"/>
    <w:rsid w:val="00352373"/>
    <w:rsid w:val="00352A04"/>
    <w:rsid w:val="00352A1D"/>
    <w:rsid w:val="00352A5C"/>
    <w:rsid w:val="00352B36"/>
    <w:rsid w:val="00352B3E"/>
    <w:rsid w:val="003534DE"/>
    <w:rsid w:val="0035377E"/>
    <w:rsid w:val="00353870"/>
    <w:rsid w:val="00353E27"/>
    <w:rsid w:val="00353FDD"/>
    <w:rsid w:val="003542FB"/>
    <w:rsid w:val="003544C7"/>
    <w:rsid w:val="0035506A"/>
    <w:rsid w:val="0035530F"/>
    <w:rsid w:val="00355616"/>
    <w:rsid w:val="0035566C"/>
    <w:rsid w:val="00355747"/>
    <w:rsid w:val="00356640"/>
    <w:rsid w:val="00356641"/>
    <w:rsid w:val="00356D7D"/>
    <w:rsid w:val="003571D9"/>
    <w:rsid w:val="00357201"/>
    <w:rsid w:val="00357306"/>
    <w:rsid w:val="00357633"/>
    <w:rsid w:val="00357C1F"/>
    <w:rsid w:val="00357C83"/>
    <w:rsid w:val="00357E64"/>
    <w:rsid w:val="00360257"/>
    <w:rsid w:val="00360573"/>
    <w:rsid w:val="00360C2E"/>
    <w:rsid w:val="003617F5"/>
    <w:rsid w:val="00361821"/>
    <w:rsid w:val="00361C09"/>
    <w:rsid w:val="0036238D"/>
    <w:rsid w:val="003625C7"/>
    <w:rsid w:val="00362CBF"/>
    <w:rsid w:val="00363315"/>
    <w:rsid w:val="003633FE"/>
    <w:rsid w:val="0036461D"/>
    <w:rsid w:val="00364815"/>
    <w:rsid w:val="003649FF"/>
    <w:rsid w:val="00364B1D"/>
    <w:rsid w:val="00364BF4"/>
    <w:rsid w:val="00364D17"/>
    <w:rsid w:val="00364F21"/>
    <w:rsid w:val="00365090"/>
    <w:rsid w:val="00365605"/>
    <w:rsid w:val="003660DE"/>
    <w:rsid w:val="003665C6"/>
    <w:rsid w:val="00366716"/>
    <w:rsid w:val="0036677A"/>
    <w:rsid w:val="00366E64"/>
    <w:rsid w:val="00366FB7"/>
    <w:rsid w:val="003672D7"/>
    <w:rsid w:val="003676B0"/>
    <w:rsid w:val="00367890"/>
    <w:rsid w:val="00367A44"/>
    <w:rsid w:val="00367F93"/>
    <w:rsid w:val="00370442"/>
    <w:rsid w:val="00370BB8"/>
    <w:rsid w:val="003711E8"/>
    <w:rsid w:val="00371582"/>
    <w:rsid w:val="00371A68"/>
    <w:rsid w:val="00371C38"/>
    <w:rsid w:val="00371D26"/>
    <w:rsid w:val="00372073"/>
    <w:rsid w:val="003726DF"/>
    <w:rsid w:val="0037286A"/>
    <w:rsid w:val="003729D9"/>
    <w:rsid w:val="00373AC5"/>
    <w:rsid w:val="00373AF2"/>
    <w:rsid w:val="00373CEA"/>
    <w:rsid w:val="00373E86"/>
    <w:rsid w:val="00373F16"/>
    <w:rsid w:val="0037435D"/>
    <w:rsid w:val="0037471D"/>
    <w:rsid w:val="00374EEB"/>
    <w:rsid w:val="0037512D"/>
    <w:rsid w:val="00375467"/>
    <w:rsid w:val="003756B2"/>
    <w:rsid w:val="003759A9"/>
    <w:rsid w:val="00375EC5"/>
    <w:rsid w:val="00375F99"/>
    <w:rsid w:val="00375FFD"/>
    <w:rsid w:val="00376688"/>
    <w:rsid w:val="00376A9F"/>
    <w:rsid w:val="00376B7E"/>
    <w:rsid w:val="00377256"/>
    <w:rsid w:val="0037760F"/>
    <w:rsid w:val="00377AF2"/>
    <w:rsid w:val="00377CBE"/>
    <w:rsid w:val="00380230"/>
    <w:rsid w:val="0038030E"/>
    <w:rsid w:val="00380686"/>
    <w:rsid w:val="0038085D"/>
    <w:rsid w:val="003809D5"/>
    <w:rsid w:val="00380C51"/>
    <w:rsid w:val="00380D90"/>
    <w:rsid w:val="00380DCB"/>
    <w:rsid w:val="00381179"/>
    <w:rsid w:val="0038120C"/>
    <w:rsid w:val="003812E2"/>
    <w:rsid w:val="0038234D"/>
    <w:rsid w:val="003823EE"/>
    <w:rsid w:val="00382541"/>
    <w:rsid w:val="00382811"/>
    <w:rsid w:val="00382A68"/>
    <w:rsid w:val="00382B50"/>
    <w:rsid w:val="00382DF0"/>
    <w:rsid w:val="00383071"/>
    <w:rsid w:val="00383802"/>
    <w:rsid w:val="0038413F"/>
    <w:rsid w:val="00384525"/>
    <w:rsid w:val="0038458C"/>
    <w:rsid w:val="003849F4"/>
    <w:rsid w:val="00384E7D"/>
    <w:rsid w:val="00384EF3"/>
    <w:rsid w:val="00385076"/>
    <w:rsid w:val="0038564F"/>
    <w:rsid w:val="00385DCD"/>
    <w:rsid w:val="003860AB"/>
    <w:rsid w:val="003864F1"/>
    <w:rsid w:val="003865CA"/>
    <w:rsid w:val="0038670E"/>
    <w:rsid w:val="003869CB"/>
    <w:rsid w:val="00386A4C"/>
    <w:rsid w:val="00386AB0"/>
    <w:rsid w:val="00386B0B"/>
    <w:rsid w:val="003873A2"/>
    <w:rsid w:val="0038795A"/>
    <w:rsid w:val="00387D2D"/>
    <w:rsid w:val="00387E62"/>
    <w:rsid w:val="00387E72"/>
    <w:rsid w:val="00390535"/>
    <w:rsid w:val="00390830"/>
    <w:rsid w:val="00390ABA"/>
    <w:rsid w:val="00390AF5"/>
    <w:rsid w:val="0039121E"/>
    <w:rsid w:val="00391271"/>
    <w:rsid w:val="003917C1"/>
    <w:rsid w:val="00391EDC"/>
    <w:rsid w:val="00392184"/>
    <w:rsid w:val="00392C9E"/>
    <w:rsid w:val="00393178"/>
    <w:rsid w:val="003934B9"/>
    <w:rsid w:val="00393C1A"/>
    <w:rsid w:val="00393E5C"/>
    <w:rsid w:val="003940C1"/>
    <w:rsid w:val="00394557"/>
    <w:rsid w:val="0039457F"/>
    <w:rsid w:val="003945DC"/>
    <w:rsid w:val="003948AC"/>
    <w:rsid w:val="00394E36"/>
    <w:rsid w:val="00394E84"/>
    <w:rsid w:val="00394ED2"/>
    <w:rsid w:val="00395180"/>
    <w:rsid w:val="00395229"/>
    <w:rsid w:val="003952A3"/>
    <w:rsid w:val="003954AA"/>
    <w:rsid w:val="003956F5"/>
    <w:rsid w:val="00395CEE"/>
    <w:rsid w:val="0039603E"/>
    <w:rsid w:val="003961A0"/>
    <w:rsid w:val="003961FA"/>
    <w:rsid w:val="0039642C"/>
    <w:rsid w:val="0039648E"/>
    <w:rsid w:val="003966F7"/>
    <w:rsid w:val="00396D78"/>
    <w:rsid w:val="003A00A9"/>
    <w:rsid w:val="003A0557"/>
    <w:rsid w:val="003A07CA"/>
    <w:rsid w:val="003A0935"/>
    <w:rsid w:val="003A0F7A"/>
    <w:rsid w:val="003A1458"/>
    <w:rsid w:val="003A176F"/>
    <w:rsid w:val="003A198D"/>
    <w:rsid w:val="003A1D8E"/>
    <w:rsid w:val="003A2734"/>
    <w:rsid w:val="003A2790"/>
    <w:rsid w:val="003A2822"/>
    <w:rsid w:val="003A2B4D"/>
    <w:rsid w:val="003A2B68"/>
    <w:rsid w:val="003A2BE0"/>
    <w:rsid w:val="003A2D30"/>
    <w:rsid w:val="003A3052"/>
    <w:rsid w:val="003A363C"/>
    <w:rsid w:val="003A3AAC"/>
    <w:rsid w:val="003A3B53"/>
    <w:rsid w:val="003A4034"/>
    <w:rsid w:val="003A4416"/>
    <w:rsid w:val="003A47FE"/>
    <w:rsid w:val="003A4AD8"/>
    <w:rsid w:val="003A4B15"/>
    <w:rsid w:val="003A4CA3"/>
    <w:rsid w:val="003A50A3"/>
    <w:rsid w:val="003A526C"/>
    <w:rsid w:val="003A5962"/>
    <w:rsid w:val="003A5A75"/>
    <w:rsid w:val="003A5AE4"/>
    <w:rsid w:val="003A5C52"/>
    <w:rsid w:val="003A6217"/>
    <w:rsid w:val="003A6588"/>
    <w:rsid w:val="003A6806"/>
    <w:rsid w:val="003B0014"/>
    <w:rsid w:val="003B0049"/>
    <w:rsid w:val="003B016E"/>
    <w:rsid w:val="003B03C4"/>
    <w:rsid w:val="003B0A20"/>
    <w:rsid w:val="003B1145"/>
    <w:rsid w:val="003B14D5"/>
    <w:rsid w:val="003B1DDA"/>
    <w:rsid w:val="003B1E16"/>
    <w:rsid w:val="003B1F5D"/>
    <w:rsid w:val="003B21A7"/>
    <w:rsid w:val="003B28AD"/>
    <w:rsid w:val="003B28F8"/>
    <w:rsid w:val="003B2997"/>
    <w:rsid w:val="003B2A5D"/>
    <w:rsid w:val="003B35BC"/>
    <w:rsid w:val="003B377C"/>
    <w:rsid w:val="003B3D0B"/>
    <w:rsid w:val="003B3E8D"/>
    <w:rsid w:val="003B3ECB"/>
    <w:rsid w:val="003B43EB"/>
    <w:rsid w:val="003B43EF"/>
    <w:rsid w:val="003B4966"/>
    <w:rsid w:val="003B4B72"/>
    <w:rsid w:val="003B4EDA"/>
    <w:rsid w:val="003B4FB9"/>
    <w:rsid w:val="003B528A"/>
    <w:rsid w:val="003B536E"/>
    <w:rsid w:val="003B5B5C"/>
    <w:rsid w:val="003B5E73"/>
    <w:rsid w:val="003B60B7"/>
    <w:rsid w:val="003B60BB"/>
    <w:rsid w:val="003B66FC"/>
    <w:rsid w:val="003B6A0C"/>
    <w:rsid w:val="003B728E"/>
    <w:rsid w:val="003B7465"/>
    <w:rsid w:val="003B746C"/>
    <w:rsid w:val="003B7A8C"/>
    <w:rsid w:val="003B7E25"/>
    <w:rsid w:val="003C0079"/>
    <w:rsid w:val="003C01C4"/>
    <w:rsid w:val="003C06DD"/>
    <w:rsid w:val="003C10E2"/>
    <w:rsid w:val="003C120D"/>
    <w:rsid w:val="003C151D"/>
    <w:rsid w:val="003C1A05"/>
    <w:rsid w:val="003C242F"/>
    <w:rsid w:val="003C24D7"/>
    <w:rsid w:val="003C2625"/>
    <w:rsid w:val="003C2683"/>
    <w:rsid w:val="003C27E9"/>
    <w:rsid w:val="003C289C"/>
    <w:rsid w:val="003C33B2"/>
    <w:rsid w:val="003C3479"/>
    <w:rsid w:val="003C382A"/>
    <w:rsid w:val="003C3844"/>
    <w:rsid w:val="003C388D"/>
    <w:rsid w:val="003C3C18"/>
    <w:rsid w:val="003C4802"/>
    <w:rsid w:val="003C4CCC"/>
    <w:rsid w:val="003C5B0D"/>
    <w:rsid w:val="003C632B"/>
    <w:rsid w:val="003C6E4D"/>
    <w:rsid w:val="003C6F96"/>
    <w:rsid w:val="003C76E4"/>
    <w:rsid w:val="003C7904"/>
    <w:rsid w:val="003C7EC6"/>
    <w:rsid w:val="003D0348"/>
    <w:rsid w:val="003D0360"/>
    <w:rsid w:val="003D0506"/>
    <w:rsid w:val="003D0BDB"/>
    <w:rsid w:val="003D12F3"/>
    <w:rsid w:val="003D12F5"/>
    <w:rsid w:val="003D138F"/>
    <w:rsid w:val="003D17B8"/>
    <w:rsid w:val="003D1B74"/>
    <w:rsid w:val="003D1BCA"/>
    <w:rsid w:val="003D1D2A"/>
    <w:rsid w:val="003D1D40"/>
    <w:rsid w:val="003D22CF"/>
    <w:rsid w:val="003D27D9"/>
    <w:rsid w:val="003D299B"/>
    <w:rsid w:val="003D2BC5"/>
    <w:rsid w:val="003D31A8"/>
    <w:rsid w:val="003D33B8"/>
    <w:rsid w:val="003D36B1"/>
    <w:rsid w:val="003D3F43"/>
    <w:rsid w:val="003D403A"/>
    <w:rsid w:val="003D427B"/>
    <w:rsid w:val="003D4921"/>
    <w:rsid w:val="003D4959"/>
    <w:rsid w:val="003D4D68"/>
    <w:rsid w:val="003D4E84"/>
    <w:rsid w:val="003D514D"/>
    <w:rsid w:val="003D51CA"/>
    <w:rsid w:val="003D53BC"/>
    <w:rsid w:val="003D5499"/>
    <w:rsid w:val="003D57DB"/>
    <w:rsid w:val="003D5909"/>
    <w:rsid w:val="003D5C54"/>
    <w:rsid w:val="003D5DA5"/>
    <w:rsid w:val="003D5E3B"/>
    <w:rsid w:val="003D5ECE"/>
    <w:rsid w:val="003D5ED4"/>
    <w:rsid w:val="003D6110"/>
    <w:rsid w:val="003D63F8"/>
    <w:rsid w:val="003D65DF"/>
    <w:rsid w:val="003D666E"/>
    <w:rsid w:val="003D681B"/>
    <w:rsid w:val="003D69B7"/>
    <w:rsid w:val="003D69F7"/>
    <w:rsid w:val="003D6C93"/>
    <w:rsid w:val="003D7618"/>
    <w:rsid w:val="003D7D0E"/>
    <w:rsid w:val="003D7F75"/>
    <w:rsid w:val="003E07C0"/>
    <w:rsid w:val="003E08F6"/>
    <w:rsid w:val="003E0A52"/>
    <w:rsid w:val="003E0D8B"/>
    <w:rsid w:val="003E130C"/>
    <w:rsid w:val="003E19D3"/>
    <w:rsid w:val="003E20C3"/>
    <w:rsid w:val="003E263C"/>
    <w:rsid w:val="003E2DFF"/>
    <w:rsid w:val="003E2EB7"/>
    <w:rsid w:val="003E2FAF"/>
    <w:rsid w:val="003E2FC3"/>
    <w:rsid w:val="003E313B"/>
    <w:rsid w:val="003E32A7"/>
    <w:rsid w:val="003E3CE2"/>
    <w:rsid w:val="003E3FBB"/>
    <w:rsid w:val="003E4074"/>
    <w:rsid w:val="003E4691"/>
    <w:rsid w:val="003E53FB"/>
    <w:rsid w:val="003E5EE2"/>
    <w:rsid w:val="003E6A16"/>
    <w:rsid w:val="003E6AC5"/>
    <w:rsid w:val="003E6D1B"/>
    <w:rsid w:val="003E6DD1"/>
    <w:rsid w:val="003E6E2A"/>
    <w:rsid w:val="003E6E53"/>
    <w:rsid w:val="003E76D2"/>
    <w:rsid w:val="003E7B59"/>
    <w:rsid w:val="003E7D4D"/>
    <w:rsid w:val="003F01B1"/>
    <w:rsid w:val="003F075F"/>
    <w:rsid w:val="003F079B"/>
    <w:rsid w:val="003F08A3"/>
    <w:rsid w:val="003F0FC2"/>
    <w:rsid w:val="003F1084"/>
    <w:rsid w:val="003F1591"/>
    <w:rsid w:val="003F17E8"/>
    <w:rsid w:val="003F19B9"/>
    <w:rsid w:val="003F1CEB"/>
    <w:rsid w:val="003F1E6A"/>
    <w:rsid w:val="003F2140"/>
    <w:rsid w:val="003F22EA"/>
    <w:rsid w:val="003F264D"/>
    <w:rsid w:val="003F276B"/>
    <w:rsid w:val="003F29C8"/>
    <w:rsid w:val="003F2A35"/>
    <w:rsid w:val="003F359B"/>
    <w:rsid w:val="003F3705"/>
    <w:rsid w:val="003F3E22"/>
    <w:rsid w:val="003F43F0"/>
    <w:rsid w:val="003F473C"/>
    <w:rsid w:val="003F48F2"/>
    <w:rsid w:val="003F4920"/>
    <w:rsid w:val="003F497A"/>
    <w:rsid w:val="003F4D46"/>
    <w:rsid w:val="003F536F"/>
    <w:rsid w:val="003F5377"/>
    <w:rsid w:val="003F56C4"/>
    <w:rsid w:val="003F5AFC"/>
    <w:rsid w:val="003F5BB1"/>
    <w:rsid w:val="003F5F89"/>
    <w:rsid w:val="003F61D0"/>
    <w:rsid w:val="003F6263"/>
    <w:rsid w:val="003F6301"/>
    <w:rsid w:val="003F75CB"/>
    <w:rsid w:val="003F76AB"/>
    <w:rsid w:val="003F7CD5"/>
    <w:rsid w:val="004003D6"/>
    <w:rsid w:val="00400725"/>
    <w:rsid w:val="0040077A"/>
    <w:rsid w:val="00400926"/>
    <w:rsid w:val="00400CF2"/>
    <w:rsid w:val="0040195B"/>
    <w:rsid w:val="00401A41"/>
    <w:rsid w:val="00402115"/>
    <w:rsid w:val="00402695"/>
    <w:rsid w:val="00402912"/>
    <w:rsid w:val="00402C22"/>
    <w:rsid w:val="00402E4F"/>
    <w:rsid w:val="0040333F"/>
    <w:rsid w:val="00403484"/>
    <w:rsid w:val="00403911"/>
    <w:rsid w:val="00403C31"/>
    <w:rsid w:val="004040D0"/>
    <w:rsid w:val="004041F7"/>
    <w:rsid w:val="0040453E"/>
    <w:rsid w:val="0040494C"/>
    <w:rsid w:val="00404993"/>
    <w:rsid w:val="00404E89"/>
    <w:rsid w:val="00404F1B"/>
    <w:rsid w:val="00405980"/>
    <w:rsid w:val="004059B7"/>
    <w:rsid w:val="00405A30"/>
    <w:rsid w:val="00406014"/>
    <w:rsid w:val="00406081"/>
    <w:rsid w:val="00406659"/>
    <w:rsid w:val="00406CCF"/>
    <w:rsid w:val="00407237"/>
    <w:rsid w:val="0040733D"/>
    <w:rsid w:val="00407652"/>
    <w:rsid w:val="004076ED"/>
    <w:rsid w:val="00407800"/>
    <w:rsid w:val="004101E9"/>
    <w:rsid w:val="00410605"/>
    <w:rsid w:val="0041079B"/>
    <w:rsid w:val="00410806"/>
    <w:rsid w:val="00410D6D"/>
    <w:rsid w:val="004112D9"/>
    <w:rsid w:val="004113EB"/>
    <w:rsid w:val="00411F2D"/>
    <w:rsid w:val="004121A3"/>
    <w:rsid w:val="00412382"/>
    <w:rsid w:val="0041307B"/>
    <w:rsid w:val="004131C8"/>
    <w:rsid w:val="00413426"/>
    <w:rsid w:val="00413D08"/>
    <w:rsid w:val="00414133"/>
    <w:rsid w:val="0041441D"/>
    <w:rsid w:val="0041452E"/>
    <w:rsid w:val="0041458E"/>
    <w:rsid w:val="00414B60"/>
    <w:rsid w:val="00414CA9"/>
    <w:rsid w:val="004151DF"/>
    <w:rsid w:val="00415351"/>
    <w:rsid w:val="00415635"/>
    <w:rsid w:val="00416469"/>
    <w:rsid w:val="0041648B"/>
    <w:rsid w:val="004164F0"/>
    <w:rsid w:val="004166A8"/>
    <w:rsid w:val="004168E9"/>
    <w:rsid w:val="00416BE1"/>
    <w:rsid w:val="00416EFE"/>
    <w:rsid w:val="00417024"/>
    <w:rsid w:val="00420225"/>
    <w:rsid w:val="004203AC"/>
    <w:rsid w:val="00420DA2"/>
    <w:rsid w:val="00420E0B"/>
    <w:rsid w:val="00420EBC"/>
    <w:rsid w:val="00421504"/>
    <w:rsid w:val="004219A5"/>
    <w:rsid w:val="00421A35"/>
    <w:rsid w:val="004223C0"/>
    <w:rsid w:val="004225C8"/>
    <w:rsid w:val="00422914"/>
    <w:rsid w:val="0042298E"/>
    <w:rsid w:val="00423456"/>
    <w:rsid w:val="00423475"/>
    <w:rsid w:val="00423690"/>
    <w:rsid w:val="00423E66"/>
    <w:rsid w:val="00423F71"/>
    <w:rsid w:val="00424282"/>
    <w:rsid w:val="0042478D"/>
    <w:rsid w:val="004248E6"/>
    <w:rsid w:val="00424B00"/>
    <w:rsid w:val="0042511D"/>
    <w:rsid w:val="0042559D"/>
    <w:rsid w:val="004258EA"/>
    <w:rsid w:val="004259D7"/>
    <w:rsid w:val="00425B7C"/>
    <w:rsid w:val="004260F2"/>
    <w:rsid w:val="00426191"/>
    <w:rsid w:val="0042648E"/>
    <w:rsid w:val="00427158"/>
    <w:rsid w:val="004271AB"/>
    <w:rsid w:val="00427272"/>
    <w:rsid w:val="00427481"/>
    <w:rsid w:val="00427F7D"/>
    <w:rsid w:val="00430135"/>
    <w:rsid w:val="0043062F"/>
    <w:rsid w:val="00430971"/>
    <w:rsid w:val="00430A42"/>
    <w:rsid w:val="00430A43"/>
    <w:rsid w:val="00430AA7"/>
    <w:rsid w:val="00430AD6"/>
    <w:rsid w:val="004316B3"/>
    <w:rsid w:val="0043208B"/>
    <w:rsid w:val="004320C3"/>
    <w:rsid w:val="004321D5"/>
    <w:rsid w:val="00432587"/>
    <w:rsid w:val="004326DB"/>
    <w:rsid w:val="00432D6F"/>
    <w:rsid w:val="00433203"/>
    <w:rsid w:val="0043351C"/>
    <w:rsid w:val="00433901"/>
    <w:rsid w:val="00433963"/>
    <w:rsid w:val="00433A3A"/>
    <w:rsid w:val="00433A92"/>
    <w:rsid w:val="00433C02"/>
    <w:rsid w:val="00434ED3"/>
    <w:rsid w:val="004354CD"/>
    <w:rsid w:val="004356D4"/>
    <w:rsid w:val="004356DC"/>
    <w:rsid w:val="004356EF"/>
    <w:rsid w:val="00435832"/>
    <w:rsid w:val="004359F4"/>
    <w:rsid w:val="00435A63"/>
    <w:rsid w:val="00435F09"/>
    <w:rsid w:val="00436525"/>
    <w:rsid w:val="004366D2"/>
    <w:rsid w:val="004367FB"/>
    <w:rsid w:val="0043692F"/>
    <w:rsid w:val="004369E5"/>
    <w:rsid w:val="0043739D"/>
    <w:rsid w:val="004374B1"/>
    <w:rsid w:val="00437774"/>
    <w:rsid w:val="00437C9F"/>
    <w:rsid w:val="00437DAE"/>
    <w:rsid w:val="0044014C"/>
    <w:rsid w:val="004401E1"/>
    <w:rsid w:val="0044026B"/>
    <w:rsid w:val="00440545"/>
    <w:rsid w:val="0044068D"/>
    <w:rsid w:val="00440950"/>
    <w:rsid w:val="004409CE"/>
    <w:rsid w:val="00440ACB"/>
    <w:rsid w:val="004419BF"/>
    <w:rsid w:val="00442221"/>
    <w:rsid w:val="00442D51"/>
    <w:rsid w:val="00442E2B"/>
    <w:rsid w:val="00442F9E"/>
    <w:rsid w:val="00443254"/>
    <w:rsid w:val="004432E9"/>
    <w:rsid w:val="004436B2"/>
    <w:rsid w:val="004438CC"/>
    <w:rsid w:val="004438E8"/>
    <w:rsid w:val="00443A50"/>
    <w:rsid w:val="00443A9A"/>
    <w:rsid w:val="00443E01"/>
    <w:rsid w:val="004445AE"/>
    <w:rsid w:val="00444719"/>
    <w:rsid w:val="00444772"/>
    <w:rsid w:val="00444C19"/>
    <w:rsid w:val="00445045"/>
    <w:rsid w:val="00445639"/>
    <w:rsid w:val="00445B5C"/>
    <w:rsid w:val="00446230"/>
    <w:rsid w:val="004465EB"/>
    <w:rsid w:val="00447029"/>
    <w:rsid w:val="00447227"/>
    <w:rsid w:val="00450065"/>
    <w:rsid w:val="00450B0B"/>
    <w:rsid w:val="00450DE2"/>
    <w:rsid w:val="00450DF8"/>
    <w:rsid w:val="004510F3"/>
    <w:rsid w:val="00452200"/>
    <w:rsid w:val="00452233"/>
    <w:rsid w:val="0045294B"/>
    <w:rsid w:val="00452F02"/>
    <w:rsid w:val="00453035"/>
    <w:rsid w:val="0045317E"/>
    <w:rsid w:val="004534DC"/>
    <w:rsid w:val="004538DE"/>
    <w:rsid w:val="00453F77"/>
    <w:rsid w:val="004547FE"/>
    <w:rsid w:val="00454EB2"/>
    <w:rsid w:val="00454F15"/>
    <w:rsid w:val="00455467"/>
    <w:rsid w:val="00455A97"/>
    <w:rsid w:val="00455B02"/>
    <w:rsid w:val="0045658A"/>
    <w:rsid w:val="004566F8"/>
    <w:rsid w:val="00457062"/>
    <w:rsid w:val="00457396"/>
    <w:rsid w:val="0046005B"/>
    <w:rsid w:val="00460243"/>
    <w:rsid w:val="004606DF"/>
    <w:rsid w:val="00460839"/>
    <w:rsid w:val="00460D84"/>
    <w:rsid w:val="00461114"/>
    <w:rsid w:val="004614E5"/>
    <w:rsid w:val="004616C3"/>
    <w:rsid w:val="00461754"/>
    <w:rsid w:val="00461C5F"/>
    <w:rsid w:val="00461F5A"/>
    <w:rsid w:val="0046273C"/>
    <w:rsid w:val="00462BCE"/>
    <w:rsid w:val="00462ECE"/>
    <w:rsid w:val="00463226"/>
    <w:rsid w:val="004632EF"/>
    <w:rsid w:val="00463B67"/>
    <w:rsid w:val="00463BED"/>
    <w:rsid w:val="00464889"/>
    <w:rsid w:val="00465132"/>
    <w:rsid w:val="00465173"/>
    <w:rsid w:val="00465368"/>
    <w:rsid w:val="0046544B"/>
    <w:rsid w:val="0046554D"/>
    <w:rsid w:val="00465557"/>
    <w:rsid w:val="00465889"/>
    <w:rsid w:val="00465BA1"/>
    <w:rsid w:val="00465DA4"/>
    <w:rsid w:val="00465F00"/>
    <w:rsid w:val="00465F18"/>
    <w:rsid w:val="00465F69"/>
    <w:rsid w:val="00465F72"/>
    <w:rsid w:val="00466864"/>
    <w:rsid w:val="004668DF"/>
    <w:rsid w:val="00466A8F"/>
    <w:rsid w:val="00466AF9"/>
    <w:rsid w:val="00466C23"/>
    <w:rsid w:val="00466EAE"/>
    <w:rsid w:val="004672E7"/>
    <w:rsid w:val="004676A4"/>
    <w:rsid w:val="00467827"/>
    <w:rsid w:val="00470561"/>
    <w:rsid w:val="004707FF"/>
    <w:rsid w:val="00470889"/>
    <w:rsid w:val="004710CC"/>
    <w:rsid w:val="0047169D"/>
    <w:rsid w:val="0047200C"/>
    <w:rsid w:val="004721F3"/>
    <w:rsid w:val="004722B0"/>
    <w:rsid w:val="00472B24"/>
    <w:rsid w:val="00472C40"/>
    <w:rsid w:val="0047337B"/>
    <w:rsid w:val="00473755"/>
    <w:rsid w:val="004739D9"/>
    <w:rsid w:val="00473F29"/>
    <w:rsid w:val="00474017"/>
    <w:rsid w:val="00474090"/>
    <w:rsid w:val="0047410B"/>
    <w:rsid w:val="004741DB"/>
    <w:rsid w:val="0047471B"/>
    <w:rsid w:val="00474895"/>
    <w:rsid w:val="00474AC4"/>
    <w:rsid w:val="00474C5F"/>
    <w:rsid w:val="00474DF5"/>
    <w:rsid w:val="004756E8"/>
    <w:rsid w:val="004758D5"/>
    <w:rsid w:val="00475B89"/>
    <w:rsid w:val="004764EF"/>
    <w:rsid w:val="004767FB"/>
    <w:rsid w:val="00476C3F"/>
    <w:rsid w:val="00476C77"/>
    <w:rsid w:val="004802D3"/>
    <w:rsid w:val="00480AD3"/>
    <w:rsid w:val="00480C2A"/>
    <w:rsid w:val="00480C8B"/>
    <w:rsid w:val="00480CE5"/>
    <w:rsid w:val="00481669"/>
    <w:rsid w:val="004817E9"/>
    <w:rsid w:val="00481B17"/>
    <w:rsid w:val="00481BAD"/>
    <w:rsid w:val="00481E73"/>
    <w:rsid w:val="00481EB3"/>
    <w:rsid w:val="00482213"/>
    <w:rsid w:val="00482275"/>
    <w:rsid w:val="004822BD"/>
    <w:rsid w:val="0048236A"/>
    <w:rsid w:val="00482685"/>
    <w:rsid w:val="004826EF"/>
    <w:rsid w:val="0048295B"/>
    <w:rsid w:val="00482A45"/>
    <w:rsid w:val="00483003"/>
    <w:rsid w:val="0048351C"/>
    <w:rsid w:val="0048356D"/>
    <w:rsid w:val="00483EF7"/>
    <w:rsid w:val="00484026"/>
    <w:rsid w:val="00484245"/>
    <w:rsid w:val="004845F3"/>
    <w:rsid w:val="004845F8"/>
    <w:rsid w:val="0048480F"/>
    <w:rsid w:val="00484B1E"/>
    <w:rsid w:val="00484CB2"/>
    <w:rsid w:val="00485187"/>
    <w:rsid w:val="00485759"/>
    <w:rsid w:val="004868F8"/>
    <w:rsid w:val="00486D5B"/>
    <w:rsid w:val="00487200"/>
    <w:rsid w:val="00487360"/>
    <w:rsid w:val="00487391"/>
    <w:rsid w:val="0048751D"/>
    <w:rsid w:val="004875DD"/>
    <w:rsid w:val="00487B1A"/>
    <w:rsid w:val="00490DAC"/>
    <w:rsid w:val="004910EB"/>
    <w:rsid w:val="00492052"/>
    <w:rsid w:val="00492212"/>
    <w:rsid w:val="00492393"/>
    <w:rsid w:val="004927A3"/>
    <w:rsid w:val="00492D42"/>
    <w:rsid w:val="004933C7"/>
    <w:rsid w:val="004936D2"/>
    <w:rsid w:val="0049380D"/>
    <w:rsid w:val="00493857"/>
    <w:rsid w:val="00493858"/>
    <w:rsid w:val="00493905"/>
    <w:rsid w:val="00493B4C"/>
    <w:rsid w:val="00493D50"/>
    <w:rsid w:val="00493E16"/>
    <w:rsid w:val="0049423C"/>
    <w:rsid w:val="004942B0"/>
    <w:rsid w:val="004948A2"/>
    <w:rsid w:val="00494AD5"/>
    <w:rsid w:val="00494B13"/>
    <w:rsid w:val="00494FB5"/>
    <w:rsid w:val="0049500B"/>
    <w:rsid w:val="004953FB"/>
    <w:rsid w:val="004957D1"/>
    <w:rsid w:val="004959AB"/>
    <w:rsid w:val="00495B0A"/>
    <w:rsid w:val="00495C03"/>
    <w:rsid w:val="00495C6F"/>
    <w:rsid w:val="0049601D"/>
    <w:rsid w:val="004962F6"/>
    <w:rsid w:val="00497106"/>
    <w:rsid w:val="004971D4"/>
    <w:rsid w:val="00497266"/>
    <w:rsid w:val="0049758A"/>
    <w:rsid w:val="0049795A"/>
    <w:rsid w:val="0049798A"/>
    <w:rsid w:val="00497C55"/>
    <w:rsid w:val="00497EFA"/>
    <w:rsid w:val="004A0276"/>
    <w:rsid w:val="004A047E"/>
    <w:rsid w:val="004A05DB"/>
    <w:rsid w:val="004A09D3"/>
    <w:rsid w:val="004A0BB0"/>
    <w:rsid w:val="004A0BF6"/>
    <w:rsid w:val="004A13FD"/>
    <w:rsid w:val="004A25FB"/>
    <w:rsid w:val="004A2729"/>
    <w:rsid w:val="004A2BD1"/>
    <w:rsid w:val="004A2D77"/>
    <w:rsid w:val="004A30B3"/>
    <w:rsid w:val="004A33BE"/>
    <w:rsid w:val="004A4C24"/>
    <w:rsid w:val="004A51CE"/>
    <w:rsid w:val="004A59EA"/>
    <w:rsid w:val="004A5B44"/>
    <w:rsid w:val="004A5CB8"/>
    <w:rsid w:val="004A5FEF"/>
    <w:rsid w:val="004A6912"/>
    <w:rsid w:val="004A6DA7"/>
    <w:rsid w:val="004A6E60"/>
    <w:rsid w:val="004A7171"/>
    <w:rsid w:val="004A71C6"/>
    <w:rsid w:val="004A71D2"/>
    <w:rsid w:val="004A71F6"/>
    <w:rsid w:val="004A7447"/>
    <w:rsid w:val="004A775D"/>
    <w:rsid w:val="004A7832"/>
    <w:rsid w:val="004A7FF1"/>
    <w:rsid w:val="004B07F9"/>
    <w:rsid w:val="004B08B6"/>
    <w:rsid w:val="004B0FA8"/>
    <w:rsid w:val="004B1D25"/>
    <w:rsid w:val="004B23B5"/>
    <w:rsid w:val="004B281F"/>
    <w:rsid w:val="004B2DF5"/>
    <w:rsid w:val="004B2E14"/>
    <w:rsid w:val="004B2F1E"/>
    <w:rsid w:val="004B327F"/>
    <w:rsid w:val="004B3684"/>
    <w:rsid w:val="004B3A05"/>
    <w:rsid w:val="004B3E12"/>
    <w:rsid w:val="004B4288"/>
    <w:rsid w:val="004B4998"/>
    <w:rsid w:val="004B4B42"/>
    <w:rsid w:val="004B5056"/>
    <w:rsid w:val="004B546C"/>
    <w:rsid w:val="004B5766"/>
    <w:rsid w:val="004B5ADC"/>
    <w:rsid w:val="004B5E17"/>
    <w:rsid w:val="004B61F6"/>
    <w:rsid w:val="004B665B"/>
    <w:rsid w:val="004B66CB"/>
    <w:rsid w:val="004B6932"/>
    <w:rsid w:val="004B6AB1"/>
    <w:rsid w:val="004B6C24"/>
    <w:rsid w:val="004B6E1F"/>
    <w:rsid w:val="004B75E2"/>
    <w:rsid w:val="004B798A"/>
    <w:rsid w:val="004B7A69"/>
    <w:rsid w:val="004B7E4A"/>
    <w:rsid w:val="004C00EA"/>
    <w:rsid w:val="004C0524"/>
    <w:rsid w:val="004C06E0"/>
    <w:rsid w:val="004C09BB"/>
    <w:rsid w:val="004C0DF8"/>
    <w:rsid w:val="004C0EEB"/>
    <w:rsid w:val="004C0F29"/>
    <w:rsid w:val="004C161F"/>
    <w:rsid w:val="004C1E86"/>
    <w:rsid w:val="004C227A"/>
    <w:rsid w:val="004C2429"/>
    <w:rsid w:val="004C277D"/>
    <w:rsid w:val="004C2808"/>
    <w:rsid w:val="004C2B86"/>
    <w:rsid w:val="004C2DE0"/>
    <w:rsid w:val="004C328F"/>
    <w:rsid w:val="004C3388"/>
    <w:rsid w:val="004C348F"/>
    <w:rsid w:val="004C35C3"/>
    <w:rsid w:val="004C3E43"/>
    <w:rsid w:val="004C4143"/>
    <w:rsid w:val="004C4348"/>
    <w:rsid w:val="004C43EA"/>
    <w:rsid w:val="004C474C"/>
    <w:rsid w:val="004C4884"/>
    <w:rsid w:val="004C5349"/>
    <w:rsid w:val="004C59D8"/>
    <w:rsid w:val="004C62E3"/>
    <w:rsid w:val="004C68A4"/>
    <w:rsid w:val="004C6976"/>
    <w:rsid w:val="004C69C4"/>
    <w:rsid w:val="004C7029"/>
    <w:rsid w:val="004C738F"/>
    <w:rsid w:val="004C7802"/>
    <w:rsid w:val="004C7CA1"/>
    <w:rsid w:val="004C7EDE"/>
    <w:rsid w:val="004CE59E"/>
    <w:rsid w:val="004D008F"/>
    <w:rsid w:val="004D02DB"/>
    <w:rsid w:val="004D0A2A"/>
    <w:rsid w:val="004D0D50"/>
    <w:rsid w:val="004D1390"/>
    <w:rsid w:val="004D1564"/>
    <w:rsid w:val="004D199C"/>
    <w:rsid w:val="004D1CAE"/>
    <w:rsid w:val="004D1F0D"/>
    <w:rsid w:val="004D2777"/>
    <w:rsid w:val="004D309F"/>
    <w:rsid w:val="004D318D"/>
    <w:rsid w:val="004D3443"/>
    <w:rsid w:val="004D350D"/>
    <w:rsid w:val="004D3B1E"/>
    <w:rsid w:val="004D3BC3"/>
    <w:rsid w:val="004D3D6A"/>
    <w:rsid w:val="004D3E4D"/>
    <w:rsid w:val="004D3F86"/>
    <w:rsid w:val="004D4F1A"/>
    <w:rsid w:val="004D50D4"/>
    <w:rsid w:val="004D510A"/>
    <w:rsid w:val="004D5173"/>
    <w:rsid w:val="004D55EB"/>
    <w:rsid w:val="004D5CA7"/>
    <w:rsid w:val="004D5E97"/>
    <w:rsid w:val="004D60C4"/>
    <w:rsid w:val="004D615E"/>
    <w:rsid w:val="004D6323"/>
    <w:rsid w:val="004D633B"/>
    <w:rsid w:val="004D6579"/>
    <w:rsid w:val="004D66A1"/>
    <w:rsid w:val="004D6A29"/>
    <w:rsid w:val="004D6AE1"/>
    <w:rsid w:val="004D747D"/>
    <w:rsid w:val="004D7FAD"/>
    <w:rsid w:val="004E01D5"/>
    <w:rsid w:val="004E04BF"/>
    <w:rsid w:val="004E07C9"/>
    <w:rsid w:val="004E0E2E"/>
    <w:rsid w:val="004E0FE9"/>
    <w:rsid w:val="004E1355"/>
    <w:rsid w:val="004E1C13"/>
    <w:rsid w:val="004E1CD3"/>
    <w:rsid w:val="004E214F"/>
    <w:rsid w:val="004E2B59"/>
    <w:rsid w:val="004E2BA8"/>
    <w:rsid w:val="004E3129"/>
    <w:rsid w:val="004E340F"/>
    <w:rsid w:val="004E36C4"/>
    <w:rsid w:val="004E38D9"/>
    <w:rsid w:val="004E3958"/>
    <w:rsid w:val="004E3B22"/>
    <w:rsid w:val="004E3C84"/>
    <w:rsid w:val="004E4015"/>
    <w:rsid w:val="004E448D"/>
    <w:rsid w:val="004E4912"/>
    <w:rsid w:val="004E4B56"/>
    <w:rsid w:val="004E4D47"/>
    <w:rsid w:val="004E51E2"/>
    <w:rsid w:val="004E59AD"/>
    <w:rsid w:val="004E5A43"/>
    <w:rsid w:val="004E5C34"/>
    <w:rsid w:val="004E5CA2"/>
    <w:rsid w:val="004E5F2B"/>
    <w:rsid w:val="004E5FAD"/>
    <w:rsid w:val="004E6141"/>
    <w:rsid w:val="004E621D"/>
    <w:rsid w:val="004E6C38"/>
    <w:rsid w:val="004E74C6"/>
    <w:rsid w:val="004F0860"/>
    <w:rsid w:val="004F0D4A"/>
    <w:rsid w:val="004F0EB4"/>
    <w:rsid w:val="004F1251"/>
    <w:rsid w:val="004F1C08"/>
    <w:rsid w:val="004F1E3E"/>
    <w:rsid w:val="004F1F2D"/>
    <w:rsid w:val="004F273D"/>
    <w:rsid w:val="004F29E1"/>
    <w:rsid w:val="004F2C29"/>
    <w:rsid w:val="004F312C"/>
    <w:rsid w:val="004F32F1"/>
    <w:rsid w:val="004F3D46"/>
    <w:rsid w:val="004F3E64"/>
    <w:rsid w:val="004F462C"/>
    <w:rsid w:val="004F4A96"/>
    <w:rsid w:val="004F4AB8"/>
    <w:rsid w:val="004F5076"/>
    <w:rsid w:val="004F5649"/>
    <w:rsid w:val="004F574E"/>
    <w:rsid w:val="004F57C8"/>
    <w:rsid w:val="004F5AE9"/>
    <w:rsid w:val="004F5F31"/>
    <w:rsid w:val="004F60A0"/>
    <w:rsid w:val="004F6108"/>
    <w:rsid w:val="004F62D0"/>
    <w:rsid w:val="004F6830"/>
    <w:rsid w:val="004F6A75"/>
    <w:rsid w:val="004F6BA6"/>
    <w:rsid w:val="004F6F4C"/>
    <w:rsid w:val="004F7314"/>
    <w:rsid w:val="004F7638"/>
    <w:rsid w:val="004F7AD1"/>
    <w:rsid w:val="004F7C1D"/>
    <w:rsid w:val="004F7E69"/>
    <w:rsid w:val="0050027D"/>
    <w:rsid w:val="00500368"/>
    <w:rsid w:val="00500B5A"/>
    <w:rsid w:val="00500CA8"/>
    <w:rsid w:val="0050147F"/>
    <w:rsid w:val="005017B8"/>
    <w:rsid w:val="0050190F"/>
    <w:rsid w:val="005019E9"/>
    <w:rsid w:val="005020EF"/>
    <w:rsid w:val="00502145"/>
    <w:rsid w:val="0050252A"/>
    <w:rsid w:val="00502612"/>
    <w:rsid w:val="00502962"/>
    <w:rsid w:val="00503056"/>
    <w:rsid w:val="005030A1"/>
    <w:rsid w:val="00503163"/>
    <w:rsid w:val="00503585"/>
    <w:rsid w:val="005038AE"/>
    <w:rsid w:val="00503E9B"/>
    <w:rsid w:val="00504580"/>
    <w:rsid w:val="005048FA"/>
    <w:rsid w:val="00504BC0"/>
    <w:rsid w:val="00504D2C"/>
    <w:rsid w:val="00504EBC"/>
    <w:rsid w:val="00505071"/>
    <w:rsid w:val="005053E1"/>
    <w:rsid w:val="0050595D"/>
    <w:rsid w:val="0050630C"/>
    <w:rsid w:val="005068EF"/>
    <w:rsid w:val="00506AED"/>
    <w:rsid w:val="00506E16"/>
    <w:rsid w:val="005075A3"/>
    <w:rsid w:val="005104B0"/>
    <w:rsid w:val="005106ED"/>
    <w:rsid w:val="005108B3"/>
    <w:rsid w:val="00510EE2"/>
    <w:rsid w:val="005110E2"/>
    <w:rsid w:val="00511C5D"/>
    <w:rsid w:val="00512A40"/>
    <w:rsid w:val="00513056"/>
    <w:rsid w:val="005137AD"/>
    <w:rsid w:val="005139BF"/>
    <w:rsid w:val="00513EFE"/>
    <w:rsid w:val="00514016"/>
    <w:rsid w:val="00514114"/>
    <w:rsid w:val="00514304"/>
    <w:rsid w:val="00514634"/>
    <w:rsid w:val="00514E5B"/>
    <w:rsid w:val="0051500A"/>
    <w:rsid w:val="0051528C"/>
    <w:rsid w:val="0051530D"/>
    <w:rsid w:val="00515A66"/>
    <w:rsid w:val="00515C68"/>
    <w:rsid w:val="00515C90"/>
    <w:rsid w:val="00515CDB"/>
    <w:rsid w:val="0051675D"/>
    <w:rsid w:val="005167E5"/>
    <w:rsid w:val="005168F6"/>
    <w:rsid w:val="00516A8E"/>
    <w:rsid w:val="00516B7C"/>
    <w:rsid w:val="00516BB4"/>
    <w:rsid w:val="00517BBB"/>
    <w:rsid w:val="00520249"/>
    <w:rsid w:val="00520329"/>
    <w:rsid w:val="005203EE"/>
    <w:rsid w:val="005204D5"/>
    <w:rsid w:val="0052081F"/>
    <w:rsid w:val="00521841"/>
    <w:rsid w:val="0052188E"/>
    <w:rsid w:val="0052198F"/>
    <w:rsid w:val="00521A8E"/>
    <w:rsid w:val="00521AFB"/>
    <w:rsid w:val="00521F7F"/>
    <w:rsid w:val="005239FF"/>
    <w:rsid w:val="00524343"/>
    <w:rsid w:val="00524CE4"/>
    <w:rsid w:val="00524D55"/>
    <w:rsid w:val="00525424"/>
    <w:rsid w:val="005254F5"/>
    <w:rsid w:val="0052603C"/>
    <w:rsid w:val="005262E8"/>
    <w:rsid w:val="0052642C"/>
    <w:rsid w:val="00526570"/>
    <w:rsid w:val="0052668B"/>
    <w:rsid w:val="00526982"/>
    <w:rsid w:val="005275D2"/>
    <w:rsid w:val="0053008B"/>
    <w:rsid w:val="00530CAC"/>
    <w:rsid w:val="0053119C"/>
    <w:rsid w:val="00531586"/>
    <w:rsid w:val="005317E4"/>
    <w:rsid w:val="005318B5"/>
    <w:rsid w:val="00532186"/>
    <w:rsid w:val="00533148"/>
    <w:rsid w:val="005336FB"/>
    <w:rsid w:val="00533AFC"/>
    <w:rsid w:val="00533E67"/>
    <w:rsid w:val="005343AA"/>
    <w:rsid w:val="0053445F"/>
    <w:rsid w:val="0053472C"/>
    <w:rsid w:val="00534D2B"/>
    <w:rsid w:val="00534FD4"/>
    <w:rsid w:val="0053546E"/>
    <w:rsid w:val="00535962"/>
    <w:rsid w:val="0053596D"/>
    <w:rsid w:val="00535A2A"/>
    <w:rsid w:val="00535DD6"/>
    <w:rsid w:val="00536264"/>
    <w:rsid w:val="00536CE5"/>
    <w:rsid w:val="00536F6F"/>
    <w:rsid w:val="00537816"/>
    <w:rsid w:val="005378FD"/>
    <w:rsid w:val="00537973"/>
    <w:rsid w:val="00540051"/>
    <w:rsid w:val="00540A54"/>
    <w:rsid w:val="00540A82"/>
    <w:rsid w:val="00540DC5"/>
    <w:rsid w:val="00540E28"/>
    <w:rsid w:val="00540F9B"/>
    <w:rsid w:val="00540FCB"/>
    <w:rsid w:val="00541287"/>
    <w:rsid w:val="005415E5"/>
    <w:rsid w:val="00541CAC"/>
    <w:rsid w:val="00541D3B"/>
    <w:rsid w:val="00541F8E"/>
    <w:rsid w:val="005429D4"/>
    <w:rsid w:val="005429E6"/>
    <w:rsid w:val="0054324E"/>
    <w:rsid w:val="00543392"/>
    <w:rsid w:val="00543478"/>
    <w:rsid w:val="00543CC8"/>
    <w:rsid w:val="00544234"/>
    <w:rsid w:val="00544403"/>
    <w:rsid w:val="0054466C"/>
    <w:rsid w:val="005449AE"/>
    <w:rsid w:val="00545024"/>
    <w:rsid w:val="00545055"/>
    <w:rsid w:val="005451CB"/>
    <w:rsid w:val="005452D4"/>
    <w:rsid w:val="00545454"/>
    <w:rsid w:val="00545C3A"/>
    <w:rsid w:val="0054610C"/>
    <w:rsid w:val="00546714"/>
    <w:rsid w:val="00546AAC"/>
    <w:rsid w:val="005475F6"/>
    <w:rsid w:val="00547625"/>
    <w:rsid w:val="0054794F"/>
    <w:rsid w:val="00547BDC"/>
    <w:rsid w:val="00547D4C"/>
    <w:rsid w:val="0055002F"/>
    <w:rsid w:val="00550207"/>
    <w:rsid w:val="00550341"/>
    <w:rsid w:val="00550465"/>
    <w:rsid w:val="00550950"/>
    <w:rsid w:val="005515DF"/>
    <w:rsid w:val="00551CDA"/>
    <w:rsid w:val="00551D51"/>
    <w:rsid w:val="00552795"/>
    <w:rsid w:val="0055338E"/>
    <w:rsid w:val="005536E3"/>
    <w:rsid w:val="0055384A"/>
    <w:rsid w:val="00553A00"/>
    <w:rsid w:val="00553B93"/>
    <w:rsid w:val="00553BA4"/>
    <w:rsid w:val="00553CB0"/>
    <w:rsid w:val="00553F81"/>
    <w:rsid w:val="00554233"/>
    <w:rsid w:val="00554363"/>
    <w:rsid w:val="0055450B"/>
    <w:rsid w:val="00554F65"/>
    <w:rsid w:val="00555970"/>
    <w:rsid w:val="00555A7B"/>
    <w:rsid w:val="00555D82"/>
    <w:rsid w:val="00555F20"/>
    <w:rsid w:val="005565D2"/>
    <w:rsid w:val="005568AB"/>
    <w:rsid w:val="00556F0E"/>
    <w:rsid w:val="00556F45"/>
    <w:rsid w:val="0055731C"/>
    <w:rsid w:val="0055749D"/>
    <w:rsid w:val="0055774E"/>
    <w:rsid w:val="00557797"/>
    <w:rsid w:val="00557C6A"/>
    <w:rsid w:val="00557E04"/>
    <w:rsid w:val="0056012E"/>
    <w:rsid w:val="005604B3"/>
    <w:rsid w:val="005606AE"/>
    <w:rsid w:val="00560E22"/>
    <w:rsid w:val="00561266"/>
    <w:rsid w:val="005613CD"/>
    <w:rsid w:val="00561604"/>
    <w:rsid w:val="0056163C"/>
    <w:rsid w:val="00562760"/>
    <w:rsid w:val="00562B36"/>
    <w:rsid w:val="00562B57"/>
    <w:rsid w:val="00563099"/>
    <w:rsid w:val="005635BB"/>
    <w:rsid w:val="005635C2"/>
    <w:rsid w:val="00563E39"/>
    <w:rsid w:val="0056422D"/>
    <w:rsid w:val="0056451F"/>
    <w:rsid w:val="005645B2"/>
    <w:rsid w:val="0056474E"/>
    <w:rsid w:val="00564D52"/>
    <w:rsid w:val="005653BB"/>
    <w:rsid w:val="0056565B"/>
    <w:rsid w:val="00565666"/>
    <w:rsid w:val="005661DC"/>
    <w:rsid w:val="005665D5"/>
    <w:rsid w:val="00566B51"/>
    <w:rsid w:val="00566F25"/>
    <w:rsid w:val="00567429"/>
    <w:rsid w:val="0056755E"/>
    <w:rsid w:val="005679C0"/>
    <w:rsid w:val="00567D7D"/>
    <w:rsid w:val="00567F79"/>
    <w:rsid w:val="00570C7D"/>
    <w:rsid w:val="005717EC"/>
    <w:rsid w:val="0057255B"/>
    <w:rsid w:val="005728D1"/>
    <w:rsid w:val="005729DE"/>
    <w:rsid w:val="005729E6"/>
    <w:rsid w:val="00572D70"/>
    <w:rsid w:val="005730E1"/>
    <w:rsid w:val="0057323A"/>
    <w:rsid w:val="00573EA4"/>
    <w:rsid w:val="005740CD"/>
    <w:rsid w:val="00574891"/>
    <w:rsid w:val="005749E7"/>
    <w:rsid w:val="00575835"/>
    <w:rsid w:val="00575C7F"/>
    <w:rsid w:val="005765A2"/>
    <w:rsid w:val="005765B8"/>
    <w:rsid w:val="00576DF7"/>
    <w:rsid w:val="0057722C"/>
    <w:rsid w:val="00577309"/>
    <w:rsid w:val="00577926"/>
    <w:rsid w:val="0057796E"/>
    <w:rsid w:val="00577C65"/>
    <w:rsid w:val="00577CFA"/>
    <w:rsid w:val="00577E9D"/>
    <w:rsid w:val="005801A5"/>
    <w:rsid w:val="005804C1"/>
    <w:rsid w:val="005807A8"/>
    <w:rsid w:val="00580B02"/>
    <w:rsid w:val="00580B89"/>
    <w:rsid w:val="00580BB8"/>
    <w:rsid w:val="00580BE3"/>
    <w:rsid w:val="0058100B"/>
    <w:rsid w:val="005815C3"/>
    <w:rsid w:val="00581FA5"/>
    <w:rsid w:val="00581FDF"/>
    <w:rsid w:val="00582968"/>
    <w:rsid w:val="005829D1"/>
    <w:rsid w:val="00583004"/>
    <w:rsid w:val="005832A2"/>
    <w:rsid w:val="005834D0"/>
    <w:rsid w:val="005837ED"/>
    <w:rsid w:val="00583964"/>
    <w:rsid w:val="00583CFC"/>
    <w:rsid w:val="00583E17"/>
    <w:rsid w:val="00583E63"/>
    <w:rsid w:val="00583E67"/>
    <w:rsid w:val="00583F2C"/>
    <w:rsid w:val="00584D39"/>
    <w:rsid w:val="00584E9B"/>
    <w:rsid w:val="00584ECB"/>
    <w:rsid w:val="005850C2"/>
    <w:rsid w:val="00585655"/>
    <w:rsid w:val="005859FA"/>
    <w:rsid w:val="00586021"/>
    <w:rsid w:val="0058612D"/>
    <w:rsid w:val="005865BE"/>
    <w:rsid w:val="0058688E"/>
    <w:rsid w:val="00586D62"/>
    <w:rsid w:val="005871AD"/>
    <w:rsid w:val="0058794F"/>
    <w:rsid w:val="0058796B"/>
    <w:rsid w:val="005879B7"/>
    <w:rsid w:val="00587C9A"/>
    <w:rsid w:val="00587CE6"/>
    <w:rsid w:val="00587DD6"/>
    <w:rsid w:val="0059008E"/>
    <w:rsid w:val="005902F0"/>
    <w:rsid w:val="0059034E"/>
    <w:rsid w:val="005905C8"/>
    <w:rsid w:val="005907F6"/>
    <w:rsid w:val="005908F6"/>
    <w:rsid w:val="0059164D"/>
    <w:rsid w:val="00591E68"/>
    <w:rsid w:val="005927E2"/>
    <w:rsid w:val="005928A5"/>
    <w:rsid w:val="005932AC"/>
    <w:rsid w:val="0059354A"/>
    <w:rsid w:val="00593D66"/>
    <w:rsid w:val="00594000"/>
    <w:rsid w:val="0059447D"/>
    <w:rsid w:val="0059460A"/>
    <w:rsid w:val="0059461F"/>
    <w:rsid w:val="00594713"/>
    <w:rsid w:val="00594750"/>
    <w:rsid w:val="00594882"/>
    <w:rsid w:val="00594DBA"/>
    <w:rsid w:val="00594E29"/>
    <w:rsid w:val="00595168"/>
    <w:rsid w:val="00595217"/>
    <w:rsid w:val="00595598"/>
    <w:rsid w:val="0059575B"/>
    <w:rsid w:val="00595942"/>
    <w:rsid w:val="005959FD"/>
    <w:rsid w:val="00595D0D"/>
    <w:rsid w:val="00595EEA"/>
    <w:rsid w:val="00595FA0"/>
    <w:rsid w:val="00596421"/>
    <w:rsid w:val="0059684B"/>
    <w:rsid w:val="00596856"/>
    <w:rsid w:val="00596E17"/>
    <w:rsid w:val="0059726D"/>
    <w:rsid w:val="00597353"/>
    <w:rsid w:val="00597514"/>
    <w:rsid w:val="005A01F8"/>
    <w:rsid w:val="005A0210"/>
    <w:rsid w:val="005A0B6B"/>
    <w:rsid w:val="005A1D93"/>
    <w:rsid w:val="005A20C8"/>
    <w:rsid w:val="005A21AB"/>
    <w:rsid w:val="005A24B2"/>
    <w:rsid w:val="005A2571"/>
    <w:rsid w:val="005A267D"/>
    <w:rsid w:val="005A2687"/>
    <w:rsid w:val="005A277D"/>
    <w:rsid w:val="005A29C0"/>
    <w:rsid w:val="005A2D77"/>
    <w:rsid w:val="005A2F50"/>
    <w:rsid w:val="005A360D"/>
    <w:rsid w:val="005A4381"/>
    <w:rsid w:val="005A487E"/>
    <w:rsid w:val="005A4B42"/>
    <w:rsid w:val="005A4BEC"/>
    <w:rsid w:val="005A4ECD"/>
    <w:rsid w:val="005A4EFA"/>
    <w:rsid w:val="005A4F7B"/>
    <w:rsid w:val="005A5503"/>
    <w:rsid w:val="005A59FA"/>
    <w:rsid w:val="005A5AC5"/>
    <w:rsid w:val="005A5FE5"/>
    <w:rsid w:val="005A60B7"/>
    <w:rsid w:val="005A68AF"/>
    <w:rsid w:val="005A6B6A"/>
    <w:rsid w:val="005A6D55"/>
    <w:rsid w:val="005A7124"/>
    <w:rsid w:val="005A731C"/>
    <w:rsid w:val="005A7924"/>
    <w:rsid w:val="005A7AEC"/>
    <w:rsid w:val="005B017E"/>
    <w:rsid w:val="005B08FB"/>
    <w:rsid w:val="005B0F13"/>
    <w:rsid w:val="005B0FC1"/>
    <w:rsid w:val="005B1230"/>
    <w:rsid w:val="005B1522"/>
    <w:rsid w:val="005B1D52"/>
    <w:rsid w:val="005B1EB6"/>
    <w:rsid w:val="005B2041"/>
    <w:rsid w:val="005B269D"/>
    <w:rsid w:val="005B2C5D"/>
    <w:rsid w:val="005B2C71"/>
    <w:rsid w:val="005B2CBB"/>
    <w:rsid w:val="005B2E07"/>
    <w:rsid w:val="005B2E10"/>
    <w:rsid w:val="005B31C8"/>
    <w:rsid w:val="005B356A"/>
    <w:rsid w:val="005B3721"/>
    <w:rsid w:val="005B440F"/>
    <w:rsid w:val="005B48EC"/>
    <w:rsid w:val="005B4918"/>
    <w:rsid w:val="005B5073"/>
    <w:rsid w:val="005B540D"/>
    <w:rsid w:val="005B5452"/>
    <w:rsid w:val="005B5842"/>
    <w:rsid w:val="005B5A55"/>
    <w:rsid w:val="005B5E1C"/>
    <w:rsid w:val="005B63DA"/>
    <w:rsid w:val="005B6DA2"/>
    <w:rsid w:val="005B7050"/>
    <w:rsid w:val="005B7E84"/>
    <w:rsid w:val="005C0B02"/>
    <w:rsid w:val="005C0C97"/>
    <w:rsid w:val="005C0D00"/>
    <w:rsid w:val="005C1049"/>
    <w:rsid w:val="005C1381"/>
    <w:rsid w:val="005C1553"/>
    <w:rsid w:val="005C1732"/>
    <w:rsid w:val="005C184A"/>
    <w:rsid w:val="005C1B15"/>
    <w:rsid w:val="005C1D5D"/>
    <w:rsid w:val="005C1E88"/>
    <w:rsid w:val="005C256B"/>
    <w:rsid w:val="005C2582"/>
    <w:rsid w:val="005C261E"/>
    <w:rsid w:val="005C273C"/>
    <w:rsid w:val="005C277C"/>
    <w:rsid w:val="005C2C08"/>
    <w:rsid w:val="005C3305"/>
    <w:rsid w:val="005C3585"/>
    <w:rsid w:val="005C3CC5"/>
    <w:rsid w:val="005C3D52"/>
    <w:rsid w:val="005C3E21"/>
    <w:rsid w:val="005C41A4"/>
    <w:rsid w:val="005C42A8"/>
    <w:rsid w:val="005C4789"/>
    <w:rsid w:val="005C48F0"/>
    <w:rsid w:val="005C4C97"/>
    <w:rsid w:val="005C5A14"/>
    <w:rsid w:val="005C5AE7"/>
    <w:rsid w:val="005C6000"/>
    <w:rsid w:val="005C647C"/>
    <w:rsid w:val="005C64C3"/>
    <w:rsid w:val="005C69B9"/>
    <w:rsid w:val="005C6B9F"/>
    <w:rsid w:val="005C6D1E"/>
    <w:rsid w:val="005C6FF6"/>
    <w:rsid w:val="005C70BD"/>
    <w:rsid w:val="005C72EA"/>
    <w:rsid w:val="005C7733"/>
    <w:rsid w:val="005C77F4"/>
    <w:rsid w:val="005C7C89"/>
    <w:rsid w:val="005D012B"/>
    <w:rsid w:val="005D06AE"/>
    <w:rsid w:val="005D0A11"/>
    <w:rsid w:val="005D0E50"/>
    <w:rsid w:val="005D0F60"/>
    <w:rsid w:val="005D0F6E"/>
    <w:rsid w:val="005D1347"/>
    <w:rsid w:val="005D1818"/>
    <w:rsid w:val="005D18FF"/>
    <w:rsid w:val="005D1B38"/>
    <w:rsid w:val="005D1E1C"/>
    <w:rsid w:val="005D2402"/>
    <w:rsid w:val="005D267B"/>
    <w:rsid w:val="005D2C45"/>
    <w:rsid w:val="005D328F"/>
    <w:rsid w:val="005D367A"/>
    <w:rsid w:val="005D378D"/>
    <w:rsid w:val="005D3BCF"/>
    <w:rsid w:val="005D3BFD"/>
    <w:rsid w:val="005D4296"/>
    <w:rsid w:val="005D47CB"/>
    <w:rsid w:val="005D483E"/>
    <w:rsid w:val="005D4882"/>
    <w:rsid w:val="005D4C14"/>
    <w:rsid w:val="005D4F9B"/>
    <w:rsid w:val="005D51BB"/>
    <w:rsid w:val="005D5240"/>
    <w:rsid w:val="005D5643"/>
    <w:rsid w:val="005D565F"/>
    <w:rsid w:val="005D57B1"/>
    <w:rsid w:val="005D597A"/>
    <w:rsid w:val="005D5A61"/>
    <w:rsid w:val="005D6680"/>
    <w:rsid w:val="005D6D4F"/>
    <w:rsid w:val="005D7348"/>
    <w:rsid w:val="005D7C3E"/>
    <w:rsid w:val="005D7C96"/>
    <w:rsid w:val="005D7F60"/>
    <w:rsid w:val="005E05AD"/>
    <w:rsid w:val="005E0763"/>
    <w:rsid w:val="005E0871"/>
    <w:rsid w:val="005E0B01"/>
    <w:rsid w:val="005E0D33"/>
    <w:rsid w:val="005E1436"/>
    <w:rsid w:val="005E1643"/>
    <w:rsid w:val="005E18B5"/>
    <w:rsid w:val="005E1950"/>
    <w:rsid w:val="005E1BB4"/>
    <w:rsid w:val="005E1E59"/>
    <w:rsid w:val="005E1F17"/>
    <w:rsid w:val="005E2269"/>
    <w:rsid w:val="005E28CB"/>
    <w:rsid w:val="005E3060"/>
    <w:rsid w:val="005E335D"/>
    <w:rsid w:val="005E376A"/>
    <w:rsid w:val="005E390C"/>
    <w:rsid w:val="005E3BED"/>
    <w:rsid w:val="005E465E"/>
    <w:rsid w:val="005E482F"/>
    <w:rsid w:val="005E48F8"/>
    <w:rsid w:val="005E4984"/>
    <w:rsid w:val="005E49CA"/>
    <w:rsid w:val="005E4B31"/>
    <w:rsid w:val="005E51E8"/>
    <w:rsid w:val="005E532E"/>
    <w:rsid w:val="005E53F6"/>
    <w:rsid w:val="005E54E0"/>
    <w:rsid w:val="005E55CB"/>
    <w:rsid w:val="005E5CF7"/>
    <w:rsid w:val="005E5E9E"/>
    <w:rsid w:val="005E5F8C"/>
    <w:rsid w:val="005E60D7"/>
    <w:rsid w:val="005E63CF"/>
    <w:rsid w:val="005E66D7"/>
    <w:rsid w:val="005E6959"/>
    <w:rsid w:val="005E6B62"/>
    <w:rsid w:val="005E6C09"/>
    <w:rsid w:val="005E6CF7"/>
    <w:rsid w:val="005E6EFE"/>
    <w:rsid w:val="005E7023"/>
    <w:rsid w:val="005E73DE"/>
    <w:rsid w:val="005E78AE"/>
    <w:rsid w:val="005E7FFD"/>
    <w:rsid w:val="005F0018"/>
    <w:rsid w:val="005F043D"/>
    <w:rsid w:val="005F0613"/>
    <w:rsid w:val="005F0A5C"/>
    <w:rsid w:val="005F0D90"/>
    <w:rsid w:val="005F172C"/>
    <w:rsid w:val="005F1AEA"/>
    <w:rsid w:val="005F1EE5"/>
    <w:rsid w:val="005F2136"/>
    <w:rsid w:val="005F215B"/>
    <w:rsid w:val="005F2222"/>
    <w:rsid w:val="005F2901"/>
    <w:rsid w:val="005F29D8"/>
    <w:rsid w:val="005F2F5F"/>
    <w:rsid w:val="005F32CB"/>
    <w:rsid w:val="005F335E"/>
    <w:rsid w:val="005F3B01"/>
    <w:rsid w:val="005F3B1E"/>
    <w:rsid w:val="005F4090"/>
    <w:rsid w:val="005F4656"/>
    <w:rsid w:val="005F46DE"/>
    <w:rsid w:val="005F4B04"/>
    <w:rsid w:val="005F4E2B"/>
    <w:rsid w:val="005F51FC"/>
    <w:rsid w:val="005F57C5"/>
    <w:rsid w:val="005F5C3D"/>
    <w:rsid w:val="005F60E7"/>
    <w:rsid w:val="005F6C37"/>
    <w:rsid w:val="005F6FA6"/>
    <w:rsid w:val="005F7BCC"/>
    <w:rsid w:val="006009DF"/>
    <w:rsid w:val="0060149C"/>
    <w:rsid w:val="006014BB"/>
    <w:rsid w:val="00601715"/>
    <w:rsid w:val="00601835"/>
    <w:rsid w:val="00601AC4"/>
    <w:rsid w:val="00601B39"/>
    <w:rsid w:val="00602000"/>
    <w:rsid w:val="00602089"/>
    <w:rsid w:val="00602294"/>
    <w:rsid w:val="00602325"/>
    <w:rsid w:val="00602433"/>
    <w:rsid w:val="00602476"/>
    <w:rsid w:val="0060251D"/>
    <w:rsid w:val="006025BF"/>
    <w:rsid w:val="006026EF"/>
    <w:rsid w:val="00602987"/>
    <w:rsid w:val="00602BA4"/>
    <w:rsid w:val="00603270"/>
    <w:rsid w:val="00603413"/>
    <w:rsid w:val="006039B5"/>
    <w:rsid w:val="00603DF2"/>
    <w:rsid w:val="00604797"/>
    <w:rsid w:val="006048CB"/>
    <w:rsid w:val="00604A02"/>
    <w:rsid w:val="00604D92"/>
    <w:rsid w:val="006052F0"/>
    <w:rsid w:val="00605349"/>
    <w:rsid w:val="00605790"/>
    <w:rsid w:val="006058E6"/>
    <w:rsid w:val="00606401"/>
    <w:rsid w:val="006065C8"/>
    <w:rsid w:val="00606626"/>
    <w:rsid w:val="00606AB0"/>
    <w:rsid w:val="00606E8C"/>
    <w:rsid w:val="00606F04"/>
    <w:rsid w:val="006072FD"/>
    <w:rsid w:val="006078D4"/>
    <w:rsid w:val="0061004D"/>
    <w:rsid w:val="00610106"/>
    <w:rsid w:val="0061112B"/>
    <w:rsid w:val="006111E0"/>
    <w:rsid w:val="0061168C"/>
    <w:rsid w:val="006118FD"/>
    <w:rsid w:val="00611963"/>
    <w:rsid w:val="00611EE0"/>
    <w:rsid w:val="00611FFD"/>
    <w:rsid w:val="0061220B"/>
    <w:rsid w:val="00612654"/>
    <w:rsid w:val="006127A8"/>
    <w:rsid w:val="00612808"/>
    <w:rsid w:val="00612BA4"/>
    <w:rsid w:val="00612F6A"/>
    <w:rsid w:val="00613922"/>
    <w:rsid w:val="00613B8C"/>
    <w:rsid w:val="00613C06"/>
    <w:rsid w:val="00614171"/>
    <w:rsid w:val="00614439"/>
    <w:rsid w:val="00614441"/>
    <w:rsid w:val="006145FE"/>
    <w:rsid w:val="00614850"/>
    <w:rsid w:val="00614C94"/>
    <w:rsid w:val="006162A8"/>
    <w:rsid w:val="006164FB"/>
    <w:rsid w:val="006166D3"/>
    <w:rsid w:val="00616FEF"/>
    <w:rsid w:val="006171FF"/>
    <w:rsid w:val="006172DE"/>
    <w:rsid w:val="00617398"/>
    <w:rsid w:val="0061751D"/>
    <w:rsid w:val="0061754B"/>
    <w:rsid w:val="006175D3"/>
    <w:rsid w:val="00617770"/>
    <w:rsid w:val="006177D3"/>
    <w:rsid w:val="00617877"/>
    <w:rsid w:val="00617977"/>
    <w:rsid w:val="006203FE"/>
    <w:rsid w:val="006207D9"/>
    <w:rsid w:val="0062124C"/>
    <w:rsid w:val="00621471"/>
    <w:rsid w:val="0062189F"/>
    <w:rsid w:val="00621B2E"/>
    <w:rsid w:val="00622372"/>
    <w:rsid w:val="0062284D"/>
    <w:rsid w:val="00622BCC"/>
    <w:rsid w:val="00622E21"/>
    <w:rsid w:val="00623D4B"/>
    <w:rsid w:val="00623E05"/>
    <w:rsid w:val="0062427D"/>
    <w:rsid w:val="0062460F"/>
    <w:rsid w:val="006248BB"/>
    <w:rsid w:val="00625382"/>
    <w:rsid w:val="00625617"/>
    <w:rsid w:val="00625660"/>
    <w:rsid w:val="00625ADA"/>
    <w:rsid w:val="00625C02"/>
    <w:rsid w:val="00625EE8"/>
    <w:rsid w:val="0062605E"/>
    <w:rsid w:val="00626291"/>
    <w:rsid w:val="00627615"/>
    <w:rsid w:val="00627AE9"/>
    <w:rsid w:val="00630803"/>
    <w:rsid w:val="00630983"/>
    <w:rsid w:val="00630AC0"/>
    <w:rsid w:val="00630CB4"/>
    <w:rsid w:val="00630E2D"/>
    <w:rsid w:val="006317F8"/>
    <w:rsid w:val="006318E2"/>
    <w:rsid w:val="00631F56"/>
    <w:rsid w:val="00632129"/>
    <w:rsid w:val="00632210"/>
    <w:rsid w:val="006326AD"/>
    <w:rsid w:val="00632F7D"/>
    <w:rsid w:val="006337C7"/>
    <w:rsid w:val="00633BDA"/>
    <w:rsid w:val="00633D72"/>
    <w:rsid w:val="00633D8F"/>
    <w:rsid w:val="00634F4E"/>
    <w:rsid w:val="006350DA"/>
    <w:rsid w:val="006359C9"/>
    <w:rsid w:val="00635AF7"/>
    <w:rsid w:val="00635D68"/>
    <w:rsid w:val="00635DB7"/>
    <w:rsid w:val="00635DF3"/>
    <w:rsid w:val="0063671A"/>
    <w:rsid w:val="00637135"/>
    <w:rsid w:val="006378BD"/>
    <w:rsid w:val="00637D0F"/>
    <w:rsid w:val="00640161"/>
    <w:rsid w:val="006405EC"/>
    <w:rsid w:val="00640A25"/>
    <w:rsid w:val="00640AE7"/>
    <w:rsid w:val="00640DB2"/>
    <w:rsid w:val="0064128D"/>
    <w:rsid w:val="0064155C"/>
    <w:rsid w:val="006417FE"/>
    <w:rsid w:val="006419C8"/>
    <w:rsid w:val="00641A64"/>
    <w:rsid w:val="00641BBC"/>
    <w:rsid w:val="00641DC5"/>
    <w:rsid w:val="00642374"/>
    <w:rsid w:val="006437D8"/>
    <w:rsid w:val="00643ECD"/>
    <w:rsid w:val="00643F41"/>
    <w:rsid w:val="0064405D"/>
    <w:rsid w:val="0064407E"/>
    <w:rsid w:val="006440D0"/>
    <w:rsid w:val="0064416D"/>
    <w:rsid w:val="006441CD"/>
    <w:rsid w:val="00644712"/>
    <w:rsid w:val="00644CE1"/>
    <w:rsid w:val="00644D77"/>
    <w:rsid w:val="0064535E"/>
    <w:rsid w:val="0064555D"/>
    <w:rsid w:val="00645946"/>
    <w:rsid w:val="00645A0F"/>
    <w:rsid w:val="0064686B"/>
    <w:rsid w:val="0065017F"/>
    <w:rsid w:val="006507C9"/>
    <w:rsid w:val="00650982"/>
    <w:rsid w:val="00650B7B"/>
    <w:rsid w:val="00650E30"/>
    <w:rsid w:val="006513B4"/>
    <w:rsid w:val="006513FB"/>
    <w:rsid w:val="0065153B"/>
    <w:rsid w:val="0065170F"/>
    <w:rsid w:val="00651974"/>
    <w:rsid w:val="00651A00"/>
    <w:rsid w:val="00651C4E"/>
    <w:rsid w:val="00651D8B"/>
    <w:rsid w:val="0065222E"/>
    <w:rsid w:val="00652EF1"/>
    <w:rsid w:val="00652F3D"/>
    <w:rsid w:val="006531B6"/>
    <w:rsid w:val="006531D9"/>
    <w:rsid w:val="006531E6"/>
    <w:rsid w:val="006532EF"/>
    <w:rsid w:val="006534FD"/>
    <w:rsid w:val="006538E0"/>
    <w:rsid w:val="0065394C"/>
    <w:rsid w:val="00653BA9"/>
    <w:rsid w:val="00653DA7"/>
    <w:rsid w:val="00654BB4"/>
    <w:rsid w:val="0065512E"/>
    <w:rsid w:val="00655267"/>
    <w:rsid w:val="00655A7C"/>
    <w:rsid w:val="00655CEE"/>
    <w:rsid w:val="00655D09"/>
    <w:rsid w:val="00655E60"/>
    <w:rsid w:val="00655F99"/>
    <w:rsid w:val="006561CC"/>
    <w:rsid w:val="00656709"/>
    <w:rsid w:val="006567F7"/>
    <w:rsid w:val="00656E25"/>
    <w:rsid w:val="00657677"/>
    <w:rsid w:val="00657D6A"/>
    <w:rsid w:val="00660060"/>
    <w:rsid w:val="00660AB1"/>
    <w:rsid w:val="00660E08"/>
    <w:rsid w:val="00661002"/>
    <w:rsid w:val="0066168E"/>
    <w:rsid w:val="006616A0"/>
    <w:rsid w:val="00661A6E"/>
    <w:rsid w:val="00661AE9"/>
    <w:rsid w:val="00661E24"/>
    <w:rsid w:val="00661FC9"/>
    <w:rsid w:val="006621B3"/>
    <w:rsid w:val="0066223C"/>
    <w:rsid w:val="00663251"/>
    <w:rsid w:val="006632CC"/>
    <w:rsid w:val="006632DB"/>
    <w:rsid w:val="006632E4"/>
    <w:rsid w:val="006634DB"/>
    <w:rsid w:val="00663536"/>
    <w:rsid w:val="00663692"/>
    <w:rsid w:val="00663AA3"/>
    <w:rsid w:val="00663D95"/>
    <w:rsid w:val="00663E01"/>
    <w:rsid w:val="0066486B"/>
    <w:rsid w:val="00664A88"/>
    <w:rsid w:val="006652F6"/>
    <w:rsid w:val="006653B8"/>
    <w:rsid w:val="006654A8"/>
    <w:rsid w:val="0066550C"/>
    <w:rsid w:val="00665D1C"/>
    <w:rsid w:val="00665ED5"/>
    <w:rsid w:val="00666100"/>
    <w:rsid w:val="00666A2A"/>
    <w:rsid w:val="00666CC2"/>
    <w:rsid w:val="00666EC5"/>
    <w:rsid w:val="00666F75"/>
    <w:rsid w:val="006672A0"/>
    <w:rsid w:val="00667AFF"/>
    <w:rsid w:val="00667E08"/>
    <w:rsid w:val="0067005B"/>
    <w:rsid w:val="00670395"/>
    <w:rsid w:val="0067061A"/>
    <w:rsid w:val="00671281"/>
    <w:rsid w:val="0067145F"/>
    <w:rsid w:val="00671B89"/>
    <w:rsid w:val="00671C00"/>
    <w:rsid w:val="00672A4F"/>
    <w:rsid w:val="00672DE1"/>
    <w:rsid w:val="00672E95"/>
    <w:rsid w:val="00672FD9"/>
    <w:rsid w:val="006733CF"/>
    <w:rsid w:val="006736DC"/>
    <w:rsid w:val="00673839"/>
    <w:rsid w:val="006740BA"/>
    <w:rsid w:val="00674381"/>
    <w:rsid w:val="00674878"/>
    <w:rsid w:val="00674CCB"/>
    <w:rsid w:val="00674FF5"/>
    <w:rsid w:val="006754AE"/>
    <w:rsid w:val="0067569A"/>
    <w:rsid w:val="00675F42"/>
    <w:rsid w:val="006760C8"/>
    <w:rsid w:val="00676502"/>
    <w:rsid w:val="00676649"/>
    <w:rsid w:val="0067668D"/>
    <w:rsid w:val="00676FC5"/>
    <w:rsid w:val="006770A0"/>
    <w:rsid w:val="00677640"/>
    <w:rsid w:val="00677B0F"/>
    <w:rsid w:val="00679AD0"/>
    <w:rsid w:val="006802A0"/>
    <w:rsid w:val="006802C7"/>
    <w:rsid w:val="006807A1"/>
    <w:rsid w:val="00681090"/>
    <w:rsid w:val="00681903"/>
    <w:rsid w:val="006819F1"/>
    <w:rsid w:val="00681D03"/>
    <w:rsid w:val="00682282"/>
    <w:rsid w:val="00682285"/>
    <w:rsid w:val="00682A27"/>
    <w:rsid w:val="00682A83"/>
    <w:rsid w:val="0068387A"/>
    <w:rsid w:val="006839D2"/>
    <w:rsid w:val="00683A3C"/>
    <w:rsid w:val="00683A8F"/>
    <w:rsid w:val="00683ECA"/>
    <w:rsid w:val="00684260"/>
    <w:rsid w:val="0068490F"/>
    <w:rsid w:val="00684D90"/>
    <w:rsid w:val="00685228"/>
    <w:rsid w:val="0068547B"/>
    <w:rsid w:val="00685E8F"/>
    <w:rsid w:val="00686013"/>
    <w:rsid w:val="0068623D"/>
    <w:rsid w:val="00686997"/>
    <w:rsid w:val="00686A63"/>
    <w:rsid w:val="00686F5E"/>
    <w:rsid w:val="0068765F"/>
    <w:rsid w:val="00687A64"/>
    <w:rsid w:val="00687B2D"/>
    <w:rsid w:val="00690069"/>
    <w:rsid w:val="00690367"/>
    <w:rsid w:val="00690E29"/>
    <w:rsid w:val="00691124"/>
    <w:rsid w:val="00691142"/>
    <w:rsid w:val="006911EB"/>
    <w:rsid w:val="00691ABD"/>
    <w:rsid w:val="00691F19"/>
    <w:rsid w:val="0069202F"/>
    <w:rsid w:val="00692394"/>
    <w:rsid w:val="0069265C"/>
    <w:rsid w:val="006926DC"/>
    <w:rsid w:val="00692B21"/>
    <w:rsid w:val="00693399"/>
    <w:rsid w:val="00693486"/>
    <w:rsid w:val="00693567"/>
    <w:rsid w:val="006937D1"/>
    <w:rsid w:val="00693800"/>
    <w:rsid w:val="00693E22"/>
    <w:rsid w:val="00694365"/>
    <w:rsid w:val="0069455E"/>
    <w:rsid w:val="00694AD6"/>
    <w:rsid w:val="00694D95"/>
    <w:rsid w:val="00694DFF"/>
    <w:rsid w:val="00695247"/>
    <w:rsid w:val="006954C8"/>
    <w:rsid w:val="0069559C"/>
    <w:rsid w:val="00695A9B"/>
    <w:rsid w:val="00695F75"/>
    <w:rsid w:val="006968AA"/>
    <w:rsid w:val="006969D2"/>
    <w:rsid w:val="00696C45"/>
    <w:rsid w:val="006975A5"/>
    <w:rsid w:val="00697753"/>
    <w:rsid w:val="00697861"/>
    <w:rsid w:val="00697E86"/>
    <w:rsid w:val="006A0B9F"/>
    <w:rsid w:val="006A0EE7"/>
    <w:rsid w:val="006A15EC"/>
    <w:rsid w:val="006A1682"/>
    <w:rsid w:val="006A1920"/>
    <w:rsid w:val="006A194E"/>
    <w:rsid w:val="006A1C0B"/>
    <w:rsid w:val="006A1C7F"/>
    <w:rsid w:val="006A1D83"/>
    <w:rsid w:val="006A1E22"/>
    <w:rsid w:val="006A1E5A"/>
    <w:rsid w:val="006A1F41"/>
    <w:rsid w:val="006A24AF"/>
    <w:rsid w:val="006A27B3"/>
    <w:rsid w:val="006A383D"/>
    <w:rsid w:val="006A39D8"/>
    <w:rsid w:val="006A3A4F"/>
    <w:rsid w:val="006A3C8A"/>
    <w:rsid w:val="006A4642"/>
    <w:rsid w:val="006A4728"/>
    <w:rsid w:val="006A4CA3"/>
    <w:rsid w:val="006A4F48"/>
    <w:rsid w:val="006A4F80"/>
    <w:rsid w:val="006A53A1"/>
    <w:rsid w:val="006A54A0"/>
    <w:rsid w:val="006A54E4"/>
    <w:rsid w:val="006A6729"/>
    <w:rsid w:val="006A67A0"/>
    <w:rsid w:val="006A6B0B"/>
    <w:rsid w:val="006A6D73"/>
    <w:rsid w:val="006A79EE"/>
    <w:rsid w:val="006A7FB2"/>
    <w:rsid w:val="006B011E"/>
    <w:rsid w:val="006B0B34"/>
    <w:rsid w:val="006B168A"/>
    <w:rsid w:val="006B28B1"/>
    <w:rsid w:val="006B296F"/>
    <w:rsid w:val="006B29C2"/>
    <w:rsid w:val="006B29D2"/>
    <w:rsid w:val="006B3317"/>
    <w:rsid w:val="006B3BFB"/>
    <w:rsid w:val="006B3DB5"/>
    <w:rsid w:val="006B482E"/>
    <w:rsid w:val="006B4DB4"/>
    <w:rsid w:val="006B5081"/>
    <w:rsid w:val="006B5370"/>
    <w:rsid w:val="006B5506"/>
    <w:rsid w:val="006B5F26"/>
    <w:rsid w:val="006B5F78"/>
    <w:rsid w:val="006B63E2"/>
    <w:rsid w:val="006B6493"/>
    <w:rsid w:val="006B670B"/>
    <w:rsid w:val="006B6AB6"/>
    <w:rsid w:val="006B6B43"/>
    <w:rsid w:val="006B6CB5"/>
    <w:rsid w:val="006B6E73"/>
    <w:rsid w:val="006B6FF3"/>
    <w:rsid w:val="006B730C"/>
    <w:rsid w:val="006B7F89"/>
    <w:rsid w:val="006C0217"/>
    <w:rsid w:val="006C0739"/>
    <w:rsid w:val="006C078A"/>
    <w:rsid w:val="006C0878"/>
    <w:rsid w:val="006C0E6C"/>
    <w:rsid w:val="006C1330"/>
    <w:rsid w:val="006C1E23"/>
    <w:rsid w:val="006C2115"/>
    <w:rsid w:val="006C21CE"/>
    <w:rsid w:val="006C23B8"/>
    <w:rsid w:val="006C24F7"/>
    <w:rsid w:val="006C259F"/>
    <w:rsid w:val="006C264A"/>
    <w:rsid w:val="006C2BB0"/>
    <w:rsid w:val="006C3308"/>
    <w:rsid w:val="006C347D"/>
    <w:rsid w:val="006C37DE"/>
    <w:rsid w:val="006C3821"/>
    <w:rsid w:val="006C3982"/>
    <w:rsid w:val="006C4224"/>
    <w:rsid w:val="006C446F"/>
    <w:rsid w:val="006C4A5C"/>
    <w:rsid w:val="006C52F5"/>
    <w:rsid w:val="006C556D"/>
    <w:rsid w:val="006C56C6"/>
    <w:rsid w:val="006C5813"/>
    <w:rsid w:val="006C5E4A"/>
    <w:rsid w:val="006C6008"/>
    <w:rsid w:val="006C61AB"/>
    <w:rsid w:val="006C6CCA"/>
    <w:rsid w:val="006C6DD2"/>
    <w:rsid w:val="006C74A1"/>
    <w:rsid w:val="006C7563"/>
    <w:rsid w:val="006C7C77"/>
    <w:rsid w:val="006D02C0"/>
    <w:rsid w:val="006D0548"/>
    <w:rsid w:val="006D073C"/>
    <w:rsid w:val="006D079A"/>
    <w:rsid w:val="006D0905"/>
    <w:rsid w:val="006D104B"/>
    <w:rsid w:val="006D108F"/>
    <w:rsid w:val="006D1134"/>
    <w:rsid w:val="006D1672"/>
    <w:rsid w:val="006D1925"/>
    <w:rsid w:val="006D20EE"/>
    <w:rsid w:val="006D2D96"/>
    <w:rsid w:val="006D36DF"/>
    <w:rsid w:val="006D3DF4"/>
    <w:rsid w:val="006D4705"/>
    <w:rsid w:val="006D50F7"/>
    <w:rsid w:val="006D5115"/>
    <w:rsid w:val="006D57E6"/>
    <w:rsid w:val="006D5A34"/>
    <w:rsid w:val="006D5AF1"/>
    <w:rsid w:val="006D5BF4"/>
    <w:rsid w:val="006D5FA3"/>
    <w:rsid w:val="006D61D1"/>
    <w:rsid w:val="006D6200"/>
    <w:rsid w:val="006D6205"/>
    <w:rsid w:val="006D6877"/>
    <w:rsid w:val="006D6A34"/>
    <w:rsid w:val="006D6C15"/>
    <w:rsid w:val="006D6EEC"/>
    <w:rsid w:val="006D6FDB"/>
    <w:rsid w:val="006E01AF"/>
    <w:rsid w:val="006E04D7"/>
    <w:rsid w:val="006E0930"/>
    <w:rsid w:val="006E0BDF"/>
    <w:rsid w:val="006E17EF"/>
    <w:rsid w:val="006E23CE"/>
    <w:rsid w:val="006E264E"/>
    <w:rsid w:val="006E2D91"/>
    <w:rsid w:val="006E2F07"/>
    <w:rsid w:val="006E2FD3"/>
    <w:rsid w:val="006E3210"/>
    <w:rsid w:val="006E3DAC"/>
    <w:rsid w:val="006E4152"/>
    <w:rsid w:val="006E41FD"/>
    <w:rsid w:val="006E5067"/>
    <w:rsid w:val="006E517E"/>
    <w:rsid w:val="006E540A"/>
    <w:rsid w:val="006E57DB"/>
    <w:rsid w:val="006E640D"/>
    <w:rsid w:val="006E644E"/>
    <w:rsid w:val="006E6760"/>
    <w:rsid w:val="006E6A2B"/>
    <w:rsid w:val="006E70F1"/>
    <w:rsid w:val="006E7237"/>
    <w:rsid w:val="006E75F5"/>
    <w:rsid w:val="006F0C5B"/>
    <w:rsid w:val="006F0D9A"/>
    <w:rsid w:val="006F0DA9"/>
    <w:rsid w:val="006F1AAE"/>
    <w:rsid w:val="006F1B65"/>
    <w:rsid w:val="006F1BB8"/>
    <w:rsid w:val="006F1DAB"/>
    <w:rsid w:val="006F1F88"/>
    <w:rsid w:val="006F243D"/>
    <w:rsid w:val="006F2F23"/>
    <w:rsid w:val="006F2FAF"/>
    <w:rsid w:val="006F308A"/>
    <w:rsid w:val="006F30B1"/>
    <w:rsid w:val="006F33AB"/>
    <w:rsid w:val="006F3860"/>
    <w:rsid w:val="006F3DDA"/>
    <w:rsid w:val="006F4043"/>
    <w:rsid w:val="006F44E5"/>
    <w:rsid w:val="006F46E9"/>
    <w:rsid w:val="006F4A3F"/>
    <w:rsid w:val="006F4CF5"/>
    <w:rsid w:val="006F4E80"/>
    <w:rsid w:val="006F4ED0"/>
    <w:rsid w:val="006F5A9E"/>
    <w:rsid w:val="006F5B97"/>
    <w:rsid w:val="006F5C3B"/>
    <w:rsid w:val="006F5DAC"/>
    <w:rsid w:val="006F5F91"/>
    <w:rsid w:val="006F68DF"/>
    <w:rsid w:val="006F69B4"/>
    <w:rsid w:val="006F6CF5"/>
    <w:rsid w:val="006F6E35"/>
    <w:rsid w:val="006F6F98"/>
    <w:rsid w:val="006F6FDC"/>
    <w:rsid w:val="006F739F"/>
    <w:rsid w:val="006F792B"/>
    <w:rsid w:val="006F7A32"/>
    <w:rsid w:val="006F7AEB"/>
    <w:rsid w:val="006F7E5E"/>
    <w:rsid w:val="006F7F3D"/>
    <w:rsid w:val="007008C8"/>
    <w:rsid w:val="00701DA6"/>
    <w:rsid w:val="00701E25"/>
    <w:rsid w:val="00701E92"/>
    <w:rsid w:val="00701F69"/>
    <w:rsid w:val="007020B3"/>
    <w:rsid w:val="0070221E"/>
    <w:rsid w:val="00702982"/>
    <w:rsid w:val="00702C2E"/>
    <w:rsid w:val="007037A6"/>
    <w:rsid w:val="0070387D"/>
    <w:rsid w:val="00703AF6"/>
    <w:rsid w:val="00703D5D"/>
    <w:rsid w:val="00703FAB"/>
    <w:rsid w:val="00703FCC"/>
    <w:rsid w:val="007046A5"/>
    <w:rsid w:val="00704725"/>
    <w:rsid w:val="0070475F"/>
    <w:rsid w:val="00704A17"/>
    <w:rsid w:val="00704A69"/>
    <w:rsid w:val="00704A7E"/>
    <w:rsid w:val="00704F40"/>
    <w:rsid w:val="0070507D"/>
    <w:rsid w:val="00705248"/>
    <w:rsid w:val="007055AA"/>
    <w:rsid w:val="00705CBD"/>
    <w:rsid w:val="00705D8F"/>
    <w:rsid w:val="00705F00"/>
    <w:rsid w:val="007062CF"/>
    <w:rsid w:val="007065CF"/>
    <w:rsid w:val="00706BA0"/>
    <w:rsid w:val="007076CE"/>
    <w:rsid w:val="0070786C"/>
    <w:rsid w:val="00707973"/>
    <w:rsid w:val="00707F38"/>
    <w:rsid w:val="00707F5B"/>
    <w:rsid w:val="00707FA3"/>
    <w:rsid w:val="007100AD"/>
    <w:rsid w:val="007106FC"/>
    <w:rsid w:val="00710788"/>
    <w:rsid w:val="00710874"/>
    <w:rsid w:val="00710948"/>
    <w:rsid w:val="00710B25"/>
    <w:rsid w:val="00711024"/>
    <w:rsid w:val="00711072"/>
    <w:rsid w:val="0071122F"/>
    <w:rsid w:val="007118E2"/>
    <w:rsid w:val="00711916"/>
    <w:rsid w:val="00711E18"/>
    <w:rsid w:val="00712A03"/>
    <w:rsid w:val="00712B7D"/>
    <w:rsid w:val="00712D2E"/>
    <w:rsid w:val="0071390F"/>
    <w:rsid w:val="00713AD7"/>
    <w:rsid w:val="00713FAB"/>
    <w:rsid w:val="00713FF0"/>
    <w:rsid w:val="0071418E"/>
    <w:rsid w:val="00714642"/>
    <w:rsid w:val="00714699"/>
    <w:rsid w:val="00714CDF"/>
    <w:rsid w:val="00714EC0"/>
    <w:rsid w:val="007150CB"/>
    <w:rsid w:val="0071518C"/>
    <w:rsid w:val="007152E7"/>
    <w:rsid w:val="007160B4"/>
    <w:rsid w:val="00716269"/>
    <w:rsid w:val="00716783"/>
    <w:rsid w:val="00716C27"/>
    <w:rsid w:val="00716D6D"/>
    <w:rsid w:val="007171B2"/>
    <w:rsid w:val="00717A01"/>
    <w:rsid w:val="00717AA0"/>
    <w:rsid w:val="00717BB7"/>
    <w:rsid w:val="00717E8C"/>
    <w:rsid w:val="00720214"/>
    <w:rsid w:val="0072027D"/>
    <w:rsid w:val="0072094F"/>
    <w:rsid w:val="00721600"/>
    <w:rsid w:val="00721631"/>
    <w:rsid w:val="00721825"/>
    <w:rsid w:val="00721B61"/>
    <w:rsid w:val="00721BC8"/>
    <w:rsid w:val="00721D90"/>
    <w:rsid w:val="00721FC2"/>
    <w:rsid w:val="0072216A"/>
    <w:rsid w:val="0072237E"/>
    <w:rsid w:val="007227FE"/>
    <w:rsid w:val="00722C26"/>
    <w:rsid w:val="007238B8"/>
    <w:rsid w:val="007239D9"/>
    <w:rsid w:val="00723AB5"/>
    <w:rsid w:val="00723C2F"/>
    <w:rsid w:val="00723D96"/>
    <w:rsid w:val="00724177"/>
    <w:rsid w:val="007246C4"/>
    <w:rsid w:val="00724DDA"/>
    <w:rsid w:val="00724ED8"/>
    <w:rsid w:val="00725140"/>
    <w:rsid w:val="0072525B"/>
    <w:rsid w:val="00725460"/>
    <w:rsid w:val="007258A5"/>
    <w:rsid w:val="00725F93"/>
    <w:rsid w:val="007261B0"/>
    <w:rsid w:val="007263CA"/>
    <w:rsid w:val="00726837"/>
    <w:rsid w:val="00726AFC"/>
    <w:rsid w:val="00726EC6"/>
    <w:rsid w:val="007275FB"/>
    <w:rsid w:val="007277F9"/>
    <w:rsid w:val="0072796F"/>
    <w:rsid w:val="00727A0B"/>
    <w:rsid w:val="00727A4C"/>
    <w:rsid w:val="00727B32"/>
    <w:rsid w:val="00727CE5"/>
    <w:rsid w:val="00727D3F"/>
    <w:rsid w:val="00727DD2"/>
    <w:rsid w:val="00730702"/>
    <w:rsid w:val="00730C14"/>
    <w:rsid w:val="00730EDC"/>
    <w:rsid w:val="0073125B"/>
    <w:rsid w:val="0073148D"/>
    <w:rsid w:val="0073189F"/>
    <w:rsid w:val="00731D5C"/>
    <w:rsid w:val="00732474"/>
    <w:rsid w:val="00732549"/>
    <w:rsid w:val="00732824"/>
    <w:rsid w:val="00732A16"/>
    <w:rsid w:val="007330C3"/>
    <w:rsid w:val="007333D3"/>
    <w:rsid w:val="00733D02"/>
    <w:rsid w:val="00734655"/>
    <w:rsid w:val="00734712"/>
    <w:rsid w:val="00734904"/>
    <w:rsid w:val="00735116"/>
    <w:rsid w:val="00735184"/>
    <w:rsid w:val="007351DD"/>
    <w:rsid w:val="00735897"/>
    <w:rsid w:val="00735A9E"/>
    <w:rsid w:val="00735D38"/>
    <w:rsid w:val="00735D8E"/>
    <w:rsid w:val="00735EF4"/>
    <w:rsid w:val="007361F6"/>
    <w:rsid w:val="0073662A"/>
    <w:rsid w:val="00736B3E"/>
    <w:rsid w:val="00736BE1"/>
    <w:rsid w:val="00736CA0"/>
    <w:rsid w:val="00736EED"/>
    <w:rsid w:val="0073731E"/>
    <w:rsid w:val="00737455"/>
    <w:rsid w:val="007374F2"/>
    <w:rsid w:val="00740513"/>
    <w:rsid w:val="0074064C"/>
    <w:rsid w:val="00741057"/>
    <w:rsid w:val="00741085"/>
    <w:rsid w:val="00741281"/>
    <w:rsid w:val="00741867"/>
    <w:rsid w:val="0074199C"/>
    <w:rsid w:val="00741A82"/>
    <w:rsid w:val="00741BA0"/>
    <w:rsid w:val="00741C54"/>
    <w:rsid w:val="00741D34"/>
    <w:rsid w:val="00741DE7"/>
    <w:rsid w:val="007427CA"/>
    <w:rsid w:val="00742859"/>
    <w:rsid w:val="00742B7D"/>
    <w:rsid w:val="007430C0"/>
    <w:rsid w:val="00743658"/>
    <w:rsid w:val="007436B7"/>
    <w:rsid w:val="00743719"/>
    <w:rsid w:val="007438E7"/>
    <w:rsid w:val="00743B7D"/>
    <w:rsid w:val="00743C37"/>
    <w:rsid w:val="00743C9A"/>
    <w:rsid w:val="00744C9D"/>
    <w:rsid w:val="00744FCB"/>
    <w:rsid w:val="00745050"/>
    <w:rsid w:val="0074529C"/>
    <w:rsid w:val="00745762"/>
    <w:rsid w:val="00745AE4"/>
    <w:rsid w:val="007468E5"/>
    <w:rsid w:val="00746EC4"/>
    <w:rsid w:val="007471CC"/>
    <w:rsid w:val="00747711"/>
    <w:rsid w:val="0074771C"/>
    <w:rsid w:val="00747D98"/>
    <w:rsid w:val="00747E06"/>
    <w:rsid w:val="00750645"/>
    <w:rsid w:val="0075089F"/>
    <w:rsid w:val="00750DD6"/>
    <w:rsid w:val="007510D4"/>
    <w:rsid w:val="00751396"/>
    <w:rsid w:val="0075220D"/>
    <w:rsid w:val="00752840"/>
    <w:rsid w:val="00752A54"/>
    <w:rsid w:val="00752BE2"/>
    <w:rsid w:val="00752FB1"/>
    <w:rsid w:val="007531E8"/>
    <w:rsid w:val="007531EE"/>
    <w:rsid w:val="00753343"/>
    <w:rsid w:val="007537EC"/>
    <w:rsid w:val="00753A34"/>
    <w:rsid w:val="00754299"/>
    <w:rsid w:val="007543D3"/>
    <w:rsid w:val="00754C12"/>
    <w:rsid w:val="00754CF1"/>
    <w:rsid w:val="00754EDE"/>
    <w:rsid w:val="00754FAD"/>
    <w:rsid w:val="00755158"/>
    <w:rsid w:val="0075529C"/>
    <w:rsid w:val="00755581"/>
    <w:rsid w:val="00755A50"/>
    <w:rsid w:val="00755A54"/>
    <w:rsid w:val="00755FF4"/>
    <w:rsid w:val="007571D5"/>
    <w:rsid w:val="0075752D"/>
    <w:rsid w:val="00757586"/>
    <w:rsid w:val="007578B0"/>
    <w:rsid w:val="00757D02"/>
    <w:rsid w:val="00757D94"/>
    <w:rsid w:val="00757FB8"/>
    <w:rsid w:val="00760455"/>
    <w:rsid w:val="00760520"/>
    <w:rsid w:val="007606DF"/>
    <w:rsid w:val="00760755"/>
    <w:rsid w:val="007607C0"/>
    <w:rsid w:val="00761228"/>
    <w:rsid w:val="00761471"/>
    <w:rsid w:val="007618B4"/>
    <w:rsid w:val="00761BC5"/>
    <w:rsid w:val="00761DEC"/>
    <w:rsid w:val="007621D6"/>
    <w:rsid w:val="007623B8"/>
    <w:rsid w:val="007623C8"/>
    <w:rsid w:val="0076271E"/>
    <w:rsid w:val="00762869"/>
    <w:rsid w:val="00763175"/>
    <w:rsid w:val="007634C5"/>
    <w:rsid w:val="00763DD6"/>
    <w:rsid w:val="00764081"/>
    <w:rsid w:val="007640F6"/>
    <w:rsid w:val="0076422D"/>
    <w:rsid w:val="007642D3"/>
    <w:rsid w:val="00764421"/>
    <w:rsid w:val="00764BF9"/>
    <w:rsid w:val="007651B3"/>
    <w:rsid w:val="00765892"/>
    <w:rsid w:val="007661C0"/>
    <w:rsid w:val="0076682C"/>
    <w:rsid w:val="00766988"/>
    <w:rsid w:val="00766AAF"/>
    <w:rsid w:val="00766B12"/>
    <w:rsid w:val="0076799D"/>
    <w:rsid w:val="00767F8F"/>
    <w:rsid w:val="007700A4"/>
    <w:rsid w:val="0077065A"/>
    <w:rsid w:val="00770DAD"/>
    <w:rsid w:val="007717A2"/>
    <w:rsid w:val="00771D0C"/>
    <w:rsid w:val="00771D8A"/>
    <w:rsid w:val="00771E70"/>
    <w:rsid w:val="00772E96"/>
    <w:rsid w:val="00773171"/>
    <w:rsid w:val="00773252"/>
    <w:rsid w:val="00773331"/>
    <w:rsid w:val="00773499"/>
    <w:rsid w:val="00774256"/>
    <w:rsid w:val="007747F3"/>
    <w:rsid w:val="00774841"/>
    <w:rsid w:val="0077490B"/>
    <w:rsid w:val="00775298"/>
    <w:rsid w:val="007752CF"/>
    <w:rsid w:val="00775744"/>
    <w:rsid w:val="00775822"/>
    <w:rsid w:val="00775EBF"/>
    <w:rsid w:val="00776039"/>
    <w:rsid w:val="007761CF"/>
    <w:rsid w:val="00776624"/>
    <w:rsid w:val="00776A09"/>
    <w:rsid w:val="00776E0F"/>
    <w:rsid w:val="0077760E"/>
    <w:rsid w:val="0077775A"/>
    <w:rsid w:val="00777A24"/>
    <w:rsid w:val="00777B69"/>
    <w:rsid w:val="00777DF2"/>
    <w:rsid w:val="00777E4E"/>
    <w:rsid w:val="00777FE5"/>
    <w:rsid w:val="00780F8E"/>
    <w:rsid w:val="007811EE"/>
    <w:rsid w:val="0078150B"/>
    <w:rsid w:val="00781719"/>
    <w:rsid w:val="007819E2"/>
    <w:rsid w:val="00781D53"/>
    <w:rsid w:val="007827A5"/>
    <w:rsid w:val="007828C6"/>
    <w:rsid w:val="00782D2F"/>
    <w:rsid w:val="00783330"/>
    <w:rsid w:val="00783525"/>
    <w:rsid w:val="0078355A"/>
    <w:rsid w:val="00783E64"/>
    <w:rsid w:val="007840F9"/>
    <w:rsid w:val="00784355"/>
    <w:rsid w:val="0078496B"/>
    <w:rsid w:val="00784C28"/>
    <w:rsid w:val="00784D24"/>
    <w:rsid w:val="0078511B"/>
    <w:rsid w:val="007856E7"/>
    <w:rsid w:val="00785928"/>
    <w:rsid w:val="00785B06"/>
    <w:rsid w:val="00785C12"/>
    <w:rsid w:val="00786BE9"/>
    <w:rsid w:val="00786E9E"/>
    <w:rsid w:val="00786EF5"/>
    <w:rsid w:val="00786F54"/>
    <w:rsid w:val="00787177"/>
    <w:rsid w:val="00787470"/>
    <w:rsid w:val="007876DE"/>
    <w:rsid w:val="00787EB8"/>
    <w:rsid w:val="00787F1C"/>
    <w:rsid w:val="00787FEC"/>
    <w:rsid w:val="007900AD"/>
    <w:rsid w:val="007904D2"/>
    <w:rsid w:val="00790730"/>
    <w:rsid w:val="00790B98"/>
    <w:rsid w:val="00790C1D"/>
    <w:rsid w:val="0079103E"/>
    <w:rsid w:val="00791145"/>
    <w:rsid w:val="007917AD"/>
    <w:rsid w:val="00791A03"/>
    <w:rsid w:val="00791A1D"/>
    <w:rsid w:val="00791B9C"/>
    <w:rsid w:val="00791EA3"/>
    <w:rsid w:val="00791F87"/>
    <w:rsid w:val="0079220D"/>
    <w:rsid w:val="007932EF"/>
    <w:rsid w:val="007936EC"/>
    <w:rsid w:val="00793865"/>
    <w:rsid w:val="00793A0D"/>
    <w:rsid w:val="00794073"/>
    <w:rsid w:val="00794262"/>
    <w:rsid w:val="007944B8"/>
    <w:rsid w:val="0079470B"/>
    <w:rsid w:val="00794F3A"/>
    <w:rsid w:val="00795084"/>
    <w:rsid w:val="0079514E"/>
    <w:rsid w:val="0079531A"/>
    <w:rsid w:val="0079536C"/>
    <w:rsid w:val="00795382"/>
    <w:rsid w:val="00795417"/>
    <w:rsid w:val="0079542C"/>
    <w:rsid w:val="007961F2"/>
    <w:rsid w:val="007962EB"/>
    <w:rsid w:val="00796405"/>
    <w:rsid w:val="00796784"/>
    <w:rsid w:val="007968D0"/>
    <w:rsid w:val="0079757E"/>
    <w:rsid w:val="007977F9"/>
    <w:rsid w:val="007979E6"/>
    <w:rsid w:val="00799287"/>
    <w:rsid w:val="007A0119"/>
    <w:rsid w:val="007A0709"/>
    <w:rsid w:val="007A088E"/>
    <w:rsid w:val="007A0E15"/>
    <w:rsid w:val="007A1494"/>
    <w:rsid w:val="007A1612"/>
    <w:rsid w:val="007A1633"/>
    <w:rsid w:val="007A1F00"/>
    <w:rsid w:val="007A1FC7"/>
    <w:rsid w:val="007A2675"/>
    <w:rsid w:val="007A268A"/>
    <w:rsid w:val="007A2DD5"/>
    <w:rsid w:val="007A2FD7"/>
    <w:rsid w:val="007A33C4"/>
    <w:rsid w:val="007A3524"/>
    <w:rsid w:val="007A42F3"/>
    <w:rsid w:val="007A4B72"/>
    <w:rsid w:val="007A53F7"/>
    <w:rsid w:val="007A54D9"/>
    <w:rsid w:val="007A5F02"/>
    <w:rsid w:val="007A6347"/>
    <w:rsid w:val="007A648A"/>
    <w:rsid w:val="007A68DD"/>
    <w:rsid w:val="007A6A61"/>
    <w:rsid w:val="007A6F23"/>
    <w:rsid w:val="007A71DF"/>
    <w:rsid w:val="007A728B"/>
    <w:rsid w:val="007A7400"/>
    <w:rsid w:val="007A741B"/>
    <w:rsid w:val="007A7A00"/>
    <w:rsid w:val="007A7C3D"/>
    <w:rsid w:val="007A7DC9"/>
    <w:rsid w:val="007B06CD"/>
    <w:rsid w:val="007B082A"/>
    <w:rsid w:val="007B0F43"/>
    <w:rsid w:val="007B1BA5"/>
    <w:rsid w:val="007B1C7E"/>
    <w:rsid w:val="007B24DD"/>
    <w:rsid w:val="007B2F64"/>
    <w:rsid w:val="007B3144"/>
    <w:rsid w:val="007B346D"/>
    <w:rsid w:val="007B3FDC"/>
    <w:rsid w:val="007B4172"/>
    <w:rsid w:val="007B432B"/>
    <w:rsid w:val="007B4A39"/>
    <w:rsid w:val="007B4A5F"/>
    <w:rsid w:val="007B4AF3"/>
    <w:rsid w:val="007B4F8F"/>
    <w:rsid w:val="007B4FF8"/>
    <w:rsid w:val="007B562D"/>
    <w:rsid w:val="007B5681"/>
    <w:rsid w:val="007B588A"/>
    <w:rsid w:val="007B5A28"/>
    <w:rsid w:val="007B604A"/>
    <w:rsid w:val="007B6174"/>
    <w:rsid w:val="007B6478"/>
    <w:rsid w:val="007B663F"/>
    <w:rsid w:val="007B7266"/>
    <w:rsid w:val="007B75FA"/>
    <w:rsid w:val="007B7D26"/>
    <w:rsid w:val="007B7DAC"/>
    <w:rsid w:val="007B7EA9"/>
    <w:rsid w:val="007C05F5"/>
    <w:rsid w:val="007C0B6D"/>
    <w:rsid w:val="007C1A38"/>
    <w:rsid w:val="007C1C81"/>
    <w:rsid w:val="007C1CC5"/>
    <w:rsid w:val="007C2523"/>
    <w:rsid w:val="007C2779"/>
    <w:rsid w:val="007C2D60"/>
    <w:rsid w:val="007C2FE2"/>
    <w:rsid w:val="007C3C3F"/>
    <w:rsid w:val="007C3F7B"/>
    <w:rsid w:val="007C4345"/>
    <w:rsid w:val="007C4934"/>
    <w:rsid w:val="007C4C76"/>
    <w:rsid w:val="007C500F"/>
    <w:rsid w:val="007C55D9"/>
    <w:rsid w:val="007C5B58"/>
    <w:rsid w:val="007C5F1C"/>
    <w:rsid w:val="007C6000"/>
    <w:rsid w:val="007C6100"/>
    <w:rsid w:val="007C6114"/>
    <w:rsid w:val="007C6203"/>
    <w:rsid w:val="007C65EC"/>
    <w:rsid w:val="007C6899"/>
    <w:rsid w:val="007C6B20"/>
    <w:rsid w:val="007C7043"/>
    <w:rsid w:val="007C7208"/>
    <w:rsid w:val="007C7277"/>
    <w:rsid w:val="007D0740"/>
    <w:rsid w:val="007D0B3B"/>
    <w:rsid w:val="007D1064"/>
    <w:rsid w:val="007D120A"/>
    <w:rsid w:val="007D1634"/>
    <w:rsid w:val="007D1F99"/>
    <w:rsid w:val="007D22B1"/>
    <w:rsid w:val="007D2733"/>
    <w:rsid w:val="007D2BEC"/>
    <w:rsid w:val="007D306E"/>
    <w:rsid w:val="007D33C1"/>
    <w:rsid w:val="007D3A8E"/>
    <w:rsid w:val="007D3B08"/>
    <w:rsid w:val="007D3BC9"/>
    <w:rsid w:val="007D409A"/>
    <w:rsid w:val="007D4519"/>
    <w:rsid w:val="007D460F"/>
    <w:rsid w:val="007D4628"/>
    <w:rsid w:val="007D4971"/>
    <w:rsid w:val="007D4A38"/>
    <w:rsid w:val="007D4B22"/>
    <w:rsid w:val="007D4BA9"/>
    <w:rsid w:val="007D4C52"/>
    <w:rsid w:val="007D4CDB"/>
    <w:rsid w:val="007D5285"/>
    <w:rsid w:val="007D53B8"/>
    <w:rsid w:val="007D589D"/>
    <w:rsid w:val="007D5C22"/>
    <w:rsid w:val="007D6843"/>
    <w:rsid w:val="007D6AB8"/>
    <w:rsid w:val="007D710B"/>
    <w:rsid w:val="007D7DB1"/>
    <w:rsid w:val="007E02B8"/>
    <w:rsid w:val="007E0476"/>
    <w:rsid w:val="007E05B0"/>
    <w:rsid w:val="007E0935"/>
    <w:rsid w:val="007E0AB5"/>
    <w:rsid w:val="007E0E1B"/>
    <w:rsid w:val="007E1AB9"/>
    <w:rsid w:val="007E1BA1"/>
    <w:rsid w:val="007E1DD3"/>
    <w:rsid w:val="007E2151"/>
    <w:rsid w:val="007E2C39"/>
    <w:rsid w:val="007E3469"/>
    <w:rsid w:val="007E3605"/>
    <w:rsid w:val="007E3639"/>
    <w:rsid w:val="007E3AA1"/>
    <w:rsid w:val="007E4CFF"/>
    <w:rsid w:val="007E4D57"/>
    <w:rsid w:val="007E4E56"/>
    <w:rsid w:val="007E5535"/>
    <w:rsid w:val="007E55A1"/>
    <w:rsid w:val="007E57CD"/>
    <w:rsid w:val="007E5911"/>
    <w:rsid w:val="007E5963"/>
    <w:rsid w:val="007E5E54"/>
    <w:rsid w:val="007E67D3"/>
    <w:rsid w:val="007E6AC6"/>
    <w:rsid w:val="007E6BEA"/>
    <w:rsid w:val="007E6D95"/>
    <w:rsid w:val="007E73A4"/>
    <w:rsid w:val="007E775A"/>
    <w:rsid w:val="007E7980"/>
    <w:rsid w:val="007E7A4A"/>
    <w:rsid w:val="007E7C11"/>
    <w:rsid w:val="007E7C3A"/>
    <w:rsid w:val="007E7D0B"/>
    <w:rsid w:val="007E7E12"/>
    <w:rsid w:val="007F00AC"/>
    <w:rsid w:val="007F0873"/>
    <w:rsid w:val="007F1757"/>
    <w:rsid w:val="007F17EA"/>
    <w:rsid w:val="007F1BDE"/>
    <w:rsid w:val="007F1D50"/>
    <w:rsid w:val="007F1F8F"/>
    <w:rsid w:val="007F2A40"/>
    <w:rsid w:val="007F2C14"/>
    <w:rsid w:val="007F331E"/>
    <w:rsid w:val="007F356C"/>
    <w:rsid w:val="007F3D5D"/>
    <w:rsid w:val="007F4B7B"/>
    <w:rsid w:val="007F50C1"/>
    <w:rsid w:val="007F5922"/>
    <w:rsid w:val="007F59F4"/>
    <w:rsid w:val="007F5B32"/>
    <w:rsid w:val="007F61E6"/>
    <w:rsid w:val="007F6518"/>
    <w:rsid w:val="007F6589"/>
    <w:rsid w:val="007F6652"/>
    <w:rsid w:val="007F672C"/>
    <w:rsid w:val="007F6963"/>
    <w:rsid w:val="007F69FC"/>
    <w:rsid w:val="007F6A41"/>
    <w:rsid w:val="007F6A44"/>
    <w:rsid w:val="007F75F4"/>
    <w:rsid w:val="007F76C7"/>
    <w:rsid w:val="007F7823"/>
    <w:rsid w:val="007F786F"/>
    <w:rsid w:val="007F7AB5"/>
    <w:rsid w:val="007F7E03"/>
    <w:rsid w:val="0080019D"/>
    <w:rsid w:val="0080025B"/>
    <w:rsid w:val="00800316"/>
    <w:rsid w:val="008009EF"/>
    <w:rsid w:val="00800D30"/>
    <w:rsid w:val="00800E41"/>
    <w:rsid w:val="008013F7"/>
    <w:rsid w:val="008015DA"/>
    <w:rsid w:val="008019FF"/>
    <w:rsid w:val="00801B35"/>
    <w:rsid w:val="008020EB"/>
    <w:rsid w:val="0080292A"/>
    <w:rsid w:val="00802B09"/>
    <w:rsid w:val="00802C17"/>
    <w:rsid w:val="00802DE0"/>
    <w:rsid w:val="00803319"/>
    <w:rsid w:val="008035C1"/>
    <w:rsid w:val="00803675"/>
    <w:rsid w:val="00803B6A"/>
    <w:rsid w:val="008044A0"/>
    <w:rsid w:val="008048A5"/>
    <w:rsid w:val="00804F82"/>
    <w:rsid w:val="008055C9"/>
    <w:rsid w:val="008057A5"/>
    <w:rsid w:val="00805839"/>
    <w:rsid w:val="0080587E"/>
    <w:rsid w:val="00805A14"/>
    <w:rsid w:val="00805BA6"/>
    <w:rsid w:val="00805BE6"/>
    <w:rsid w:val="00805FD5"/>
    <w:rsid w:val="0080603E"/>
    <w:rsid w:val="0080691D"/>
    <w:rsid w:val="00806B70"/>
    <w:rsid w:val="00806E2B"/>
    <w:rsid w:val="00807355"/>
    <w:rsid w:val="0080753A"/>
    <w:rsid w:val="0080771C"/>
    <w:rsid w:val="00807AEF"/>
    <w:rsid w:val="00807BDD"/>
    <w:rsid w:val="00807DE4"/>
    <w:rsid w:val="00807E3C"/>
    <w:rsid w:val="00807EF2"/>
    <w:rsid w:val="008103EE"/>
    <w:rsid w:val="00810AB2"/>
    <w:rsid w:val="00810EBB"/>
    <w:rsid w:val="008113C5"/>
    <w:rsid w:val="00811492"/>
    <w:rsid w:val="008118D0"/>
    <w:rsid w:val="00811995"/>
    <w:rsid w:val="00811A6F"/>
    <w:rsid w:val="00811B89"/>
    <w:rsid w:val="00811C26"/>
    <w:rsid w:val="00811C37"/>
    <w:rsid w:val="00811CBF"/>
    <w:rsid w:val="00811EC5"/>
    <w:rsid w:val="0081203B"/>
    <w:rsid w:val="008126BC"/>
    <w:rsid w:val="00812732"/>
    <w:rsid w:val="00812760"/>
    <w:rsid w:val="00812F23"/>
    <w:rsid w:val="008132CE"/>
    <w:rsid w:val="00813785"/>
    <w:rsid w:val="00813F2E"/>
    <w:rsid w:val="00814033"/>
    <w:rsid w:val="00814086"/>
    <w:rsid w:val="00814653"/>
    <w:rsid w:val="00814872"/>
    <w:rsid w:val="00814FB5"/>
    <w:rsid w:val="00814FD0"/>
    <w:rsid w:val="008151DE"/>
    <w:rsid w:val="008152D0"/>
    <w:rsid w:val="008155E6"/>
    <w:rsid w:val="008157C0"/>
    <w:rsid w:val="0081608D"/>
    <w:rsid w:val="00816185"/>
    <w:rsid w:val="00816393"/>
    <w:rsid w:val="008171D0"/>
    <w:rsid w:val="0081783B"/>
    <w:rsid w:val="00817856"/>
    <w:rsid w:val="00817915"/>
    <w:rsid w:val="00817F4A"/>
    <w:rsid w:val="00820627"/>
    <w:rsid w:val="0082068E"/>
    <w:rsid w:val="008215F0"/>
    <w:rsid w:val="00821734"/>
    <w:rsid w:val="00821A9E"/>
    <w:rsid w:val="0082243D"/>
    <w:rsid w:val="00822660"/>
    <w:rsid w:val="00822ACF"/>
    <w:rsid w:val="00823312"/>
    <w:rsid w:val="0082338D"/>
    <w:rsid w:val="008235DC"/>
    <w:rsid w:val="00824161"/>
    <w:rsid w:val="008248EB"/>
    <w:rsid w:val="00824FEB"/>
    <w:rsid w:val="00825102"/>
    <w:rsid w:val="0082512D"/>
    <w:rsid w:val="008254D1"/>
    <w:rsid w:val="00825641"/>
    <w:rsid w:val="00825CF1"/>
    <w:rsid w:val="00826104"/>
    <w:rsid w:val="00826CCB"/>
    <w:rsid w:val="00826F5A"/>
    <w:rsid w:val="00826FCD"/>
    <w:rsid w:val="0082703A"/>
    <w:rsid w:val="00827311"/>
    <w:rsid w:val="0082750A"/>
    <w:rsid w:val="00827F84"/>
    <w:rsid w:val="0083052E"/>
    <w:rsid w:val="0083076B"/>
    <w:rsid w:val="00830AAC"/>
    <w:rsid w:val="00830EFB"/>
    <w:rsid w:val="00831564"/>
    <w:rsid w:val="00831604"/>
    <w:rsid w:val="008319C8"/>
    <w:rsid w:val="00831BEE"/>
    <w:rsid w:val="008328DB"/>
    <w:rsid w:val="0083296D"/>
    <w:rsid w:val="00832FD5"/>
    <w:rsid w:val="0083350A"/>
    <w:rsid w:val="00833899"/>
    <w:rsid w:val="0083394A"/>
    <w:rsid w:val="008343C6"/>
    <w:rsid w:val="00834B72"/>
    <w:rsid w:val="00834CB2"/>
    <w:rsid w:val="00834D5B"/>
    <w:rsid w:val="00834EB9"/>
    <w:rsid w:val="00835CCA"/>
    <w:rsid w:val="00835E1A"/>
    <w:rsid w:val="00835F42"/>
    <w:rsid w:val="00835FC3"/>
    <w:rsid w:val="008364CC"/>
    <w:rsid w:val="00836C51"/>
    <w:rsid w:val="008371FC"/>
    <w:rsid w:val="0083779A"/>
    <w:rsid w:val="00837814"/>
    <w:rsid w:val="00837B53"/>
    <w:rsid w:val="00837C9D"/>
    <w:rsid w:val="00837CB5"/>
    <w:rsid w:val="00837F49"/>
    <w:rsid w:val="00837FC0"/>
    <w:rsid w:val="008400D3"/>
    <w:rsid w:val="0084072C"/>
    <w:rsid w:val="008420D8"/>
    <w:rsid w:val="0084278B"/>
    <w:rsid w:val="00842BE1"/>
    <w:rsid w:val="00842DC2"/>
    <w:rsid w:val="0084312C"/>
    <w:rsid w:val="0084346D"/>
    <w:rsid w:val="00844103"/>
    <w:rsid w:val="0084438F"/>
    <w:rsid w:val="0084467B"/>
    <w:rsid w:val="008446DF"/>
    <w:rsid w:val="00844807"/>
    <w:rsid w:val="00844E99"/>
    <w:rsid w:val="0084574A"/>
    <w:rsid w:val="008458F5"/>
    <w:rsid w:val="008459F1"/>
    <w:rsid w:val="00845BF3"/>
    <w:rsid w:val="00845EF4"/>
    <w:rsid w:val="008460D8"/>
    <w:rsid w:val="008463C7"/>
    <w:rsid w:val="00846456"/>
    <w:rsid w:val="008464A9"/>
    <w:rsid w:val="00846CA6"/>
    <w:rsid w:val="0084718B"/>
    <w:rsid w:val="00847C01"/>
    <w:rsid w:val="008500DC"/>
    <w:rsid w:val="008507F5"/>
    <w:rsid w:val="00850A9E"/>
    <w:rsid w:val="00850C02"/>
    <w:rsid w:val="00850E94"/>
    <w:rsid w:val="00851C24"/>
    <w:rsid w:val="008526CF"/>
    <w:rsid w:val="008532C6"/>
    <w:rsid w:val="008537A0"/>
    <w:rsid w:val="008537F0"/>
    <w:rsid w:val="008538FE"/>
    <w:rsid w:val="0085393E"/>
    <w:rsid w:val="00853970"/>
    <w:rsid w:val="00853B04"/>
    <w:rsid w:val="00853C67"/>
    <w:rsid w:val="00853EA0"/>
    <w:rsid w:val="008542B8"/>
    <w:rsid w:val="008543B9"/>
    <w:rsid w:val="008545DD"/>
    <w:rsid w:val="00854E57"/>
    <w:rsid w:val="00854FAC"/>
    <w:rsid w:val="008554C6"/>
    <w:rsid w:val="00855674"/>
    <w:rsid w:val="008559A6"/>
    <w:rsid w:val="00856028"/>
    <w:rsid w:val="00856177"/>
    <w:rsid w:val="00856818"/>
    <w:rsid w:val="00856AB4"/>
    <w:rsid w:val="00856AE4"/>
    <w:rsid w:val="00857165"/>
    <w:rsid w:val="00857257"/>
    <w:rsid w:val="00857409"/>
    <w:rsid w:val="008577AE"/>
    <w:rsid w:val="00857EA5"/>
    <w:rsid w:val="0086015E"/>
    <w:rsid w:val="00860359"/>
    <w:rsid w:val="00860D60"/>
    <w:rsid w:val="00860E04"/>
    <w:rsid w:val="00860E45"/>
    <w:rsid w:val="00860E98"/>
    <w:rsid w:val="008611BF"/>
    <w:rsid w:val="008612BA"/>
    <w:rsid w:val="008612ED"/>
    <w:rsid w:val="008618C0"/>
    <w:rsid w:val="00861B79"/>
    <w:rsid w:val="00861CF7"/>
    <w:rsid w:val="00862122"/>
    <w:rsid w:val="008621D4"/>
    <w:rsid w:val="00862571"/>
    <w:rsid w:val="008625EB"/>
    <w:rsid w:val="00862706"/>
    <w:rsid w:val="00862962"/>
    <w:rsid w:val="00862B95"/>
    <w:rsid w:val="00862FF7"/>
    <w:rsid w:val="008638BF"/>
    <w:rsid w:val="008639AF"/>
    <w:rsid w:val="00863DC4"/>
    <w:rsid w:val="00863E1C"/>
    <w:rsid w:val="00864334"/>
    <w:rsid w:val="00864383"/>
    <w:rsid w:val="00864781"/>
    <w:rsid w:val="008647E1"/>
    <w:rsid w:val="008649F6"/>
    <w:rsid w:val="00864C9E"/>
    <w:rsid w:val="00864EB9"/>
    <w:rsid w:val="00865164"/>
    <w:rsid w:val="008655AD"/>
    <w:rsid w:val="00865680"/>
    <w:rsid w:val="008658C9"/>
    <w:rsid w:val="00866053"/>
    <w:rsid w:val="0086605F"/>
    <w:rsid w:val="008661E7"/>
    <w:rsid w:val="008662E9"/>
    <w:rsid w:val="0086679D"/>
    <w:rsid w:val="00866A18"/>
    <w:rsid w:val="00866B94"/>
    <w:rsid w:val="0086755A"/>
    <w:rsid w:val="008701EB"/>
    <w:rsid w:val="00870238"/>
    <w:rsid w:val="00870684"/>
    <w:rsid w:val="00870847"/>
    <w:rsid w:val="0087117C"/>
    <w:rsid w:val="008716C1"/>
    <w:rsid w:val="0087170A"/>
    <w:rsid w:val="00871BF8"/>
    <w:rsid w:val="00871D22"/>
    <w:rsid w:val="008722F1"/>
    <w:rsid w:val="00872518"/>
    <w:rsid w:val="008725C1"/>
    <w:rsid w:val="00872645"/>
    <w:rsid w:val="00872873"/>
    <w:rsid w:val="00872940"/>
    <w:rsid w:val="00872DA6"/>
    <w:rsid w:val="00872EDD"/>
    <w:rsid w:val="008733F9"/>
    <w:rsid w:val="008734D5"/>
    <w:rsid w:val="00873505"/>
    <w:rsid w:val="0087351D"/>
    <w:rsid w:val="00873727"/>
    <w:rsid w:val="00873F46"/>
    <w:rsid w:val="0087458B"/>
    <w:rsid w:val="00874BF1"/>
    <w:rsid w:val="00874D22"/>
    <w:rsid w:val="00874DE5"/>
    <w:rsid w:val="00875896"/>
    <w:rsid w:val="00875F7F"/>
    <w:rsid w:val="0087635E"/>
    <w:rsid w:val="0087698A"/>
    <w:rsid w:val="00876E1D"/>
    <w:rsid w:val="00877159"/>
    <w:rsid w:val="00877250"/>
    <w:rsid w:val="0087733B"/>
    <w:rsid w:val="008774FD"/>
    <w:rsid w:val="008806C4"/>
    <w:rsid w:val="008808C5"/>
    <w:rsid w:val="00880BBE"/>
    <w:rsid w:val="00881185"/>
    <w:rsid w:val="008815ED"/>
    <w:rsid w:val="00881708"/>
    <w:rsid w:val="0088172C"/>
    <w:rsid w:val="008817BD"/>
    <w:rsid w:val="00881899"/>
    <w:rsid w:val="00881B32"/>
    <w:rsid w:val="00881CD4"/>
    <w:rsid w:val="0088208E"/>
    <w:rsid w:val="0088223E"/>
    <w:rsid w:val="00882250"/>
    <w:rsid w:val="0088232F"/>
    <w:rsid w:val="00882682"/>
    <w:rsid w:val="008828AC"/>
    <w:rsid w:val="00882C11"/>
    <w:rsid w:val="00883C0C"/>
    <w:rsid w:val="00883D54"/>
    <w:rsid w:val="00884BCA"/>
    <w:rsid w:val="00885A43"/>
    <w:rsid w:val="00885A6A"/>
    <w:rsid w:val="00885BD4"/>
    <w:rsid w:val="00885C2C"/>
    <w:rsid w:val="008861A1"/>
    <w:rsid w:val="00886764"/>
    <w:rsid w:val="00886CBA"/>
    <w:rsid w:val="00886D38"/>
    <w:rsid w:val="00886D6B"/>
    <w:rsid w:val="008870FA"/>
    <w:rsid w:val="00887B8D"/>
    <w:rsid w:val="00887C70"/>
    <w:rsid w:val="00890248"/>
    <w:rsid w:val="008902C8"/>
    <w:rsid w:val="00890A4F"/>
    <w:rsid w:val="008915A0"/>
    <w:rsid w:val="008918C1"/>
    <w:rsid w:val="00891D81"/>
    <w:rsid w:val="00893373"/>
    <w:rsid w:val="008940B8"/>
    <w:rsid w:val="008944A8"/>
    <w:rsid w:val="008946EA"/>
    <w:rsid w:val="00894A17"/>
    <w:rsid w:val="00894B28"/>
    <w:rsid w:val="00894E4B"/>
    <w:rsid w:val="00894EAF"/>
    <w:rsid w:val="00895182"/>
    <w:rsid w:val="008957A1"/>
    <w:rsid w:val="00896183"/>
    <w:rsid w:val="00896DF8"/>
    <w:rsid w:val="008973B2"/>
    <w:rsid w:val="008973E6"/>
    <w:rsid w:val="00897520"/>
    <w:rsid w:val="0089753B"/>
    <w:rsid w:val="008977EB"/>
    <w:rsid w:val="0089790B"/>
    <w:rsid w:val="00897D9D"/>
    <w:rsid w:val="00897F88"/>
    <w:rsid w:val="008A0063"/>
    <w:rsid w:val="008A0141"/>
    <w:rsid w:val="008A0619"/>
    <w:rsid w:val="008A06B7"/>
    <w:rsid w:val="008A09B7"/>
    <w:rsid w:val="008A0B28"/>
    <w:rsid w:val="008A0BC6"/>
    <w:rsid w:val="008A0D54"/>
    <w:rsid w:val="008A0D8C"/>
    <w:rsid w:val="008A1448"/>
    <w:rsid w:val="008A17E8"/>
    <w:rsid w:val="008A1972"/>
    <w:rsid w:val="008A241C"/>
    <w:rsid w:val="008A2914"/>
    <w:rsid w:val="008A29DD"/>
    <w:rsid w:val="008A2D2C"/>
    <w:rsid w:val="008A2E92"/>
    <w:rsid w:val="008A311B"/>
    <w:rsid w:val="008A34D3"/>
    <w:rsid w:val="008A3584"/>
    <w:rsid w:val="008A3732"/>
    <w:rsid w:val="008A3754"/>
    <w:rsid w:val="008A3C83"/>
    <w:rsid w:val="008A3DA8"/>
    <w:rsid w:val="008A49A6"/>
    <w:rsid w:val="008A4FBF"/>
    <w:rsid w:val="008A5409"/>
    <w:rsid w:val="008A558A"/>
    <w:rsid w:val="008A5A50"/>
    <w:rsid w:val="008A5B94"/>
    <w:rsid w:val="008A5EEB"/>
    <w:rsid w:val="008A6307"/>
    <w:rsid w:val="008A65DC"/>
    <w:rsid w:val="008A6740"/>
    <w:rsid w:val="008A674E"/>
    <w:rsid w:val="008A69E4"/>
    <w:rsid w:val="008A6FD4"/>
    <w:rsid w:val="008A70C8"/>
    <w:rsid w:val="008A70D8"/>
    <w:rsid w:val="008A7F87"/>
    <w:rsid w:val="008B0414"/>
    <w:rsid w:val="008B0966"/>
    <w:rsid w:val="008B0AC0"/>
    <w:rsid w:val="008B0C8B"/>
    <w:rsid w:val="008B0FA9"/>
    <w:rsid w:val="008B1D7B"/>
    <w:rsid w:val="008B1FDF"/>
    <w:rsid w:val="008B2072"/>
    <w:rsid w:val="008B2325"/>
    <w:rsid w:val="008B23FD"/>
    <w:rsid w:val="008B251F"/>
    <w:rsid w:val="008B2C5C"/>
    <w:rsid w:val="008B2E88"/>
    <w:rsid w:val="008B322E"/>
    <w:rsid w:val="008B34FF"/>
    <w:rsid w:val="008B350B"/>
    <w:rsid w:val="008B3F83"/>
    <w:rsid w:val="008B48B7"/>
    <w:rsid w:val="008B48DC"/>
    <w:rsid w:val="008B52BA"/>
    <w:rsid w:val="008B55CE"/>
    <w:rsid w:val="008B56AE"/>
    <w:rsid w:val="008B58D7"/>
    <w:rsid w:val="008B62B4"/>
    <w:rsid w:val="008B62C8"/>
    <w:rsid w:val="008B6ED5"/>
    <w:rsid w:val="008B7198"/>
    <w:rsid w:val="008B7748"/>
    <w:rsid w:val="008B775D"/>
    <w:rsid w:val="008B779A"/>
    <w:rsid w:val="008B788C"/>
    <w:rsid w:val="008B7DCA"/>
    <w:rsid w:val="008B7E43"/>
    <w:rsid w:val="008C0161"/>
    <w:rsid w:val="008C03BF"/>
    <w:rsid w:val="008C0435"/>
    <w:rsid w:val="008C061F"/>
    <w:rsid w:val="008C0860"/>
    <w:rsid w:val="008C0B21"/>
    <w:rsid w:val="008C10C5"/>
    <w:rsid w:val="008C14FD"/>
    <w:rsid w:val="008C1554"/>
    <w:rsid w:val="008C1817"/>
    <w:rsid w:val="008C182F"/>
    <w:rsid w:val="008C19C7"/>
    <w:rsid w:val="008C1D3A"/>
    <w:rsid w:val="008C1DBC"/>
    <w:rsid w:val="008C1E03"/>
    <w:rsid w:val="008C2133"/>
    <w:rsid w:val="008C2156"/>
    <w:rsid w:val="008C22C8"/>
    <w:rsid w:val="008C24EB"/>
    <w:rsid w:val="008C2653"/>
    <w:rsid w:val="008C2704"/>
    <w:rsid w:val="008C29F4"/>
    <w:rsid w:val="008C2C1A"/>
    <w:rsid w:val="008C31FA"/>
    <w:rsid w:val="008C33EA"/>
    <w:rsid w:val="008C393D"/>
    <w:rsid w:val="008C3DEB"/>
    <w:rsid w:val="008C4099"/>
    <w:rsid w:val="008C40C3"/>
    <w:rsid w:val="008C42D0"/>
    <w:rsid w:val="008C464A"/>
    <w:rsid w:val="008C4678"/>
    <w:rsid w:val="008C4844"/>
    <w:rsid w:val="008C515B"/>
    <w:rsid w:val="008C5247"/>
    <w:rsid w:val="008C53F3"/>
    <w:rsid w:val="008C5406"/>
    <w:rsid w:val="008C559A"/>
    <w:rsid w:val="008C5943"/>
    <w:rsid w:val="008C5F68"/>
    <w:rsid w:val="008C654D"/>
    <w:rsid w:val="008C6663"/>
    <w:rsid w:val="008C66C8"/>
    <w:rsid w:val="008C68ED"/>
    <w:rsid w:val="008C6BB5"/>
    <w:rsid w:val="008C6D4C"/>
    <w:rsid w:val="008C6EEC"/>
    <w:rsid w:val="008C7103"/>
    <w:rsid w:val="008C784B"/>
    <w:rsid w:val="008C7CA9"/>
    <w:rsid w:val="008D00D8"/>
    <w:rsid w:val="008D035D"/>
    <w:rsid w:val="008D06B4"/>
    <w:rsid w:val="008D0E97"/>
    <w:rsid w:val="008D131F"/>
    <w:rsid w:val="008D16B3"/>
    <w:rsid w:val="008D19BD"/>
    <w:rsid w:val="008D1A43"/>
    <w:rsid w:val="008D1EDA"/>
    <w:rsid w:val="008D20AE"/>
    <w:rsid w:val="008D21CA"/>
    <w:rsid w:val="008D22A3"/>
    <w:rsid w:val="008D2345"/>
    <w:rsid w:val="008D23EF"/>
    <w:rsid w:val="008D35A8"/>
    <w:rsid w:val="008D3A7A"/>
    <w:rsid w:val="008D3D08"/>
    <w:rsid w:val="008D3DC8"/>
    <w:rsid w:val="008D4532"/>
    <w:rsid w:val="008D4A41"/>
    <w:rsid w:val="008D4ABF"/>
    <w:rsid w:val="008D5663"/>
    <w:rsid w:val="008D57ED"/>
    <w:rsid w:val="008D5A65"/>
    <w:rsid w:val="008D5F0B"/>
    <w:rsid w:val="008D6403"/>
    <w:rsid w:val="008D6D33"/>
    <w:rsid w:val="008D7213"/>
    <w:rsid w:val="008D73AB"/>
    <w:rsid w:val="008D785B"/>
    <w:rsid w:val="008D78E1"/>
    <w:rsid w:val="008D7CA7"/>
    <w:rsid w:val="008E02AA"/>
    <w:rsid w:val="008E048C"/>
    <w:rsid w:val="008E06E1"/>
    <w:rsid w:val="008E098D"/>
    <w:rsid w:val="008E0D92"/>
    <w:rsid w:val="008E0F02"/>
    <w:rsid w:val="008E117B"/>
    <w:rsid w:val="008E156B"/>
    <w:rsid w:val="008E1BAB"/>
    <w:rsid w:val="008E20D4"/>
    <w:rsid w:val="008E210A"/>
    <w:rsid w:val="008E2200"/>
    <w:rsid w:val="008E22E9"/>
    <w:rsid w:val="008E3064"/>
    <w:rsid w:val="008E3307"/>
    <w:rsid w:val="008E34CB"/>
    <w:rsid w:val="008E3641"/>
    <w:rsid w:val="008E3AED"/>
    <w:rsid w:val="008E3D75"/>
    <w:rsid w:val="008E3EA5"/>
    <w:rsid w:val="008E4412"/>
    <w:rsid w:val="008E446B"/>
    <w:rsid w:val="008E483B"/>
    <w:rsid w:val="008E4A84"/>
    <w:rsid w:val="008E4A99"/>
    <w:rsid w:val="008E4AA5"/>
    <w:rsid w:val="008E4BC1"/>
    <w:rsid w:val="008E4C46"/>
    <w:rsid w:val="008E4D36"/>
    <w:rsid w:val="008E4D8E"/>
    <w:rsid w:val="008E5026"/>
    <w:rsid w:val="008E5670"/>
    <w:rsid w:val="008E5695"/>
    <w:rsid w:val="008E5FD6"/>
    <w:rsid w:val="008E6476"/>
    <w:rsid w:val="008E6535"/>
    <w:rsid w:val="008E6623"/>
    <w:rsid w:val="008E737D"/>
    <w:rsid w:val="008E7D2B"/>
    <w:rsid w:val="008E7D4F"/>
    <w:rsid w:val="008F01F6"/>
    <w:rsid w:val="008F09F2"/>
    <w:rsid w:val="008F0C21"/>
    <w:rsid w:val="008F107B"/>
    <w:rsid w:val="008F1878"/>
    <w:rsid w:val="008F1AA1"/>
    <w:rsid w:val="008F208B"/>
    <w:rsid w:val="008F22E5"/>
    <w:rsid w:val="008F233F"/>
    <w:rsid w:val="008F27AC"/>
    <w:rsid w:val="008F2955"/>
    <w:rsid w:val="008F2CE9"/>
    <w:rsid w:val="008F2E3B"/>
    <w:rsid w:val="008F311B"/>
    <w:rsid w:val="008F3496"/>
    <w:rsid w:val="008F3695"/>
    <w:rsid w:val="008F3B71"/>
    <w:rsid w:val="008F488E"/>
    <w:rsid w:val="008F497F"/>
    <w:rsid w:val="008F49EE"/>
    <w:rsid w:val="008F4B0C"/>
    <w:rsid w:val="008F4E05"/>
    <w:rsid w:val="008F4ECC"/>
    <w:rsid w:val="008F5166"/>
    <w:rsid w:val="008F554B"/>
    <w:rsid w:val="008F59A7"/>
    <w:rsid w:val="008F59BC"/>
    <w:rsid w:val="008F5A40"/>
    <w:rsid w:val="008F6134"/>
    <w:rsid w:val="008F6287"/>
    <w:rsid w:val="008F69C8"/>
    <w:rsid w:val="008F6FB0"/>
    <w:rsid w:val="008F712C"/>
    <w:rsid w:val="008F745D"/>
    <w:rsid w:val="009004A0"/>
    <w:rsid w:val="00900636"/>
    <w:rsid w:val="00900EFC"/>
    <w:rsid w:val="00901512"/>
    <w:rsid w:val="00901942"/>
    <w:rsid w:val="00901A22"/>
    <w:rsid w:val="00902488"/>
    <w:rsid w:val="00902810"/>
    <w:rsid w:val="00902A6F"/>
    <w:rsid w:val="00902F08"/>
    <w:rsid w:val="00903134"/>
    <w:rsid w:val="009031C7"/>
    <w:rsid w:val="009032DD"/>
    <w:rsid w:val="009039B1"/>
    <w:rsid w:val="00903BAC"/>
    <w:rsid w:val="00903C87"/>
    <w:rsid w:val="00903D30"/>
    <w:rsid w:val="00903DCD"/>
    <w:rsid w:val="00903DEB"/>
    <w:rsid w:val="0090403A"/>
    <w:rsid w:val="00904264"/>
    <w:rsid w:val="00904384"/>
    <w:rsid w:val="0090487F"/>
    <w:rsid w:val="0090503F"/>
    <w:rsid w:val="009050B1"/>
    <w:rsid w:val="009061DF"/>
    <w:rsid w:val="009061F0"/>
    <w:rsid w:val="00906249"/>
    <w:rsid w:val="00906343"/>
    <w:rsid w:val="009071F3"/>
    <w:rsid w:val="00907368"/>
    <w:rsid w:val="0090741A"/>
    <w:rsid w:val="009074D5"/>
    <w:rsid w:val="0090751B"/>
    <w:rsid w:val="0090776D"/>
    <w:rsid w:val="0090794F"/>
    <w:rsid w:val="00907B52"/>
    <w:rsid w:val="00907BF8"/>
    <w:rsid w:val="00907DF7"/>
    <w:rsid w:val="009104B8"/>
    <w:rsid w:val="0091062E"/>
    <w:rsid w:val="00910C2E"/>
    <w:rsid w:val="0091133B"/>
    <w:rsid w:val="009114A2"/>
    <w:rsid w:val="009115A3"/>
    <w:rsid w:val="009115C1"/>
    <w:rsid w:val="00911D4A"/>
    <w:rsid w:val="00911DB2"/>
    <w:rsid w:val="00912500"/>
    <w:rsid w:val="009125C7"/>
    <w:rsid w:val="009130EE"/>
    <w:rsid w:val="00913F6D"/>
    <w:rsid w:val="009142D3"/>
    <w:rsid w:val="00914A1F"/>
    <w:rsid w:val="00915022"/>
    <w:rsid w:val="0091584A"/>
    <w:rsid w:val="009158E0"/>
    <w:rsid w:val="0091592C"/>
    <w:rsid w:val="00915A85"/>
    <w:rsid w:val="00915DE4"/>
    <w:rsid w:val="00915E1F"/>
    <w:rsid w:val="00915E5C"/>
    <w:rsid w:val="00915F55"/>
    <w:rsid w:val="00915FAE"/>
    <w:rsid w:val="0091604B"/>
    <w:rsid w:val="00916427"/>
    <w:rsid w:val="00916A8E"/>
    <w:rsid w:val="009170C4"/>
    <w:rsid w:val="009174AD"/>
    <w:rsid w:val="009176B3"/>
    <w:rsid w:val="00917752"/>
    <w:rsid w:val="00917D79"/>
    <w:rsid w:val="00917E0B"/>
    <w:rsid w:val="00917FFD"/>
    <w:rsid w:val="009200E2"/>
    <w:rsid w:val="009210D2"/>
    <w:rsid w:val="009221B2"/>
    <w:rsid w:val="00922538"/>
    <w:rsid w:val="00922D5C"/>
    <w:rsid w:val="009231A0"/>
    <w:rsid w:val="009231C1"/>
    <w:rsid w:val="009239B7"/>
    <w:rsid w:val="00923B5A"/>
    <w:rsid w:val="009248FE"/>
    <w:rsid w:val="00924900"/>
    <w:rsid w:val="00924AED"/>
    <w:rsid w:val="00924FC2"/>
    <w:rsid w:val="0092528D"/>
    <w:rsid w:val="009254B6"/>
    <w:rsid w:val="00925A1A"/>
    <w:rsid w:val="00925BCB"/>
    <w:rsid w:val="00925FBA"/>
    <w:rsid w:val="00927744"/>
    <w:rsid w:val="00927B9B"/>
    <w:rsid w:val="00927D39"/>
    <w:rsid w:val="0093057E"/>
    <w:rsid w:val="00930C2A"/>
    <w:rsid w:val="00931180"/>
    <w:rsid w:val="009312A8"/>
    <w:rsid w:val="00931B4B"/>
    <w:rsid w:val="00931C31"/>
    <w:rsid w:val="00931EA3"/>
    <w:rsid w:val="00931EDC"/>
    <w:rsid w:val="0093226E"/>
    <w:rsid w:val="00932A57"/>
    <w:rsid w:val="00932AFA"/>
    <w:rsid w:val="00932EDD"/>
    <w:rsid w:val="0093323A"/>
    <w:rsid w:val="00933436"/>
    <w:rsid w:val="009335BC"/>
    <w:rsid w:val="00933AD6"/>
    <w:rsid w:val="00933C49"/>
    <w:rsid w:val="00933FB5"/>
    <w:rsid w:val="009342F0"/>
    <w:rsid w:val="009345D2"/>
    <w:rsid w:val="0093473C"/>
    <w:rsid w:val="00934968"/>
    <w:rsid w:val="00934E11"/>
    <w:rsid w:val="00934F03"/>
    <w:rsid w:val="0093534B"/>
    <w:rsid w:val="0093539F"/>
    <w:rsid w:val="009355EC"/>
    <w:rsid w:val="009356EB"/>
    <w:rsid w:val="0093640E"/>
    <w:rsid w:val="0093651E"/>
    <w:rsid w:val="00936620"/>
    <w:rsid w:val="0093724E"/>
    <w:rsid w:val="00937719"/>
    <w:rsid w:val="00937A2F"/>
    <w:rsid w:val="00937CAA"/>
    <w:rsid w:val="00937E2E"/>
    <w:rsid w:val="00937EC4"/>
    <w:rsid w:val="00937FC4"/>
    <w:rsid w:val="00940096"/>
    <w:rsid w:val="00940195"/>
    <w:rsid w:val="0094042E"/>
    <w:rsid w:val="0094058C"/>
    <w:rsid w:val="00940778"/>
    <w:rsid w:val="00940D98"/>
    <w:rsid w:val="00940DCF"/>
    <w:rsid w:val="00940EF1"/>
    <w:rsid w:val="00941A01"/>
    <w:rsid w:val="00941A61"/>
    <w:rsid w:val="0094207F"/>
    <w:rsid w:val="009421BB"/>
    <w:rsid w:val="0094233E"/>
    <w:rsid w:val="009425DA"/>
    <w:rsid w:val="00942A15"/>
    <w:rsid w:val="009432B2"/>
    <w:rsid w:val="009436FB"/>
    <w:rsid w:val="00943739"/>
    <w:rsid w:val="00943819"/>
    <w:rsid w:val="00943826"/>
    <w:rsid w:val="00943BA4"/>
    <w:rsid w:val="00944099"/>
    <w:rsid w:val="00944163"/>
    <w:rsid w:val="009445FF"/>
    <w:rsid w:val="009447FA"/>
    <w:rsid w:val="009448DB"/>
    <w:rsid w:val="00945F3D"/>
    <w:rsid w:val="00946186"/>
    <w:rsid w:val="009462D9"/>
    <w:rsid w:val="009467A8"/>
    <w:rsid w:val="00946914"/>
    <w:rsid w:val="00946959"/>
    <w:rsid w:val="0094699B"/>
    <w:rsid w:val="0094D6B3"/>
    <w:rsid w:val="00950165"/>
    <w:rsid w:val="00950DD9"/>
    <w:rsid w:val="00951230"/>
    <w:rsid w:val="009513C4"/>
    <w:rsid w:val="00951A39"/>
    <w:rsid w:val="00952172"/>
    <w:rsid w:val="009522F8"/>
    <w:rsid w:val="00952657"/>
    <w:rsid w:val="009529AA"/>
    <w:rsid w:val="00952B8F"/>
    <w:rsid w:val="00952CC7"/>
    <w:rsid w:val="00952DD7"/>
    <w:rsid w:val="00952E40"/>
    <w:rsid w:val="00952FA4"/>
    <w:rsid w:val="0095305E"/>
    <w:rsid w:val="00954474"/>
    <w:rsid w:val="0095466C"/>
    <w:rsid w:val="0095498D"/>
    <w:rsid w:val="0095498E"/>
    <w:rsid w:val="00954D0F"/>
    <w:rsid w:val="009550CD"/>
    <w:rsid w:val="009552F0"/>
    <w:rsid w:val="00955874"/>
    <w:rsid w:val="00955AB5"/>
    <w:rsid w:val="00955AF4"/>
    <w:rsid w:val="00955CD9"/>
    <w:rsid w:val="00955CFE"/>
    <w:rsid w:val="00955FD5"/>
    <w:rsid w:val="00956171"/>
    <w:rsid w:val="00956288"/>
    <w:rsid w:val="00956574"/>
    <w:rsid w:val="0095662E"/>
    <w:rsid w:val="00956630"/>
    <w:rsid w:val="009566C6"/>
    <w:rsid w:val="00956BFB"/>
    <w:rsid w:val="00957199"/>
    <w:rsid w:val="009578B7"/>
    <w:rsid w:val="00957DC1"/>
    <w:rsid w:val="00957DF6"/>
    <w:rsid w:val="00957FD1"/>
    <w:rsid w:val="00960206"/>
    <w:rsid w:val="0096039B"/>
    <w:rsid w:val="00960972"/>
    <w:rsid w:val="00960F03"/>
    <w:rsid w:val="0096110E"/>
    <w:rsid w:val="00961A6A"/>
    <w:rsid w:val="00962179"/>
    <w:rsid w:val="009622B5"/>
    <w:rsid w:val="009626EF"/>
    <w:rsid w:val="00962A7B"/>
    <w:rsid w:val="0096324E"/>
    <w:rsid w:val="00963536"/>
    <w:rsid w:val="00963F0D"/>
    <w:rsid w:val="0096439A"/>
    <w:rsid w:val="00964693"/>
    <w:rsid w:val="00964F7C"/>
    <w:rsid w:val="0096509C"/>
    <w:rsid w:val="009653EF"/>
    <w:rsid w:val="00965B1C"/>
    <w:rsid w:val="009660E0"/>
    <w:rsid w:val="00966906"/>
    <w:rsid w:val="00966B03"/>
    <w:rsid w:val="00967245"/>
    <w:rsid w:val="009672CC"/>
    <w:rsid w:val="00967B2F"/>
    <w:rsid w:val="009700FA"/>
    <w:rsid w:val="009703B0"/>
    <w:rsid w:val="00970833"/>
    <w:rsid w:val="00970B5B"/>
    <w:rsid w:val="00970B62"/>
    <w:rsid w:val="00970D2C"/>
    <w:rsid w:val="0097137B"/>
    <w:rsid w:val="00971766"/>
    <w:rsid w:val="00971A78"/>
    <w:rsid w:val="00971F44"/>
    <w:rsid w:val="0097212C"/>
    <w:rsid w:val="0097227E"/>
    <w:rsid w:val="009723F9"/>
    <w:rsid w:val="00972809"/>
    <w:rsid w:val="00972CA6"/>
    <w:rsid w:val="00973332"/>
    <w:rsid w:val="00973A1A"/>
    <w:rsid w:val="00974908"/>
    <w:rsid w:val="0097496D"/>
    <w:rsid w:val="009750E9"/>
    <w:rsid w:val="00975308"/>
    <w:rsid w:val="009755C3"/>
    <w:rsid w:val="00975731"/>
    <w:rsid w:val="00975CBA"/>
    <w:rsid w:val="00975DE1"/>
    <w:rsid w:val="009761CE"/>
    <w:rsid w:val="009762BB"/>
    <w:rsid w:val="0097651C"/>
    <w:rsid w:val="0097664A"/>
    <w:rsid w:val="009766EF"/>
    <w:rsid w:val="009767B9"/>
    <w:rsid w:val="00976E39"/>
    <w:rsid w:val="00977201"/>
    <w:rsid w:val="00977665"/>
    <w:rsid w:val="00977AB7"/>
    <w:rsid w:val="00977C2F"/>
    <w:rsid w:val="00977D90"/>
    <w:rsid w:val="00977FB5"/>
    <w:rsid w:val="00980220"/>
    <w:rsid w:val="009808AF"/>
    <w:rsid w:val="00980940"/>
    <w:rsid w:val="00980A3E"/>
    <w:rsid w:val="00981047"/>
    <w:rsid w:val="009812B5"/>
    <w:rsid w:val="009812C9"/>
    <w:rsid w:val="00981393"/>
    <w:rsid w:val="00981A5D"/>
    <w:rsid w:val="0098246A"/>
    <w:rsid w:val="00982741"/>
    <w:rsid w:val="00982867"/>
    <w:rsid w:val="00982F66"/>
    <w:rsid w:val="009830E9"/>
    <w:rsid w:val="009831C4"/>
    <w:rsid w:val="0098357A"/>
    <w:rsid w:val="00983E0D"/>
    <w:rsid w:val="009843BD"/>
    <w:rsid w:val="009846D6"/>
    <w:rsid w:val="009848B0"/>
    <w:rsid w:val="00985090"/>
    <w:rsid w:val="009854C2"/>
    <w:rsid w:val="00985FD4"/>
    <w:rsid w:val="0098607B"/>
    <w:rsid w:val="009860B4"/>
    <w:rsid w:val="009860D4"/>
    <w:rsid w:val="009866B9"/>
    <w:rsid w:val="00987177"/>
    <w:rsid w:val="009874E9"/>
    <w:rsid w:val="00987553"/>
    <w:rsid w:val="00987585"/>
    <w:rsid w:val="00987718"/>
    <w:rsid w:val="009900BA"/>
    <w:rsid w:val="00990139"/>
    <w:rsid w:val="00990173"/>
    <w:rsid w:val="00991704"/>
    <w:rsid w:val="00991A3D"/>
    <w:rsid w:val="00991FC2"/>
    <w:rsid w:val="009921FA"/>
    <w:rsid w:val="009924DE"/>
    <w:rsid w:val="0099278D"/>
    <w:rsid w:val="00992E6A"/>
    <w:rsid w:val="00993028"/>
    <w:rsid w:val="0099344E"/>
    <w:rsid w:val="009937A5"/>
    <w:rsid w:val="00993B76"/>
    <w:rsid w:val="00994610"/>
    <w:rsid w:val="00995BDB"/>
    <w:rsid w:val="00995E02"/>
    <w:rsid w:val="009963EE"/>
    <w:rsid w:val="009964C4"/>
    <w:rsid w:val="009964C5"/>
    <w:rsid w:val="0099665E"/>
    <w:rsid w:val="0099679C"/>
    <w:rsid w:val="009968DC"/>
    <w:rsid w:val="00996C06"/>
    <w:rsid w:val="00996C22"/>
    <w:rsid w:val="00996E76"/>
    <w:rsid w:val="009979AB"/>
    <w:rsid w:val="009A05EC"/>
    <w:rsid w:val="009A0628"/>
    <w:rsid w:val="009A08B6"/>
    <w:rsid w:val="009A095E"/>
    <w:rsid w:val="009A113C"/>
    <w:rsid w:val="009A1733"/>
    <w:rsid w:val="009A17CB"/>
    <w:rsid w:val="009A224C"/>
    <w:rsid w:val="009A2279"/>
    <w:rsid w:val="009A23D3"/>
    <w:rsid w:val="009A2717"/>
    <w:rsid w:val="009A2EE6"/>
    <w:rsid w:val="009A2FC6"/>
    <w:rsid w:val="009A3401"/>
    <w:rsid w:val="009A3875"/>
    <w:rsid w:val="009A3DAB"/>
    <w:rsid w:val="009A3DAC"/>
    <w:rsid w:val="009A4074"/>
    <w:rsid w:val="009A40F9"/>
    <w:rsid w:val="009A422E"/>
    <w:rsid w:val="009A43A3"/>
    <w:rsid w:val="009A43CD"/>
    <w:rsid w:val="009A4F23"/>
    <w:rsid w:val="009A4FAF"/>
    <w:rsid w:val="009A51BE"/>
    <w:rsid w:val="009A5692"/>
    <w:rsid w:val="009A5722"/>
    <w:rsid w:val="009A57DE"/>
    <w:rsid w:val="009A5847"/>
    <w:rsid w:val="009A5878"/>
    <w:rsid w:val="009A68B8"/>
    <w:rsid w:val="009A69C2"/>
    <w:rsid w:val="009A6D1C"/>
    <w:rsid w:val="009A722A"/>
    <w:rsid w:val="009A75CC"/>
    <w:rsid w:val="009A7C50"/>
    <w:rsid w:val="009A7F20"/>
    <w:rsid w:val="009B0033"/>
    <w:rsid w:val="009B011E"/>
    <w:rsid w:val="009B03A5"/>
    <w:rsid w:val="009B088B"/>
    <w:rsid w:val="009B0978"/>
    <w:rsid w:val="009B0C5B"/>
    <w:rsid w:val="009B0CB9"/>
    <w:rsid w:val="009B0D71"/>
    <w:rsid w:val="009B165C"/>
    <w:rsid w:val="009B178C"/>
    <w:rsid w:val="009B2192"/>
    <w:rsid w:val="009B2529"/>
    <w:rsid w:val="009B28B2"/>
    <w:rsid w:val="009B29A5"/>
    <w:rsid w:val="009B2E8E"/>
    <w:rsid w:val="009B32A3"/>
    <w:rsid w:val="009B3375"/>
    <w:rsid w:val="009B344A"/>
    <w:rsid w:val="009B37D5"/>
    <w:rsid w:val="009B3937"/>
    <w:rsid w:val="009B422E"/>
    <w:rsid w:val="009B42AF"/>
    <w:rsid w:val="009B42EE"/>
    <w:rsid w:val="009B4756"/>
    <w:rsid w:val="009B4DCF"/>
    <w:rsid w:val="009B50D9"/>
    <w:rsid w:val="009B57F5"/>
    <w:rsid w:val="009B581C"/>
    <w:rsid w:val="009B58D0"/>
    <w:rsid w:val="009B5ADE"/>
    <w:rsid w:val="009B5B00"/>
    <w:rsid w:val="009B5D0F"/>
    <w:rsid w:val="009B5E3D"/>
    <w:rsid w:val="009B64E8"/>
    <w:rsid w:val="009B6C02"/>
    <w:rsid w:val="009B6F99"/>
    <w:rsid w:val="009B72DA"/>
    <w:rsid w:val="009B736D"/>
    <w:rsid w:val="009B75AF"/>
    <w:rsid w:val="009B7AFB"/>
    <w:rsid w:val="009B7B15"/>
    <w:rsid w:val="009C0ED4"/>
    <w:rsid w:val="009C0FC6"/>
    <w:rsid w:val="009C138E"/>
    <w:rsid w:val="009C1C9C"/>
    <w:rsid w:val="009C2F54"/>
    <w:rsid w:val="009C32A9"/>
    <w:rsid w:val="009C37EE"/>
    <w:rsid w:val="009C39D3"/>
    <w:rsid w:val="009C4DC7"/>
    <w:rsid w:val="009C558F"/>
    <w:rsid w:val="009C5EBD"/>
    <w:rsid w:val="009C62DF"/>
    <w:rsid w:val="009C631A"/>
    <w:rsid w:val="009C656F"/>
    <w:rsid w:val="009C65C2"/>
    <w:rsid w:val="009C680D"/>
    <w:rsid w:val="009C72DB"/>
    <w:rsid w:val="009C7459"/>
    <w:rsid w:val="009C7525"/>
    <w:rsid w:val="009C7690"/>
    <w:rsid w:val="009C7DCA"/>
    <w:rsid w:val="009D00A1"/>
    <w:rsid w:val="009D0203"/>
    <w:rsid w:val="009D05E8"/>
    <w:rsid w:val="009D0844"/>
    <w:rsid w:val="009D0BA3"/>
    <w:rsid w:val="009D120E"/>
    <w:rsid w:val="009D1664"/>
    <w:rsid w:val="009D1BE9"/>
    <w:rsid w:val="009D1C72"/>
    <w:rsid w:val="009D1DF0"/>
    <w:rsid w:val="009D2568"/>
    <w:rsid w:val="009D2891"/>
    <w:rsid w:val="009D2E9E"/>
    <w:rsid w:val="009D2F52"/>
    <w:rsid w:val="009D3177"/>
    <w:rsid w:val="009D32FF"/>
    <w:rsid w:val="009D3C5A"/>
    <w:rsid w:val="009D44F2"/>
    <w:rsid w:val="009D4595"/>
    <w:rsid w:val="009D459E"/>
    <w:rsid w:val="009D5013"/>
    <w:rsid w:val="009D53ED"/>
    <w:rsid w:val="009D571E"/>
    <w:rsid w:val="009D5DE3"/>
    <w:rsid w:val="009D5FF1"/>
    <w:rsid w:val="009D643E"/>
    <w:rsid w:val="009D67C4"/>
    <w:rsid w:val="009D6CE9"/>
    <w:rsid w:val="009D6D1A"/>
    <w:rsid w:val="009D6E9C"/>
    <w:rsid w:val="009D70A3"/>
    <w:rsid w:val="009D7536"/>
    <w:rsid w:val="009E0276"/>
    <w:rsid w:val="009E032B"/>
    <w:rsid w:val="009E046C"/>
    <w:rsid w:val="009E0DF5"/>
    <w:rsid w:val="009E15DC"/>
    <w:rsid w:val="009E164D"/>
    <w:rsid w:val="009E1964"/>
    <w:rsid w:val="009E1A4D"/>
    <w:rsid w:val="009E1A7B"/>
    <w:rsid w:val="009E21F7"/>
    <w:rsid w:val="009E246A"/>
    <w:rsid w:val="009E25F6"/>
    <w:rsid w:val="009E2D10"/>
    <w:rsid w:val="009E32EC"/>
    <w:rsid w:val="009E369C"/>
    <w:rsid w:val="009E3AE3"/>
    <w:rsid w:val="009E3CC2"/>
    <w:rsid w:val="009E3CC4"/>
    <w:rsid w:val="009E3D37"/>
    <w:rsid w:val="009E3F56"/>
    <w:rsid w:val="009E4649"/>
    <w:rsid w:val="009E4814"/>
    <w:rsid w:val="009E49EB"/>
    <w:rsid w:val="009E4A60"/>
    <w:rsid w:val="009E4F9F"/>
    <w:rsid w:val="009E57A8"/>
    <w:rsid w:val="009E57B2"/>
    <w:rsid w:val="009E5CD1"/>
    <w:rsid w:val="009E5F76"/>
    <w:rsid w:val="009E6086"/>
    <w:rsid w:val="009E6106"/>
    <w:rsid w:val="009E6D6D"/>
    <w:rsid w:val="009E6DF2"/>
    <w:rsid w:val="009E6F09"/>
    <w:rsid w:val="009E6F93"/>
    <w:rsid w:val="009E7584"/>
    <w:rsid w:val="009E76A8"/>
    <w:rsid w:val="009F0300"/>
    <w:rsid w:val="009F0376"/>
    <w:rsid w:val="009F03EA"/>
    <w:rsid w:val="009F09A1"/>
    <w:rsid w:val="009F1184"/>
    <w:rsid w:val="009F1237"/>
    <w:rsid w:val="009F1366"/>
    <w:rsid w:val="009F1C3A"/>
    <w:rsid w:val="009F1CFC"/>
    <w:rsid w:val="009F1D45"/>
    <w:rsid w:val="009F219B"/>
    <w:rsid w:val="009F2D99"/>
    <w:rsid w:val="009F2E46"/>
    <w:rsid w:val="009F2E56"/>
    <w:rsid w:val="009F3CB0"/>
    <w:rsid w:val="009F457F"/>
    <w:rsid w:val="009F4FBB"/>
    <w:rsid w:val="009F505F"/>
    <w:rsid w:val="009F51A0"/>
    <w:rsid w:val="009F5399"/>
    <w:rsid w:val="009F54FA"/>
    <w:rsid w:val="009F55FF"/>
    <w:rsid w:val="009F5BCE"/>
    <w:rsid w:val="009F5E32"/>
    <w:rsid w:val="009F6649"/>
    <w:rsid w:val="009F6955"/>
    <w:rsid w:val="009F6C20"/>
    <w:rsid w:val="009F6CDE"/>
    <w:rsid w:val="009F7850"/>
    <w:rsid w:val="009F7F31"/>
    <w:rsid w:val="009F7F3E"/>
    <w:rsid w:val="009FCB81"/>
    <w:rsid w:val="00A00215"/>
    <w:rsid w:val="00A00216"/>
    <w:rsid w:val="00A00392"/>
    <w:rsid w:val="00A00CB1"/>
    <w:rsid w:val="00A00D41"/>
    <w:rsid w:val="00A00E57"/>
    <w:rsid w:val="00A010B5"/>
    <w:rsid w:val="00A01178"/>
    <w:rsid w:val="00A01671"/>
    <w:rsid w:val="00A0169C"/>
    <w:rsid w:val="00A01BA3"/>
    <w:rsid w:val="00A01DD4"/>
    <w:rsid w:val="00A020CC"/>
    <w:rsid w:val="00A02534"/>
    <w:rsid w:val="00A02770"/>
    <w:rsid w:val="00A027DB"/>
    <w:rsid w:val="00A02AB2"/>
    <w:rsid w:val="00A03267"/>
    <w:rsid w:val="00A03734"/>
    <w:rsid w:val="00A03F16"/>
    <w:rsid w:val="00A04196"/>
    <w:rsid w:val="00A04242"/>
    <w:rsid w:val="00A042BD"/>
    <w:rsid w:val="00A0499C"/>
    <w:rsid w:val="00A05045"/>
    <w:rsid w:val="00A05105"/>
    <w:rsid w:val="00A051D0"/>
    <w:rsid w:val="00A05B36"/>
    <w:rsid w:val="00A05B97"/>
    <w:rsid w:val="00A061FC"/>
    <w:rsid w:val="00A06D6C"/>
    <w:rsid w:val="00A06D7E"/>
    <w:rsid w:val="00A06EF6"/>
    <w:rsid w:val="00A074E0"/>
    <w:rsid w:val="00A07854"/>
    <w:rsid w:val="00A07989"/>
    <w:rsid w:val="00A07D78"/>
    <w:rsid w:val="00A07F92"/>
    <w:rsid w:val="00A10200"/>
    <w:rsid w:val="00A10427"/>
    <w:rsid w:val="00A1053F"/>
    <w:rsid w:val="00A10E9C"/>
    <w:rsid w:val="00A12276"/>
    <w:rsid w:val="00A123B7"/>
    <w:rsid w:val="00A12A97"/>
    <w:rsid w:val="00A12F22"/>
    <w:rsid w:val="00A1351F"/>
    <w:rsid w:val="00A13A2D"/>
    <w:rsid w:val="00A13BEB"/>
    <w:rsid w:val="00A13DBE"/>
    <w:rsid w:val="00A14252"/>
    <w:rsid w:val="00A14E72"/>
    <w:rsid w:val="00A15800"/>
    <w:rsid w:val="00A15BA6"/>
    <w:rsid w:val="00A15E6F"/>
    <w:rsid w:val="00A15EB5"/>
    <w:rsid w:val="00A1625A"/>
    <w:rsid w:val="00A1655D"/>
    <w:rsid w:val="00A16A8B"/>
    <w:rsid w:val="00A16F7C"/>
    <w:rsid w:val="00A1710F"/>
    <w:rsid w:val="00A17240"/>
    <w:rsid w:val="00A17298"/>
    <w:rsid w:val="00A1754E"/>
    <w:rsid w:val="00A175B4"/>
    <w:rsid w:val="00A17B8C"/>
    <w:rsid w:val="00A17C45"/>
    <w:rsid w:val="00A17EE1"/>
    <w:rsid w:val="00A1DC9F"/>
    <w:rsid w:val="00A201B9"/>
    <w:rsid w:val="00A20491"/>
    <w:rsid w:val="00A204F6"/>
    <w:rsid w:val="00A209BF"/>
    <w:rsid w:val="00A20AF3"/>
    <w:rsid w:val="00A20CEC"/>
    <w:rsid w:val="00A20DE8"/>
    <w:rsid w:val="00A20F9A"/>
    <w:rsid w:val="00A21117"/>
    <w:rsid w:val="00A211C5"/>
    <w:rsid w:val="00A215AB"/>
    <w:rsid w:val="00A22065"/>
    <w:rsid w:val="00A22439"/>
    <w:rsid w:val="00A22BD1"/>
    <w:rsid w:val="00A22E32"/>
    <w:rsid w:val="00A231CA"/>
    <w:rsid w:val="00A23536"/>
    <w:rsid w:val="00A236D4"/>
    <w:rsid w:val="00A2372C"/>
    <w:rsid w:val="00A237ED"/>
    <w:rsid w:val="00A23859"/>
    <w:rsid w:val="00A23C86"/>
    <w:rsid w:val="00A2467E"/>
    <w:rsid w:val="00A24705"/>
    <w:rsid w:val="00A2524D"/>
    <w:rsid w:val="00A258DE"/>
    <w:rsid w:val="00A25B3A"/>
    <w:rsid w:val="00A2615A"/>
    <w:rsid w:val="00A26A49"/>
    <w:rsid w:val="00A270FF"/>
    <w:rsid w:val="00A276BA"/>
    <w:rsid w:val="00A279EA"/>
    <w:rsid w:val="00A27B55"/>
    <w:rsid w:val="00A27BFD"/>
    <w:rsid w:val="00A27E72"/>
    <w:rsid w:val="00A3024E"/>
    <w:rsid w:val="00A302CE"/>
    <w:rsid w:val="00A307DD"/>
    <w:rsid w:val="00A3095A"/>
    <w:rsid w:val="00A30EED"/>
    <w:rsid w:val="00A316E4"/>
    <w:rsid w:val="00A3179A"/>
    <w:rsid w:val="00A318F3"/>
    <w:rsid w:val="00A319C4"/>
    <w:rsid w:val="00A31CE5"/>
    <w:rsid w:val="00A32924"/>
    <w:rsid w:val="00A32A5B"/>
    <w:rsid w:val="00A32C4D"/>
    <w:rsid w:val="00A33452"/>
    <w:rsid w:val="00A33636"/>
    <w:rsid w:val="00A337F0"/>
    <w:rsid w:val="00A3430B"/>
    <w:rsid w:val="00A34725"/>
    <w:rsid w:val="00A34936"/>
    <w:rsid w:val="00A3523E"/>
    <w:rsid w:val="00A35ED1"/>
    <w:rsid w:val="00A36C67"/>
    <w:rsid w:val="00A36DF7"/>
    <w:rsid w:val="00A37158"/>
    <w:rsid w:val="00A373D4"/>
    <w:rsid w:val="00A373E7"/>
    <w:rsid w:val="00A37699"/>
    <w:rsid w:val="00A3782C"/>
    <w:rsid w:val="00A37A85"/>
    <w:rsid w:val="00A37BD1"/>
    <w:rsid w:val="00A37C01"/>
    <w:rsid w:val="00A37F64"/>
    <w:rsid w:val="00A37F91"/>
    <w:rsid w:val="00A37FA1"/>
    <w:rsid w:val="00A402FF"/>
    <w:rsid w:val="00A40BA3"/>
    <w:rsid w:val="00A40CF6"/>
    <w:rsid w:val="00A40D5C"/>
    <w:rsid w:val="00A412D4"/>
    <w:rsid w:val="00A41706"/>
    <w:rsid w:val="00A41C19"/>
    <w:rsid w:val="00A422ED"/>
    <w:rsid w:val="00A42876"/>
    <w:rsid w:val="00A43034"/>
    <w:rsid w:val="00A43437"/>
    <w:rsid w:val="00A43907"/>
    <w:rsid w:val="00A43989"/>
    <w:rsid w:val="00A43E06"/>
    <w:rsid w:val="00A444A4"/>
    <w:rsid w:val="00A44F24"/>
    <w:rsid w:val="00A456B7"/>
    <w:rsid w:val="00A459E3"/>
    <w:rsid w:val="00A45F50"/>
    <w:rsid w:val="00A4640A"/>
    <w:rsid w:val="00A4659B"/>
    <w:rsid w:val="00A46B7A"/>
    <w:rsid w:val="00A46C7A"/>
    <w:rsid w:val="00A46D9B"/>
    <w:rsid w:val="00A47566"/>
    <w:rsid w:val="00A4771D"/>
    <w:rsid w:val="00A47B81"/>
    <w:rsid w:val="00A4E6DA"/>
    <w:rsid w:val="00A50166"/>
    <w:rsid w:val="00A507D8"/>
    <w:rsid w:val="00A50BC6"/>
    <w:rsid w:val="00A51287"/>
    <w:rsid w:val="00A5135C"/>
    <w:rsid w:val="00A513EA"/>
    <w:rsid w:val="00A5142A"/>
    <w:rsid w:val="00A51467"/>
    <w:rsid w:val="00A516AA"/>
    <w:rsid w:val="00A51AC8"/>
    <w:rsid w:val="00A51C39"/>
    <w:rsid w:val="00A51EE2"/>
    <w:rsid w:val="00A52216"/>
    <w:rsid w:val="00A526A1"/>
    <w:rsid w:val="00A527A2"/>
    <w:rsid w:val="00A52BC0"/>
    <w:rsid w:val="00A52D99"/>
    <w:rsid w:val="00A52F6D"/>
    <w:rsid w:val="00A5310E"/>
    <w:rsid w:val="00A53409"/>
    <w:rsid w:val="00A536DC"/>
    <w:rsid w:val="00A53A4A"/>
    <w:rsid w:val="00A53E67"/>
    <w:rsid w:val="00A54E1F"/>
    <w:rsid w:val="00A55126"/>
    <w:rsid w:val="00A551A4"/>
    <w:rsid w:val="00A55449"/>
    <w:rsid w:val="00A5555B"/>
    <w:rsid w:val="00A562C0"/>
    <w:rsid w:val="00A56861"/>
    <w:rsid w:val="00A569C2"/>
    <w:rsid w:val="00A569EE"/>
    <w:rsid w:val="00A56B5E"/>
    <w:rsid w:val="00A56C17"/>
    <w:rsid w:val="00A5705D"/>
    <w:rsid w:val="00A57174"/>
    <w:rsid w:val="00A6059E"/>
    <w:rsid w:val="00A606DD"/>
    <w:rsid w:val="00A6101F"/>
    <w:rsid w:val="00A61350"/>
    <w:rsid w:val="00A61578"/>
    <w:rsid w:val="00A6159E"/>
    <w:rsid w:val="00A61612"/>
    <w:rsid w:val="00A61780"/>
    <w:rsid w:val="00A61A53"/>
    <w:rsid w:val="00A61C92"/>
    <w:rsid w:val="00A6243B"/>
    <w:rsid w:val="00A62A5B"/>
    <w:rsid w:val="00A6390A"/>
    <w:rsid w:val="00A63A2C"/>
    <w:rsid w:val="00A63AF6"/>
    <w:rsid w:val="00A63DDD"/>
    <w:rsid w:val="00A64094"/>
    <w:rsid w:val="00A64260"/>
    <w:rsid w:val="00A64412"/>
    <w:rsid w:val="00A64AF5"/>
    <w:rsid w:val="00A64F9A"/>
    <w:rsid w:val="00A653A9"/>
    <w:rsid w:val="00A65991"/>
    <w:rsid w:val="00A65BB1"/>
    <w:rsid w:val="00A663BF"/>
    <w:rsid w:val="00A66EA1"/>
    <w:rsid w:val="00A670FF"/>
    <w:rsid w:val="00A67AE3"/>
    <w:rsid w:val="00A67EE3"/>
    <w:rsid w:val="00A72AC9"/>
    <w:rsid w:val="00A72D01"/>
    <w:rsid w:val="00A72F32"/>
    <w:rsid w:val="00A73F8F"/>
    <w:rsid w:val="00A74010"/>
    <w:rsid w:val="00A74453"/>
    <w:rsid w:val="00A744B5"/>
    <w:rsid w:val="00A7478D"/>
    <w:rsid w:val="00A7480A"/>
    <w:rsid w:val="00A748EB"/>
    <w:rsid w:val="00A749D8"/>
    <w:rsid w:val="00A74A07"/>
    <w:rsid w:val="00A751A7"/>
    <w:rsid w:val="00A75659"/>
    <w:rsid w:val="00A7565E"/>
    <w:rsid w:val="00A75755"/>
    <w:rsid w:val="00A75900"/>
    <w:rsid w:val="00A75A2D"/>
    <w:rsid w:val="00A76763"/>
    <w:rsid w:val="00A76BB7"/>
    <w:rsid w:val="00A76ED4"/>
    <w:rsid w:val="00A76F86"/>
    <w:rsid w:val="00A77953"/>
    <w:rsid w:val="00A804B4"/>
    <w:rsid w:val="00A80A80"/>
    <w:rsid w:val="00A80E7F"/>
    <w:rsid w:val="00A811E9"/>
    <w:rsid w:val="00A81970"/>
    <w:rsid w:val="00A820FB"/>
    <w:rsid w:val="00A82226"/>
    <w:rsid w:val="00A8244E"/>
    <w:rsid w:val="00A825B6"/>
    <w:rsid w:val="00A8285C"/>
    <w:rsid w:val="00A828A4"/>
    <w:rsid w:val="00A82BEA"/>
    <w:rsid w:val="00A82C73"/>
    <w:rsid w:val="00A82D82"/>
    <w:rsid w:val="00A8301F"/>
    <w:rsid w:val="00A83744"/>
    <w:rsid w:val="00A8392C"/>
    <w:rsid w:val="00A84714"/>
    <w:rsid w:val="00A849CB"/>
    <w:rsid w:val="00A850D0"/>
    <w:rsid w:val="00A8522E"/>
    <w:rsid w:val="00A855C6"/>
    <w:rsid w:val="00A859C1"/>
    <w:rsid w:val="00A85AD3"/>
    <w:rsid w:val="00A85BE4"/>
    <w:rsid w:val="00A85D2F"/>
    <w:rsid w:val="00A85D71"/>
    <w:rsid w:val="00A86381"/>
    <w:rsid w:val="00A863B6"/>
    <w:rsid w:val="00A86882"/>
    <w:rsid w:val="00A86FC1"/>
    <w:rsid w:val="00A8737C"/>
    <w:rsid w:val="00A87390"/>
    <w:rsid w:val="00A8779D"/>
    <w:rsid w:val="00A87A91"/>
    <w:rsid w:val="00A8BE3C"/>
    <w:rsid w:val="00A90003"/>
    <w:rsid w:val="00A901A1"/>
    <w:rsid w:val="00A905A9"/>
    <w:rsid w:val="00A906A5"/>
    <w:rsid w:val="00A90837"/>
    <w:rsid w:val="00A90953"/>
    <w:rsid w:val="00A9095C"/>
    <w:rsid w:val="00A90A0A"/>
    <w:rsid w:val="00A90E69"/>
    <w:rsid w:val="00A90EB7"/>
    <w:rsid w:val="00A91CB2"/>
    <w:rsid w:val="00A91E7D"/>
    <w:rsid w:val="00A92249"/>
    <w:rsid w:val="00A92288"/>
    <w:rsid w:val="00A926EC"/>
    <w:rsid w:val="00A9288F"/>
    <w:rsid w:val="00A92B60"/>
    <w:rsid w:val="00A92D78"/>
    <w:rsid w:val="00A92FC8"/>
    <w:rsid w:val="00A9315E"/>
    <w:rsid w:val="00A93816"/>
    <w:rsid w:val="00A9383C"/>
    <w:rsid w:val="00A93965"/>
    <w:rsid w:val="00A93DD1"/>
    <w:rsid w:val="00A94125"/>
    <w:rsid w:val="00A941C1"/>
    <w:rsid w:val="00A9471D"/>
    <w:rsid w:val="00A94CA0"/>
    <w:rsid w:val="00A94D75"/>
    <w:rsid w:val="00A955AF"/>
    <w:rsid w:val="00A95775"/>
    <w:rsid w:val="00A958CF"/>
    <w:rsid w:val="00A95E75"/>
    <w:rsid w:val="00A9612C"/>
    <w:rsid w:val="00A969F6"/>
    <w:rsid w:val="00A96B62"/>
    <w:rsid w:val="00A96D73"/>
    <w:rsid w:val="00A97673"/>
    <w:rsid w:val="00A97BB5"/>
    <w:rsid w:val="00A97D67"/>
    <w:rsid w:val="00A97F85"/>
    <w:rsid w:val="00AA04BB"/>
    <w:rsid w:val="00AA055E"/>
    <w:rsid w:val="00AA1287"/>
    <w:rsid w:val="00AA12D9"/>
    <w:rsid w:val="00AA14AE"/>
    <w:rsid w:val="00AA150C"/>
    <w:rsid w:val="00AA26D7"/>
    <w:rsid w:val="00AA2995"/>
    <w:rsid w:val="00AA30B2"/>
    <w:rsid w:val="00AA3335"/>
    <w:rsid w:val="00AA37E6"/>
    <w:rsid w:val="00AA38AC"/>
    <w:rsid w:val="00AA3FA4"/>
    <w:rsid w:val="00AA4034"/>
    <w:rsid w:val="00AA410A"/>
    <w:rsid w:val="00AA465C"/>
    <w:rsid w:val="00AA47F3"/>
    <w:rsid w:val="00AA4AEF"/>
    <w:rsid w:val="00AA4C0C"/>
    <w:rsid w:val="00AA553A"/>
    <w:rsid w:val="00AA58F9"/>
    <w:rsid w:val="00AA5C56"/>
    <w:rsid w:val="00AA5E8C"/>
    <w:rsid w:val="00AA6503"/>
    <w:rsid w:val="00AA65A1"/>
    <w:rsid w:val="00AA6A11"/>
    <w:rsid w:val="00AA6AC4"/>
    <w:rsid w:val="00AA74F4"/>
    <w:rsid w:val="00AA7847"/>
    <w:rsid w:val="00AA7934"/>
    <w:rsid w:val="00AB0248"/>
    <w:rsid w:val="00AB08A4"/>
    <w:rsid w:val="00AB0A26"/>
    <w:rsid w:val="00AB1177"/>
    <w:rsid w:val="00AB185B"/>
    <w:rsid w:val="00AB18A3"/>
    <w:rsid w:val="00AB1D1B"/>
    <w:rsid w:val="00AB1DF9"/>
    <w:rsid w:val="00AB1F45"/>
    <w:rsid w:val="00AB241E"/>
    <w:rsid w:val="00AB289F"/>
    <w:rsid w:val="00AB2C09"/>
    <w:rsid w:val="00AB2C7E"/>
    <w:rsid w:val="00AB2EE3"/>
    <w:rsid w:val="00AB306E"/>
    <w:rsid w:val="00AB3582"/>
    <w:rsid w:val="00AB3FD3"/>
    <w:rsid w:val="00AB426A"/>
    <w:rsid w:val="00AB4E65"/>
    <w:rsid w:val="00AB52CD"/>
    <w:rsid w:val="00AB5496"/>
    <w:rsid w:val="00AB6074"/>
    <w:rsid w:val="00AB63C9"/>
    <w:rsid w:val="00AB6672"/>
    <w:rsid w:val="00AB69D3"/>
    <w:rsid w:val="00AB6D47"/>
    <w:rsid w:val="00AB76F9"/>
    <w:rsid w:val="00AB7C18"/>
    <w:rsid w:val="00AB7DC5"/>
    <w:rsid w:val="00AB7E8A"/>
    <w:rsid w:val="00AC10BC"/>
    <w:rsid w:val="00AC1155"/>
    <w:rsid w:val="00AC1692"/>
    <w:rsid w:val="00AC1ADB"/>
    <w:rsid w:val="00AC1D9F"/>
    <w:rsid w:val="00AC1E3F"/>
    <w:rsid w:val="00AC25F9"/>
    <w:rsid w:val="00AC2667"/>
    <w:rsid w:val="00AC2688"/>
    <w:rsid w:val="00AC2872"/>
    <w:rsid w:val="00AC2A4A"/>
    <w:rsid w:val="00AC2F71"/>
    <w:rsid w:val="00AC38A2"/>
    <w:rsid w:val="00AC3A7F"/>
    <w:rsid w:val="00AC3D56"/>
    <w:rsid w:val="00AC45D5"/>
    <w:rsid w:val="00AC48BB"/>
    <w:rsid w:val="00AC4C6B"/>
    <w:rsid w:val="00AC504B"/>
    <w:rsid w:val="00AC513F"/>
    <w:rsid w:val="00AC5302"/>
    <w:rsid w:val="00AC55C0"/>
    <w:rsid w:val="00AC5C07"/>
    <w:rsid w:val="00AC5E39"/>
    <w:rsid w:val="00AC713C"/>
    <w:rsid w:val="00AC7A52"/>
    <w:rsid w:val="00AC7CF1"/>
    <w:rsid w:val="00AC7D79"/>
    <w:rsid w:val="00AD00E8"/>
    <w:rsid w:val="00AD02A0"/>
    <w:rsid w:val="00AD04B6"/>
    <w:rsid w:val="00AD0617"/>
    <w:rsid w:val="00AD0BA8"/>
    <w:rsid w:val="00AD1089"/>
    <w:rsid w:val="00AD1435"/>
    <w:rsid w:val="00AD15A7"/>
    <w:rsid w:val="00AD191F"/>
    <w:rsid w:val="00AD1DD4"/>
    <w:rsid w:val="00AD2173"/>
    <w:rsid w:val="00AD2586"/>
    <w:rsid w:val="00AD2691"/>
    <w:rsid w:val="00AD2772"/>
    <w:rsid w:val="00AD28EF"/>
    <w:rsid w:val="00AD294A"/>
    <w:rsid w:val="00AD31E8"/>
    <w:rsid w:val="00AD405E"/>
    <w:rsid w:val="00AD42EC"/>
    <w:rsid w:val="00AD4432"/>
    <w:rsid w:val="00AD45ED"/>
    <w:rsid w:val="00AD4672"/>
    <w:rsid w:val="00AD56FF"/>
    <w:rsid w:val="00AD5AD0"/>
    <w:rsid w:val="00AD5B82"/>
    <w:rsid w:val="00AD5CCD"/>
    <w:rsid w:val="00AD6216"/>
    <w:rsid w:val="00AD6769"/>
    <w:rsid w:val="00AD6B97"/>
    <w:rsid w:val="00AD6E66"/>
    <w:rsid w:val="00AD6EEB"/>
    <w:rsid w:val="00AD6F5F"/>
    <w:rsid w:val="00AD71A5"/>
    <w:rsid w:val="00AD7661"/>
    <w:rsid w:val="00AD7677"/>
    <w:rsid w:val="00AD782F"/>
    <w:rsid w:val="00AD7D6D"/>
    <w:rsid w:val="00AD7F11"/>
    <w:rsid w:val="00AE0214"/>
    <w:rsid w:val="00AE0642"/>
    <w:rsid w:val="00AE081A"/>
    <w:rsid w:val="00AE099A"/>
    <w:rsid w:val="00AE0E94"/>
    <w:rsid w:val="00AE13E9"/>
    <w:rsid w:val="00AE140E"/>
    <w:rsid w:val="00AE156B"/>
    <w:rsid w:val="00AE1808"/>
    <w:rsid w:val="00AE1BEB"/>
    <w:rsid w:val="00AE2100"/>
    <w:rsid w:val="00AE2114"/>
    <w:rsid w:val="00AE2125"/>
    <w:rsid w:val="00AE226B"/>
    <w:rsid w:val="00AE2AB6"/>
    <w:rsid w:val="00AE2D50"/>
    <w:rsid w:val="00AE2E6F"/>
    <w:rsid w:val="00AE3082"/>
    <w:rsid w:val="00AE3E2F"/>
    <w:rsid w:val="00AE41B7"/>
    <w:rsid w:val="00AE4643"/>
    <w:rsid w:val="00AE46F8"/>
    <w:rsid w:val="00AE4767"/>
    <w:rsid w:val="00AE4CB6"/>
    <w:rsid w:val="00AE5410"/>
    <w:rsid w:val="00AE569E"/>
    <w:rsid w:val="00AE5927"/>
    <w:rsid w:val="00AE5B11"/>
    <w:rsid w:val="00AE5F50"/>
    <w:rsid w:val="00AE5F8C"/>
    <w:rsid w:val="00AE650E"/>
    <w:rsid w:val="00AE6750"/>
    <w:rsid w:val="00AE6D77"/>
    <w:rsid w:val="00AE6E15"/>
    <w:rsid w:val="00AE7204"/>
    <w:rsid w:val="00AE7298"/>
    <w:rsid w:val="00AE7B54"/>
    <w:rsid w:val="00AE7DEF"/>
    <w:rsid w:val="00AF00A2"/>
    <w:rsid w:val="00AF00F6"/>
    <w:rsid w:val="00AF094B"/>
    <w:rsid w:val="00AF0BD4"/>
    <w:rsid w:val="00AF0C3B"/>
    <w:rsid w:val="00AF177B"/>
    <w:rsid w:val="00AF1B02"/>
    <w:rsid w:val="00AF1CDC"/>
    <w:rsid w:val="00AF1DA9"/>
    <w:rsid w:val="00AF216B"/>
    <w:rsid w:val="00AF22B8"/>
    <w:rsid w:val="00AF22E5"/>
    <w:rsid w:val="00AF232F"/>
    <w:rsid w:val="00AF23DC"/>
    <w:rsid w:val="00AF243A"/>
    <w:rsid w:val="00AF2644"/>
    <w:rsid w:val="00AF27CF"/>
    <w:rsid w:val="00AF2A12"/>
    <w:rsid w:val="00AF2DF4"/>
    <w:rsid w:val="00AF2E7B"/>
    <w:rsid w:val="00AF31CB"/>
    <w:rsid w:val="00AF3273"/>
    <w:rsid w:val="00AF37B2"/>
    <w:rsid w:val="00AF387F"/>
    <w:rsid w:val="00AF3887"/>
    <w:rsid w:val="00AF4012"/>
    <w:rsid w:val="00AF44D9"/>
    <w:rsid w:val="00AF4EB3"/>
    <w:rsid w:val="00AF5184"/>
    <w:rsid w:val="00AF5951"/>
    <w:rsid w:val="00AF59D3"/>
    <w:rsid w:val="00AF5AAE"/>
    <w:rsid w:val="00AF5F38"/>
    <w:rsid w:val="00AF5F85"/>
    <w:rsid w:val="00AF6025"/>
    <w:rsid w:val="00AF6458"/>
    <w:rsid w:val="00AF65B8"/>
    <w:rsid w:val="00AF68F9"/>
    <w:rsid w:val="00AF6ABB"/>
    <w:rsid w:val="00AF6AD8"/>
    <w:rsid w:val="00AF7020"/>
    <w:rsid w:val="00AF70A8"/>
    <w:rsid w:val="00AF7AD0"/>
    <w:rsid w:val="00AF7BD7"/>
    <w:rsid w:val="00AF7C57"/>
    <w:rsid w:val="00B0032A"/>
    <w:rsid w:val="00B00379"/>
    <w:rsid w:val="00B008A3"/>
    <w:rsid w:val="00B00911"/>
    <w:rsid w:val="00B00A71"/>
    <w:rsid w:val="00B00F1F"/>
    <w:rsid w:val="00B019D0"/>
    <w:rsid w:val="00B01E29"/>
    <w:rsid w:val="00B01E7E"/>
    <w:rsid w:val="00B022A2"/>
    <w:rsid w:val="00B023E6"/>
    <w:rsid w:val="00B02C39"/>
    <w:rsid w:val="00B035B9"/>
    <w:rsid w:val="00B03E62"/>
    <w:rsid w:val="00B03F0B"/>
    <w:rsid w:val="00B04193"/>
    <w:rsid w:val="00B044E6"/>
    <w:rsid w:val="00B046DD"/>
    <w:rsid w:val="00B046DF"/>
    <w:rsid w:val="00B04870"/>
    <w:rsid w:val="00B05099"/>
    <w:rsid w:val="00B050FA"/>
    <w:rsid w:val="00B05356"/>
    <w:rsid w:val="00B060E4"/>
    <w:rsid w:val="00B06496"/>
    <w:rsid w:val="00B06E7A"/>
    <w:rsid w:val="00B07122"/>
    <w:rsid w:val="00B07375"/>
    <w:rsid w:val="00B07715"/>
    <w:rsid w:val="00B07756"/>
    <w:rsid w:val="00B0799B"/>
    <w:rsid w:val="00B07F0E"/>
    <w:rsid w:val="00B1047F"/>
    <w:rsid w:val="00B10C10"/>
    <w:rsid w:val="00B10DCB"/>
    <w:rsid w:val="00B112B8"/>
    <w:rsid w:val="00B11AA0"/>
    <w:rsid w:val="00B11B09"/>
    <w:rsid w:val="00B11CF5"/>
    <w:rsid w:val="00B11F6E"/>
    <w:rsid w:val="00B11FE1"/>
    <w:rsid w:val="00B129FC"/>
    <w:rsid w:val="00B12D6E"/>
    <w:rsid w:val="00B12E6B"/>
    <w:rsid w:val="00B12E9B"/>
    <w:rsid w:val="00B12EA0"/>
    <w:rsid w:val="00B1314B"/>
    <w:rsid w:val="00B13520"/>
    <w:rsid w:val="00B1384A"/>
    <w:rsid w:val="00B13932"/>
    <w:rsid w:val="00B13987"/>
    <w:rsid w:val="00B13C29"/>
    <w:rsid w:val="00B13EBA"/>
    <w:rsid w:val="00B141AF"/>
    <w:rsid w:val="00B142D0"/>
    <w:rsid w:val="00B14317"/>
    <w:rsid w:val="00B1445C"/>
    <w:rsid w:val="00B1470D"/>
    <w:rsid w:val="00B15038"/>
    <w:rsid w:val="00B151B1"/>
    <w:rsid w:val="00B15280"/>
    <w:rsid w:val="00B1569C"/>
    <w:rsid w:val="00B15848"/>
    <w:rsid w:val="00B15A42"/>
    <w:rsid w:val="00B15AF3"/>
    <w:rsid w:val="00B15D5C"/>
    <w:rsid w:val="00B15E10"/>
    <w:rsid w:val="00B16230"/>
    <w:rsid w:val="00B167F5"/>
    <w:rsid w:val="00B169CF"/>
    <w:rsid w:val="00B16C8D"/>
    <w:rsid w:val="00B16E44"/>
    <w:rsid w:val="00B170E2"/>
    <w:rsid w:val="00B172F1"/>
    <w:rsid w:val="00B1772C"/>
    <w:rsid w:val="00B17F73"/>
    <w:rsid w:val="00B20763"/>
    <w:rsid w:val="00B20795"/>
    <w:rsid w:val="00B20912"/>
    <w:rsid w:val="00B20A16"/>
    <w:rsid w:val="00B20A9A"/>
    <w:rsid w:val="00B20E10"/>
    <w:rsid w:val="00B21512"/>
    <w:rsid w:val="00B21A17"/>
    <w:rsid w:val="00B21B61"/>
    <w:rsid w:val="00B21D77"/>
    <w:rsid w:val="00B22043"/>
    <w:rsid w:val="00B22577"/>
    <w:rsid w:val="00B22875"/>
    <w:rsid w:val="00B22FC8"/>
    <w:rsid w:val="00B22FD8"/>
    <w:rsid w:val="00B2312F"/>
    <w:rsid w:val="00B23161"/>
    <w:rsid w:val="00B231D9"/>
    <w:rsid w:val="00B23714"/>
    <w:rsid w:val="00B23A95"/>
    <w:rsid w:val="00B23B78"/>
    <w:rsid w:val="00B23EBD"/>
    <w:rsid w:val="00B23FDC"/>
    <w:rsid w:val="00B245BD"/>
    <w:rsid w:val="00B24870"/>
    <w:rsid w:val="00B24985"/>
    <w:rsid w:val="00B24B3D"/>
    <w:rsid w:val="00B24B8F"/>
    <w:rsid w:val="00B24D5B"/>
    <w:rsid w:val="00B25885"/>
    <w:rsid w:val="00B261B2"/>
    <w:rsid w:val="00B263C9"/>
    <w:rsid w:val="00B26F31"/>
    <w:rsid w:val="00B274A6"/>
    <w:rsid w:val="00B278F3"/>
    <w:rsid w:val="00B2797F"/>
    <w:rsid w:val="00B27C99"/>
    <w:rsid w:val="00B27CEA"/>
    <w:rsid w:val="00B305CC"/>
    <w:rsid w:val="00B30942"/>
    <w:rsid w:val="00B30A5A"/>
    <w:rsid w:val="00B30CD4"/>
    <w:rsid w:val="00B30EBC"/>
    <w:rsid w:val="00B311F3"/>
    <w:rsid w:val="00B31831"/>
    <w:rsid w:val="00B31AE2"/>
    <w:rsid w:val="00B31ED9"/>
    <w:rsid w:val="00B3205C"/>
    <w:rsid w:val="00B32506"/>
    <w:rsid w:val="00B32881"/>
    <w:rsid w:val="00B331CD"/>
    <w:rsid w:val="00B3321E"/>
    <w:rsid w:val="00B334D4"/>
    <w:rsid w:val="00B33599"/>
    <w:rsid w:val="00B336C5"/>
    <w:rsid w:val="00B337C1"/>
    <w:rsid w:val="00B33A9E"/>
    <w:rsid w:val="00B33E11"/>
    <w:rsid w:val="00B34535"/>
    <w:rsid w:val="00B34ACE"/>
    <w:rsid w:val="00B3554C"/>
    <w:rsid w:val="00B359E9"/>
    <w:rsid w:val="00B35B20"/>
    <w:rsid w:val="00B35DF3"/>
    <w:rsid w:val="00B36154"/>
    <w:rsid w:val="00B364EA"/>
    <w:rsid w:val="00B36C4B"/>
    <w:rsid w:val="00B36E97"/>
    <w:rsid w:val="00B36EB4"/>
    <w:rsid w:val="00B36F5C"/>
    <w:rsid w:val="00B37686"/>
    <w:rsid w:val="00B37C11"/>
    <w:rsid w:val="00B37CEB"/>
    <w:rsid w:val="00B401D9"/>
    <w:rsid w:val="00B40296"/>
    <w:rsid w:val="00B414A6"/>
    <w:rsid w:val="00B4164C"/>
    <w:rsid w:val="00B4175E"/>
    <w:rsid w:val="00B41A9A"/>
    <w:rsid w:val="00B42F32"/>
    <w:rsid w:val="00B4390F"/>
    <w:rsid w:val="00B43A38"/>
    <w:rsid w:val="00B43AD1"/>
    <w:rsid w:val="00B44032"/>
    <w:rsid w:val="00B441B5"/>
    <w:rsid w:val="00B4482F"/>
    <w:rsid w:val="00B450BD"/>
    <w:rsid w:val="00B450EA"/>
    <w:rsid w:val="00B451E0"/>
    <w:rsid w:val="00B463D3"/>
    <w:rsid w:val="00B465AF"/>
    <w:rsid w:val="00B46789"/>
    <w:rsid w:val="00B46A4E"/>
    <w:rsid w:val="00B46BCC"/>
    <w:rsid w:val="00B46C64"/>
    <w:rsid w:val="00B473F5"/>
    <w:rsid w:val="00B47482"/>
    <w:rsid w:val="00B4749D"/>
    <w:rsid w:val="00B47860"/>
    <w:rsid w:val="00B5004F"/>
    <w:rsid w:val="00B50051"/>
    <w:rsid w:val="00B506FF"/>
    <w:rsid w:val="00B50D5F"/>
    <w:rsid w:val="00B51B64"/>
    <w:rsid w:val="00B51B7E"/>
    <w:rsid w:val="00B51D9D"/>
    <w:rsid w:val="00B51E2F"/>
    <w:rsid w:val="00B52153"/>
    <w:rsid w:val="00B526DC"/>
    <w:rsid w:val="00B52818"/>
    <w:rsid w:val="00B52D38"/>
    <w:rsid w:val="00B537D9"/>
    <w:rsid w:val="00B5398F"/>
    <w:rsid w:val="00B5508F"/>
    <w:rsid w:val="00B55353"/>
    <w:rsid w:val="00B55366"/>
    <w:rsid w:val="00B55658"/>
    <w:rsid w:val="00B55D82"/>
    <w:rsid w:val="00B569E8"/>
    <w:rsid w:val="00B56EDE"/>
    <w:rsid w:val="00B576A4"/>
    <w:rsid w:val="00B57780"/>
    <w:rsid w:val="00B57909"/>
    <w:rsid w:val="00B57F35"/>
    <w:rsid w:val="00B601D2"/>
    <w:rsid w:val="00B60382"/>
    <w:rsid w:val="00B60488"/>
    <w:rsid w:val="00B60984"/>
    <w:rsid w:val="00B60AC5"/>
    <w:rsid w:val="00B60BD2"/>
    <w:rsid w:val="00B6102C"/>
    <w:rsid w:val="00B61127"/>
    <w:rsid w:val="00B613B2"/>
    <w:rsid w:val="00B616EF"/>
    <w:rsid w:val="00B61A05"/>
    <w:rsid w:val="00B61AEE"/>
    <w:rsid w:val="00B62488"/>
    <w:rsid w:val="00B6262B"/>
    <w:rsid w:val="00B6289B"/>
    <w:rsid w:val="00B62ACA"/>
    <w:rsid w:val="00B62C31"/>
    <w:rsid w:val="00B63231"/>
    <w:rsid w:val="00B6339E"/>
    <w:rsid w:val="00B63451"/>
    <w:rsid w:val="00B6384F"/>
    <w:rsid w:val="00B63947"/>
    <w:rsid w:val="00B639F0"/>
    <w:rsid w:val="00B63B2F"/>
    <w:rsid w:val="00B63D06"/>
    <w:rsid w:val="00B63FEA"/>
    <w:rsid w:val="00B6473F"/>
    <w:rsid w:val="00B64B81"/>
    <w:rsid w:val="00B6505B"/>
    <w:rsid w:val="00B652FB"/>
    <w:rsid w:val="00B6567A"/>
    <w:rsid w:val="00B6614C"/>
    <w:rsid w:val="00B6624D"/>
    <w:rsid w:val="00B66260"/>
    <w:rsid w:val="00B66597"/>
    <w:rsid w:val="00B665AC"/>
    <w:rsid w:val="00B667F9"/>
    <w:rsid w:val="00B66A02"/>
    <w:rsid w:val="00B66C63"/>
    <w:rsid w:val="00B66EC9"/>
    <w:rsid w:val="00B66F02"/>
    <w:rsid w:val="00B66FD2"/>
    <w:rsid w:val="00B67017"/>
    <w:rsid w:val="00B67B3C"/>
    <w:rsid w:val="00B67D69"/>
    <w:rsid w:val="00B67D90"/>
    <w:rsid w:val="00B70128"/>
    <w:rsid w:val="00B7085D"/>
    <w:rsid w:val="00B70E58"/>
    <w:rsid w:val="00B70E5D"/>
    <w:rsid w:val="00B7103A"/>
    <w:rsid w:val="00B7163E"/>
    <w:rsid w:val="00B7196F"/>
    <w:rsid w:val="00B71E74"/>
    <w:rsid w:val="00B7215C"/>
    <w:rsid w:val="00B725B5"/>
    <w:rsid w:val="00B727C7"/>
    <w:rsid w:val="00B72C98"/>
    <w:rsid w:val="00B72EA0"/>
    <w:rsid w:val="00B72EBF"/>
    <w:rsid w:val="00B736A8"/>
    <w:rsid w:val="00B739F2"/>
    <w:rsid w:val="00B73DB2"/>
    <w:rsid w:val="00B73DBA"/>
    <w:rsid w:val="00B73E3E"/>
    <w:rsid w:val="00B740A9"/>
    <w:rsid w:val="00B744B7"/>
    <w:rsid w:val="00B74C4B"/>
    <w:rsid w:val="00B74C64"/>
    <w:rsid w:val="00B74DA7"/>
    <w:rsid w:val="00B74E9F"/>
    <w:rsid w:val="00B74F17"/>
    <w:rsid w:val="00B753F6"/>
    <w:rsid w:val="00B758AE"/>
    <w:rsid w:val="00B764A1"/>
    <w:rsid w:val="00B7716B"/>
    <w:rsid w:val="00B7751E"/>
    <w:rsid w:val="00B7779C"/>
    <w:rsid w:val="00B778ED"/>
    <w:rsid w:val="00B77E77"/>
    <w:rsid w:val="00B77E9D"/>
    <w:rsid w:val="00B77EDD"/>
    <w:rsid w:val="00B800ED"/>
    <w:rsid w:val="00B80886"/>
    <w:rsid w:val="00B8098D"/>
    <w:rsid w:val="00B809AB"/>
    <w:rsid w:val="00B809B3"/>
    <w:rsid w:val="00B80A2F"/>
    <w:rsid w:val="00B80AFA"/>
    <w:rsid w:val="00B80D1D"/>
    <w:rsid w:val="00B811BC"/>
    <w:rsid w:val="00B811ED"/>
    <w:rsid w:val="00B8154E"/>
    <w:rsid w:val="00B8159E"/>
    <w:rsid w:val="00B81B9F"/>
    <w:rsid w:val="00B81F80"/>
    <w:rsid w:val="00B821F1"/>
    <w:rsid w:val="00B8242C"/>
    <w:rsid w:val="00B826C7"/>
    <w:rsid w:val="00B82952"/>
    <w:rsid w:val="00B82AC3"/>
    <w:rsid w:val="00B83348"/>
    <w:rsid w:val="00B83699"/>
    <w:rsid w:val="00B8397E"/>
    <w:rsid w:val="00B83EC6"/>
    <w:rsid w:val="00B84791"/>
    <w:rsid w:val="00B847D8"/>
    <w:rsid w:val="00B84AA1"/>
    <w:rsid w:val="00B84CF1"/>
    <w:rsid w:val="00B84FA6"/>
    <w:rsid w:val="00B85035"/>
    <w:rsid w:val="00B850B2"/>
    <w:rsid w:val="00B85121"/>
    <w:rsid w:val="00B85BDF"/>
    <w:rsid w:val="00B86990"/>
    <w:rsid w:val="00B86DF5"/>
    <w:rsid w:val="00B874AD"/>
    <w:rsid w:val="00B8756A"/>
    <w:rsid w:val="00B87E45"/>
    <w:rsid w:val="00B9013C"/>
    <w:rsid w:val="00B9023E"/>
    <w:rsid w:val="00B9039B"/>
    <w:rsid w:val="00B90562"/>
    <w:rsid w:val="00B90A69"/>
    <w:rsid w:val="00B90B1B"/>
    <w:rsid w:val="00B90C40"/>
    <w:rsid w:val="00B912E2"/>
    <w:rsid w:val="00B915A3"/>
    <w:rsid w:val="00B91A8C"/>
    <w:rsid w:val="00B91B71"/>
    <w:rsid w:val="00B91F3B"/>
    <w:rsid w:val="00B92531"/>
    <w:rsid w:val="00B926E7"/>
    <w:rsid w:val="00B928D7"/>
    <w:rsid w:val="00B92ACA"/>
    <w:rsid w:val="00B93595"/>
    <w:rsid w:val="00B93B57"/>
    <w:rsid w:val="00B93BBF"/>
    <w:rsid w:val="00B93C1F"/>
    <w:rsid w:val="00B94314"/>
    <w:rsid w:val="00B94683"/>
    <w:rsid w:val="00B94BB1"/>
    <w:rsid w:val="00B94CC5"/>
    <w:rsid w:val="00B94F19"/>
    <w:rsid w:val="00B95113"/>
    <w:rsid w:val="00B95252"/>
    <w:rsid w:val="00B9531F"/>
    <w:rsid w:val="00B955EE"/>
    <w:rsid w:val="00B9567C"/>
    <w:rsid w:val="00B95762"/>
    <w:rsid w:val="00B95DB7"/>
    <w:rsid w:val="00B96192"/>
    <w:rsid w:val="00B96295"/>
    <w:rsid w:val="00B965F8"/>
    <w:rsid w:val="00B96A65"/>
    <w:rsid w:val="00B974E8"/>
    <w:rsid w:val="00B9774F"/>
    <w:rsid w:val="00B97ADC"/>
    <w:rsid w:val="00BA0346"/>
    <w:rsid w:val="00BA03C5"/>
    <w:rsid w:val="00BA0A87"/>
    <w:rsid w:val="00BA124C"/>
    <w:rsid w:val="00BA1322"/>
    <w:rsid w:val="00BA17FA"/>
    <w:rsid w:val="00BA189D"/>
    <w:rsid w:val="00BA1995"/>
    <w:rsid w:val="00BA21FB"/>
    <w:rsid w:val="00BA24D0"/>
    <w:rsid w:val="00BA29E1"/>
    <w:rsid w:val="00BA338A"/>
    <w:rsid w:val="00BA374F"/>
    <w:rsid w:val="00BA3941"/>
    <w:rsid w:val="00BA3965"/>
    <w:rsid w:val="00BA4276"/>
    <w:rsid w:val="00BA4585"/>
    <w:rsid w:val="00BA474B"/>
    <w:rsid w:val="00BA48AC"/>
    <w:rsid w:val="00BA494F"/>
    <w:rsid w:val="00BA4B5D"/>
    <w:rsid w:val="00BA4DF3"/>
    <w:rsid w:val="00BA5069"/>
    <w:rsid w:val="00BA5344"/>
    <w:rsid w:val="00BA5B66"/>
    <w:rsid w:val="00BA5CE4"/>
    <w:rsid w:val="00BA604D"/>
    <w:rsid w:val="00BA6145"/>
    <w:rsid w:val="00BA645D"/>
    <w:rsid w:val="00BA685D"/>
    <w:rsid w:val="00BA6B21"/>
    <w:rsid w:val="00BA6B5A"/>
    <w:rsid w:val="00BA6EB6"/>
    <w:rsid w:val="00BA7402"/>
    <w:rsid w:val="00BA7AB7"/>
    <w:rsid w:val="00BAFF4F"/>
    <w:rsid w:val="00BB0086"/>
    <w:rsid w:val="00BB025A"/>
    <w:rsid w:val="00BB0271"/>
    <w:rsid w:val="00BB060E"/>
    <w:rsid w:val="00BB07C2"/>
    <w:rsid w:val="00BB0924"/>
    <w:rsid w:val="00BB1135"/>
    <w:rsid w:val="00BB1285"/>
    <w:rsid w:val="00BB13D8"/>
    <w:rsid w:val="00BB15C2"/>
    <w:rsid w:val="00BB18D4"/>
    <w:rsid w:val="00BB1CF1"/>
    <w:rsid w:val="00BB2389"/>
    <w:rsid w:val="00BB23B5"/>
    <w:rsid w:val="00BB24AA"/>
    <w:rsid w:val="00BB2EAD"/>
    <w:rsid w:val="00BB2EE8"/>
    <w:rsid w:val="00BB2F30"/>
    <w:rsid w:val="00BB3149"/>
    <w:rsid w:val="00BB329C"/>
    <w:rsid w:val="00BB340A"/>
    <w:rsid w:val="00BB345E"/>
    <w:rsid w:val="00BB35A3"/>
    <w:rsid w:val="00BB3669"/>
    <w:rsid w:val="00BB3892"/>
    <w:rsid w:val="00BB3911"/>
    <w:rsid w:val="00BB3F3F"/>
    <w:rsid w:val="00BB4064"/>
    <w:rsid w:val="00BB4275"/>
    <w:rsid w:val="00BB454E"/>
    <w:rsid w:val="00BB47CB"/>
    <w:rsid w:val="00BB4C99"/>
    <w:rsid w:val="00BB4E6B"/>
    <w:rsid w:val="00BB4F48"/>
    <w:rsid w:val="00BB543A"/>
    <w:rsid w:val="00BB5499"/>
    <w:rsid w:val="00BB5628"/>
    <w:rsid w:val="00BB5E6C"/>
    <w:rsid w:val="00BB5E6D"/>
    <w:rsid w:val="00BB620F"/>
    <w:rsid w:val="00BB63A4"/>
    <w:rsid w:val="00BB65BC"/>
    <w:rsid w:val="00BB67B9"/>
    <w:rsid w:val="00BB69AB"/>
    <w:rsid w:val="00BB7904"/>
    <w:rsid w:val="00BC0244"/>
    <w:rsid w:val="00BC03DE"/>
    <w:rsid w:val="00BC04F8"/>
    <w:rsid w:val="00BC1332"/>
    <w:rsid w:val="00BC13E5"/>
    <w:rsid w:val="00BC157C"/>
    <w:rsid w:val="00BC17EC"/>
    <w:rsid w:val="00BC1B35"/>
    <w:rsid w:val="00BC1C87"/>
    <w:rsid w:val="00BC1D20"/>
    <w:rsid w:val="00BC1E9A"/>
    <w:rsid w:val="00BC2249"/>
    <w:rsid w:val="00BC26C1"/>
    <w:rsid w:val="00BC315B"/>
    <w:rsid w:val="00BC3794"/>
    <w:rsid w:val="00BC3BF1"/>
    <w:rsid w:val="00BC4F7F"/>
    <w:rsid w:val="00BC5225"/>
    <w:rsid w:val="00BC5455"/>
    <w:rsid w:val="00BC563E"/>
    <w:rsid w:val="00BC5647"/>
    <w:rsid w:val="00BC58E2"/>
    <w:rsid w:val="00BC5C3B"/>
    <w:rsid w:val="00BC622F"/>
    <w:rsid w:val="00BC698C"/>
    <w:rsid w:val="00BC6ADD"/>
    <w:rsid w:val="00BC6D32"/>
    <w:rsid w:val="00BC6FBA"/>
    <w:rsid w:val="00BC71E3"/>
    <w:rsid w:val="00BC7243"/>
    <w:rsid w:val="00BC7636"/>
    <w:rsid w:val="00BC7A0C"/>
    <w:rsid w:val="00BC7A31"/>
    <w:rsid w:val="00BD0F6E"/>
    <w:rsid w:val="00BD0FF4"/>
    <w:rsid w:val="00BD13F9"/>
    <w:rsid w:val="00BD161B"/>
    <w:rsid w:val="00BD1DF4"/>
    <w:rsid w:val="00BD1F89"/>
    <w:rsid w:val="00BD24B6"/>
    <w:rsid w:val="00BD2756"/>
    <w:rsid w:val="00BD28A2"/>
    <w:rsid w:val="00BD308F"/>
    <w:rsid w:val="00BD33C8"/>
    <w:rsid w:val="00BD3907"/>
    <w:rsid w:val="00BD39D9"/>
    <w:rsid w:val="00BD3B22"/>
    <w:rsid w:val="00BD3DC7"/>
    <w:rsid w:val="00BD4194"/>
    <w:rsid w:val="00BD685D"/>
    <w:rsid w:val="00BD71F4"/>
    <w:rsid w:val="00BD77C4"/>
    <w:rsid w:val="00BD7B99"/>
    <w:rsid w:val="00BE0267"/>
    <w:rsid w:val="00BE02B8"/>
    <w:rsid w:val="00BE0300"/>
    <w:rsid w:val="00BE0839"/>
    <w:rsid w:val="00BE0DB8"/>
    <w:rsid w:val="00BE1031"/>
    <w:rsid w:val="00BE107A"/>
    <w:rsid w:val="00BE10CB"/>
    <w:rsid w:val="00BE1436"/>
    <w:rsid w:val="00BE14AA"/>
    <w:rsid w:val="00BE1518"/>
    <w:rsid w:val="00BE1737"/>
    <w:rsid w:val="00BE1EDE"/>
    <w:rsid w:val="00BE2273"/>
    <w:rsid w:val="00BE2B94"/>
    <w:rsid w:val="00BE3240"/>
    <w:rsid w:val="00BE3250"/>
    <w:rsid w:val="00BE4C57"/>
    <w:rsid w:val="00BE4EAB"/>
    <w:rsid w:val="00BE56FC"/>
    <w:rsid w:val="00BE5C7C"/>
    <w:rsid w:val="00BE5E9E"/>
    <w:rsid w:val="00BE725B"/>
    <w:rsid w:val="00BE7370"/>
    <w:rsid w:val="00BE765C"/>
    <w:rsid w:val="00BE7C0A"/>
    <w:rsid w:val="00BF0417"/>
    <w:rsid w:val="00BF04AB"/>
    <w:rsid w:val="00BF0B97"/>
    <w:rsid w:val="00BF0DCF"/>
    <w:rsid w:val="00BF10D7"/>
    <w:rsid w:val="00BF185A"/>
    <w:rsid w:val="00BF1EB4"/>
    <w:rsid w:val="00BF2097"/>
    <w:rsid w:val="00BF2445"/>
    <w:rsid w:val="00BF2677"/>
    <w:rsid w:val="00BF26AF"/>
    <w:rsid w:val="00BF2A41"/>
    <w:rsid w:val="00BF2DCF"/>
    <w:rsid w:val="00BF2F58"/>
    <w:rsid w:val="00BF3394"/>
    <w:rsid w:val="00BF402D"/>
    <w:rsid w:val="00BF40C9"/>
    <w:rsid w:val="00BF40EC"/>
    <w:rsid w:val="00BF42DF"/>
    <w:rsid w:val="00BF434F"/>
    <w:rsid w:val="00BF4541"/>
    <w:rsid w:val="00BF49BD"/>
    <w:rsid w:val="00BF4C1B"/>
    <w:rsid w:val="00BF4DAB"/>
    <w:rsid w:val="00BF59CF"/>
    <w:rsid w:val="00BF59DC"/>
    <w:rsid w:val="00BF5DE0"/>
    <w:rsid w:val="00BF5E7F"/>
    <w:rsid w:val="00BF60B6"/>
    <w:rsid w:val="00BF630D"/>
    <w:rsid w:val="00BF649B"/>
    <w:rsid w:val="00BF6CAE"/>
    <w:rsid w:val="00BF6F02"/>
    <w:rsid w:val="00BF7081"/>
    <w:rsid w:val="00BF7132"/>
    <w:rsid w:val="00BF73D2"/>
    <w:rsid w:val="00BF7568"/>
    <w:rsid w:val="00BF7941"/>
    <w:rsid w:val="00BF79BE"/>
    <w:rsid w:val="00BF7C20"/>
    <w:rsid w:val="00BF7F25"/>
    <w:rsid w:val="00BFD1B2"/>
    <w:rsid w:val="00C0000B"/>
    <w:rsid w:val="00C003F8"/>
    <w:rsid w:val="00C00593"/>
    <w:rsid w:val="00C00681"/>
    <w:rsid w:val="00C007E5"/>
    <w:rsid w:val="00C0107A"/>
    <w:rsid w:val="00C01761"/>
    <w:rsid w:val="00C01C5F"/>
    <w:rsid w:val="00C01E9E"/>
    <w:rsid w:val="00C01FAF"/>
    <w:rsid w:val="00C02F11"/>
    <w:rsid w:val="00C02F45"/>
    <w:rsid w:val="00C03080"/>
    <w:rsid w:val="00C03368"/>
    <w:rsid w:val="00C037AC"/>
    <w:rsid w:val="00C03CC8"/>
    <w:rsid w:val="00C03DD7"/>
    <w:rsid w:val="00C03EDB"/>
    <w:rsid w:val="00C04B63"/>
    <w:rsid w:val="00C04C4F"/>
    <w:rsid w:val="00C04CE9"/>
    <w:rsid w:val="00C05D00"/>
    <w:rsid w:val="00C05E30"/>
    <w:rsid w:val="00C05F87"/>
    <w:rsid w:val="00C06CA6"/>
    <w:rsid w:val="00C0709F"/>
    <w:rsid w:val="00C07279"/>
    <w:rsid w:val="00C07359"/>
    <w:rsid w:val="00C07481"/>
    <w:rsid w:val="00C07483"/>
    <w:rsid w:val="00C07E37"/>
    <w:rsid w:val="00C1054F"/>
    <w:rsid w:val="00C105B0"/>
    <w:rsid w:val="00C105C5"/>
    <w:rsid w:val="00C10E1A"/>
    <w:rsid w:val="00C11277"/>
    <w:rsid w:val="00C113FA"/>
    <w:rsid w:val="00C116D7"/>
    <w:rsid w:val="00C116FB"/>
    <w:rsid w:val="00C1176A"/>
    <w:rsid w:val="00C117E2"/>
    <w:rsid w:val="00C11BB6"/>
    <w:rsid w:val="00C12301"/>
    <w:rsid w:val="00C124D1"/>
    <w:rsid w:val="00C12747"/>
    <w:rsid w:val="00C12899"/>
    <w:rsid w:val="00C12BAC"/>
    <w:rsid w:val="00C12FD6"/>
    <w:rsid w:val="00C132C0"/>
    <w:rsid w:val="00C139C2"/>
    <w:rsid w:val="00C13AB1"/>
    <w:rsid w:val="00C13BE4"/>
    <w:rsid w:val="00C1474F"/>
    <w:rsid w:val="00C147AF"/>
    <w:rsid w:val="00C14856"/>
    <w:rsid w:val="00C14BB3"/>
    <w:rsid w:val="00C15198"/>
    <w:rsid w:val="00C15644"/>
    <w:rsid w:val="00C15694"/>
    <w:rsid w:val="00C156D8"/>
    <w:rsid w:val="00C16075"/>
    <w:rsid w:val="00C1633E"/>
    <w:rsid w:val="00C16545"/>
    <w:rsid w:val="00C16557"/>
    <w:rsid w:val="00C16570"/>
    <w:rsid w:val="00C166C8"/>
    <w:rsid w:val="00C167DC"/>
    <w:rsid w:val="00C1719B"/>
    <w:rsid w:val="00C17621"/>
    <w:rsid w:val="00C17A5F"/>
    <w:rsid w:val="00C2018F"/>
    <w:rsid w:val="00C203E4"/>
    <w:rsid w:val="00C2048D"/>
    <w:rsid w:val="00C2051B"/>
    <w:rsid w:val="00C20710"/>
    <w:rsid w:val="00C20962"/>
    <w:rsid w:val="00C20C1F"/>
    <w:rsid w:val="00C2182E"/>
    <w:rsid w:val="00C219D5"/>
    <w:rsid w:val="00C22066"/>
    <w:rsid w:val="00C2232D"/>
    <w:rsid w:val="00C22362"/>
    <w:rsid w:val="00C228E6"/>
    <w:rsid w:val="00C2413E"/>
    <w:rsid w:val="00C248BC"/>
    <w:rsid w:val="00C24D45"/>
    <w:rsid w:val="00C24F21"/>
    <w:rsid w:val="00C24FDC"/>
    <w:rsid w:val="00C252A8"/>
    <w:rsid w:val="00C252BA"/>
    <w:rsid w:val="00C25376"/>
    <w:rsid w:val="00C2557C"/>
    <w:rsid w:val="00C25E2F"/>
    <w:rsid w:val="00C25E72"/>
    <w:rsid w:val="00C26058"/>
    <w:rsid w:val="00C2674D"/>
    <w:rsid w:val="00C26BDB"/>
    <w:rsid w:val="00C27750"/>
    <w:rsid w:val="00C27937"/>
    <w:rsid w:val="00C279EC"/>
    <w:rsid w:val="00C27BED"/>
    <w:rsid w:val="00C27CFF"/>
    <w:rsid w:val="00C27F8C"/>
    <w:rsid w:val="00C30656"/>
    <w:rsid w:val="00C30A1A"/>
    <w:rsid w:val="00C30BAA"/>
    <w:rsid w:val="00C30CBA"/>
    <w:rsid w:val="00C31299"/>
    <w:rsid w:val="00C31375"/>
    <w:rsid w:val="00C31CF1"/>
    <w:rsid w:val="00C321E3"/>
    <w:rsid w:val="00C32500"/>
    <w:rsid w:val="00C32B3D"/>
    <w:rsid w:val="00C3313F"/>
    <w:rsid w:val="00C33144"/>
    <w:rsid w:val="00C33308"/>
    <w:rsid w:val="00C33578"/>
    <w:rsid w:val="00C338E1"/>
    <w:rsid w:val="00C33936"/>
    <w:rsid w:val="00C33CEC"/>
    <w:rsid w:val="00C34015"/>
    <w:rsid w:val="00C341CA"/>
    <w:rsid w:val="00C3450F"/>
    <w:rsid w:val="00C34620"/>
    <w:rsid w:val="00C3483C"/>
    <w:rsid w:val="00C34C7A"/>
    <w:rsid w:val="00C3526C"/>
    <w:rsid w:val="00C35504"/>
    <w:rsid w:val="00C36B97"/>
    <w:rsid w:val="00C36CE6"/>
    <w:rsid w:val="00C36E3F"/>
    <w:rsid w:val="00C37169"/>
    <w:rsid w:val="00C374E9"/>
    <w:rsid w:val="00C37FE0"/>
    <w:rsid w:val="00C404B6"/>
    <w:rsid w:val="00C40808"/>
    <w:rsid w:val="00C40E5E"/>
    <w:rsid w:val="00C4131F"/>
    <w:rsid w:val="00C417A2"/>
    <w:rsid w:val="00C41BE5"/>
    <w:rsid w:val="00C41D3D"/>
    <w:rsid w:val="00C4244C"/>
    <w:rsid w:val="00C426B9"/>
    <w:rsid w:val="00C427B8"/>
    <w:rsid w:val="00C43288"/>
    <w:rsid w:val="00C4341B"/>
    <w:rsid w:val="00C439AE"/>
    <w:rsid w:val="00C44485"/>
    <w:rsid w:val="00C446D8"/>
    <w:rsid w:val="00C44746"/>
    <w:rsid w:val="00C44994"/>
    <w:rsid w:val="00C449FE"/>
    <w:rsid w:val="00C44F9A"/>
    <w:rsid w:val="00C450FC"/>
    <w:rsid w:val="00C4527A"/>
    <w:rsid w:val="00C453BB"/>
    <w:rsid w:val="00C45666"/>
    <w:rsid w:val="00C459DE"/>
    <w:rsid w:val="00C45FD7"/>
    <w:rsid w:val="00C462A7"/>
    <w:rsid w:val="00C46411"/>
    <w:rsid w:val="00C4643F"/>
    <w:rsid w:val="00C46E3C"/>
    <w:rsid w:val="00C46F79"/>
    <w:rsid w:val="00C479DB"/>
    <w:rsid w:val="00C47C68"/>
    <w:rsid w:val="00C47E83"/>
    <w:rsid w:val="00C50203"/>
    <w:rsid w:val="00C505EF"/>
    <w:rsid w:val="00C50753"/>
    <w:rsid w:val="00C50D6F"/>
    <w:rsid w:val="00C511E0"/>
    <w:rsid w:val="00C51234"/>
    <w:rsid w:val="00C5141F"/>
    <w:rsid w:val="00C51B25"/>
    <w:rsid w:val="00C51D39"/>
    <w:rsid w:val="00C51F69"/>
    <w:rsid w:val="00C5212E"/>
    <w:rsid w:val="00C5224D"/>
    <w:rsid w:val="00C52471"/>
    <w:rsid w:val="00C52BC9"/>
    <w:rsid w:val="00C52D88"/>
    <w:rsid w:val="00C52F8D"/>
    <w:rsid w:val="00C5370F"/>
    <w:rsid w:val="00C53710"/>
    <w:rsid w:val="00C539B6"/>
    <w:rsid w:val="00C53CBE"/>
    <w:rsid w:val="00C53E54"/>
    <w:rsid w:val="00C5466D"/>
    <w:rsid w:val="00C54AC0"/>
    <w:rsid w:val="00C54EE7"/>
    <w:rsid w:val="00C54F32"/>
    <w:rsid w:val="00C55238"/>
    <w:rsid w:val="00C553B7"/>
    <w:rsid w:val="00C5572D"/>
    <w:rsid w:val="00C561A8"/>
    <w:rsid w:val="00C563CC"/>
    <w:rsid w:val="00C565C8"/>
    <w:rsid w:val="00C56A38"/>
    <w:rsid w:val="00C56C34"/>
    <w:rsid w:val="00C57323"/>
    <w:rsid w:val="00C573BF"/>
    <w:rsid w:val="00C5741A"/>
    <w:rsid w:val="00C57989"/>
    <w:rsid w:val="00C603F2"/>
    <w:rsid w:val="00C60474"/>
    <w:rsid w:val="00C60756"/>
    <w:rsid w:val="00C6185A"/>
    <w:rsid w:val="00C61CC2"/>
    <w:rsid w:val="00C62082"/>
    <w:rsid w:val="00C62180"/>
    <w:rsid w:val="00C62436"/>
    <w:rsid w:val="00C627BD"/>
    <w:rsid w:val="00C628D7"/>
    <w:rsid w:val="00C62B1E"/>
    <w:rsid w:val="00C62D08"/>
    <w:rsid w:val="00C63386"/>
    <w:rsid w:val="00C637C5"/>
    <w:rsid w:val="00C63C0A"/>
    <w:rsid w:val="00C63D59"/>
    <w:rsid w:val="00C63F77"/>
    <w:rsid w:val="00C64EB1"/>
    <w:rsid w:val="00C65063"/>
    <w:rsid w:val="00C6510B"/>
    <w:rsid w:val="00C656DC"/>
    <w:rsid w:val="00C65811"/>
    <w:rsid w:val="00C65AF6"/>
    <w:rsid w:val="00C66187"/>
    <w:rsid w:val="00C661A3"/>
    <w:rsid w:val="00C6635B"/>
    <w:rsid w:val="00C66740"/>
    <w:rsid w:val="00C6698A"/>
    <w:rsid w:val="00C669DF"/>
    <w:rsid w:val="00C66DCD"/>
    <w:rsid w:val="00C67FD1"/>
    <w:rsid w:val="00C7084E"/>
    <w:rsid w:val="00C70A63"/>
    <w:rsid w:val="00C70CAF"/>
    <w:rsid w:val="00C71083"/>
    <w:rsid w:val="00C71133"/>
    <w:rsid w:val="00C719BF"/>
    <w:rsid w:val="00C71C5F"/>
    <w:rsid w:val="00C71FD0"/>
    <w:rsid w:val="00C72025"/>
    <w:rsid w:val="00C72034"/>
    <w:rsid w:val="00C722EE"/>
    <w:rsid w:val="00C725C8"/>
    <w:rsid w:val="00C72B5A"/>
    <w:rsid w:val="00C72BCA"/>
    <w:rsid w:val="00C72D59"/>
    <w:rsid w:val="00C72EC5"/>
    <w:rsid w:val="00C738BF"/>
    <w:rsid w:val="00C73991"/>
    <w:rsid w:val="00C73A4E"/>
    <w:rsid w:val="00C73C09"/>
    <w:rsid w:val="00C73F68"/>
    <w:rsid w:val="00C74042"/>
    <w:rsid w:val="00C74049"/>
    <w:rsid w:val="00C7497D"/>
    <w:rsid w:val="00C74C40"/>
    <w:rsid w:val="00C74E76"/>
    <w:rsid w:val="00C7504C"/>
    <w:rsid w:val="00C751FC"/>
    <w:rsid w:val="00C75599"/>
    <w:rsid w:val="00C75EAB"/>
    <w:rsid w:val="00C764BC"/>
    <w:rsid w:val="00C765EF"/>
    <w:rsid w:val="00C76724"/>
    <w:rsid w:val="00C7680E"/>
    <w:rsid w:val="00C76E77"/>
    <w:rsid w:val="00C76FD6"/>
    <w:rsid w:val="00C771E3"/>
    <w:rsid w:val="00C77537"/>
    <w:rsid w:val="00C776B2"/>
    <w:rsid w:val="00C77E0A"/>
    <w:rsid w:val="00C77E18"/>
    <w:rsid w:val="00C8029E"/>
    <w:rsid w:val="00C8029F"/>
    <w:rsid w:val="00C803A0"/>
    <w:rsid w:val="00C80BC0"/>
    <w:rsid w:val="00C80BD3"/>
    <w:rsid w:val="00C81196"/>
    <w:rsid w:val="00C811A8"/>
    <w:rsid w:val="00C811ED"/>
    <w:rsid w:val="00C813ED"/>
    <w:rsid w:val="00C81523"/>
    <w:rsid w:val="00C81CC1"/>
    <w:rsid w:val="00C822B6"/>
    <w:rsid w:val="00C826AB"/>
    <w:rsid w:val="00C82C8C"/>
    <w:rsid w:val="00C82E7C"/>
    <w:rsid w:val="00C83B65"/>
    <w:rsid w:val="00C83F3F"/>
    <w:rsid w:val="00C84295"/>
    <w:rsid w:val="00C84A83"/>
    <w:rsid w:val="00C84EF1"/>
    <w:rsid w:val="00C84FC7"/>
    <w:rsid w:val="00C85022"/>
    <w:rsid w:val="00C853F6"/>
    <w:rsid w:val="00C85AD3"/>
    <w:rsid w:val="00C85C4C"/>
    <w:rsid w:val="00C85D26"/>
    <w:rsid w:val="00C863D8"/>
    <w:rsid w:val="00C87404"/>
    <w:rsid w:val="00C87F20"/>
    <w:rsid w:val="00C90530"/>
    <w:rsid w:val="00C90FDC"/>
    <w:rsid w:val="00C916EE"/>
    <w:rsid w:val="00C918D7"/>
    <w:rsid w:val="00C91BFB"/>
    <w:rsid w:val="00C928B4"/>
    <w:rsid w:val="00C93638"/>
    <w:rsid w:val="00C93DD9"/>
    <w:rsid w:val="00C949A3"/>
    <w:rsid w:val="00C950A6"/>
    <w:rsid w:val="00C953BF"/>
    <w:rsid w:val="00C958DA"/>
    <w:rsid w:val="00C95AD8"/>
    <w:rsid w:val="00C95FFF"/>
    <w:rsid w:val="00C9617E"/>
    <w:rsid w:val="00C96C85"/>
    <w:rsid w:val="00C96D1D"/>
    <w:rsid w:val="00C96DC3"/>
    <w:rsid w:val="00C9710F"/>
    <w:rsid w:val="00C972D2"/>
    <w:rsid w:val="00C97B00"/>
    <w:rsid w:val="00C97BEF"/>
    <w:rsid w:val="00CA0A00"/>
    <w:rsid w:val="00CA110D"/>
    <w:rsid w:val="00CA16BE"/>
    <w:rsid w:val="00CA2596"/>
    <w:rsid w:val="00CA2810"/>
    <w:rsid w:val="00CA2BF6"/>
    <w:rsid w:val="00CA2CB6"/>
    <w:rsid w:val="00CA30EC"/>
    <w:rsid w:val="00CA3950"/>
    <w:rsid w:val="00CA40B2"/>
    <w:rsid w:val="00CA41EA"/>
    <w:rsid w:val="00CA422E"/>
    <w:rsid w:val="00CA464E"/>
    <w:rsid w:val="00CA475E"/>
    <w:rsid w:val="00CA48CA"/>
    <w:rsid w:val="00CA4B28"/>
    <w:rsid w:val="00CA5008"/>
    <w:rsid w:val="00CA5083"/>
    <w:rsid w:val="00CA52EE"/>
    <w:rsid w:val="00CA532B"/>
    <w:rsid w:val="00CA5ECB"/>
    <w:rsid w:val="00CA7737"/>
    <w:rsid w:val="00CA791C"/>
    <w:rsid w:val="00CA796C"/>
    <w:rsid w:val="00CA7A73"/>
    <w:rsid w:val="00CA7EB8"/>
    <w:rsid w:val="00CB0194"/>
    <w:rsid w:val="00CB0307"/>
    <w:rsid w:val="00CB1048"/>
    <w:rsid w:val="00CB1161"/>
    <w:rsid w:val="00CB1375"/>
    <w:rsid w:val="00CB1DD7"/>
    <w:rsid w:val="00CB231F"/>
    <w:rsid w:val="00CB2490"/>
    <w:rsid w:val="00CB28A1"/>
    <w:rsid w:val="00CB2D06"/>
    <w:rsid w:val="00CB3002"/>
    <w:rsid w:val="00CB314A"/>
    <w:rsid w:val="00CB341A"/>
    <w:rsid w:val="00CB4465"/>
    <w:rsid w:val="00CB476E"/>
    <w:rsid w:val="00CB48D7"/>
    <w:rsid w:val="00CB4931"/>
    <w:rsid w:val="00CB49CE"/>
    <w:rsid w:val="00CB5BF0"/>
    <w:rsid w:val="00CB64D7"/>
    <w:rsid w:val="00CB665B"/>
    <w:rsid w:val="00CB69BA"/>
    <w:rsid w:val="00CB6BA8"/>
    <w:rsid w:val="00CB6C45"/>
    <w:rsid w:val="00CB71D1"/>
    <w:rsid w:val="00CB7963"/>
    <w:rsid w:val="00CB7A3A"/>
    <w:rsid w:val="00CB7C83"/>
    <w:rsid w:val="00CC00C4"/>
    <w:rsid w:val="00CC0502"/>
    <w:rsid w:val="00CC057A"/>
    <w:rsid w:val="00CC05F8"/>
    <w:rsid w:val="00CC10BF"/>
    <w:rsid w:val="00CC11A8"/>
    <w:rsid w:val="00CC1275"/>
    <w:rsid w:val="00CC1407"/>
    <w:rsid w:val="00CC1FBF"/>
    <w:rsid w:val="00CC20C4"/>
    <w:rsid w:val="00CC26CF"/>
    <w:rsid w:val="00CC2734"/>
    <w:rsid w:val="00CC2899"/>
    <w:rsid w:val="00CC29A0"/>
    <w:rsid w:val="00CC2BBF"/>
    <w:rsid w:val="00CC2DBA"/>
    <w:rsid w:val="00CC2E38"/>
    <w:rsid w:val="00CC311B"/>
    <w:rsid w:val="00CC3346"/>
    <w:rsid w:val="00CC34F6"/>
    <w:rsid w:val="00CC3AFF"/>
    <w:rsid w:val="00CC3B51"/>
    <w:rsid w:val="00CC3F61"/>
    <w:rsid w:val="00CC3FB5"/>
    <w:rsid w:val="00CC4C26"/>
    <w:rsid w:val="00CC4C94"/>
    <w:rsid w:val="00CC4CA9"/>
    <w:rsid w:val="00CC4D38"/>
    <w:rsid w:val="00CC536E"/>
    <w:rsid w:val="00CC5414"/>
    <w:rsid w:val="00CC5D79"/>
    <w:rsid w:val="00CC5F1B"/>
    <w:rsid w:val="00CC6610"/>
    <w:rsid w:val="00CC68C5"/>
    <w:rsid w:val="00CC6A60"/>
    <w:rsid w:val="00CC6D7C"/>
    <w:rsid w:val="00CC72CB"/>
    <w:rsid w:val="00CC730D"/>
    <w:rsid w:val="00CC7341"/>
    <w:rsid w:val="00CD0397"/>
    <w:rsid w:val="00CD0A40"/>
    <w:rsid w:val="00CD0A9A"/>
    <w:rsid w:val="00CD0DC8"/>
    <w:rsid w:val="00CD147E"/>
    <w:rsid w:val="00CD15A2"/>
    <w:rsid w:val="00CD166E"/>
    <w:rsid w:val="00CD179E"/>
    <w:rsid w:val="00CD1D4A"/>
    <w:rsid w:val="00CD2254"/>
    <w:rsid w:val="00CD269D"/>
    <w:rsid w:val="00CD28C4"/>
    <w:rsid w:val="00CD2E0B"/>
    <w:rsid w:val="00CD2FC8"/>
    <w:rsid w:val="00CD34A7"/>
    <w:rsid w:val="00CD382F"/>
    <w:rsid w:val="00CD3A12"/>
    <w:rsid w:val="00CD5297"/>
    <w:rsid w:val="00CD5655"/>
    <w:rsid w:val="00CD5879"/>
    <w:rsid w:val="00CD587C"/>
    <w:rsid w:val="00CD5A01"/>
    <w:rsid w:val="00CD5C48"/>
    <w:rsid w:val="00CD61D9"/>
    <w:rsid w:val="00CD676D"/>
    <w:rsid w:val="00CD6947"/>
    <w:rsid w:val="00CD69B6"/>
    <w:rsid w:val="00CD6F1F"/>
    <w:rsid w:val="00CD70A7"/>
    <w:rsid w:val="00CD718E"/>
    <w:rsid w:val="00CD73D8"/>
    <w:rsid w:val="00CD7497"/>
    <w:rsid w:val="00CD7ABB"/>
    <w:rsid w:val="00CD7D1A"/>
    <w:rsid w:val="00CD7DAD"/>
    <w:rsid w:val="00CE01E5"/>
    <w:rsid w:val="00CE0220"/>
    <w:rsid w:val="00CE0505"/>
    <w:rsid w:val="00CE0786"/>
    <w:rsid w:val="00CE07EB"/>
    <w:rsid w:val="00CE085D"/>
    <w:rsid w:val="00CE0AD2"/>
    <w:rsid w:val="00CE105F"/>
    <w:rsid w:val="00CE12DF"/>
    <w:rsid w:val="00CE14B7"/>
    <w:rsid w:val="00CE18E8"/>
    <w:rsid w:val="00CE1BD3"/>
    <w:rsid w:val="00CE1C47"/>
    <w:rsid w:val="00CE20E5"/>
    <w:rsid w:val="00CE2A44"/>
    <w:rsid w:val="00CE2B5F"/>
    <w:rsid w:val="00CE2CD9"/>
    <w:rsid w:val="00CE32F0"/>
    <w:rsid w:val="00CE336F"/>
    <w:rsid w:val="00CE38AC"/>
    <w:rsid w:val="00CE43EF"/>
    <w:rsid w:val="00CE443E"/>
    <w:rsid w:val="00CE474D"/>
    <w:rsid w:val="00CE4CEB"/>
    <w:rsid w:val="00CE4E60"/>
    <w:rsid w:val="00CE5840"/>
    <w:rsid w:val="00CE657F"/>
    <w:rsid w:val="00CE6C77"/>
    <w:rsid w:val="00CE7080"/>
    <w:rsid w:val="00CE7152"/>
    <w:rsid w:val="00CE7250"/>
    <w:rsid w:val="00CE7B70"/>
    <w:rsid w:val="00CE7C5D"/>
    <w:rsid w:val="00CE7C68"/>
    <w:rsid w:val="00CE7E9F"/>
    <w:rsid w:val="00CE80E4"/>
    <w:rsid w:val="00CF0183"/>
    <w:rsid w:val="00CF07BE"/>
    <w:rsid w:val="00CF0A3F"/>
    <w:rsid w:val="00CF0C0F"/>
    <w:rsid w:val="00CF0C7E"/>
    <w:rsid w:val="00CF0CAD"/>
    <w:rsid w:val="00CF0D0C"/>
    <w:rsid w:val="00CF0F7F"/>
    <w:rsid w:val="00CF10D3"/>
    <w:rsid w:val="00CF147E"/>
    <w:rsid w:val="00CF159B"/>
    <w:rsid w:val="00CF174E"/>
    <w:rsid w:val="00CF1B00"/>
    <w:rsid w:val="00CF2196"/>
    <w:rsid w:val="00CF240D"/>
    <w:rsid w:val="00CF2B70"/>
    <w:rsid w:val="00CF2C9B"/>
    <w:rsid w:val="00CF2E6D"/>
    <w:rsid w:val="00CF2FCE"/>
    <w:rsid w:val="00CF338F"/>
    <w:rsid w:val="00CF366D"/>
    <w:rsid w:val="00CF3714"/>
    <w:rsid w:val="00CF4000"/>
    <w:rsid w:val="00CF4169"/>
    <w:rsid w:val="00CF4272"/>
    <w:rsid w:val="00CF4706"/>
    <w:rsid w:val="00CF53AC"/>
    <w:rsid w:val="00CF5C19"/>
    <w:rsid w:val="00CF5EBB"/>
    <w:rsid w:val="00CF6249"/>
    <w:rsid w:val="00CF63D9"/>
    <w:rsid w:val="00CF641C"/>
    <w:rsid w:val="00CF66E8"/>
    <w:rsid w:val="00CF6784"/>
    <w:rsid w:val="00CF6A8C"/>
    <w:rsid w:val="00CF6C16"/>
    <w:rsid w:val="00CF70CB"/>
    <w:rsid w:val="00CF7371"/>
    <w:rsid w:val="00CF740C"/>
    <w:rsid w:val="00CF758E"/>
    <w:rsid w:val="00CF77C3"/>
    <w:rsid w:val="00CF79CB"/>
    <w:rsid w:val="00CF7AA7"/>
    <w:rsid w:val="00CF7FB9"/>
    <w:rsid w:val="00CFA039"/>
    <w:rsid w:val="00D00025"/>
    <w:rsid w:val="00D00AA6"/>
    <w:rsid w:val="00D00D2B"/>
    <w:rsid w:val="00D01177"/>
    <w:rsid w:val="00D01A9C"/>
    <w:rsid w:val="00D01E57"/>
    <w:rsid w:val="00D025F5"/>
    <w:rsid w:val="00D0264F"/>
    <w:rsid w:val="00D02774"/>
    <w:rsid w:val="00D02F59"/>
    <w:rsid w:val="00D030B9"/>
    <w:rsid w:val="00D0395B"/>
    <w:rsid w:val="00D03BF9"/>
    <w:rsid w:val="00D03FAC"/>
    <w:rsid w:val="00D04070"/>
    <w:rsid w:val="00D04110"/>
    <w:rsid w:val="00D0479E"/>
    <w:rsid w:val="00D049C1"/>
    <w:rsid w:val="00D04B40"/>
    <w:rsid w:val="00D04D3A"/>
    <w:rsid w:val="00D054C0"/>
    <w:rsid w:val="00D05748"/>
    <w:rsid w:val="00D05A77"/>
    <w:rsid w:val="00D05D0E"/>
    <w:rsid w:val="00D06464"/>
    <w:rsid w:val="00D0672B"/>
    <w:rsid w:val="00D06991"/>
    <w:rsid w:val="00D06CA0"/>
    <w:rsid w:val="00D06DB4"/>
    <w:rsid w:val="00D06DEF"/>
    <w:rsid w:val="00D06F35"/>
    <w:rsid w:val="00D07311"/>
    <w:rsid w:val="00D073DE"/>
    <w:rsid w:val="00D0767E"/>
    <w:rsid w:val="00D07988"/>
    <w:rsid w:val="00D102E6"/>
    <w:rsid w:val="00D10B2D"/>
    <w:rsid w:val="00D10D4A"/>
    <w:rsid w:val="00D10EFC"/>
    <w:rsid w:val="00D1158A"/>
    <w:rsid w:val="00D118EE"/>
    <w:rsid w:val="00D11D4F"/>
    <w:rsid w:val="00D122C7"/>
    <w:rsid w:val="00D12B37"/>
    <w:rsid w:val="00D12C15"/>
    <w:rsid w:val="00D12EA4"/>
    <w:rsid w:val="00D13127"/>
    <w:rsid w:val="00D13290"/>
    <w:rsid w:val="00D13B67"/>
    <w:rsid w:val="00D14061"/>
    <w:rsid w:val="00D1451B"/>
    <w:rsid w:val="00D14807"/>
    <w:rsid w:val="00D14ADE"/>
    <w:rsid w:val="00D14B25"/>
    <w:rsid w:val="00D14BFB"/>
    <w:rsid w:val="00D150A3"/>
    <w:rsid w:val="00D1524C"/>
    <w:rsid w:val="00D1530B"/>
    <w:rsid w:val="00D155BB"/>
    <w:rsid w:val="00D15EA0"/>
    <w:rsid w:val="00D15EA8"/>
    <w:rsid w:val="00D1649E"/>
    <w:rsid w:val="00D168CD"/>
    <w:rsid w:val="00D1692E"/>
    <w:rsid w:val="00D16A6E"/>
    <w:rsid w:val="00D16AA4"/>
    <w:rsid w:val="00D16ACB"/>
    <w:rsid w:val="00D16D50"/>
    <w:rsid w:val="00D17035"/>
    <w:rsid w:val="00D1712A"/>
    <w:rsid w:val="00D17A8D"/>
    <w:rsid w:val="00D17DC5"/>
    <w:rsid w:val="00D17DD0"/>
    <w:rsid w:val="00D20381"/>
    <w:rsid w:val="00D2060B"/>
    <w:rsid w:val="00D209C3"/>
    <w:rsid w:val="00D20F43"/>
    <w:rsid w:val="00D20FBB"/>
    <w:rsid w:val="00D222F1"/>
    <w:rsid w:val="00D227AD"/>
    <w:rsid w:val="00D22C32"/>
    <w:rsid w:val="00D23080"/>
    <w:rsid w:val="00D23293"/>
    <w:rsid w:val="00D237DB"/>
    <w:rsid w:val="00D23AEF"/>
    <w:rsid w:val="00D23B40"/>
    <w:rsid w:val="00D23C0B"/>
    <w:rsid w:val="00D24459"/>
    <w:rsid w:val="00D24F2A"/>
    <w:rsid w:val="00D25221"/>
    <w:rsid w:val="00D255B6"/>
    <w:rsid w:val="00D2599C"/>
    <w:rsid w:val="00D2607B"/>
    <w:rsid w:val="00D260E0"/>
    <w:rsid w:val="00D2624F"/>
    <w:rsid w:val="00D26413"/>
    <w:rsid w:val="00D26944"/>
    <w:rsid w:val="00D26FE8"/>
    <w:rsid w:val="00D2711A"/>
    <w:rsid w:val="00D27184"/>
    <w:rsid w:val="00D27243"/>
    <w:rsid w:val="00D272FE"/>
    <w:rsid w:val="00D27CBE"/>
    <w:rsid w:val="00D30256"/>
    <w:rsid w:val="00D307E0"/>
    <w:rsid w:val="00D30887"/>
    <w:rsid w:val="00D30EA9"/>
    <w:rsid w:val="00D31067"/>
    <w:rsid w:val="00D323C6"/>
    <w:rsid w:val="00D328BA"/>
    <w:rsid w:val="00D32CFC"/>
    <w:rsid w:val="00D32DAA"/>
    <w:rsid w:val="00D3309B"/>
    <w:rsid w:val="00D331B8"/>
    <w:rsid w:val="00D33426"/>
    <w:rsid w:val="00D3385B"/>
    <w:rsid w:val="00D345BD"/>
    <w:rsid w:val="00D347A9"/>
    <w:rsid w:val="00D35086"/>
    <w:rsid w:val="00D3516A"/>
    <w:rsid w:val="00D35FAE"/>
    <w:rsid w:val="00D36A84"/>
    <w:rsid w:val="00D3779A"/>
    <w:rsid w:val="00D4098C"/>
    <w:rsid w:val="00D40ACF"/>
    <w:rsid w:val="00D40B0B"/>
    <w:rsid w:val="00D40B2B"/>
    <w:rsid w:val="00D40CDE"/>
    <w:rsid w:val="00D41C82"/>
    <w:rsid w:val="00D41D00"/>
    <w:rsid w:val="00D4275F"/>
    <w:rsid w:val="00D427A8"/>
    <w:rsid w:val="00D42810"/>
    <w:rsid w:val="00D42B32"/>
    <w:rsid w:val="00D42D88"/>
    <w:rsid w:val="00D42EE5"/>
    <w:rsid w:val="00D42FE7"/>
    <w:rsid w:val="00D430E5"/>
    <w:rsid w:val="00D434BB"/>
    <w:rsid w:val="00D43574"/>
    <w:rsid w:val="00D437D4"/>
    <w:rsid w:val="00D43B81"/>
    <w:rsid w:val="00D43DF6"/>
    <w:rsid w:val="00D44D07"/>
    <w:rsid w:val="00D44F28"/>
    <w:rsid w:val="00D45872"/>
    <w:rsid w:val="00D45E00"/>
    <w:rsid w:val="00D46472"/>
    <w:rsid w:val="00D4665F"/>
    <w:rsid w:val="00D4688C"/>
    <w:rsid w:val="00D46A35"/>
    <w:rsid w:val="00D46CAC"/>
    <w:rsid w:val="00D46EF1"/>
    <w:rsid w:val="00D471D5"/>
    <w:rsid w:val="00D4735B"/>
    <w:rsid w:val="00D47682"/>
    <w:rsid w:val="00D47C37"/>
    <w:rsid w:val="00D47E15"/>
    <w:rsid w:val="00D50202"/>
    <w:rsid w:val="00D5067E"/>
    <w:rsid w:val="00D50776"/>
    <w:rsid w:val="00D50EAD"/>
    <w:rsid w:val="00D51252"/>
    <w:rsid w:val="00D51432"/>
    <w:rsid w:val="00D51950"/>
    <w:rsid w:val="00D520B9"/>
    <w:rsid w:val="00D5214A"/>
    <w:rsid w:val="00D5252C"/>
    <w:rsid w:val="00D5258E"/>
    <w:rsid w:val="00D52A97"/>
    <w:rsid w:val="00D52E4C"/>
    <w:rsid w:val="00D52EA8"/>
    <w:rsid w:val="00D53488"/>
    <w:rsid w:val="00D534F4"/>
    <w:rsid w:val="00D538B3"/>
    <w:rsid w:val="00D53992"/>
    <w:rsid w:val="00D53DBE"/>
    <w:rsid w:val="00D53E01"/>
    <w:rsid w:val="00D53E57"/>
    <w:rsid w:val="00D54281"/>
    <w:rsid w:val="00D5516B"/>
    <w:rsid w:val="00D55297"/>
    <w:rsid w:val="00D55BC9"/>
    <w:rsid w:val="00D55D56"/>
    <w:rsid w:val="00D561AC"/>
    <w:rsid w:val="00D5696E"/>
    <w:rsid w:val="00D56B9F"/>
    <w:rsid w:val="00D56C42"/>
    <w:rsid w:val="00D56F3B"/>
    <w:rsid w:val="00D574BC"/>
    <w:rsid w:val="00D577F3"/>
    <w:rsid w:val="00D60086"/>
    <w:rsid w:val="00D60208"/>
    <w:rsid w:val="00D603A6"/>
    <w:rsid w:val="00D60E27"/>
    <w:rsid w:val="00D6151C"/>
    <w:rsid w:val="00D61964"/>
    <w:rsid w:val="00D61A3E"/>
    <w:rsid w:val="00D61B06"/>
    <w:rsid w:val="00D625EB"/>
    <w:rsid w:val="00D62C84"/>
    <w:rsid w:val="00D63057"/>
    <w:rsid w:val="00D63332"/>
    <w:rsid w:val="00D6344A"/>
    <w:rsid w:val="00D63569"/>
    <w:rsid w:val="00D636E6"/>
    <w:rsid w:val="00D639F7"/>
    <w:rsid w:val="00D63A62"/>
    <w:rsid w:val="00D63E09"/>
    <w:rsid w:val="00D6416E"/>
    <w:rsid w:val="00D64258"/>
    <w:rsid w:val="00D6461C"/>
    <w:rsid w:val="00D64EEC"/>
    <w:rsid w:val="00D6520B"/>
    <w:rsid w:val="00D65443"/>
    <w:rsid w:val="00D654EE"/>
    <w:rsid w:val="00D65509"/>
    <w:rsid w:val="00D6562D"/>
    <w:rsid w:val="00D657A2"/>
    <w:rsid w:val="00D65CEB"/>
    <w:rsid w:val="00D65CFB"/>
    <w:rsid w:val="00D665E0"/>
    <w:rsid w:val="00D672F2"/>
    <w:rsid w:val="00D6757B"/>
    <w:rsid w:val="00D6776C"/>
    <w:rsid w:val="00D67833"/>
    <w:rsid w:val="00D6784F"/>
    <w:rsid w:val="00D678C1"/>
    <w:rsid w:val="00D704E8"/>
    <w:rsid w:val="00D70E25"/>
    <w:rsid w:val="00D70FF7"/>
    <w:rsid w:val="00D71231"/>
    <w:rsid w:val="00D713B2"/>
    <w:rsid w:val="00D71520"/>
    <w:rsid w:val="00D7197A"/>
    <w:rsid w:val="00D71AFD"/>
    <w:rsid w:val="00D7203B"/>
    <w:rsid w:val="00D728D1"/>
    <w:rsid w:val="00D731C7"/>
    <w:rsid w:val="00D732CB"/>
    <w:rsid w:val="00D7376C"/>
    <w:rsid w:val="00D73840"/>
    <w:rsid w:val="00D739A2"/>
    <w:rsid w:val="00D73A46"/>
    <w:rsid w:val="00D740DB"/>
    <w:rsid w:val="00D7456A"/>
    <w:rsid w:val="00D745F2"/>
    <w:rsid w:val="00D7462B"/>
    <w:rsid w:val="00D74AB4"/>
    <w:rsid w:val="00D7572F"/>
    <w:rsid w:val="00D75C86"/>
    <w:rsid w:val="00D75FA1"/>
    <w:rsid w:val="00D760FE"/>
    <w:rsid w:val="00D76494"/>
    <w:rsid w:val="00D76650"/>
    <w:rsid w:val="00D766C8"/>
    <w:rsid w:val="00D7688C"/>
    <w:rsid w:val="00D769D9"/>
    <w:rsid w:val="00D76AF7"/>
    <w:rsid w:val="00D76C91"/>
    <w:rsid w:val="00D76FCC"/>
    <w:rsid w:val="00D77804"/>
    <w:rsid w:val="00D77DF1"/>
    <w:rsid w:val="00D8011A"/>
    <w:rsid w:val="00D80CD8"/>
    <w:rsid w:val="00D80CEA"/>
    <w:rsid w:val="00D80D26"/>
    <w:rsid w:val="00D8107B"/>
    <w:rsid w:val="00D81292"/>
    <w:rsid w:val="00D812D9"/>
    <w:rsid w:val="00D81729"/>
    <w:rsid w:val="00D81EA2"/>
    <w:rsid w:val="00D825CC"/>
    <w:rsid w:val="00D82AD8"/>
    <w:rsid w:val="00D82F3E"/>
    <w:rsid w:val="00D83018"/>
    <w:rsid w:val="00D830E2"/>
    <w:rsid w:val="00D83480"/>
    <w:rsid w:val="00D83819"/>
    <w:rsid w:val="00D83933"/>
    <w:rsid w:val="00D83BB6"/>
    <w:rsid w:val="00D84625"/>
    <w:rsid w:val="00D846A9"/>
    <w:rsid w:val="00D84DEC"/>
    <w:rsid w:val="00D8528B"/>
    <w:rsid w:val="00D856C9"/>
    <w:rsid w:val="00D8571C"/>
    <w:rsid w:val="00D858A7"/>
    <w:rsid w:val="00D85BF9"/>
    <w:rsid w:val="00D85D30"/>
    <w:rsid w:val="00D85EF8"/>
    <w:rsid w:val="00D864EF"/>
    <w:rsid w:val="00D865FC"/>
    <w:rsid w:val="00D87276"/>
    <w:rsid w:val="00D87447"/>
    <w:rsid w:val="00D875DE"/>
    <w:rsid w:val="00D879F9"/>
    <w:rsid w:val="00D87CA0"/>
    <w:rsid w:val="00D87D63"/>
    <w:rsid w:val="00D87E9E"/>
    <w:rsid w:val="00D87EC2"/>
    <w:rsid w:val="00D8EA2E"/>
    <w:rsid w:val="00D9017F"/>
    <w:rsid w:val="00D909A2"/>
    <w:rsid w:val="00D90E3C"/>
    <w:rsid w:val="00D91459"/>
    <w:rsid w:val="00D91697"/>
    <w:rsid w:val="00D92369"/>
    <w:rsid w:val="00D92664"/>
    <w:rsid w:val="00D92708"/>
    <w:rsid w:val="00D92B80"/>
    <w:rsid w:val="00D9391F"/>
    <w:rsid w:val="00D93A32"/>
    <w:rsid w:val="00D94083"/>
    <w:rsid w:val="00D9523D"/>
    <w:rsid w:val="00D953D4"/>
    <w:rsid w:val="00D95500"/>
    <w:rsid w:val="00D959ED"/>
    <w:rsid w:val="00D95ADA"/>
    <w:rsid w:val="00D95B40"/>
    <w:rsid w:val="00D95DE3"/>
    <w:rsid w:val="00D963C2"/>
    <w:rsid w:val="00D9642D"/>
    <w:rsid w:val="00D9662A"/>
    <w:rsid w:val="00D96745"/>
    <w:rsid w:val="00D96E78"/>
    <w:rsid w:val="00D972D6"/>
    <w:rsid w:val="00D97A3E"/>
    <w:rsid w:val="00D97F42"/>
    <w:rsid w:val="00DA066D"/>
    <w:rsid w:val="00DA075A"/>
    <w:rsid w:val="00DA0825"/>
    <w:rsid w:val="00DA083F"/>
    <w:rsid w:val="00DA0A78"/>
    <w:rsid w:val="00DA0B2F"/>
    <w:rsid w:val="00DA15BA"/>
    <w:rsid w:val="00DA16A0"/>
    <w:rsid w:val="00DA1708"/>
    <w:rsid w:val="00DA1A84"/>
    <w:rsid w:val="00DA1DEB"/>
    <w:rsid w:val="00DA2137"/>
    <w:rsid w:val="00DA2229"/>
    <w:rsid w:val="00DA257C"/>
    <w:rsid w:val="00DA2585"/>
    <w:rsid w:val="00DA273C"/>
    <w:rsid w:val="00DA2AC8"/>
    <w:rsid w:val="00DA2DF6"/>
    <w:rsid w:val="00DA30C3"/>
    <w:rsid w:val="00DA3EE1"/>
    <w:rsid w:val="00DA3F2F"/>
    <w:rsid w:val="00DA4103"/>
    <w:rsid w:val="00DA415C"/>
    <w:rsid w:val="00DA46EF"/>
    <w:rsid w:val="00DA498A"/>
    <w:rsid w:val="00DA4B4C"/>
    <w:rsid w:val="00DA4C93"/>
    <w:rsid w:val="00DA5233"/>
    <w:rsid w:val="00DA5E4F"/>
    <w:rsid w:val="00DA685A"/>
    <w:rsid w:val="00DA6996"/>
    <w:rsid w:val="00DA7107"/>
    <w:rsid w:val="00DA71BF"/>
    <w:rsid w:val="00DA75AE"/>
    <w:rsid w:val="00DA7689"/>
    <w:rsid w:val="00DA77FA"/>
    <w:rsid w:val="00DA7B05"/>
    <w:rsid w:val="00DA7C61"/>
    <w:rsid w:val="00DB015C"/>
    <w:rsid w:val="00DB097E"/>
    <w:rsid w:val="00DB0C53"/>
    <w:rsid w:val="00DB0D92"/>
    <w:rsid w:val="00DB10C6"/>
    <w:rsid w:val="00DB1118"/>
    <w:rsid w:val="00DB1215"/>
    <w:rsid w:val="00DB18F7"/>
    <w:rsid w:val="00DB1B06"/>
    <w:rsid w:val="00DB1C46"/>
    <w:rsid w:val="00DB21EB"/>
    <w:rsid w:val="00DB254B"/>
    <w:rsid w:val="00DB28D9"/>
    <w:rsid w:val="00DB2916"/>
    <w:rsid w:val="00DB2C36"/>
    <w:rsid w:val="00DB2F5B"/>
    <w:rsid w:val="00DB3151"/>
    <w:rsid w:val="00DB33C5"/>
    <w:rsid w:val="00DB353D"/>
    <w:rsid w:val="00DB43D5"/>
    <w:rsid w:val="00DB504E"/>
    <w:rsid w:val="00DB5209"/>
    <w:rsid w:val="00DB5340"/>
    <w:rsid w:val="00DB56F9"/>
    <w:rsid w:val="00DB580C"/>
    <w:rsid w:val="00DB5A23"/>
    <w:rsid w:val="00DB5B2E"/>
    <w:rsid w:val="00DB6C39"/>
    <w:rsid w:val="00DB6E91"/>
    <w:rsid w:val="00DB7531"/>
    <w:rsid w:val="00DB7626"/>
    <w:rsid w:val="00DB7BF6"/>
    <w:rsid w:val="00DB7CA9"/>
    <w:rsid w:val="00DC01C3"/>
    <w:rsid w:val="00DC01E7"/>
    <w:rsid w:val="00DC0535"/>
    <w:rsid w:val="00DC0727"/>
    <w:rsid w:val="00DC0871"/>
    <w:rsid w:val="00DC18C2"/>
    <w:rsid w:val="00DC1F22"/>
    <w:rsid w:val="00DC1FF3"/>
    <w:rsid w:val="00DC2005"/>
    <w:rsid w:val="00DC251D"/>
    <w:rsid w:val="00DC25C1"/>
    <w:rsid w:val="00DC26A9"/>
    <w:rsid w:val="00DC270F"/>
    <w:rsid w:val="00DC279B"/>
    <w:rsid w:val="00DC2C62"/>
    <w:rsid w:val="00DC2F32"/>
    <w:rsid w:val="00DC30B6"/>
    <w:rsid w:val="00DC373B"/>
    <w:rsid w:val="00DC37A4"/>
    <w:rsid w:val="00DC39D6"/>
    <w:rsid w:val="00DC470E"/>
    <w:rsid w:val="00DC50E4"/>
    <w:rsid w:val="00DC5203"/>
    <w:rsid w:val="00DC5462"/>
    <w:rsid w:val="00DC57B8"/>
    <w:rsid w:val="00DC5B98"/>
    <w:rsid w:val="00DC623D"/>
    <w:rsid w:val="00DC6396"/>
    <w:rsid w:val="00DC65B3"/>
    <w:rsid w:val="00DC662E"/>
    <w:rsid w:val="00DC742F"/>
    <w:rsid w:val="00DC7629"/>
    <w:rsid w:val="00DC770E"/>
    <w:rsid w:val="00DC7713"/>
    <w:rsid w:val="00DC794F"/>
    <w:rsid w:val="00DC7AA6"/>
    <w:rsid w:val="00DC7DD3"/>
    <w:rsid w:val="00DD06BE"/>
    <w:rsid w:val="00DD08E9"/>
    <w:rsid w:val="00DD0A44"/>
    <w:rsid w:val="00DD0C58"/>
    <w:rsid w:val="00DD0F62"/>
    <w:rsid w:val="00DD145C"/>
    <w:rsid w:val="00DD28A7"/>
    <w:rsid w:val="00DD2F5A"/>
    <w:rsid w:val="00DD31A7"/>
    <w:rsid w:val="00DD3C50"/>
    <w:rsid w:val="00DD3D69"/>
    <w:rsid w:val="00DD3F5D"/>
    <w:rsid w:val="00DD4034"/>
    <w:rsid w:val="00DD410B"/>
    <w:rsid w:val="00DD433A"/>
    <w:rsid w:val="00DD447A"/>
    <w:rsid w:val="00DD4845"/>
    <w:rsid w:val="00DD4F37"/>
    <w:rsid w:val="00DD52FD"/>
    <w:rsid w:val="00DD56F2"/>
    <w:rsid w:val="00DD5C9F"/>
    <w:rsid w:val="00DD5CFD"/>
    <w:rsid w:val="00DD5EAA"/>
    <w:rsid w:val="00DD65B1"/>
    <w:rsid w:val="00DD6675"/>
    <w:rsid w:val="00DD66E9"/>
    <w:rsid w:val="00DD6811"/>
    <w:rsid w:val="00DD6CD1"/>
    <w:rsid w:val="00DD6E9C"/>
    <w:rsid w:val="00DD70AD"/>
    <w:rsid w:val="00DD73A6"/>
    <w:rsid w:val="00DD7694"/>
    <w:rsid w:val="00DD7CA5"/>
    <w:rsid w:val="00DD7E87"/>
    <w:rsid w:val="00DE03A4"/>
    <w:rsid w:val="00DE0568"/>
    <w:rsid w:val="00DE0807"/>
    <w:rsid w:val="00DE0E75"/>
    <w:rsid w:val="00DE10AD"/>
    <w:rsid w:val="00DE19D3"/>
    <w:rsid w:val="00DE1DFC"/>
    <w:rsid w:val="00DE2020"/>
    <w:rsid w:val="00DE2681"/>
    <w:rsid w:val="00DE2CD1"/>
    <w:rsid w:val="00DE33F8"/>
    <w:rsid w:val="00DE3617"/>
    <w:rsid w:val="00DE3B04"/>
    <w:rsid w:val="00DE3DC6"/>
    <w:rsid w:val="00DE3EFC"/>
    <w:rsid w:val="00DE3F11"/>
    <w:rsid w:val="00DE40F4"/>
    <w:rsid w:val="00DE43AB"/>
    <w:rsid w:val="00DE43C8"/>
    <w:rsid w:val="00DE4A04"/>
    <w:rsid w:val="00DE4ABE"/>
    <w:rsid w:val="00DE4ACF"/>
    <w:rsid w:val="00DE508C"/>
    <w:rsid w:val="00DE54DA"/>
    <w:rsid w:val="00DE56C1"/>
    <w:rsid w:val="00DE5955"/>
    <w:rsid w:val="00DE5FAA"/>
    <w:rsid w:val="00DE6148"/>
    <w:rsid w:val="00DE6259"/>
    <w:rsid w:val="00DE6408"/>
    <w:rsid w:val="00DE6BBA"/>
    <w:rsid w:val="00DE6D43"/>
    <w:rsid w:val="00DE7238"/>
    <w:rsid w:val="00DE747D"/>
    <w:rsid w:val="00DE7BB8"/>
    <w:rsid w:val="00DE7D27"/>
    <w:rsid w:val="00DE7F8C"/>
    <w:rsid w:val="00DF03AC"/>
    <w:rsid w:val="00DF1020"/>
    <w:rsid w:val="00DF14D5"/>
    <w:rsid w:val="00DF1879"/>
    <w:rsid w:val="00DF18A1"/>
    <w:rsid w:val="00DF1D5E"/>
    <w:rsid w:val="00DF22BD"/>
    <w:rsid w:val="00DF2520"/>
    <w:rsid w:val="00DF29AC"/>
    <w:rsid w:val="00DF2EB2"/>
    <w:rsid w:val="00DF3687"/>
    <w:rsid w:val="00DF38EB"/>
    <w:rsid w:val="00DF3CFF"/>
    <w:rsid w:val="00DF3F05"/>
    <w:rsid w:val="00DF440B"/>
    <w:rsid w:val="00DF530D"/>
    <w:rsid w:val="00DF550F"/>
    <w:rsid w:val="00DF5902"/>
    <w:rsid w:val="00DF5E87"/>
    <w:rsid w:val="00DF64A0"/>
    <w:rsid w:val="00DF6821"/>
    <w:rsid w:val="00DF6D50"/>
    <w:rsid w:val="00DF70A9"/>
    <w:rsid w:val="00DF7400"/>
    <w:rsid w:val="00DF7A1F"/>
    <w:rsid w:val="00DF7B17"/>
    <w:rsid w:val="00DF7D35"/>
    <w:rsid w:val="00E002FA"/>
    <w:rsid w:val="00E00F45"/>
    <w:rsid w:val="00E0142C"/>
    <w:rsid w:val="00E015EA"/>
    <w:rsid w:val="00E01924"/>
    <w:rsid w:val="00E01BF5"/>
    <w:rsid w:val="00E02A5A"/>
    <w:rsid w:val="00E02FA3"/>
    <w:rsid w:val="00E03CD1"/>
    <w:rsid w:val="00E03F8F"/>
    <w:rsid w:val="00E041A6"/>
    <w:rsid w:val="00E04309"/>
    <w:rsid w:val="00E0445F"/>
    <w:rsid w:val="00E048E1"/>
    <w:rsid w:val="00E04A22"/>
    <w:rsid w:val="00E04BB1"/>
    <w:rsid w:val="00E04E94"/>
    <w:rsid w:val="00E05868"/>
    <w:rsid w:val="00E058C3"/>
    <w:rsid w:val="00E05980"/>
    <w:rsid w:val="00E05E3A"/>
    <w:rsid w:val="00E063F1"/>
    <w:rsid w:val="00E0661D"/>
    <w:rsid w:val="00E068C3"/>
    <w:rsid w:val="00E06E87"/>
    <w:rsid w:val="00E07831"/>
    <w:rsid w:val="00E07CD0"/>
    <w:rsid w:val="00E07E65"/>
    <w:rsid w:val="00E10260"/>
    <w:rsid w:val="00E10590"/>
    <w:rsid w:val="00E107C1"/>
    <w:rsid w:val="00E10849"/>
    <w:rsid w:val="00E1096F"/>
    <w:rsid w:val="00E10C14"/>
    <w:rsid w:val="00E118DB"/>
    <w:rsid w:val="00E11A78"/>
    <w:rsid w:val="00E126F4"/>
    <w:rsid w:val="00E12B5C"/>
    <w:rsid w:val="00E1303E"/>
    <w:rsid w:val="00E1350B"/>
    <w:rsid w:val="00E13547"/>
    <w:rsid w:val="00E13740"/>
    <w:rsid w:val="00E13B41"/>
    <w:rsid w:val="00E1405E"/>
    <w:rsid w:val="00E14620"/>
    <w:rsid w:val="00E14665"/>
    <w:rsid w:val="00E1501F"/>
    <w:rsid w:val="00E1553F"/>
    <w:rsid w:val="00E1555D"/>
    <w:rsid w:val="00E156D9"/>
    <w:rsid w:val="00E159E7"/>
    <w:rsid w:val="00E15E42"/>
    <w:rsid w:val="00E161D2"/>
    <w:rsid w:val="00E16789"/>
    <w:rsid w:val="00E1686D"/>
    <w:rsid w:val="00E17576"/>
    <w:rsid w:val="00E17A62"/>
    <w:rsid w:val="00E17BC6"/>
    <w:rsid w:val="00E17FD4"/>
    <w:rsid w:val="00E201E4"/>
    <w:rsid w:val="00E20A30"/>
    <w:rsid w:val="00E2133B"/>
    <w:rsid w:val="00E2148B"/>
    <w:rsid w:val="00E215A2"/>
    <w:rsid w:val="00E21D08"/>
    <w:rsid w:val="00E21F59"/>
    <w:rsid w:val="00E21FED"/>
    <w:rsid w:val="00E22A89"/>
    <w:rsid w:val="00E22C16"/>
    <w:rsid w:val="00E23164"/>
    <w:rsid w:val="00E231E2"/>
    <w:rsid w:val="00E231EA"/>
    <w:rsid w:val="00E238AA"/>
    <w:rsid w:val="00E23AB7"/>
    <w:rsid w:val="00E23BCB"/>
    <w:rsid w:val="00E24828"/>
    <w:rsid w:val="00E24C50"/>
    <w:rsid w:val="00E24C9A"/>
    <w:rsid w:val="00E24D53"/>
    <w:rsid w:val="00E25803"/>
    <w:rsid w:val="00E25926"/>
    <w:rsid w:val="00E259A7"/>
    <w:rsid w:val="00E25E4C"/>
    <w:rsid w:val="00E25FEF"/>
    <w:rsid w:val="00E260EA"/>
    <w:rsid w:val="00E2695D"/>
    <w:rsid w:val="00E26F6F"/>
    <w:rsid w:val="00E2724C"/>
    <w:rsid w:val="00E2763A"/>
    <w:rsid w:val="00E27696"/>
    <w:rsid w:val="00E3067B"/>
    <w:rsid w:val="00E307B6"/>
    <w:rsid w:val="00E30909"/>
    <w:rsid w:val="00E30A62"/>
    <w:rsid w:val="00E30A81"/>
    <w:rsid w:val="00E30B37"/>
    <w:rsid w:val="00E30CEC"/>
    <w:rsid w:val="00E30CF3"/>
    <w:rsid w:val="00E30E07"/>
    <w:rsid w:val="00E30F0B"/>
    <w:rsid w:val="00E311A0"/>
    <w:rsid w:val="00E313AC"/>
    <w:rsid w:val="00E315E8"/>
    <w:rsid w:val="00E31ED4"/>
    <w:rsid w:val="00E324DE"/>
    <w:rsid w:val="00E32951"/>
    <w:rsid w:val="00E333E3"/>
    <w:rsid w:val="00E33466"/>
    <w:rsid w:val="00E3394F"/>
    <w:rsid w:val="00E3398A"/>
    <w:rsid w:val="00E33FB5"/>
    <w:rsid w:val="00E34188"/>
    <w:rsid w:val="00E341BB"/>
    <w:rsid w:val="00E342B2"/>
    <w:rsid w:val="00E3442C"/>
    <w:rsid w:val="00E34735"/>
    <w:rsid w:val="00E34D00"/>
    <w:rsid w:val="00E35940"/>
    <w:rsid w:val="00E359F0"/>
    <w:rsid w:val="00E35B50"/>
    <w:rsid w:val="00E35FC9"/>
    <w:rsid w:val="00E363D2"/>
    <w:rsid w:val="00E364E1"/>
    <w:rsid w:val="00E366D1"/>
    <w:rsid w:val="00E36E15"/>
    <w:rsid w:val="00E36EE4"/>
    <w:rsid w:val="00E370B4"/>
    <w:rsid w:val="00E37629"/>
    <w:rsid w:val="00E37965"/>
    <w:rsid w:val="00E37ED2"/>
    <w:rsid w:val="00E40C24"/>
    <w:rsid w:val="00E40FB4"/>
    <w:rsid w:val="00E4119D"/>
    <w:rsid w:val="00E414A8"/>
    <w:rsid w:val="00E41AA5"/>
    <w:rsid w:val="00E41DAB"/>
    <w:rsid w:val="00E41EF1"/>
    <w:rsid w:val="00E41F6F"/>
    <w:rsid w:val="00E42584"/>
    <w:rsid w:val="00E4382D"/>
    <w:rsid w:val="00E43C5A"/>
    <w:rsid w:val="00E43CFA"/>
    <w:rsid w:val="00E44475"/>
    <w:rsid w:val="00E446E6"/>
    <w:rsid w:val="00E44887"/>
    <w:rsid w:val="00E448CE"/>
    <w:rsid w:val="00E44AC2"/>
    <w:rsid w:val="00E459DA"/>
    <w:rsid w:val="00E45A36"/>
    <w:rsid w:val="00E45C6A"/>
    <w:rsid w:val="00E45EDD"/>
    <w:rsid w:val="00E462EF"/>
    <w:rsid w:val="00E46561"/>
    <w:rsid w:val="00E46A8E"/>
    <w:rsid w:val="00E46C3E"/>
    <w:rsid w:val="00E4708D"/>
    <w:rsid w:val="00E47673"/>
    <w:rsid w:val="00E47E49"/>
    <w:rsid w:val="00E501D3"/>
    <w:rsid w:val="00E5023F"/>
    <w:rsid w:val="00E503FA"/>
    <w:rsid w:val="00E50CAC"/>
    <w:rsid w:val="00E50D03"/>
    <w:rsid w:val="00E510B3"/>
    <w:rsid w:val="00E51653"/>
    <w:rsid w:val="00E517EB"/>
    <w:rsid w:val="00E526F4"/>
    <w:rsid w:val="00E5272F"/>
    <w:rsid w:val="00E52A98"/>
    <w:rsid w:val="00E52EE2"/>
    <w:rsid w:val="00E52F6C"/>
    <w:rsid w:val="00E5314B"/>
    <w:rsid w:val="00E53971"/>
    <w:rsid w:val="00E539F6"/>
    <w:rsid w:val="00E539F8"/>
    <w:rsid w:val="00E53A5B"/>
    <w:rsid w:val="00E5417D"/>
    <w:rsid w:val="00E541A1"/>
    <w:rsid w:val="00E543EA"/>
    <w:rsid w:val="00E5442B"/>
    <w:rsid w:val="00E547D3"/>
    <w:rsid w:val="00E54993"/>
    <w:rsid w:val="00E54B8E"/>
    <w:rsid w:val="00E5518F"/>
    <w:rsid w:val="00E55864"/>
    <w:rsid w:val="00E55D6D"/>
    <w:rsid w:val="00E56D2D"/>
    <w:rsid w:val="00E56D32"/>
    <w:rsid w:val="00E56E17"/>
    <w:rsid w:val="00E56F2A"/>
    <w:rsid w:val="00E57608"/>
    <w:rsid w:val="00E577AC"/>
    <w:rsid w:val="00E604F5"/>
    <w:rsid w:val="00E6083D"/>
    <w:rsid w:val="00E60A97"/>
    <w:rsid w:val="00E60BB4"/>
    <w:rsid w:val="00E60C81"/>
    <w:rsid w:val="00E60E86"/>
    <w:rsid w:val="00E614F4"/>
    <w:rsid w:val="00E61515"/>
    <w:rsid w:val="00E61B27"/>
    <w:rsid w:val="00E61B8B"/>
    <w:rsid w:val="00E61D3A"/>
    <w:rsid w:val="00E6289E"/>
    <w:rsid w:val="00E62DAA"/>
    <w:rsid w:val="00E63268"/>
    <w:rsid w:val="00E6339D"/>
    <w:rsid w:val="00E63519"/>
    <w:rsid w:val="00E63E31"/>
    <w:rsid w:val="00E63E77"/>
    <w:rsid w:val="00E64541"/>
    <w:rsid w:val="00E64601"/>
    <w:rsid w:val="00E646FC"/>
    <w:rsid w:val="00E64D11"/>
    <w:rsid w:val="00E650E1"/>
    <w:rsid w:val="00E65346"/>
    <w:rsid w:val="00E65D0D"/>
    <w:rsid w:val="00E661FD"/>
    <w:rsid w:val="00E66206"/>
    <w:rsid w:val="00E66FA8"/>
    <w:rsid w:val="00E67D31"/>
    <w:rsid w:val="00E67FE7"/>
    <w:rsid w:val="00E700E4"/>
    <w:rsid w:val="00E7033D"/>
    <w:rsid w:val="00E7049E"/>
    <w:rsid w:val="00E704AD"/>
    <w:rsid w:val="00E7050D"/>
    <w:rsid w:val="00E71106"/>
    <w:rsid w:val="00E71535"/>
    <w:rsid w:val="00E7159E"/>
    <w:rsid w:val="00E7188F"/>
    <w:rsid w:val="00E71B09"/>
    <w:rsid w:val="00E71C8C"/>
    <w:rsid w:val="00E71E2B"/>
    <w:rsid w:val="00E71F6E"/>
    <w:rsid w:val="00E72245"/>
    <w:rsid w:val="00E72531"/>
    <w:rsid w:val="00E72606"/>
    <w:rsid w:val="00E7264F"/>
    <w:rsid w:val="00E726B2"/>
    <w:rsid w:val="00E72B4C"/>
    <w:rsid w:val="00E72D62"/>
    <w:rsid w:val="00E72F2F"/>
    <w:rsid w:val="00E730BC"/>
    <w:rsid w:val="00E73583"/>
    <w:rsid w:val="00E73DDC"/>
    <w:rsid w:val="00E74BA8"/>
    <w:rsid w:val="00E75219"/>
    <w:rsid w:val="00E753F3"/>
    <w:rsid w:val="00E755B3"/>
    <w:rsid w:val="00E7574A"/>
    <w:rsid w:val="00E75873"/>
    <w:rsid w:val="00E75A6B"/>
    <w:rsid w:val="00E75AD9"/>
    <w:rsid w:val="00E75D78"/>
    <w:rsid w:val="00E75F3B"/>
    <w:rsid w:val="00E7609D"/>
    <w:rsid w:val="00E7638C"/>
    <w:rsid w:val="00E76802"/>
    <w:rsid w:val="00E76B0E"/>
    <w:rsid w:val="00E76F51"/>
    <w:rsid w:val="00E7755F"/>
    <w:rsid w:val="00E7756C"/>
    <w:rsid w:val="00E778AE"/>
    <w:rsid w:val="00E7795A"/>
    <w:rsid w:val="00E77DF5"/>
    <w:rsid w:val="00E77E88"/>
    <w:rsid w:val="00E800D4"/>
    <w:rsid w:val="00E80151"/>
    <w:rsid w:val="00E802A3"/>
    <w:rsid w:val="00E803B3"/>
    <w:rsid w:val="00E807E6"/>
    <w:rsid w:val="00E81201"/>
    <w:rsid w:val="00E8179C"/>
    <w:rsid w:val="00E81823"/>
    <w:rsid w:val="00E81D0D"/>
    <w:rsid w:val="00E81E7C"/>
    <w:rsid w:val="00E81EDA"/>
    <w:rsid w:val="00E82786"/>
    <w:rsid w:val="00E82CC7"/>
    <w:rsid w:val="00E82DAA"/>
    <w:rsid w:val="00E82E66"/>
    <w:rsid w:val="00E82ECB"/>
    <w:rsid w:val="00E82FA7"/>
    <w:rsid w:val="00E836A3"/>
    <w:rsid w:val="00E8377D"/>
    <w:rsid w:val="00E83867"/>
    <w:rsid w:val="00E83BF0"/>
    <w:rsid w:val="00E8409A"/>
    <w:rsid w:val="00E84584"/>
    <w:rsid w:val="00E8458D"/>
    <w:rsid w:val="00E8459A"/>
    <w:rsid w:val="00E84867"/>
    <w:rsid w:val="00E85542"/>
    <w:rsid w:val="00E855C8"/>
    <w:rsid w:val="00E857A2"/>
    <w:rsid w:val="00E857B6"/>
    <w:rsid w:val="00E85AD3"/>
    <w:rsid w:val="00E85D19"/>
    <w:rsid w:val="00E85FFC"/>
    <w:rsid w:val="00E867ED"/>
    <w:rsid w:val="00E868C6"/>
    <w:rsid w:val="00E86ADD"/>
    <w:rsid w:val="00E87AAB"/>
    <w:rsid w:val="00E87B28"/>
    <w:rsid w:val="00E87D94"/>
    <w:rsid w:val="00E90131"/>
    <w:rsid w:val="00E9096F"/>
    <w:rsid w:val="00E90F1A"/>
    <w:rsid w:val="00E916AA"/>
    <w:rsid w:val="00E91CF1"/>
    <w:rsid w:val="00E9208C"/>
    <w:rsid w:val="00E9216E"/>
    <w:rsid w:val="00E921B1"/>
    <w:rsid w:val="00E9267E"/>
    <w:rsid w:val="00E92A24"/>
    <w:rsid w:val="00E931E1"/>
    <w:rsid w:val="00E93CDA"/>
    <w:rsid w:val="00E93ECB"/>
    <w:rsid w:val="00E93F4A"/>
    <w:rsid w:val="00E94478"/>
    <w:rsid w:val="00E94801"/>
    <w:rsid w:val="00E9482B"/>
    <w:rsid w:val="00E94C53"/>
    <w:rsid w:val="00E94DD2"/>
    <w:rsid w:val="00E9543C"/>
    <w:rsid w:val="00E957E6"/>
    <w:rsid w:val="00E95B69"/>
    <w:rsid w:val="00E96260"/>
    <w:rsid w:val="00E96BD8"/>
    <w:rsid w:val="00E96C7E"/>
    <w:rsid w:val="00E97064"/>
    <w:rsid w:val="00E9719D"/>
    <w:rsid w:val="00E97842"/>
    <w:rsid w:val="00E97E6D"/>
    <w:rsid w:val="00E97F1E"/>
    <w:rsid w:val="00EA00E5"/>
    <w:rsid w:val="00EA014A"/>
    <w:rsid w:val="00EA028E"/>
    <w:rsid w:val="00EA055A"/>
    <w:rsid w:val="00EA0843"/>
    <w:rsid w:val="00EA19F3"/>
    <w:rsid w:val="00EA2304"/>
    <w:rsid w:val="00EA23ED"/>
    <w:rsid w:val="00EA24CB"/>
    <w:rsid w:val="00EA267D"/>
    <w:rsid w:val="00EA26D4"/>
    <w:rsid w:val="00EA3790"/>
    <w:rsid w:val="00EA38F7"/>
    <w:rsid w:val="00EA3CDF"/>
    <w:rsid w:val="00EA3D40"/>
    <w:rsid w:val="00EA3EDF"/>
    <w:rsid w:val="00EA423F"/>
    <w:rsid w:val="00EA49A2"/>
    <w:rsid w:val="00EA4C10"/>
    <w:rsid w:val="00EA4C65"/>
    <w:rsid w:val="00EA4E0D"/>
    <w:rsid w:val="00EA504B"/>
    <w:rsid w:val="00EA5320"/>
    <w:rsid w:val="00EA53D8"/>
    <w:rsid w:val="00EA572A"/>
    <w:rsid w:val="00EA597D"/>
    <w:rsid w:val="00EA59FF"/>
    <w:rsid w:val="00EA5DF7"/>
    <w:rsid w:val="00EA6244"/>
    <w:rsid w:val="00EA6686"/>
    <w:rsid w:val="00EA7031"/>
    <w:rsid w:val="00EA70DB"/>
    <w:rsid w:val="00EA72FB"/>
    <w:rsid w:val="00EA7FE8"/>
    <w:rsid w:val="00EB01EC"/>
    <w:rsid w:val="00EB0495"/>
    <w:rsid w:val="00EB05F3"/>
    <w:rsid w:val="00EB069E"/>
    <w:rsid w:val="00EB0A3D"/>
    <w:rsid w:val="00EB0B1B"/>
    <w:rsid w:val="00EB0D9E"/>
    <w:rsid w:val="00EB1907"/>
    <w:rsid w:val="00EB1A37"/>
    <w:rsid w:val="00EB1D76"/>
    <w:rsid w:val="00EB1E9A"/>
    <w:rsid w:val="00EB2082"/>
    <w:rsid w:val="00EB2BE2"/>
    <w:rsid w:val="00EB3206"/>
    <w:rsid w:val="00EB330F"/>
    <w:rsid w:val="00EB4266"/>
    <w:rsid w:val="00EB4628"/>
    <w:rsid w:val="00EB4D09"/>
    <w:rsid w:val="00EB515B"/>
    <w:rsid w:val="00EB53BB"/>
    <w:rsid w:val="00EB5523"/>
    <w:rsid w:val="00EB5D89"/>
    <w:rsid w:val="00EB646B"/>
    <w:rsid w:val="00EB6518"/>
    <w:rsid w:val="00EB6ABE"/>
    <w:rsid w:val="00EB6FBE"/>
    <w:rsid w:val="00EB6FD2"/>
    <w:rsid w:val="00EB6FDB"/>
    <w:rsid w:val="00EB70A9"/>
    <w:rsid w:val="00EB7495"/>
    <w:rsid w:val="00EB776C"/>
    <w:rsid w:val="00EB7D31"/>
    <w:rsid w:val="00EB7D5F"/>
    <w:rsid w:val="00EC0662"/>
    <w:rsid w:val="00EC116C"/>
    <w:rsid w:val="00EC18DA"/>
    <w:rsid w:val="00EC1C0D"/>
    <w:rsid w:val="00EC1C56"/>
    <w:rsid w:val="00EC1F6C"/>
    <w:rsid w:val="00EC25BA"/>
    <w:rsid w:val="00EC2DAD"/>
    <w:rsid w:val="00EC3551"/>
    <w:rsid w:val="00EC38D1"/>
    <w:rsid w:val="00EC3CBE"/>
    <w:rsid w:val="00EC3D60"/>
    <w:rsid w:val="00EC4160"/>
    <w:rsid w:val="00EC4A18"/>
    <w:rsid w:val="00EC5256"/>
    <w:rsid w:val="00EC5477"/>
    <w:rsid w:val="00EC55DD"/>
    <w:rsid w:val="00EC5A75"/>
    <w:rsid w:val="00EC5C39"/>
    <w:rsid w:val="00EC61BF"/>
    <w:rsid w:val="00EC6260"/>
    <w:rsid w:val="00EC648D"/>
    <w:rsid w:val="00EC6BBB"/>
    <w:rsid w:val="00EC6CFE"/>
    <w:rsid w:val="00EC704D"/>
    <w:rsid w:val="00EC7365"/>
    <w:rsid w:val="00EC742C"/>
    <w:rsid w:val="00EC78CE"/>
    <w:rsid w:val="00EC7D7C"/>
    <w:rsid w:val="00ED013B"/>
    <w:rsid w:val="00ED01E6"/>
    <w:rsid w:val="00ED0309"/>
    <w:rsid w:val="00ED0B76"/>
    <w:rsid w:val="00ED0EEE"/>
    <w:rsid w:val="00ED1899"/>
    <w:rsid w:val="00ED19FC"/>
    <w:rsid w:val="00ED1A90"/>
    <w:rsid w:val="00ED1F45"/>
    <w:rsid w:val="00ED1FB4"/>
    <w:rsid w:val="00ED253C"/>
    <w:rsid w:val="00ED2CAA"/>
    <w:rsid w:val="00ED2CC9"/>
    <w:rsid w:val="00ED2E79"/>
    <w:rsid w:val="00ED381F"/>
    <w:rsid w:val="00ED3DCD"/>
    <w:rsid w:val="00ED407D"/>
    <w:rsid w:val="00ED4670"/>
    <w:rsid w:val="00ED4EEB"/>
    <w:rsid w:val="00ED5390"/>
    <w:rsid w:val="00ED60CA"/>
    <w:rsid w:val="00ED6739"/>
    <w:rsid w:val="00ED6B23"/>
    <w:rsid w:val="00ED6C06"/>
    <w:rsid w:val="00ED702F"/>
    <w:rsid w:val="00ED70FC"/>
    <w:rsid w:val="00ED7783"/>
    <w:rsid w:val="00ED7C87"/>
    <w:rsid w:val="00ED7CD7"/>
    <w:rsid w:val="00ED7DCD"/>
    <w:rsid w:val="00EE003D"/>
    <w:rsid w:val="00EE033C"/>
    <w:rsid w:val="00EE04C4"/>
    <w:rsid w:val="00EE0B7E"/>
    <w:rsid w:val="00EE0C81"/>
    <w:rsid w:val="00EE0CE2"/>
    <w:rsid w:val="00EE0E89"/>
    <w:rsid w:val="00EE100D"/>
    <w:rsid w:val="00EE1086"/>
    <w:rsid w:val="00EE1654"/>
    <w:rsid w:val="00EE19D4"/>
    <w:rsid w:val="00EE1CB8"/>
    <w:rsid w:val="00EE1E54"/>
    <w:rsid w:val="00EE1E6E"/>
    <w:rsid w:val="00EE1FF5"/>
    <w:rsid w:val="00EE20CC"/>
    <w:rsid w:val="00EE2531"/>
    <w:rsid w:val="00EE258F"/>
    <w:rsid w:val="00EE25C8"/>
    <w:rsid w:val="00EE275A"/>
    <w:rsid w:val="00EE327E"/>
    <w:rsid w:val="00EE3747"/>
    <w:rsid w:val="00EE38FD"/>
    <w:rsid w:val="00EE4093"/>
    <w:rsid w:val="00EE42A9"/>
    <w:rsid w:val="00EE431D"/>
    <w:rsid w:val="00EE492A"/>
    <w:rsid w:val="00EE51D9"/>
    <w:rsid w:val="00EE5500"/>
    <w:rsid w:val="00EE58DE"/>
    <w:rsid w:val="00EE5EAD"/>
    <w:rsid w:val="00EE6B06"/>
    <w:rsid w:val="00EE6D95"/>
    <w:rsid w:val="00EE6EDE"/>
    <w:rsid w:val="00EE6FB2"/>
    <w:rsid w:val="00EE70BC"/>
    <w:rsid w:val="00EE717B"/>
    <w:rsid w:val="00EE7318"/>
    <w:rsid w:val="00EE7506"/>
    <w:rsid w:val="00EE7A06"/>
    <w:rsid w:val="00EF0354"/>
    <w:rsid w:val="00EF07CF"/>
    <w:rsid w:val="00EF0C0F"/>
    <w:rsid w:val="00EF0D56"/>
    <w:rsid w:val="00EF0D68"/>
    <w:rsid w:val="00EF116F"/>
    <w:rsid w:val="00EF1BED"/>
    <w:rsid w:val="00EF24FA"/>
    <w:rsid w:val="00EF2562"/>
    <w:rsid w:val="00EF2582"/>
    <w:rsid w:val="00EF2BB8"/>
    <w:rsid w:val="00EF2C2F"/>
    <w:rsid w:val="00EF2F4D"/>
    <w:rsid w:val="00EF2F55"/>
    <w:rsid w:val="00EF315E"/>
    <w:rsid w:val="00EF3282"/>
    <w:rsid w:val="00EF32C6"/>
    <w:rsid w:val="00EF3423"/>
    <w:rsid w:val="00EF3C0D"/>
    <w:rsid w:val="00EF461E"/>
    <w:rsid w:val="00EF46E0"/>
    <w:rsid w:val="00EF4769"/>
    <w:rsid w:val="00EF4861"/>
    <w:rsid w:val="00EF4C59"/>
    <w:rsid w:val="00EF52B0"/>
    <w:rsid w:val="00EF5689"/>
    <w:rsid w:val="00EF5794"/>
    <w:rsid w:val="00EF60F7"/>
    <w:rsid w:val="00EF6598"/>
    <w:rsid w:val="00EF6ABD"/>
    <w:rsid w:val="00EF6B27"/>
    <w:rsid w:val="00EF6C79"/>
    <w:rsid w:val="00EF7164"/>
    <w:rsid w:val="00EF75A0"/>
    <w:rsid w:val="00EF7654"/>
    <w:rsid w:val="00EF77F3"/>
    <w:rsid w:val="00EF7E56"/>
    <w:rsid w:val="00F000B2"/>
    <w:rsid w:val="00F000FD"/>
    <w:rsid w:val="00F00302"/>
    <w:rsid w:val="00F00677"/>
    <w:rsid w:val="00F008B7"/>
    <w:rsid w:val="00F00AD7"/>
    <w:rsid w:val="00F00E8F"/>
    <w:rsid w:val="00F012A8"/>
    <w:rsid w:val="00F012DA"/>
    <w:rsid w:val="00F0163C"/>
    <w:rsid w:val="00F01A45"/>
    <w:rsid w:val="00F01AF8"/>
    <w:rsid w:val="00F01BF3"/>
    <w:rsid w:val="00F01C90"/>
    <w:rsid w:val="00F01CBA"/>
    <w:rsid w:val="00F01CDE"/>
    <w:rsid w:val="00F01E77"/>
    <w:rsid w:val="00F022B3"/>
    <w:rsid w:val="00F02906"/>
    <w:rsid w:val="00F02A92"/>
    <w:rsid w:val="00F02B54"/>
    <w:rsid w:val="00F02E03"/>
    <w:rsid w:val="00F0337D"/>
    <w:rsid w:val="00F03415"/>
    <w:rsid w:val="00F03714"/>
    <w:rsid w:val="00F038D8"/>
    <w:rsid w:val="00F039DD"/>
    <w:rsid w:val="00F03CA9"/>
    <w:rsid w:val="00F03D20"/>
    <w:rsid w:val="00F03FDA"/>
    <w:rsid w:val="00F04605"/>
    <w:rsid w:val="00F046E3"/>
    <w:rsid w:val="00F046E5"/>
    <w:rsid w:val="00F04796"/>
    <w:rsid w:val="00F04B4C"/>
    <w:rsid w:val="00F04E5C"/>
    <w:rsid w:val="00F052AE"/>
    <w:rsid w:val="00F05307"/>
    <w:rsid w:val="00F05465"/>
    <w:rsid w:val="00F05957"/>
    <w:rsid w:val="00F05A88"/>
    <w:rsid w:val="00F05B75"/>
    <w:rsid w:val="00F05E87"/>
    <w:rsid w:val="00F064BA"/>
    <w:rsid w:val="00F06938"/>
    <w:rsid w:val="00F06A98"/>
    <w:rsid w:val="00F06BC0"/>
    <w:rsid w:val="00F06F31"/>
    <w:rsid w:val="00F0714E"/>
    <w:rsid w:val="00F07422"/>
    <w:rsid w:val="00F07906"/>
    <w:rsid w:val="00F07DE7"/>
    <w:rsid w:val="00F10385"/>
    <w:rsid w:val="00F10522"/>
    <w:rsid w:val="00F106A5"/>
    <w:rsid w:val="00F106E3"/>
    <w:rsid w:val="00F108F0"/>
    <w:rsid w:val="00F112C6"/>
    <w:rsid w:val="00F114DB"/>
    <w:rsid w:val="00F115BA"/>
    <w:rsid w:val="00F11611"/>
    <w:rsid w:val="00F118FD"/>
    <w:rsid w:val="00F11C05"/>
    <w:rsid w:val="00F11E4C"/>
    <w:rsid w:val="00F12539"/>
    <w:rsid w:val="00F12EF3"/>
    <w:rsid w:val="00F13015"/>
    <w:rsid w:val="00F1336D"/>
    <w:rsid w:val="00F136A3"/>
    <w:rsid w:val="00F13C6C"/>
    <w:rsid w:val="00F13F0B"/>
    <w:rsid w:val="00F14552"/>
    <w:rsid w:val="00F145D2"/>
    <w:rsid w:val="00F14A77"/>
    <w:rsid w:val="00F14B59"/>
    <w:rsid w:val="00F14B70"/>
    <w:rsid w:val="00F14EBA"/>
    <w:rsid w:val="00F16034"/>
    <w:rsid w:val="00F1632B"/>
    <w:rsid w:val="00F163AD"/>
    <w:rsid w:val="00F16A77"/>
    <w:rsid w:val="00F16C9E"/>
    <w:rsid w:val="00F16D93"/>
    <w:rsid w:val="00F16DCC"/>
    <w:rsid w:val="00F17C2D"/>
    <w:rsid w:val="00F205FD"/>
    <w:rsid w:val="00F20C6F"/>
    <w:rsid w:val="00F213EC"/>
    <w:rsid w:val="00F21656"/>
    <w:rsid w:val="00F22080"/>
    <w:rsid w:val="00F221C3"/>
    <w:rsid w:val="00F225DA"/>
    <w:rsid w:val="00F227DE"/>
    <w:rsid w:val="00F22954"/>
    <w:rsid w:val="00F239E8"/>
    <w:rsid w:val="00F23AD4"/>
    <w:rsid w:val="00F23D2B"/>
    <w:rsid w:val="00F24224"/>
    <w:rsid w:val="00F24823"/>
    <w:rsid w:val="00F24946"/>
    <w:rsid w:val="00F24A43"/>
    <w:rsid w:val="00F24E67"/>
    <w:rsid w:val="00F250C4"/>
    <w:rsid w:val="00F25429"/>
    <w:rsid w:val="00F25CA2"/>
    <w:rsid w:val="00F25CFE"/>
    <w:rsid w:val="00F2632C"/>
    <w:rsid w:val="00F26A9F"/>
    <w:rsid w:val="00F27146"/>
    <w:rsid w:val="00F276CE"/>
    <w:rsid w:val="00F27A33"/>
    <w:rsid w:val="00F27D42"/>
    <w:rsid w:val="00F27DAF"/>
    <w:rsid w:val="00F300E1"/>
    <w:rsid w:val="00F301C8"/>
    <w:rsid w:val="00F309D7"/>
    <w:rsid w:val="00F3130D"/>
    <w:rsid w:val="00F31799"/>
    <w:rsid w:val="00F3187C"/>
    <w:rsid w:val="00F31A05"/>
    <w:rsid w:val="00F3241C"/>
    <w:rsid w:val="00F327B7"/>
    <w:rsid w:val="00F3286A"/>
    <w:rsid w:val="00F32FED"/>
    <w:rsid w:val="00F3318E"/>
    <w:rsid w:val="00F3359D"/>
    <w:rsid w:val="00F3375C"/>
    <w:rsid w:val="00F338E9"/>
    <w:rsid w:val="00F33A21"/>
    <w:rsid w:val="00F33B69"/>
    <w:rsid w:val="00F33FF0"/>
    <w:rsid w:val="00F34439"/>
    <w:rsid w:val="00F34471"/>
    <w:rsid w:val="00F347D3"/>
    <w:rsid w:val="00F34AC6"/>
    <w:rsid w:val="00F34DD5"/>
    <w:rsid w:val="00F34EFE"/>
    <w:rsid w:val="00F35604"/>
    <w:rsid w:val="00F35A16"/>
    <w:rsid w:val="00F35B48"/>
    <w:rsid w:val="00F35C13"/>
    <w:rsid w:val="00F3622F"/>
    <w:rsid w:val="00F36CC4"/>
    <w:rsid w:val="00F37313"/>
    <w:rsid w:val="00F376F9"/>
    <w:rsid w:val="00F378D6"/>
    <w:rsid w:val="00F37DDD"/>
    <w:rsid w:val="00F37F74"/>
    <w:rsid w:val="00F409CE"/>
    <w:rsid w:val="00F41B7E"/>
    <w:rsid w:val="00F41E01"/>
    <w:rsid w:val="00F41E96"/>
    <w:rsid w:val="00F41ECA"/>
    <w:rsid w:val="00F4220E"/>
    <w:rsid w:val="00F4224F"/>
    <w:rsid w:val="00F42567"/>
    <w:rsid w:val="00F4275C"/>
    <w:rsid w:val="00F42D9B"/>
    <w:rsid w:val="00F42DDB"/>
    <w:rsid w:val="00F42EC2"/>
    <w:rsid w:val="00F43104"/>
    <w:rsid w:val="00F43184"/>
    <w:rsid w:val="00F434DC"/>
    <w:rsid w:val="00F43661"/>
    <w:rsid w:val="00F43A78"/>
    <w:rsid w:val="00F44678"/>
    <w:rsid w:val="00F44734"/>
    <w:rsid w:val="00F44E5C"/>
    <w:rsid w:val="00F44F70"/>
    <w:rsid w:val="00F452C0"/>
    <w:rsid w:val="00F45627"/>
    <w:rsid w:val="00F45834"/>
    <w:rsid w:val="00F45920"/>
    <w:rsid w:val="00F45D61"/>
    <w:rsid w:val="00F45ED5"/>
    <w:rsid w:val="00F4600F"/>
    <w:rsid w:val="00F46BF2"/>
    <w:rsid w:val="00F46FEF"/>
    <w:rsid w:val="00F475B8"/>
    <w:rsid w:val="00F477D5"/>
    <w:rsid w:val="00F47B2F"/>
    <w:rsid w:val="00F47BD9"/>
    <w:rsid w:val="00F502ED"/>
    <w:rsid w:val="00F50EC7"/>
    <w:rsid w:val="00F51041"/>
    <w:rsid w:val="00F5116E"/>
    <w:rsid w:val="00F514F8"/>
    <w:rsid w:val="00F51941"/>
    <w:rsid w:val="00F51B18"/>
    <w:rsid w:val="00F522D1"/>
    <w:rsid w:val="00F52FAD"/>
    <w:rsid w:val="00F530C4"/>
    <w:rsid w:val="00F53319"/>
    <w:rsid w:val="00F53338"/>
    <w:rsid w:val="00F53720"/>
    <w:rsid w:val="00F53815"/>
    <w:rsid w:val="00F53EDC"/>
    <w:rsid w:val="00F53FA4"/>
    <w:rsid w:val="00F54089"/>
    <w:rsid w:val="00F541B6"/>
    <w:rsid w:val="00F5422D"/>
    <w:rsid w:val="00F54455"/>
    <w:rsid w:val="00F54928"/>
    <w:rsid w:val="00F54AA1"/>
    <w:rsid w:val="00F54F0F"/>
    <w:rsid w:val="00F54F66"/>
    <w:rsid w:val="00F5502A"/>
    <w:rsid w:val="00F5586A"/>
    <w:rsid w:val="00F55A07"/>
    <w:rsid w:val="00F55ED2"/>
    <w:rsid w:val="00F56A01"/>
    <w:rsid w:val="00F56C72"/>
    <w:rsid w:val="00F56FE6"/>
    <w:rsid w:val="00F57BDD"/>
    <w:rsid w:val="00F60030"/>
    <w:rsid w:val="00F60191"/>
    <w:rsid w:val="00F606BC"/>
    <w:rsid w:val="00F607A1"/>
    <w:rsid w:val="00F60C86"/>
    <w:rsid w:val="00F60CF8"/>
    <w:rsid w:val="00F60F4D"/>
    <w:rsid w:val="00F610C1"/>
    <w:rsid w:val="00F6182C"/>
    <w:rsid w:val="00F624F4"/>
    <w:rsid w:val="00F626C0"/>
    <w:rsid w:val="00F62AA0"/>
    <w:rsid w:val="00F634EA"/>
    <w:rsid w:val="00F63A93"/>
    <w:rsid w:val="00F63FFE"/>
    <w:rsid w:val="00F6451A"/>
    <w:rsid w:val="00F64AE4"/>
    <w:rsid w:val="00F64C11"/>
    <w:rsid w:val="00F65146"/>
    <w:rsid w:val="00F6608B"/>
    <w:rsid w:val="00F666B5"/>
    <w:rsid w:val="00F667A7"/>
    <w:rsid w:val="00F6685E"/>
    <w:rsid w:val="00F66C6E"/>
    <w:rsid w:val="00F67268"/>
    <w:rsid w:val="00F67865"/>
    <w:rsid w:val="00F678A4"/>
    <w:rsid w:val="00F6791B"/>
    <w:rsid w:val="00F67CB1"/>
    <w:rsid w:val="00F67DEE"/>
    <w:rsid w:val="00F67EE6"/>
    <w:rsid w:val="00F706CF"/>
    <w:rsid w:val="00F70828"/>
    <w:rsid w:val="00F709A9"/>
    <w:rsid w:val="00F709CE"/>
    <w:rsid w:val="00F70BBE"/>
    <w:rsid w:val="00F70C7C"/>
    <w:rsid w:val="00F70E1C"/>
    <w:rsid w:val="00F715B1"/>
    <w:rsid w:val="00F718A6"/>
    <w:rsid w:val="00F71DC2"/>
    <w:rsid w:val="00F723A4"/>
    <w:rsid w:val="00F72519"/>
    <w:rsid w:val="00F72735"/>
    <w:rsid w:val="00F7312A"/>
    <w:rsid w:val="00F73381"/>
    <w:rsid w:val="00F73635"/>
    <w:rsid w:val="00F737DA"/>
    <w:rsid w:val="00F73A04"/>
    <w:rsid w:val="00F73CE8"/>
    <w:rsid w:val="00F74B57"/>
    <w:rsid w:val="00F751CE"/>
    <w:rsid w:val="00F754E3"/>
    <w:rsid w:val="00F7553B"/>
    <w:rsid w:val="00F755E3"/>
    <w:rsid w:val="00F757EB"/>
    <w:rsid w:val="00F75D93"/>
    <w:rsid w:val="00F75DB0"/>
    <w:rsid w:val="00F75DDD"/>
    <w:rsid w:val="00F76369"/>
    <w:rsid w:val="00F76C7E"/>
    <w:rsid w:val="00F77400"/>
    <w:rsid w:val="00F7787A"/>
    <w:rsid w:val="00F778F4"/>
    <w:rsid w:val="00F779CA"/>
    <w:rsid w:val="00F78811"/>
    <w:rsid w:val="00F80346"/>
    <w:rsid w:val="00F807A4"/>
    <w:rsid w:val="00F80D58"/>
    <w:rsid w:val="00F80DA4"/>
    <w:rsid w:val="00F81810"/>
    <w:rsid w:val="00F81D30"/>
    <w:rsid w:val="00F81FC2"/>
    <w:rsid w:val="00F82A21"/>
    <w:rsid w:val="00F82B82"/>
    <w:rsid w:val="00F82BAA"/>
    <w:rsid w:val="00F82C85"/>
    <w:rsid w:val="00F832FE"/>
    <w:rsid w:val="00F8335A"/>
    <w:rsid w:val="00F834EB"/>
    <w:rsid w:val="00F83555"/>
    <w:rsid w:val="00F83EFF"/>
    <w:rsid w:val="00F84281"/>
    <w:rsid w:val="00F84333"/>
    <w:rsid w:val="00F84354"/>
    <w:rsid w:val="00F8444E"/>
    <w:rsid w:val="00F845CC"/>
    <w:rsid w:val="00F84783"/>
    <w:rsid w:val="00F84795"/>
    <w:rsid w:val="00F84CDC"/>
    <w:rsid w:val="00F84EDC"/>
    <w:rsid w:val="00F84F63"/>
    <w:rsid w:val="00F84F77"/>
    <w:rsid w:val="00F850D0"/>
    <w:rsid w:val="00F851F9"/>
    <w:rsid w:val="00F85599"/>
    <w:rsid w:val="00F8669D"/>
    <w:rsid w:val="00F868D1"/>
    <w:rsid w:val="00F86D05"/>
    <w:rsid w:val="00F86D5F"/>
    <w:rsid w:val="00F87769"/>
    <w:rsid w:val="00F87CAF"/>
    <w:rsid w:val="00F9043B"/>
    <w:rsid w:val="00F909CD"/>
    <w:rsid w:val="00F90BC6"/>
    <w:rsid w:val="00F91842"/>
    <w:rsid w:val="00F91B79"/>
    <w:rsid w:val="00F91CBD"/>
    <w:rsid w:val="00F920CC"/>
    <w:rsid w:val="00F926B2"/>
    <w:rsid w:val="00F926E5"/>
    <w:rsid w:val="00F92807"/>
    <w:rsid w:val="00F92E0C"/>
    <w:rsid w:val="00F93179"/>
    <w:rsid w:val="00F9324C"/>
    <w:rsid w:val="00F932D4"/>
    <w:rsid w:val="00F93518"/>
    <w:rsid w:val="00F938DB"/>
    <w:rsid w:val="00F94262"/>
    <w:rsid w:val="00F9453C"/>
    <w:rsid w:val="00F94D95"/>
    <w:rsid w:val="00F94F70"/>
    <w:rsid w:val="00F95590"/>
    <w:rsid w:val="00F95784"/>
    <w:rsid w:val="00F95997"/>
    <w:rsid w:val="00F95D6C"/>
    <w:rsid w:val="00F95EB1"/>
    <w:rsid w:val="00F96276"/>
    <w:rsid w:val="00F967CD"/>
    <w:rsid w:val="00F96858"/>
    <w:rsid w:val="00F96C88"/>
    <w:rsid w:val="00F96D9B"/>
    <w:rsid w:val="00F9708B"/>
    <w:rsid w:val="00F9722E"/>
    <w:rsid w:val="00F97308"/>
    <w:rsid w:val="00F9736A"/>
    <w:rsid w:val="00F97471"/>
    <w:rsid w:val="00F97BAA"/>
    <w:rsid w:val="00FA03C5"/>
    <w:rsid w:val="00FA0A32"/>
    <w:rsid w:val="00FA1200"/>
    <w:rsid w:val="00FA162F"/>
    <w:rsid w:val="00FA1646"/>
    <w:rsid w:val="00FA1FC5"/>
    <w:rsid w:val="00FA202A"/>
    <w:rsid w:val="00FA24BC"/>
    <w:rsid w:val="00FA2602"/>
    <w:rsid w:val="00FA266B"/>
    <w:rsid w:val="00FA26A4"/>
    <w:rsid w:val="00FA2702"/>
    <w:rsid w:val="00FA2900"/>
    <w:rsid w:val="00FA2B90"/>
    <w:rsid w:val="00FA2F1B"/>
    <w:rsid w:val="00FA2F73"/>
    <w:rsid w:val="00FA3088"/>
    <w:rsid w:val="00FA30B8"/>
    <w:rsid w:val="00FA3157"/>
    <w:rsid w:val="00FA3643"/>
    <w:rsid w:val="00FA374E"/>
    <w:rsid w:val="00FA3917"/>
    <w:rsid w:val="00FA4CA2"/>
    <w:rsid w:val="00FA5347"/>
    <w:rsid w:val="00FA536D"/>
    <w:rsid w:val="00FA5853"/>
    <w:rsid w:val="00FA5C47"/>
    <w:rsid w:val="00FA5F94"/>
    <w:rsid w:val="00FA64E3"/>
    <w:rsid w:val="00FA6595"/>
    <w:rsid w:val="00FA6A17"/>
    <w:rsid w:val="00FA6A2C"/>
    <w:rsid w:val="00FA6B5E"/>
    <w:rsid w:val="00FA6CF0"/>
    <w:rsid w:val="00FA6DF1"/>
    <w:rsid w:val="00FA701D"/>
    <w:rsid w:val="00FA7DC8"/>
    <w:rsid w:val="00FA7EBB"/>
    <w:rsid w:val="00FB02A3"/>
    <w:rsid w:val="00FB031A"/>
    <w:rsid w:val="00FB0484"/>
    <w:rsid w:val="00FB074C"/>
    <w:rsid w:val="00FB0784"/>
    <w:rsid w:val="00FB0DE4"/>
    <w:rsid w:val="00FB1398"/>
    <w:rsid w:val="00FB1C19"/>
    <w:rsid w:val="00FB1DEF"/>
    <w:rsid w:val="00FB1F99"/>
    <w:rsid w:val="00FB1FD7"/>
    <w:rsid w:val="00FB2359"/>
    <w:rsid w:val="00FB2598"/>
    <w:rsid w:val="00FB2739"/>
    <w:rsid w:val="00FB2A4D"/>
    <w:rsid w:val="00FB2C3A"/>
    <w:rsid w:val="00FB30B5"/>
    <w:rsid w:val="00FB35E0"/>
    <w:rsid w:val="00FB3B8D"/>
    <w:rsid w:val="00FB4000"/>
    <w:rsid w:val="00FB4190"/>
    <w:rsid w:val="00FB47A1"/>
    <w:rsid w:val="00FB4FD6"/>
    <w:rsid w:val="00FB5361"/>
    <w:rsid w:val="00FB5446"/>
    <w:rsid w:val="00FB558E"/>
    <w:rsid w:val="00FB5887"/>
    <w:rsid w:val="00FB65BF"/>
    <w:rsid w:val="00FB692C"/>
    <w:rsid w:val="00FB6D25"/>
    <w:rsid w:val="00FB6E63"/>
    <w:rsid w:val="00FB714E"/>
    <w:rsid w:val="00FB724F"/>
    <w:rsid w:val="00FB773F"/>
    <w:rsid w:val="00FB7CE8"/>
    <w:rsid w:val="00FC00E0"/>
    <w:rsid w:val="00FC014D"/>
    <w:rsid w:val="00FC07C7"/>
    <w:rsid w:val="00FC0B80"/>
    <w:rsid w:val="00FC0FA6"/>
    <w:rsid w:val="00FC127A"/>
    <w:rsid w:val="00FC13EF"/>
    <w:rsid w:val="00FC167A"/>
    <w:rsid w:val="00FC1817"/>
    <w:rsid w:val="00FC1A1D"/>
    <w:rsid w:val="00FC1BE7"/>
    <w:rsid w:val="00FC23B7"/>
    <w:rsid w:val="00FC25C2"/>
    <w:rsid w:val="00FC2CD3"/>
    <w:rsid w:val="00FC2D0D"/>
    <w:rsid w:val="00FC2E46"/>
    <w:rsid w:val="00FC2FD2"/>
    <w:rsid w:val="00FC30B4"/>
    <w:rsid w:val="00FC30CD"/>
    <w:rsid w:val="00FC3208"/>
    <w:rsid w:val="00FC32C9"/>
    <w:rsid w:val="00FC33D7"/>
    <w:rsid w:val="00FC3476"/>
    <w:rsid w:val="00FC3558"/>
    <w:rsid w:val="00FC366E"/>
    <w:rsid w:val="00FC38F8"/>
    <w:rsid w:val="00FC3BD8"/>
    <w:rsid w:val="00FC3ED3"/>
    <w:rsid w:val="00FC3FA2"/>
    <w:rsid w:val="00FC439A"/>
    <w:rsid w:val="00FC4692"/>
    <w:rsid w:val="00FC49BC"/>
    <w:rsid w:val="00FC4C05"/>
    <w:rsid w:val="00FC5226"/>
    <w:rsid w:val="00FC55BB"/>
    <w:rsid w:val="00FC591B"/>
    <w:rsid w:val="00FC5A2A"/>
    <w:rsid w:val="00FC5AA1"/>
    <w:rsid w:val="00FC5C41"/>
    <w:rsid w:val="00FC5C91"/>
    <w:rsid w:val="00FC61BF"/>
    <w:rsid w:val="00FC6268"/>
    <w:rsid w:val="00FC6283"/>
    <w:rsid w:val="00FC63E6"/>
    <w:rsid w:val="00FC6418"/>
    <w:rsid w:val="00FC6628"/>
    <w:rsid w:val="00FC665A"/>
    <w:rsid w:val="00FC6D48"/>
    <w:rsid w:val="00FC6E1D"/>
    <w:rsid w:val="00FC6E9D"/>
    <w:rsid w:val="00FC70D2"/>
    <w:rsid w:val="00FC71C4"/>
    <w:rsid w:val="00FC7435"/>
    <w:rsid w:val="00FC7546"/>
    <w:rsid w:val="00FC75BC"/>
    <w:rsid w:val="00FC7FDD"/>
    <w:rsid w:val="00FD0366"/>
    <w:rsid w:val="00FD0713"/>
    <w:rsid w:val="00FD0B7F"/>
    <w:rsid w:val="00FD0C47"/>
    <w:rsid w:val="00FD0FD4"/>
    <w:rsid w:val="00FD1198"/>
    <w:rsid w:val="00FD14B6"/>
    <w:rsid w:val="00FD156F"/>
    <w:rsid w:val="00FD1615"/>
    <w:rsid w:val="00FD17F7"/>
    <w:rsid w:val="00FD1A14"/>
    <w:rsid w:val="00FD2801"/>
    <w:rsid w:val="00FD2B35"/>
    <w:rsid w:val="00FD2F23"/>
    <w:rsid w:val="00FD2FBC"/>
    <w:rsid w:val="00FD30B3"/>
    <w:rsid w:val="00FD3225"/>
    <w:rsid w:val="00FD3645"/>
    <w:rsid w:val="00FD37A7"/>
    <w:rsid w:val="00FD3DE4"/>
    <w:rsid w:val="00FD555D"/>
    <w:rsid w:val="00FD6278"/>
    <w:rsid w:val="00FD66CB"/>
    <w:rsid w:val="00FD6B28"/>
    <w:rsid w:val="00FD6D5D"/>
    <w:rsid w:val="00FD7482"/>
    <w:rsid w:val="00FD783F"/>
    <w:rsid w:val="00FD7F71"/>
    <w:rsid w:val="00FE010D"/>
    <w:rsid w:val="00FE03D9"/>
    <w:rsid w:val="00FE0C44"/>
    <w:rsid w:val="00FE0F19"/>
    <w:rsid w:val="00FE14FD"/>
    <w:rsid w:val="00FE1934"/>
    <w:rsid w:val="00FE288C"/>
    <w:rsid w:val="00FE292A"/>
    <w:rsid w:val="00FE2A21"/>
    <w:rsid w:val="00FE2B41"/>
    <w:rsid w:val="00FE2BFA"/>
    <w:rsid w:val="00FE2C0C"/>
    <w:rsid w:val="00FE2D36"/>
    <w:rsid w:val="00FE3087"/>
    <w:rsid w:val="00FE313B"/>
    <w:rsid w:val="00FE3268"/>
    <w:rsid w:val="00FE32EC"/>
    <w:rsid w:val="00FE384C"/>
    <w:rsid w:val="00FE5695"/>
    <w:rsid w:val="00FE578D"/>
    <w:rsid w:val="00FE5822"/>
    <w:rsid w:val="00FE5D55"/>
    <w:rsid w:val="00FE65CE"/>
    <w:rsid w:val="00FE67F7"/>
    <w:rsid w:val="00FE697D"/>
    <w:rsid w:val="00FE73FD"/>
    <w:rsid w:val="00FE74D5"/>
    <w:rsid w:val="00FE78CC"/>
    <w:rsid w:val="00FE7B5C"/>
    <w:rsid w:val="00FE7D5D"/>
    <w:rsid w:val="00FF059D"/>
    <w:rsid w:val="00FF0726"/>
    <w:rsid w:val="00FF0910"/>
    <w:rsid w:val="00FF0C7D"/>
    <w:rsid w:val="00FF0E47"/>
    <w:rsid w:val="00FF0FB9"/>
    <w:rsid w:val="00FF0FC3"/>
    <w:rsid w:val="00FF16A7"/>
    <w:rsid w:val="00FF25F5"/>
    <w:rsid w:val="00FF3700"/>
    <w:rsid w:val="00FF3841"/>
    <w:rsid w:val="00FF3A3C"/>
    <w:rsid w:val="00FF3E90"/>
    <w:rsid w:val="00FF44ED"/>
    <w:rsid w:val="00FF4CF1"/>
    <w:rsid w:val="00FF4F5C"/>
    <w:rsid w:val="00FF5177"/>
    <w:rsid w:val="00FF5474"/>
    <w:rsid w:val="00FF54CA"/>
    <w:rsid w:val="00FF57CC"/>
    <w:rsid w:val="00FF5AD6"/>
    <w:rsid w:val="00FF6326"/>
    <w:rsid w:val="00FF67D3"/>
    <w:rsid w:val="00FF7250"/>
    <w:rsid w:val="00FF7254"/>
    <w:rsid w:val="00FF734F"/>
    <w:rsid w:val="00FF76A4"/>
    <w:rsid w:val="00FF7782"/>
    <w:rsid w:val="00FF7783"/>
    <w:rsid w:val="00FF7CAC"/>
    <w:rsid w:val="00FF7E24"/>
    <w:rsid w:val="00FF7F6B"/>
    <w:rsid w:val="00FF7FDC"/>
    <w:rsid w:val="01000FC9"/>
    <w:rsid w:val="010067EE"/>
    <w:rsid w:val="01010D6E"/>
    <w:rsid w:val="01032773"/>
    <w:rsid w:val="0130B149"/>
    <w:rsid w:val="01381F48"/>
    <w:rsid w:val="01388DC2"/>
    <w:rsid w:val="0142ACAB"/>
    <w:rsid w:val="0161A185"/>
    <w:rsid w:val="0168F82E"/>
    <w:rsid w:val="0172A4F4"/>
    <w:rsid w:val="017409D2"/>
    <w:rsid w:val="01754F50"/>
    <w:rsid w:val="0179C0A3"/>
    <w:rsid w:val="017AD78F"/>
    <w:rsid w:val="017ED9CA"/>
    <w:rsid w:val="018E3917"/>
    <w:rsid w:val="0193A5A8"/>
    <w:rsid w:val="01A620B5"/>
    <w:rsid w:val="01B67E03"/>
    <w:rsid w:val="01BE8643"/>
    <w:rsid w:val="01BECCB6"/>
    <w:rsid w:val="01C36896"/>
    <w:rsid w:val="01C65C06"/>
    <w:rsid w:val="01D816A4"/>
    <w:rsid w:val="01DA91C6"/>
    <w:rsid w:val="01E0D585"/>
    <w:rsid w:val="01E8555A"/>
    <w:rsid w:val="01FA82E4"/>
    <w:rsid w:val="01FC5C95"/>
    <w:rsid w:val="01FD088C"/>
    <w:rsid w:val="020BABA8"/>
    <w:rsid w:val="02141302"/>
    <w:rsid w:val="02303028"/>
    <w:rsid w:val="0239B104"/>
    <w:rsid w:val="023FCE44"/>
    <w:rsid w:val="02540FE6"/>
    <w:rsid w:val="025FA0E1"/>
    <w:rsid w:val="02622F49"/>
    <w:rsid w:val="029E04CF"/>
    <w:rsid w:val="02ACD0C3"/>
    <w:rsid w:val="02B173D2"/>
    <w:rsid w:val="02B1D4B4"/>
    <w:rsid w:val="02B2CC7B"/>
    <w:rsid w:val="02B4A024"/>
    <w:rsid w:val="02B5093B"/>
    <w:rsid w:val="02B52284"/>
    <w:rsid w:val="02BF058D"/>
    <w:rsid w:val="02BFA1C0"/>
    <w:rsid w:val="02C209E2"/>
    <w:rsid w:val="02C45714"/>
    <w:rsid w:val="02D6F07D"/>
    <w:rsid w:val="02D7B2D4"/>
    <w:rsid w:val="02DBFB91"/>
    <w:rsid w:val="02EAF2B5"/>
    <w:rsid w:val="02F50648"/>
    <w:rsid w:val="02F5B7AB"/>
    <w:rsid w:val="02FE8D37"/>
    <w:rsid w:val="03069F0C"/>
    <w:rsid w:val="031C3637"/>
    <w:rsid w:val="032378C1"/>
    <w:rsid w:val="03546321"/>
    <w:rsid w:val="036B1DD8"/>
    <w:rsid w:val="037355FE"/>
    <w:rsid w:val="037370A0"/>
    <w:rsid w:val="03748054"/>
    <w:rsid w:val="037D08B2"/>
    <w:rsid w:val="0388FC4C"/>
    <w:rsid w:val="0390CFD1"/>
    <w:rsid w:val="039E7B1D"/>
    <w:rsid w:val="03A474CC"/>
    <w:rsid w:val="03A96896"/>
    <w:rsid w:val="03AB7D43"/>
    <w:rsid w:val="03B227DB"/>
    <w:rsid w:val="03BC837E"/>
    <w:rsid w:val="03BDBC96"/>
    <w:rsid w:val="03BF99D6"/>
    <w:rsid w:val="03C19451"/>
    <w:rsid w:val="03C1D5A7"/>
    <w:rsid w:val="03C34B96"/>
    <w:rsid w:val="03C54DBA"/>
    <w:rsid w:val="03C66A42"/>
    <w:rsid w:val="03C9AE00"/>
    <w:rsid w:val="03CEE327"/>
    <w:rsid w:val="03D9DCC2"/>
    <w:rsid w:val="03DBD1E5"/>
    <w:rsid w:val="03DFB782"/>
    <w:rsid w:val="03E6E947"/>
    <w:rsid w:val="03E9DB10"/>
    <w:rsid w:val="03F56AD1"/>
    <w:rsid w:val="03F56BAD"/>
    <w:rsid w:val="03F722E5"/>
    <w:rsid w:val="040C8175"/>
    <w:rsid w:val="040F5095"/>
    <w:rsid w:val="04240F32"/>
    <w:rsid w:val="04242745"/>
    <w:rsid w:val="042E07D7"/>
    <w:rsid w:val="0433CDD5"/>
    <w:rsid w:val="043F51B5"/>
    <w:rsid w:val="044F366E"/>
    <w:rsid w:val="04590035"/>
    <w:rsid w:val="045999C3"/>
    <w:rsid w:val="045BC8AB"/>
    <w:rsid w:val="0460B761"/>
    <w:rsid w:val="04688138"/>
    <w:rsid w:val="046A64F0"/>
    <w:rsid w:val="0474B589"/>
    <w:rsid w:val="04871C77"/>
    <w:rsid w:val="04951798"/>
    <w:rsid w:val="049A51A2"/>
    <w:rsid w:val="049B359E"/>
    <w:rsid w:val="04B28B1F"/>
    <w:rsid w:val="04B3CD10"/>
    <w:rsid w:val="04B50458"/>
    <w:rsid w:val="04BF88B5"/>
    <w:rsid w:val="04C26D38"/>
    <w:rsid w:val="04C36F21"/>
    <w:rsid w:val="04C45C8F"/>
    <w:rsid w:val="04C4EDB6"/>
    <w:rsid w:val="04CCFB20"/>
    <w:rsid w:val="04D57249"/>
    <w:rsid w:val="04D6A83F"/>
    <w:rsid w:val="04E25F6A"/>
    <w:rsid w:val="04EC7FF5"/>
    <w:rsid w:val="04F10A89"/>
    <w:rsid w:val="0517734F"/>
    <w:rsid w:val="052CE92B"/>
    <w:rsid w:val="0530EB2D"/>
    <w:rsid w:val="0535F5B3"/>
    <w:rsid w:val="05403098"/>
    <w:rsid w:val="05421F17"/>
    <w:rsid w:val="0543607B"/>
    <w:rsid w:val="0544556C"/>
    <w:rsid w:val="054ABD7A"/>
    <w:rsid w:val="0557DF05"/>
    <w:rsid w:val="055B6893"/>
    <w:rsid w:val="05600378"/>
    <w:rsid w:val="0561735C"/>
    <w:rsid w:val="0563E2EB"/>
    <w:rsid w:val="0569DEED"/>
    <w:rsid w:val="056A7F93"/>
    <w:rsid w:val="057376CC"/>
    <w:rsid w:val="05869A55"/>
    <w:rsid w:val="05894BA3"/>
    <w:rsid w:val="0595D9BE"/>
    <w:rsid w:val="0599C7AC"/>
    <w:rsid w:val="05A0FDEA"/>
    <w:rsid w:val="05A2EFBF"/>
    <w:rsid w:val="05A827DA"/>
    <w:rsid w:val="05B179D5"/>
    <w:rsid w:val="05B672C6"/>
    <w:rsid w:val="05C0B028"/>
    <w:rsid w:val="05C9C862"/>
    <w:rsid w:val="05CBCE64"/>
    <w:rsid w:val="05D066E2"/>
    <w:rsid w:val="05D4D036"/>
    <w:rsid w:val="05D63D3E"/>
    <w:rsid w:val="05DB7713"/>
    <w:rsid w:val="05DDBD2F"/>
    <w:rsid w:val="05E4D855"/>
    <w:rsid w:val="05E8502F"/>
    <w:rsid w:val="05F13374"/>
    <w:rsid w:val="05FDA2BC"/>
    <w:rsid w:val="0609EA42"/>
    <w:rsid w:val="060A57E1"/>
    <w:rsid w:val="060F83AF"/>
    <w:rsid w:val="0612F5CE"/>
    <w:rsid w:val="0613225B"/>
    <w:rsid w:val="06207961"/>
    <w:rsid w:val="062576B3"/>
    <w:rsid w:val="06271300"/>
    <w:rsid w:val="062CE4B9"/>
    <w:rsid w:val="062D621B"/>
    <w:rsid w:val="06385F8D"/>
    <w:rsid w:val="0638B4EA"/>
    <w:rsid w:val="0641AAD3"/>
    <w:rsid w:val="0669E060"/>
    <w:rsid w:val="0675637F"/>
    <w:rsid w:val="06757FF7"/>
    <w:rsid w:val="06770CD9"/>
    <w:rsid w:val="0680826F"/>
    <w:rsid w:val="06826392"/>
    <w:rsid w:val="0685E263"/>
    <w:rsid w:val="0687E010"/>
    <w:rsid w:val="068C2032"/>
    <w:rsid w:val="068CB13C"/>
    <w:rsid w:val="068CDC27"/>
    <w:rsid w:val="06AF148F"/>
    <w:rsid w:val="06B3157A"/>
    <w:rsid w:val="06B37DE1"/>
    <w:rsid w:val="06B67189"/>
    <w:rsid w:val="06C40D8C"/>
    <w:rsid w:val="06C4D297"/>
    <w:rsid w:val="06C58B20"/>
    <w:rsid w:val="06C6BF36"/>
    <w:rsid w:val="06C98B04"/>
    <w:rsid w:val="06CFFCD5"/>
    <w:rsid w:val="06D3B5FE"/>
    <w:rsid w:val="06F31D12"/>
    <w:rsid w:val="06F66A82"/>
    <w:rsid w:val="07282D03"/>
    <w:rsid w:val="0739C551"/>
    <w:rsid w:val="0739F742"/>
    <w:rsid w:val="073D121B"/>
    <w:rsid w:val="0744054B"/>
    <w:rsid w:val="074D239D"/>
    <w:rsid w:val="074F8A90"/>
    <w:rsid w:val="07743A41"/>
    <w:rsid w:val="0774EC7A"/>
    <w:rsid w:val="0781025E"/>
    <w:rsid w:val="07898F2A"/>
    <w:rsid w:val="078FCE10"/>
    <w:rsid w:val="07A47AB0"/>
    <w:rsid w:val="07A9FFFB"/>
    <w:rsid w:val="07B04AC9"/>
    <w:rsid w:val="07B8AF9A"/>
    <w:rsid w:val="07BCD067"/>
    <w:rsid w:val="07C53CEB"/>
    <w:rsid w:val="07CE129E"/>
    <w:rsid w:val="07D23350"/>
    <w:rsid w:val="07D3E852"/>
    <w:rsid w:val="07DC820A"/>
    <w:rsid w:val="07DF3D3F"/>
    <w:rsid w:val="07E37A05"/>
    <w:rsid w:val="07E49BCF"/>
    <w:rsid w:val="07EA8EF9"/>
    <w:rsid w:val="07F7AEFB"/>
    <w:rsid w:val="07F86530"/>
    <w:rsid w:val="07F873D6"/>
    <w:rsid w:val="07FD90E3"/>
    <w:rsid w:val="080A5380"/>
    <w:rsid w:val="080AB76D"/>
    <w:rsid w:val="0813BC92"/>
    <w:rsid w:val="0814602A"/>
    <w:rsid w:val="08150E31"/>
    <w:rsid w:val="08152A40"/>
    <w:rsid w:val="0827DB41"/>
    <w:rsid w:val="08329F81"/>
    <w:rsid w:val="0840766B"/>
    <w:rsid w:val="08421132"/>
    <w:rsid w:val="0844B257"/>
    <w:rsid w:val="08550653"/>
    <w:rsid w:val="08599C0F"/>
    <w:rsid w:val="085E2BC7"/>
    <w:rsid w:val="085F0C4D"/>
    <w:rsid w:val="0860FF12"/>
    <w:rsid w:val="08630BBB"/>
    <w:rsid w:val="086956AA"/>
    <w:rsid w:val="086DBAB9"/>
    <w:rsid w:val="086F1F4B"/>
    <w:rsid w:val="08728D97"/>
    <w:rsid w:val="08737ABE"/>
    <w:rsid w:val="08756CF9"/>
    <w:rsid w:val="0884F0A6"/>
    <w:rsid w:val="089F7268"/>
    <w:rsid w:val="08A9C821"/>
    <w:rsid w:val="08AE0D8A"/>
    <w:rsid w:val="08B5DDB9"/>
    <w:rsid w:val="08BDC883"/>
    <w:rsid w:val="08BF7A87"/>
    <w:rsid w:val="08CABB59"/>
    <w:rsid w:val="08D56CA5"/>
    <w:rsid w:val="08D9F185"/>
    <w:rsid w:val="08DB3742"/>
    <w:rsid w:val="08E08073"/>
    <w:rsid w:val="08EB304D"/>
    <w:rsid w:val="08ECC5C7"/>
    <w:rsid w:val="08F0CC38"/>
    <w:rsid w:val="08F54D9F"/>
    <w:rsid w:val="08F95A13"/>
    <w:rsid w:val="08FB21EF"/>
    <w:rsid w:val="08FC014B"/>
    <w:rsid w:val="090589C3"/>
    <w:rsid w:val="090F7561"/>
    <w:rsid w:val="090FCB3B"/>
    <w:rsid w:val="09120D59"/>
    <w:rsid w:val="0915D27C"/>
    <w:rsid w:val="0924311E"/>
    <w:rsid w:val="0941D498"/>
    <w:rsid w:val="0944975D"/>
    <w:rsid w:val="0944EA2D"/>
    <w:rsid w:val="094AAF0C"/>
    <w:rsid w:val="094D3009"/>
    <w:rsid w:val="096E273D"/>
    <w:rsid w:val="097DD647"/>
    <w:rsid w:val="09810FEE"/>
    <w:rsid w:val="09876896"/>
    <w:rsid w:val="098E0EF8"/>
    <w:rsid w:val="099117D2"/>
    <w:rsid w:val="09963B3A"/>
    <w:rsid w:val="099FE89E"/>
    <w:rsid w:val="09A88E05"/>
    <w:rsid w:val="09B57A6A"/>
    <w:rsid w:val="09B6D338"/>
    <w:rsid w:val="09C59C16"/>
    <w:rsid w:val="09C6AA8D"/>
    <w:rsid w:val="09CE2226"/>
    <w:rsid w:val="09D677CB"/>
    <w:rsid w:val="09D6E71D"/>
    <w:rsid w:val="09D84F1A"/>
    <w:rsid w:val="09DD99ED"/>
    <w:rsid w:val="09E8A2EC"/>
    <w:rsid w:val="09EA139F"/>
    <w:rsid w:val="09EC8534"/>
    <w:rsid w:val="09F6C170"/>
    <w:rsid w:val="09FD1CE3"/>
    <w:rsid w:val="09FD53C4"/>
    <w:rsid w:val="0A0EE651"/>
    <w:rsid w:val="0A1D2D93"/>
    <w:rsid w:val="0A251932"/>
    <w:rsid w:val="0A4A2960"/>
    <w:rsid w:val="0A593785"/>
    <w:rsid w:val="0A679867"/>
    <w:rsid w:val="0A6A5E05"/>
    <w:rsid w:val="0A75ED6F"/>
    <w:rsid w:val="0A7965D1"/>
    <w:rsid w:val="0A8F8F07"/>
    <w:rsid w:val="0A91157A"/>
    <w:rsid w:val="0AA4233B"/>
    <w:rsid w:val="0AA721BE"/>
    <w:rsid w:val="0AAAD306"/>
    <w:rsid w:val="0AB52A1B"/>
    <w:rsid w:val="0ACC31C4"/>
    <w:rsid w:val="0AD11681"/>
    <w:rsid w:val="0AD484F4"/>
    <w:rsid w:val="0AD635A2"/>
    <w:rsid w:val="0AD71F3B"/>
    <w:rsid w:val="0AD73535"/>
    <w:rsid w:val="0AD9B5EB"/>
    <w:rsid w:val="0ADB8F72"/>
    <w:rsid w:val="0AED63F7"/>
    <w:rsid w:val="0AF1B329"/>
    <w:rsid w:val="0AF667BE"/>
    <w:rsid w:val="0AFDA183"/>
    <w:rsid w:val="0B0153DE"/>
    <w:rsid w:val="0B03092D"/>
    <w:rsid w:val="0B1CD1CC"/>
    <w:rsid w:val="0B23049F"/>
    <w:rsid w:val="0B30D5B0"/>
    <w:rsid w:val="0B3520A7"/>
    <w:rsid w:val="0B44B116"/>
    <w:rsid w:val="0B4E1784"/>
    <w:rsid w:val="0B4E9685"/>
    <w:rsid w:val="0B5E1527"/>
    <w:rsid w:val="0B66F0BF"/>
    <w:rsid w:val="0B67A6DC"/>
    <w:rsid w:val="0B7E983E"/>
    <w:rsid w:val="0B8C8388"/>
    <w:rsid w:val="0B93DDFD"/>
    <w:rsid w:val="0B96C2E4"/>
    <w:rsid w:val="0B981AF6"/>
    <w:rsid w:val="0BA5CB7E"/>
    <w:rsid w:val="0BAF3BEA"/>
    <w:rsid w:val="0BB613FF"/>
    <w:rsid w:val="0BB99AF0"/>
    <w:rsid w:val="0BCE9095"/>
    <w:rsid w:val="0BD698D0"/>
    <w:rsid w:val="0BD883F9"/>
    <w:rsid w:val="0BE12B63"/>
    <w:rsid w:val="0BE54992"/>
    <w:rsid w:val="0BF08DB1"/>
    <w:rsid w:val="0C00E7D7"/>
    <w:rsid w:val="0C090D4E"/>
    <w:rsid w:val="0C0B533B"/>
    <w:rsid w:val="0C10604A"/>
    <w:rsid w:val="0C115542"/>
    <w:rsid w:val="0C15462B"/>
    <w:rsid w:val="0C220039"/>
    <w:rsid w:val="0C2906F4"/>
    <w:rsid w:val="0C2D15CA"/>
    <w:rsid w:val="0C37798D"/>
    <w:rsid w:val="0C393E7E"/>
    <w:rsid w:val="0C3E3E40"/>
    <w:rsid w:val="0C48D3AA"/>
    <w:rsid w:val="0C54160B"/>
    <w:rsid w:val="0C63A0A3"/>
    <w:rsid w:val="0C6CD675"/>
    <w:rsid w:val="0C7456DB"/>
    <w:rsid w:val="0C76E1EA"/>
    <w:rsid w:val="0C7F3FAE"/>
    <w:rsid w:val="0C8DB8D8"/>
    <w:rsid w:val="0C9071FE"/>
    <w:rsid w:val="0C9A36C3"/>
    <w:rsid w:val="0C9E18EA"/>
    <w:rsid w:val="0C9FAFD0"/>
    <w:rsid w:val="0CA3E206"/>
    <w:rsid w:val="0CA48AE8"/>
    <w:rsid w:val="0CAF1978"/>
    <w:rsid w:val="0CAFDF29"/>
    <w:rsid w:val="0CB285A3"/>
    <w:rsid w:val="0CBE83FD"/>
    <w:rsid w:val="0CC0A156"/>
    <w:rsid w:val="0CC0B761"/>
    <w:rsid w:val="0CC5C726"/>
    <w:rsid w:val="0CCC9BDA"/>
    <w:rsid w:val="0CCEEBF9"/>
    <w:rsid w:val="0CD44D5C"/>
    <w:rsid w:val="0CD65BA6"/>
    <w:rsid w:val="0CE0AD30"/>
    <w:rsid w:val="0CEB1001"/>
    <w:rsid w:val="0CF1F602"/>
    <w:rsid w:val="0CF3961B"/>
    <w:rsid w:val="0D10BBA8"/>
    <w:rsid w:val="0D212052"/>
    <w:rsid w:val="0D21442C"/>
    <w:rsid w:val="0D22B5EA"/>
    <w:rsid w:val="0D378038"/>
    <w:rsid w:val="0D3FD92D"/>
    <w:rsid w:val="0D54F55F"/>
    <w:rsid w:val="0D5F6C6A"/>
    <w:rsid w:val="0D750F99"/>
    <w:rsid w:val="0D7CFB5E"/>
    <w:rsid w:val="0D8618C4"/>
    <w:rsid w:val="0D95CC71"/>
    <w:rsid w:val="0D994A74"/>
    <w:rsid w:val="0DA19C78"/>
    <w:rsid w:val="0DBA6938"/>
    <w:rsid w:val="0DE8E8F7"/>
    <w:rsid w:val="0DE91282"/>
    <w:rsid w:val="0DEC6482"/>
    <w:rsid w:val="0DEEC93A"/>
    <w:rsid w:val="0DF38031"/>
    <w:rsid w:val="0DF4F90C"/>
    <w:rsid w:val="0DF70E3F"/>
    <w:rsid w:val="0DF76AC5"/>
    <w:rsid w:val="0DF7A88C"/>
    <w:rsid w:val="0DF7E611"/>
    <w:rsid w:val="0DFC4447"/>
    <w:rsid w:val="0DFF8727"/>
    <w:rsid w:val="0E04C7EA"/>
    <w:rsid w:val="0E0C49BC"/>
    <w:rsid w:val="0E101033"/>
    <w:rsid w:val="0E10A690"/>
    <w:rsid w:val="0E18C0F2"/>
    <w:rsid w:val="0E242900"/>
    <w:rsid w:val="0E26B2F3"/>
    <w:rsid w:val="0E282F63"/>
    <w:rsid w:val="0E2A5813"/>
    <w:rsid w:val="0E2FD705"/>
    <w:rsid w:val="0E38844B"/>
    <w:rsid w:val="0E3985E0"/>
    <w:rsid w:val="0E3DB26D"/>
    <w:rsid w:val="0E3DD508"/>
    <w:rsid w:val="0E3F0FD4"/>
    <w:rsid w:val="0E46484E"/>
    <w:rsid w:val="0E4696A4"/>
    <w:rsid w:val="0E589DC9"/>
    <w:rsid w:val="0E58DA1C"/>
    <w:rsid w:val="0E5C8B67"/>
    <w:rsid w:val="0E5E4235"/>
    <w:rsid w:val="0E5F6507"/>
    <w:rsid w:val="0E605FB8"/>
    <w:rsid w:val="0E667AE1"/>
    <w:rsid w:val="0E6D459A"/>
    <w:rsid w:val="0E750670"/>
    <w:rsid w:val="0E7B16A2"/>
    <w:rsid w:val="0E7CC8EA"/>
    <w:rsid w:val="0E7E2918"/>
    <w:rsid w:val="0E815B1C"/>
    <w:rsid w:val="0E920F13"/>
    <w:rsid w:val="0E95272E"/>
    <w:rsid w:val="0E9CBAEE"/>
    <w:rsid w:val="0E9ED4DF"/>
    <w:rsid w:val="0EA5E333"/>
    <w:rsid w:val="0EAA51E9"/>
    <w:rsid w:val="0EB45C91"/>
    <w:rsid w:val="0EB5DD2F"/>
    <w:rsid w:val="0EB93A93"/>
    <w:rsid w:val="0EBD74C8"/>
    <w:rsid w:val="0ECF0A9A"/>
    <w:rsid w:val="0ED5FCC0"/>
    <w:rsid w:val="0EDB78E1"/>
    <w:rsid w:val="0EDD8C93"/>
    <w:rsid w:val="0EDE733E"/>
    <w:rsid w:val="0EE49396"/>
    <w:rsid w:val="0EEBF73C"/>
    <w:rsid w:val="0EF7CC75"/>
    <w:rsid w:val="0EF94EC9"/>
    <w:rsid w:val="0EFDCDFF"/>
    <w:rsid w:val="0EFFA5B5"/>
    <w:rsid w:val="0F0693B2"/>
    <w:rsid w:val="0F0CFEE6"/>
    <w:rsid w:val="0F0DB025"/>
    <w:rsid w:val="0F12F50F"/>
    <w:rsid w:val="0F210068"/>
    <w:rsid w:val="0F25936C"/>
    <w:rsid w:val="0F2616B4"/>
    <w:rsid w:val="0F5629A1"/>
    <w:rsid w:val="0F592939"/>
    <w:rsid w:val="0F5DDF20"/>
    <w:rsid w:val="0F657091"/>
    <w:rsid w:val="0F68F068"/>
    <w:rsid w:val="0F6CE968"/>
    <w:rsid w:val="0F7DC4B1"/>
    <w:rsid w:val="0F8328CA"/>
    <w:rsid w:val="0F875B25"/>
    <w:rsid w:val="0F8809EF"/>
    <w:rsid w:val="0F88D4F9"/>
    <w:rsid w:val="0F8BAB21"/>
    <w:rsid w:val="0F8BDE0E"/>
    <w:rsid w:val="0F97B332"/>
    <w:rsid w:val="0FA0F863"/>
    <w:rsid w:val="0FA3967C"/>
    <w:rsid w:val="0FA7E358"/>
    <w:rsid w:val="0FAAFC79"/>
    <w:rsid w:val="0FB1C98E"/>
    <w:rsid w:val="0FB1E73A"/>
    <w:rsid w:val="0FBF5724"/>
    <w:rsid w:val="0FC18EE1"/>
    <w:rsid w:val="0FDAD17C"/>
    <w:rsid w:val="0FE1234C"/>
    <w:rsid w:val="10075A0C"/>
    <w:rsid w:val="10294BEE"/>
    <w:rsid w:val="1045A394"/>
    <w:rsid w:val="104A55F4"/>
    <w:rsid w:val="104D01F8"/>
    <w:rsid w:val="1051B4B4"/>
    <w:rsid w:val="1052D222"/>
    <w:rsid w:val="105392FE"/>
    <w:rsid w:val="105EDEBE"/>
    <w:rsid w:val="107C01D9"/>
    <w:rsid w:val="108B5E30"/>
    <w:rsid w:val="108C98F8"/>
    <w:rsid w:val="108E9F20"/>
    <w:rsid w:val="10A200C1"/>
    <w:rsid w:val="10AEB060"/>
    <w:rsid w:val="10C0BBE7"/>
    <w:rsid w:val="10C6A756"/>
    <w:rsid w:val="10D4FEB5"/>
    <w:rsid w:val="10D81C01"/>
    <w:rsid w:val="10EB4D60"/>
    <w:rsid w:val="10F9A69D"/>
    <w:rsid w:val="110500BF"/>
    <w:rsid w:val="11086479"/>
    <w:rsid w:val="110AF4A5"/>
    <w:rsid w:val="110D3B5B"/>
    <w:rsid w:val="1113900A"/>
    <w:rsid w:val="112553EA"/>
    <w:rsid w:val="1126B0A5"/>
    <w:rsid w:val="1136DF8E"/>
    <w:rsid w:val="113B19A3"/>
    <w:rsid w:val="113B3809"/>
    <w:rsid w:val="113C9B15"/>
    <w:rsid w:val="113D0E04"/>
    <w:rsid w:val="113EA16D"/>
    <w:rsid w:val="11583E03"/>
    <w:rsid w:val="115B047D"/>
    <w:rsid w:val="116570E3"/>
    <w:rsid w:val="1168A75C"/>
    <w:rsid w:val="1168E7E8"/>
    <w:rsid w:val="117632A2"/>
    <w:rsid w:val="1176E0C1"/>
    <w:rsid w:val="117A049F"/>
    <w:rsid w:val="118B58FA"/>
    <w:rsid w:val="11902391"/>
    <w:rsid w:val="11993D53"/>
    <w:rsid w:val="119D02A5"/>
    <w:rsid w:val="119D132F"/>
    <w:rsid w:val="119D30FF"/>
    <w:rsid w:val="119E48AC"/>
    <w:rsid w:val="11B41383"/>
    <w:rsid w:val="11B4F9D3"/>
    <w:rsid w:val="11B8910B"/>
    <w:rsid w:val="11BB4B91"/>
    <w:rsid w:val="11BF39B2"/>
    <w:rsid w:val="11C86D8E"/>
    <w:rsid w:val="11CE1006"/>
    <w:rsid w:val="11CE9E86"/>
    <w:rsid w:val="11D2D319"/>
    <w:rsid w:val="11F15459"/>
    <w:rsid w:val="11F22D86"/>
    <w:rsid w:val="11FDD73D"/>
    <w:rsid w:val="1206BF4C"/>
    <w:rsid w:val="120CBC0E"/>
    <w:rsid w:val="120D9238"/>
    <w:rsid w:val="12394FB6"/>
    <w:rsid w:val="1240527C"/>
    <w:rsid w:val="1248F38F"/>
    <w:rsid w:val="12494BF5"/>
    <w:rsid w:val="12497582"/>
    <w:rsid w:val="125B31D3"/>
    <w:rsid w:val="125CBB4D"/>
    <w:rsid w:val="12688B27"/>
    <w:rsid w:val="12714886"/>
    <w:rsid w:val="12732A37"/>
    <w:rsid w:val="12850C8D"/>
    <w:rsid w:val="128CE52D"/>
    <w:rsid w:val="1291D54D"/>
    <w:rsid w:val="12931908"/>
    <w:rsid w:val="12A03EB5"/>
    <w:rsid w:val="12A6ABA8"/>
    <w:rsid w:val="12B1AFFC"/>
    <w:rsid w:val="12B58EF3"/>
    <w:rsid w:val="12B83513"/>
    <w:rsid w:val="12D19797"/>
    <w:rsid w:val="12D874C0"/>
    <w:rsid w:val="12DB1DC4"/>
    <w:rsid w:val="12E43757"/>
    <w:rsid w:val="12E6AB91"/>
    <w:rsid w:val="12F6D6ED"/>
    <w:rsid w:val="12FC7C73"/>
    <w:rsid w:val="12FEDBB7"/>
    <w:rsid w:val="1302849A"/>
    <w:rsid w:val="13064EDE"/>
    <w:rsid w:val="13155079"/>
    <w:rsid w:val="13177B49"/>
    <w:rsid w:val="131B5C03"/>
    <w:rsid w:val="131D4BEE"/>
    <w:rsid w:val="131DDCE6"/>
    <w:rsid w:val="132D216F"/>
    <w:rsid w:val="134186C6"/>
    <w:rsid w:val="13469D11"/>
    <w:rsid w:val="1357CD56"/>
    <w:rsid w:val="1365C991"/>
    <w:rsid w:val="1369F0C9"/>
    <w:rsid w:val="136E5574"/>
    <w:rsid w:val="13723549"/>
    <w:rsid w:val="1375A3CB"/>
    <w:rsid w:val="138B3171"/>
    <w:rsid w:val="138CF74C"/>
    <w:rsid w:val="1396F1CF"/>
    <w:rsid w:val="13AA3798"/>
    <w:rsid w:val="13B2CB25"/>
    <w:rsid w:val="13BADFD9"/>
    <w:rsid w:val="13BD3263"/>
    <w:rsid w:val="13C200D7"/>
    <w:rsid w:val="13CA6807"/>
    <w:rsid w:val="13CC2C2F"/>
    <w:rsid w:val="13D0AEDA"/>
    <w:rsid w:val="13D7D55A"/>
    <w:rsid w:val="13D85432"/>
    <w:rsid w:val="13DB6504"/>
    <w:rsid w:val="13E6FBA4"/>
    <w:rsid w:val="13E84110"/>
    <w:rsid w:val="13F22E58"/>
    <w:rsid w:val="13F85A22"/>
    <w:rsid w:val="13FC4C2D"/>
    <w:rsid w:val="1400471C"/>
    <w:rsid w:val="14040739"/>
    <w:rsid w:val="1405665F"/>
    <w:rsid w:val="14094508"/>
    <w:rsid w:val="140DDF28"/>
    <w:rsid w:val="14148F8E"/>
    <w:rsid w:val="141A1E53"/>
    <w:rsid w:val="1425D3D7"/>
    <w:rsid w:val="142D67A4"/>
    <w:rsid w:val="143366A6"/>
    <w:rsid w:val="1437B437"/>
    <w:rsid w:val="143EDB55"/>
    <w:rsid w:val="144F4EDC"/>
    <w:rsid w:val="145228A8"/>
    <w:rsid w:val="145479FF"/>
    <w:rsid w:val="1456A3E3"/>
    <w:rsid w:val="14599789"/>
    <w:rsid w:val="145D522E"/>
    <w:rsid w:val="1460DD4C"/>
    <w:rsid w:val="14663EC7"/>
    <w:rsid w:val="148773AD"/>
    <w:rsid w:val="1488035A"/>
    <w:rsid w:val="14A3ECAD"/>
    <w:rsid w:val="14B55483"/>
    <w:rsid w:val="14BFAC7F"/>
    <w:rsid w:val="14C1D77C"/>
    <w:rsid w:val="14CDE0D0"/>
    <w:rsid w:val="14F572CB"/>
    <w:rsid w:val="14F623CE"/>
    <w:rsid w:val="14FAABFE"/>
    <w:rsid w:val="14FE2E04"/>
    <w:rsid w:val="14FFD389"/>
    <w:rsid w:val="1500BC26"/>
    <w:rsid w:val="1500DFE7"/>
    <w:rsid w:val="1504303D"/>
    <w:rsid w:val="15149FF7"/>
    <w:rsid w:val="151521E0"/>
    <w:rsid w:val="151668FC"/>
    <w:rsid w:val="151ACE7C"/>
    <w:rsid w:val="1521018D"/>
    <w:rsid w:val="1525693C"/>
    <w:rsid w:val="1534C56D"/>
    <w:rsid w:val="1536473E"/>
    <w:rsid w:val="153681FB"/>
    <w:rsid w:val="1539F9BC"/>
    <w:rsid w:val="153CD3B5"/>
    <w:rsid w:val="1545056B"/>
    <w:rsid w:val="155617BA"/>
    <w:rsid w:val="155FF5ED"/>
    <w:rsid w:val="15626BF1"/>
    <w:rsid w:val="1566E5A3"/>
    <w:rsid w:val="156EC5F5"/>
    <w:rsid w:val="15732681"/>
    <w:rsid w:val="15744CD1"/>
    <w:rsid w:val="157C2399"/>
    <w:rsid w:val="157F87E0"/>
    <w:rsid w:val="1585046F"/>
    <w:rsid w:val="158FE9B3"/>
    <w:rsid w:val="1594CC98"/>
    <w:rsid w:val="15959B35"/>
    <w:rsid w:val="15A0E436"/>
    <w:rsid w:val="15A27E97"/>
    <w:rsid w:val="15A5CAEF"/>
    <w:rsid w:val="15B558E8"/>
    <w:rsid w:val="15C62D8A"/>
    <w:rsid w:val="15CA4CE9"/>
    <w:rsid w:val="15D09DD8"/>
    <w:rsid w:val="15D4CEA1"/>
    <w:rsid w:val="15DA8945"/>
    <w:rsid w:val="15E189E1"/>
    <w:rsid w:val="15E6DA3F"/>
    <w:rsid w:val="15E74089"/>
    <w:rsid w:val="15E7A1DC"/>
    <w:rsid w:val="15EBDA3A"/>
    <w:rsid w:val="16080799"/>
    <w:rsid w:val="16132DCB"/>
    <w:rsid w:val="162108A1"/>
    <w:rsid w:val="162C9432"/>
    <w:rsid w:val="162D14B5"/>
    <w:rsid w:val="162F50E1"/>
    <w:rsid w:val="163104C9"/>
    <w:rsid w:val="16364626"/>
    <w:rsid w:val="165AE83C"/>
    <w:rsid w:val="165E5381"/>
    <w:rsid w:val="167303B9"/>
    <w:rsid w:val="167662D3"/>
    <w:rsid w:val="167AEF92"/>
    <w:rsid w:val="167E3D64"/>
    <w:rsid w:val="16869169"/>
    <w:rsid w:val="168A2091"/>
    <w:rsid w:val="169B8E27"/>
    <w:rsid w:val="16AA7F00"/>
    <w:rsid w:val="16B15EA5"/>
    <w:rsid w:val="16B72DC5"/>
    <w:rsid w:val="16BD8A6E"/>
    <w:rsid w:val="16C115E0"/>
    <w:rsid w:val="16C96195"/>
    <w:rsid w:val="16CB3CBF"/>
    <w:rsid w:val="16DA0956"/>
    <w:rsid w:val="16E321FB"/>
    <w:rsid w:val="16E5A45B"/>
    <w:rsid w:val="16ED903E"/>
    <w:rsid w:val="16F57E1E"/>
    <w:rsid w:val="16FAB59A"/>
    <w:rsid w:val="16FEC5AF"/>
    <w:rsid w:val="172098B7"/>
    <w:rsid w:val="173671AE"/>
    <w:rsid w:val="17369ABE"/>
    <w:rsid w:val="17381EF7"/>
    <w:rsid w:val="1741F5E9"/>
    <w:rsid w:val="176E97F9"/>
    <w:rsid w:val="17786245"/>
    <w:rsid w:val="1781F739"/>
    <w:rsid w:val="17938F91"/>
    <w:rsid w:val="17977B10"/>
    <w:rsid w:val="179E1175"/>
    <w:rsid w:val="17A01265"/>
    <w:rsid w:val="17A3CD28"/>
    <w:rsid w:val="17A3F55E"/>
    <w:rsid w:val="17A4517D"/>
    <w:rsid w:val="17A572A6"/>
    <w:rsid w:val="17BA2BEA"/>
    <w:rsid w:val="17C12509"/>
    <w:rsid w:val="17D53185"/>
    <w:rsid w:val="17D576F9"/>
    <w:rsid w:val="17D9B416"/>
    <w:rsid w:val="17DD67CF"/>
    <w:rsid w:val="17E079F9"/>
    <w:rsid w:val="17EE49F1"/>
    <w:rsid w:val="17F00A74"/>
    <w:rsid w:val="17F3B981"/>
    <w:rsid w:val="17F63F9D"/>
    <w:rsid w:val="17F88D60"/>
    <w:rsid w:val="17FC5225"/>
    <w:rsid w:val="180D3002"/>
    <w:rsid w:val="180F0211"/>
    <w:rsid w:val="1813BEA8"/>
    <w:rsid w:val="1814C8D1"/>
    <w:rsid w:val="1815805C"/>
    <w:rsid w:val="1818CD43"/>
    <w:rsid w:val="182BC584"/>
    <w:rsid w:val="18390A1E"/>
    <w:rsid w:val="183BC150"/>
    <w:rsid w:val="183EB690"/>
    <w:rsid w:val="184670F0"/>
    <w:rsid w:val="1858D459"/>
    <w:rsid w:val="185D8511"/>
    <w:rsid w:val="1862B13F"/>
    <w:rsid w:val="186499E6"/>
    <w:rsid w:val="18657C34"/>
    <w:rsid w:val="186AAA84"/>
    <w:rsid w:val="1877FCBB"/>
    <w:rsid w:val="1883AE81"/>
    <w:rsid w:val="18968A34"/>
    <w:rsid w:val="18A61BB3"/>
    <w:rsid w:val="18A68349"/>
    <w:rsid w:val="18A858FC"/>
    <w:rsid w:val="18A879B1"/>
    <w:rsid w:val="18B8E0C7"/>
    <w:rsid w:val="18BD9100"/>
    <w:rsid w:val="18C3EC38"/>
    <w:rsid w:val="18C6D27B"/>
    <w:rsid w:val="18CF43D1"/>
    <w:rsid w:val="18D3FF87"/>
    <w:rsid w:val="18DF32C1"/>
    <w:rsid w:val="18E6D2CA"/>
    <w:rsid w:val="18F73E1C"/>
    <w:rsid w:val="19097A40"/>
    <w:rsid w:val="190D635F"/>
    <w:rsid w:val="191F2936"/>
    <w:rsid w:val="19256D5A"/>
    <w:rsid w:val="192F0F2D"/>
    <w:rsid w:val="192FB461"/>
    <w:rsid w:val="1930415D"/>
    <w:rsid w:val="19307BBE"/>
    <w:rsid w:val="19490E63"/>
    <w:rsid w:val="194C9912"/>
    <w:rsid w:val="19509241"/>
    <w:rsid w:val="19512177"/>
    <w:rsid w:val="1955CFD1"/>
    <w:rsid w:val="1961E62A"/>
    <w:rsid w:val="19630DF9"/>
    <w:rsid w:val="196C2948"/>
    <w:rsid w:val="196FFD18"/>
    <w:rsid w:val="197F1336"/>
    <w:rsid w:val="1983FF36"/>
    <w:rsid w:val="19859123"/>
    <w:rsid w:val="199E2640"/>
    <w:rsid w:val="19A58551"/>
    <w:rsid w:val="19A6F468"/>
    <w:rsid w:val="19A9F11B"/>
    <w:rsid w:val="19BAB587"/>
    <w:rsid w:val="19C34112"/>
    <w:rsid w:val="19C4B364"/>
    <w:rsid w:val="19E2F37A"/>
    <w:rsid w:val="19EF3845"/>
    <w:rsid w:val="19F83987"/>
    <w:rsid w:val="19FA6984"/>
    <w:rsid w:val="1A00A0D8"/>
    <w:rsid w:val="1A013F09"/>
    <w:rsid w:val="1A0234EE"/>
    <w:rsid w:val="1A025B2B"/>
    <w:rsid w:val="1A09D5F1"/>
    <w:rsid w:val="1A151DBD"/>
    <w:rsid w:val="1A233DA8"/>
    <w:rsid w:val="1A2CB3A7"/>
    <w:rsid w:val="1A32FB50"/>
    <w:rsid w:val="1A4091EA"/>
    <w:rsid w:val="1A468E43"/>
    <w:rsid w:val="1A494CD7"/>
    <w:rsid w:val="1A4F80E2"/>
    <w:rsid w:val="1A4FEC39"/>
    <w:rsid w:val="1A618E00"/>
    <w:rsid w:val="1A74E095"/>
    <w:rsid w:val="1A85CD4F"/>
    <w:rsid w:val="1A85D595"/>
    <w:rsid w:val="1A8B014B"/>
    <w:rsid w:val="1AAE2954"/>
    <w:rsid w:val="1AB15101"/>
    <w:rsid w:val="1AC58F0B"/>
    <w:rsid w:val="1AD4619A"/>
    <w:rsid w:val="1AD5B52C"/>
    <w:rsid w:val="1ADE5B2F"/>
    <w:rsid w:val="1AE2F618"/>
    <w:rsid w:val="1AEEC5D5"/>
    <w:rsid w:val="1AF978D7"/>
    <w:rsid w:val="1AFEE05A"/>
    <w:rsid w:val="1B0276DF"/>
    <w:rsid w:val="1B028169"/>
    <w:rsid w:val="1B03B8AB"/>
    <w:rsid w:val="1B07505D"/>
    <w:rsid w:val="1B112F45"/>
    <w:rsid w:val="1B126102"/>
    <w:rsid w:val="1B221250"/>
    <w:rsid w:val="1B2A3026"/>
    <w:rsid w:val="1B2D4960"/>
    <w:rsid w:val="1B343B94"/>
    <w:rsid w:val="1B3A7564"/>
    <w:rsid w:val="1B3F169C"/>
    <w:rsid w:val="1B467F44"/>
    <w:rsid w:val="1B50438E"/>
    <w:rsid w:val="1B582320"/>
    <w:rsid w:val="1B6BD516"/>
    <w:rsid w:val="1B762CF3"/>
    <w:rsid w:val="1B89BB95"/>
    <w:rsid w:val="1B8C623F"/>
    <w:rsid w:val="1B98B03B"/>
    <w:rsid w:val="1BA372B1"/>
    <w:rsid w:val="1BB20396"/>
    <w:rsid w:val="1BB47481"/>
    <w:rsid w:val="1BC260BA"/>
    <w:rsid w:val="1BC865C6"/>
    <w:rsid w:val="1BCB5E00"/>
    <w:rsid w:val="1BCCC4BA"/>
    <w:rsid w:val="1BD69534"/>
    <w:rsid w:val="1BD7CC99"/>
    <w:rsid w:val="1BEC66A2"/>
    <w:rsid w:val="1C0725AE"/>
    <w:rsid w:val="1C08B240"/>
    <w:rsid w:val="1C15EFF6"/>
    <w:rsid w:val="1C1700D7"/>
    <w:rsid w:val="1C18EF03"/>
    <w:rsid w:val="1C3486CD"/>
    <w:rsid w:val="1C359DD9"/>
    <w:rsid w:val="1C378B47"/>
    <w:rsid w:val="1C38AECD"/>
    <w:rsid w:val="1C3C1DB4"/>
    <w:rsid w:val="1C4792BB"/>
    <w:rsid w:val="1C4BF28C"/>
    <w:rsid w:val="1C4E59CD"/>
    <w:rsid w:val="1C4F19CE"/>
    <w:rsid w:val="1C5A3398"/>
    <w:rsid w:val="1C5EC7BE"/>
    <w:rsid w:val="1C64F393"/>
    <w:rsid w:val="1C7E4150"/>
    <w:rsid w:val="1C97BDA0"/>
    <w:rsid w:val="1C9BD6E5"/>
    <w:rsid w:val="1C9F55FE"/>
    <w:rsid w:val="1CA36E0D"/>
    <w:rsid w:val="1CA86EB2"/>
    <w:rsid w:val="1CB84255"/>
    <w:rsid w:val="1CB9ADBD"/>
    <w:rsid w:val="1CC8DC97"/>
    <w:rsid w:val="1CCE8943"/>
    <w:rsid w:val="1CD07BE2"/>
    <w:rsid w:val="1CE9DAA5"/>
    <w:rsid w:val="1CEB36FB"/>
    <w:rsid w:val="1CF550C8"/>
    <w:rsid w:val="1CFE3736"/>
    <w:rsid w:val="1D02F2A1"/>
    <w:rsid w:val="1D04837B"/>
    <w:rsid w:val="1D055BFC"/>
    <w:rsid w:val="1D0D537B"/>
    <w:rsid w:val="1D0DB7D0"/>
    <w:rsid w:val="1D1172F7"/>
    <w:rsid w:val="1D156A42"/>
    <w:rsid w:val="1D1F2D84"/>
    <w:rsid w:val="1D205DFB"/>
    <w:rsid w:val="1D2574E5"/>
    <w:rsid w:val="1D287AA9"/>
    <w:rsid w:val="1D2D0583"/>
    <w:rsid w:val="1D31A59A"/>
    <w:rsid w:val="1D361917"/>
    <w:rsid w:val="1D408A8C"/>
    <w:rsid w:val="1D47665B"/>
    <w:rsid w:val="1D515114"/>
    <w:rsid w:val="1D54E006"/>
    <w:rsid w:val="1D5E4EA4"/>
    <w:rsid w:val="1D5E8218"/>
    <w:rsid w:val="1D637C2B"/>
    <w:rsid w:val="1D64FCFD"/>
    <w:rsid w:val="1D797D8B"/>
    <w:rsid w:val="1D79B1A3"/>
    <w:rsid w:val="1D8124BA"/>
    <w:rsid w:val="1D849FB2"/>
    <w:rsid w:val="1D8641CF"/>
    <w:rsid w:val="1D874C1F"/>
    <w:rsid w:val="1D8989BE"/>
    <w:rsid w:val="1D8EA311"/>
    <w:rsid w:val="1D924F66"/>
    <w:rsid w:val="1D930F04"/>
    <w:rsid w:val="1D969158"/>
    <w:rsid w:val="1D9D2D46"/>
    <w:rsid w:val="1DA56636"/>
    <w:rsid w:val="1DC0CF46"/>
    <w:rsid w:val="1DC60882"/>
    <w:rsid w:val="1DC717C1"/>
    <w:rsid w:val="1DCD9459"/>
    <w:rsid w:val="1DD07234"/>
    <w:rsid w:val="1DDA1278"/>
    <w:rsid w:val="1DDA7C4A"/>
    <w:rsid w:val="1DDEBB58"/>
    <w:rsid w:val="1DE7ADE1"/>
    <w:rsid w:val="1DE91CDB"/>
    <w:rsid w:val="1DEB3575"/>
    <w:rsid w:val="1DEC64E7"/>
    <w:rsid w:val="1DED4728"/>
    <w:rsid w:val="1DED6D1A"/>
    <w:rsid w:val="1DF1E743"/>
    <w:rsid w:val="1DF77E9E"/>
    <w:rsid w:val="1DFA120E"/>
    <w:rsid w:val="1E0069E8"/>
    <w:rsid w:val="1E019FE2"/>
    <w:rsid w:val="1E033392"/>
    <w:rsid w:val="1E18140C"/>
    <w:rsid w:val="1E28658F"/>
    <w:rsid w:val="1E2BBB18"/>
    <w:rsid w:val="1E2D5FD9"/>
    <w:rsid w:val="1E2FDF68"/>
    <w:rsid w:val="1E38E0D4"/>
    <w:rsid w:val="1E3ABA2F"/>
    <w:rsid w:val="1E3B7FE7"/>
    <w:rsid w:val="1E50AD20"/>
    <w:rsid w:val="1E520194"/>
    <w:rsid w:val="1E5D7D5F"/>
    <w:rsid w:val="1E63CCAA"/>
    <w:rsid w:val="1E6FA7CE"/>
    <w:rsid w:val="1E74A079"/>
    <w:rsid w:val="1E7D2661"/>
    <w:rsid w:val="1E7D96AB"/>
    <w:rsid w:val="1E96A0B3"/>
    <w:rsid w:val="1E9BD870"/>
    <w:rsid w:val="1EA521F3"/>
    <w:rsid w:val="1EA7DF17"/>
    <w:rsid w:val="1EA7FB09"/>
    <w:rsid w:val="1EB221B6"/>
    <w:rsid w:val="1EC1D221"/>
    <w:rsid w:val="1EC651DD"/>
    <w:rsid w:val="1ECF3CC7"/>
    <w:rsid w:val="1ECFE434"/>
    <w:rsid w:val="1ED049A1"/>
    <w:rsid w:val="1ED89251"/>
    <w:rsid w:val="1EE29C0A"/>
    <w:rsid w:val="1EE41264"/>
    <w:rsid w:val="1EED0DA7"/>
    <w:rsid w:val="1EEEF11C"/>
    <w:rsid w:val="1EF96820"/>
    <w:rsid w:val="1F0D5865"/>
    <w:rsid w:val="1F1122D1"/>
    <w:rsid w:val="1F17E334"/>
    <w:rsid w:val="1F189149"/>
    <w:rsid w:val="1F1C73BB"/>
    <w:rsid w:val="1F1E5A58"/>
    <w:rsid w:val="1F2AC401"/>
    <w:rsid w:val="1F2D4F89"/>
    <w:rsid w:val="1F3BF5E4"/>
    <w:rsid w:val="1F3D700A"/>
    <w:rsid w:val="1F414FE0"/>
    <w:rsid w:val="1F41FE6C"/>
    <w:rsid w:val="1F4EB7A0"/>
    <w:rsid w:val="1F506A94"/>
    <w:rsid w:val="1F60AAE4"/>
    <w:rsid w:val="1F653793"/>
    <w:rsid w:val="1F69408C"/>
    <w:rsid w:val="1F845518"/>
    <w:rsid w:val="1F86BF94"/>
    <w:rsid w:val="1F86F2CA"/>
    <w:rsid w:val="1F9B7086"/>
    <w:rsid w:val="1F9D52B6"/>
    <w:rsid w:val="1F9ED9C6"/>
    <w:rsid w:val="1FA043FF"/>
    <w:rsid w:val="1FA69F87"/>
    <w:rsid w:val="1FC6E807"/>
    <w:rsid w:val="1FC7AE16"/>
    <w:rsid w:val="1FCE022E"/>
    <w:rsid w:val="1FD51C96"/>
    <w:rsid w:val="1FD5DA21"/>
    <w:rsid w:val="1FDD864E"/>
    <w:rsid w:val="1FE6A067"/>
    <w:rsid w:val="1FED05ED"/>
    <w:rsid w:val="1FEF21E7"/>
    <w:rsid w:val="1FF697A6"/>
    <w:rsid w:val="1FFB1AA9"/>
    <w:rsid w:val="202F9F5F"/>
    <w:rsid w:val="203B45FC"/>
    <w:rsid w:val="204106CF"/>
    <w:rsid w:val="204AEED0"/>
    <w:rsid w:val="204ED26D"/>
    <w:rsid w:val="205A8324"/>
    <w:rsid w:val="206400B9"/>
    <w:rsid w:val="206C5B1F"/>
    <w:rsid w:val="206D8FDD"/>
    <w:rsid w:val="2072A6D0"/>
    <w:rsid w:val="2072EEDF"/>
    <w:rsid w:val="2074373D"/>
    <w:rsid w:val="207457E5"/>
    <w:rsid w:val="20771A9D"/>
    <w:rsid w:val="2081745C"/>
    <w:rsid w:val="2083441F"/>
    <w:rsid w:val="209BC4F6"/>
    <w:rsid w:val="209F01B2"/>
    <w:rsid w:val="20AE195C"/>
    <w:rsid w:val="20B11245"/>
    <w:rsid w:val="20C51BA3"/>
    <w:rsid w:val="20C59E9F"/>
    <w:rsid w:val="20C928E2"/>
    <w:rsid w:val="20CEE294"/>
    <w:rsid w:val="20E89952"/>
    <w:rsid w:val="20EF58A7"/>
    <w:rsid w:val="20F958FA"/>
    <w:rsid w:val="20FEA138"/>
    <w:rsid w:val="2100D7F0"/>
    <w:rsid w:val="210690C6"/>
    <w:rsid w:val="2113A7E7"/>
    <w:rsid w:val="21165465"/>
    <w:rsid w:val="21178AFB"/>
    <w:rsid w:val="211AD567"/>
    <w:rsid w:val="21528640"/>
    <w:rsid w:val="2158E395"/>
    <w:rsid w:val="215F905B"/>
    <w:rsid w:val="2169A30D"/>
    <w:rsid w:val="2174A720"/>
    <w:rsid w:val="2176029E"/>
    <w:rsid w:val="218B9D8D"/>
    <w:rsid w:val="2191C416"/>
    <w:rsid w:val="21B21A27"/>
    <w:rsid w:val="21BA3635"/>
    <w:rsid w:val="21BE75C6"/>
    <w:rsid w:val="21C54EBE"/>
    <w:rsid w:val="21C7D902"/>
    <w:rsid w:val="21C8AA1D"/>
    <w:rsid w:val="21CA52F5"/>
    <w:rsid w:val="21CCE916"/>
    <w:rsid w:val="21D679A7"/>
    <w:rsid w:val="21F31C1C"/>
    <w:rsid w:val="21FF4E37"/>
    <w:rsid w:val="22029264"/>
    <w:rsid w:val="220CE351"/>
    <w:rsid w:val="2211E403"/>
    <w:rsid w:val="221B5F6C"/>
    <w:rsid w:val="2220CBF4"/>
    <w:rsid w:val="2221F0B9"/>
    <w:rsid w:val="2224E691"/>
    <w:rsid w:val="22250889"/>
    <w:rsid w:val="222F1E26"/>
    <w:rsid w:val="223083FF"/>
    <w:rsid w:val="2233BF8E"/>
    <w:rsid w:val="2235D8BD"/>
    <w:rsid w:val="2235F8B5"/>
    <w:rsid w:val="2269E9B9"/>
    <w:rsid w:val="226FCA0F"/>
    <w:rsid w:val="22713FCF"/>
    <w:rsid w:val="227492E8"/>
    <w:rsid w:val="227FD42F"/>
    <w:rsid w:val="2296DDFC"/>
    <w:rsid w:val="229C2E74"/>
    <w:rsid w:val="22A315B1"/>
    <w:rsid w:val="22B26888"/>
    <w:rsid w:val="22B82E00"/>
    <w:rsid w:val="22BB488D"/>
    <w:rsid w:val="22BEE24A"/>
    <w:rsid w:val="22C1A424"/>
    <w:rsid w:val="22C728F8"/>
    <w:rsid w:val="22C85A46"/>
    <w:rsid w:val="22CFE824"/>
    <w:rsid w:val="22D59739"/>
    <w:rsid w:val="22DB9F37"/>
    <w:rsid w:val="22DCA5E7"/>
    <w:rsid w:val="22E551F8"/>
    <w:rsid w:val="22F8210E"/>
    <w:rsid w:val="22F90837"/>
    <w:rsid w:val="2302DC93"/>
    <w:rsid w:val="23071B58"/>
    <w:rsid w:val="2309F8EB"/>
    <w:rsid w:val="231D982E"/>
    <w:rsid w:val="231DE69E"/>
    <w:rsid w:val="231F8BC7"/>
    <w:rsid w:val="2322E0F5"/>
    <w:rsid w:val="2326296F"/>
    <w:rsid w:val="23400FF8"/>
    <w:rsid w:val="23424D5E"/>
    <w:rsid w:val="2342553B"/>
    <w:rsid w:val="23431E9E"/>
    <w:rsid w:val="2347190F"/>
    <w:rsid w:val="23490DFE"/>
    <w:rsid w:val="234B515C"/>
    <w:rsid w:val="234B98B9"/>
    <w:rsid w:val="23518C19"/>
    <w:rsid w:val="23585379"/>
    <w:rsid w:val="235BF68C"/>
    <w:rsid w:val="2361D68D"/>
    <w:rsid w:val="2365F649"/>
    <w:rsid w:val="23683A77"/>
    <w:rsid w:val="236A1B34"/>
    <w:rsid w:val="236DB51B"/>
    <w:rsid w:val="236E3226"/>
    <w:rsid w:val="236F96D4"/>
    <w:rsid w:val="2376B1B5"/>
    <w:rsid w:val="23787D05"/>
    <w:rsid w:val="2384A6F5"/>
    <w:rsid w:val="238F7207"/>
    <w:rsid w:val="2394D12C"/>
    <w:rsid w:val="23AF8BE9"/>
    <w:rsid w:val="23B00308"/>
    <w:rsid w:val="23B38809"/>
    <w:rsid w:val="23BE399F"/>
    <w:rsid w:val="23CAAD6E"/>
    <w:rsid w:val="23E681BE"/>
    <w:rsid w:val="23F4A9CC"/>
    <w:rsid w:val="23F7E254"/>
    <w:rsid w:val="23FBAB7F"/>
    <w:rsid w:val="23FEDD70"/>
    <w:rsid w:val="240A4282"/>
    <w:rsid w:val="240FAAA6"/>
    <w:rsid w:val="242141F2"/>
    <w:rsid w:val="24263A94"/>
    <w:rsid w:val="24322841"/>
    <w:rsid w:val="243CC29D"/>
    <w:rsid w:val="243FC84C"/>
    <w:rsid w:val="245ABBD2"/>
    <w:rsid w:val="2462C592"/>
    <w:rsid w:val="246892B2"/>
    <w:rsid w:val="247818F5"/>
    <w:rsid w:val="247FF869"/>
    <w:rsid w:val="248335FF"/>
    <w:rsid w:val="2485A103"/>
    <w:rsid w:val="248D8701"/>
    <w:rsid w:val="2492FB9F"/>
    <w:rsid w:val="2498C6EB"/>
    <w:rsid w:val="249926B5"/>
    <w:rsid w:val="24A05F4C"/>
    <w:rsid w:val="24A69EED"/>
    <w:rsid w:val="24A84654"/>
    <w:rsid w:val="24B3F2B9"/>
    <w:rsid w:val="24B517C5"/>
    <w:rsid w:val="24B5A893"/>
    <w:rsid w:val="24B8736A"/>
    <w:rsid w:val="24B9A5DA"/>
    <w:rsid w:val="24BE3CFC"/>
    <w:rsid w:val="24C8BCCC"/>
    <w:rsid w:val="24CD129E"/>
    <w:rsid w:val="24CD482D"/>
    <w:rsid w:val="24CFDF80"/>
    <w:rsid w:val="24DB0E6D"/>
    <w:rsid w:val="24DD1DF5"/>
    <w:rsid w:val="24E4B558"/>
    <w:rsid w:val="24E4B7EE"/>
    <w:rsid w:val="25016024"/>
    <w:rsid w:val="2501ED4B"/>
    <w:rsid w:val="25093812"/>
    <w:rsid w:val="25102B5E"/>
    <w:rsid w:val="2512A266"/>
    <w:rsid w:val="251EE6E6"/>
    <w:rsid w:val="252B042C"/>
    <w:rsid w:val="252F2167"/>
    <w:rsid w:val="253A9DDD"/>
    <w:rsid w:val="2541609F"/>
    <w:rsid w:val="25438FCD"/>
    <w:rsid w:val="255542E9"/>
    <w:rsid w:val="25554A59"/>
    <w:rsid w:val="255696BD"/>
    <w:rsid w:val="255F78D4"/>
    <w:rsid w:val="25653B6D"/>
    <w:rsid w:val="25654423"/>
    <w:rsid w:val="257955C8"/>
    <w:rsid w:val="25857483"/>
    <w:rsid w:val="2586C1E0"/>
    <w:rsid w:val="258A564B"/>
    <w:rsid w:val="258E15D2"/>
    <w:rsid w:val="25921DC6"/>
    <w:rsid w:val="259DC1A3"/>
    <w:rsid w:val="25B25C41"/>
    <w:rsid w:val="25B40BE0"/>
    <w:rsid w:val="25C41C22"/>
    <w:rsid w:val="25D5F811"/>
    <w:rsid w:val="25DCD0E0"/>
    <w:rsid w:val="25DE9C3E"/>
    <w:rsid w:val="25E09DF3"/>
    <w:rsid w:val="25E24457"/>
    <w:rsid w:val="25E49112"/>
    <w:rsid w:val="25EB97CD"/>
    <w:rsid w:val="25EC4301"/>
    <w:rsid w:val="25EC4CA0"/>
    <w:rsid w:val="25F5DE98"/>
    <w:rsid w:val="25F85B15"/>
    <w:rsid w:val="25FF1E4C"/>
    <w:rsid w:val="2611275B"/>
    <w:rsid w:val="262F4197"/>
    <w:rsid w:val="2635DA7F"/>
    <w:rsid w:val="265BD43B"/>
    <w:rsid w:val="265BD7B9"/>
    <w:rsid w:val="265DFDCF"/>
    <w:rsid w:val="26610F98"/>
    <w:rsid w:val="266211C3"/>
    <w:rsid w:val="2663D9C8"/>
    <w:rsid w:val="26674679"/>
    <w:rsid w:val="266BBCB3"/>
    <w:rsid w:val="266ED5E1"/>
    <w:rsid w:val="2677E44C"/>
    <w:rsid w:val="26833646"/>
    <w:rsid w:val="26846A20"/>
    <w:rsid w:val="268A05B6"/>
    <w:rsid w:val="268C07CE"/>
    <w:rsid w:val="268C7D76"/>
    <w:rsid w:val="26913E8F"/>
    <w:rsid w:val="269AE2D5"/>
    <w:rsid w:val="269D8B0A"/>
    <w:rsid w:val="26A0B9A7"/>
    <w:rsid w:val="26ABFF31"/>
    <w:rsid w:val="26B33CAF"/>
    <w:rsid w:val="26B63AAE"/>
    <w:rsid w:val="26B963C0"/>
    <w:rsid w:val="26BB1D4B"/>
    <w:rsid w:val="26BC7548"/>
    <w:rsid w:val="26C25822"/>
    <w:rsid w:val="26D69828"/>
    <w:rsid w:val="26D9FB54"/>
    <w:rsid w:val="26DFA195"/>
    <w:rsid w:val="26EAA706"/>
    <w:rsid w:val="26F00D27"/>
    <w:rsid w:val="2706C1F4"/>
    <w:rsid w:val="270CA91B"/>
    <w:rsid w:val="270EC843"/>
    <w:rsid w:val="27102602"/>
    <w:rsid w:val="27119CE9"/>
    <w:rsid w:val="2715AB7D"/>
    <w:rsid w:val="271C560C"/>
    <w:rsid w:val="271DE642"/>
    <w:rsid w:val="271E7A49"/>
    <w:rsid w:val="2728AE1B"/>
    <w:rsid w:val="272A481E"/>
    <w:rsid w:val="272F33D3"/>
    <w:rsid w:val="2733F7E3"/>
    <w:rsid w:val="273CCAD2"/>
    <w:rsid w:val="274F900B"/>
    <w:rsid w:val="27512FD1"/>
    <w:rsid w:val="275E006A"/>
    <w:rsid w:val="275E0EB0"/>
    <w:rsid w:val="2762E16C"/>
    <w:rsid w:val="27675845"/>
    <w:rsid w:val="27764D4C"/>
    <w:rsid w:val="279CE738"/>
    <w:rsid w:val="27ACBB0C"/>
    <w:rsid w:val="27BF44F4"/>
    <w:rsid w:val="27C92391"/>
    <w:rsid w:val="27C9DFF4"/>
    <w:rsid w:val="27CE46CB"/>
    <w:rsid w:val="27CEEEDE"/>
    <w:rsid w:val="27DA54F6"/>
    <w:rsid w:val="27DAD911"/>
    <w:rsid w:val="27E74D81"/>
    <w:rsid w:val="27EC4876"/>
    <w:rsid w:val="27F50B3C"/>
    <w:rsid w:val="27FA1001"/>
    <w:rsid w:val="27FD3F19"/>
    <w:rsid w:val="280B17C5"/>
    <w:rsid w:val="280F6027"/>
    <w:rsid w:val="28137509"/>
    <w:rsid w:val="28161B98"/>
    <w:rsid w:val="2818E720"/>
    <w:rsid w:val="281C3CB3"/>
    <w:rsid w:val="2823E53A"/>
    <w:rsid w:val="28309986"/>
    <w:rsid w:val="2835EEE1"/>
    <w:rsid w:val="2837C66C"/>
    <w:rsid w:val="2852C129"/>
    <w:rsid w:val="2854FB4B"/>
    <w:rsid w:val="285AFA0E"/>
    <w:rsid w:val="285C45CA"/>
    <w:rsid w:val="285EEA36"/>
    <w:rsid w:val="2860C8ED"/>
    <w:rsid w:val="28698360"/>
    <w:rsid w:val="286FC80D"/>
    <w:rsid w:val="28726B3A"/>
    <w:rsid w:val="28839DE8"/>
    <w:rsid w:val="288A7D15"/>
    <w:rsid w:val="2896A737"/>
    <w:rsid w:val="28A0CCC0"/>
    <w:rsid w:val="28A69CA6"/>
    <w:rsid w:val="28B06591"/>
    <w:rsid w:val="28B87FBB"/>
    <w:rsid w:val="28BA3B27"/>
    <w:rsid w:val="28BD37A0"/>
    <w:rsid w:val="28C05A24"/>
    <w:rsid w:val="28C28105"/>
    <w:rsid w:val="28C3E6DC"/>
    <w:rsid w:val="28CBAC4D"/>
    <w:rsid w:val="28D3F460"/>
    <w:rsid w:val="28D623AF"/>
    <w:rsid w:val="28E59E55"/>
    <w:rsid w:val="28EA791C"/>
    <w:rsid w:val="28F124CD"/>
    <w:rsid w:val="28F5B57B"/>
    <w:rsid w:val="29057137"/>
    <w:rsid w:val="29139FC1"/>
    <w:rsid w:val="292650C3"/>
    <w:rsid w:val="29274ABC"/>
    <w:rsid w:val="292F8D01"/>
    <w:rsid w:val="2934C04E"/>
    <w:rsid w:val="294F7091"/>
    <w:rsid w:val="294FDD4C"/>
    <w:rsid w:val="2965A6A6"/>
    <w:rsid w:val="29683BF2"/>
    <w:rsid w:val="29685D41"/>
    <w:rsid w:val="296F2144"/>
    <w:rsid w:val="29809F66"/>
    <w:rsid w:val="298A67FE"/>
    <w:rsid w:val="298E20D2"/>
    <w:rsid w:val="298F1FE5"/>
    <w:rsid w:val="299D2E76"/>
    <w:rsid w:val="29A41AAE"/>
    <w:rsid w:val="29A96D20"/>
    <w:rsid w:val="29AD6703"/>
    <w:rsid w:val="29B320B6"/>
    <w:rsid w:val="29BD6706"/>
    <w:rsid w:val="29DDF59E"/>
    <w:rsid w:val="29FE25BF"/>
    <w:rsid w:val="2A04F545"/>
    <w:rsid w:val="2A21F13F"/>
    <w:rsid w:val="2A339D54"/>
    <w:rsid w:val="2A36C05C"/>
    <w:rsid w:val="2A3AD713"/>
    <w:rsid w:val="2A3BF1F0"/>
    <w:rsid w:val="2A43427F"/>
    <w:rsid w:val="2A4A59F8"/>
    <w:rsid w:val="2A512408"/>
    <w:rsid w:val="2A546F05"/>
    <w:rsid w:val="2A5536F6"/>
    <w:rsid w:val="2A55BACD"/>
    <w:rsid w:val="2A5A8D0E"/>
    <w:rsid w:val="2A5C781F"/>
    <w:rsid w:val="2A6D85DA"/>
    <w:rsid w:val="2A6F2C76"/>
    <w:rsid w:val="2A6F6B18"/>
    <w:rsid w:val="2A807BCE"/>
    <w:rsid w:val="2A8127CD"/>
    <w:rsid w:val="2A8227F8"/>
    <w:rsid w:val="2A9290A4"/>
    <w:rsid w:val="2A952ECD"/>
    <w:rsid w:val="2A983E7B"/>
    <w:rsid w:val="2A9E7873"/>
    <w:rsid w:val="2AA25FF0"/>
    <w:rsid w:val="2AA7582D"/>
    <w:rsid w:val="2AABF5D4"/>
    <w:rsid w:val="2AAC5A0D"/>
    <w:rsid w:val="2ABDB458"/>
    <w:rsid w:val="2ABF4961"/>
    <w:rsid w:val="2AC8B5EF"/>
    <w:rsid w:val="2ACD668A"/>
    <w:rsid w:val="2ACDD3E5"/>
    <w:rsid w:val="2AD3AA7E"/>
    <w:rsid w:val="2ADB5535"/>
    <w:rsid w:val="2ADF8D71"/>
    <w:rsid w:val="2AE60E90"/>
    <w:rsid w:val="2B05E6CE"/>
    <w:rsid w:val="2B0851DD"/>
    <w:rsid w:val="2B0D2100"/>
    <w:rsid w:val="2B0DE766"/>
    <w:rsid w:val="2B10F8E4"/>
    <w:rsid w:val="2B187A06"/>
    <w:rsid w:val="2B18E96C"/>
    <w:rsid w:val="2B1C6848"/>
    <w:rsid w:val="2B203FCD"/>
    <w:rsid w:val="2B2BC719"/>
    <w:rsid w:val="2B301545"/>
    <w:rsid w:val="2B377E16"/>
    <w:rsid w:val="2B3CDB03"/>
    <w:rsid w:val="2B3E91D8"/>
    <w:rsid w:val="2B446C1B"/>
    <w:rsid w:val="2B448D87"/>
    <w:rsid w:val="2B457F21"/>
    <w:rsid w:val="2B4AB54C"/>
    <w:rsid w:val="2B636B96"/>
    <w:rsid w:val="2B6EA952"/>
    <w:rsid w:val="2B6F7BB0"/>
    <w:rsid w:val="2B770F09"/>
    <w:rsid w:val="2B7E4030"/>
    <w:rsid w:val="2B8E5608"/>
    <w:rsid w:val="2B96C2F2"/>
    <w:rsid w:val="2B9B5838"/>
    <w:rsid w:val="2BAED211"/>
    <w:rsid w:val="2BB21183"/>
    <w:rsid w:val="2BB2844B"/>
    <w:rsid w:val="2BC8ADD1"/>
    <w:rsid w:val="2BCF49B9"/>
    <w:rsid w:val="2BD440E7"/>
    <w:rsid w:val="2BD45CD0"/>
    <w:rsid w:val="2BDFD47A"/>
    <w:rsid w:val="2BE0683C"/>
    <w:rsid w:val="2BE2A58A"/>
    <w:rsid w:val="2BE802B6"/>
    <w:rsid w:val="2BE8DBDF"/>
    <w:rsid w:val="2BEC7A83"/>
    <w:rsid w:val="2BEE8EFC"/>
    <w:rsid w:val="2BFA3BDB"/>
    <w:rsid w:val="2C071CBA"/>
    <w:rsid w:val="2C07F059"/>
    <w:rsid w:val="2C0C768E"/>
    <w:rsid w:val="2C13641E"/>
    <w:rsid w:val="2C1A9335"/>
    <w:rsid w:val="2C1C8209"/>
    <w:rsid w:val="2C1E52FF"/>
    <w:rsid w:val="2C206036"/>
    <w:rsid w:val="2C215915"/>
    <w:rsid w:val="2C2AAD78"/>
    <w:rsid w:val="2C392B01"/>
    <w:rsid w:val="2C3D9449"/>
    <w:rsid w:val="2C3F0947"/>
    <w:rsid w:val="2C455359"/>
    <w:rsid w:val="2C490955"/>
    <w:rsid w:val="2C60BA74"/>
    <w:rsid w:val="2C733B65"/>
    <w:rsid w:val="2C78810E"/>
    <w:rsid w:val="2C796277"/>
    <w:rsid w:val="2C7A52EC"/>
    <w:rsid w:val="2C7B4CA3"/>
    <w:rsid w:val="2C87AC53"/>
    <w:rsid w:val="2C87BE48"/>
    <w:rsid w:val="2C880515"/>
    <w:rsid w:val="2C9A1716"/>
    <w:rsid w:val="2C9B57B0"/>
    <w:rsid w:val="2CA4283C"/>
    <w:rsid w:val="2CAA9872"/>
    <w:rsid w:val="2CAAC26B"/>
    <w:rsid w:val="2CBD437F"/>
    <w:rsid w:val="2CC6CDF1"/>
    <w:rsid w:val="2CC94A17"/>
    <w:rsid w:val="2CD4912B"/>
    <w:rsid w:val="2CED7ED4"/>
    <w:rsid w:val="2CEDE230"/>
    <w:rsid w:val="2CF09A11"/>
    <w:rsid w:val="2D030FCC"/>
    <w:rsid w:val="2D03AC00"/>
    <w:rsid w:val="2D067385"/>
    <w:rsid w:val="2D145058"/>
    <w:rsid w:val="2D17C875"/>
    <w:rsid w:val="2D1AFAD8"/>
    <w:rsid w:val="2D27774F"/>
    <w:rsid w:val="2D28D85D"/>
    <w:rsid w:val="2D2B2ED1"/>
    <w:rsid w:val="2D2E75AB"/>
    <w:rsid w:val="2D4D1D06"/>
    <w:rsid w:val="2D4F9D71"/>
    <w:rsid w:val="2D5B7BD4"/>
    <w:rsid w:val="2D65050F"/>
    <w:rsid w:val="2D688066"/>
    <w:rsid w:val="2D6894D5"/>
    <w:rsid w:val="2D6B8B0F"/>
    <w:rsid w:val="2D770D33"/>
    <w:rsid w:val="2D7A2C39"/>
    <w:rsid w:val="2D7A813D"/>
    <w:rsid w:val="2D8355E2"/>
    <w:rsid w:val="2D8C3C17"/>
    <w:rsid w:val="2D9B7743"/>
    <w:rsid w:val="2D9D3D5F"/>
    <w:rsid w:val="2DA520C4"/>
    <w:rsid w:val="2DA9A169"/>
    <w:rsid w:val="2DBC1ABB"/>
    <w:rsid w:val="2DC11AC7"/>
    <w:rsid w:val="2DC69EFF"/>
    <w:rsid w:val="2DD3291A"/>
    <w:rsid w:val="2DE7D3B6"/>
    <w:rsid w:val="2DEB0559"/>
    <w:rsid w:val="2DEBA9C6"/>
    <w:rsid w:val="2DF44038"/>
    <w:rsid w:val="2DF5E9FA"/>
    <w:rsid w:val="2DFB6A69"/>
    <w:rsid w:val="2DFBF6C7"/>
    <w:rsid w:val="2E09BEAC"/>
    <w:rsid w:val="2E0DC3F3"/>
    <w:rsid w:val="2E1C7C9C"/>
    <w:rsid w:val="2E2B3493"/>
    <w:rsid w:val="2E2CC673"/>
    <w:rsid w:val="2E621633"/>
    <w:rsid w:val="2E72D8AF"/>
    <w:rsid w:val="2E743543"/>
    <w:rsid w:val="2E7A178E"/>
    <w:rsid w:val="2E7EA4CB"/>
    <w:rsid w:val="2E8B4644"/>
    <w:rsid w:val="2E8BEC29"/>
    <w:rsid w:val="2E8C1F86"/>
    <w:rsid w:val="2E988258"/>
    <w:rsid w:val="2E9C80C6"/>
    <w:rsid w:val="2EA5B2F2"/>
    <w:rsid w:val="2EA8F572"/>
    <w:rsid w:val="2EB0A003"/>
    <w:rsid w:val="2EB31205"/>
    <w:rsid w:val="2EBDF254"/>
    <w:rsid w:val="2EBE26E2"/>
    <w:rsid w:val="2ECB18A8"/>
    <w:rsid w:val="2ECD734F"/>
    <w:rsid w:val="2ECE4748"/>
    <w:rsid w:val="2ED2B0A4"/>
    <w:rsid w:val="2ED2C571"/>
    <w:rsid w:val="2ED570FF"/>
    <w:rsid w:val="2EE8B929"/>
    <w:rsid w:val="2EE92C44"/>
    <w:rsid w:val="2EFBF835"/>
    <w:rsid w:val="2EFD11FB"/>
    <w:rsid w:val="2F07676F"/>
    <w:rsid w:val="2F0C201C"/>
    <w:rsid w:val="2F0C7D4F"/>
    <w:rsid w:val="2F0D4794"/>
    <w:rsid w:val="2F0F9F47"/>
    <w:rsid w:val="2F0FDFD9"/>
    <w:rsid w:val="2F169B8C"/>
    <w:rsid w:val="2F257A2B"/>
    <w:rsid w:val="2F264C56"/>
    <w:rsid w:val="2F2F5E9F"/>
    <w:rsid w:val="2F3402F0"/>
    <w:rsid w:val="2F405674"/>
    <w:rsid w:val="2F423CE0"/>
    <w:rsid w:val="2F425FD7"/>
    <w:rsid w:val="2F43BF2A"/>
    <w:rsid w:val="2F4A9824"/>
    <w:rsid w:val="2F4B7661"/>
    <w:rsid w:val="2F4D0994"/>
    <w:rsid w:val="2F4D6E6A"/>
    <w:rsid w:val="2F5464FC"/>
    <w:rsid w:val="2F5667EA"/>
    <w:rsid w:val="2F580EF2"/>
    <w:rsid w:val="2F5B7F94"/>
    <w:rsid w:val="2F63E5C8"/>
    <w:rsid w:val="2F7BC2A1"/>
    <w:rsid w:val="2F7EA16F"/>
    <w:rsid w:val="2F942967"/>
    <w:rsid w:val="2F94F856"/>
    <w:rsid w:val="2F9F0E31"/>
    <w:rsid w:val="2FB0410D"/>
    <w:rsid w:val="2FB833EB"/>
    <w:rsid w:val="2FBEB3BC"/>
    <w:rsid w:val="2FBFA112"/>
    <w:rsid w:val="2FC5D8F1"/>
    <w:rsid w:val="2FCBED97"/>
    <w:rsid w:val="2FD13A69"/>
    <w:rsid w:val="2FD8379C"/>
    <w:rsid w:val="2FD9CA68"/>
    <w:rsid w:val="2FE38390"/>
    <w:rsid w:val="2FEE4965"/>
    <w:rsid w:val="3005420F"/>
    <w:rsid w:val="30068F3D"/>
    <w:rsid w:val="300A06A2"/>
    <w:rsid w:val="3012D5B0"/>
    <w:rsid w:val="3020E1D1"/>
    <w:rsid w:val="3024C53F"/>
    <w:rsid w:val="303A653D"/>
    <w:rsid w:val="304612BE"/>
    <w:rsid w:val="30545B8F"/>
    <w:rsid w:val="3056FCA2"/>
    <w:rsid w:val="30590A0E"/>
    <w:rsid w:val="305C4117"/>
    <w:rsid w:val="30615235"/>
    <w:rsid w:val="306340E0"/>
    <w:rsid w:val="306A9F5C"/>
    <w:rsid w:val="30737A3D"/>
    <w:rsid w:val="308C0ADE"/>
    <w:rsid w:val="308C3128"/>
    <w:rsid w:val="309B70B9"/>
    <w:rsid w:val="30A8C620"/>
    <w:rsid w:val="30ACFD3B"/>
    <w:rsid w:val="30BFF167"/>
    <w:rsid w:val="30CAC845"/>
    <w:rsid w:val="30D086E0"/>
    <w:rsid w:val="30D6B4DD"/>
    <w:rsid w:val="30D6C736"/>
    <w:rsid w:val="30E2020E"/>
    <w:rsid w:val="30E5804B"/>
    <w:rsid w:val="30EB3650"/>
    <w:rsid w:val="30F1D325"/>
    <w:rsid w:val="30F34B8F"/>
    <w:rsid w:val="30F5031E"/>
    <w:rsid w:val="30FEECEC"/>
    <w:rsid w:val="3103EE86"/>
    <w:rsid w:val="310AF7E7"/>
    <w:rsid w:val="310B015A"/>
    <w:rsid w:val="31118FEF"/>
    <w:rsid w:val="31282F66"/>
    <w:rsid w:val="312AFBE0"/>
    <w:rsid w:val="312D38D9"/>
    <w:rsid w:val="31482EF2"/>
    <w:rsid w:val="3149E04D"/>
    <w:rsid w:val="3155A6CB"/>
    <w:rsid w:val="3177E162"/>
    <w:rsid w:val="317B7424"/>
    <w:rsid w:val="3182C56B"/>
    <w:rsid w:val="3184F9A4"/>
    <w:rsid w:val="3191F73E"/>
    <w:rsid w:val="31A79150"/>
    <w:rsid w:val="31B4DC03"/>
    <w:rsid w:val="31B6A5BB"/>
    <w:rsid w:val="31C847E1"/>
    <w:rsid w:val="31D01F9C"/>
    <w:rsid w:val="31DBB099"/>
    <w:rsid w:val="31E8DAD3"/>
    <w:rsid w:val="31EEF621"/>
    <w:rsid w:val="31F7F2C0"/>
    <w:rsid w:val="31FA0D82"/>
    <w:rsid w:val="32043444"/>
    <w:rsid w:val="320526AB"/>
    <w:rsid w:val="32086386"/>
    <w:rsid w:val="321156FC"/>
    <w:rsid w:val="321E8646"/>
    <w:rsid w:val="32229128"/>
    <w:rsid w:val="32291DAA"/>
    <w:rsid w:val="323018ED"/>
    <w:rsid w:val="3232D76F"/>
    <w:rsid w:val="3238B46C"/>
    <w:rsid w:val="323CF6F2"/>
    <w:rsid w:val="323E1AB8"/>
    <w:rsid w:val="323E5889"/>
    <w:rsid w:val="323E9D7A"/>
    <w:rsid w:val="3243C9BA"/>
    <w:rsid w:val="3246058A"/>
    <w:rsid w:val="3249DDED"/>
    <w:rsid w:val="324AAFD0"/>
    <w:rsid w:val="324CDA49"/>
    <w:rsid w:val="3252B263"/>
    <w:rsid w:val="32580DDD"/>
    <w:rsid w:val="325B107C"/>
    <w:rsid w:val="325B3118"/>
    <w:rsid w:val="3260AF53"/>
    <w:rsid w:val="32744D86"/>
    <w:rsid w:val="3275E9E4"/>
    <w:rsid w:val="32780F9A"/>
    <w:rsid w:val="3278367A"/>
    <w:rsid w:val="327C2491"/>
    <w:rsid w:val="327EA6C0"/>
    <w:rsid w:val="32915BA4"/>
    <w:rsid w:val="329C2589"/>
    <w:rsid w:val="32A6D577"/>
    <w:rsid w:val="32B27B90"/>
    <w:rsid w:val="32B73614"/>
    <w:rsid w:val="32BF2524"/>
    <w:rsid w:val="32BFFC46"/>
    <w:rsid w:val="32C734A8"/>
    <w:rsid w:val="32CC0670"/>
    <w:rsid w:val="32E3D87D"/>
    <w:rsid w:val="32EF6DD8"/>
    <w:rsid w:val="32F548EA"/>
    <w:rsid w:val="32FB1F10"/>
    <w:rsid w:val="32FCBD04"/>
    <w:rsid w:val="3304A36B"/>
    <w:rsid w:val="33056392"/>
    <w:rsid w:val="3305C9F2"/>
    <w:rsid w:val="330AE181"/>
    <w:rsid w:val="330DE214"/>
    <w:rsid w:val="3315776D"/>
    <w:rsid w:val="331B64C6"/>
    <w:rsid w:val="331C6BDF"/>
    <w:rsid w:val="331DA367"/>
    <w:rsid w:val="332100E3"/>
    <w:rsid w:val="332BA72A"/>
    <w:rsid w:val="332DDEDE"/>
    <w:rsid w:val="332F8C2F"/>
    <w:rsid w:val="3333EA91"/>
    <w:rsid w:val="333C45A0"/>
    <w:rsid w:val="33416F3E"/>
    <w:rsid w:val="33437566"/>
    <w:rsid w:val="33472674"/>
    <w:rsid w:val="335054D9"/>
    <w:rsid w:val="335B22F9"/>
    <w:rsid w:val="33669874"/>
    <w:rsid w:val="336D35E6"/>
    <w:rsid w:val="336EA4A3"/>
    <w:rsid w:val="33724BCB"/>
    <w:rsid w:val="3372C859"/>
    <w:rsid w:val="33735C7A"/>
    <w:rsid w:val="337DEA06"/>
    <w:rsid w:val="337F643A"/>
    <w:rsid w:val="338F5DE6"/>
    <w:rsid w:val="3395E94B"/>
    <w:rsid w:val="339CBDFF"/>
    <w:rsid w:val="33A2D565"/>
    <w:rsid w:val="33A86ECF"/>
    <w:rsid w:val="33A94050"/>
    <w:rsid w:val="33B0318C"/>
    <w:rsid w:val="33B60527"/>
    <w:rsid w:val="33C43498"/>
    <w:rsid w:val="33CB2087"/>
    <w:rsid w:val="33D2909B"/>
    <w:rsid w:val="33D6AAF3"/>
    <w:rsid w:val="33D98BA1"/>
    <w:rsid w:val="33DA2370"/>
    <w:rsid w:val="33DE05F1"/>
    <w:rsid w:val="33EB68A5"/>
    <w:rsid w:val="33EB8EB0"/>
    <w:rsid w:val="3403ABED"/>
    <w:rsid w:val="340EF024"/>
    <w:rsid w:val="340EFF94"/>
    <w:rsid w:val="3410532E"/>
    <w:rsid w:val="34115BFE"/>
    <w:rsid w:val="341757EC"/>
    <w:rsid w:val="341DA922"/>
    <w:rsid w:val="341EC288"/>
    <w:rsid w:val="34280A08"/>
    <w:rsid w:val="343E9F8A"/>
    <w:rsid w:val="3446E6E7"/>
    <w:rsid w:val="34496B76"/>
    <w:rsid w:val="344B83B9"/>
    <w:rsid w:val="344D0172"/>
    <w:rsid w:val="344F3A60"/>
    <w:rsid w:val="34549A11"/>
    <w:rsid w:val="3457F31F"/>
    <w:rsid w:val="345B39B4"/>
    <w:rsid w:val="34658316"/>
    <w:rsid w:val="3467B359"/>
    <w:rsid w:val="34778784"/>
    <w:rsid w:val="349EC720"/>
    <w:rsid w:val="349F9FED"/>
    <w:rsid w:val="34A6DD60"/>
    <w:rsid w:val="34A82FCC"/>
    <w:rsid w:val="34A8AC6F"/>
    <w:rsid w:val="34A8D142"/>
    <w:rsid w:val="34AFDA79"/>
    <w:rsid w:val="34BF284D"/>
    <w:rsid w:val="34C1E2E4"/>
    <w:rsid w:val="34CD6D4F"/>
    <w:rsid w:val="34CE07F8"/>
    <w:rsid w:val="34CFF7A3"/>
    <w:rsid w:val="34D75002"/>
    <w:rsid w:val="34E1D58E"/>
    <w:rsid w:val="34E296BB"/>
    <w:rsid w:val="34E35497"/>
    <w:rsid w:val="35032AB4"/>
    <w:rsid w:val="35035C21"/>
    <w:rsid w:val="3508BB86"/>
    <w:rsid w:val="350BDF56"/>
    <w:rsid w:val="3524A01D"/>
    <w:rsid w:val="3529A8FC"/>
    <w:rsid w:val="3529CF93"/>
    <w:rsid w:val="35377D09"/>
    <w:rsid w:val="353E0EEE"/>
    <w:rsid w:val="353E81BD"/>
    <w:rsid w:val="354307DF"/>
    <w:rsid w:val="35430BEF"/>
    <w:rsid w:val="354729D9"/>
    <w:rsid w:val="354C5237"/>
    <w:rsid w:val="35517F66"/>
    <w:rsid w:val="3555C422"/>
    <w:rsid w:val="3556D20F"/>
    <w:rsid w:val="3569FC1E"/>
    <w:rsid w:val="356A0FA8"/>
    <w:rsid w:val="35791FBE"/>
    <w:rsid w:val="357C4E4F"/>
    <w:rsid w:val="35838864"/>
    <w:rsid w:val="3587DD6F"/>
    <w:rsid w:val="358E8712"/>
    <w:rsid w:val="35A3ADE5"/>
    <w:rsid w:val="35A83AC7"/>
    <w:rsid w:val="35B5BB45"/>
    <w:rsid w:val="35BA5061"/>
    <w:rsid w:val="35BFB1DC"/>
    <w:rsid w:val="35C0691A"/>
    <w:rsid w:val="35CC2DEE"/>
    <w:rsid w:val="35D48D80"/>
    <w:rsid w:val="35D495C1"/>
    <w:rsid w:val="35D6678B"/>
    <w:rsid w:val="35DD60C9"/>
    <w:rsid w:val="35E0137F"/>
    <w:rsid w:val="35E11ADF"/>
    <w:rsid w:val="35EA97BF"/>
    <w:rsid w:val="35F9FB89"/>
    <w:rsid w:val="36004078"/>
    <w:rsid w:val="36036EC8"/>
    <w:rsid w:val="360D9F92"/>
    <w:rsid w:val="360E3841"/>
    <w:rsid w:val="360ED08F"/>
    <w:rsid w:val="361351A7"/>
    <w:rsid w:val="36154A82"/>
    <w:rsid w:val="361AE0C2"/>
    <w:rsid w:val="361CA9CF"/>
    <w:rsid w:val="361EBE7B"/>
    <w:rsid w:val="36223121"/>
    <w:rsid w:val="3623473E"/>
    <w:rsid w:val="3625B1F7"/>
    <w:rsid w:val="362BF928"/>
    <w:rsid w:val="362D0EF9"/>
    <w:rsid w:val="36349D71"/>
    <w:rsid w:val="364315CD"/>
    <w:rsid w:val="3645175F"/>
    <w:rsid w:val="3645289F"/>
    <w:rsid w:val="365AE22A"/>
    <w:rsid w:val="365B78F8"/>
    <w:rsid w:val="365ED574"/>
    <w:rsid w:val="36697A3F"/>
    <w:rsid w:val="366FBE06"/>
    <w:rsid w:val="367B457A"/>
    <w:rsid w:val="367C6CB8"/>
    <w:rsid w:val="367DC6E5"/>
    <w:rsid w:val="36929CCD"/>
    <w:rsid w:val="36944174"/>
    <w:rsid w:val="369D4A93"/>
    <w:rsid w:val="36A72543"/>
    <w:rsid w:val="36AD0FFB"/>
    <w:rsid w:val="36B8A8E2"/>
    <w:rsid w:val="36BD7328"/>
    <w:rsid w:val="36C4D8D2"/>
    <w:rsid w:val="36C5956F"/>
    <w:rsid w:val="36D257F5"/>
    <w:rsid w:val="36DDC269"/>
    <w:rsid w:val="36ECFE13"/>
    <w:rsid w:val="36F7FEAA"/>
    <w:rsid w:val="36F8FA40"/>
    <w:rsid w:val="36FB125C"/>
    <w:rsid w:val="3700B88F"/>
    <w:rsid w:val="3703F19B"/>
    <w:rsid w:val="370CD9D2"/>
    <w:rsid w:val="370FAECC"/>
    <w:rsid w:val="37110D97"/>
    <w:rsid w:val="373CC046"/>
    <w:rsid w:val="374DFA2C"/>
    <w:rsid w:val="3755C7C6"/>
    <w:rsid w:val="3759A504"/>
    <w:rsid w:val="375D5BCE"/>
    <w:rsid w:val="375E3B4E"/>
    <w:rsid w:val="3762EB1C"/>
    <w:rsid w:val="377416DC"/>
    <w:rsid w:val="37847062"/>
    <w:rsid w:val="37861EEC"/>
    <w:rsid w:val="378B9BF3"/>
    <w:rsid w:val="378D8F17"/>
    <w:rsid w:val="379C158C"/>
    <w:rsid w:val="379D7EFB"/>
    <w:rsid w:val="37AA2136"/>
    <w:rsid w:val="37B5AB58"/>
    <w:rsid w:val="37C1B23B"/>
    <w:rsid w:val="37C9584A"/>
    <w:rsid w:val="37CF0E3A"/>
    <w:rsid w:val="37D50418"/>
    <w:rsid w:val="37D81C72"/>
    <w:rsid w:val="37DDF525"/>
    <w:rsid w:val="37DEB9F8"/>
    <w:rsid w:val="37E20F6F"/>
    <w:rsid w:val="37E38D7B"/>
    <w:rsid w:val="37EB0235"/>
    <w:rsid w:val="37EB5FA7"/>
    <w:rsid w:val="37F856A5"/>
    <w:rsid w:val="382902A2"/>
    <w:rsid w:val="382D539E"/>
    <w:rsid w:val="382D5B38"/>
    <w:rsid w:val="383963F6"/>
    <w:rsid w:val="38426D8A"/>
    <w:rsid w:val="38431315"/>
    <w:rsid w:val="38437126"/>
    <w:rsid w:val="384B49E7"/>
    <w:rsid w:val="384D29FE"/>
    <w:rsid w:val="3850364A"/>
    <w:rsid w:val="38549AFD"/>
    <w:rsid w:val="385A4952"/>
    <w:rsid w:val="386BA2D2"/>
    <w:rsid w:val="386F34F0"/>
    <w:rsid w:val="38834F47"/>
    <w:rsid w:val="388639FD"/>
    <w:rsid w:val="388BF1B5"/>
    <w:rsid w:val="388E3275"/>
    <w:rsid w:val="389F8C8B"/>
    <w:rsid w:val="38A21650"/>
    <w:rsid w:val="38A78C38"/>
    <w:rsid w:val="38AC238E"/>
    <w:rsid w:val="38B2843E"/>
    <w:rsid w:val="38B5D7C1"/>
    <w:rsid w:val="38C0C31C"/>
    <w:rsid w:val="38C591D2"/>
    <w:rsid w:val="38C68AD8"/>
    <w:rsid w:val="38DBAC04"/>
    <w:rsid w:val="38DD1881"/>
    <w:rsid w:val="38DFAF10"/>
    <w:rsid w:val="38E29DDF"/>
    <w:rsid w:val="38F313E2"/>
    <w:rsid w:val="38F42CB6"/>
    <w:rsid w:val="38F69209"/>
    <w:rsid w:val="39096103"/>
    <w:rsid w:val="390CCEEB"/>
    <w:rsid w:val="39158B5F"/>
    <w:rsid w:val="39229A2C"/>
    <w:rsid w:val="39235F76"/>
    <w:rsid w:val="392C4344"/>
    <w:rsid w:val="393089D7"/>
    <w:rsid w:val="39321438"/>
    <w:rsid w:val="3942C83C"/>
    <w:rsid w:val="3945A3D3"/>
    <w:rsid w:val="395EF5B9"/>
    <w:rsid w:val="396FCF99"/>
    <w:rsid w:val="39789BBF"/>
    <w:rsid w:val="397D2ED0"/>
    <w:rsid w:val="3987FA0C"/>
    <w:rsid w:val="399604BB"/>
    <w:rsid w:val="3996375E"/>
    <w:rsid w:val="39A650FE"/>
    <w:rsid w:val="39AD2060"/>
    <w:rsid w:val="39B854A7"/>
    <w:rsid w:val="39C77C98"/>
    <w:rsid w:val="39CA5720"/>
    <w:rsid w:val="39CD4B1A"/>
    <w:rsid w:val="39CEEF1E"/>
    <w:rsid w:val="39DA71BB"/>
    <w:rsid w:val="39DC2DB6"/>
    <w:rsid w:val="39E13D6E"/>
    <w:rsid w:val="39F2AB61"/>
    <w:rsid w:val="39F4845A"/>
    <w:rsid w:val="39F52863"/>
    <w:rsid w:val="39FBA8D9"/>
    <w:rsid w:val="39FDB969"/>
    <w:rsid w:val="3A037D52"/>
    <w:rsid w:val="3A0398C9"/>
    <w:rsid w:val="3A0B76F8"/>
    <w:rsid w:val="3A13889A"/>
    <w:rsid w:val="3A14F187"/>
    <w:rsid w:val="3A1BC676"/>
    <w:rsid w:val="3A2BF148"/>
    <w:rsid w:val="3A2E886C"/>
    <w:rsid w:val="3A33B8F4"/>
    <w:rsid w:val="3A42098D"/>
    <w:rsid w:val="3A426DFD"/>
    <w:rsid w:val="3A44DB85"/>
    <w:rsid w:val="3A4C7598"/>
    <w:rsid w:val="3A4CAF20"/>
    <w:rsid w:val="3A4D1BFA"/>
    <w:rsid w:val="3A52E4AA"/>
    <w:rsid w:val="3A5D082C"/>
    <w:rsid w:val="3A6575A0"/>
    <w:rsid w:val="3A78B175"/>
    <w:rsid w:val="3A78CEBF"/>
    <w:rsid w:val="3A863E70"/>
    <w:rsid w:val="3A8B69F0"/>
    <w:rsid w:val="3A93A7D9"/>
    <w:rsid w:val="3A9875A6"/>
    <w:rsid w:val="3A9C574A"/>
    <w:rsid w:val="3AB23803"/>
    <w:rsid w:val="3AB54CB7"/>
    <w:rsid w:val="3AB95DAB"/>
    <w:rsid w:val="3ABC4011"/>
    <w:rsid w:val="3ABC55B6"/>
    <w:rsid w:val="3ABE56B4"/>
    <w:rsid w:val="3AC28F08"/>
    <w:rsid w:val="3AC8B46C"/>
    <w:rsid w:val="3AD19F8B"/>
    <w:rsid w:val="3AD6FF78"/>
    <w:rsid w:val="3AD892A2"/>
    <w:rsid w:val="3AD8C3F6"/>
    <w:rsid w:val="3ADEAC97"/>
    <w:rsid w:val="3AEEF088"/>
    <w:rsid w:val="3AF05446"/>
    <w:rsid w:val="3AF2B182"/>
    <w:rsid w:val="3AF49AB8"/>
    <w:rsid w:val="3B05FF8A"/>
    <w:rsid w:val="3B0AB416"/>
    <w:rsid w:val="3B0ED5C6"/>
    <w:rsid w:val="3B167178"/>
    <w:rsid w:val="3B1D0B62"/>
    <w:rsid w:val="3B1F77F9"/>
    <w:rsid w:val="3B200A71"/>
    <w:rsid w:val="3B236F46"/>
    <w:rsid w:val="3B252487"/>
    <w:rsid w:val="3B2E5646"/>
    <w:rsid w:val="3B3A59B6"/>
    <w:rsid w:val="3B48CB93"/>
    <w:rsid w:val="3B495439"/>
    <w:rsid w:val="3B4ED831"/>
    <w:rsid w:val="3B4F67B3"/>
    <w:rsid w:val="3B5801D8"/>
    <w:rsid w:val="3B5FBC86"/>
    <w:rsid w:val="3B65156B"/>
    <w:rsid w:val="3B6883BA"/>
    <w:rsid w:val="3B8487B4"/>
    <w:rsid w:val="3B941BFD"/>
    <w:rsid w:val="3B966278"/>
    <w:rsid w:val="3B9686D8"/>
    <w:rsid w:val="3B9D25F6"/>
    <w:rsid w:val="3BA5A1DE"/>
    <w:rsid w:val="3BAD4367"/>
    <w:rsid w:val="3BB16417"/>
    <w:rsid w:val="3BBC583F"/>
    <w:rsid w:val="3BBCE661"/>
    <w:rsid w:val="3BC2C65E"/>
    <w:rsid w:val="3BCC9AF6"/>
    <w:rsid w:val="3BCCB1E0"/>
    <w:rsid w:val="3BD3043A"/>
    <w:rsid w:val="3BEE4260"/>
    <w:rsid w:val="3BF48B02"/>
    <w:rsid w:val="3BF57C5F"/>
    <w:rsid w:val="3BF7056A"/>
    <w:rsid w:val="3BFBE9EB"/>
    <w:rsid w:val="3C143DC2"/>
    <w:rsid w:val="3C21384C"/>
    <w:rsid w:val="3C24804C"/>
    <w:rsid w:val="3C28923F"/>
    <w:rsid w:val="3C2DD214"/>
    <w:rsid w:val="3C369895"/>
    <w:rsid w:val="3C4097E6"/>
    <w:rsid w:val="3C417AD1"/>
    <w:rsid w:val="3C4490CA"/>
    <w:rsid w:val="3C4A8230"/>
    <w:rsid w:val="3C5134E7"/>
    <w:rsid w:val="3C52D404"/>
    <w:rsid w:val="3C5B8F70"/>
    <w:rsid w:val="3C61C7D2"/>
    <w:rsid w:val="3C64DE9E"/>
    <w:rsid w:val="3C6DEA80"/>
    <w:rsid w:val="3C795F94"/>
    <w:rsid w:val="3C846394"/>
    <w:rsid w:val="3CCAFCA5"/>
    <w:rsid w:val="3CCE7110"/>
    <w:rsid w:val="3CD4BF8E"/>
    <w:rsid w:val="3CD5DB36"/>
    <w:rsid w:val="3CDB6CC5"/>
    <w:rsid w:val="3CDF88A5"/>
    <w:rsid w:val="3CE37483"/>
    <w:rsid w:val="3CE47A87"/>
    <w:rsid w:val="3CEA5F45"/>
    <w:rsid w:val="3CF2DE58"/>
    <w:rsid w:val="3CF4701B"/>
    <w:rsid w:val="3CF854D0"/>
    <w:rsid w:val="3CFB7118"/>
    <w:rsid w:val="3D0467E1"/>
    <w:rsid w:val="3D06312D"/>
    <w:rsid w:val="3D0F7813"/>
    <w:rsid w:val="3D1E3540"/>
    <w:rsid w:val="3D26DEA9"/>
    <w:rsid w:val="3D2D4795"/>
    <w:rsid w:val="3D35B1E8"/>
    <w:rsid w:val="3D409B64"/>
    <w:rsid w:val="3D41E262"/>
    <w:rsid w:val="3D4BFA61"/>
    <w:rsid w:val="3D508C40"/>
    <w:rsid w:val="3D52B20A"/>
    <w:rsid w:val="3D5C3C8B"/>
    <w:rsid w:val="3D5D877F"/>
    <w:rsid w:val="3D77066D"/>
    <w:rsid w:val="3D7EC7D8"/>
    <w:rsid w:val="3D9E8029"/>
    <w:rsid w:val="3DA18D47"/>
    <w:rsid w:val="3DA67067"/>
    <w:rsid w:val="3DB91C58"/>
    <w:rsid w:val="3DBA9C24"/>
    <w:rsid w:val="3DBF4E04"/>
    <w:rsid w:val="3DD409DA"/>
    <w:rsid w:val="3DD8416A"/>
    <w:rsid w:val="3DED58D8"/>
    <w:rsid w:val="3DEE731F"/>
    <w:rsid w:val="3DF74C14"/>
    <w:rsid w:val="3DF7D40C"/>
    <w:rsid w:val="3DFA15E9"/>
    <w:rsid w:val="3DFA8796"/>
    <w:rsid w:val="3E082C1F"/>
    <w:rsid w:val="3E0BDBBC"/>
    <w:rsid w:val="3E0E6FE3"/>
    <w:rsid w:val="3E148D38"/>
    <w:rsid w:val="3E153B9B"/>
    <w:rsid w:val="3E235BB1"/>
    <w:rsid w:val="3E39872D"/>
    <w:rsid w:val="3E3BBE2E"/>
    <w:rsid w:val="3E43738B"/>
    <w:rsid w:val="3E457852"/>
    <w:rsid w:val="3E4609DF"/>
    <w:rsid w:val="3E5888AB"/>
    <w:rsid w:val="3E5DD23F"/>
    <w:rsid w:val="3E6324E2"/>
    <w:rsid w:val="3E73B065"/>
    <w:rsid w:val="3E7B1AF5"/>
    <w:rsid w:val="3E824BD7"/>
    <w:rsid w:val="3E840E1D"/>
    <w:rsid w:val="3E8BE2E5"/>
    <w:rsid w:val="3E8C3A41"/>
    <w:rsid w:val="3E8D55D0"/>
    <w:rsid w:val="3E9A4B7A"/>
    <w:rsid w:val="3E9E3BDE"/>
    <w:rsid w:val="3EA4BD15"/>
    <w:rsid w:val="3EBCB1FA"/>
    <w:rsid w:val="3EC14DB2"/>
    <w:rsid w:val="3ECA0692"/>
    <w:rsid w:val="3ECB334B"/>
    <w:rsid w:val="3ECFCE57"/>
    <w:rsid w:val="3EE210EA"/>
    <w:rsid w:val="3EE4CD34"/>
    <w:rsid w:val="3EF9875A"/>
    <w:rsid w:val="3F0124EE"/>
    <w:rsid w:val="3F037268"/>
    <w:rsid w:val="3F18C633"/>
    <w:rsid w:val="3F2355A0"/>
    <w:rsid w:val="3F25CEE8"/>
    <w:rsid w:val="3F3110EE"/>
    <w:rsid w:val="3F376F21"/>
    <w:rsid w:val="3F38842A"/>
    <w:rsid w:val="3F3BA871"/>
    <w:rsid w:val="3F3CFF68"/>
    <w:rsid w:val="3F3D9FE3"/>
    <w:rsid w:val="3F50D81A"/>
    <w:rsid w:val="3F55FBCD"/>
    <w:rsid w:val="3F57ECF1"/>
    <w:rsid w:val="3F63B535"/>
    <w:rsid w:val="3F6A3F42"/>
    <w:rsid w:val="3F7666FF"/>
    <w:rsid w:val="3F7B472A"/>
    <w:rsid w:val="3F7E1FE8"/>
    <w:rsid w:val="3F827927"/>
    <w:rsid w:val="3F9497BB"/>
    <w:rsid w:val="3F9C4513"/>
    <w:rsid w:val="3FA10951"/>
    <w:rsid w:val="3FA391A9"/>
    <w:rsid w:val="3FBC1BC4"/>
    <w:rsid w:val="3FD81819"/>
    <w:rsid w:val="3FDDE8D6"/>
    <w:rsid w:val="3FEB0587"/>
    <w:rsid w:val="4001DB7E"/>
    <w:rsid w:val="40033A6C"/>
    <w:rsid w:val="4013F138"/>
    <w:rsid w:val="40194202"/>
    <w:rsid w:val="4019738E"/>
    <w:rsid w:val="40241DB8"/>
    <w:rsid w:val="403768FC"/>
    <w:rsid w:val="403DE547"/>
    <w:rsid w:val="40426E29"/>
    <w:rsid w:val="40445834"/>
    <w:rsid w:val="4049C4A1"/>
    <w:rsid w:val="405377F2"/>
    <w:rsid w:val="405BAAF4"/>
    <w:rsid w:val="4068CC3E"/>
    <w:rsid w:val="406AF5EB"/>
    <w:rsid w:val="40700884"/>
    <w:rsid w:val="40732A48"/>
    <w:rsid w:val="407DDE11"/>
    <w:rsid w:val="4083254A"/>
    <w:rsid w:val="40851533"/>
    <w:rsid w:val="4088CFED"/>
    <w:rsid w:val="408C4BF4"/>
    <w:rsid w:val="408F3366"/>
    <w:rsid w:val="40A42C3B"/>
    <w:rsid w:val="40ADEDFB"/>
    <w:rsid w:val="40B31E79"/>
    <w:rsid w:val="40B49483"/>
    <w:rsid w:val="40BF8648"/>
    <w:rsid w:val="40C52AD1"/>
    <w:rsid w:val="40DD15F4"/>
    <w:rsid w:val="40EDC528"/>
    <w:rsid w:val="40F44ED7"/>
    <w:rsid w:val="40FA653A"/>
    <w:rsid w:val="40FF66C3"/>
    <w:rsid w:val="41021A78"/>
    <w:rsid w:val="41051D5E"/>
    <w:rsid w:val="4106698D"/>
    <w:rsid w:val="41092C63"/>
    <w:rsid w:val="410E2D19"/>
    <w:rsid w:val="410EF5A1"/>
    <w:rsid w:val="41272B1F"/>
    <w:rsid w:val="41277DCB"/>
    <w:rsid w:val="412E7B62"/>
    <w:rsid w:val="412EFE6E"/>
    <w:rsid w:val="41311D7B"/>
    <w:rsid w:val="4131DE8F"/>
    <w:rsid w:val="4135B3BD"/>
    <w:rsid w:val="413CA65B"/>
    <w:rsid w:val="41434ED8"/>
    <w:rsid w:val="414BBEF7"/>
    <w:rsid w:val="41538D38"/>
    <w:rsid w:val="4166162E"/>
    <w:rsid w:val="4183B796"/>
    <w:rsid w:val="4189C862"/>
    <w:rsid w:val="41A01988"/>
    <w:rsid w:val="41A6DA09"/>
    <w:rsid w:val="41A70561"/>
    <w:rsid w:val="41A71A3B"/>
    <w:rsid w:val="41B0D5FE"/>
    <w:rsid w:val="41B199BD"/>
    <w:rsid w:val="41B70E72"/>
    <w:rsid w:val="41C5B463"/>
    <w:rsid w:val="41D571EC"/>
    <w:rsid w:val="41DE8615"/>
    <w:rsid w:val="41E05941"/>
    <w:rsid w:val="41E66F7C"/>
    <w:rsid w:val="41EF9C1C"/>
    <w:rsid w:val="4201076A"/>
    <w:rsid w:val="42062337"/>
    <w:rsid w:val="4208D9BC"/>
    <w:rsid w:val="420A1B75"/>
    <w:rsid w:val="420F3B7A"/>
    <w:rsid w:val="4212059F"/>
    <w:rsid w:val="42125FC2"/>
    <w:rsid w:val="4219FCBF"/>
    <w:rsid w:val="421E38FE"/>
    <w:rsid w:val="42220C80"/>
    <w:rsid w:val="423262F5"/>
    <w:rsid w:val="4236A9A0"/>
    <w:rsid w:val="424957DA"/>
    <w:rsid w:val="42548B1E"/>
    <w:rsid w:val="42604C61"/>
    <w:rsid w:val="4263757E"/>
    <w:rsid w:val="4265A77E"/>
    <w:rsid w:val="429E9EA2"/>
    <w:rsid w:val="42A02B6D"/>
    <w:rsid w:val="42A1A563"/>
    <w:rsid w:val="42A257D2"/>
    <w:rsid w:val="42A33B1A"/>
    <w:rsid w:val="42A3A79E"/>
    <w:rsid w:val="42A84DB3"/>
    <w:rsid w:val="42A8E776"/>
    <w:rsid w:val="42B01FD0"/>
    <w:rsid w:val="42B0D0D6"/>
    <w:rsid w:val="42B3332E"/>
    <w:rsid w:val="42CD3427"/>
    <w:rsid w:val="42D50E23"/>
    <w:rsid w:val="42D5459C"/>
    <w:rsid w:val="42E2A6C7"/>
    <w:rsid w:val="42E956D9"/>
    <w:rsid w:val="42EBA712"/>
    <w:rsid w:val="42ECBFFD"/>
    <w:rsid w:val="430228EB"/>
    <w:rsid w:val="4310E13A"/>
    <w:rsid w:val="43148490"/>
    <w:rsid w:val="4318A0B8"/>
    <w:rsid w:val="431BB357"/>
    <w:rsid w:val="432057AC"/>
    <w:rsid w:val="43237102"/>
    <w:rsid w:val="4332A9F8"/>
    <w:rsid w:val="433F81D5"/>
    <w:rsid w:val="4353BDDB"/>
    <w:rsid w:val="4356CFAC"/>
    <w:rsid w:val="435EB04C"/>
    <w:rsid w:val="436A916A"/>
    <w:rsid w:val="436C4D83"/>
    <w:rsid w:val="436CD3C6"/>
    <w:rsid w:val="4370D7A8"/>
    <w:rsid w:val="438013E6"/>
    <w:rsid w:val="43839157"/>
    <w:rsid w:val="4386014A"/>
    <w:rsid w:val="4388FA13"/>
    <w:rsid w:val="438EF2E2"/>
    <w:rsid w:val="438F4ABD"/>
    <w:rsid w:val="43948AEC"/>
    <w:rsid w:val="4395759E"/>
    <w:rsid w:val="43965E97"/>
    <w:rsid w:val="439CA697"/>
    <w:rsid w:val="43B0A41E"/>
    <w:rsid w:val="43C05A1D"/>
    <w:rsid w:val="43C31E48"/>
    <w:rsid w:val="43C4A439"/>
    <w:rsid w:val="43CC2B13"/>
    <w:rsid w:val="43D07E54"/>
    <w:rsid w:val="43DDE864"/>
    <w:rsid w:val="43E64E2D"/>
    <w:rsid w:val="43E9B869"/>
    <w:rsid w:val="43EF9C42"/>
    <w:rsid w:val="43F2752E"/>
    <w:rsid w:val="44060B01"/>
    <w:rsid w:val="440DCD6D"/>
    <w:rsid w:val="441176BC"/>
    <w:rsid w:val="441902C8"/>
    <w:rsid w:val="442B6CB6"/>
    <w:rsid w:val="4431D234"/>
    <w:rsid w:val="44387C9B"/>
    <w:rsid w:val="444754AB"/>
    <w:rsid w:val="444AB059"/>
    <w:rsid w:val="44549A8F"/>
    <w:rsid w:val="4457138C"/>
    <w:rsid w:val="445B3CB3"/>
    <w:rsid w:val="445D5054"/>
    <w:rsid w:val="445E1411"/>
    <w:rsid w:val="445EEEF1"/>
    <w:rsid w:val="447215CF"/>
    <w:rsid w:val="4472FEA0"/>
    <w:rsid w:val="44781B45"/>
    <w:rsid w:val="4485F12D"/>
    <w:rsid w:val="4498449E"/>
    <w:rsid w:val="44ACC960"/>
    <w:rsid w:val="44AD02CD"/>
    <w:rsid w:val="44B104AD"/>
    <w:rsid w:val="44C3807B"/>
    <w:rsid w:val="44C48FC6"/>
    <w:rsid w:val="44D0C5B1"/>
    <w:rsid w:val="44D3FA69"/>
    <w:rsid w:val="44D89A26"/>
    <w:rsid w:val="44EE621B"/>
    <w:rsid w:val="44F413BF"/>
    <w:rsid w:val="44F4A89B"/>
    <w:rsid w:val="45009B6C"/>
    <w:rsid w:val="45089C77"/>
    <w:rsid w:val="450B392D"/>
    <w:rsid w:val="450F0B6B"/>
    <w:rsid w:val="452435A4"/>
    <w:rsid w:val="452565CD"/>
    <w:rsid w:val="452B82A8"/>
    <w:rsid w:val="452E677E"/>
    <w:rsid w:val="4531C709"/>
    <w:rsid w:val="453261FB"/>
    <w:rsid w:val="45587254"/>
    <w:rsid w:val="455EF8B2"/>
    <w:rsid w:val="4566D778"/>
    <w:rsid w:val="4568CB69"/>
    <w:rsid w:val="456A08CB"/>
    <w:rsid w:val="4573499D"/>
    <w:rsid w:val="458A779F"/>
    <w:rsid w:val="458AEEED"/>
    <w:rsid w:val="458B53EE"/>
    <w:rsid w:val="4592BAED"/>
    <w:rsid w:val="45931CF7"/>
    <w:rsid w:val="459564B1"/>
    <w:rsid w:val="4596CB3E"/>
    <w:rsid w:val="4599A30E"/>
    <w:rsid w:val="45A6EF60"/>
    <w:rsid w:val="45A715DD"/>
    <w:rsid w:val="45A9AC2E"/>
    <w:rsid w:val="45B7C0C2"/>
    <w:rsid w:val="45C0B263"/>
    <w:rsid w:val="45C29A17"/>
    <w:rsid w:val="45C9A766"/>
    <w:rsid w:val="45D6E352"/>
    <w:rsid w:val="45DD1FEC"/>
    <w:rsid w:val="45DF2EF6"/>
    <w:rsid w:val="45E235BE"/>
    <w:rsid w:val="45EC1A13"/>
    <w:rsid w:val="45EC8638"/>
    <w:rsid w:val="45F29C7A"/>
    <w:rsid w:val="45F66E1E"/>
    <w:rsid w:val="45F95A62"/>
    <w:rsid w:val="46026EA9"/>
    <w:rsid w:val="460AC3F5"/>
    <w:rsid w:val="46165E70"/>
    <w:rsid w:val="461E7F02"/>
    <w:rsid w:val="4620CF11"/>
    <w:rsid w:val="46222D8B"/>
    <w:rsid w:val="46232E29"/>
    <w:rsid w:val="46296705"/>
    <w:rsid w:val="462B428E"/>
    <w:rsid w:val="46343A2E"/>
    <w:rsid w:val="4637DA40"/>
    <w:rsid w:val="465A29DA"/>
    <w:rsid w:val="46630069"/>
    <w:rsid w:val="46720B41"/>
    <w:rsid w:val="4674A9AB"/>
    <w:rsid w:val="467C9E29"/>
    <w:rsid w:val="4685A344"/>
    <w:rsid w:val="4686E56B"/>
    <w:rsid w:val="468AC2C2"/>
    <w:rsid w:val="469372B0"/>
    <w:rsid w:val="469375DC"/>
    <w:rsid w:val="46A8F36A"/>
    <w:rsid w:val="46AFF5FF"/>
    <w:rsid w:val="46B2884E"/>
    <w:rsid w:val="46B32165"/>
    <w:rsid w:val="46B5679C"/>
    <w:rsid w:val="46C17FC8"/>
    <w:rsid w:val="46C7F4EC"/>
    <w:rsid w:val="46CCAD35"/>
    <w:rsid w:val="46D079A8"/>
    <w:rsid w:val="46DB9E76"/>
    <w:rsid w:val="46E96C8D"/>
    <w:rsid w:val="46F6524F"/>
    <w:rsid w:val="46FAD93C"/>
    <w:rsid w:val="4700F738"/>
    <w:rsid w:val="47129B08"/>
    <w:rsid w:val="47131462"/>
    <w:rsid w:val="472F5CFC"/>
    <w:rsid w:val="4731F734"/>
    <w:rsid w:val="47321F6A"/>
    <w:rsid w:val="4732D5B4"/>
    <w:rsid w:val="4735A455"/>
    <w:rsid w:val="4735C9E0"/>
    <w:rsid w:val="473C0C23"/>
    <w:rsid w:val="47471B8B"/>
    <w:rsid w:val="474E1433"/>
    <w:rsid w:val="4757646A"/>
    <w:rsid w:val="47610FFF"/>
    <w:rsid w:val="4763430F"/>
    <w:rsid w:val="47698D0F"/>
    <w:rsid w:val="476AFED7"/>
    <w:rsid w:val="476DD0EF"/>
    <w:rsid w:val="4784D65D"/>
    <w:rsid w:val="478B46AA"/>
    <w:rsid w:val="478D273A"/>
    <w:rsid w:val="47ADA5FF"/>
    <w:rsid w:val="47AE3C4A"/>
    <w:rsid w:val="47C812DC"/>
    <w:rsid w:val="47CB654A"/>
    <w:rsid w:val="47D1DBE2"/>
    <w:rsid w:val="47D349AD"/>
    <w:rsid w:val="47E6C530"/>
    <w:rsid w:val="47E92C85"/>
    <w:rsid w:val="47EB3AAB"/>
    <w:rsid w:val="47F3F3E6"/>
    <w:rsid w:val="47FAEE82"/>
    <w:rsid w:val="480027F1"/>
    <w:rsid w:val="4803957C"/>
    <w:rsid w:val="481A0C68"/>
    <w:rsid w:val="481DB936"/>
    <w:rsid w:val="48288303"/>
    <w:rsid w:val="4833F59D"/>
    <w:rsid w:val="48367E11"/>
    <w:rsid w:val="483AA582"/>
    <w:rsid w:val="484671C8"/>
    <w:rsid w:val="4847F636"/>
    <w:rsid w:val="485959E5"/>
    <w:rsid w:val="4859BF70"/>
    <w:rsid w:val="485BA540"/>
    <w:rsid w:val="485EB194"/>
    <w:rsid w:val="4868C99C"/>
    <w:rsid w:val="48696A8F"/>
    <w:rsid w:val="487B3A68"/>
    <w:rsid w:val="4881538D"/>
    <w:rsid w:val="488D267A"/>
    <w:rsid w:val="489122AC"/>
    <w:rsid w:val="4897C4A9"/>
    <w:rsid w:val="48A72FA7"/>
    <w:rsid w:val="48A96F40"/>
    <w:rsid w:val="48B6BA72"/>
    <w:rsid w:val="48B87B4A"/>
    <w:rsid w:val="48B99793"/>
    <w:rsid w:val="48BFFEB4"/>
    <w:rsid w:val="48C0BC10"/>
    <w:rsid w:val="48C54E5F"/>
    <w:rsid w:val="48D08E3F"/>
    <w:rsid w:val="48D5A540"/>
    <w:rsid w:val="48D9A1FB"/>
    <w:rsid w:val="48DA2B11"/>
    <w:rsid w:val="48E10FFB"/>
    <w:rsid w:val="48E63991"/>
    <w:rsid w:val="48E8453B"/>
    <w:rsid w:val="4905102B"/>
    <w:rsid w:val="490878CD"/>
    <w:rsid w:val="490CC3D7"/>
    <w:rsid w:val="491B04DF"/>
    <w:rsid w:val="49262023"/>
    <w:rsid w:val="49284BDD"/>
    <w:rsid w:val="4935C2FD"/>
    <w:rsid w:val="493636C1"/>
    <w:rsid w:val="494EA1B3"/>
    <w:rsid w:val="49518281"/>
    <w:rsid w:val="4953A771"/>
    <w:rsid w:val="4953F40B"/>
    <w:rsid w:val="495A8D12"/>
    <w:rsid w:val="4964CB78"/>
    <w:rsid w:val="496E7F4D"/>
    <w:rsid w:val="4972D5AE"/>
    <w:rsid w:val="4973E295"/>
    <w:rsid w:val="49760541"/>
    <w:rsid w:val="498DEB26"/>
    <w:rsid w:val="498E512D"/>
    <w:rsid w:val="49956D3D"/>
    <w:rsid w:val="49A3CCD6"/>
    <w:rsid w:val="49A5DD4E"/>
    <w:rsid w:val="49A9AAF2"/>
    <w:rsid w:val="49B55E39"/>
    <w:rsid w:val="49B70B3D"/>
    <w:rsid w:val="49B9EFF3"/>
    <w:rsid w:val="49C00267"/>
    <w:rsid w:val="49C82C89"/>
    <w:rsid w:val="49D1D2A5"/>
    <w:rsid w:val="49D6CC21"/>
    <w:rsid w:val="49D837E3"/>
    <w:rsid w:val="49DB0C59"/>
    <w:rsid w:val="49E1CD75"/>
    <w:rsid w:val="49E480DB"/>
    <w:rsid w:val="49F19237"/>
    <w:rsid w:val="4A06E542"/>
    <w:rsid w:val="4A0B4286"/>
    <w:rsid w:val="4A16BFE1"/>
    <w:rsid w:val="4A1CB100"/>
    <w:rsid w:val="4A1F7C14"/>
    <w:rsid w:val="4A23AF8E"/>
    <w:rsid w:val="4A3D6B25"/>
    <w:rsid w:val="4A477126"/>
    <w:rsid w:val="4A47CF9B"/>
    <w:rsid w:val="4A4A9F29"/>
    <w:rsid w:val="4A4EB40A"/>
    <w:rsid w:val="4A52BFBD"/>
    <w:rsid w:val="4A540360"/>
    <w:rsid w:val="4A577397"/>
    <w:rsid w:val="4A5908F9"/>
    <w:rsid w:val="4A5CEE0E"/>
    <w:rsid w:val="4A6A9F69"/>
    <w:rsid w:val="4A6E6F71"/>
    <w:rsid w:val="4A79EFA4"/>
    <w:rsid w:val="4A7D1AEB"/>
    <w:rsid w:val="4A8013CF"/>
    <w:rsid w:val="4A86AE21"/>
    <w:rsid w:val="4A8D309C"/>
    <w:rsid w:val="4A8FFAEA"/>
    <w:rsid w:val="4A923606"/>
    <w:rsid w:val="4A929AE6"/>
    <w:rsid w:val="4A92DEEF"/>
    <w:rsid w:val="4A956635"/>
    <w:rsid w:val="4AAC5478"/>
    <w:rsid w:val="4ABBAA45"/>
    <w:rsid w:val="4ABDD900"/>
    <w:rsid w:val="4ABFED37"/>
    <w:rsid w:val="4AC0AB81"/>
    <w:rsid w:val="4AC0B078"/>
    <w:rsid w:val="4AC2ACA3"/>
    <w:rsid w:val="4AC2ED1A"/>
    <w:rsid w:val="4AC6BB31"/>
    <w:rsid w:val="4AD558BB"/>
    <w:rsid w:val="4ADB3561"/>
    <w:rsid w:val="4ADE88F4"/>
    <w:rsid w:val="4AE3E29A"/>
    <w:rsid w:val="4AE6950F"/>
    <w:rsid w:val="4AE952A9"/>
    <w:rsid w:val="4AE98148"/>
    <w:rsid w:val="4AEB1C17"/>
    <w:rsid w:val="4AEB4867"/>
    <w:rsid w:val="4AF1E1EE"/>
    <w:rsid w:val="4AF31FA3"/>
    <w:rsid w:val="4AF3973E"/>
    <w:rsid w:val="4AFA8147"/>
    <w:rsid w:val="4B061A94"/>
    <w:rsid w:val="4B0A611C"/>
    <w:rsid w:val="4B0CEA35"/>
    <w:rsid w:val="4B0F924E"/>
    <w:rsid w:val="4B107691"/>
    <w:rsid w:val="4B138E71"/>
    <w:rsid w:val="4B20BA41"/>
    <w:rsid w:val="4B224B00"/>
    <w:rsid w:val="4B229C81"/>
    <w:rsid w:val="4B279264"/>
    <w:rsid w:val="4B3BB1B3"/>
    <w:rsid w:val="4B530C1A"/>
    <w:rsid w:val="4B53BF48"/>
    <w:rsid w:val="4B560F35"/>
    <w:rsid w:val="4B5B6279"/>
    <w:rsid w:val="4B65F4F3"/>
    <w:rsid w:val="4B75500C"/>
    <w:rsid w:val="4B7E773D"/>
    <w:rsid w:val="4B801478"/>
    <w:rsid w:val="4B8BFC2C"/>
    <w:rsid w:val="4B95A26A"/>
    <w:rsid w:val="4BA8A39C"/>
    <w:rsid w:val="4BA99E90"/>
    <w:rsid w:val="4BB1868D"/>
    <w:rsid w:val="4BB7DF04"/>
    <w:rsid w:val="4BB8FC96"/>
    <w:rsid w:val="4BD0ECFC"/>
    <w:rsid w:val="4BD8DC7B"/>
    <w:rsid w:val="4BDCC9E7"/>
    <w:rsid w:val="4BDF6FEA"/>
    <w:rsid w:val="4BEF5804"/>
    <w:rsid w:val="4BF62850"/>
    <w:rsid w:val="4BFBBE4E"/>
    <w:rsid w:val="4BFD4EA9"/>
    <w:rsid w:val="4C0163B7"/>
    <w:rsid w:val="4C027321"/>
    <w:rsid w:val="4C0AE45B"/>
    <w:rsid w:val="4C28551D"/>
    <w:rsid w:val="4C2CAEAA"/>
    <w:rsid w:val="4C2F8FAD"/>
    <w:rsid w:val="4C326BD5"/>
    <w:rsid w:val="4C33E998"/>
    <w:rsid w:val="4C416B6D"/>
    <w:rsid w:val="4C468466"/>
    <w:rsid w:val="4C58DBB8"/>
    <w:rsid w:val="4C5ED2CE"/>
    <w:rsid w:val="4C603E46"/>
    <w:rsid w:val="4C66312D"/>
    <w:rsid w:val="4C6C59DE"/>
    <w:rsid w:val="4C739DC2"/>
    <w:rsid w:val="4C778FB1"/>
    <w:rsid w:val="4C7B915D"/>
    <w:rsid w:val="4C7FFD2B"/>
    <w:rsid w:val="4C87662C"/>
    <w:rsid w:val="4C89A5DD"/>
    <w:rsid w:val="4C8A2EA5"/>
    <w:rsid w:val="4C8AEC5D"/>
    <w:rsid w:val="4C9020A6"/>
    <w:rsid w:val="4CA4ABE2"/>
    <w:rsid w:val="4CA7325E"/>
    <w:rsid w:val="4CAB5A05"/>
    <w:rsid w:val="4CAE861A"/>
    <w:rsid w:val="4CB3A737"/>
    <w:rsid w:val="4CB497D3"/>
    <w:rsid w:val="4CB76B74"/>
    <w:rsid w:val="4CBAAA2A"/>
    <w:rsid w:val="4CCBA2BB"/>
    <w:rsid w:val="4CD09489"/>
    <w:rsid w:val="4CD9645E"/>
    <w:rsid w:val="4CDE7C45"/>
    <w:rsid w:val="4CE30705"/>
    <w:rsid w:val="4CE6CADC"/>
    <w:rsid w:val="4CF76895"/>
    <w:rsid w:val="4CF839FE"/>
    <w:rsid w:val="4D0B90DE"/>
    <w:rsid w:val="4D0CDBD4"/>
    <w:rsid w:val="4D14F314"/>
    <w:rsid w:val="4D16BBC8"/>
    <w:rsid w:val="4D17C1C4"/>
    <w:rsid w:val="4D19A40E"/>
    <w:rsid w:val="4D19FFFB"/>
    <w:rsid w:val="4D344A41"/>
    <w:rsid w:val="4D4AB5CE"/>
    <w:rsid w:val="4D4CC86F"/>
    <w:rsid w:val="4D527C6D"/>
    <w:rsid w:val="4D5AAD51"/>
    <w:rsid w:val="4D5EC63A"/>
    <w:rsid w:val="4D5FDA7C"/>
    <w:rsid w:val="4D64F944"/>
    <w:rsid w:val="4D65CFA6"/>
    <w:rsid w:val="4D7BA22A"/>
    <w:rsid w:val="4D87A805"/>
    <w:rsid w:val="4D881489"/>
    <w:rsid w:val="4D8DD12D"/>
    <w:rsid w:val="4D8DD2E9"/>
    <w:rsid w:val="4D8DDC55"/>
    <w:rsid w:val="4DAEE470"/>
    <w:rsid w:val="4DB2B429"/>
    <w:rsid w:val="4DB46B3B"/>
    <w:rsid w:val="4DB5D069"/>
    <w:rsid w:val="4DB602C4"/>
    <w:rsid w:val="4DC54669"/>
    <w:rsid w:val="4DC70B28"/>
    <w:rsid w:val="4DCC620E"/>
    <w:rsid w:val="4DD03586"/>
    <w:rsid w:val="4DD07243"/>
    <w:rsid w:val="4DD0D68A"/>
    <w:rsid w:val="4DDD016A"/>
    <w:rsid w:val="4DE60E5E"/>
    <w:rsid w:val="4DE73E95"/>
    <w:rsid w:val="4DEA4F0D"/>
    <w:rsid w:val="4DEC6E9B"/>
    <w:rsid w:val="4DECCCBF"/>
    <w:rsid w:val="4DEF376B"/>
    <w:rsid w:val="4E04B98C"/>
    <w:rsid w:val="4E060C34"/>
    <w:rsid w:val="4E084336"/>
    <w:rsid w:val="4E0A97CB"/>
    <w:rsid w:val="4E0DF3F3"/>
    <w:rsid w:val="4E13195F"/>
    <w:rsid w:val="4E1C91C0"/>
    <w:rsid w:val="4E278963"/>
    <w:rsid w:val="4E2F30A4"/>
    <w:rsid w:val="4E3DDEBC"/>
    <w:rsid w:val="4E440239"/>
    <w:rsid w:val="4E45BCB9"/>
    <w:rsid w:val="4E4D8FBC"/>
    <w:rsid w:val="4E4D970F"/>
    <w:rsid w:val="4E5791C1"/>
    <w:rsid w:val="4E5BC09A"/>
    <w:rsid w:val="4E5D65BE"/>
    <w:rsid w:val="4E5EF51F"/>
    <w:rsid w:val="4E684F39"/>
    <w:rsid w:val="4E720FC9"/>
    <w:rsid w:val="4E767A6B"/>
    <w:rsid w:val="4E827035"/>
    <w:rsid w:val="4E877E97"/>
    <w:rsid w:val="4E8BD5C5"/>
    <w:rsid w:val="4E93BBC3"/>
    <w:rsid w:val="4E9762C7"/>
    <w:rsid w:val="4E9998AA"/>
    <w:rsid w:val="4EACBDD7"/>
    <w:rsid w:val="4EB006A0"/>
    <w:rsid w:val="4EB1D6B6"/>
    <w:rsid w:val="4EB726CE"/>
    <w:rsid w:val="4ED18113"/>
    <w:rsid w:val="4ED3A188"/>
    <w:rsid w:val="4ED914ED"/>
    <w:rsid w:val="4EE3A1F7"/>
    <w:rsid w:val="4EEFCC05"/>
    <w:rsid w:val="4EF265C7"/>
    <w:rsid w:val="4EF7012B"/>
    <w:rsid w:val="4F071A3E"/>
    <w:rsid w:val="4F0846EF"/>
    <w:rsid w:val="4F0917B5"/>
    <w:rsid w:val="4F0DF27A"/>
    <w:rsid w:val="4F1011AB"/>
    <w:rsid w:val="4F166BE0"/>
    <w:rsid w:val="4F188628"/>
    <w:rsid w:val="4F198955"/>
    <w:rsid w:val="4F24D7CA"/>
    <w:rsid w:val="4F2A3928"/>
    <w:rsid w:val="4F3920F1"/>
    <w:rsid w:val="4F3ADA9E"/>
    <w:rsid w:val="4F3CEB2B"/>
    <w:rsid w:val="4F59B380"/>
    <w:rsid w:val="4F71A40F"/>
    <w:rsid w:val="4F751DF7"/>
    <w:rsid w:val="4F7E641C"/>
    <w:rsid w:val="4F7E9B53"/>
    <w:rsid w:val="4F7EEDF1"/>
    <w:rsid w:val="4F833CB9"/>
    <w:rsid w:val="4F89744D"/>
    <w:rsid w:val="4F93ABB2"/>
    <w:rsid w:val="4F95A2E1"/>
    <w:rsid w:val="4FAE58C1"/>
    <w:rsid w:val="4FAFE978"/>
    <w:rsid w:val="4FB421B4"/>
    <w:rsid w:val="4FB6DDED"/>
    <w:rsid w:val="4FBDDB3D"/>
    <w:rsid w:val="4FC4D93B"/>
    <w:rsid w:val="4FC55BD9"/>
    <w:rsid w:val="4FCCD9E6"/>
    <w:rsid w:val="4FCD051D"/>
    <w:rsid w:val="4FD2459D"/>
    <w:rsid w:val="4FD9EE73"/>
    <w:rsid w:val="4FDC8E20"/>
    <w:rsid w:val="4FE62D1C"/>
    <w:rsid w:val="4FE7544C"/>
    <w:rsid w:val="4FFA30E5"/>
    <w:rsid w:val="4FFE5B87"/>
    <w:rsid w:val="4FFF309E"/>
    <w:rsid w:val="500788C1"/>
    <w:rsid w:val="500D50FB"/>
    <w:rsid w:val="500F9DFA"/>
    <w:rsid w:val="5013A975"/>
    <w:rsid w:val="501D40CC"/>
    <w:rsid w:val="5020C9D5"/>
    <w:rsid w:val="5027BE97"/>
    <w:rsid w:val="502E02AC"/>
    <w:rsid w:val="5031DAD3"/>
    <w:rsid w:val="50366987"/>
    <w:rsid w:val="50375B87"/>
    <w:rsid w:val="5042E684"/>
    <w:rsid w:val="505371CD"/>
    <w:rsid w:val="505A4A63"/>
    <w:rsid w:val="50601220"/>
    <w:rsid w:val="506AC4C7"/>
    <w:rsid w:val="506BD3F4"/>
    <w:rsid w:val="506D4F40"/>
    <w:rsid w:val="506FAAA1"/>
    <w:rsid w:val="506FECCA"/>
    <w:rsid w:val="508E45AF"/>
    <w:rsid w:val="5093C42D"/>
    <w:rsid w:val="509780DE"/>
    <w:rsid w:val="50A65DC7"/>
    <w:rsid w:val="50A90569"/>
    <w:rsid w:val="50B5AE27"/>
    <w:rsid w:val="50B7F607"/>
    <w:rsid w:val="50BB61FF"/>
    <w:rsid w:val="50BF9CD2"/>
    <w:rsid w:val="50C27739"/>
    <w:rsid w:val="50C8AB1C"/>
    <w:rsid w:val="50CE26DE"/>
    <w:rsid w:val="50D8CEA0"/>
    <w:rsid w:val="50DDD7CA"/>
    <w:rsid w:val="50DED6BC"/>
    <w:rsid w:val="50E75318"/>
    <w:rsid w:val="50E7BBFA"/>
    <w:rsid w:val="50E95FDD"/>
    <w:rsid w:val="50E9EBA7"/>
    <w:rsid w:val="50F7C407"/>
    <w:rsid w:val="5102ECD2"/>
    <w:rsid w:val="5107F7CC"/>
    <w:rsid w:val="5108EC91"/>
    <w:rsid w:val="510DA591"/>
    <w:rsid w:val="510FA162"/>
    <w:rsid w:val="511412BA"/>
    <w:rsid w:val="5126E0FB"/>
    <w:rsid w:val="512971CB"/>
    <w:rsid w:val="512E025A"/>
    <w:rsid w:val="51359850"/>
    <w:rsid w:val="51362562"/>
    <w:rsid w:val="5151E411"/>
    <w:rsid w:val="515300AE"/>
    <w:rsid w:val="51557D9A"/>
    <w:rsid w:val="515650EB"/>
    <w:rsid w:val="51575389"/>
    <w:rsid w:val="5158D0A0"/>
    <w:rsid w:val="515AEACD"/>
    <w:rsid w:val="516445C8"/>
    <w:rsid w:val="5168242F"/>
    <w:rsid w:val="516CE815"/>
    <w:rsid w:val="51723F7E"/>
    <w:rsid w:val="5174F332"/>
    <w:rsid w:val="5177D869"/>
    <w:rsid w:val="517B5528"/>
    <w:rsid w:val="517CD642"/>
    <w:rsid w:val="5187A1AC"/>
    <w:rsid w:val="5192328F"/>
    <w:rsid w:val="51C61218"/>
    <w:rsid w:val="51D25CAC"/>
    <w:rsid w:val="51D46A89"/>
    <w:rsid w:val="51D4C93B"/>
    <w:rsid w:val="51D8CE24"/>
    <w:rsid w:val="51E97ECE"/>
    <w:rsid w:val="51EEA775"/>
    <w:rsid w:val="51F0D164"/>
    <w:rsid w:val="51F21C4A"/>
    <w:rsid w:val="51F2F019"/>
    <w:rsid w:val="51F6DBB0"/>
    <w:rsid w:val="51FA8DB3"/>
    <w:rsid w:val="51FD31E6"/>
    <w:rsid w:val="5206CCFE"/>
    <w:rsid w:val="5216EFD7"/>
    <w:rsid w:val="521E377D"/>
    <w:rsid w:val="5223FE61"/>
    <w:rsid w:val="52336993"/>
    <w:rsid w:val="524000AF"/>
    <w:rsid w:val="5246F9E3"/>
    <w:rsid w:val="524B2471"/>
    <w:rsid w:val="526B8DD0"/>
    <w:rsid w:val="527504B5"/>
    <w:rsid w:val="527717AD"/>
    <w:rsid w:val="527B96ED"/>
    <w:rsid w:val="52825C88"/>
    <w:rsid w:val="528364B6"/>
    <w:rsid w:val="5294BE2A"/>
    <w:rsid w:val="52C22B8B"/>
    <w:rsid w:val="52C8F3CB"/>
    <w:rsid w:val="52C90DF9"/>
    <w:rsid w:val="52CB00A6"/>
    <w:rsid w:val="52D7C93A"/>
    <w:rsid w:val="52D8A1C0"/>
    <w:rsid w:val="52DEC5F1"/>
    <w:rsid w:val="52DEE8C6"/>
    <w:rsid w:val="52E9E246"/>
    <w:rsid w:val="52F6AF1F"/>
    <w:rsid w:val="52F716C2"/>
    <w:rsid w:val="52F82E90"/>
    <w:rsid w:val="5301F211"/>
    <w:rsid w:val="530E264A"/>
    <w:rsid w:val="531107A8"/>
    <w:rsid w:val="531A5744"/>
    <w:rsid w:val="531FE2F3"/>
    <w:rsid w:val="53225FD7"/>
    <w:rsid w:val="5325DF5B"/>
    <w:rsid w:val="53277A7B"/>
    <w:rsid w:val="5327D92D"/>
    <w:rsid w:val="5328CCF8"/>
    <w:rsid w:val="532FB5C4"/>
    <w:rsid w:val="5346EBDF"/>
    <w:rsid w:val="5353D492"/>
    <w:rsid w:val="535646DB"/>
    <w:rsid w:val="535FC063"/>
    <w:rsid w:val="536457E3"/>
    <w:rsid w:val="5365166E"/>
    <w:rsid w:val="53660292"/>
    <w:rsid w:val="536CB672"/>
    <w:rsid w:val="5370E200"/>
    <w:rsid w:val="53765ECE"/>
    <w:rsid w:val="5379654E"/>
    <w:rsid w:val="537BFE80"/>
    <w:rsid w:val="537D197C"/>
    <w:rsid w:val="53ADFF50"/>
    <w:rsid w:val="53B4D850"/>
    <w:rsid w:val="53BAB0BC"/>
    <w:rsid w:val="53C27F80"/>
    <w:rsid w:val="53D3ACFA"/>
    <w:rsid w:val="53D753C2"/>
    <w:rsid w:val="53DEF6E6"/>
    <w:rsid w:val="53E02B54"/>
    <w:rsid w:val="53E8FEFD"/>
    <w:rsid w:val="53ED2789"/>
    <w:rsid w:val="54000734"/>
    <w:rsid w:val="54019C2B"/>
    <w:rsid w:val="54054F4E"/>
    <w:rsid w:val="542B262A"/>
    <w:rsid w:val="542E617F"/>
    <w:rsid w:val="5431D094"/>
    <w:rsid w:val="5439E9D3"/>
    <w:rsid w:val="54472823"/>
    <w:rsid w:val="54540A77"/>
    <w:rsid w:val="545F8A9C"/>
    <w:rsid w:val="546C8E91"/>
    <w:rsid w:val="5470B551"/>
    <w:rsid w:val="54736FB2"/>
    <w:rsid w:val="54771F74"/>
    <w:rsid w:val="5491C655"/>
    <w:rsid w:val="549A597C"/>
    <w:rsid w:val="54B02C16"/>
    <w:rsid w:val="54B9C66F"/>
    <w:rsid w:val="54BC752B"/>
    <w:rsid w:val="54BF50DB"/>
    <w:rsid w:val="54C2B5E6"/>
    <w:rsid w:val="54C859E8"/>
    <w:rsid w:val="54D0CE7A"/>
    <w:rsid w:val="54D5EBB3"/>
    <w:rsid w:val="54DD7DDB"/>
    <w:rsid w:val="54DF980B"/>
    <w:rsid w:val="54E6D7AC"/>
    <w:rsid w:val="54EC0310"/>
    <w:rsid w:val="54ED25C7"/>
    <w:rsid w:val="54F2922A"/>
    <w:rsid w:val="54F494A5"/>
    <w:rsid w:val="54F4B1B4"/>
    <w:rsid w:val="54F6C6CC"/>
    <w:rsid w:val="54F8F1C7"/>
    <w:rsid w:val="54FBC509"/>
    <w:rsid w:val="54FEA8E8"/>
    <w:rsid w:val="55017100"/>
    <w:rsid w:val="550C8140"/>
    <w:rsid w:val="55138893"/>
    <w:rsid w:val="5513E6F0"/>
    <w:rsid w:val="55184101"/>
    <w:rsid w:val="553F66A8"/>
    <w:rsid w:val="5544DC1C"/>
    <w:rsid w:val="554C58E3"/>
    <w:rsid w:val="5555449D"/>
    <w:rsid w:val="5575EA30"/>
    <w:rsid w:val="55798E5B"/>
    <w:rsid w:val="55846E8E"/>
    <w:rsid w:val="5588985C"/>
    <w:rsid w:val="55A504F4"/>
    <w:rsid w:val="55A8BFEA"/>
    <w:rsid w:val="55BA61C7"/>
    <w:rsid w:val="55BC5A0A"/>
    <w:rsid w:val="55BF7205"/>
    <w:rsid w:val="55CC46CC"/>
    <w:rsid w:val="55CF3A67"/>
    <w:rsid w:val="55DAC9BE"/>
    <w:rsid w:val="55DF249B"/>
    <w:rsid w:val="55EC9F3D"/>
    <w:rsid w:val="55F691F2"/>
    <w:rsid w:val="55F96357"/>
    <w:rsid w:val="56019A1A"/>
    <w:rsid w:val="56080CB9"/>
    <w:rsid w:val="561401B3"/>
    <w:rsid w:val="561402DA"/>
    <w:rsid w:val="56160D1A"/>
    <w:rsid w:val="5618B7C2"/>
    <w:rsid w:val="561B9F18"/>
    <w:rsid w:val="562007FA"/>
    <w:rsid w:val="5627560C"/>
    <w:rsid w:val="562E1979"/>
    <w:rsid w:val="5630EA1E"/>
    <w:rsid w:val="5630EFFA"/>
    <w:rsid w:val="56316D87"/>
    <w:rsid w:val="5636E354"/>
    <w:rsid w:val="564DD8C9"/>
    <w:rsid w:val="56508EFF"/>
    <w:rsid w:val="56540209"/>
    <w:rsid w:val="56570A38"/>
    <w:rsid w:val="56690732"/>
    <w:rsid w:val="566C4473"/>
    <w:rsid w:val="566D5398"/>
    <w:rsid w:val="567CD7BC"/>
    <w:rsid w:val="567F9562"/>
    <w:rsid w:val="568295F0"/>
    <w:rsid w:val="56866023"/>
    <w:rsid w:val="5688336B"/>
    <w:rsid w:val="56896D7C"/>
    <w:rsid w:val="5689CBB2"/>
    <w:rsid w:val="568ACF96"/>
    <w:rsid w:val="568F3862"/>
    <w:rsid w:val="569ED451"/>
    <w:rsid w:val="56A90013"/>
    <w:rsid w:val="56AA5185"/>
    <w:rsid w:val="56B45065"/>
    <w:rsid w:val="56B7E8A9"/>
    <w:rsid w:val="56BB7CC5"/>
    <w:rsid w:val="56C089DB"/>
    <w:rsid w:val="56C3379E"/>
    <w:rsid w:val="56C57B1C"/>
    <w:rsid w:val="56D00E02"/>
    <w:rsid w:val="56D5D94D"/>
    <w:rsid w:val="56E6342C"/>
    <w:rsid w:val="56E82702"/>
    <w:rsid w:val="56ED7B00"/>
    <w:rsid w:val="56F0573C"/>
    <w:rsid w:val="5707A3FF"/>
    <w:rsid w:val="5709C1D1"/>
    <w:rsid w:val="570DF773"/>
    <w:rsid w:val="570F188E"/>
    <w:rsid w:val="57128037"/>
    <w:rsid w:val="5712B99D"/>
    <w:rsid w:val="5716D9AC"/>
    <w:rsid w:val="572402AF"/>
    <w:rsid w:val="5727A73A"/>
    <w:rsid w:val="5741E467"/>
    <w:rsid w:val="57533BA8"/>
    <w:rsid w:val="575831D8"/>
    <w:rsid w:val="5758438F"/>
    <w:rsid w:val="57624DE2"/>
    <w:rsid w:val="57689969"/>
    <w:rsid w:val="577444EA"/>
    <w:rsid w:val="57765BDE"/>
    <w:rsid w:val="577C25CC"/>
    <w:rsid w:val="5783D7F3"/>
    <w:rsid w:val="5787CC1D"/>
    <w:rsid w:val="5789BD61"/>
    <w:rsid w:val="578C7365"/>
    <w:rsid w:val="5793D68D"/>
    <w:rsid w:val="579722AB"/>
    <w:rsid w:val="579B42A0"/>
    <w:rsid w:val="57A2D404"/>
    <w:rsid w:val="57A34312"/>
    <w:rsid w:val="57B268D4"/>
    <w:rsid w:val="57B26B6B"/>
    <w:rsid w:val="57BA3404"/>
    <w:rsid w:val="57C088E5"/>
    <w:rsid w:val="57C128AD"/>
    <w:rsid w:val="57C94E2F"/>
    <w:rsid w:val="57D01A8F"/>
    <w:rsid w:val="57D04F19"/>
    <w:rsid w:val="57DFA5D5"/>
    <w:rsid w:val="57E420C5"/>
    <w:rsid w:val="57E773FD"/>
    <w:rsid w:val="57E83B67"/>
    <w:rsid w:val="57EAB650"/>
    <w:rsid w:val="57EAF3A8"/>
    <w:rsid w:val="57ED54B8"/>
    <w:rsid w:val="57EE136B"/>
    <w:rsid w:val="57F30D4D"/>
    <w:rsid w:val="57FB7576"/>
    <w:rsid w:val="57FFEC4B"/>
    <w:rsid w:val="580307C2"/>
    <w:rsid w:val="581E1547"/>
    <w:rsid w:val="582121F0"/>
    <w:rsid w:val="5826AAEB"/>
    <w:rsid w:val="582B8285"/>
    <w:rsid w:val="583F8583"/>
    <w:rsid w:val="584F78F3"/>
    <w:rsid w:val="585A2D71"/>
    <w:rsid w:val="585AAE68"/>
    <w:rsid w:val="586D947C"/>
    <w:rsid w:val="587A69BA"/>
    <w:rsid w:val="587C767B"/>
    <w:rsid w:val="58885367"/>
    <w:rsid w:val="588CA107"/>
    <w:rsid w:val="58927F74"/>
    <w:rsid w:val="58956EAA"/>
    <w:rsid w:val="5899EF2E"/>
    <w:rsid w:val="589FB5BA"/>
    <w:rsid w:val="58A12F1F"/>
    <w:rsid w:val="58A18554"/>
    <w:rsid w:val="58AAFBE7"/>
    <w:rsid w:val="58B2BB6C"/>
    <w:rsid w:val="58B4F385"/>
    <w:rsid w:val="58C36071"/>
    <w:rsid w:val="58CD2B68"/>
    <w:rsid w:val="58DC47CB"/>
    <w:rsid w:val="58E37251"/>
    <w:rsid w:val="58E37CE4"/>
    <w:rsid w:val="58E3F70E"/>
    <w:rsid w:val="58F56420"/>
    <w:rsid w:val="5914C569"/>
    <w:rsid w:val="591DB298"/>
    <w:rsid w:val="59238DCD"/>
    <w:rsid w:val="5928694D"/>
    <w:rsid w:val="592BBE7A"/>
    <w:rsid w:val="593028AF"/>
    <w:rsid w:val="5930882C"/>
    <w:rsid w:val="59395E7E"/>
    <w:rsid w:val="593AB6AF"/>
    <w:rsid w:val="593F408E"/>
    <w:rsid w:val="59422E6F"/>
    <w:rsid w:val="594D80EF"/>
    <w:rsid w:val="5950E975"/>
    <w:rsid w:val="5963821C"/>
    <w:rsid w:val="596C7FD8"/>
    <w:rsid w:val="59710EAF"/>
    <w:rsid w:val="5974CB84"/>
    <w:rsid w:val="597E0245"/>
    <w:rsid w:val="59831B35"/>
    <w:rsid w:val="598A3060"/>
    <w:rsid w:val="5990AF45"/>
    <w:rsid w:val="599A8AB6"/>
    <w:rsid w:val="599F7A55"/>
    <w:rsid w:val="59A1A4A1"/>
    <w:rsid w:val="59A3D7A8"/>
    <w:rsid w:val="59A685A3"/>
    <w:rsid w:val="59A8C32C"/>
    <w:rsid w:val="59B22894"/>
    <w:rsid w:val="59C31FA5"/>
    <w:rsid w:val="59C64136"/>
    <w:rsid w:val="59CE419E"/>
    <w:rsid w:val="59D3F1D6"/>
    <w:rsid w:val="59E0D546"/>
    <w:rsid w:val="59F08D1F"/>
    <w:rsid w:val="59F370CA"/>
    <w:rsid w:val="5A02A36B"/>
    <w:rsid w:val="5A0D24B3"/>
    <w:rsid w:val="5A16F8C0"/>
    <w:rsid w:val="5A26BDF4"/>
    <w:rsid w:val="5A26D6BF"/>
    <w:rsid w:val="5A291641"/>
    <w:rsid w:val="5A3004C3"/>
    <w:rsid w:val="5A3593A1"/>
    <w:rsid w:val="5A4A519D"/>
    <w:rsid w:val="5A4F52AB"/>
    <w:rsid w:val="5A62E5D6"/>
    <w:rsid w:val="5A6B2A59"/>
    <w:rsid w:val="5A720917"/>
    <w:rsid w:val="5A760183"/>
    <w:rsid w:val="5A7D94AF"/>
    <w:rsid w:val="5A81E4F1"/>
    <w:rsid w:val="5A87CF02"/>
    <w:rsid w:val="5AA6F07E"/>
    <w:rsid w:val="5AAAC7CA"/>
    <w:rsid w:val="5AAD36D3"/>
    <w:rsid w:val="5AB1FE41"/>
    <w:rsid w:val="5AB6A1D3"/>
    <w:rsid w:val="5AB8BD54"/>
    <w:rsid w:val="5ACE40B0"/>
    <w:rsid w:val="5ACE6AE1"/>
    <w:rsid w:val="5AD23C5B"/>
    <w:rsid w:val="5AD71DE8"/>
    <w:rsid w:val="5AE2C6A6"/>
    <w:rsid w:val="5AFFD87A"/>
    <w:rsid w:val="5B02428B"/>
    <w:rsid w:val="5B0EFE1D"/>
    <w:rsid w:val="5B114B73"/>
    <w:rsid w:val="5B148275"/>
    <w:rsid w:val="5B22C838"/>
    <w:rsid w:val="5B269129"/>
    <w:rsid w:val="5B29D477"/>
    <w:rsid w:val="5B36112E"/>
    <w:rsid w:val="5B3701F6"/>
    <w:rsid w:val="5B42B172"/>
    <w:rsid w:val="5B4AEDAB"/>
    <w:rsid w:val="5B4F374B"/>
    <w:rsid w:val="5B5374E7"/>
    <w:rsid w:val="5B560BD7"/>
    <w:rsid w:val="5B5FF745"/>
    <w:rsid w:val="5B60ACB2"/>
    <w:rsid w:val="5B6BBC38"/>
    <w:rsid w:val="5B6E372B"/>
    <w:rsid w:val="5B6F19E7"/>
    <w:rsid w:val="5B70531A"/>
    <w:rsid w:val="5B722EF6"/>
    <w:rsid w:val="5B7DD99B"/>
    <w:rsid w:val="5B802381"/>
    <w:rsid w:val="5B86FAE6"/>
    <w:rsid w:val="5B8B2CDA"/>
    <w:rsid w:val="5BA19461"/>
    <w:rsid w:val="5BA4F490"/>
    <w:rsid w:val="5BCF5F4B"/>
    <w:rsid w:val="5BD6030F"/>
    <w:rsid w:val="5BE88FBD"/>
    <w:rsid w:val="5BECDC8B"/>
    <w:rsid w:val="5BF30E25"/>
    <w:rsid w:val="5C045EC9"/>
    <w:rsid w:val="5C1378B7"/>
    <w:rsid w:val="5C1570B7"/>
    <w:rsid w:val="5C244731"/>
    <w:rsid w:val="5C357A13"/>
    <w:rsid w:val="5C385E88"/>
    <w:rsid w:val="5C39AF4E"/>
    <w:rsid w:val="5C3B30FC"/>
    <w:rsid w:val="5C423424"/>
    <w:rsid w:val="5C4C35AA"/>
    <w:rsid w:val="5C54F1C2"/>
    <w:rsid w:val="5C583E11"/>
    <w:rsid w:val="5C6DB801"/>
    <w:rsid w:val="5C7214C0"/>
    <w:rsid w:val="5C728AD3"/>
    <w:rsid w:val="5C76E437"/>
    <w:rsid w:val="5C83C528"/>
    <w:rsid w:val="5C84D1B2"/>
    <w:rsid w:val="5C975564"/>
    <w:rsid w:val="5C97F6D7"/>
    <w:rsid w:val="5C9B6BEA"/>
    <w:rsid w:val="5CB6D88A"/>
    <w:rsid w:val="5CB8AF5C"/>
    <w:rsid w:val="5CBD1148"/>
    <w:rsid w:val="5CC028BB"/>
    <w:rsid w:val="5CCB5D16"/>
    <w:rsid w:val="5CCEAEF8"/>
    <w:rsid w:val="5CD6A8D4"/>
    <w:rsid w:val="5CEBE896"/>
    <w:rsid w:val="5CF1D9E7"/>
    <w:rsid w:val="5CF595C1"/>
    <w:rsid w:val="5CFF5FC1"/>
    <w:rsid w:val="5CFFCE38"/>
    <w:rsid w:val="5D0AE737"/>
    <w:rsid w:val="5D0E9BFA"/>
    <w:rsid w:val="5D1CC0A6"/>
    <w:rsid w:val="5D203CA7"/>
    <w:rsid w:val="5D3646E0"/>
    <w:rsid w:val="5D3696D4"/>
    <w:rsid w:val="5D37E248"/>
    <w:rsid w:val="5D3D7ABB"/>
    <w:rsid w:val="5D403F24"/>
    <w:rsid w:val="5D512D9D"/>
    <w:rsid w:val="5D560F9A"/>
    <w:rsid w:val="5D63F461"/>
    <w:rsid w:val="5D671C60"/>
    <w:rsid w:val="5D69D44A"/>
    <w:rsid w:val="5D95B75B"/>
    <w:rsid w:val="5DA0641E"/>
    <w:rsid w:val="5DB01EFD"/>
    <w:rsid w:val="5DB6E727"/>
    <w:rsid w:val="5DC8092C"/>
    <w:rsid w:val="5DCA3A46"/>
    <w:rsid w:val="5DCB82F3"/>
    <w:rsid w:val="5DEADB6D"/>
    <w:rsid w:val="5DED81DF"/>
    <w:rsid w:val="5DF0BD5E"/>
    <w:rsid w:val="5DF8CDD2"/>
    <w:rsid w:val="5DFA472C"/>
    <w:rsid w:val="5DFF4202"/>
    <w:rsid w:val="5E0FD693"/>
    <w:rsid w:val="5E1BE2C9"/>
    <w:rsid w:val="5E1BF97D"/>
    <w:rsid w:val="5E324C9B"/>
    <w:rsid w:val="5E3B91D3"/>
    <w:rsid w:val="5E46C9E8"/>
    <w:rsid w:val="5E4763E6"/>
    <w:rsid w:val="5E50B43D"/>
    <w:rsid w:val="5E53C704"/>
    <w:rsid w:val="5E5D19DD"/>
    <w:rsid w:val="5E625258"/>
    <w:rsid w:val="5E6779AE"/>
    <w:rsid w:val="5E6AA970"/>
    <w:rsid w:val="5E72A61E"/>
    <w:rsid w:val="5EB19D0B"/>
    <w:rsid w:val="5EB67443"/>
    <w:rsid w:val="5EBE351C"/>
    <w:rsid w:val="5EC3EB68"/>
    <w:rsid w:val="5EC7D43D"/>
    <w:rsid w:val="5ED713E4"/>
    <w:rsid w:val="5ED9FD4B"/>
    <w:rsid w:val="5EDA343B"/>
    <w:rsid w:val="5EDBE89A"/>
    <w:rsid w:val="5EE16FAE"/>
    <w:rsid w:val="5EE58D84"/>
    <w:rsid w:val="5EE927E6"/>
    <w:rsid w:val="5F076E25"/>
    <w:rsid w:val="5F14E7C3"/>
    <w:rsid w:val="5F1EBDEC"/>
    <w:rsid w:val="5F1FD6C1"/>
    <w:rsid w:val="5F277ACF"/>
    <w:rsid w:val="5F27913E"/>
    <w:rsid w:val="5F2F293B"/>
    <w:rsid w:val="5F3F40D0"/>
    <w:rsid w:val="5F54E44A"/>
    <w:rsid w:val="5F5BE495"/>
    <w:rsid w:val="5F6890CD"/>
    <w:rsid w:val="5F69B2B9"/>
    <w:rsid w:val="5F6A561C"/>
    <w:rsid w:val="5F6C26AE"/>
    <w:rsid w:val="5F71349D"/>
    <w:rsid w:val="5F73A4D6"/>
    <w:rsid w:val="5F76E59D"/>
    <w:rsid w:val="5F7B7F6A"/>
    <w:rsid w:val="5F7E4F4C"/>
    <w:rsid w:val="5F835492"/>
    <w:rsid w:val="5F8D926F"/>
    <w:rsid w:val="5F962446"/>
    <w:rsid w:val="5F9860D9"/>
    <w:rsid w:val="5F9DA057"/>
    <w:rsid w:val="5FC0FF30"/>
    <w:rsid w:val="5FD3FF36"/>
    <w:rsid w:val="5FDF11A4"/>
    <w:rsid w:val="5FF1C6D1"/>
    <w:rsid w:val="5FF3480E"/>
    <w:rsid w:val="5FFAFDC7"/>
    <w:rsid w:val="5FFB723E"/>
    <w:rsid w:val="60016B72"/>
    <w:rsid w:val="60051E21"/>
    <w:rsid w:val="601357AF"/>
    <w:rsid w:val="60295962"/>
    <w:rsid w:val="603BD777"/>
    <w:rsid w:val="60445B39"/>
    <w:rsid w:val="6045F892"/>
    <w:rsid w:val="604AAF7F"/>
    <w:rsid w:val="6050452B"/>
    <w:rsid w:val="6053D395"/>
    <w:rsid w:val="60663E6C"/>
    <w:rsid w:val="60743F1C"/>
    <w:rsid w:val="607F4FBC"/>
    <w:rsid w:val="6082F727"/>
    <w:rsid w:val="6084B469"/>
    <w:rsid w:val="609E7887"/>
    <w:rsid w:val="60A67692"/>
    <w:rsid w:val="60A948CD"/>
    <w:rsid w:val="60A9FEE1"/>
    <w:rsid w:val="60B1E774"/>
    <w:rsid w:val="60B4811E"/>
    <w:rsid w:val="60B64B72"/>
    <w:rsid w:val="60D65A80"/>
    <w:rsid w:val="60DC7A36"/>
    <w:rsid w:val="60EC64E8"/>
    <w:rsid w:val="60F552E7"/>
    <w:rsid w:val="610D2E66"/>
    <w:rsid w:val="61144A95"/>
    <w:rsid w:val="6116FCEE"/>
    <w:rsid w:val="6129A36A"/>
    <w:rsid w:val="612A04E1"/>
    <w:rsid w:val="612A1866"/>
    <w:rsid w:val="612B5A0B"/>
    <w:rsid w:val="613FDEC1"/>
    <w:rsid w:val="61544CDA"/>
    <w:rsid w:val="6155BE5D"/>
    <w:rsid w:val="61589E12"/>
    <w:rsid w:val="615AAFFF"/>
    <w:rsid w:val="61638DD5"/>
    <w:rsid w:val="6173D86C"/>
    <w:rsid w:val="61745D21"/>
    <w:rsid w:val="617477B4"/>
    <w:rsid w:val="617D49AC"/>
    <w:rsid w:val="6180DF5D"/>
    <w:rsid w:val="6194D19F"/>
    <w:rsid w:val="61A2E151"/>
    <w:rsid w:val="61A429AB"/>
    <w:rsid w:val="61AABA4C"/>
    <w:rsid w:val="61AD031C"/>
    <w:rsid w:val="61AD38F0"/>
    <w:rsid w:val="61AEF3AE"/>
    <w:rsid w:val="61B0182A"/>
    <w:rsid w:val="61B27F54"/>
    <w:rsid w:val="61C7D303"/>
    <w:rsid w:val="61D36737"/>
    <w:rsid w:val="61D614F4"/>
    <w:rsid w:val="61E11294"/>
    <w:rsid w:val="61E2B0A7"/>
    <w:rsid w:val="61E7F9BE"/>
    <w:rsid w:val="61F19FA7"/>
    <w:rsid w:val="61F372DD"/>
    <w:rsid w:val="61FD4D55"/>
    <w:rsid w:val="6207B74B"/>
    <w:rsid w:val="620D0829"/>
    <w:rsid w:val="620F3368"/>
    <w:rsid w:val="621549F9"/>
    <w:rsid w:val="6215E583"/>
    <w:rsid w:val="6216DDCA"/>
    <w:rsid w:val="62180AC0"/>
    <w:rsid w:val="621E0D04"/>
    <w:rsid w:val="621EDF26"/>
    <w:rsid w:val="62204F39"/>
    <w:rsid w:val="62396F9A"/>
    <w:rsid w:val="623AD1D1"/>
    <w:rsid w:val="623F3EE7"/>
    <w:rsid w:val="624563FA"/>
    <w:rsid w:val="62563413"/>
    <w:rsid w:val="625A5BCC"/>
    <w:rsid w:val="6265B1CC"/>
    <w:rsid w:val="62708057"/>
    <w:rsid w:val="62786376"/>
    <w:rsid w:val="627AB431"/>
    <w:rsid w:val="6286CE49"/>
    <w:rsid w:val="62877E0A"/>
    <w:rsid w:val="628D5A9D"/>
    <w:rsid w:val="6292FE63"/>
    <w:rsid w:val="629A0409"/>
    <w:rsid w:val="62A2C25B"/>
    <w:rsid w:val="62A6E379"/>
    <w:rsid w:val="62A8C4AF"/>
    <w:rsid w:val="62AC1137"/>
    <w:rsid w:val="62BEA131"/>
    <w:rsid w:val="62CE5CA7"/>
    <w:rsid w:val="62DFD18D"/>
    <w:rsid w:val="62ECC0F6"/>
    <w:rsid w:val="62F2E19A"/>
    <w:rsid w:val="6300349E"/>
    <w:rsid w:val="630FD9CB"/>
    <w:rsid w:val="631818A2"/>
    <w:rsid w:val="6318CEB5"/>
    <w:rsid w:val="63298C61"/>
    <w:rsid w:val="6337295C"/>
    <w:rsid w:val="6339882D"/>
    <w:rsid w:val="633A0BC4"/>
    <w:rsid w:val="633F59A9"/>
    <w:rsid w:val="6341C8B5"/>
    <w:rsid w:val="6347A60E"/>
    <w:rsid w:val="635290E9"/>
    <w:rsid w:val="63574C44"/>
    <w:rsid w:val="635D0F15"/>
    <w:rsid w:val="635DAEF3"/>
    <w:rsid w:val="635E3E61"/>
    <w:rsid w:val="635EEB09"/>
    <w:rsid w:val="63710561"/>
    <w:rsid w:val="638356F9"/>
    <w:rsid w:val="6391B22B"/>
    <w:rsid w:val="639C72DF"/>
    <w:rsid w:val="63A122E9"/>
    <w:rsid w:val="63A3EF16"/>
    <w:rsid w:val="63A709E5"/>
    <w:rsid w:val="63B845BA"/>
    <w:rsid w:val="63C92C15"/>
    <w:rsid w:val="63CB4F33"/>
    <w:rsid w:val="63CC3E90"/>
    <w:rsid w:val="63D6D2CC"/>
    <w:rsid w:val="63E2BBF9"/>
    <w:rsid w:val="63E5F7AB"/>
    <w:rsid w:val="63E9B22D"/>
    <w:rsid w:val="63EA755D"/>
    <w:rsid w:val="63F5EE62"/>
    <w:rsid w:val="640807C5"/>
    <w:rsid w:val="6414E961"/>
    <w:rsid w:val="64165268"/>
    <w:rsid w:val="64241A8C"/>
    <w:rsid w:val="6430CCA3"/>
    <w:rsid w:val="6440A6BF"/>
    <w:rsid w:val="6445CE8C"/>
    <w:rsid w:val="644A3BE4"/>
    <w:rsid w:val="64529EF9"/>
    <w:rsid w:val="64531184"/>
    <w:rsid w:val="64607338"/>
    <w:rsid w:val="64629350"/>
    <w:rsid w:val="6467BE35"/>
    <w:rsid w:val="646DD477"/>
    <w:rsid w:val="64710C67"/>
    <w:rsid w:val="647F6F3E"/>
    <w:rsid w:val="64832457"/>
    <w:rsid w:val="6486E2B7"/>
    <w:rsid w:val="6489B6F4"/>
    <w:rsid w:val="649A700F"/>
    <w:rsid w:val="64A02F42"/>
    <w:rsid w:val="64A9B68F"/>
    <w:rsid w:val="64BA9194"/>
    <w:rsid w:val="64BB11FF"/>
    <w:rsid w:val="64BC8198"/>
    <w:rsid w:val="64C7E250"/>
    <w:rsid w:val="64D1DC62"/>
    <w:rsid w:val="64D24508"/>
    <w:rsid w:val="64D667AD"/>
    <w:rsid w:val="64D669E7"/>
    <w:rsid w:val="64E01872"/>
    <w:rsid w:val="64E48B46"/>
    <w:rsid w:val="64E5C260"/>
    <w:rsid w:val="64EACFA8"/>
    <w:rsid w:val="64ED4E1A"/>
    <w:rsid w:val="64ED83CE"/>
    <w:rsid w:val="64F09922"/>
    <w:rsid w:val="64F69527"/>
    <w:rsid w:val="64FFF0A1"/>
    <w:rsid w:val="6504FE4B"/>
    <w:rsid w:val="6508D397"/>
    <w:rsid w:val="651C198C"/>
    <w:rsid w:val="652BF412"/>
    <w:rsid w:val="65309BC3"/>
    <w:rsid w:val="65399095"/>
    <w:rsid w:val="653EB5EA"/>
    <w:rsid w:val="65490232"/>
    <w:rsid w:val="654931AD"/>
    <w:rsid w:val="654F1DD8"/>
    <w:rsid w:val="654FB269"/>
    <w:rsid w:val="6558409C"/>
    <w:rsid w:val="655BA464"/>
    <w:rsid w:val="6569C7B3"/>
    <w:rsid w:val="656FF039"/>
    <w:rsid w:val="6571B65C"/>
    <w:rsid w:val="6576CFB4"/>
    <w:rsid w:val="6581BF2F"/>
    <w:rsid w:val="658707DC"/>
    <w:rsid w:val="65933B73"/>
    <w:rsid w:val="659382F2"/>
    <w:rsid w:val="659C7B2C"/>
    <w:rsid w:val="659CCC9F"/>
    <w:rsid w:val="65BF30BD"/>
    <w:rsid w:val="65C18DF5"/>
    <w:rsid w:val="65CA8D2E"/>
    <w:rsid w:val="65D1DFE2"/>
    <w:rsid w:val="65D38214"/>
    <w:rsid w:val="65D40019"/>
    <w:rsid w:val="65E38B0C"/>
    <w:rsid w:val="65EF19DC"/>
    <w:rsid w:val="65EF9664"/>
    <w:rsid w:val="65EFF015"/>
    <w:rsid w:val="660B3628"/>
    <w:rsid w:val="660E63F6"/>
    <w:rsid w:val="6612E3E5"/>
    <w:rsid w:val="661AF118"/>
    <w:rsid w:val="66285351"/>
    <w:rsid w:val="662CA8BB"/>
    <w:rsid w:val="663183FA"/>
    <w:rsid w:val="6634592B"/>
    <w:rsid w:val="663D1E24"/>
    <w:rsid w:val="664335B7"/>
    <w:rsid w:val="66453B94"/>
    <w:rsid w:val="664735B7"/>
    <w:rsid w:val="66508228"/>
    <w:rsid w:val="66527496"/>
    <w:rsid w:val="6659B2FD"/>
    <w:rsid w:val="6666D7D6"/>
    <w:rsid w:val="66670F25"/>
    <w:rsid w:val="666A2645"/>
    <w:rsid w:val="6676BA97"/>
    <w:rsid w:val="667B25A5"/>
    <w:rsid w:val="6681F706"/>
    <w:rsid w:val="668DD3B8"/>
    <w:rsid w:val="6693900F"/>
    <w:rsid w:val="6694271A"/>
    <w:rsid w:val="669E9B64"/>
    <w:rsid w:val="66A9A374"/>
    <w:rsid w:val="66BC8B5E"/>
    <w:rsid w:val="66BD2151"/>
    <w:rsid w:val="66BFDCC1"/>
    <w:rsid w:val="66C02DB0"/>
    <w:rsid w:val="66C943A2"/>
    <w:rsid w:val="66D9C41F"/>
    <w:rsid w:val="66DEC480"/>
    <w:rsid w:val="66E9744B"/>
    <w:rsid w:val="66E98BCE"/>
    <w:rsid w:val="66F0FCF1"/>
    <w:rsid w:val="6713DCD3"/>
    <w:rsid w:val="671A4D03"/>
    <w:rsid w:val="6721BF5E"/>
    <w:rsid w:val="672F904A"/>
    <w:rsid w:val="6730F8B0"/>
    <w:rsid w:val="673E075B"/>
    <w:rsid w:val="6745D747"/>
    <w:rsid w:val="67468F69"/>
    <w:rsid w:val="674A56C1"/>
    <w:rsid w:val="67542BBA"/>
    <w:rsid w:val="675BAF05"/>
    <w:rsid w:val="6769A838"/>
    <w:rsid w:val="677399BC"/>
    <w:rsid w:val="677FE4A5"/>
    <w:rsid w:val="67A72EA2"/>
    <w:rsid w:val="67A7AA3F"/>
    <w:rsid w:val="67ADA237"/>
    <w:rsid w:val="67AE6909"/>
    <w:rsid w:val="67B0144C"/>
    <w:rsid w:val="67B27948"/>
    <w:rsid w:val="67B67D7C"/>
    <w:rsid w:val="67C73FAB"/>
    <w:rsid w:val="67C9956A"/>
    <w:rsid w:val="67D1F076"/>
    <w:rsid w:val="67DE2AC4"/>
    <w:rsid w:val="67EEDDF7"/>
    <w:rsid w:val="67F07F5A"/>
    <w:rsid w:val="67F17356"/>
    <w:rsid w:val="67F30843"/>
    <w:rsid w:val="67FEEDA6"/>
    <w:rsid w:val="68027C00"/>
    <w:rsid w:val="68031FFD"/>
    <w:rsid w:val="6805197B"/>
    <w:rsid w:val="6805B8D1"/>
    <w:rsid w:val="6807C890"/>
    <w:rsid w:val="6815575B"/>
    <w:rsid w:val="6818E5B8"/>
    <w:rsid w:val="681B73F3"/>
    <w:rsid w:val="681D4C94"/>
    <w:rsid w:val="68262106"/>
    <w:rsid w:val="682E30E8"/>
    <w:rsid w:val="68333FC5"/>
    <w:rsid w:val="68469D33"/>
    <w:rsid w:val="684A3BF6"/>
    <w:rsid w:val="684B79F9"/>
    <w:rsid w:val="684E126A"/>
    <w:rsid w:val="685D2BD6"/>
    <w:rsid w:val="68827F87"/>
    <w:rsid w:val="6889EA95"/>
    <w:rsid w:val="688E7A04"/>
    <w:rsid w:val="68942B6D"/>
    <w:rsid w:val="6895BDC4"/>
    <w:rsid w:val="68A4D25F"/>
    <w:rsid w:val="68A871BC"/>
    <w:rsid w:val="68AECB11"/>
    <w:rsid w:val="68C055EA"/>
    <w:rsid w:val="68C12E04"/>
    <w:rsid w:val="68D38311"/>
    <w:rsid w:val="68D41A61"/>
    <w:rsid w:val="68D47C06"/>
    <w:rsid w:val="68E0789B"/>
    <w:rsid w:val="68E69C70"/>
    <w:rsid w:val="68E7ACCC"/>
    <w:rsid w:val="68F437AE"/>
    <w:rsid w:val="68F72395"/>
    <w:rsid w:val="69026EC8"/>
    <w:rsid w:val="69170900"/>
    <w:rsid w:val="6927534B"/>
    <w:rsid w:val="692DDEB5"/>
    <w:rsid w:val="693206BD"/>
    <w:rsid w:val="6932E53D"/>
    <w:rsid w:val="693AFFC5"/>
    <w:rsid w:val="693C295C"/>
    <w:rsid w:val="693C2F64"/>
    <w:rsid w:val="694D2FAF"/>
    <w:rsid w:val="6953C7F1"/>
    <w:rsid w:val="6955DCF2"/>
    <w:rsid w:val="695996C2"/>
    <w:rsid w:val="696A5C41"/>
    <w:rsid w:val="69701D62"/>
    <w:rsid w:val="6975D30A"/>
    <w:rsid w:val="6978A590"/>
    <w:rsid w:val="697A277C"/>
    <w:rsid w:val="698696DB"/>
    <w:rsid w:val="69894B2C"/>
    <w:rsid w:val="698C406B"/>
    <w:rsid w:val="699D41A6"/>
    <w:rsid w:val="699DC533"/>
    <w:rsid w:val="699F215C"/>
    <w:rsid w:val="69A9CA27"/>
    <w:rsid w:val="69AA2F67"/>
    <w:rsid w:val="69B6AD25"/>
    <w:rsid w:val="69B84495"/>
    <w:rsid w:val="69C0B17A"/>
    <w:rsid w:val="69C17861"/>
    <w:rsid w:val="69CC2C06"/>
    <w:rsid w:val="69CF8B79"/>
    <w:rsid w:val="69D0C6F3"/>
    <w:rsid w:val="69DBE233"/>
    <w:rsid w:val="69DEEAF8"/>
    <w:rsid w:val="69E2C87C"/>
    <w:rsid w:val="69E3BF75"/>
    <w:rsid w:val="69E78387"/>
    <w:rsid w:val="69EC61F0"/>
    <w:rsid w:val="69EF1432"/>
    <w:rsid w:val="69F97D9A"/>
    <w:rsid w:val="6A11C3E5"/>
    <w:rsid w:val="6A13A0D5"/>
    <w:rsid w:val="6A39B771"/>
    <w:rsid w:val="6A4A7DD3"/>
    <w:rsid w:val="6A579486"/>
    <w:rsid w:val="6A5AF6E9"/>
    <w:rsid w:val="6A5BE222"/>
    <w:rsid w:val="6A5F5E9D"/>
    <w:rsid w:val="6A7B4290"/>
    <w:rsid w:val="6A7B9110"/>
    <w:rsid w:val="6A7CC5A2"/>
    <w:rsid w:val="6A8CCB6B"/>
    <w:rsid w:val="6A9337B8"/>
    <w:rsid w:val="6A9F9137"/>
    <w:rsid w:val="6AA1BF4E"/>
    <w:rsid w:val="6AAAACB4"/>
    <w:rsid w:val="6AB9775B"/>
    <w:rsid w:val="6AC642A7"/>
    <w:rsid w:val="6AC73D7F"/>
    <w:rsid w:val="6AC812E2"/>
    <w:rsid w:val="6ACB7DE9"/>
    <w:rsid w:val="6ACBDE70"/>
    <w:rsid w:val="6ACE8381"/>
    <w:rsid w:val="6AD8A902"/>
    <w:rsid w:val="6ADA1682"/>
    <w:rsid w:val="6AF64662"/>
    <w:rsid w:val="6AF86D38"/>
    <w:rsid w:val="6AFD7D1C"/>
    <w:rsid w:val="6B00C43A"/>
    <w:rsid w:val="6B0A5052"/>
    <w:rsid w:val="6B0B25C5"/>
    <w:rsid w:val="6B19042C"/>
    <w:rsid w:val="6B1CAB2B"/>
    <w:rsid w:val="6B1F7FA2"/>
    <w:rsid w:val="6B290D0A"/>
    <w:rsid w:val="6B29A636"/>
    <w:rsid w:val="6B30053A"/>
    <w:rsid w:val="6B323C3B"/>
    <w:rsid w:val="6B460FDE"/>
    <w:rsid w:val="6B48BEE1"/>
    <w:rsid w:val="6B52657C"/>
    <w:rsid w:val="6B5795BA"/>
    <w:rsid w:val="6B5C4C7D"/>
    <w:rsid w:val="6B5D4E05"/>
    <w:rsid w:val="6B6925D3"/>
    <w:rsid w:val="6B6B8AED"/>
    <w:rsid w:val="6B837355"/>
    <w:rsid w:val="6B8463D1"/>
    <w:rsid w:val="6B873AF4"/>
    <w:rsid w:val="6B874268"/>
    <w:rsid w:val="6B973B0C"/>
    <w:rsid w:val="6BA2212A"/>
    <w:rsid w:val="6BA7259D"/>
    <w:rsid w:val="6BB4D12C"/>
    <w:rsid w:val="6BBCE5F5"/>
    <w:rsid w:val="6BC07520"/>
    <w:rsid w:val="6BC29A89"/>
    <w:rsid w:val="6BD074FF"/>
    <w:rsid w:val="6BD242ED"/>
    <w:rsid w:val="6BD28981"/>
    <w:rsid w:val="6BDBE320"/>
    <w:rsid w:val="6BECA0CB"/>
    <w:rsid w:val="6BF9ED3C"/>
    <w:rsid w:val="6BFB39DB"/>
    <w:rsid w:val="6C1273C1"/>
    <w:rsid w:val="6C1D38B0"/>
    <w:rsid w:val="6C20AAD5"/>
    <w:rsid w:val="6C301015"/>
    <w:rsid w:val="6C473389"/>
    <w:rsid w:val="6C48FCF8"/>
    <w:rsid w:val="6C517D03"/>
    <w:rsid w:val="6C57FC87"/>
    <w:rsid w:val="6C5CE024"/>
    <w:rsid w:val="6C613A6D"/>
    <w:rsid w:val="6C630CA5"/>
    <w:rsid w:val="6C69A413"/>
    <w:rsid w:val="6C71161E"/>
    <w:rsid w:val="6C74CFEF"/>
    <w:rsid w:val="6C79162F"/>
    <w:rsid w:val="6C91C578"/>
    <w:rsid w:val="6C9229B9"/>
    <w:rsid w:val="6CB197A0"/>
    <w:rsid w:val="6CC5A3BA"/>
    <w:rsid w:val="6CCE7859"/>
    <w:rsid w:val="6CD15ACC"/>
    <w:rsid w:val="6CE74F41"/>
    <w:rsid w:val="6CE8B6EC"/>
    <w:rsid w:val="6D11997C"/>
    <w:rsid w:val="6D143DA3"/>
    <w:rsid w:val="6D21FBCC"/>
    <w:rsid w:val="6D24FC21"/>
    <w:rsid w:val="6D2771F3"/>
    <w:rsid w:val="6D32210C"/>
    <w:rsid w:val="6D36A9A6"/>
    <w:rsid w:val="6D441EC4"/>
    <w:rsid w:val="6D491128"/>
    <w:rsid w:val="6D4C7112"/>
    <w:rsid w:val="6D4C9FDA"/>
    <w:rsid w:val="6D562DA9"/>
    <w:rsid w:val="6D591064"/>
    <w:rsid w:val="6D5D2A82"/>
    <w:rsid w:val="6D5D3AD7"/>
    <w:rsid w:val="6D6254BB"/>
    <w:rsid w:val="6D6F50FD"/>
    <w:rsid w:val="6D803DC3"/>
    <w:rsid w:val="6D868477"/>
    <w:rsid w:val="6D87E482"/>
    <w:rsid w:val="6D8B54DE"/>
    <w:rsid w:val="6D8C03CC"/>
    <w:rsid w:val="6D937A35"/>
    <w:rsid w:val="6D967BB7"/>
    <w:rsid w:val="6D96F023"/>
    <w:rsid w:val="6D9A2122"/>
    <w:rsid w:val="6DA90602"/>
    <w:rsid w:val="6DAD4931"/>
    <w:rsid w:val="6DB4BF1C"/>
    <w:rsid w:val="6DBD89C3"/>
    <w:rsid w:val="6DC45B5B"/>
    <w:rsid w:val="6DC67A0E"/>
    <w:rsid w:val="6DDBD16C"/>
    <w:rsid w:val="6DDC08D4"/>
    <w:rsid w:val="6DE4B37E"/>
    <w:rsid w:val="6DE91E7F"/>
    <w:rsid w:val="6DF22493"/>
    <w:rsid w:val="6DF72E34"/>
    <w:rsid w:val="6DF97C35"/>
    <w:rsid w:val="6DFA02B8"/>
    <w:rsid w:val="6E0188D7"/>
    <w:rsid w:val="6E0235AA"/>
    <w:rsid w:val="6E11DBB8"/>
    <w:rsid w:val="6E23332E"/>
    <w:rsid w:val="6E24067F"/>
    <w:rsid w:val="6E280B31"/>
    <w:rsid w:val="6E3A5FF1"/>
    <w:rsid w:val="6E465C6D"/>
    <w:rsid w:val="6E4FE3DB"/>
    <w:rsid w:val="6E512024"/>
    <w:rsid w:val="6E533867"/>
    <w:rsid w:val="6E589242"/>
    <w:rsid w:val="6E5F4E19"/>
    <w:rsid w:val="6E68E6FA"/>
    <w:rsid w:val="6E73701C"/>
    <w:rsid w:val="6E764366"/>
    <w:rsid w:val="6E7BB7B3"/>
    <w:rsid w:val="6E7CD6FB"/>
    <w:rsid w:val="6E8A1A53"/>
    <w:rsid w:val="6E9295E2"/>
    <w:rsid w:val="6E9719BA"/>
    <w:rsid w:val="6E9C6E00"/>
    <w:rsid w:val="6E9F057B"/>
    <w:rsid w:val="6EA06A85"/>
    <w:rsid w:val="6EA1509A"/>
    <w:rsid w:val="6EA9F0D6"/>
    <w:rsid w:val="6EB2708C"/>
    <w:rsid w:val="6EB77309"/>
    <w:rsid w:val="6EBB873F"/>
    <w:rsid w:val="6EC1C823"/>
    <w:rsid w:val="6EC69C1D"/>
    <w:rsid w:val="6ED7665B"/>
    <w:rsid w:val="6EE5B468"/>
    <w:rsid w:val="6EE64F60"/>
    <w:rsid w:val="6EE7F0E2"/>
    <w:rsid w:val="6EF2D965"/>
    <w:rsid w:val="6EF67078"/>
    <w:rsid w:val="6EF8E17D"/>
    <w:rsid w:val="6EF94192"/>
    <w:rsid w:val="6F11ED1A"/>
    <w:rsid w:val="6F128B92"/>
    <w:rsid w:val="6F15E820"/>
    <w:rsid w:val="6F168746"/>
    <w:rsid w:val="6F17ADB2"/>
    <w:rsid w:val="6F19DAAC"/>
    <w:rsid w:val="6F1BB514"/>
    <w:rsid w:val="6F22AC6F"/>
    <w:rsid w:val="6F2714AD"/>
    <w:rsid w:val="6F2865EA"/>
    <w:rsid w:val="6F289938"/>
    <w:rsid w:val="6F293665"/>
    <w:rsid w:val="6F2A8150"/>
    <w:rsid w:val="6F2FC058"/>
    <w:rsid w:val="6F37531D"/>
    <w:rsid w:val="6F4C87C9"/>
    <w:rsid w:val="6F555A65"/>
    <w:rsid w:val="6F5DCDD5"/>
    <w:rsid w:val="6F643094"/>
    <w:rsid w:val="6F6E8AA3"/>
    <w:rsid w:val="6F71F57E"/>
    <w:rsid w:val="6F7DCB16"/>
    <w:rsid w:val="6F85958A"/>
    <w:rsid w:val="6F988FA3"/>
    <w:rsid w:val="6FA6469D"/>
    <w:rsid w:val="6FB8BEF7"/>
    <w:rsid w:val="6FBC7DEF"/>
    <w:rsid w:val="6FCA00DD"/>
    <w:rsid w:val="6FCE8A78"/>
    <w:rsid w:val="6FD05347"/>
    <w:rsid w:val="6FD77DFD"/>
    <w:rsid w:val="6FDBFC03"/>
    <w:rsid w:val="6FE66402"/>
    <w:rsid w:val="6FE93A5E"/>
    <w:rsid w:val="6FF99B3C"/>
    <w:rsid w:val="70098F11"/>
    <w:rsid w:val="7010F41C"/>
    <w:rsid w:val="701C9C6B"/>
    <w:rsid w:val="7024BB04"/>
    <w:rsid w:val="70261B80"/>
    <w:rsid w:val="702E4EAF"/>
    <w:rsid w:val="7034D89A"/>
    <w:rsid w:val="7038654F"/>
    <w:rsid w:val="703ADD3B"/>
    <w:rsid w:val="703C8D49"/>
    <w:rsid w:val="70445CE3"/>
    <w:rsid w:val="704FA476"/>
    <w:rsid w:val="704FD830"/>
    <w:rsid w:val="7050CEEE"/>
    <w:rsid w:val="70542C3E"/>
    <w:rsid w:val="705BFBC6"/>
    <w:rsid w:val="7073C1B5"/>
    <w:rsid w:val="707EC6A2"/>
    <w:rsid w:val="7095369D"/>
    <w:rsid w:val="7098D628"/>
    <w:rsid w:val="709AC9A0"/>
    <w:rsid w:val="70A397C4"/>
    <w:rsid w:val="70A5A706"/>
    <w:rsid w:val="70AB8633"/>
    <w:rsid w:val="70B1FFFA"/>
    <w:rsid w:val="70B9F08B"/>
    <w:rsid w:val="70BE9F32"/>
    <w:rsid w:val="70C6FDD6"/>
    <w:rsid w:val="70C8525E"/>
    <w:rsid w:val="70C9489F"/>
    <w:rsid w:val="70D0C47C"/>
    <w:rsid w:val="70E02AD8"/>
    <w:rsid w:val="70EECD43"/>
    <w:rsid w:val="70F68C2C"/>
    <w:rsid w:val="7107CC02"/>
    <w:rsid w:val="710E5F00"/>
    <w:rsid w:val="7110495F"/>
    <w:rsid w:val="71122C2D"/>
    <w:rsid w:val="711C3D4E"/>
    <w:rsid w:val="712B2119"/>
    <w:rsid w:val="712DDAE3"/>
    <w:rsid w:val="7137C238"/>
    <w:rsid w:val="713D07DB"/>
    <w:rsid w:val="714A9CD8"/>
    <w:rsid w:val="715350D8"/>
    <w:rsid w:val="7155831F"/>
    <w:rsid w:val="715843E8"/>
    <w:rsid w:val="7165A3C1"/>
    <w:rsid w:val="716B871A"/>
    <w:rsid w:val="717661D4"/>
    <w:rsid w:val="7176646F"/>
    <w:rsid w:val="717827C7"/>
    <w:rsid w:val="71798B4A"/>
    <w:rsid w:val="718A5C3F"/>
    <w:rsid w:val="718B79B1"/>
    <w:rsid w:val="718D703B"/>
    <w:rsid w:val="71926E3D"/>
    <w:rsid w:val="7192A4BE"/>
    <w:rsid w:val="71996CD4"/>
    <w:rsid w:val="719C5653"/>
    <w:rsid w:val="71A2DFDA"/>
    <w:rsid w:val="71A77E34"/>
    <w:rsid w:val="71AB9D93"/>
    <w:rsid w:val="71AC3124"/>
    <w:rsid w:val="71B5A6A2"/>
    <w:rsid w:val="71BB5DC3"/>
    <w:rsid w:val="71BF8086"/>
    <w:rsid w:val="71BF9EAC"/>
    <w:rsid w:val="71C948D1"/>
    <w:rsid w:val="71D1486F"/>
    <w:rsid w:val="71F5DC2D"/>
    <w:rsid w:val="71FBBBC3"/>
    <w:rsid w:val="7210187F"/>
    <w:rsid w:val="721FDCF7"/>
    <w:rsid w:val="72215736"/>
    <w:rsid w:val="7221D17D"/>
    <w:rsid w:val="722A00FD"/>
    <w:rsid w:val="7237B846"/>
    <w:rsid w:val="723D0716"/>
    <w:rsid w:val="7242600C"/>
    <w:rsid w:val="7244574F"/>
    <w:rsid w:val="724ED866"/>
    <w:rsid w:val="7263027F"/>
    <w:rsid w:val="72690334"/>
    <w:rsid w:val="726AC4F8"/>
    <w:rsid w:val="72727298"/>
    <w:rsid w:val="727612A1"/>
    <w:rsid w:val="72908080"/>
    <w:rsid w:val="72A00C97"/>
    <w:rsid w:val="72A5CC01"/>
    <w:rsid w:val="72AB9AE3"/>
    <w:rsid w:val="72BAB6FF"/>
    <w:rsid w:val="72BB3669"/>
    <w:rsid w:val="72C6C57F"/>
    <w:rsid w:val="72CB64C8"/>
    <w:rsid w:val="72CC23DF"/>
    <w:rsid w:val="72CD94BA"/>
    <w:rsid w:val="72CF4504"/>
    <w:rsid w:val="72E6C7A5"/>
    <w:rsid w:val="72E798B4"/>
    <w:rsid w:val="72E7F4F5"/>
    <w:rsid w:val="72F29396"/>
    <w:rsid w:val="72F96999"/>
    <w:rsid w:val="730693EC"/>
    <w:rsid w:val="7309D2B8"/>
    <w:rsid w:val="730AEBA9"/>
    <w:rsid w:val="73303F21"/>
    <w:rsid w:val="73470617"/>
    <w:rsid w:val="7348DF6F"/>
    <w:rsid w:val="734DD7E3"/>
    <w:rsid w:val="734E81F3"/>
    <w:rsid w:val="73567EF6"/>
    <w:rsid w:val="735F893D"/>
    <w:rsid w:val="73707C83"/>
    <w:rsid w:val="737CA4C0"/>
    <w:rsid w:val="7380CC4D"/>
    <w:rsid w:val="7387C3C9"/>
    <w:rsid w:val="738D7CA3"/>
    <w:rsid w:val="739B2825"/>
    <w:rsid w:val="73A07B67"/>
    <w:rsid w:val="73A1C746"/>
    <w:rsid w:val="73AB60A5"/>
    <w:rsid w:val="73B339AF"/>
    <w:rsid w:val="73B5514A"/>
    <w:rsid w:val="73B8AD9D"/>
    <w:rsid w:val="73BC22B3"/>
    <w:rsid w:val="73CCEF12"/>
    <w:rsid w:val="73CD3385"/>
    <w:rsid w:val="73D680B8"/>
    <w:rsid w:val="73DEF874"/>
    <w:rsid w:val="73E6A619"/>
    <w:rsid w:val="73E8FE53"/>
    <w:rsid w:val="73ECBF0E"/>
    <w:rsid w:val="73EFBEFE"/>
    <w:rsid w:val="73F02432"/>
    <w:rsid w:val="73F2F064"/>
    <w:rsid w:val="73F79E04"/>
    <w:rsid w:val="740066E4"/>
    <w:rsid w:val="740277CF"/>
    <w:rsid w:val="7406DDBD"/>
    <w:rsid w:val="740B7264"/>
    <w:rsid w:val="740C9D69"/>
    <w:rsid w:val="740E5F30"/>
    <w:rsid w:val="742409BB"/>
    <w:rsid w:val="74283CD4"/>
    <w:rsid w:val="7428D5EC"/>
    <w:rsid w:val="743224AD"/>
    <w:rsid w:val="743B0F2F"/>
    <w:rsid w:val="7441F310"/>
    <w:rsid w:val="7441F98F"/>
    <w:rsid w:val="74463EE4"/>
    <w:rsid w:val="744C2F1D"/>
    <w:rsid w:val="74514FED"/>
    <w:rsid w:val="746B4F18"/>
    <w:rsid w:val="74730121"/>
    <w:rsid w:val="74732808"/>
    <w:rsid w:val="7473E191"/>
    <w:rsid w:val="74758F2B"/>
    <w:rsid w:val="748DBC97"/>
    <w:rsid w:val="74987EF3"/>
    <w:rsid w:val="749F2A32"/>
    <w:rsid w:val="74A0184D"/>
    <w:rsid w:val="74AAB248"/>
    <w:rsid w:val="74AC3C8D"/>
    <w:rsid w:val="74B70533"/>
    <w:rsid w:val="74BC957F"/>
    <w:rsid w:val="74C0DA39"/>
    <w:rsid w:val="74CB3418"/>
    <w:rsid w:val="74D7CAA7"/>
    <w:rsid w:val="74DA2D11"/>
    <w:rsid w:val="74DA4C4B"/>
    <w:rsid w:val="74E194E9"/>
    <w:rsid w:val="74E1D5A0"/>
    <w:rsid w:val="74E4411B"/>
    <w:rsid w:val="74E90C64"/>
    <w:rsid w:val="74E9ADE8"/>
    <w:rsid w:val="74EB7A58"/>
    <w:rsid w:val="750096B4"/>
    <w:rsid w:val="7508AE93"/>
    <w:rsid w:val="7509B3C0"/>
    <w:rsid w:val="75126A75"/>
    <w:rsid w:val="751937EE"/>
    <w:rsid w:val="752309AB"/>
    <w:rsid w:val="75239CFA"/>
    <w:rsid w:val="7526119D"/>
    <w:rsid w:val="752914CD"/>
    <w:rsid w:val="752EC9E2"/>
    <w:rsid w:val="75372BA5"/>
    <w:rsid w:val="75607BAE"/>
    <w:rsid w:val="75630C58"/>
    <w:rsid w:val="756EFE88"/>
    <w:rsid w:val="7574D9BB"/>
    <w:rsid w:val="75776A0D"/>
    <w:rsid w:val="75876F35"/>
    <w:rsid w:val="7589DCE6"/>
    <w:rsid w:val="75941698"/>
    <w:rsid w:val="7596B757"/>
    <w:rsid w:val="75A584D3"/>
    <w:rsid w:val="75BB23AD"/>
    <w:rsid w:val="75C7264D"/>
    <w:rsid w:val="75D4AB24"/>
    <w:rsid w:val="75DBCEA3"/>
    <w:rsid w:val="75ED8886"/>
    <w:rsid w:val="75EF632C"/>
    <w:rsid w:val="75F06049"/>
    <w:rsid w:val="75FC5561"/>
    <w:rsid w:val="760130C9"/>
    <w:rsid w:val="76077C99"/>
    <w:rsid w:val="761AD8FE"/>
    <w:rsid w:val="761BAB15"/>
    <w:rsid w:val="761C4734"/>
    <w:rsid w:val="762B2C12"/>
    <w:rsid w:val="762F1005"/>
    <w:rsid w:val="763533CF"/>
    <w:rsid w:val="7635CA7E"/>
    <w:rsid w:val="7635E41D"/>
    <w:rsid w:val="763B4D06"/>
    <w:rsid w:val="763C3172"/>
    <w:rsid w:val="764A941A"/>
    <w:rsid w:val="7651B84B"/>
    <w:rsid w:val="76590637"/>
    <w:rsid w:val="7675A55D"/>
    <w:rsid w:val="76786564"/>
    <w:rsid w:val="767B43B3"/>
    <w:rsid w:val="767C56A5"/>
    <w:rsid w:val="768731DF"/>
    <w:rsid w:val="76981568"/>
    <w:rsid w:val="769FD2BF"/>
    <w:rsid w:val="76A2C5E8"/>
    <w:rsid w:val="76A33296"/>
    <w:rsid w:val="76A62F9D"/>
    <w:rsid w:val="76A684AD"/>
    <w:rsid w:val="76A8FD1C"/>
    <w:rsid w:val="76B28484"/>
    <w:rsid w:val="76B7A07D"/>
    <w:rsid w:val="76B869E8"/>
    <w:rsid w:val="76CB36AD"/>
    <w:rsid w:val="76CC2E7F"/>
    <w:rsid w:val="76CEA066"/>
    <w:rsid w:val="76D20A9B"/>
    <w:rsid w:val="76D3F59C"/>
    <w:rsid w:val="76DD9802"/>
    <w:rsid w:val="76DFBE2C"/>
    <w:rsid w:val="76E82B04"/>
    <w:rsid w:val="76EBB585"/>
    <w:rsid w:val="76F3F98F"/>
    <w:rsid w:val="7707072D"/>
    <w:rsid w:val="770A9641"/>
    <w:rsid w:val="770B6767"/>
    <w:rsid w:val="7716659B"/>
    <w:rsid w:val="7716AB3D"/>
    <w:rsid w:val="771AC1C5"/>
    <w:rsid w:val="772154E7"/>
    <w:rsid w:val="772805BE"/>
    <w:rsid w:val="77322EB0"/>
    <w:rsid w:val="773E4559"/>
    <w:rsid w:val="77420832"/>
    <w:rsid w:val="7742E613"/>
    <w:rsid w:val="7750B9B8"/>
    <w:rsid w:val="776847B1"/>
    <w:rsid w:val="77723B9F"/>
    <w:rsid w:val="778ED107"/>
    <w:rsid w:val="7790F1B9"/>
    <w:rsid w:val="779A69CD"/>
    <w:rsid w:val="779DCA4F"/>
    <w:rsid w:val="77B6A5A4"/>
    <w:rsid w:val="77B76148"/>
    <w:rsid w:val="77B8AE5D"/>
    <w:rsid w:val="77BF4A30"/>
    <w:rsid w:val="77D56396"/>
    <w:rsid w:val="77EB8ED2"/>
    <w:rsid w:val="77F98CFE"/>
    <w:rsid w:val="77FB41B3"/>
    <w:rsid w:val="781799AD"/>
    <w:rsid w:val="782075FF"/>
    <w:rsid w:val="7829E32D"/>
    <w:rsid w:val="783571BF"/>
    <w:rsid w:val="783F4025"/>
    <w:rsid w:val="78432C34"/>
    <w:rsid w:val="78438A83"/>
    <w:rsid w:val="7850B29F"/>
    <w:rsid w:val="7859BC88"/>
    <w:rsid w:val="785EEAE1"/>
    <w:rsid w:val="78653728"/>
    <w:rsid w:val="786845E4"/>
    <w:rsid w:val="786C6446"/>
    <w:rsid w:val="7870C328"/>
    <w:rsid w:val="7871C2CF"/>
    <w:rsid w:val="7875A332"/>
    <w:rsid w:val="788D9FB8"/>
    <w:rsid w:val="7890E2E9"/>
    <w:rsid w:val="7892915D"/>
    <w:rsid w:val="789FD18D"/>
    <w:rsid w:val="78A1D1EE"/>
    <w:rsid w:val="78A4908C"/>
    <w:rsid w:val="78A827A7"/>
    <w:rsid w:val="78AA804D"/>
    <w:rsid w:val="78BA84C6"/>
    <w:rsid w:val="78CDF3D6"/>
    <w:rsid w:val="78DC1C47"/>
    <w:rsid w:val="78E34C77"/>
    <w:rsid w:val="78E6C662"/>
    <w:rsid w:val="78E79EC7"/>
    <w:rsid w:val="78EDF260"/>
    <w:rsid w:val="78F3E22A"/>
    <w:rsid w:val="78F43C7F"/>
    <w:rsid w:val="78F8D123"/>
    <w:rsid w:val="79036FEE"/>
    <w:rsid w:val="790A89BA"/>
    <w:rsid w:val="79178B52"/>
    <w:rsid w:val="7922BE21"/>
    <w:rsid w:val="7927F602"/>
    <w:rsid w:val="79488CF1"/>
    <w:rsid w:val="7954DCF9"/>
    <w:rsid w:val="795BFEE2"/>
    <w:rsid w:val="7965562B"/>
    <w:rsid w:val="7966FACD"/>
    <w:rsid w:val="7970D667"/>
    <w:rsid w:val="79790894"/>
    <w:rsid w:val="7981F20E"/>
    <w:rsid w:val="799CDBE3"/>
    <w:rsid w:val="79AAE52B"/>
    <w:rsid w:val="79ADD798"/>
    <w:rsid w:val="79AE30E7"/>
    <w:rsid w:val="79B01A79"/>
    <w:rsid w:val="79B251AD"/>
    <w:rsid w:val="79B333DC"/>
    <w:rsid w:val="79BB04A7"/>
    <w:rsid w:val="79BBF397"/>
    <w:rsid w:val="79BE4324"/>
    <w:rsid w:val="79C285E1"/>
    <w:rsid w:val="79CBE866"/>
    <w:rsid w:val="79EF25F9"/>
    <w:rsid w:val="79F23445"/>
    <w:rsid w:val="79F2BFF3"/>
    <w:rsid w:val="79F47125"/>
    <w:rsid w:val="79F4F911"/>
    <w:rsid w:val="79FFEAE2"/>
    <w:rsid w:val="7A0F5435"/>
    <w:rsid w:val="7A12A1C7"/>
    <w:rsid w:val="7A16E1E9"/>
    <w:rsid w:val="7A191960"/>
    <w:rsid w:val="7A1AAFBE"/>
    <w:rsid w:val="7A1E2BDF"/>
    <w:rsid w:val="7A2B83B8"/>
    <w:rsid w:val="7A38077F"/>
    <w:rsid w:val="7A3C8642"/>
    <w:rsid w:val="7A493C96"/>
    <w:rsid w:val="7A54A737"/>
    <w:rsid w:val="7A565805"/>
    <w:rsid w:val="7A5893B4"/>
    <w:rsid w:val="7A59ED66"/>
    <w:rsid w:val="7A62CCCF"/>
    <w:rsid w:val="7A7CD450"/>
    <w:rsid w:val="7A8835F1"/>
    <w:rsid w:val="7A8FB422"/>
    <w:rsid w:val="7A90CC4F"/>
    <w:rsid w:val="7A9BE9E5"/>
    <w:rsid w:val="7A9C37BC"/>
    <w:rsid w:val="7AA07BF0"/>
    <w:rsid w:val="7AA589E3"/>
    <w:rsid w:val="7AA5955B"/>
    <w:rsid w:val="7AAC374A"/>
    <w:rsid w:val="7AAFB92E"/>
    <w:rsid w:val="7AB52898"/>
    <w:rsid w:val="7ABD172F"/>
    <w:rsid w:val="7ACC1210"/>
    <w:rsid w:val="7ADA2771"/>
    <w:rsid w:val="7AE49074"/>
    <w:rsid w:val="7AE6E1EB"/>
    <w:rsid w:val="7AE9DD7B"/>
    <w:rsid w:val="7AEEFFCC"/>
    <w:rsid w:val="7AF9D617"/>
    <w:rsid w:val="7AFDCF01"/>
    <w:rsid w:val="7AFE0CC2"/>
    <w:rsid w:val="7B0C99B8"/>
    <w:rsid w:val="7B0D87CD"/>
    <w:rsid w:val="7B1A401C"/>
    <w:rsid w:val="7B21629A"/>
    <w:rsid w:val="7B36874A"/>
    <w:rsid w:val="7B3F563D"/>
    <w:rsid w:val="7B434558"/>
    <w:rsid w:val="7B453042"/>
    <w:rsid w:val="7B4A1B7C"/>
    <w:rsid w:val="7B51B823"/>
    <w:rsid w:val="7B5CD920"/>
    <w:rsid w:val="7B6685C9"/>
    <w:rsid w:val="7B691EE0"/>
    <w:rsid w:val="7B6F1ADE"/>
    <w:rsid w:val="7B70616B"/>
    <w:rsid w:val="7B738B98"/>
    <w:rsid w:val="7B7ABD42"/>
    <w:rsid w:val="7B90227E"/>
    <w:rsid w:val="7B9D909F"/>
    <w:rsid w:val="7BA7CB72"/>
    <w:rsid w:val="7BA91AAB"/>
    <w:rsid w:val="7BBAAE4E"/>
    <w:rsid w:val="7BBE4688"/>
    <w:rsid w:val="7BC25008"/>
    <w:rsid w:val="7BC5D430"/>
    <w:rsid w:val="7BC7B70E"/>
    <w:rsid w:val="7BC9B607"/>
    <w:rsid w:val="7BD0FAEF"/>
    <w:rsid w:val="7BDD82DF"/>
    <w:rsid w:val="7BE18BF5"/>
    <w:rsid w:val="7BE81BA8"/>
    <w:rsid w:val="7BED2BB4"/>
    <w:rsid w:val="7BF817FC"/>
    <w:rsid w:val="7BFAAAF5"/>
    <w:rsid w:val="7C035898"/>
    <w:rsid w:val="7C04ED75"/>
    <w:rsid w:val="7C06EA71"/>
    <w:rsid w:val="7C089C8E"/>
    <w:rsid w:val="7C141C14"/>
    <w:rsid w:val="7C169252"/>
    <w:rsid w:val="7C170A23"/>
    <w:rsid w:val="7C1D1191"/>
    <w:rsid w:val="7C1D5852"/>
    <w:rsid w:val="7C232FC9"/>
    <w:rsid w:val="7C255BB3"/>
    <w:rsid w:val="7C404F2B"/>
    <w:rsid w:val="7C4479E4"/>
    <w:rsid w:val="7C458BB8"/>
    <w:rsid w:val="7C518C9F"/>
    <w:rsid w:val="7C55AD45"/>
    <w:rsid w:val="7C5605C4"/>
    <w:rsid w:val="7C5D3C52"/>
    <w:rsid w:val="7C69BB5D"/>
    <w:rsid w:val="7C69C268"/>
    <w:rsid w:val="7C6D5B41"/>
    <w:rsid w:val="7C715E36"/>
    <w:rsid w:val="7C753834"/>
    <w:rsid w:val="7C76DCDD"/>
    <w:rsid w:val="7C78869F"/>
    <w:rsid w:val="7C7DE1AF"/>
    <w:rsid w:val="7C7FD293"/>
    <w:rsid w:val="7C818299"/>
    <w:rsid w:val="7C863A66"/>
    <w:rsid w:val="7C9083DB"/>
    <w:rsid w:val="7CA7EA4F"/>
    <w:rsid w:val="7CA85994"/>
    <w:rsid w:val="7CA88BD2"/>
    <w:rsid w:val="7CA9483A"/>
    <w:rsid w:val="7CAFEA68"/>
    <w:rsid w:val="7CB6A364"/>
    <w:rsid w:val="7CC1A17E"/>
    <w:rsid w:val="7CD11484"/>
    <w:rsid w:val="7CD3636C"/>
    <w:rsid w:val="7CE037E5"/>
    <w:rsid w:val="7CE229BC"/>
    <w:rsid w:val="7CED7C45"/>
    <w:rsid w:val="7CF5C8F6"/>
    <w:rsid w:val="7CFF8CB7"/>
    <w:rsid w:val="7D02EC1B"/>
    <w:rsid w:val="7D077FDF"/>
    <w:rsid w:val="7D1AE6EE"/>
    <w:rsid w:val="7D2C3887"/>
    <w:rsid w:val="7D3BC35C"/>
    <w:rsid w:val="7D3D7C83"/>
    <w:rsid w:val="7D3E75D5"/>
    <w:rsid w:val="7D3FD6B7"/>
    <w:rsid w:val="7D423030"/>
    <w:rsid w:val="7D4345D3"/>
    <w:rsid w:val="7D4777BA"/>
    <w:rsid w:val="7D479AAB"/>
    <w:rsid w:val="7D4AB89F"/>
    <w:rsid w:val="7D759E7A"/>
    <w:rsid w:val="7D78B84D"/>
    <w:rsid w:val="7D889464"/>
    <w:rsid w:val="7D8E2532"/>
    <w:rsid w:val="7DA018D7"/>
    <w:rsid w:val="7DA3E060"/>
    <w:rsid w:val="7DACB786"/>
    <w:rsid w:val="7DACEDDB"/>
    <w:rsid w:val="7DBE9FA8"/>
    <w:rsid w:val="7DCCEFE2"/>
    <w:rsid w:val="7DE1A78F"/>
    <w:rsid w:val="7DE1AEF4"/>
    <w:rsid w:val="7DE4ECAC"/>
    <w:rsid w:val="7E11A2E5"/>
    <w:rsid w:val="7E14E158"/>
    <w:rsid w:val="7E1D3B99"/>
    <w:rsid w:val="7E2AA05E"/>
    <w:rsid w:val="7E4A5F16"/>
    <w:rsid w:val="7E5F42BA"/>
    <w:rsid w:val="7E7048E2"/>
    <w:rsid w:val="7E71FA39"/>
    <w:rsid w:val="7E790FAE"/>
    <w:rsid w:val="7E7EF8C1"/>
    <w:rsid w:val="7E80CDD8"/>
    <w:rsid w:val="7E821C55"/>
    <w:rsid w:val="7E8D3FB3"/>
    <w:rsid w:val="7E97EA6A"/>
    <w:rsid w:val="7E99E966"/>
    <w:rsid w:val="7E99EF2B"/>
    <w:rsid w:val="7E9FED4D"/>
    <w:rsid w:val="7EA1CB10"/>
    <w:rsid w:val="7EA2825A"/>
    <w:rsid w:val="7EA2A35E"/>
    <w:rsid w:val="7EB42DE5"/>
    <w:rsid w:val="7EB86C1E"/>
    <w:rsid w:val="7EC03C27"/>
    <w:rsid w:val="7ECA1D04"/>
    <w:rsid w:val="7ECC3D7E"/>
    <w:rsid w:val="7ECFEFDB"/>
    <w:rsid w:val="7EE2AC52"/>
    <w:rsid w:val="7EE35F8D"/>
    <w:rsid w:val="7EE7AB9D"/>
    <w:rsid w:val="7EEEB195"/>
    <w:rsid w:val="7EF03476"/>
    <w:rsid w:val="7EF068DC"/>
    <w:rsid w:val="7EF6BD02"/>
    <w:rsid w:val="7F09EEE3"/>
    <w:rsid w:val="7F0CAB2F"/>
    <w:rsid w:val="7F0F2590"/>
    <w:rsid w:val="7F114A86"/>
    <w:rsid w:val="7F11E692"/>
    <w:rsid w:val="7F169252"/>
    <w:rsid w:val="7F17CB0A"/>
    <w:rsid w:val="7F264555"/>
    <w:rsid w:val="7F2D578B"/>
    <w:rsid w:val="7F2D9C9E"/>
    <w:rsid w:val="7F2F7EDF"/>
    <w:rsid w:val="7F38D95E"/>
    <w:rsid w:val="7F45181B"/>
    <w:rsid w:val="7F4726CB"/>
    <w:rsid w:val="7F4CA9E1"/>
    <w:rsid w:val="7F4CAA8E"/>
    <w:rsid w:val="7F4E15FD"/>
    <w:rsid w:val="7F5B8AF2"/>
    <w:rsid w:val="7F6744A1"/>
    <w:rsid w:val="7F6BD2E8"/>
    <w:rsid w:val="7F718D25"/>
    <w:rsid w:val="7F799550"/>
    <w:rsid w:val="7F8BB1EB"/>
    <w:rsid w:val="7F9F72FB"/>
    <w:rsid w:val="7FA8773B"/>
    <w:rsid w:val="7FAE7948"/>
    <w:rsid w:val="7FB684F5"/>
    <w:rsid w:val="7FC3FDFC"/>
    <w:rsid w:val="7FD624CE"/>
    <w:rsid w:val="7FDB4612"/>
    <w:rsid w:val="7FE2B6CD"/>
    <w:rsid w:val="7FE2D921"/>
    <w:rsid w:val="7FF07267"/>
    <w:rsid w:val="7FF359C1"/>
    <w:rsid w:val="7FFBD79B"/>
    <w:rsid w:val="7FFBE9CC"/>
    <w:rsid w:val="7FFC87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5D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A674E"/>
    <w:rPr>
      <w:sz w:val="20"/>
      <w:szCs w:val="20"/>
    </w:rPr>
  </w:style>
  <w:style w:type="character" w:customStyle="1" w:styleId="CommentTextChar">
    <w:name w:val="Comment Text Char"/>
    <w:basedOn w:val="DefaultParagraphFont"/>
    <w:link w:val="CommentText"/>
    <w:uiPriority w:val="99"/>
    <w:rsid w:val="008A674E"/>
    <w:rPr>
      <w:rFonts w:ascii="Times New Roman" w:hAnsi="Times New Roman" w:cs="Times New Roman"/>
      <w:sz w:val="20"/>
      <w:szCs w:val="20"/>
      <w:lang w:val="nl-NL"/>
    </w:rPr>
  </w:style>
  <w:style w:type="character" w:styleId="CommentReference">
    <w:name w:val="annotation reference"/>
    <w:basedOn w:val="DefaultParagraphFont"/>
    <w:uiPriority w:val="99"/>
    <w:semiHidden/>
    <w:unhideWhenUsed/>
    <w:rsid w:val="008A674E"/>
    <w:rPr>
      <w:sz w:val="16"/>
      <w:szCs w:val="16"/>
    </w:rPr>
  </w:style>
  <w:style w:type="character" w:customStyle="1" w:styleId="Mention1">
    <w:name w:val="Mention1"/>
    <w:basedOn w:val="DefaultParagraphFont"/>
    <w:uiPriority w:val="99"/>
    <w:unhideWhenUsed/>
    <w:rsid w:val="008A674E"/>
    <w:rPr>
      <w:color w:val="2B579A"/>
      <w:shd w:val="clear" w:color="auto" w:fill="E1DFDD"/>
    </w:rPr>
  </w:style>
  <w:style w:type="character" w:styleId="Hyperlink">
    <w:name w:val="Hyperlink"/>
    <w:basedOn w:val="DefaultParagraphFont"/>
    <w:uiPriority w:val="99"/>
    <w:unhideWhenUsed/>
    <w:rsid w:val="008A241C"/>
    <w:rPr>
      <w:color w:val="0000FF" w:themeColor="hyperlink"/>
      <w:u w:val="single"/>
    </w:rPr>
  </w:style>
  <w:style w:type="paragraph" w:styleId="Revision">
    <w:name w:val="Revision"/>
    <w:hidden/>
    <w:uiPriority w:val="99"/>
    <w:semiHidden/>
    <w:rsid w:val="008E7D4F"/>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55749D"/>
    <w:rPr>
      <w:b/>
      <w:bCs/>
    </w:rPr>
  </w:style>
  <w:style w:type="character" w:customStyle="1" w:styleId="CommentSubjectChar">
    <w:name w:val="Comment Subject Char"/>
    <w:basedOn w:val="CommentTextChar"/>
    <w:link w:val="CommentSubject"/>
    <w:uiPriority w:val="99"/>
    <w:semiHidden/>
    <w:rsid w:val="0055749D"/>
    <w:rPr>
      <w:rFonts w:ascii="Times New Roman" w:hAnsi="Times New Roman" w:cs="Times New Roman"/>
      <w:b/>
      <w:bCs/>
      <w:sz w:val="20"/>
      <w:szCs w:val="20"/>
      <w:lang w:val="nl-NL"/>
    </w:rPr>
  </w:style>
  <w:style w:type="character" w:customStyle="1" w:styleId="UnresolvedMention1">
    <w:name w:val="Unresolved Mention1"/>
    <w:basedOn w:val="DefaultParagraphFont"/>
    <w:uiPriority w:val="99"/>
    <w:semiHidden/>
    <w:unhideWhenUsed/>
    <w:rsid w:val="0055749D"/>
    <w:rPr>
      <w:color w:val="605E5C"/>
      <w:shd w:val="clear" w:color="auto" w:fill="E1DFDD"/>
    </w:rPr>
  </w:style>
  <w:style w:type="paragraph" w:styleId="ListBullet">
    <w:name w:val="List Bullet"/>
    <w:basedOn w:val="Normal"/>
    <w:uiPriority w:val="99"/>
    <w:semiHidden/>
    <w:unhideWhenUsed/>
    <w:rsid w:val="00DE3DC6"/>
    <w:pPr>
      <w:numPr>
        <w:numId w:val="1"/>
      </w:numPr>
      <w:contextualSpacing/>
    </w:pPr>
  </w:style>
  <w:style w:type="paragraph" w:styleId="ListBullet2">
    <w:name w:val="List Bullet 2"/>
    <w:basedOn w:val="Normal"/>
    <w:uiPriority w:val="99"/>
    <w:semiHidden/>
    <w:unhideWhenUsed/>
    <w:rsid w:val="00DE3DC6"/>
    <w:pPr>
      <w:numPr>
        <w:numId w:val="2"/>
      </w:numPr>
      <w:contextualSpacing/>
    </w:pPr>
  </w:style>
  <w:style w:type="paragraph" w:styleId="ListBullet3">
    <w:name w:val="List Bullet 3"/>
    <w:basedOn w:val="Normal"/>
    <w:uiPriority w:val="99"/>
    <w:semiHidden/>
    <w:unhideWhenUsed/>
    <w:rsid w:val="00DE3DC6"/>
    <w:pPr>
      <w:numPr>
        <w:numId w:val="3"/>
      </w:numPr>
      <w:contextualSpacing/>
    </w:pPr>
  </w:style>
  <w:style w:type="paragraph" w:styleId="ListBullet4">
    <w:name w:val="List Bullet 4"/>
    <w:basedOn w:val="Normal"/>
    <w:uiPriority w:val="99"/>
    <w:semiHidden/>
    <w:unhideWhenUsed/>
    <w:rsid w:val="00DE3DC6"/>
    <w:pPr>
      <w:numPr>
        <w:numId w:val="4"/>
      </w:numPr>
      <w:contextualSpacing/>
    </w:pPr>
  </w:style>
  <w:style w:type="paragraph" w:styleId="ListParagraph">
    <w:name w:val="List Paragraph"/>
    <w:basedOn w:val="Normal"/>
    <w:uiPriority w:val="34"/>
    <w:qFormat/>
    <w:rsid w:val="00294B1C"/>
    <w:pPr>
      <w:spacing w:before="0" w:after="160" w:line="279" w:lineRule="auto"/>
      <w:ind w:left="720"/>
      <w:contextualSpacing/>
      <w:jc w:val="left"/>
    </w:pPr>
    <w:rPr>
      <w:rFonts w:asciiTheme="minorHAnsi" w:eastAsiaTheme="minorEastAsia" w:hAnsiTheme="minorHAnsi" w:cstheme="minorBidi"/>
      <w:szCs w:val="24"/>
      <w:lang w:eastAsia="ja-JP"/>
    </w:rPr>
  </w:style>
  <w:style w:type="character" w:customStyle="1" w:styleId="HeaderChar">
    <w:name w:val="Header Char"/>
    <w:basedOn w:val="DefaultParagraphFont"/>
    <w:link w:val="Header"/>
    <w:uiPriority w:val="99"/>
    <w:rsid w:val="002E522C"/>
    <w:rPr>
      <w:rFonts w:ascii="Times New Roman" w:hAnsi="Times New Roman" w:cs="Times New Roman"/>
      <w:sz w:val="24"/>
      <w:lang w:val="nl-NL"/>
    </w:rPr>
  </w:style>
  <w:style w:type="character" w:customStyle="1" w:styleId="FooterChar">
    <w:name w:val="Footer Char"/>
    <w:basedOn w:val="DefaultParagraphFont"/>
    <w:link w:val="Footer"/>
    <w:uiPriority w:val="99"/>
    <w:rsid w:val="002E522C"/>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nl-N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nl-N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nl-N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nl-N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nl-N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nl-N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nl-N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E52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E522C"/>
    <w:pPr>
      <w:spacing w:before="0"/>
      <w:jc w:val="right"/>
    </w:pPr>
    <w:rPr>
      <w:sz w:val="28"/>
    </w:rPr>
  </w:style>
  <w:style w:type="paragraph" w:customStyle="1" w:styleId="FooterSensitivity">
    <w:name w:val="Footer Sensitivity"/>
    <w:basedOn w:val="Normal"/>
    <w:rsid w:val="002E52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2E522C"/>
    <w:pPr>
      <w:tabs>
        <w:tab w:val="center" w:pos="4535"/>
        <w:tab w:val="right" w:pos="9071"/>
      </w:tabs>
      <w:spacing w:before="0"/>
    </w:pPr>
  </w:style>
  <w:style w:type="paragraph" w:customStyle="1" w:styleId="HeaderLandscape">
    <w:name w:val="HeaderLandscape"/>
    <w:basedOn w:val="Normal"/>
    <w:rsid w:val="002E522C"/>
    <w:pPr>
      <w:tabs>
        <w:tab w:val="center" w:pos="7285"/>
        <w:tab w:val="right" w:pos="14003"/>
      </w:tabs>
      <w:spacing w:before="0"/>
    </w:pPr>
  </w:style>
  <w:style w:type="paragraph" w:styleId="Footer">
    <w:name w:val="footer"/>
    <w:basedOn w:val="Normal"/>
    <w:link w:val="FooterChar"/>
    <w:uiPriority w:val="99"/>
    <w:unhideWhenUsed/>
    <w:rsid w:val="002E52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E52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60768">
      <w:bodyDiv w:val="1"/>
      <w:marLeft w:val="0"/>
      <w:marRight w:val="0"/>
      <w:marTop w:val="0"/>
      <w:marBottom w:val="0"/>
      <w:divBdr>
        <w:top w:val="none" w:sz="0" w:space="0" w:color="auto"/>
        <w:left w:val="none" w:sz="0" w:space="0" w:color="auto"/>
        <w:bottom w:val="none" w:sz="0" w:space="0" w:color="auto"/>
        <w:right w:val="none" w:sz="0" w:space="0" w:color="auto"/>
      </w:divBdr>
    </w:div>
    <w:div w:id="332343899">
      <w:bodyDiv w:val="1"/>
      <w:marLeft w:val="0"/>
      <w:marRight w:val="0"/>
      <w:marTop w:val="0"/>
      <w:marBottom w:val="0"/>
      <w:divBdr>
        <w:top w:val="none" w:sz="0" w:space="0" w:color="auto"/>
        <w:left w:val="none" w:sz="0" w:space="0" w:color="auto"/>
        <w:bottom w:val="none" w:sz="0" w:space="0" w:color="auto"/>
        <w:right w:val="none" w:sz="0" w:space="0" w:color="auto"/>
      </w:divBdr>
    </w:div>
    <w:div w:id="469443051">
      <w:bodyDiv w:val="1"/>
      <w:marLeft w:val="0"/>
      <w:marRight w:val="0"/>
      <w:marTop w:val="0"/>
      <w:marBottom w:val="0"/>
      <w:divBdr>
        <w:top w:val="none" w:sz="0" w:space="0" w:color="auto"/>
        <w:left w:val="none" w:sz="0" w:space="0" w:color="auto"/>
        <w:bottom w:val="none" w:sz="0" w:space="0" w:color="auto"/>
        <w:right w:val="none" w:sz="0" w:space="0" w:color="auto"/>
      </w:divBdr>
    </w:div>
    <w:div w:id="511729272">
      <w:bodyDiv w:val="1"/>
      <w:marLeft w:val="0"/>
      <w:marRight w:val="0"/>
      <w:marTop w:val="0"/>
      <w:marBottom w:val="0"/>
      <w:divBdr>
        <w:top w:val="none" w:sz="0" w:space="0" w:color="auto"/>
        <w:left w:val="none" w:sz="0" w:space="0" w:color="auto"/>
        <w:bottom w:val="none" w:sz="0" w:space="0" w:color="auto"/>
        <w:right w:val="none" w:sz="0" w:space="0" w:color="auto"/>
      </w:divBdr>
    </w:div>
    <w:div w:id="1021007133">
      <w:bodyDiv w:val="1"/>
      <w:marLeft w:val="0"/>
      <w:marRight w:val="0"/>
      <w:marTop w:val="0"/>
      <w:marBottom w:val="0"/>
      <w:divBdr>
        <w:top w:val="none" w:sz="0" w:space="0" w:color="auto"/>
        <w:left w:val="none" w:sz="0" w:space="0" w:color="auto"/>
        <w:bottom w:val="none" w:sz="0" w:space="0" w:color="auto"/>
        <w:right w:val="none" w:sz="0" w:space="0" w:color="auto"/>
      </w:divBdr>
      <w:divsChild>
        <w:div w:id="843514244">
          <w:marLeft w:val="0"/>
          <w:marRight w:val="0"/>
          <w:marTop w:val="0"/>
          <w:marBottom w:val="0"/>
          <w:divBdr>
            <w:top w:val="none" w:sz="0" w:space="0" w:color="auto"/>
            <w:left w:val="none" w:sz="0" w:space="0" w:color="auto"/>
            <w:bottom w:val="none" w:sz="0" w:space="0" w:color="auto"/>
            <w:right w:val="none" w:sz="0" w:space="0" w:color="auto"/>
          </w:divBdr>
          <w:divsChild>
            <w:div w:id="1513494628">
              <w:marLeft w:val="0"/>
              <w:marRight w:val="0"/>
              <w:marTop w:val="0"/>
              <w:marBottom w:val="0"/>
              <w:divBdr>
                <w:top w:val="none" w:sz="0" w:space="0" w:color="auto"/>
                <w:left w:val="none" w:sz="0" w:space="0" w:color="auto"/>
                <w:bottom w:val="none" w:sz="0" w:space="0" w:color="auto"/>
                <w:right w:val="none" w:sz="0" w:space="0" w:color="auto"/>
              </w:divBdr>
              <w:divsChild>
                <w:div w:id="1815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7156">
          <w:marLeft w:val="0"/>
          <w:marRight w:val="0"/>
          <w:marTop w:val="0"/>
          <w:marBottom w:val="0"/>
          <w:divBdr>
            <w:top w:val="none" w:sz="0" w:space="0" w:color="auto"/>
            <w:left w:val="none" w:sz="0" w:space="0" w:color="auto"/>
            <w:bottom w:val="none" w:sz="0" w:space="0" w:color="auto"/>
            <w:right w:val="none" w:sz="0" w:space="0" w:color="auto"/>
          </w:divBdr>
          <w:divsChild>
            <w:div w:id="1054742659">
              <w:marLeft w:val="0"/>
              <w:marRight w:val="0"/>
              <w:marTop w:val="0"/>
              <w:marBottom w:val="0"/>
              <w:divBdr>
                <w:top w:val="none" w:sz="0" w:space="0" w:color="auto"/>
                <w:left w:val="none" w:sz="0" w:space="0" w:color="auto"/>
                <w:bottom w:val="none" w:sz="0" w:space="0" w:color="auto"/>
                <w:right w:val="none" w:sz="0" w:space="0" w:color="auto"/>
              </w:divBdr>
              <w:divsChild>
                <w:div w:id="457456412">
                  <w:marLeft w:val="0"/>
                  <w:marRight w:val="0"/>
                  <w:marTop w:val="0"/>
                  <w:marBottom w:val="0"/>
                  <w:divBdr>
                    <w:top w:val="none" w:sz="0" w:space="0" w:color="auto"/>
                    <w:left w:val="none" w:sz="0" w:space="0" w:color="auto"/>
                    <w:bottom w:val="none" w:sz="0" w:space="0" w:color="auto"/>
                    <w:right w:val="none" w:sz="0" w:space="0" w:color="auto"/>
                  </w:divBdr>
                  <w:divsChild>
                    <w:div w:id="234631262">
                      <w:marLeft w:val="0"/>
                      <w:marRight w:val="0"/>
                      <w:marTop w:val="0"/>
                      <w:marBottom w:val="0"/>
                      <w:divBdr>
                        <w:top w:val="none" w:sz="0" w:space="0" w:color="auto"/>
                        <w:left w:val="none" w:sz="0" w:space="0" w:color="auto"/>
                        <w:bottom w:val="none" w:sz="0" w:space="0" w:color="auto"/>
                        <w:right w:val="none" w:sz="0" w:space="0" w:color="auto"/>
                      </w:divBdr>
                      <w:divsChild>
                        <w:div w:id="1447431102">
                          <w:marLeft w:val="0"/>
                          <w:marRight w:val="0"/>
                          <w:marTop w:val="0"/>
                          <w:marBottom w:val="0"/>
                          <w:divBdr>
                            <w:top w:val="none" w:sz="0" w:space="0" w:color="auto"/>
                            <w:left w:val="none" w:sz="0" w:space="0" w:color="auto"/>
                            <w:bottom w:val="none" w:sz="0" w:space="0" w:color="auto"/>
                            <w:right w:val="none" w:sz="0" w:space="0" w:color="auto"/>
                          </w:divBdr>
                          <w:divsChild>
                            <w:div w:id="496921616">
                              <w:marLeft w:val="0"/>
                              <w:marRight w:val="0"/>
                              <w:marTop w:val="0"/>
                              <w:marBottom w:val="0"/>
                              <w:divBdr>
                                <w:top w:val="none" w:sz="0" w:space="0" w:color="auto"/>
                                <w:left w:val="none" w:sz="0" w:space="0" w:color="auto"/>
                                <w:bottom w:val="none" w:sz="0" w:space="0" w:color="auto"/>
                                <w:right w:val="none" w:sz="0" w:space="0" w:color="auto"/>
                              </w:divBdr>
                              <w:divsChild>
                                <w:div w:id="115286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69204">
                      <w:marLeft w:val="0"/>
                      <w:marRight w:val="0"/>
                      <w:marTop w:val="0"/>
                      <w:marBottom w:val="0"/>
                      <w:divBdr>
                        <w:top w:val="none" w:sz="0" w:space="0" w:color="auto"/>
                        <w:left w:val="none" w:sz="0" w:space="0" w:color="auto"/>
                        <w:bottom w:val="none" w:sz="0" w:space="0" w:color="auto"/>
                        <w:right w:val="none" w:sz="0" w:space="0" w:color="auto"/>
                      </w:divBdr>
                      <w:divsChild>
                        <w:div w:id="2095469056">
                          <w:marLeft w:val="0"/>
                          <w:marRight w:val="0"/>
                          <w:marTop w:val="0"/>
                          <w:marBottom w:val="0"/>
                          <w:divBdr>
                            <w:top w:val="none" w:sz="0" w:space="0" w:color="auto"/>
                            <w:left w:val="none" w:sz="0" w:space="0" w:color="auto"/>
                            <w:bottom w:val="none" w:sz="0" w:space="0" w:color="auto"/>
                            <w:right w:val="none" w:sz="0" w:space="0" w:color="auto"/>
                          </w:divBdr>
                          <w:divsChild>
                            <w:div w:id="8468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316323">
      <w:bodyDiv w:val="1"/>
      <w:marLeft w:val="0"/>
      <w:marRight w:val="0"/>
      <w:marTop w:val="0"/>
      <w:marBottom w:val="0"/>
      <w:divBdr>
        <w:top w:val="none" w:sz="0" w:space="0" w:color="auto"/>
        <w:left w:val="none" w:sz="0" w:space="0" w:color="auto"/>
        <w:bottom w:val="none" w:sz="0" w:space="0" w:color="auto"/>
        <w:right w:val="none" w:sz="0" w:space="0" w:color="auto"/>
      </w:divBdr>
    </w:div>
    <w:div w:id="1357536948">
      <w:bodyDiv w:val="1"/>
      <w:marLeft w:val="0"/>
      <w:marRight w:val="0"/>
      <w:marTop w:val="0"/>
      <w:marBottom w:val="0"/>
      <w:divBdr>
        <w:top w:val="none" w:sz="0" w:space="0" w:color="auto"/>
        <w:left w:val="none" w:sz="0" w:space="0" w:color="auto"/>
        <w:bottom w:val="none" w:sz="0" w:space="0" w:color="auto"/>
        <w:right w:val="none" w:sz="0" w:space="0" w:color="auto"/>
      </w:divBdr>
    </w:div>
    <w:div w:id="1537087644">
      <w:bodyDiv w:val="1"/>
      <w:marLeft w:val="0"/>
      <w:marRight w:val="0"/>
      <w:marTop w:val="0"/>
      <w:marBottom w:val="0"/>
      <w:divBdr>
        <w:top w:val="none" w:sz="0" w:space="0" w:color="auto"/>
        <w:left w:val="none" w:sz="0" w:space="0" w:color="auto"/>
        <w:bottom w:val="none" w:sz="0" w:space="0" w:color="auto"/>
        <w:right w:val="none" w:sz="0" w:space="0" w:color="auto"/>
      </w:divBdr>
      <w:divsChild>
        <w:div w:id="265964956">
          <w:marLeft w:val="0"/>
          <w:marRight w:val="0"/>
          <w:marTop w:val="0"/>
          <w:marBottom w:val="0"/>
          <w:divBdr>
            <w:top w:val="none" w:sz="0" w:space="0" w:color="auto"/>
            <w:left w:val="none" w:sz="0" w:space="0" w:color="auto"/>
            <w:bottom w:val="none" w:sz="0" w:space="0" w:color="auto"/>
            <w:right w:val="none" w:sz="0" w:space="0" w:color="auto"/>
          </w:divBdr>
          <w:divsChild>
            <w:div w:id="1664971174">
              <w:marLeft w:val="0"/>
              <w:marRight w:val="0"/>
              <w:marTop w:val="0"/>
              <w:marBottom w:val="0"/>
              <w:divBdr>
                <w:top w:val="none" w:sz="0" w:space="0" w:color="auto"/>
                <w:left w:val="none" w:sz="0" w:space="0" w:color="auto"/>
                <w:bottom w:val="none" w:sz="0" w:space="0" w:color="auto"/>
                <w:right w:val="none" w:sz="0" w:space="0" w:color="auto"/>
              </w:divBdr>
              <w:divsChild>
                <w:div w:id="1056273282">
                  <w:marLeft w:val="0"/>
                  <w:marRight w:val="0"/>
                  <w:marTop w:val="0"/>
                  <w:marBottom w:val="0"/>
                  <w:divBdr>
                    <w:top w:val="none" w:sz="0" w:space="0" w:color="auto"/>
                    <w:left w:val="none" w:sz="0" w:space="0" w:color="auto"/>
                    <w:bottom w:val="none" w:sz="0" w:space="0" w:color="auto"/>
                    <w:right w:val="none" w:sz="0" w:space="0" w:color="auto"/>
                  </w:divBdr>
                  <w:divsChild>
                    <w:div w:id="1786734911">
                      <w:marLeft w:val="0"/>
                      <w:marRight w:val="0"/>
                      <w:marTop w:val="0"/>
                      <w:marBottom w:val="0"/>
                      <w:divBdr>
                        <w:top w:val="none" w:sz="0" w:space="0" w:color="auto"/>
                        <w:left w:val="none" w:sz="0" w:space="0" w:color="auto"/>
                        <w:bottom w:val="none" w:sz="0" w:space="0" w:color="auto"/>
                        <w:right w:val="none" w:sz="0" w:space="0" w:color="auto"/>
                      </w:divBdr>
                      <w:divsChild>
                        <w:div w:id="1485585565">
                          <w:marLeft w:val="0"/>
                          <w:marRight w:val="0"/>
                          <w:marTop w:val="0"/>
                          <w:marBottom w:val="0"/>
                          <w:divBdr>
                            <w:top w:val="none" w:sz="0" w:space="0" w:color="auto"/>
                            <w:left w:val="none" w:sz="0" w:space="0" w:color="auto"/>
                            <w:bottom w:val="none" w:sz="0" w:space="0" w:color="auto"/>
                            <w:right w:val="none" w:sz="0" w:space="0" w:color="auto"/>
                          </w:divBdr>
                          <w:divsChild>
                            <w:div w:id="1025866206">
                              <w:marLeft w:val="0"/>
                              <w:marRight w:val="0"/>
                              <w:marTop w:val="0"/>
                              <w:marBottom w:val="0"/>
                              <w:divBdr>
                                <w:top w:val="none" w:sz="0" w:space="0" w:color="auto"/>
                                <w:left w:val="none" w:sz="0" w:space="0" w:color="auto"/>
                                <w:bottom w:val="none" w:sz="0" w:space="0" w:color="auto"/>
                                <w:right w:val="none" w:sz="0" w:space="0" w:color="auto"/>
                              </w:divBdr>
                              <w:divsChild>
                                <w:div w:id="6065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94165">
                      <w:marLeft w:val="0"/>
                      <w:marRight w:val="0"/>
                      <w:marTop w:val="0"/>
                      <w:marBottom w:val="0"/>
                      <w:divBdr>
                        <w:top w:val="none" w:sz="0" w:space="0" w:color="auto"/>
                        <w:left w:val="none" w:sz="0" w:space="0" w:color="auto"/>
                        <w:bottom w:val="none" w:sz="0" w:space="0" w:color="auto"/>
                        <w:right w:val="none" w:sz="0" w:space="0" w:color="auto"/>
                      </w:divBdr>
                      <w:divsChild>
                        <w:div w:id="2124109623">
                          <w:marLeft w:val="0"/>
                          <w:marRight w:val="0"/>
                          <w:marTop w:val="0"/>
                          <w:marBottom w:val="0"/>
                          <w:divBdr>
                            <w:top w:val="none" w:sz="0" w:space="0" w:color="auto"/>
                            <w:left w:val="none" w:sz="0" w:space="0" w:color="auto"/>
                            <w:bottom w:val="none" w:sz="0" w:space="0" w:color="auto"/>
                            <w:right w:val="none" w:sz="0" w:space="0" w:color="auto"/>
                          </w:divBdr>
                          <w:divsChild>
                            <w:div w:id="39663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934146">
          <w:marLeft w:val="0"/>
          <w:marRight w:val="0"/>
          <w:marTop w:val="0"/>
          <w:marBottom w:val="0"/>
          <w:divBdr>
            <w:top w:val="none" w:sz="0" w:space="0" w:color="auto"/>
            <w:left w:val="none" w:sz="0" w:space="0" w:color="auto"/>
            <w:bottom w:val="none" w:sz="0" w:space="0" w:color="auto"/>
            <w:right w:val="none" w:sz="0" w:space="0" w:color="auto"/>
          </w:divBdr>
          <w:divsChild>
            <w:div w:id="233395528">
              <w:marLeft w:val="0"/>
              <w:marRight w:val="0"/>
              <w:marTop w:val="0"/>
              <w:marBottom w:val="0"/>
              <w:divBdr>
                <w:top w:val="none" w:sz="0" w:space="0" w:color="auto"/>
                <w:left w:val="none" w:sz="0" w:space="0" w:color="auto"/>
                <w:bottom w:val="none" w:sz="0" w:space="0" w:color="auto"/>
                <w:right w:val="none" w:sz="0" w:space="0" w:color="auto"/>
              </w:divBdr>
              <w:divsChild>
                <w:div w:id="20465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78858">
      <w:bodyDiv w:val="1"/>
      <w:marLeft w:val="0"/>
      <w:marRight w:val="0"/>
      <w:marTop w:val="0"/>
      <w:marBottom w:val="0"/>
      <w:divBdr>
        <w:top w:val="none" w:sz="0" w:space="0" w:color="auto"/>
        <w:left w:val="none" w:sz="0" w:space="0" w:color="auto"/>
        <w:bottom w:val="none" w:sz="0" w:space="0" w:color="auto"/>
        <w:right w:val="none" w:sz="0" w:space="0" w:color="auto"/>
      </w:divBdr>
      <w:divsChild>
        <w:div w:id="924803551">
          <w:marLeft w:val="0"/>
          <w:marRight w:val="0"/>
          <w:marTop w:val="0"/>
          <w:marBottom w:val="0"/>
          <w:divBdr>
            <w:top w:val="none" w:sz="0" w:space="0" w:color="auto"/>
            <w:left w:val="none" w:sz="0" w:space="0" w:color="auto"/>
            <w:bottom w:val="none" w:sz="0" w:space="0" w:color="auto"/>
            <w:right w:val="none" w:sz="0" w:space="0" w:color="auto"/>
          </w:divBdr>
          <w:divsChild>
            <w:div w:id="1290669617">
              <w:marLeft w:val="0"/>
              <w:marRight w:val="0"/>
              <w:marTop w:val="0"/>
              <w:marBottom w:val="0"/>
              <w:divBdr>
                <w:top w:val="none" w:sz="0" w:space="0" w:color="auto"/>
                <w:left w:val="none" w:sz="0" w:space="0" w:color="auto"/>
                <w:bottom w:val="none" w:sz="0" w:space="0" w:color="auto"/>
                <w:right w:val="none" w:sz="0" w:space="0" w:color="auto"/>
              </w:divBdr>
              <w:divsChild>
                <w:div w:id="2013489371">
                  <w:marLeft w:val="0"/>
                  <w:marRight w:val="0"/>
                  <w:marTop w:val="0"/>
                  <w:marBottom w:val="0"/>
                  <w:divBdr>
                    <w:top w:val="none" w:sz="0" w:space="0" w:color="auto"/>
                    <w:left w:val="none" w:sz="0" w:space="0" w:color="auto"/>
                    <w:bottom w:val="none" w:sz="0" w:space="0" w:color="auto"/>
                    <w:right w:val="none" w:sz="0" w:space="0" w:color="auto"/>
                  </w:divBdr>
                  <w:divsChild>
                    <w:div w:id="489488661">
                      <w:marLeft w:val="0"/>
                      <w:marRight w:val="0"/>
                      <w:marTop w:val="0"/>
                      <w:marBottom w:val="0"/>
                      <w:divBdr>
                        <w:top w:val="none" w:sz="0" w:space="0" w:color="auto"/>
                        <w:left w:val="none" w:sz="0" w:space="0" w:color="auto"/>
                        <w:bottom w:val="none" w:sz="0" w:space="0" w:color="auto"/>
                        <w:right w:val="none" w:sz="0" w:space="0" w:color="auto"/>
                      </w:divBdr>
                      <w:divsChild>
                        <w:div w:id="837117104">
                          <w:marLeft w:val="0"/>
                          <w:marRight w:val="0"/>
                          <w:marTop w:val="0"/>
                          <w:marBottom w:val="0"/>
                          <w:divBdr>
                            <w:top w:val="none" w:sz="0" w:space="0" w:color="auto"/>
                            <w:left w:val="none" w:sz="0" w:space="0" w:color="auto"/>
                            <w:bottom w:val="none" w:sz="0" w:space="0" w:color="auto"/>
                            <w:right w:val="none" w:sz="0" w:space="0" w:color="auto"/>
                          </w:divBdr>
                          <w:divsChild>
                            <w:div w:id="1893811209">
                              <w:marLeft w:val="0"/>
                              <w:marRight w:val="0"/>
                              <w:marTop w:val="0"/>
                              <w:marBottom w:val="0"/>
                              <w:divBdr>
                                <w:top w:val="none" w:sz="0" w:space="0" w:color="auto"/>
                                <w:left w:val="none" w:sz="0" w:space="0" w:color="auto"/>
                                <w:bottom w:val="none" w:sz="0" w:space="0" w:color="auto"/>
                                <w:right w:val="none" w:sz="0" w:space="0" w:color="auto"/>
                              </w:divBdr>
                              <w:divsChild>
                                <w:div w:id="79548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12214">
                          <w:marLeft w:val="0"/>
                          <w:marRight w:val="0"/>
                          <w:marTop w:val="0"/>
                          <w:marBottom w:val="0"/>
                          <w:divBdr>
                            <w:top w:val="none" w:sz="0" w:space="0" w:color="auto"/>
                            <w:left w:val="none" w:sz="0" w:space="0" w:color="auto"/>
                            <w:bottom w:val="none" w:sz="0" w:space="0" w:color="auto"/>
                            <w:right w:val="none" w:sz="0" w:space="0" w:color="auto"/>
                          </w:divBdr>
                          <w:divsChild>
                            <w:div w:id="288556164">
                              <w:marLeft w:val="0"/>
                              <w:marRight w:val="0"/>
                              <w:marTop w:val="0"/>
                              <w:marBottom w:val="0"/>
                              <w:divBdr>
                                <w:top w:val="none" w:sz="0" w:space="0" w:color="auto"/>
                                <w:left w:val="none" w:sz="0" w:space="0" w:color="auto"/>
                                <w:bottom w:val="none" w:sz="0" w:space="0" w:color="auto"/>
                                <w:right w:val="none" w:sz="0" w:space="0" w:color="auto"/>
                              </w:divBdr>
                              <w:divsChild>
                                <w:div w:id="1599218934">
                                  <w:marLeft w:val="0"/>
                                  <w:marRight w:val="0"/>
                                  <w:marTop w:val="0"/>
                                  <w:marBottom w:val="0"/>
                                  <w:divBdr>
                                    <w:top w:val="none" w:sz="0" w:space="0" w:color="auto"/>
                                    <w:left w:val="none" w:sz="0" w:space="0" w:color="auto"/>
                                    <w:bottom w:val="none" w:sz="0" w:space="0" w:color="auto"/>
                                    <w:right w:val="none" w:sz="0" w:space="0" w:color="auto"/>
                                  </w:divBdr>
                                  <w:divsChild>
                                    <w:div w:id="132108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9912">
              <w:marLeft w:val="0"/>
              <w:marRight w:val="0"/>
              <w:marTop w:val="0"/>
              <w:marBottom w:val="0"/>
              <w:divBdr>
                <w:top w:val="none" w:sz="0" w:space="0" w:color="auto"/>
                <w:left w:val="none" w:sz="0" w:space="0" w:color="auto"/>
                <w:bottom w:val="none" w:sz="0" w:space="0" w:color="auto"/>
                <w:right w:val="none" w:sz="0" w:space="0" w:color="auto"/>
              </w:divBdr>
              <w:divsChild>
                <w:div w:id="357587610">
                  <w:marLeft w:val="0"/>
                  <w:marRight w:val="0"/>
                  <w:marTop w:val="0"/>
                  <w:marBottom w:val="0"/>
                  <w:divBdr>
                    <w:top w:val="none" w:sz="0" w:space="0" w:color="auto"/>
                    <w:left w:val="none" w:sz="0" w:space="0" w:color="auto"/>
                    <w:bottom w:val="none" w:sz="0" w:space="0" w:color="auto"/>
                    <w:right w:val="none" w:sz="0" w:space="0" w:color="auto"/>
                  </w:divBdr>
                  <w:divsChild>
                    <w:div w:id="184924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070115">
      <w:bodyDiv w:val="1"/>
      <w:marLeft w:val="0"/>
      <w:marRight w:val="0"/>
      <w:marTop w:val="0"/>
      <w:marBottom w:val="0"/>
      <w:divBdr>
        <w:top w:val="none" w:sz="0" w:space="0" w:color="auto"/>
        <w:left w:val="none" w:sz="0" w:space="0" w:color="auto"/>
        <w:bottom w:val="none" w:sz="0" w:space="0" w:color="auto"/>
        <w:right w:val="none" w:sz="0" w:space="0" w:color="auto"/>
      </w:divBdr>
    </w:div>
    <w:div w:id="1782916665">
      <w:bodyDiv w:val="1"/>
      <w:marLeft w:val="0"/>
      <w:marRight w:val="0"/>
      <w:marTop w:val="0"/>
      <w:marBottom w:val="0"/>
      <w:divBdr>
        <w:top w:val="none" w:sz="0" w:space="0" w:color="auto"/>
        <w:left w:val="none" w:sz="0" w:space="0" w:color="auto"/>
        <w:bottom w:val="none" w:sz="0" w:space="0" w:color="auto"/>
        <w:right w:val="none" w:sz="0" w:space="0" w:color="auto"/>
      </w:divBdr>
    </w:div>
    <w:div w:id="184189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employment-social-affairs.ec.europa.eu/document/download/a424524e-40a5-4036-9f13-85160612b902_en?filename=SWD%282025%2995_0.pdf" TargetMode="External"/><Relationship Id="rId1" Type="http://schemas.openxmlformats.org/officeDocument/2006/relationships/hyperlink" Target="http://data.europa.eu/eli/C/2025/27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F3AE4-58EA-40BA-BA91-29DB9E5B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15</Pages>
  <Words>6713</Words>
  <Characters>38266</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2025-06-02T17:29:00Z</dcterms:created>
  <dcterms:modified xsi:type="dcterms:W3CDTF">2025-06-12T09:08:00Z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9.1, Build 20240808</vt:lpwstr>
  </property>
  <property fmtid="{D5CDD505-2E9C-101B-9397-08002B2CF9AE}" pid="3" name="MSIP_Label_6bd9ddd1-4d20-43f6-abfa-fc3c07406f94_Enabled">
    <vt:lpwstr>true</vt:lpwstr>
  </property>
  <property fmtid="{D5CDD505-2E9C-101B-9397-08002B2CF9AE}" pid="4" name="MSIP_Label_6bd9ddd1-4d20-43f6-abfa-fc3c07406f94_SetDate">
    <vt:lpwstr>2025-06-01T17:17:32Z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4ac6fbdd-de1d-4a37-9bf3-9ecf82da7f59</vt:lpwstr>
  </property>
  <property fmtid="{D5CDD505-2E9C-101B-9397-08002B2CF9AE}" pid="9" name="MSIP_Label_6bd9ddd1-4d20-43f6-abfa-fc3c07406f94_ContentBits">
    <vt:lpwstr>0</vt:lpwstr>
  </property>
  <property fmtid="{D5CDD505-2E9C-101B-9397-08002B2CF9AE}" pid="10" name="Category">
    <vt:lpwstr>COM/PL/ORG/NOEEA</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SG-002</vt:lpwstr>
  </property>
  <property fmtid="{D5CDD505-2E9C-101B-9397-08002B2CF9AE}" pid="15" name="DQCStatus">
    <vt:lpwstr>Green (DQC version 03)</vt:lpwstr>
  </property>
</Properties>
</file>